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7BD3" w:rsidRDefault="003A7BD3" w:rsidP="003A7BD3">
      <w:pPr>
        <w:jc w:val="center"/>
        <w:rPr>
          <w:b/>
          <w:sz w:val="36"/>
          <w:szCs w:val="36"/>
        </w:rPr>
      </w:pPr>
    </w:p>
    <w:p w:rsidR="003A7BD3" w:rsidRDefault="003A7BD3" w:rsidP="003A7BD3">
      <w:pPr>
        <w:jc w:val="center"/>
        <w:rPr>
          <w:b/>
          <w:sz w:val="36"/>
          <w:szCs w:val="36"/>
        </w:rPr>
      </w:pPr>
    </w:p>
    <w:p w:rsidR="003A7BD3" w:rsidRDefault="003A7BD3" w:rsidP="003A7BD3">
      <w:pPr>
        <w:jc w:val="center"/>
        <w:rPr>
          <w:b/>
          <w:sz w:val="36"/>
          <w:szCs w:val="36"/>
        </w:rPr>
      </w:pPr>
    </w:p>
    <w:p w:rsidR="003A7BD3" w:rsidRDefault="003A7BD3" w:rsidP="003A7BD3">
      <w:pPr>
        <w:jc w:val="center"/>
        <w:rPr>
          <w:b/>
          <w:sz w:val="36"/>
          <w:szCs w:val="36"/>
        </w:rPr>
      </w:pPr>
    </w:p>
    <w:p w:rsidR="003A7BD3" w:rsidRDefault="003A7BD3" w:rsidP="003A7BD3">
      <w:pPr>
        <w:jc w:val="center"/>
        <w:rPr>
          <w:b/>
          <w:sz w:val="36"/>
          <w:szCs w:val="36"/>
        </w:rPr>
      </w:pPr>
    </w:p>
    <w:p w:rsidR="003A7BD3" w:rsidRPr="003A7BD3" w:rsidRDefault="003A7BD3" w:rsidP="003A7BD3">
      <w:pPr>
        <w:jc w:val="center"/>
        <w:rPr>
          <w:b/>
          <w:sz w:val="36"/>
          <w:szCs w:val="36"/>
        </w:rPr>
      </w:pPr>
      <w:r w:rsidRPr="003A7BD3">
        <w:rPr>
          <w:b/>
          <w:sz w:val="36"/>
          <w:szCs w:val="36"/>
        </w:rPr>
        <w:t>MARIJANA IVANOV</w:t>
      </w:r>
    </w:p>
    <w:p w:rsidR="009B6597" w:rsidRDefault="003A7BD3" w:rsidP="003A7BD3">
      <w:pPr>
        <w:jc w:val="center"/>
        <w:rPr>
          <w:b/>
          <w:sz w:val="36"/>
          <w:szCs w:val="36"/>
        </w:rPr>
      </w:pPr>
      <w:r w:rsidRPr="003A7BD3">
        <w:rPr>
          <w:b/>
          <w:sz w:val="36"/>
          <w:szCs w:val="36"/>
        </w:rPr>
        <w:t>OSOBNE FINANCIJE</w:t>
      </w:r>
      <w:r w:rsidR="009B6597">
        <w:rPr>
          <w:b/>
          <w:sz w:val="36"/>
          <w:szCs w:val="36"/>
        </w:rPr>
        <w:t xml:space="preserve">: </w:t>
      </w:r>
      <w:r w:rsidR="009B6597" w:rsidRPr="003A7BD3">
        <w:rPr>
          <w:b/>
          <w:sz w:val="36"/>
          <w:szCs w:val="36"/>
        </w:rPr>
        <w:t xml:space="preserve">NASTAVNI TEKST PREDAVANJA ZA STUDENTE </w:t>
      </w:r>
    </w:p>
    <w:p w:rsidR="009B6597" w:rsidRDefault="009B6597" w:rsidP="003A7BD3">
      <w:pPr>
        <w:jc w:val="center"/>
        <w:rPr>
          <w:b/>
          <w:sz w:val="36"/>
          <w:szCs w:val="36"/>
        </w:rPr>
      </w:pPr>
    </w:p>
    <w:p w:rsidR="00B21A80" w:rsidRPr="00F8586A" w:rsidRDefault="00B21A80" w:rsidP="003A7BD3">
      <w:pPr>
        <w:jc w:val="center"/>
        <w:rPr>
          <w:b/>
          <w:sz w:val="28"/>
          <w:szCs w:val="28"/>
        </w:rPr>
      </w:pPr>
      <w:r w:rsidRPr="00F8586A">
        <w:rPr>
          <w:b/>
          <w:sz w:val="28"/>
          <w:szCs w:val="28"/>
        </w:rPr>
        <w:t>Radni materijal bez lekture i drugih korekcija.</w:t>
      </w:r>
    </w:p>
    <w:p w:rsidR="009A5F63" w:rsidRPr="00A9165A" w:rsidRDefault="009B6597" w:rsidP="009B6597">
      <w:pPr>
        <w:jc w:val="center"/>
        <w:rPr>
          <w:sz w:val="28"/>
          <w:szCs w:val="28"/>
        </w:rPr>
      </w:pPr>
      <w:r w:rsidRPr="00A9165A">
        <w:rPr>
          <w:sz w:val="28"/>
          <w:szCs w:val="28"/>
        </w:rPr>
        <w:t xml:space="preserve">Tekst je </w:t>
      </w:r>
      <w:r w:rsidR="009A5F63" w:rsidRPr="00A9165A">
        <w:rPr>
          <w:sz w:val="28"/>
          <w:szCs w:val="28"/>
        </w:rPr>
        <w:t xml:space="preserve">usklađen s planom i programom predmeta Osobne financije na Ekonomskom fakultetu </w:t>
      </w:r>
      <w:r w:rsidR="0077537B">
        <w:rPr>
          <w:sz w:val="28"/>
          <w:szCs w:val="28"/>
        </w:rPr>
        <w:t xml:space="preserve">Sveučilišta </w:t>
      </w:r>
      <w:r w:rsidR="009A5F63" w:rsidRPr="00A9165A">
        <w:rPr>
          <w:sz w:val="28"/>
          <w:szCs w:val="28"/>
        </w:rPr>
        <w:t>u Zagrebu</w:t>
      </w:r>
      <w:r w:rsidR="00DE2F92">
        <w:rPr>
          <w:sz w:val="28"/>
          <w:szCs w:val="28"/>
        </w:rPr>
        <w:t xml:space="preserve"> za studente sveučilišnog i stručnog preddiplomskog studija</w:t>
      </w:r>
      <w:r w:rsidR="00ED70CF">
        <w:rPr>
          <w:sz w:val="28"/>
          <w:szCs w:val="28"/>
        </w:rPr>
        <w:t>.</w:t>
      </w:r>
      <w:r w:rsidR="0078289C">
        <w:rPr>
          <w:sz w:val="28"/>
          <w:szCs w:val="28"/>
        </w:rPr>
        <w:t xml:space="preserve"> </w:t>
      </w:r>
      <w:r w:rsidR="009A5F63" w:rsidRPr="00A9165A">
        <w:rPr>
          <w:sz w:val="28"/>
          <w:szCs w:val="28"/>
        </w:rPr>
        <w:t xml:space="preserve"> </w:t>
      </w:r>
    </w:p>
    <w:p w:rsidR="009A5F63" w:rsidRPr="00A9165A" w:rsidRDefault="009A5F63" w:rsidP="009B6597">
      <w:pPr>
        <w:jc w:val="center"/>
        <w:rPr>
          <w:sz w:val="28"/>
          <w:szCs w:val="28"/>
        </w:rPr>
      </w:pPr>
    </w:p>
    <w:p w:rsidR="00BC23CC" w:rsidRDefault="003A2DC6" w:rsidP="003A2DC6">
      <w:pPr>
        <w:jc w:val="center"/>
        <w:rPr>
          <w:sz w:val="28"/>
          <w:szCs w:val="28"/>
        </w:rPr>
      </w:pPr>
      <w:r w:rsidRPr="00A9165A">
        <w:rPr>
          <w:sz w:val="28"/>
          <w:szCs w:val="28"/>
        </w:rPr>
        <w:t xml:space="preserve">Tekst je izrađen isključivo u edukativne </w:t>
      </w:r>
      <w:r>
        <w:rPr>
          <w:sz w:val="28"/>
          <w:szCs w:val="28"/>
        </w:rPr>
        <w:t xml:space="preserve"> svrhe. N</w:t>
      </w:r>
      <w:r w:rsidR="00A9165A" w:rsidRPr="00A9165A">
        <w:rPr>
          <w:sz w:val="28"/>
          <w:szCs w:val="28"/>
        </w:rPr>
        <w:t xml:space="preserve">iti jedan dio teksta nije u funkciji </w:t>
      </w:r>
      <w:r>
        <w:rPr>
          <w:sz w:val="28"/>
          <w:szCs w:val="28"/>
        </w:rPr>
        <w:t xml:space="preserve">financijskog savjetovanja, niti </w:t>
      </w:r>
      <w:r w:rsidR="00A9165A" w:rsidRPr="00A9165A">
        <w:rPr>
          <w:sz w:val="28"/>
          <w:szCs w:val="28"/>
        </w:rPr>
        <w:t xml:space="preserve">poticanja </w:t>
      </w:r>
      <w:r>
        <w:rPr>
          <w:sz w:val="28"/>
          <w:szCs w:val="28"/>
        </w:rPr>
        <w:t xml:space="preserve">na </w:t>
      </w:r>
      <w:r w:rsidR="00A9165A" w:rsidRPr="00A9165A">
        <w:rPr>
          <w:sz w:val="28"/>
          <w:szCs w:val="28"/>
        </w:rPr>
        <w:t>kupnj</w:t>
      </w:r>
      <w:r>
        <w:rPr>
          <w:sz w:val="28"/>
          <w:szCs w:val="28"/>
        </w:rPr>
        <w:t xml:space="preserve">u ili prodaju </w:t>
      </w:r>
      <w:r w:rsidR="00A9165A" w:rsidRPr="00A9165A">
        <w:rPr>
          <w:sz w:val="28"/>
          <w:szCs w:val="28"/>
        </w:rPr>
        <w:t>financijskog instrumenta, odnosno zaključenj</w:t>
      </w:r>
      <w:r>
        <w:rPr>
          <w:sz w:val="28"/>
          <w:szCs w:val="28"/>
        </w:rPr>
        <w:t>a</w:t>
      </w:r>
      <w:r w:rsidR="00A9165A" w:rsidRPr="00A9165A">
        <w:rPr>
          <w:sz w:val="28"/>
          <w:szCs w:val="28"/>
        </w:rPr>
        <w:t xml:space="preserve"> ili raskid</w:t>
      </w:r>
      <w:r>
        <w:rPr>
          <w:sz w:val="28"/>
          <w:szCs w:val="28"/>
        </w:rPr>
        <w:t>a</w:t>
      </w:r>
      <w:r w:rsidR="00A9165A" w:rsidRPr="00A9165A">
        <w:rPr>
          <w:sz w:val="28"/>
          <w:szCs w:val="28"/>
        </w:rPr>
        <w:t xml:space="preserve"> financijskog odnosa.</w:t>
      </w:r>
    </w:p>
    <w:p w:rsidR="00213BD2" w:rsidRDefault="00213BD2" w:rsidP="00213BD2">
      <w:pPr>
        <w:jc w:val="center"/>
        <w:rPr>
          <w:sz w:val="28"/>
          <w:szCs w:val="28"/>
        </w:rPr>
      </w:pPr>
    </w:p>
    <w:p w:rsidR="00213BD2" w:rsidRPr="00A9165A" w:rsidRDefault="00213BD2" w:rsidP="00213BD2">
      <w:pPr>
        <w:jc w:val="center"/>
        <w:rPr>
          <w:sz w:val="28"/>
          <w:szCs w:val="28"/>
        </w:rPr>
      </w:pPr>
      <w:r w:rsidRPr="00A9165A">
        <w:rPr>
          <w:sz w:val="28"/>
          <w:szCs w:val="28"/>
        </w:rPr>
        <w:t>Svi iznesen</w:t>
      </w:r>
      <w:r>
        <w:rPr>
          <w:sz w:val="28"/>
          <w:szCs w:val="28"/>
        </w:rPr>
        <w:t xml:space="preserve">i </w:t>
      </w:r>
      <w:r w:rsidRPr="00A9165A">
        <w:rPr>
          <w:sz w:val="28"/>
          <w:szCs w:val="28"/>
        </w:rPr>
        <w:t xml:space="preserve">stavovi isključivo su stavovi autorice te ne odražavaju stav institucije u kojoj je zaposlena. </w:t>
      </w:r>
    </w:p>
    <w:p w:rsidR="009A5F63" w:rsidRDefault="009A5F63" w:rsidP="009B6597">
      <w:pPr>
        <w:jc w:val="center"/>
        <w:rPr>
          <w:b/>
          <w:sz w:val="36"/>
          <w:szCs w:val="36"/>
        </w:rPr>
      </w:pPr>
    </w:p>
    <w:p w:rsidR="003A2DC6" w:rsidRDefault="003A2DC6" w:rsidP="009B6597">
      <w:pPr>
        <w:jc w:val="center"/>
        <w:rPr>
          <w:b/>
          <w:sz w:val="36"/>
          <w:szCs w:val="36"/>
        </w:rPr>
      </w:pPr>
    </w:p>
    <w:p w:rsidR="0078289C" w:rsidRDefault="0078289C" w:rsidP="009B6597">
      <w:pPr>
        <w:pStyle w:val="Podnoje"/>
        <w:jc w:val="center"/>
        <w:rPr>
          <w:b/>
          <w:sz w:val="28"/>
          <w:szCs w:val="28"/>
        </w:rPr>
      </w:pPr>
    </w:p>
    <w:p w:rsidR="009B6597" w:rsidRPr="0078289C" w:rsidRDefault="009B6597" w:rsidP="009B6597">
      <w:pPr>
        <w:pStyle w:val="Podnoje"/>
        <w:jc w:val="center"/>
        <w:rPr>
          <w:sz w:val="28"/>
          <w:szCs w:val="28"/>
        </w:rPr>
      </w:pPr>
      <w:r w:rsidRPr="0078289C">
        <w:rPr>
          <w:sz w:val="28"/>
          <w:szCs w:val="28"/>
        </w:rPr>
        <w:t>Copyright © 2015.</w:t>
      </w:r>
      <w:r w:rsidR="009A5F63" w:rsidRPr="0078289C">
        <w:rPr>
          <w:sz w:val="28"/>
          <w:szCs w:val="28"/>
        </w:rPr>
        <w:t xml:space="preserve"> Sva prava pridržava autor.</w:t>
      </w:r>
    </w:p>
    <w:p w:rsidR="00DE2F92" w:rsidRPr="008C56E9" w:rsidRDefault="00DE2F92" w:rsidP="00DE2F92">
      <w:pPr>
        <w:spacing w:before="120" w:after="120" w:line="240" w:lineRule="auto"/>
        <w:jc w:val="both"/>
        <w:rPr>
          <w:b/>
          <w:color w:val="C00000"/>
          <w:sz w:val="24"/>
          <w:szCs w:val="24"/>
        </w:rPr>
      </w:pPr>
      <w:r w:rsidRPr="008C56E9">
        <w:rPr>
          <w:b/>
          <w:color w:val="C00000"/>
          <w:sz w:val="24"/>
          <w:szCs w:val="24"/>
        </w:rPr>
        <w:lastRenderedPageBreak/>
        <w:t>Sadržaj</w:t>
      </w:r>
    </w:p>
    <w:p w:rsidR="00DE2F92" w:rsidRPr="007F1CE8" w:rsidRDefault="00DE2F92" w:rsidP="00DE2F92">
      <w:pPr>
        <w:spacing w:before="240" w:after="120" w:line="240" w:lineRule="auto"/>
        <w:jc w:val="both"/>
        <w:rPr>
          <w:b/>
          <w:sz w:val="24"/>
          <w:szCs w:val="24"/>
        </w:rPr>
      </w:pPr>
      <w:r w:rsidRPr="007F1CE8">
        <w:rPr>
          <w:b/>
          <w:sz w:val="24"/>
          <w:szCs w:val="24"/>
        </w:rPr>
        <w:t xml:space="preserve">UVOD: FINANCIJSKA </w:t>
      </w:r>
      <w:r>
        <w:rPr>
          <w:b/>
          <w:sz w:val="24"/>
          <w:szCs w:val="24"/>
        </w:rPr>
        <w:t xml:space="preserve">ZNANJA </w:t>
      </w:r>
      <w:r w:rsidRPr="007F1CE8">
        <w:rPr>
          <w:b/>
          <w:sz w:val="24"/>
          <w:szCs w:val="24"/>
        </w:rPr>
        <w:t>I FINANCIJSKE NAVIKE</w:t>
      </w:r>
      <w:r>
        <w:rPr>
          <w:b/>
          <w:sz w:val="24"/>
          <w:szCs w:val="24"/>
        </w:rPr>
        <w:t xml:space="preserve"> </w:t>
      </w:r>
    </w:p>
    <w:p w:rsidR="00DE2F92" w:rsidRPr="00E22157" w:rsidRDefault="00DE2F92" w:rsidP="00DE2F92">
      <w:pPr>
        <w:spacing w:before="120" w:after="120" w:line="240" w:lineRule="auto"/>
        <w:rPr>
          <w:b/>
          <w:sz w:val="24"/>
          <w:szCs w:val="24"/>
        </w:rPr>
      </w:pPr>
      <w:r>
        <w:rPr>
          <w:b/>
          <w:sz w:val="24"/>
          <w:szCs w:val="24"/>
        </w:rPr>
        <w:t xml:space="preserve">1. </w:t>
      </w:r>
      <w:r w:rsidRPr="00E22157">
        <w:rPr>
          <w:b/>
          <w:sz w:val="24"/>
          <w:szCs w:val="24"/>
        </w:rPr>
        <w:t>POJEDINAC I GOSPODARSTVO</w:t>
      </w:r>
      <w:r>
        <w:rPr>
          <w:b/>
          <w:sz w:val="24"/>
          <w:szCs w:val="24"/>
        </w:rPr>
        <w:t xml:space="preserve"> </w:t>
      </w:r>
    </w:p>
    <w:p w:rsidR="00DE2F92" w:rsidRDefault="00DE2F92" w:rsidP="00DE2F92">
      <w:pPr>
        <w:spacing w:before="120" w:after="120" w:line="240" w:lineRule="auto"/>
        <w:ind w:left="426"/>
        <w:rPr>
          <w:b/>
          <w:sz w:val="24"/>
          <w:szCs w:val="24"/>
        </w:rPr>
      </w:pPr>
      <w:r>
        <w:rPr>
          <w:b/>
          <w:sz w:val="24"/>
          <w:szCs w:val="24"/>
        </w:rPr>
        <w:t xml:space="preserve">1.1. </w:t>
      </w:r>
      <w:r w:rsidRPr="00595139">
        <w:rPr>
          <w:b/>
          <w:sz w:val="24"/>
          <w:szCs w:val="24"/>
        </w:rPr>
        <w:t>Stanovništvo kao glavni nositelj novčanog suficita</w:t>
      </w:r>
      <w:r>
        <w:rPr>
          <w:b/>
          <w:sz w:val="24"/>
          <w:szCs w:val="24"/>
        </w:rPr>
        <w:t xml:space="preserve"> </w:t>
      </w:r>
    </w:p>
    <w:p w:rsidR="00DE2F92" w:rsidRDefault="00DE2F92" w:rsidP="00DE2F92">
      <w:pPr>
        <w:spacing w:before="120" w:after="120" w:line="240" w:lineRule="auto"/>
        <w:ind w:left="426"/>
        <w:jc w:val="both"/>
        <w:rPr>
          <w:b/>
          <w:sz w:val="24"/>
          <w:szCs w:val="24"/>
        </w:rPr>
      </w:pPr>
      <w:r>
        <w:rPr>
          <w:b/>
          <w:sz w:val="24"/>
          <w:szCs w:val="24"/>
        </w:rPr>
        <w:t xml:space="preserve">1.2. Raspodjela dohotka kućanstva na potrošnju i štednju </w:t>
      </w:r>
    </w:p>
    <w:p w:rsidR="00DE2F92" w:rsidRDefault="00DE2F92" w:rsidP="00DE2F92">
      <w:pPr>
        <w:spacing w:before="120" w:after="120" w:line="240" w:lineRule="auto"/>
        <w:ind w:left="426"/>
        <w:jc w:val="both"/>
        <w:rPr>
          <w:b/>
          <w:sz w:val="24"/>
          <w:szCs w:val="24"/>
        </w:rPr>
      </w:pPr>
      <w:r>
        <w:rPr>
          <w:b/>
          <w:sz w:val="24"/>
          <w:szCs w:val="24"/>
        </w:rPr>
        <w:t xml:space="preserve">1.3. Struktura potrošnje kućanstva </w:t>
      </w:r>
    </w:p>
    <w:p w:rsidR="00DE2F92" w:rsidRPr="00185225" w:rsidRDefault="00DE2F92" w:rsidP="00DE2F92">
      <w:pPr>
        <w:spacing w:before="120" w:after="120" w:line="240" w:lineRule="auto"/>
        <w:ind w:left="426"/>
        <w:jc w:val="both"/>
        <w:rPr>
          <w:b/>
          <w:sz w:val="24"/>
          <w:szCs w:val="24"/>
        </w:rPr>
      </w:pPr>
      <w:r>
        <w:rPr>
          <w:b/>
          <w:sz w:val="24"/>
          <w:szCs w:val="24"/>
        </w:rPr>
        <w:t xml:space="preserve">1.4. </w:t>
      </w:r>
      <w:r w:rsidRPr="00185225">
        <w:rPr>
          <w:b/>
          <w:sz w:val="24"/>
          <w:szCs w:val="24"/>
        </w:rPr>
        <w:t>Rizik siromaštva i socijalne isključenosti</w:t>
      </w:r>
    </w:p>
    <w:p w:rsidR="00DE2F92" w:rsidRPr="00595139" w:rsidRDefault="00DE2F92" w:rsidP="00DE2F92">
      <w:pPr>
        <w:spacing w:before="120" w:after="120" w:line="240" w:lineRule="auto"/>
        <w:ind w:left="426"/>
        <w:jc w:val="both"/>
        <w:rPr>
          <w:b/>
          <w:sz w:val="24"/>
          <w:szCs w:val="24"/>
        </w:rPr>
      </w:pPr>
      <w:r>
        <w:rPr>
          <w:b/>
          <w:sz w:val="24"/>
          <w:szCs w:val="24"/>
        </w:rPr>
        <w:t xml:space="preserve">1.5. </w:t>
      </w:r>
      <w:r w:rsidRPr="00595139">
        <w:rPr>
          <w:b/>
          <w:sz w:val="24"/>
          <w:szCs w:val="24"/>
        </w:rPr>
        <w:t>Financijski ciljevi, bogatstvo i ekonomsko zadovoljstvo pojedinca (kućanstva)</w:t>
      </w:r>
    </w:p>
    <w:p w:rsidR="00DE2F92" w:rsidRPr="000109F2" w:rsidRDefault="00DE2F92" w:rsidP="00DE2F92">
      <w:pPr>
        <w:tabs>
          <w:tab w:val="left" w:pos="2820"/>
        </w:tabs>
        <w:spacing w:before="120" w:after="120" w:line="240" w:lineRule="auto"/>
        <w:ind w:left="426"/>
        <w:jc w:val="both"/>
        <w:rPr>
          <w:b/>
          <w:sz w:val="24"/>
          <w:szCs w:val="24"/>
        </w:rPr>
      </w:pPr>
      <w:r w:rsidRPr="000109F2">
        <w:rPr>
          <w:b/>
          <w:sz w:val="24"/>
          <w:szCs w:val="24"/>
        </w:rPr>
        <w:t>1.</w:t>
      </w:r>
      <w:r>
        <w:rPr>
          <w:b/>
          <w:sz w:val="24"/>
          <w:szCs w:val="24"/>
        </w:rPr>
        <w:t>6</w:t>
      </w:r>
      <w:r w:rsidRPr="000109F2">
        <w:rPr>
          <w:b/>
          <w:sz w:val="24"/>
          <w:szCs w:val="24"/>
        </w:rPr>
        <w:t>. Životni standard i kvaliteta života</w:t>
      </w:r>
      <w:r>
        <w:rPr>
          <w:b/>
          <w:sz w:val="24"/>
          <w:szCs w:val="24"/>
        </w:rPr>
        <w:t>: trendovi razvoja ekonomije sreće</w:t>
      </w:r>
    </w:p>
    <w:p w:rsidR="00DE2F92" w:rsidRPr="00225CCC" w:rsidRDefault="00DE2F92" w:rsidP="00DE2F92">
      <w:pPr>
        <w:autoSpaceDE w:val="0"/>
        <w:autoSpaceDN w:val="0"/>
        <w:adjustRightInd w:val="0"/>
        <w:spacing w:before="120" w:after="120" w:line="240" w:lineRule="auto"/>
        <w:ind w:left="426"/>
        <w:jc w:val="both"/>
        <w:rPr>
          <w:b/>
          <w:sz w:val="24"/>
          <w:szCs w:val="24"/>
        </w:rPr>
      </w:pPr>
      <w:r w:rsidRPr="00225CCC">
        <w:rPr>
          <w:b/>
          <w:sz w:val="24"/>
          <w:szCs w:val="24"/>
        </w:rPr>
        <w:t>1.7. Utjecaj čimbenika interne okoline na ekonomsku i financijsku poziciju pojedinca</w:t>
      </w:r>
    </w:p>
    <w:p w:rsidR="00DE2F92" w:rsidRDefault="00DE2F92" w:rsidP="00DE2F92">
      <w:pPr>
        <w:spacing w:before="120" w:after="120" w:line="240" w:lineRule="auto"/>
        <w:ind w:left="426"/>
        <w:jc w:val="both"/>
        <w:rPr>
          <w:b/>
          <w:sz w:val="24"/>
          <w:szCs w:val="24"/>
        </w:rPr>
      </w:pPr>
      <w:r w:rsidRPr="00EE213A">
        <w:rPr>
          <w:b/>
          <w:sz w:val="24"/>
          <w:szCs w:val="24"/>
        </w:rPr>
        <w:t>1.8. Ulaganje u ljudski kapital i budući prihodi pojedinca</w:t>
      </w:r>
    </w:p>
    <w:p w:rsidR="00DE2F92" w:rsidRPr="00C668EE" w:rsidRDefault="00DE2F92" w:rsidP="00DE2F92">
      <w:pPr>
        <w:spacing w:before="120" w:after="120" w:line="240" w:lineRule="auto"/>
        <w:ind w:left="426"/>
        <w:jc w:val="both"/>
        <w:rPr>
          <w:b/>
          <w:sz w:val="24"/>
          <w:szCs w:val="24"/>
        </w:rPr>
      </w:pPr>
      <w:r>
        <w:rPr>
          <w:b/>
          <w:sz w:val="24"/>
          <w:szCs w:val="24"/>
        </w:rPr>
        <w:t xml:space="preserve">1.9. </w:t>
      </w:r>
      <w:r w:rsidRPr="00C668EE">
        <w:rPr>
          <w:b/>
          <w:sz w:val="24"/>
          <w:szCs w:val="24"/>
        </w:rPr>
        <w:t>Porezna presija, blagostanje i socijalna država</w:t>
      </w:r>
    </w:p>
    <w:p w:rsidR="00DE2F92" w:rsidRPr="0010689B" w:rsidRDefault="00DE2F92" w:rsidP="00DE2F92">
      <w:pPr>
        <w:spacing w:before="120" w:after="120" w:line="240" w:lineRule="auto"/>
        <w:jc w:val="both"/>
        <w:rPr>
          <w:b/>
          <w:sz w:val="24"/>
          <w:szCs w:val="24"/>
        </w:rPr>
      </w:pPr>
      <w:r w:rsidRPr="0010689B">
        <w:rPr>
          <w:b/>
          <w:sz w:val="24"/>
          <w:szCs w:val="24"/>
        </w:rPr>
        <w:t>2.</w:t>
      </w:r>
      <w:r>
        <w:rPr>
          <w:b/>
          <w:sz w:val="24"/>
          <w:szCs w:val="24"/>
        </w:rPr>
        <w:t xml:space="preserve"> </w:t>
      </w:r>
      <w:r w:rsidRPr="0010689B">
        <w:rPr>
          <w:b/>
          <w:sz w:val="24"/>
          <w:szCs w:val="24"/>
        </w:rPr>
        <w:t>PLANIRANJE OSOBNE FINANCIJSKE POZICIJE</w:t>
      </w:r>
    </w:p>
    <w:p w:rsidR="00DE2F92" w:rsidRDefault="00DE2F92" w:rsidP="00DE2F92">
      <w:pPr>
        <w:autoSpaceDE w:val="0"/>
        <w:autoSpaceDN w:val="0"/>
        <w:adjustRightInd w:val="0"/>
        <w:spacing w:before="120" w:after="120" w:line="240" w:lineRule="auto"/>
        <w:ind w:left="426"/>
        <w:jc w:val="both"/>
        <w:rPr>
          <w:b/>
          <w:sz w:val="24"/>
          <w:szCs w:val="24"/>
        </w:rPr>
      </w:pPr>
      <w:r w:rsidRPr="00992562">
        <w:rPr>
          <w:b/>
          <w:sz w:val="24"/>
          <w:szCs w:val="24"/>
        </w:rPr>
        <w:t>2.1. Budžet kućanstva</w:t>
      </w:r>
    </w:p>
    <w:p w:rsidR="00DE2F92" w:rsidRPr="00BA661B" w:rsidRDefault="00DE2F92" w:rsidP="00DE2F92">
      <w:pPr>
        <w:spacing w:before="120" w:after="120" w:line="240" w:lineRule="auto"/>
        <w:ind w:left="426"/>
        <w:jc w:val="both"/>
        <w:rPr>
          <w:b/>
          <w:sz w:val="24"/>
          <w:szCs w:val="24"/>
        </w:rPr>
      </w:pPr>
      <w:r>
        <w:rPr>
          <w:b/>
          <w:sz w:val="24"/>
          <w:szCs w:val="24"/>
        </w:rPr>
        <w:t>2.2</w:t>
      </w:r>
      <w:r w:rsidRPr="00BA661B">
        <w:rPr>
          <w:b/>
          <w:sz w:val="24"/>
          <w:szCs w:val="24"/>
        </w:rPr>
        <w:t>. Faze u procesu planiranja financijske pozicije pojedinca (kućanstva)</w:t>
      </w:r>
    </w:p>
    <w:p w:rsidR="00DE2F92" w:rsidRDefault="00DE2F92" w:rsidP="00DE2F92">
      <w:pPr>
        <w:spacing w:before="120" w:after="120" w:line="240" w:lineRule="auto"/>
        <w:ind w:left="426"/>
        <w:jc w:val="both"/>
        <w:rPr>
          <w:rFonts w:cs="TimesNewRoman"/>
          <w:sz w:val="24"/>
          <w:szCs w:val="24"/>
        </w:rPr>
      </w:pPr>
      <w:r w:rsidRPr="005864F4">
        <w:rPr>
          <w:rFonts w:cs="TimesNewRoman"/>
          <w:b/>
          <w:sz w:val="24"/>
          <w:szCs w:val="24"/>
        </w:rPr>
        <w:t>2.</w:t>
      </w:r>
      <w:r>
        <w:rPr>
          <w:rFonts w:cs="TimesNewRoman"/>
          <w:b/>
          <w:sz w:val="24"/>
          <w:szCs w:val="24"/>
        </w:rPr>
        <w:t>3</w:t>
      </w:r>
      <w:r w:rsidRPr="005864F4">
        <w:rPr>
          <w:rFonts w:cs="TimesNewRoman"/>
          <w:b/>
          <w:sz w:val="24"/>
          <w:szCs w:val="24"/>
        </w:rPr>
        <w:t>. Određivanje trenutne financijske situacije</w:t>
      </w:r>
      <w:r w:rsidRPr="005864F4">
        <w:rPr>
          <w:rFonts w:cs="TimesNewRoman"/>
          <w:sz w:val="24"/>
          <w:szCs w:val="24"/>
        </w:rPr>
        <w:t xml:space="preserve"> </w:t>
      </w:r>
    </w:p>
    <w:p w:rsidR="00DE2F92" w:rsidRPr="00EF62FF" w:rsidRDefault="00DE2F92" w:rsidP="00DE2F92">
      <w:pPr>
        <w:tabs>
          <w:tab w:val="left" w:pos="1300"/>
        </w:tabs>
        <w:spacing w:before="120" w:after="120" w:line="240" w:lineRule="auto"/>
        <w:ind w:left="426"/>
        <w:jc w:val="both"/>
        <w:rPr>
          <w:rFonts w:cs="TimesNewRoman"/>
          <w:b/>
          <w:sz w:val="24"/>
          <w:szCs w:val="24"/>
        </w:rPr>
      </w:pPr>
      <w:r>
        <w:rPr>
          <w:rFonts w:cs="TimesNewRoman"/>
          <w:b/>
          <w:sz w:val="24"/>
          <w:szCs w:val="24"/>
        </w:rPr>
        <w:t xml:space="preserve">2.4. </w:t>
      </w:r>
      <w:r w:rsidRPr="00EF62FF">
        <w:rPr>
          <w:rFonts w:cs="TimesNewRoman"/>
          <w:b/>
          <w:sz w:val="24"/>
          <w:szCs w:val="24"/>
        </w:rPr>
        <w:t>Bilanca kućanstva s uključenom neto vrijednošću radne snage: osvrt na ljudski kapital i financijske aspekte planiranja karijere</w:t>
      </w:r>
    </w:p>
    <w:p w:rsidR="00DE2F92" w:rsidRPr="00395AF2" w:rsidRDefault="00DE2F92" w:rsidP="00DE2F92">
      <w:pPr>
        <w:spacing w:before="120" w:after="120" w:line="240" w:lineRule="auto"/>
        <w:ind w:left="426"/>
        <w:jc w:val="both"/>
        <w:rPr>
          <w:b/>
          <w:sz w:val="24"/>
          <w:szCs w:val="24"/>
        </w:rPr>
      </w:pPr>
      <w:r w:rsidRPr="00395AF2">
        <w:rPr>
          <w:b/>
          <w:sz w:val="24"/>
          <w:szCs w:val="24"/>
        </w:rPr>
        <w:t>2.</w:t>
      </w:r>
      <w:r>
        <w:rPr>
          <w:b/>
          <w:sz w:val="24"/>
          <w:szCs w:val="24"/>
        </w:rPr>
        <w:t>5</w:t>
      </w:r>
      <w:r w:rsidRPr="00395AF2">
        <w:rPr>
          <w:b/>
          <w:sz w:val="24"/>
          <w:szCs w:val="24"/>
        </w:rPr>
        <w:t>. Planiranje i ekonomske aktivnosti pojedinca u različitim etapama životnog vijeka: određivanje financijskih ciljeva</w:t>
      </w:r>
    </w:p>
    <w:p w:rsidR="00DE2F92" w:rsidRPr="00B11DEC" w:rsidRDefault="00DE2F92" w:rsidP="00DE2F92">
      <w:pPr>
        <w:spacing w:before="120" w:after="120" w:line="240" w:lineRule="auto"/>
        <w:ind w:left="426"/>
        <w:jc w:val="both"/>
        <w:rPr>
          <w:rFonts w:cs="TimesNewRoman"/>
          <w:b/>
          <w:sz w:val="24"/>
          <w:szCs w:val="24"/>
        </w:rPr>
      </w:pPr>
      <w:r w:rsidRPr="00B11DEC">
        <w:rPr>
          <w:b/>
          <w:sz w:val="24"/>
          <w:szCs w:val="24"/>
        </w:rPr>
        <w:t>2.</w:t>
      </w:r>
      <w:r>
        <w:rPr>
          <w:b/>
          <w:sz w:val="24"/>
          <w:szCs w:val="24"/>
        </w:rPr>
        <w:t>6</w:t>
      </w:r>
      <w:r w:rsidRPr="00B11DEC">
        <w:rPr>
          <w:b/>
          <w:sz w:val="24"/>
          <w:szCs w:val="24"/>
        </w:rPr>
        <w:t xml:space="preserve">. </w:t>
      </w:r>
      <w:r w:rsidRPr="00B11DEC">
        <w:rPr>
          <w:rFonts w:cs="TimesNewRoman"/>
          <w:b/>
          <w:sz w:val="24"/>
          <w:szCs w:val="24"/>
        </w:rPr>
        <w:t>Osvrt na alternative</w:t>
      </w:r>
    </w:p>
    <w:p w:rsidR="00DE2F92" w:rsidRPr="00674831" w:rsidRDefault="00DE2F92" w:rsidP="00DE2F92">
      <w:pPr>
        <w:pStyle w:val="Odlomakpopisa"/>
        <w:spacing w:before="120" w:after="120" w:line="240" w:lineRule="auto"/>
        <w:ind w:left="426"/>
        <w:jc w:val="both"/>
        <w:rPr>
          <w:b/>
          <w:sz w:val="24"/>
          <w:szCs w:val="24"/>
        </w:rPr>
      </w:pPr>
      <w:r>
        <w:rPr>
          <w:b/>
          <w:sz w:val="24"/>
          <w:szCs w:val="24"/>
        </w:rPr>
        <w:t xml:space="preserve">2.7. </w:t>
      </w:r>
      <w:r w:rsidRPr="00674831">
        <w:rPr>
          <w:b/>
          <w:sz w:val="24"/>
          <w:szCs w:val="24"/>
        </w:rPr>
        <w:t xml:space="preserve">Hipotetički primjer koordinacije ostvarenja kratkoročnih i dugoročnih ciljeva </w:t>
      </w:r>
      <w:r>
        <w:rPr>
          <w:b/>
          <w:sz w:val="24"/>
          <w:szCs w:val="24"/>
        </w:rPr>
        <w:t xml:space="preserve">i vrednovanja alternativa </w:t>
      </w:r>
      <w:r w:rsidRPr="00674831">
        <w:rPr>
          <w:b/>
          <w:sz w:val="24"/>
          <w:szCs w:val="24"/>
        </w:rPr>
        <w:t>u izradi štedno ulagačkog plana</w:t>
      </w:r>
    </w:p>
    <w:p w:rsidR="00DE2F92" w:rsidRPr="00FC71DD" w:rsidRDefault="00DE2F92" w:rsidP="00DE2F92">
      <w:pPr>
        <w:spacing w:before="120" w:after="120" w:line="240" w:lineRule="auto"/>
        <w:ind w:left="426"/>
        <w:jc w:val="both"/>
        <w:rPr>
          <w:b/>
          <w:sz w:val="24"/>
          <w:szCs w:val="24"/>
        </w:rPr>
      </w:pPr>
      <w:r w:rsidRPr="00FC71DD">
        <w:rPr>
          <w:b/>
          <w:sz w:val="24"/>
          <w:szCs w:val="24"/>
        </w:rPr>
        <w:t>2.</w:t>
      </w:r>
      <w:r>
        <w:rPr>
          <w:b/>
          <w:sz w:val="24"/>
          <w:szCs w:val="24"/>
        </w:rPr>
        <w:t>8</w:t>
      </w:r>
      <w:r w:rsidRPr="00FC71DD">
        <w:rPr>
          <w:b/>
          <w:sz w:val="24"/>
          <w:szCs w:val="24"/>
        </w:rPr>
        <w:t>. Planiranje porezne pozicije pojedinca – učinci poreznog tereta na ekonomsku snagu pojedinca</w:t>
      </w:r>
    </w:p>
    <w:p w:rsidR="00DE2F92" w:rsidRDefault="00DE2F92" w:rsidP="00DE2F92">
      <w:pPr>
        <w:spacing w:before="120" w:after="120" w:line="240" w:lineRule="auto"/>
        <w:ind w:left="426"/>
        <w:jc w:val="both"/>
        <w:rPr>
          <w:b/>
          <w:sz w:val="24"/>
          <w:szCs w:val="24"/>
        </w:rPr>
      </w:pPr>
      <w:r w:rsidRPr="00476A31">
        <w:rPr>
          <w:b/>
          <w:sz w:val="24"/>
          <w:szCs w:val="24"/>
        </w:rPr>
        <w:t>2.</w:t>
      </w:r>
      <w:r>
        <w:rPr>
          <w:b/>
          <w:sz w:val="24"/>
          <w:szCs w:val="24"/>
        </w:rPr>
        <w:t>9</w:t>
      </w:r>
      <w:r w:rsidRPr="00476A31">
        <w:rPr>
          <w:b/>
          <w:sz w:val="24"/>
          <w:szCs w:val="24"/>
        </w:rPr>
        <w:t>. Oporezivanje dohotka pojedinca</w:t>
      </w:r>
    </w:p>
    <w:p w:rsidR="00DE2F92" w:rsidRPr="00A83A77" w:rsidRDefault="00DE2F92" w:rsidP="00DE2F92">
      <w:pPr>
        <w:spacing w:before="120" w:after="120" w:line="240" w:lineRule="auto"/>
        <w:jc w:val="both"/>
        <w:rPr>
          <w:b/>
          <w:sz w:val="24"/>
          <w:szCs w:val="24"/>
        </w:rPr>
      </w:pPr>
      <w:r w:rsidRPr="00A83A77">
        <w:rPr>
          <w:b/>
          <w:sz w:val="24"/>
          <w:szCs w:val="24"/>
        </w:rPr>
        <w:t>3. UPRAVLJANJE OSOBNIM FINANCIJAMA</w:t>
      </w:r>
    </w:p>
    <w:p w:rsidR="00DE2F92" w:rsidRPr="00E40E29" w:rsidRDefault="00DE2F92" w:rsidP="00DE2F92">
      <w:pPr>
        <w:tabs>
          <w:tab w:val="left" w:pos="426"/>
        </w:tabs>
        <w:spacing w:before="120" w:after="120" w:line="240" w:lineRule="auto"/>
        <w:ind w:left="426"/>
        <w:jc w:val="both"/>
        <w:rPr>
          <w:b/>
          <w:sz w:val="24"/>
          <w:szCs w:val="24"/>
        </w:rPr>
      </w:pPr>
      <w:r w:rsidRPr="00E40E29">
        <w:rPr>
          <w:b/>
          <w:sz w:val="24"/>
          <w:szCs w:val="24"/>
        </w:rPr>
        <w:t xml:space="preserve">3.1. </w:t>
      </w:r>
      <w:r>
        <w:rPr>
          <w:b/>
          <w:sz w:val="24"/>
          <w:szCs w:val="24"/>
        </w:rPr>
        <w:t xml:space="preserve">Makroekonomski rizici </w:t>
      </w:r>
      <w:r w:rsidRPr="00E40E29">
        <w:rPr>
          <w:b/>
          <w:sz w:val="24"/>
          <w:szCs w:val="24"/>
        </w:rPr>
        <w:t>u upravljanju osobnim financijama</w:t>
      </w:r>
    </w:p>
    <w:p w:rsidR="00DE2F92" w:rsidRPr="00C103F2" w:rsidRDefault="00DE2F92" w:rsidP="00DE2F92">
      <w:pPr>
        <w:tabs>
          <w:tab w:val="left" w:pos="426"/>
        </w:tabs>
        <w:spacing w:before="120" w:after="120" w:line="240" w:lineRule="auto"/>
        <w:ind w:left="426"/>
        <w:jc w:val="both"/>
        <w:rPr>
          <w:b/>
          <w:sz w:val="24"/>
          <w:szCs w:val="24"/>
        </w:rPr>
      </w:pPr>
      <w:r>
        <w:rPr>
          <w:b/>
          <w:sz w:val="24"/>
          <w:szCs w:val="24"/>
        </w:rPr>
        <w:t xml:space="preserve">3.2. </w:t>
      </w:r>
      <w:r w:rsidRPr="00C103F2">
        <w:rPr>
          <w:b/>
          <w:sz w:val="24"/>
          <w:szCs w:val="24"/>
        </w:rPr>
        <w:t>Rizik inflacije</w:t>
      </w:r>
    </w:p>
    <w:p w:rsidR="00DE2F92" w:rsidRPr="00C103F2" w:rsidRDefault="00DE2F92" w:rsidP="00DE2F92">
      <w:pPr>
        <w:tabs>
          <w:tab w:val="left" w:pos="426"/>
        </w:tabs>
        <w:spacing w:before="120" w:after="120" w:line="240" w:lineRule="auto"/>
        <w:ind w:left="426"/>
        <w:jc w:val="both"/>
        <w:rPr>
          <w:b/>
          <w:sz w:val="24"/>
          <w:szCs w:val="24"/>
        </w:rPr>
      </w:pPr>
      <w:r>
        <w:rPr>
          <w:b/>
          <w:sz w:val="24"/>
          <w:szCs w:val="24"/>
        </w:rPr>
        <w:t xml:space="preserve">3.3. </w:t>
      </w:r>
      <w:r w:rsidRPr="00C103F2">
        <w:rPr>
          <w:b/>
          <w:sz w:val="24"/>
          <w:szCs w:val="24"/>
        </w:rPr>
        <w:t>Kamatni rizik</w:t>
      </w:r>
    </w:p>
    <w:p w:rsidR="00DE2F92" w:rsidRPr="0093356A" w:rsidRDefault="00DE2F92" w:rsidP="00DE2F92">
      <w:pPr>
        <w:tabs>
          <w:tab w:val="left" w:pos="426"/>
        </w:tabs>
        <w:spacing w:before="120" w:after="120" w:line="240" w:lineRule="auto"/>
        <w:ind w:left="426"/>
        <w:jc w:val="both"/>
        <w:rPr>
          <w:b/>
          <w:sz w:val="24"/>
          <w:szCs w:val="24"/>
        </w:rPr>
      </w:pPr>
      <w:r>
        <w:rPr>
          <w:b/>
          <w:sz w:val="24"/>
          <w:szCs w:val="24"/>
        </w:rPr>
        <w:t xml:space="preserve">3.4. </w:t>
      </w:r>
      <w:r w:rsidRPr="0093356A">
        <w:rPr>
          <w:b/>
          <w:sz w:val="24"/>
          <w:szCs w:val="24"/>
        </w:rPr>
        <w:t>Valutni rizik</w:t>
      </w:r>
    </w:p>
    <w:p w:rsidR="00DE2F92" w:rsidRPr="00E04220" w:rsidRDefault="00DE2F92" w:rsidP="00DE2F92">
      <w:pPr>
        <w:tabs>
          <w:tab w:val="left" w:pos="426"/>
        </w:tabs>
        <w:spacing w:before="120" w:after="120" w:line="240" w:lineRule="auto"/>
        <w:ind w:left="426"/>
        <w:jc w:val="both"/>
        <w:rPr>
          <w:b/>
          <w:sz w:val="24"/>
          <w:szCs w:val="24"/>
        </w:rPr>
      </w:pPr>
      <w:r>
        <w:rPr>
          <w:b/>
          <w:sz w:val="24"/>
          <w:szCs w:val="24"/>
        </w:rPr>
        <w:t xml:space="preserve">3.5. </w:t>
      </w:r>
      <w:r w:rsidRPr="00E04220">
        <w:rPr>
          <w:b/>
          <w:sz w:val="24"/>
          <w:szCs w:val="24"/>
        </w:rPr>
        <w:t>Rizik promjene cijene imovine (tržišni rizik)</w:t>
      </w:r>
    </w:p>
    <w:p w:rsidR="00DE2F92" w:rsidRPr="0093356A" w:rsidRDefault="00DE2F92" w:rsidP="00DE2F92">
      <w:pPr>
        <w:tabs>
          <w:tab w:val="left" w:pos="426"/>
        </w:tabs>
        <w:spacing w:before="120" w:after="120" w:line="240" w:lineRule="auto"/>
        <w:ind w:left="426"/>
        <w:jc w:val="both"/>
        <w:rPr>
          <w:b/>
          <w:sz w:val="24"/>
          <w:szCs w:val="24"/>
        </w:rPr>
      </w:pPr>
      <w:r>
        <w:rPr>
          <w:b/>
          <w:sz w:val="24"/>
          <w:szCs w:val="24"/>
        </w:rPr>
        <w:t xml:space="preserve">3.6. </w:t>
      </w:r>
      <w:r w:rsidRPr="0093356A">
        <w:rPr>
          <w:b/>
          <w:sz w:val="24"/>
          <w:szCs w:val="24"/>
        </w:rPr>
        <w:t>Rizik likvidnosti</w:t>
      </w:r>
    </w:p>
    <w:p w:rsidR="00DE2F92" w:rsidRPr="00862998" w:rsidRDefault="00DE2F92" w:rsidP="00DE2F92">
      <w:pPr>
        <w:tabs>
          <w:tab w:val="left" w:pos="426"/>
          <w:tab w:val="left" w:pos="3400"/>
        </w:tabs>
        <w:spacing w:before="120" w:after="120" w:line="240" w:lineRule="auto"/>
        <w:ind w:left="426"/>
        <w:jc w:val="both"/>
        <w:rPr>
          <w:b/>
          <w:sz w:val="24"/>
          <w:szCs w:val="24"/>
        </w:rPr>
      </w:pPr>
      <w:r>
        <w:rPr>
          <w:b/>
          <w:sz w:val="24"/>
          <w:szCs w:val="24"/>
        </w:rPr>
        <w:t>3.7</w:t>
      </w:r>
      <w:r w:rsidRPr="00862998">
        <w:rPr>
          <w:b/>
          <w:sz w:val="24"/>
          <w:szCs w:val="24"/>
        </w:rPr>
        <w:t>. Rizik dohotka</w:t>
      </w:r>
      <w:r>
        <w:rPr>
          <w:b/>
          <w:sz w:val="24"/>
          <w:szCs w:val="24"/>
        </w:rPr>
        <w:t xml:space="preserve"> i rizik nezaposlenosti</w:t>
      </w:r>
    </w:p>
    <w:p w:rsidR="00DE2F92" w:rsidRPr="00042B05" w:rsidRDefault="00DE2F92" w:rsidP="00DE2F92">
      <w:pPr>
        <w:tabs>
          <w:tab w:val="left" w:pos="426"/>
          <w:tab w:val="left" w:pos="3400"/>
        </w:tabs>
        <w:spacing w:before="120" w:after="120" w:line="240" w:lineRule="auto"/>
        <w:ind w:left="426"/>
        <w:jc w:val="both"/>
        <w:rPr>
          <w:b/>
          <w:sz w:val="24"/>
          <w:szCs w:val="24"/>
        </w:rPr>
      </w:pPr>
      <w:r w:rsidRPr="00042B05">
        <w:rPr>
          <w:b/>
          <w:sz w:val="24"/>
          <w:szCs w:val="24"/>
        </w:rPr>
        <w:lastRenderedPageBreak/>
        <w:t>3.</w:t>
      </w:r>
      <w:r>
        <w:rPr>
          <w:b/>
          <w:sz w:val="24"/>
          <w:szCs w:val="24"/>
        </w:rPr>
        <w:t>8</w:t>
      </w:r>
      <w:r w:rsidRPr="00042B05">
        <w:rPr>
          <w:b/>
          <w:sz w:val="24"/>
          <w:szCs w:val="24"/>
        </w:rPr>
        <w:t>. Porezni rizik</w:t>
      </w:r>
    </w:p>
    <w:p w:rsidR="00DE2F92" w:rsidRPr="00417EC4" w:rsidRDefault="00DE2F92" w:rsidP="00DE2F92">
      <w:pPr>
        <w:tabs>
          <w:tab w:val="left" w:pos="426"/>
          <w:tab w:val="left" w:pos="3400"/>
        </w:tabs>
        <w:spacing w:before="120" w:after="120" w:line="240" w:lineRule="auto"/>
        <w:ind w:left="426"/>
        <w:jc w:val="both"/>
        <w:rPr>
          <w:b/>
          <w:sz w:val="24"/>
          <w:szCs w:val="24"/>
        </w:rPr>
      </w:pPr>
      <w:r>
        <w:rPr>
          <w:b/>
          <w:sz w:val="24"/>
          <w:szCs w:val="24"/>
        </w:rPr>
        <w:t xml:space="preserve">3.9. Osobni rizici </w:t>
      </w:r>
      <w:r w:rsidRPr="00417EC4">
        <w:rPr>
          <w:b/>
          <w:sz w:val="24"/>
          <w:szCs w:val="24"/>
        </w:rPr>
        <w:t>i riz</w:t>
      </w:r>
      <w:r>
        <w:rPr>
          <w:b/>
          <w:sz w:val="24"/>
          <w:szCs w:val="24"/>
        </w:rPr>
        <w:t>ici</w:t>
      </w:r>
      <w:r w:rsidRPr="00417EC4">
        <w:rPr>
          <w:b/>
          <w:sz w:val="24"/>
          <w:szCs w:val="24"/>
        </w:rPr>
        <w:t xml:space="preserve"> neočekivanih događaja</w:t>
      </w:r>
    </w:p>
    <w:p w:rsidR="00DE2F92" w:rsidRPr="00C973B1" w:rsidRDefault="00DE2F92" w:rsidP="00DE2F92">
      <w:pPr>
        <w:tabs>
          <w:tab w:val="left" w:pos="426"/>
          <w:tab w:val="left" w:pos="3400"/>
        </w:tabs>
        <w:spacing w:before="120" w:after="120" w:line="240" w:lineRule="auto"/>
        <w:ind w:left="426"/>
        <w:jc w:val="both"/>
        <w:rPr>
          <w:b/>
          <w:sz w:val="24"/>
          <w:szCs w:val="24"/>
        </w:rPr>
      </w:pPr>
      <w:r w:rsidRPr="00C973B1">
        <w:rPr>
          <w:b/>
          <w:sz w:val="24"/>
          <w:szCs w:val="24"/>
        </w:rPr>
        <w:t>3.</w:t>
      </w:r>
      <w:r>
        <w:rPr>
          <w:b/>
          <w:sz w:val="24"/>
          <w:szCs w:val="24"/>
        </w:rPr>
        <w:t>10</w:t>
      </w:r>
      <w:r w:rsidRPr="00C973B1">
        <w:rPr>
          <w:b/>
          <w:sz w:val="24"/>
          <w:szCs w:val="24"/>
        </w:rPr>
        <w:t>. Upravljanje rizicima u osobnim financijama</w:t>
      </w:r>
    </w:p>
    <w:p w:rsidR="00DE2F92" w:rsidRPr="006B2A2C" w:rsidRDefault="00DE2F92" w:rsidP="00DE2F92">
      <w:pPr>
        <w:tabs>
          <w:tab w:val="left" w:pos="426"/>
          <w:tab w:val="left" w:pos="3400"/>
        </w:tabs>
        <w:spacing w:before="120" w:after="120" w:line="240" w:lineRule="auto"/>
        <w:ind w:left="426"/>
        <w:jc w:val="both"/>
        <w:rPr>
          <w:b/>
          <w:sz w:val="24"/>
          <w:szCs w:val="24"/>
        </w:rPr>
      </w:pPr>
      <w:r w:rsidRPr="006B2A2C">
        <w:rPr>
          <w:b/>
          <w:sz w:val="24"/>
          <w:szCs w:val="24"/>
        </w:rPr>
        <w:t>3.1</w:t>
      </w:r>
      <w:r>
        <w:rPr>
          <w:b/>
          <w:sz w:val="24"/>
          <w:szCs w:val="24"/>
        </w:rPr>
        <w:t>1</w:t>
      </w:r>
      <w:r w:rsidRPr="006B2A2C">
        <w:rPr>
          <w:b/>
          <w:sz w:val="24"/>
          <w:szCs w:val="24"/>
        </w:rPr>
        <w:t xml:space="preserve">. </w:t>
      </w:r>
      <w:r>
        <w:rPr>
          <w:b/>
          <w:sz w:val="24"/>
          <w:szCs w:val="24"/>
        </w:rPr>
        <w:t>Potražnja za imovinom i v</w:t>
      </w:r>
      <w:r w:rsidRPr="006B2A2C">
        <w:rPr>
          <w:b/>
          <w:sz w:val="24"/>
          <w:szCs w:val="24"/>
        </w:rPr>
        <w:t>remenska vrijednost novca</w:t>
      </w:r>
    </w:p>
    <w:p w:rsidR="00DE2F92" w:rsidRPr="00845C23" w:rsidRDefault="00DE2F92" w:rsidP="00DE2F92">
      <w:pPr>
        <w:tabs>
          <w:tab w:val="left" w:pos="426"/>
        </w:tabs>
        <w:spacing w:before="120" w:after="120" w:line="240" w:lineRule="auto"/>
        <w:ind w:left="426"/>
        <w:jc w:val="both"/>
        <w:rPr>
          <w:b/>
          <w:noProof/>
          <w:sz w:val="24"/>
          <w:szCs w:val="24"/>
        </w:rPr>
      </w:pPr>
      <w:r w:rsidRPr="00845C23">
        <w:rPr>
          <w:b/>
          <w:noProof/>
          <w:sz w:val="24"/>
          <w:szCs w:val="24"/>
        </w:rPr>
        <w:t>3.1</w:t>
      </w:r>
      <w:r>
        <w:rPr>
          <w:b/>
          <w:noProof/>
          <w:sz w:val="24"/>
          <w:szCs w:val="24"/>
        </w:rPr>
        <w:t>2</w:t>
      </w:r>
      <w:r w:rsidRPr="00845C23">
        <w:rPr>
          <w:b/>
          <w:noProof/>
          <w:sz w:val="24"/>
          <w:szCs w:val="24"/>
        </w:rPr>
        <w:t>. Jednostavni kamatni račun</w:t>
      </w:r>
    </w:p>
    <w:p w:rsidR="00DE2F92" w:rsidRDefault="00DE2F92" w:rsidP="00DE2F92">
      <w:pPr>
        <w:tabs>
          <w:tab w:val="left" w:pos="426"/>
        </w:tabs>
        <w:spacing w:before="120" w:after="120" w:line="240" w:lineRule="auto"/>
        <w:ind w:left="426"/>
        <w:rPr>
          <w:rFonts w:cs="Times New Roman"/>
          <w:b/>
          <w:sz w:val="24"/>
          <w:szCs w:val="24"/>
        </w:rPr>
      </w:pPr>
      <w:r w:rsidRPr="00A02AD5">
        <w:rPr>
          <w:rFonts w:cs="Times New Roman"/>
          <w:b/>
          <w:sz w:val="24"/>
          <w:szCs w:val="24"/>
        </w:rPr>
        <w:t>3.1</w:t>
      </w:r>
      <w:r>
        <w:rPr>
          <w:rFonts w:cs="Times New Roman"/>
          <w:b/>
          <w:sz w:val="24"/>
          <w:szCs w:val="24"/>
        </w:rPr>
        <w:t>3</w:t>
      </w:r>
      <w:r w:rsidRPr="00A02AD5">
        <w:rPr>
          <w:rFonts w:cs="Times New Roman"/>
          <w:b/>
          <w:sz w:val="24"/>
          <w:szCs w:val="24"/>
        </w:rPr>
        <w:t xml:space="preserve">. Štedni proizvodi banaka </w:t>
      </w:r>
    </w:p>
    <w:p w:rsidR="00DE2F92" w:rsidRPr="00B94C5C" w:rsidRDefault="00DE2F92" w:rsidP="00DE2F92">
      <w:pPr>
        <w:pStyle w:val="Default"/>
        <w:tabs>
          <w:tab w:val="left" w:pos="426"/>
        </w:tabs>
        <w:spacing w:before="120" w:after="120"/>
        <w:ind w:left="426"/>
        <w:jc w:val="both"/>
        <w:rPr>
          <w:rFonts w:asciiTheme="minorHAnsi" w:hAnsiTheme="minorHAnsi" w:cs="Times New Roman"/>
          <w:b/>
        </w:rPr>
      </w:pPr>
      <w:r w:rsidRPr="00B94C5C">
        <w:rPr>
          <w:rFonts w:asciiTheme="minorHAnsi" w:hAnsiTheme="minorHAnsi" w:cs="Times New Roman"/>
          <w:b/>
        </w:rPr>
        <w:t>3.1</w:t>
      </w:r>
      <w:r>
        <w:rPr>
          <w:rFonts w:asciiTheme="minorHAnsi" w:hAnsiTheme="minorHAnsi" w:cs="Times New Roman"/>
          <w:b/>
        </w:rPr>
        <w:t>4</w:t>
      </w:r>
      <w:r w:rsidRPr="00B94C5C">
        <w:rPr>
          <w:rFonts w:asciiTheme="minorHAnsi" w:hAnsiTheme="minorHAnsi" w:cs="Times New Roman"/>
          <w:b/>
        </w:rPr>
        <w:t>. Složeni kamatni račun na primjeru oročenja depozita</w:t>
      </w:r>
      <w:r>
        <w:rPr>
          <w:rFonts w:asciiTheme="minorHAnsi" w:hAnsiTheme="minorHAnsi" w:cs="Times New Roman"/>
          <w:b/>
        </w:rPr>
        <w:t xml:space="preserve"> u banci</w:t>
      </w:r>
    </w:p>
    <w:p w:rsidR="00DE2F92" w:rsidRDefault="00DE2F92" w:rsidP="00DE2F92">
      <w:pPr>
        <w:tabs>
          <w:tab w:val="left" w:pos="426"/>
        </w:tabs>
        <w:spacing w:before="120" w:after="120" w:line="240" w:lineRule="auto"/>
        <w:ind w:left="426"/>
        <w:rPr>
          <w:rFonts w:cs="Times New Roman"/>
          <w:b/>
          <w:sz w:val="24"/>
          <w:szCs w:val="24"/>
        </w:rPr>
      </w:pPr>
      <w:r w:rsidRPr="00A95D4F">
        <w:rPr>
          <w:rFonts w:cs="Times New Roman"/>
          <w:b/>
          <w:sz w:val="24"/>
          <w:szCs w:val="24"/>
        </w:rPr>
        <w:t>3.1</w:t>
      </w:r>
      <w:r>
        <w:rPr>
          <w:rFonts w:cs="Times New Roman"/>
          <w:b/>
          <w:sz w:val="24"/>
          <w:szCs w:val="24"/>
        </w:rPr>
        <w:t>5</w:t>
      </w:r>
      <w:r w:rsidRPr="00A95D4F">
        <w:rPr>
          <w:rFonts w:cs="Times New Roman"/>
          <w:b/>
          <w:sz w:val="24"/>
          <w:szCs w:val="24"/>
        </w:rPr>
        <w:t>. Stambena štednja</w:t>
      </w:r>
    </w:p>
    <w:p w:rsidR="00DE2F92" w:rsidRPr="003B1C88" w:rsidRDefault="00DE2F92" w:rsidP="00DE2F92">
      <w:pPr>
        <w:tabs>
          <w:tab w:val="left" w:pos="426"/>
          <w:tab w:val="left" w:pos="1575"/>
        </w:tabs>
        <w:spacing w:before="120" w:after="120" w:line="240" w:lineRule="auto"/>
        <w:ind w:left="426"/>
        <w:rPr>
          <w:rFonts w:cs="Times New Roman"/>
          <w:b/>
          <w:iCs/>
          <w:sz w:val="24"/>
          <w:szCs w:val="24"/>
        </w:rPr>
      </w:pPr>
      <w:r w:rsidRPr="003B1C88">
        <w:rPr>
          <w:rFonts w:cs="Times New Roman"/>
          <w:b/>
          <w:iCs/>
          <w:sz w:val="24"/>
          <w:szCs w:val="24"/>
        </w:rPr>
        <w:t>3.1</w:t>
      </w:r>
      <w:r>
        <w:rPr>
          <w:rFonts w:cs="Times New Roman"/>
          <w:b/>
          <w:iCs/>
          <w:sz w:val="24"/>
          <w:szCs w:val="24"/>
        </w:rPr>
        <w:t>6</w:t>
      </w:r>
      <w:r w:rsidRPr="003B1C88">
        <w:rPr>
          <w:rFonts w:cs="Times New Roman"/>
          <w:b/>
          <w:iCs/>
          <w:sz w:val="24"/>
          <w:szCs w:val="24"/>
        </w:rPr>
        <w:t>. Anticipativni način obračuna kamata</w:t>
      </w:r>
      <w:r>
        <w:rPr>
          <w:rFonts w:cs="Times New Roman"/>
          <w:b/>
          <w:iCs/>
          <w:sz w:val="24"/>
          <w:szCs w:val="24"/>
        </w:rPr>
        <w:t xml:space="preserve"> u slučaju oročene štednje</w:t>
      </w:r>
    </w:p>
    <w:p w:rsidR="00DE2F92" w:rsidRPr="008C61A9" w:rsidRDefault="00DE2F92" w:rsidP="00DE2F92">
      <w:pPr>
        <w:tabs>
          <w:tab w:val="left" w:pos="1575"/>
        </w:tabs>
        <w:spacing w:before="120" w:after="120" w:line="240" w:lineRule="auto"/>
        <w:rPr>
          <w:rFonts w:cs="Times New Roman"/>
          <w:b/>
          <w:iCs/>
          <w:sz w:val="24"/>
          <w:szCs w:val="24"/>
        </w:rPr>
      </w:pPr>
      <w:r w:rsidRPr="008C61A9">
        <w:rPr>
          <w:rFonts w:cs="Times New Roman"/>
          <w:b/>
          <w:iCs/>
          <w:sz w:val="24"/>
          <w:szCs w:val="24"/>
        </w:rPr>
        <w:t>4. DONOŠENJE ODLUKA O KUPOVINI</w:t>
      </w:r>
      <w:r>
        <w:rPr>
          <w:rFonts w:cs="Times New Roman"/>
          <w:b/>
          <w:iCs/>
          <w:sz w:val="24"/>
          <w:szCs w:val="24"/>
        </w:rPr>
        <w:t>, NAČINU PLAĆANJA</w:t>
      </w:r>
      <w:r w:rsidRPr="008C61A9">
        <w:rPr>
          <w:rFonts w:cs="Times New Roman"/>
          <w:b/>
          <w:iCs/>
          <w:sz w:val="24"/>
          <w:szCs w:val="24"/>
        </w:rPr>
        <w:t xml:space="preserve"> I ZADUŽIVANJU</w:t>
      </w:r>
    </w:p>
    <w:p w:rsidR="00DE2F92" w:rsidRPr="003174AA" w:rsidRDefault="00DE2F92" w:rsidP="00DE2F92">
      <w:pPr>
        <w:widowControl w:val="0"/>
        <w:overflowPunct w:val="0"/>
        <w:autoSpaceDE w:val="0"/>
        <w:autoSpaceDN w:val="0"/>
        <w:adjustRightInd w:val="0"/>
        <w:spacing w:before="120" w:after="120" w:line="240" w:lineRule="auto"/>
        <w:ind w:left="426"/>
        <w:jc w:val="both"/>
        <w:rPr>
          <w:rFonts w:cs="Times New Roman"/>
          <w:b/>
          <w:iCs/>
          <w:sz w:val="24"/>
          <w:szCs w:val="24"/>
        </w:rPr>
      </w:pPr>
      <w:r w:rsidRPr="003174AA">
        <w:rPr>
          <w:rFonts w:cs="Times New Roman"/>
          <w:b/>
          <w:iCs/>
          <w:sz w:val="24"/>
          <w:szCs w:val="24"/>
        </w:rPr>
        <w:t>4.1. Planiranje kupovine potrošnih dobara i trajnih dobara</w:t>
      </w:r>
      <w:r>
        <w:rPr>
          <w:rFonts w:cs="Times New Roman"/>
          <w:b/>
          <w:iCs/>
          <w:sz w:val="24"/>
          <w:szCs w:val="24"/>
        </w:rPr>
        <w:t xml:space="preserve"> – izbjegavanje stihijske i emotivne kupnje</w:t>
      </w:r>
    </w:p>
    <w:p w:rsidR="00DE2F92" w:rsidRPr="009D6D32" w:rsidRDefault="00DE2F92" w:rsidP="00DE2F92">
      <w:pPr>
        <w:widowControl w:val="0"/>
        <w:overflowPunct w:val="0"/>
        <w:autoSpaceDE w:val="0"/>
        <w:autoSpaceDN w:val="0"/>
        <w:adjustRightInd w:val="0"/>
        <w:spacing w:before="120" w:after="120" w:line="240" w:lineRule="auto"/>
        <w:ind w:left="426"/>
        <w:jc w:val="both"/>
        <w:rPr>
          <w:b/>
          <w:bCs/>
          <w:sz w:val="24"/>
          <w:szCs w:val="24"/>
        </w:rPr>
      </w:pPr>
      <w:r w:rsidRPr="009D6D32">
        <w:rPr>
          <w:b/>
          <w:bCs/>
          <w:sz w:val="24"/>
          <w:szCs w:val="24"/>
        </w:rPr>
        <w:t>4.2. Odabir metoda plaćanja</w:t>
      </w:r>
      <w:r>
        <w:rPr>
          <w:b/>
          <w:bCs/>
          <w:sz w:val="24"/>
          <w:szCs w:val="24"/>
        </w:rPr>
        <w:t xml:space="preserve"> i korištenje bezgotovinskih platnih instrumenata</w:t>
      </w:r>
    </w:p>
    <w:p w:rsidR="00DE2F92" w:rsidRPr="001205BE" w:rsidRDefault="00DE2F92" w:rsidP="00DE2F92">
      <w:pPr>
        <w:widowControl w:val="0"/>
        <w:tabs>
          <w:tab w:val="left" w:pos="851"/>
        </w:tabs>
        <w:overflowPunct w:val="0"/>
        <w:autoSpaceDE w:val="0"/>
        <w:autoSpaceDN w:val="0"/>
        <w:adjustRightInd w:val="0"/>
        <w:spacing w:before="120" w:after="120" w:line="240" w:lineRule="auto"/>
        <w:ind w:left="993"/>
        <w:jc w:val="both"/>
        <w:rPr>
          <w:b/>
          <w:bCs/>
          <w:sz w:val="24"/>
          <w:szCs w:val="24"/>
        </w:rPr>
      </w:pPr>
      <w:r w:rsidRPr="001205BE">
        <w:rPr>
          <w:b/>
          <w:bCs/>
          <w:sz w:val="24"/>
          <w:szCs w:val="24"/>
        </w:rPr>
        <w:t>4.2.1. Tekući i žiro računi građana – korištenje debitnih platnih kartica</w:t>
      </w:r>
    </w:p>
    <w:p w:rsidR="00DE2F92" w:rsidRPr="001205BE" w:rsidRDefault="00DE2F92" w:rsidP="00DE2F92">
      <w:pPr>
        <w:widowControl w:val="0"/>
        <w:tabs>
          <w:tab w:val="left" w:pos="851"/>
        </w:tabs>
        <w:overflowPunct w:val="0"/>
        <w:autoSpaceDE w:val="0"/>
        <w:autoSpaceDN w:val="0"/>
        <w:adjustRightInd w:val="0"/>
        <w:spacing w:before="120" w:after="120" w:line="240" w:lineRule="auto"/>
        <w:ind w:left="993"/>
        <w:jc w:val="both"/>
        <w:rPr>
          <w:b/>
          <w:bCs/>
          <w:sz w:val="24"/>
          <w:szCs w:val="24"/>
        </w:rPr>
      </w:pPr>
      <w:r w:rsidRPr="001205BE">
        <w:rPr>
          <w:b/>
          <w:bCs/>
          <w:sz w:val="24"/>
          <w:szCs w:val="24"/>
        </w:rPr>
        <w:t>4.2.</w:t>
      </w:r>
      <w:r>
        <w:rPr>
          <w:b/>
          <w:bCs/>
          <w:sz w:val="24"/>
          <w:szCs w:val="24"/>
        </w:rPr>
        <w:t>2. Prepaid platne kartice</w:t>
      </w:r>
    </w:p>
    <w:p w:rsidR="00DE2F92" w:rsidRPr="001205BE" w:rsidRDefault="00DE2F92" w:rsidP="00DE2F92">
      <w:pPr>
        <w:widowControl w:val="0"/>
        <w:tabs>
          <w:tab w:val="left" w:pos="851"/>
        </w:tabs>
        <w:overflowPunct w:val="0"/>
        <w:autoSpaceDE w:val="0"/>
        <w:autoSpaceDN w:val="0"/>
        <w:adjustRightInd w:val="0"/>
        <w:spacing w:before="120" w:after="120" w:line="240" w:lineRule="auto"/>
        <w:ind w:left="993"/>
        <w:jc w:val="both"/>
        <w:rPr>
          <w:b/>
          <w:bCs/>
          <w:sz w:val="24"/>
          <w:szCs w:val="24"/>
        </w:rPr>
      </w:pPr>
      <w:r w:rsidRPr="001205BE">
        <w:rPr>
          <w:b/>
          <w:bCs/>
          <w:sz w:val="24"/>
          <w:szCs w:val="24"/>
        </w:rPr>
        <w:t>4.2.</w:t>
      </w:r>
      <w:r>
        <w:rPr>
          <w:b/>
          <w:bCs/>
          <w:sz w:val="24"/>
          <w:szCs w:val="24"/>
        </w:rPr>
        <w:t>3</w:t>
      </w:r>
      <w:r w:rsidRPr="001205BE">
        <w:rPr>
          <w:b/>
          <w:bCs/>
          <w:sz w:val="24"/>
          <w:szCs w:val="24"/>
        </w:rPr>
        <w:t xml:space="preserve">. </w:t>
      </w:r>
      <w:r>
        <w:rPr>
          <w:b/>
          <w:bCs/>
          <w:sz w:val="24"/>
          <w:szCs w:val="24"/>
        </w:rPr>
        <w:t>Kreditne kartice i slični kartični proizvodi</w:t>
      </w:r>
    </w:p>
    <w:p w:rsidR="00DE2F92" w:rsidRPr="00242A48" w:rsidRDefault="00DE2F92" w:rsidP="00DE2F92">
      <w:pPr>
        <w:tabs>
          <w:tab w:val="left" w:pos="851"/>
        </w:tabs>
        <w:autoSpaceDE w:val="0"/>
        <w:autoSpaceDN w:val="0"/>
        <w:adjustRightInd w:val="0"/>
        <w:spacing w:before="120" w:after="120" w:line="240" w:lineRule="auto"/>
        <w:ind w:left="993"/>
        <w:jc w:val="both"/>
        <w:rPr>
          <w:b/>
          <w:sz w:val="24"/>
          <w:szCs w:val="24"/>
        </w:rPr>
      </w:pPr>
      <w:r w:rsidRPr="003E5E99">
        <w:rPr>
          <w:b/>
          <w:sz w:val="24"/>
          <w:szCs w:val="24"/>
        </w:rPr>
        <w:t>4.2.4. Savjeti za odgovorno korištenje kreditnih kartica</w:t>
      </w:r>
      <w:r>
        <w:rPr>
          <w:b/>
          <w:sz w:val="24"/>
          <w:szCs w:val="24"/>
        </w:rPr>
        <w:t xml:space="preserve"> i debitnih kartica</w:t>
      </w:r>
    </w:p>
    <w:p w:rsidR="00DE2F92" w:rsidRDefault="00DE2F92" w:rsidP="00DE2F92">
      <w:pPr>
        <w:autoSpaceDE w:val="0"/>
        <w:autoSpaceDN w:val="0"/>
        <w:adjustRightInd w:val="0"/>
        <w:spacing w:before="120" w:after="120" w:line="240" w:lineRule="auto"/>
        <w:ind w:left="426"/>
        <w:jc w:val="both"/>
        <w:rPr>
          <w:b/>
          <w:sz w:val="24"/>
          <w:szCs w:val="24"/>
        </w:rPr>
      </w:pPr>
      <w:r w:rsidRPr="00711733">
        <w:rPr>
          <w:b/>
          <w:sz w:val="24"/>
          <w:szCs w:val="24"/>
        </w:rPr>
        <w:t xml:space="preserve">4.3. </w:t>
      </w:r>
      <w:r>
        <w:rPr>
          <w:b/>
          <w:sz w:val="24"/>
          <w:szCs w:val="24"/>
        </w:rPr>
        <w:t>Odabrani kreditni poslovi banaka</w:t>
      </w:r>
    </w:p>
    <w:p w:rsidR="00DE2F92" w:rsidRPr="009B5F9E" w:rsidRDefault="00DE2F92" w:rsidP="00DE2F92">
      <w:pPr>
        <w:spacing w:before="120" w:after="120" w:line="240" w:lineRule="auto"/>
        <w:ind w:left="426"/>
        <w:jc w:val="both"/>
        <w:rPr>
          <w:b/>
          <w:sz w:val="24"/>
          <w:szCs w:val="24"/>
        </w:rPr>
      </w:pPr>
      <w:r w:rsidRPr="009B5F9E">
        <w:rPr>
          <w:b/>
          <w:sz w:val="24"/>
          <w:szCs w:val="24"/>
        </w:rPr>
        <w:t xml:space="preserve">4.4. </w:t>
      </w:r>
      <w:r>
        <w:rPr>
          <w:b/>
          <w:sz w:val="24"/>
          <w:szCs w:val="24"/>
        </w:rPr>
        <w:t>P</w:t>
      </w:r>
      <w:r w:rsidRPr="009B5F9E">
        <w:rPr>
          <w:b/>
          <w:sz w:val="24"/>
          <w:szCs w:val="24"/>
        </w:rPr>
        <w:t xml:space="preserve">rimjer kupovine osobnog vozila i </w:t>
      </w:r>
      <w:r>
        <w:rPr>
          <w:b/>
          <w:sz w:val="24"/>
          <w:szCs w:val="24"/>
        </w:rPr>
        <w:t xml:space="preserve">alternativnih izvora </w:t>
      </w:r>
      <w:r w:rsidRPr="009B5F9E">
        <w:rPr>
          <w:b/>
          <w:sz w:val="24"/>
          <w:szCs w:val="24"/>
        </w:rPr>
        <w:t xml:space="preserve">financiranja </w:t>
      </w:r>
    </w:p>
    <w:p w:rsidR="00DE2F92" w:rsidRPr="00FF7DAF" w:rsidRDefault="00DE2F92" w:rsidP="00DE2F92">
      <w:pPr>
        <w:autoSpaceDE w:val="0"/>
        <w:autoSpaceDN w:val="0"/>
        <w:adjustRightInd w:val="0"/>
        <w:spacing w:before="120" w:after="120" w:line="240" w:lineRule="auto"/>
        <w:ind w:left="426"/>
        <w:jc w:val="both"/>
        <w:rPr>
          <w:b/>
          <w:sz w:val="24"/>
          <w:szCs w:val="24"/>
        </w:rPr>
      </w:pPr>
      <w:r w:rsidRPr="00FF7DAF">
        <w:rPr>
          <w:b/>
          <w:sz w:val="24"/>
          <w:szCs w:val="24"/>
        </w:rPr>
        <w:t>4.5. Stambeni i hipotekarni krediti</w:t>
      </w:r>
    </w:p>
    <w:p w:rsidR="00DE2F92" w:rsidRDefault="00DE2F92" w:rsidP="00DE2F92">
      <w:pPr>
        <w:autoSpaceDE w:val="0"/>
        <w:autoSpaceDN w:val="0"/>
        <w:adjustRightInd w:val="0"/>
        <w:spacing w:before="120" w:after="120" w:line="240" w:lineRule="auto"/>
        <w:ind w:left="426"/>
        <w:jc w:val="both"/>
        <w:rPr>
          <w:b/>
          <w:sz w:val="24"/>
          <w:szCs w:val="24"/>
        </w:rPr>
      </w:pPr>
      <w:r>
        <w:rPr>
          <w:b/>
          <w:sz w:val="24"/>
          <w:szCs w:val="24"/>
        </w:rPr>
        <w:t>4.6. Amortizacija kredita kroz periodičke otplate</w:t>
      </w:r>
    </w:p>
    <w:p w:rsidR="00DE2F92" w:rsidRPr="00CA4B38" w:rsidRDefault="00DE2F92" w:rsidP="00DE2F92">
      <w:pPr>
        <w:autoSpaceDE w:val="0"/>
        <w:autoSpaceDN w:val="0"/>
        <w:adjustRightInd w:val="0"/>
        <w:spacing w:before="120" w:after="120" w:line="240" w:lineRule="auto"/>
        <w:ind w:left="426"/>
        <w:jc w:val="both"/>
        <w:rPr>
          <w:b/>
          <w:sz w:val="24"/>
          <w:szCs w:val="24"/>
        </w:rPr>
      </w:pPr>
      <w:r w:rsidRPr="00CA4B38">
        <w:rPr>
          <w:b/>
          <w:sz w:val="24"/>
          <w:szCs w:val="24"/>
        </w:rPr>
        <w:t>4.</w:t>
      </w:r>
      <w:r>
        <w:rPr>
          <w:b/>
          <w:sz w:val="24"/>
          <w:szCs w:val="24"/>
        </w:rPr>
        <w:t>7</w:t>
      </w:r>
      <w:r w:rsidRPr="00CA4B38">
        <w:rPr>
          <w:b/>
          <w:sz w:val="24"/>
          <w:szCs w:val="24"/>
        </w:rPr>
        <w:t>. Ocjena kreditne sposobnosti</w:t>
      </w:r>
    </w:p>
    <w:p w:rsidR="00DE2F92" w:rsidRPr="00806F24" w:rsidRDefault="00DE2F92" w:rsidP="00DE2F92">
      <w:pPr>
        <w:autoSpaceDE w:val="0"/>
        <w:autoSpaceDN w:val="0"/>
        <w:adjustRightInd w:val="0"/>
        <w:spacing w:before="120" w:after="120" w:line="240" w:lineRule="auto"/>
        <w:ind w:left="426"/>
        <w:jc w:val="both"/>
        <w:rPr>
          <w:rFonts w:cs="Times New Roman"/>
          <w:b/>
          <w:iCs/>
          <w:sz w:val="24"/>
          <w:szCs w:val="24"/>
        </w:rPr>
      </w:pPr>
      <w:r>
        <w:rPr>
          <w:b/>
          <w:sz w:val="24"/>
          <w:szCs w:val="24"/>
        </w:rPr>
        <w:t>4.8</w:t>
      </w:r>
      <w:r w:rsidRPr="00806F24">
        <w:rPr>
          <w:b/>
          <w:sz w:val="24"/>
          <w:szCs w:val="24"/>
        </w:rPr>
        <w:t xml:space="preserve">. </w:t>
      </w:r>
      <w:r w:rsidRPr="00806F24">
        <w:rPr>
          <w:rFonts w:cs="Times New Roman"/>
          <w:b/>
          <w:iCs/>
          <w:sz w:val="24"/>
          <w:szCs w:val="24"/>
        </w:rPr>
        <w:t>Financijska sloboda i odgovorno zaduživanje</w:t>
      </w:r>
    </w:p>
    <w:p w:rsidR="00DE2F92" w:rsidRPr="005E6A29" w:rsidRDefault="00DE2F92" w:rsidP="00DE2F92">
      <w:pPr>
        <w:pStyle w:val="Obinitekst"/>
        <w:spacing w:before="120" w:after="120"/>
        <w:jc w:val="both"/>
        <w:rPr>
          <w:rFonts w:asciiTheme="minorHAnsi" w:eastAsiaTheme="minorHAnsi" w:hAnsiTheme="minorHAnsi" w:cstheme="minorBidi"/>
          <w:b/>
          <w:sz w:val="24"/>
          <w:szCs w:val="24"/>
          <w:lang w:eastAsia="en-US"/>
        </w:rPr>
      </w:pPr>
      <w:r w:rsidRPr="005E6A29">
        <w:rPr>
          <w:rFonts w:asciiTheme="minorHAnsi" w:eastAsiaTheme="minorHAnsi" w:hAnsiTheme="minorHAnsi" w:cstheme="minorBidi"/>
          <w:b/>
          <w:sz w:val="24"/>
          <w:szCs w:val="24"/>
          <w:lang w:eastAsia="en-US"/>
        </w:rPr>
        <w:t>5. OSIGURANJE – ZAŠTITA POJEDINCA I OSOBNE IMOVINE</w:t>
      </w:r>
    </w:p>
    <w:p w:rsidR="00DE2F92" w:rsidRPr="00D27083" w:rsidRDefault="00DE2F92" w:rsidP="00DE2F92">
      <w:pPr>
        <w:pStyle w:val="Obinitekst"/>
        <w:tabs>
          <w:tab w:val="left" w:pos="426"/>
        </w:tabs>
        <w:spacing w:before="120" w:after="120"/>
        <w:ind w:left="426"/>
        <w:jc w:val="both"/>
        <w:rPr>
          <w:rFonts w:asciiTheme="minorHAnsi" w:eastAsiaTheme="minorHAnsi" w:hAnsiTheme="minorHAnsi" w:cstheme="minorBidi"/>
          <w:b/>
          <w:sz w:val="24"/>
          <w:szCs w:val="24"/>
          <w:lang w:eastAsia="en-US"/>
        </w:rPr>
      </w:pPr>
      <w:r w:rsidRPr="00D27083">
        <w:rPr>
          <w:rFonts w:asciiTheme="minorHAnsi" w:eastAsiaTheme="minorHAnsi" w:hAnsiTheme="minorHAnsi" w:cstheme="minorBidi"/>
          <w:b/>
          <w:sz w:val="24"/>
          <w:szCs w:val="24"/>
          <w:lang w:eastAsia="en-US"/>
        </w:rPr>
        <w:t xml:space="preserve">5.1. Vrste osigurljivih rizika i izbor osiguranja </w:t>
      </w:r>
    </w:p>
    <w:p w:rsidR="00DE2F92" w:rsidRPr="005E16CF" w:rsidRDefault="00DE2F92" w:rsidP="00DE2F92">
      <w:pPr>
        <w:tabs>
          <w:tab w:val="left" w:pos="426"/>
        </w:tabs>
        <w:spacing w:before="120" w:after="120" w:line="240" w:lineRule="auto"/>
        <w:ind w:left="426"/>
        <w:jc w:val="both"/>
        <w:rPr>
          <w:b/>
          <w:sz w:val="24"/>
          <w:szCs w:val="24"/>
        </w:rPr>
      </w:pPr>
      <w:r w:rsidRPr="005E16CF">
        <w:rPr>
          <w:b/>
          <w:sz w:val="24"/>
          <w:szCs w:val="24"/>
        </w:rPr>
        <w:t xml:space="preserve">5.2. Čimbenici osiguranja stambenog prostora, automobila i drugih oblika imovine </w:t>
      </w:r>
    </w:p>
    <w:p w:rsidR="00DE2F92" w:rsidRPr="00A2186D" w:rsidRDefault="00DE2F92" w:rsidP="00DE2F92">
      <w:pPr>
        <w:pStyle w:val="StandardWeb"/>
        <w:tabs>
          <w:tab w:val="left" w:pos="426"/>
        </w:tabs>
        <w:spacing w:before="120" w:beforeAutospacing="0" w:after="120" w:afterAutospacing="0"/>
        <w:ind w:left="426"/>
        <w:jc w:val="both"/>
        <w:rPr>
          <w:rFonts w:asciiTheme="minorHAnsi" w:eastAsiaTheme="minorHAnsi" w:hAnsiTheme="minorHAnsi" w:cstheme="minorBidi"/>
          <w:b/>
          <w:lang w:eastAsia="en-US"/>
        </w:rPr>
      </w:pPr>
      <w:r w:rsidRPr="00A2186D">
        <w:rPr>
          <w:rFonts w:asciiTheme="minorHAnsi" w:eastAsiaTheme="minorHAnsi" w:hAnsiTheme="minorHAnsi" w:cstheme="minorBidi"/>
          <w:b/>
          <w:lang w:eastAsia="en-US"/>
        </w:rPr>
        <w:t>5.3. Osiguranje od odgovornosti prema trećim osobama</w:t>
      </w:r>
    </w:p>
    <w:p w:rsidR="00DE2F92" w:rsidRPr="00140528" w:rsidRDefault="00DE2F92" w:rsidP="00DE2F92">
      <w:pPr>
        <w:tabs>
          <w:tab w:val="left" w:pos="426"/>
        </w:tabs>
        <w:spacing w:before="120" w:after="120" w:line="240" w:lineRule="auto"/>
        <w:ind w:left="426"/>
        <w:jc w:val="both"/>
        <w:rPr>
          <w:b/>
          <w:sz w:val="24"/>
          <w:szCs w:val="24"/>
        </w:rPr>
      </w:pPr>
      <w:r w:rsidRPr="00140528">
        <w:rPr>
          <w:b/>
          <w:sz w:val="24"/>
          <w:szCs w:val="24"/>
        </w:rPr>
        <w:t>5.4. Životno osiguranje</w:t>
      </w:r>
    </w:p>
    <w:p w:rsidR="00DE2F92" w:rsidRPr="000A4D98" w:rsidRDefault="00DE2F92" w:rsidP="00DE2F92">
      <w:pPr>
        <w:tabs>
          <w:tab w:val="left" w:pos="426"/>
        </w:tabs>
        <w:spacing w:before="120" w:after="120" w:line="240" w:lineRule="auto"/>
        <w:ind w:left="426"/>
        <w:jc w:val="both"/>
        <w:rPr>
          <w:b/>
          <w:sz w:val="24"/>
          <w:szCs w:val="24"/>
        </w:rPr>
      </w:pPr>
      <w:r w:rsidRPr="000A4D98">
        <w:rPr>
          <w:b/>
          <w:sz w:val="24"/>
          <w:szCs w:val="24"/>
        </w:rPr>
        <w:t>5.</w:t>
      </w:r>
      <w:r>
        <w:rPr>
          <w:b/>
          <w:sz w:val="24"/>
          <w:szCs w:val="24"/>
        </w:rPr>
        <w:t>5</w:t>
      </w:r>
      <w:r w:rsidRPr="000A4D98">
        <w:rPr>
          <w:b/>
          <w:sz w:val="24"/>
          <w:szCs w:val="24"/>
        </w:rPr>
        <w:t>. Zdravstveno osiguranje</w:t>
      </w:r>
    </w:p>
    <w:p w:rsidR="00DE2F92" w:rsidRPr="00B46139" w:rsidRDefault="00DE2F92" w:rsidP="00DE2F92">
      <w:pPr>
        <w:autoSpaceDE w:val="0"/>
        <w:autoSpaceDN w:val="0"/>
        <w:adjustRightInd w:val="0"/>
        <w:spacing w:before="120" w:after="120" w:line="240" w:lineRule="auto"/>
        <w:jc w:val="both"/>
        <w:rPr>
          <w:b/>
          <w:sz w:val="24"/>
          <w:szCs w:val="24"/>
        </w:rPr>
      </w:pPr>
      <w:r>
        <w:rPr>
          <w:b/>
          <w:sz w:val="24"/>
          <w:szCs w:val="24"/>
        </w:rPr>
        <w:t>6</w:t>
      </w:r>
      <w:r w:rsidRPr="00B46139">
        <w:rPr>
          <w:b/>
          <w:sz w:val="24"/>
          <w:szCs w:val="24"/>
        </w:rPr>
        <w:t>. INVESTIRANJE OSOBNIH FINANCIJSKIH SREDSTAVA</w:t>
      </w:r>
    </w:p>
    <w:p w:rsidR="00DE2F92" w:rsidRPr="00B3333D" w:rsidRDefault="00DE2F92" w:rsidP="00DE2F92">
      <w:pPr>
        <w:tabs>
          <w:tab w:val="left" w:pos="426"/>
        </w:tabs>
        <w:autoSpaceDE w:val="0"/>
        <w:autoSpaceDN w:val="0"/>
        <w:adjustRightInd w:val="0"/>
        <w:spacing w:before="120" w:after="120" w:line="240" w:lineRule="auto"/>
        <w:ind w:left="426"/>
        <w:jc w:val="both"/>
        <w:rPr>
          <w:b/>
          <w:sz w:val="24"/>
          <w:szCs w:val="24"/>
        </w:rPr>
      </w:pPr>
      <w:r>
        <w:rPr>
          <w:b/>
          <w:sz w:val="24"/>
          <w:szCs w:val="24"/>
        </w:rPr>
        <w:t xml:space="preserve">6.1. </w:t>
      </w:r>
      <w:r w:rsidRPr="00B3333D">
        <w:rPr>
          <w:b/>
          <w:sz w:val="24"/>
          <w:szCs w:val="24"/>
        </w:rPr>
        <w:t>Vrste financijskih instrumenata i tržišta</w:t>
      </w:r>
    </w:p>
    <w:p w:rsidR="00DE2F92" w:rsidRPr="004B7B62" w:rsidRDefault="00DE2F92" w:rsidP="00DE2F92">
      <w:pPr>
        <w:tabs>
          <w:tab w:val="left" w:pos="426"/>
        </w:tabs>
        <w:spacing w:before="120" w:after="120" w:line="240" w:lineRule="auto"/>
        <w:ind w:left="426"/>
        <w:rPr>
          <w:b/>
          <w:sz w:val="24"/>
          <w:szCs w:val="24"/>
        </w:rPr>
      </w:pPr>
      <w:r>
        <w:rPr>
          <w:b/>
          <w:sz w:val="24"/>
          <w:szCs w:val="24"/>
        </w:rPr>
        <w:t>6</w:t>
      </w:r>
      <w:r w:rsidRPr="004B7B62">
        <w:rPr>
          <w:b/>
          <w:sz w:val="24"/>
          <w:szCs w:val="24"/>
        </w:rPr>
        <w:t>.</w:t>
      </w:r>
      <w:r>
        <w:rPr>
          <w:b/>
          <w:sz w:val="24"/>
          <w:szCs w:val="24"/>
        </w:rPr>
        <w:t>2</w:t>
      </w:r>
      <w:r w:rsidRPr="004B7B62">
        <w:rPr>
          <w:b/>
          <w:sz w:val="24"/>
          <w:szCs w:val="24"/>
        </w:rPr>
        <w:t>. Alternative štednje i ulaganja – osvrt na otvorene investicijske fondove s javnom ponudom</w:t>
      </w:r>
    </w:p>
    <w:p w:rsidR="00DE2F92" w:rsidRPr="00EB0967" w:rsidRDefault="00DE2F92" w:rsidP="00DE2F92">
      <w:pPr>
        <w:tabs>
          <w:tab w:val="left" w:pos="426"/>
        </w:tabs>
        <w:spacing w:before="120" w:after="120" w:line="240" w:lineRule="auto"/>
        <w:ind w:left="426"/>
        <w:jc w:val="both"/>
        <w:rPr>
          <w:b/>
          <w:sz w:val="24"/>
          <w:szCs w:val="24"/>
        </w:rPr>
      </w:pPr>
      <w:r>
        <w:rPr>
          <w:b/>
          <w:sz w:val="24"/>
          <w:szCs w:val="24"/>
        </w:rPr>
        <w:lastRenderedPageBreak/>
        <w:t xml:space="preserve">6.3. Statistika </w:t>
      </w:r>
      <w:r w:rsidRPr="00EB0967">
        <w:rPr>
          <w:b/>
          <w:sz w:val="24"/>
          <w:szCs w:val="24"/>
        </w:rPr>
        <w:t>inve</w:t>
      </w:r>
      <w:r>
        <w:rPr>
          <w:b/>
          <w:sz w:val="24"/>
          <w:szCs w:val="24"/>
        </w:rPr>
        <w:t xml:space="preserve">sticijskih fondova u Hrvatskoj uz osvrt na </w:t>
      </w:r>
      <w:r w:rsidRPr="00EB0967">
        <w:rPr>
          <w:b/>
          <w:sz w:val="24"/>
          <w:szCs w:val="24"/>
        </w:rPr>
        <w:t>alternativn</w:t>
      </w:r>
      <w:r>
        <w:rPr>
          <w:b/>
          <w:sz w:val="24"/>
          <w:szCs w:val="24"/>
        </w:rPr>
        <w:t>e</w:t>
      </w:r>
      <w:r w:rsidRPr="00EB0967">
        <w:rPr>
          <w:b/>
          <w:sz w:val="24"/>
          <w:szCs w:val="24"/>
        </w:rPr>
        <w:t xml:space="preserve"> investicijsk</w:t>
      </w:r>
      <w:r>
        <w:rPr>
          <w:b/>
          <w:sz w:val="24"/>
          <w:szCs w:val="24"/>
        </w:rPr>
        <w:t>e</w:t>
      </w:r>
      <w:r w:rsidRPr="00EB0967">
        <w:rPr>
          <w:b/>
          <w:sz w:val="24"/>
          <w:szCs w:val="24"/>
        </w:rPr>
        <w:t xml:space="preserve"> fondov</w:t>
      </w:r>
      <w:r>
        <w:rPr>
          <w:b/>
          <w:sz w:val="24"/>
          <w:szCs w:val="24"/>
        </w:rPr>
        <w:t>e</w:t>
      </w:r>
      <w:r w:rsidRPr="00EB0967">
        <w:rPr>
          <w:b/>
          <w:sz w:val="24"/>
          <w:szCs w:val="24"/>
        </w:rPr>
        <w:t xml:space="preserve"> </w:t>
      </w:r>
    </w:p>
    <w:p w:rsidR="00DE2F92" w:rsidRDefault="00DE2F92" w:rsidP="00DE2F92">
      <w:pPr>
        <w:tabs>
          <w:tab w:val="left" w:pos="426"/>
        </w:tabs>
        <w:spacing w:before="120" w:after="120" w:line="240" w:lineRule="auto"/>
        <w:ind w:left="426"/>
        <w:jc w:val="both"/>
        <w:rPr>
          <w:b/>
          <w:sz w:val="24"/>
          <w:szCs w:val="24"/>
        </w:rPr>
      </w:pPr>
      <w:r>
        <w:rPr>
          <w:b/>
          <w:sz w:val="24"/>
          <w:szCs w:val="24"/>
        </w:rPr>
        <w:t>6</w:t>
      </w:r>
      <w:r w:rsidRPr="00B46139">
        <w:rPr>
          <w:b/>
          <w:sz w:val="24"/>
          <w:szCs w:val="24"/>
        </w:rPr>
        <w:t>.</w:t>
      </w:r>
      <w:r>
        <w:rPr>
          <w:b/>
          <w:sz w:val="24"/>
          <w:szCs w:val="24"/>
        </w:rPr>
        <w:t>4</w:t>
      </w:r>
      <w:r w:rsidRPr="00B46139">
        <w:rPr>
          <w:b/>
          <w:sz w:val="24"/>
          <w:szCs w:val="24"/>
        </w:rPr>
        <w:t>. Postavljanje ciljeva ulaganja i tipovi ulagača</w:t>
      </w:r>
    </w:p>
    <w:p w:rsidR="00DE2F92" w:rsidRPr="002C0DBB" w:rsidRDefault="00DE2F92" w:rsidP="00DE2F92">
      <w:pPr>
        <w:tabs>
          <w:tab w:val="left" w:pos="426"/>
        </w:tabs>
        <w:autoSpaceDE w:val="0"/>
        <w:autoSpaceDN w:val="0"/>
        <w:adjustRightInd w:val="0"/>
        <w:spacing w:before="120" w:after="120" w:line="240" w:lineRule="auto"/>
        <w:ind w:left="426"/>
        <w:jc w:val="both"/>
        <w:rPr>
          <w:b/>
          <w:sz w:val="24"/>
          <w:szCs w:val="24"/>
        </w:rPr>
      </w:pPr>
      <w:r>
        <w:rPr>
          <w:b/>
          <w:sz w:val="24"/>
          <w:szCs w:val="24"/>
        </w:rPr>
        <w:t>6</w:t>
      </w:r>
      <w:r w:rsidRPr="002C0DBB">
        <w:rPr>
          <w:b/>
          <w:sz w:val="24"/>
          <w:szCs w:val="24"/>
        </w:rPr>
        <w:t>.</w:t>
      </w:r>
      <w:r>
        <w:rPr>
          <w:b/>
          <w:sz w:val="24"/>
          <w:szCs w:val="24"/>
        </w:rPr>
        <w:t>5</w:t>
      </w:r>
      <w:r w:rsidRPr="002C0DBB">
        <w:rPr>
          <w:b/>
          <w:sz w:val="24"/>
          <w:szCs w:val="24"/>
        </w:rPr>
        <w:t>. Ulaganje u dionice</w:t>
      </w:r>
      <w:r>
        <w:rPr>
          <w:b/>
          <w:sz w:val="24"/>
          <w:szCs w:val="24"/>
        </w:rPr>
        <w:t xml:space="preserve"> </w:t>
      </w:r>
    </w:p>
    <w:p w:rsidR="00DE2F92" w:rsidRPr="002C0DBB" w:rsidRDefault="00DE2F92" w:rsidP="00DE2F92">
      <w:pPr>
        <w:tabs>
          <w:tab w:val="left" w:pos="426"/>
        </w:tabs>
        <w:autoSpaceDE w:val="0"/>
        <w:autoSpaceDN w:val="0"/>
        <w:adjustRightInd w:val="0"/>
        <w:spacing w:before="120" w:after="120" w:line="240" w:lineRule="auto"/>
        <w:ind w:left="426"/>
        <w:jc w:val="both"/>
        <w:rPr>
          <w:b/>
          <w:sz w:val="24"/>
          <w:szCs w:val="24"/>
        </w:rPr>
      </w:pPr>
      <w:r>
        <w:rPr>
          <w:b/>
          <w:sz w:val="24"/>
          <w:szCs w:val="24"/>
        </w:rPr>
        <w:t>6</w:t>
      </w:r>
      <w:r w:rsidRPr="002C0DBB">
        <w:rPr>
          <w:b/>
          <w:sz w:val="24"/>
          <w:szCs w:val="24"/>
        </w:rPr>
        <w:t>.</w:t>
      </w:r>
      <w:r>
        <w:rPr>
          <w:b/>
          <w:sz w:val="24"/>
          <w:szCs w:val="24"/>
        </w:rPr>
        <w:t>6</w:t>
      </w:r>
      <w:r w:rsidRPr="002C0DBB">
        <w:rPr>
          <w:b/>
          <w:sz w:val="24"/>
          <w:szCs w:val="24"/>
        </w:rPr>
        <w:t xml:space="preserve">. </w:t>
      </w:r>
      <w:r>
        <w:rPr>
          <w:b/>
          <w:sz w:val="24"/>
          <w:szCs w:val="24"/>
        </w:rPr>
        <w:t xml:space="preserve">Informacijsko-arbitražna efikasnost i mogućnosti predviđanja cijena dionica </w:t>
      </w:r>
    </w:p>
    <w:p w:rsidR="00DE2F92" w:rsidRDefault="00DE2F92" w:rsidP="00DE2F92">
      <w:pPr>
        <w:tabs>
          <w:tab w:val="left" w:pos="426"/>
        </w:tabs>
        <w:autoSpaceDE w:val="0"/>
        <w:autoSpaceDN w:val="0"/>
        <w:adjustRightInd w:val="0"/>
        <w:spacing w:before="120" w:after="120" w:line="240" w:lineRule="auto"/>
        <w:ind w:left="426"/>
        <w:jc w:val="both"/>
        <w:rPr>
          <w:b/>
          <w:sz w:val="24"/>
          <w:szCs w:val="24"/>
        </w:rPr>
      </w:pPr>
      <w:r w:rsidRPr="00CA222E">
        <w:rPr>
          <w:b/>
          <w:sz w:val="24"/>
          <w:szCs w:val="24"/>
        </w:rPr>
        <w:t xml:space="preserve">6.7. </w:t>
      </w:r>
      <w:r>
        <w:rPr>
          <w:b/>
          <w:sz w:val="24"/>
          <w:szCs w:val="24"/>
        </w:rPr>
        <w:t>U</w:t>
      </w:r>
      <w:r w:rsidRPr="00CA222E">
        <w:rPr>
          <w:b/>
          <w:sz w:val="24"/>
          <w:szCs w:val="24"/>
        </w:rPr>
        <w:t>laganje u obveznice</w:t>
      </w:r>
    </w:p>
    <w:p w:rsidR="00DE2F92" w:rsidRDefault="00DE2F92" w:rsidP="00DE2F92">
      <w:pPr>
        <w:autoSpaceDE w:val="0"/>
        <w:autoSpaceDN w:val="0"/>
        <w:adjustRightInd w:val="0"/>
        <w:spacing w:before="120" w:after="120" w:line="240" w:lineRule="auto"/>
        <w:jc w:val="both"/>
        <w:rPr>
          <w:b/>
          <w:bCs/>
          <w:sz w:val="24"/>
          <w:szCs w:val="24"/>
        </w:rPr>
      </w:pPr>
      <w:r>
        <w:rPr>
          <w:b/>
          <w:bCs/>
          <w:sz w:val="24"/>
          <w:szCs w:val="24"/>
        </w:rPr>
        <w:t xml:space="preserve">7. </w:t>
      </w:r>
      <w:r w:rsidRPr="00241CFB">
        <w:rPr>
          <w:b/>
          <w:bCs/>
          <w:sz w:val="24"/>
          <w:szCs w:val="24"/>
        </w:rPr>
        <w:t>MIROVINSKO OSIGURANJE I PLANIRANJE FINANCIJSKE POZICIJE U BUDUĆNOSTI</w:t>
      </w:r>
    </w:p>
    <w:p w:rsidR="00DE2F92" w:rsidRPr="00746B38" w:rsidRDefault="00DE2F92" w:rsidP="00DE2F92">
      <w:pPr>
        <w:pStyle w:val="StandardWeb"/>
        <w:tabs>
          <w:tab w:val="left" w:pos="426"/>
        </w:tabs>
        <w:spacing w:before="120" w:beforeAutospacing="0" w:after="120" w:afterAutospacing="0"/>
        <w:ind w:left="426"/>
        <w:jc w:val="both"/>
        <w:rPr>
          <w:rFonts w:asciiTheme="minorHAnsi" w:eastAsiaTheme="minorHAnsi" w:hAnsiTheme="minorHAnsi" w:cstheme="minorBidi"/>
          <w:b/>
          <w:bCs/>
          <w:lang w:eastAsia="en-US"/>
        </w:rPr>
      </w:pPr>
      <w:r w:rsidRPr="00746B38">
        <w:rPr>
          <w:rFonts w:asciiTheme="minorHAnsi" w:eastAsiaTheme="minorHAnsi" w:hAnsiTheme="minorHAnsi" w:cstheme="minorBidi"/>
          <w:b/>
          <w:bCs/>
          <w:lang w:eastAsia="en-US"/>
        </w:rPr>
        <w:t xml:space="preserve">7.1. Mirovinski sustav osiguranja u </w:t>
      </w:r>
      <w:r>
        <w:rPr>
          <w:rFonts w:asciiTheme="minorHAnsi" w:eastAsiaTheme="minorHAnsi" w:hAnsiTheme="minorHAnsi" w:cstheme="minorBidi"/>
          <w:b/>
          <w:bCs/>
          <w:lang w:eastAsia="en-US"/>
        </w:rPr>
        <w:t>H</w:t>
      </w:r>
      <w:r w:rsidRPr="00746B38">
        <w:rPr>
          <w:rFonts w:asciiTheme="minorHAnsi" w:eastAsiaTheme="minorHAnsi" w:hAnsiTheme="minorHAnsi" w:cstheme="minorBidi"/>
          <w:b/>
          <w:bCs/>
          <w:lang w:eastAsia="en-US"/>
        </w:rPr>
        <w:t>rvatskoj</w:t>
      </w:r>
    </w:p>
    <w:p w:rsidR="00DE2F92" w:rsidRPr="00746B38" w:rsidRDefault="00DE2F92" w:rsidP="00DE2F92">
      <w:pPr>
        <w:tabs>
          <w:tab w:val="left" w:pos="426"/>
        </w:tabs>
        <w:spacing w:before="120" w:after="120" w:line="240" w:lineRule="auto"/>
        <w:ind w:left="426"/>
        <w:jc w:val="both"/>
        <w:rPr>
          <w:b/>
          <w:sz w:val="24"/>
          <w:szCs w:val="24"/>
        </w:rPr>
      </w:pPr>
      <w:r>
        <w:rPr>
          <w:b/>
          <w:sz w:val="24"/>
          <w:szCs w:val="24"/>
        </w:rPr>
        <w:t xml:space="preserve">7.2. </w:t>
      </w:r>
      <w:r w:rsidRPr="00746B38">
        <w:rPr>
          <w:b/>
          <w:sz w:val="24"/>
          <w:szCs w:val="24"/>
        </w:rPr>
        <w:t xml:space="preserve">Drugi stup mirovinskog osiguranja </w:t>
      </w:r>
      <w:r>
        <w:rPr>
          <w:b/>
          <w:sz w:val="24"/>
          <w:szCs w:val="24"/>
        </w:rPr>
        <w:t>i obilježja obveznih mirovinskih fondova</w:t>
      </w:r>
      <w:r w:rsidRPr="00746B38">
        <w:rPr>
          <w:b/>
          <w:sz w:val="24"/>
          <w:szCs w:val="24"/>
        </w:rPr>
        <w:t xml:space="preserve"> </w:t>
      </w:r>
    </w:p>
    <w:p w:rsidR="00DE2F92" w:rsidRPr="00746B38" w:rsidRDefault="00DE2F92" w:rsidP="00DE2F92">
      <w:pPr>
        <w:tabs>
          <w:tab w:val="left" w:pos="426"/>
        </w:tabs>
        <w:spacing w:before="120" w:after="120" w:line="240" w:lineRule="auto"/>
        <w:ind w:left="426"/>
        <w:jc w:val="both"/>
        <w:rPr>
          <w:b/>
          <w:sz w:val="24"/>
          <w:szCs w:val="24"/>
        </w:rPr>
      </w:pPr>
      <w:r w:rsidRPr="001F787C">
        <w:rPr>
          <w:b/>
          <w:bCs/>
          <w:sz w:val="24"/>
          <w:szCs w:val="24"/>
        </w:rPr>
        <w:t>7.3.</w:t>
      </w:r>
      <w:r>
        <w:rPr>
          <w:bCs/>
          <w:sz w:val="24"/>
          <w:szCs w:val="24"/>
        </w:rPr>
        <w:t xml:space="preserve"> </w:t>
      </w:r>
      <w:r w:rsidRPr="001F787C">
        <w:rPr>
          <w:b/>
          <w:bCs/>
          <w:sz w:val="24"/>
          <w:szCs w:val="24"/>
        </w:rPr>
        <w:t>D</w:t>
      </w:r>
      <w:r>
        <w:rPr>
          <w:b/>
          <w:sz w:val="24"/>
          <w:szCs w:val="24"/>
        </w:rPr>
        <w:t>obrovoljno mirovinsko osiguranje</w:t>
      </w:r>
      <w:r w:rsidRPr="00746B38">
        <w:rPr>
          <w:b/>
          <w:sz w:val="24"/>
          <w:szCs w:val="24"/>
        </w:rPr>
        <w:t> </w:t>
      </w:r>
      <w:r>
        <w:rPr>
          <w:b/>
          <w:sz w:val="24"/>
          <w:szCs w:val="24"/>
        </w:rPr>
        <w:t>– dobrovoljna mirovinska štednja</w:t>
      </w:r>
    </w:p>
    <w:p w:rsidR="00DE2F92" w:rsidRDefault="00DE2F92" w:rsidP="00DE2F92">
      <w:pPr>
        <w:pStyle w:val="Odlomakpopisa"/>
        <w:tabs>
          <w:tab w:val="left" w:pos="426"/>
        </w:tabs>
        <w:spacing w:before="120" w:after="120" w:line="240" w:lineRule="auto"/>
        <w:ind w:left="426"/>
        <w:jc w:val="both"/>
        <w:rPr>
          <w:b/>
          <w:sz w:val="24"/>
          <w:szCs w:val="24"/>
        </w:rPr>
      </w:pPr>
      <w:r w:rsidRPr="00CC7001">
        <w:rPr>
          <w:b/>
          <w:sz w:val="24"/>
          <w:szCs w:val="24"/>
        </w:rPr>
        <w:t>7.4</w:t>
      </w:r>
      <w:r w:rsidRPr="00E15EC8">
        <w:rPr>
          <w:b/>
          <w:sz w:val="24"/>
          <w:szCs w:val="24"/>
        </w:rPr>
        <w:t>.</w:t>
      </w:r>
      <w:r w:rsidRPr="00E15EC8">
        <w:rPr>
          <w:sz w:val="24"/>
          <w:szCs w:val="24"/>
        </w:rPr>
        <w:t xml:space="preserve"> </w:t>
      </w:r>
      <w:r w:rsidRPr="00E15EC8">
        <w:rPr>
          <w:b/>
          <w:sz w:val="24"/>
          <w:szCs w:val="24"/>
        </w:rPr>
        <w:t>Hipotetički</w:t>
      </w:r>
      <w:r w:rsidRPr="00674831">
        <w:rPr>
          <w:b/>
          <w:sz w:val="24"/>
          <w:szCs w:val="24"/>
        </w:rPr>
        <w:t xml:space="preserve"> primjer </w:t>
      </w:r>
      <w:r>
        <w:rPr>
          <w:b/>
          <w:sz w:val="24"/>
          <w:szCs w:val="24"/>
        </w:rPr>
        <w:t xml:space="preserve">planiranja financijske pozicije u budućnosti </w:t>
      </w:r>
    </w:p>
    <w:p w:rsidR="00DE2F92" w:rsidRDefault="00DE2F92" w:rsidP="00DE2F92">
      <w:pPr>
        <w:autoSpaceDE w:val="0"/>
        <w:autoSpaceDN w:val="0"/>
        <w:adjustRightInd w:val="0"/>
        <w:spacing w:before="120" w:after="120" w:line="240" w:lineRule="auto"/>
        <w:jc w:val="both"/>
        <w:rPr>
          <w:b/>
          <w:bCs/>
          <w:sz w:val="24"/>
          <w:szCs w:val="24"/>
        </w:rPr>
      </w:pPr>
      <w:r>
        <w:rPr>
          <w:b/>
          <w:bCs/>
          <w:sz w:val="24"/>
          <w:szCs w:val="24"/>
        </w:rPr>
        <w:t>LITERATURA</w:t>
      </w: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DE2F92" w:rsidRDefault="00DE2F92" w:rsidP="0070039C">
      <w:pPr>
        <w:jc w:val="both"/>
        <w:rPr>
          <w:b/>
          <w:sz w:val="24"/>
          <w:szCs w:val="24"/>
        </w:rPr>
      </w:pPr>
    </w:p>
    <w:p w:rsidR="0070039C" w:rsidRPr="007F1CE8" w:rsidRDefault="0070039C" w:rsidP="0070039C">
      <w:pPr>
        <w:jc w:val="both"/>
        <w:rPr>
          <w:b/>
          <w:sz w:val="24"/>
          <w:szCs w:val="24"/>
        </w:rPr>
      </w:pPr>
      <w:r w:rsidRPr="007F1CE8">
        <w:rPr>
          <w:b/>
          <w:sz w:val="24"/>
          <w:szCs w:val="24"/>
        </w:rPr>
        <w:lastRenderedPageBreak/>
        <w:t xml:space="preserve">UVOD: FINANCIJSKA </w:t>
      </w:r>
      <w:r>
        <w:rPr>
          <w:b/>
          <w:sz w:val="24"/>
          <w:szCs w:val="24"/>
        </w:rPr>
        <w:t xml:space="preserve">ZNANJA </w:t>
      </w:r>
      <w:r w:rsidRPr="007F1CE8">
        <w:rPr>
          <w:b/>
          <w:sz w:val="24"/>
          <w:szCs w:val="24"/>
        </w:rPr>
        <w:t>I FINANCIJSKE NAVIKE</w:t>
      </w:r>
    </w:p>
    <w:p w:rsidR="0070039C" w:rsidRPr="007F1CE8" w:rsidRDefault="0070039C" w:rsidP="003A2DC6">
      <w:pPr>
        <w:spacing w:line="271" w:lineRule="auto"/>
        <w:jc w:val="both"/>
        <w:rPr>
          <w:sz w:val="24"/>
          <w:szCs w:val="24"/>
        </w:rPr>
      </w:pPr>
      <w:r w:rsidRPr="007F1CE8">
        <w:rPr>
          <w:sz w:val="24"/>
          <w:szCs w:val="24"/>
        </w:rPr>
        <w:t>Brojni građani nemaju dovoljno znanja i iskustva za adekvatno upravljanje osobnim financijama. U većini slučajeva to ih nikada nitko nije naučio: roditelji o tome nisu dovoljno vodili računa</w:t>
      </w:r>
      <w:r w:rsidR="003D2D36">
        <w:rPr>
          <w:sz w:val="24"/>
          <w:szCs w:val="24"/>
        </w:rPr>
        <w:t>;</w:t>
      </w:r>
      <w:r w:rsidRPr="007F1CE8">
        <w:rPr>
          <w:sz w:val="24"/>
          <w:szCs w:val="24"/>
        </w:rPr>
        <w:t xml:space="preserve"> programi u srednjim školama i fakultetima zanemaruju financijsku pismenost</w:t>
      </w:r>
      <w:r w:rsidR="003D2D36">
        <w:rPr>
          <w:sz w:val="24"/>
          <w:szCs w:val="24"/>
        </w:rPr>
        <w:t>;</w:t>
      </w:r>
      <w:r w:rsidRPr="007F1CE8">
        <w:rPr>
          <w:sz w:val="24"/>
          <w:szCs w:val="24"/>
        </w:rPr>
        <w:t xml:space="preserve"> dok s</w:t>
      </w:r>
      <w:r w:rsidR="006D4D99">
        <w:rPr>
          <w:sz w:val="24"/>
          <w:szCs w:val="24"/>
        </w:rPr>
        <w:t>u putem medija dostupne aktualn</w:t>
      </w:r>
      <w:r w:rsidR="00A9165A">
        <w:rPr>
          <w:sz w:val="24"/>
          <w:szCs w:val="24"/>
        </w:rPr>
        <w:t xml:space="preserve">e vijesti iz područja financija, </w:t>
      </w:r>
      <w:r w:rsidR="006D4D99">
        <w:rPr>
          <w:sz w:val="24"/>
          <w:szCs w:val="24"/>
        </w:rPr>
        <w:t xml:space="preserve">no najčešće ne i širi spektar informacija i </w:t>
      </w:r>
      <w:r w:rsidR="00B40DA4">
        <w:rPr>
          <w:sz w:val="24"/>
          <w:szCs w:val="24"/>
        </w:rPr>
        <w:t xml:space="preserve">financijskih </w:t>
      </w:r>
      <w:r w:rsidR="006D4D99">
        <w:rPr>
          <w:sz w:val="24"/>
          <w:szCs w:val="24"/>
        </w:rPr>
        <w:t>znanja</w:t>
      </w:r>
      <w:r w:rsidR="00B40DA4">
        <w:rPr>
          <w:sz w:val="24"/>
          <w:szCs w:val="24"/>
        </w:rPr>
        <w:t>.</w:t>
      </w:r>
      <w:r w:rsidRPr="007F1CE8">
        <w:rPr>
          <w:sz w:val="24"/>
          <w:szCs w:val="24"/>
        </w:rPr>
        <w:t xml:space="preserve"> S druge strane </w:t>
      </w:r>
      <w:r w:rsidRPr="001E02F1">
        <w:rPr>
          <w:rFonts w:eastAsia="Times New Roman" w:cs="Arial"/>
          <w:color w:val="C00000"/>
          <w:sz w:val="24"/>
          <w:szCs w:val="24"/>
          <w:shd w:val="clear" w:color="auto" w:fill="FFFFFF"/>
          <w:lang w:eastAsia="hr-HR"/>
        </w:rPr>
        <w:t>pojedinci su nerijetko previše komotni potruditi se spoznati faktore i rizike koji su itekako bitni za njihovo financijsko blagostanje</w:t>
      </w:r>
      <w:r w:rsidRPr="007F1CE8">
        <w:rPr>
          <w:b/>
          <w:sz w:val="24"/>
          <w:szCs w:val="24"/>
        </w:rPr>
        <w:t>,</w:t>
      </w:r>
      <w:r w:rsidRPr="007F1CE8">
        <w:rPr>
          <w:sz w:val="24"/>
          <w:szCs w:val="24"/>
        </w:rPr>
        <w:t xml:space="preserve"> ili ukoliko se radi o studentima ekon</w:t>
      </w:r>
      <w:r w:rsidR="00D95AAE">
        <w:rPr>
          <w:sz w:val="24"/>
          <w:szCs w:val="24"/>
        </w:rPr>
        <w:t xml:space="preserve">omskih fakulteta oni </w:t>
      </w:r>
      <w:r w:rsidRPr="007F1CE8">
        <w:rPr>
          <w:sz w:val="24"/>
          <w:szCs w:val="24"/>
        </w:rPr>
        <w:t xml:space="preserve">gradivo iz osobnih financija </w:t>
      </w:r>
      <w:r w:rsidR="00367480">
        <w:rPr>
          <w:sz w:val="24"/>
          <w:szCs w:val="24"/>
        </w:rPr>
        <w:t xml:space="preserve">često </w:t>
      </w:r>
      <w:r w:rsidRPr="007F1CE8">
        <w:rPr>
          <w:sz w:val="24"/>
          <w:szCs w:val="24"/>
        </w:rPr>
        <w:t xml:space="preserve">shvaćaju </w:t>
      </w:r>
      <w:r w:rsidR="001F4714">
        <w:rPr>
          <w:sz w:val="24"/>
          <w:szCs w:val="24"/>
        </w:rPr>
        <w:t xml:space="preserve">prvenstveno </w:t>
      </w:r>
      <w:r w:rsidRPr="007F1CE8">
        <w:rPr>
          <w:sz w:val="24"/>
          <w:szCs w:val="24"/>
        </w:rPr>
        <w:t>kao materijal za ispit, a ne kao izvor informacija koji im je potreban za svakodnevni život</w:t>
      </w:r>
      <w:r w:rsidR="00D95AAE">
        <w:rPr>
          <w:sz w:val="24"/>
          <w:szCs w:val="24"/>
        </w:rPr>
        <w:t xml:space="preserve"> – zaboravljajući da je </w:t>
      </w:r>
      <w:r w:rsidR="00D95AAE" w:rsidRPr="00E26FC5">
        <w:rPr>
          <w:i/>
          <w:sz w:val="24"/>
          <w:szCs w:val="24"/>
        </w:rPr>
        <w:t>„znanje je tek onda znanja kada je stečeno naporom vlastite misli, a ne pamćenjem“ (Tolstoj)</w:t>
      </w:r>
      <w:r w:rsidRPr="00E26FC5">
        <w:rPr>
          <w:i/>
          <w:sz w:val="24"/>
          <w:szCs w:val="24"/>
        </w:rPr>
        <w:t>.</w:t>
      </w:r>
      <w:r w:rsidR="00D95AAE">
        <w:rPr>
          <w:sz w:val="24"/>
          <w:szCs w:val="24"/>
        </w:rPr>
        <w:t xml:space="preserve"> </w:t>
      </w:r>
    </w:p>
    <w:p w:rsidR="0070039C" w:rsidRPr="007F1CE8" w:rsidRDefault="0070039C" w:rsidP="003A2DC6">
      <w:pPr>
        <w:spacing w:line="271" w:lineRule="auto"/>
        <w:jc w:val="both"/>
        <w:rPr>
          <w:sz w:val="24"/>
          <w:szCs w:val="24"/>
        </w:rPr>
      </w:pPr>
      <w:r w:rsidRPr="007F1CE8">
        <w:rPr>
          <w:sz w:val="24"/>
          <w:szCs w:val="24"/>
        </w:rPr>
        <w:t xml:space="preserve">U mnogim obiteljima </w:t>
      </w:r>
      <w:r w:rsidR="00B90D33">
        <w:rPr>
          <w:sz w:val="24"/>
          <w:szCs w:val="24"/>
        </w:rPr>
        <w:t xml:space="preserve">su </w:t>
      </w:r>
      <w:r w:rsidRPr="007F1CE8">
        <w:rPr>
          <w:sz w:val="24"/>
          <w:szCs w:val="24"/>
        </w:rPr>
        <w:t>novac</w:t>
      </w:r>
      <w:r>
        <w:rPr>
          <w:sz w:val="24"/>
          <w:szCs w:val="24"/>
        </w:rPr>
        <w:t>,</w:t>
      </w:r>
      <w:r w:rsidRPr="007F1CE8">
        <w:rPr>
          <w:sz w:val="24"/>
          <w:szCs w:val="24"/>
        </w:rPr>
        <w:t xml:space="preserve"> kućne financije </w:t>
      </w:r>
      <w:r>
        <w:rPr>
          <w:sz w:val="24"/>
          <w:szCs w:val="24"/>
        </w:rPr>
        <w:t xml:space="preserve">i </w:t>
      </w:r>
      <w:r w:rsidR="00B90D33">
        <w:rPr>
          <w:sz w:val="24"/>
          <w:szCs w:val="24"/>
        </w:rPr>
        <w:t xml:space="preserve">faktori makroekonomskog okruženja </w:t>
      </w:r>
      <w:r w:rsidRPr="007F1CE8">
        <w:rPr>
          <w:sz w:val="24"/>
          <w:szCs w:val="24"/>
        </w:rPr>
        <w:t>tabu tema</w:t>
      </w:r>
      <w:r>
        <w:rPr>
          <w:sz w:val="24"/>
          <w:szCs w:val="24"/>
        </w:rPr>
        <w:t>. R</w:t>
      </w:r>
      <w:r w:rsidRPr="007F1CE8">
        <w:rPr>
          <w:sz w:val="24"/>
          <w:szCs w:val="24"/>
        </w:rPr>
        <w:t>oditelji</w:t>
      </w:r>
      <w:r w:rsidR="00100649">
        <w:rPr>
          <w:sz w:val="24"/>
          <w:szCs w:val="24"/>
        </w:rPr>
        <w:t>, bake i djedovi</w:t>
      </w:r>
      <w:r w:rsidRPr="007F1CE8">
        <w:rPr>
          <w:sz w:val="24"/>
          <w:szCs w:val="24"/>
        </w:rPr>
        <w:t xml:space="preserve"> ne žele opterećivati djecu problemima stanja financij</w:t>
      </w:r>
      <w:r w:rsidR="00BF5F92">
        <w:rPr>
          <w:sz w:val="24"/>
          <w:szCs w:val="24"/>
        </w:rPr>
        <w:t xml:space="preserve">a i nužnosti života u skladu s </w:t>
      </w:r>
      <w:r w:rsidRPr="007F1CE8">
        <w:rPr>
          <w:sz w:val="24"/>
          <w:szCs w:val="24"/>
        </w:rPr>
        <w:t xml:space="preserve">mogućnostima pa djeca spoznaju istinu tek kada nastupe značajni problemi i obiteljske krize. A i riječ „istina“ je vrlo specifična. </w:t>
      </w:r>
      <w:r w:rsidR="00BF5F92">
        <w:rPr>
          <w:sz w:val="24"/>
          <w:szCs w:val="24"/>
        </w:rPr>
        <w:t xml:space="preserve">Često se tretira </w:t>
      </w:r>
      <w:r w:rsidRPr="007F1CE8">
        <w:rPr>
          <w:sz w:val="24"/>
          <w:szCs w:val="24"/>
        </w:rPr>
        <w:t xml:space="preserve">“kao ono u što </w:t>
      </w:r>
      <w:r w:rsidR="00BF5F92">
        <w:rPr>
          <w:sz w:val="24"/>
          <w:szCs w:val="24"/>
        </w:rPr>
        <w:t xml:space="preserve">ljudi </w:t>
      </w:r>
      <w:r w:rsidRPr="007F1CE8">
        <w:rPr>
          <w:sz w:val="24"/>
          <w:szCs w:val="24"/>
        </w:rPr>
        <w:t>vjeruj</w:t>
      </w:r>
      <w:r w:rsidR="00BF5F92">
        <w:rPr>
          <w:sz w:val="24"/>
          <w:szCs w:val="24"/>
        </w:rPr>
        <w:t>u</w:t>
      </w:r>
      <w:r w:rsidRPr="007F1CE8">
        <w:rPr>
          <w:sz w:val="24"/>
          <w:szCs w:val="24"/>
        </w:rPr>
        <w:t>“, što misl</w:t>
      </w:r>
      <w:r w:rsidR="00BF5F92">
        <w:rPr>
          <w:sz w:val="24"/>
          <w:szCs w:val="24"/>
        </w:rPr>
        <w:t>e da</w:t>
      </w:r>
      <w:r w:rsidRPr="007F1CE8">
        <w:rPr>
          <w:sz w:val="24"/>
          <w:szCs w:val="24"/>
        </w:rPr>
        <w:t xml:space="preserve"> jest - iako </w:t>
      </w:r>
      <w:r w:rsidRPr="001E02F1">
        <w:rPr>
          <w:rFonts w:eastAsia="Times New Roman" w:cs="Arial"/>
          <w:color w:val="C00000"/>
          <w:sz w:val="24"/>
          <w:szCs w:val="24"/>
          <w:shd w:val="clear" w:color="auto" w:fill="FFFFFF"/>
          <w:lang w:eastAsia="hr-HR"/>
        </w:rPr>
        <w:t xml:space="preserve">činjenice </w:t>
      </w:r>
      <w:r w:rsidR="00BF5F92">
        <w:rPr>
          <w:rFonts w:eastAsia="Times New Roman" w:cs="Arial"/>
          <w:color w:val="C00000"/>
          <w:sz w:val="24"/>
          <w:szCs w:val="24"/>
          <w:shd w:val="clear" w:color="auto" w:fill="FFFFFF"/>
          <w:lang w:eastAsia="hr-HR"/>
        </w:rPr>
        <w:t xml:space="preserve">i stvarnost </w:t>
      </w:r>
      <w:r w:rsidRPr="001E02F1">
        <w:rPr>
          <w:rFonts w:eastAsia="Times New Roman" w:cs="Arial"/>
          <w:color w:val="C00000"/>
          <w:sz w:val="24"/>
          <w:szCs w:val="24"/>
          <w:shd w:val="clear" w:color="auto" w:fill="FFFFFF"/>
          <w:lang w:eastAsia="hr-HR"/>
        </w:rPr>
        <w:t>mogu biti bitno drugačije</w:t>
      </w:r>
      <w:r w:rsidRPr="007F1CE8">
        <w:rPr>
          <w:sz w:val="24"/>
          <w:szCs w:val="24"/>
        </w:rPr>
        <w:t>. Roditelji nedovoljno dijele s djecom svoja dosadašnja iskustva, kako ona pozitivna vezana uz odgovorno i oprezno upravljanje novcem</w:t>
      </w:r>
      <w:r w:rsidR="00B40DA4">
        <w:rPr>
          <w:sz w:val="24"/>
          <w:szCs w:val="24"/>
        </w:rPr>
        <w:t>, štednju za starost</w:t>
      </w:r>
      <w:r w:rsidRPr="007F1CE8">
        <w:rPr>
          <w:sz w:val="24"/>
          <w:szCs w:val="24"/>
        </w:rPr>
        <w:t xml:space="preserve"> te pametna ulaganja, tako i  negativna </w:t>
      </w:r>
      <w:r w:rsidR="00B40DA4">
        <w:rPr>
          <w:sz w:val="24"/>
          <w:szCs w:val="24"/>
        </w:rPr>
        <w:t xml:space="preserve">iskustva </w:t>
      </w:r>
      <w:r w:rsidRPr="007F1CE8">
        <w:rPr>
          <w:sz w:val="24"/>
          <w:szCs w:val="24"/>
        </w:rPr>
        <w:t xml:space="preserve">vezana uz prekomjernu potrošnju, kumuliran nepodmiren dug po kreditnim karticama </w:t>
      </w:r>
      <w:r w:rsidR="00B40DA4">
        <w:rPr>
          <w:sz w:val="24"/>
          <w:szCs w:val="24"/>
        </w:rPr>
        <w:t>ili financijska neznanja i</w:t>
      </w:r>
      <w:r w:rsidRPr="007F1CE8">
        <w:rPr>
          <w:sz w:val="24"/>
          <w:szCs w:val="24"/>
        </w:rPr>
        <w:t xml:space="preserve"> prijevar</w:t>
      </w:r>
      <w:r w:rsidR="00B40DA4">
        <w:rPr>
          <w:sz w:val="24"/>
          <w:szCs w:val="24"/>
        </w:rPr>
        <w:t>e</w:t>
      </w:r>
      <w:r w:rsidRPr="007F1CE8">
        <w:rPr>
          <w:sz w:val="24"/>
          <w:szCs w:val="24"/>
        </w:rPr>
        <w:t xml:space="preserve"> kojih su bili žrtve. </w:t>
      </w:r>
    </w:p>
    <w:p w:rsidR="00D67C07" w:rsidRDefault="0070039C" w:rsidP="003A2DC6">
      <w:pPr>
        <w:spacing w:line="271" w:lineRule="auto"/>
        <w:jc w:val="both"/>
        <w:rPr>
          <w:sz w:val="24"/>
          <w:szCs w:val="24"/>
        </w:rPr>
      </w:pPr>
      <w:r w:rsidRPr="007F1CE8">
        <w:rPr>
          <w:sz w:val="24"/>
          <w:szCs w:val="24"/>
        </w:rPr>
        <w:t xml:space="preserve">Povijest se uglavnom ponavlja, </w:t>
      </w:r>
      <w:r w:rsidR="00D67C07">
        <w:rPr>
          <w:sz w:val="24"/>
          <w:szCs w:val="24"/>
        </w:rPr>
        <w:t>ali</w:t>
      </w:r>
      <w:r w:rsidRPr="007F1CE8">
        <w:rPr>
          <w:sz w:val="24"/>
          <w:szCs w:val="24"/>
        </w:rPr>
        <w:t xml:space="preserve"> </w:t>
      </w:r>
      <w:r w:rsidR="00B40DA4">
        <w:rPr>
          <w:sz w:val="24"/>
          <w:szCs w:val="24"/>
        </w:rPr>
        <w:t xml:space="preserve">začuđujuće </w:t>
      </w:r>
      <w:r w:rsidRPr="007F1CE8">
        <w:rPr>
          <w:sz w:val="24"/>
          <w:szCs w:val="24"/>
        </w:rPr>
        <w:t xml:space="preserve">je kako </w:t>
      </w:r>
      <w:r w:rsidRPr="001E02F1">
        <w:rPr>
          <w:rFonts w:eastAsia="Times New Roman" w:cs="Arial"/>
          <w:color w:val="C00000"/>
          <w:sz w:val="24"/>
          <w:szCs w:val="24"/>
          <w:shd w:val="clear" w:color="auto" w:fill="FFFFFF"/>
          <w:lang w:eastAsia="hr-HR"/>
        </w:rPr>
        <w:t>svaka nova generacija napravi u prosjeku gotovo iste pogreške kao prethodna</w:t>
      </w:r>
      <w:r w:rsidR="00D67C07" w:rsidRPr="00D67C07">
        <w:rPr>
          <w:rFonts w:eastAsia="Times New Roman" w:cs="Arial"/>
          <w:sz w:val="24"/>
          <w:szCs w:val="24"/>
          <w:shd w:val="clear" w:color="auto" w:fill="FFFFFF"/>
          <w:lang w:eastAsia="hr-HR"/>
        </w:rPr>
        <w:t>;</w:t>
      </w:r>
      <w:r w:rsidRPr="001E02F1">
        <w:rPr>
          <w:rFonts w:eastAsia="Times New Roman" w:cs="Arial"/>
          <w:sz w:val="24"/>
          <w:szCs w:val="24"/>
          <w:shd w:val="clear" w:color="auto" w:fill="FFFFFF"/>
          <w:lang w:eastAsia="hr-HR"/>
        </w:rPr>
        <w:t xml:space="preserve"> kao da nikada nisu čuli za smjene faza poslovnog ciklusa i financijskog ciklusa koj</w:t>
      </w:r>
      <w:r w:rsidR="00E55FBD">
        <w:rPr>
          <w:rFonts w:eastAsia="Times New Roman" w:cs="Arial"/>
          <w:sz w:val="24"/>
          <w:szCs w:val="24"/>
          <w:shd w:val="clear" w:color="auto" w:fill="FFFFFF"/>
          <w:lang w:eastAsia="hr-HR"/>
        </w:rPr>
        <w:t>e</w:t>
      </w:r>
      <w:r w:rsidRPr="001E02F1">
        <w:rPr>
          <w:rFonts w:eastAsia="Times New Roman" w:cs="Arial"/>
          <w:sz w:val="24"/>
          <w:szCs w:val="24"/>
          <w:shd w:val="clear" w:color="auto" w:fill="FFFFFF"/>
          <w:lang w:eastAsia="hr-HR"/>
        </w:rPr>
        <w:t xml:space="preserve"> se odražavaju na niz makroekonomskih varijabla i ekonomsko (financijsko) stanje </w:t>
      </w:r>
      <w:r w:rsidR="00D67C07">
        <w:rPr>
          <w:rFonts w:eastAsia="Times New Roman" w:cs="Arial"/>
          <w:sz w:val="24"/>
          <w:szCs w:val="24"/>
          <w:shd w:val="clear" w:color="auto" w:fill="FFFFFF"/>
          <w:lang w:eastAsia="hr-HR"/>
        </w:rPr>
        <w:t>brojnih kućanstva</w:t>
      </w:r>
      <w:r w:rsidRPr="001E02F1">
        <w:rPr>
          <w:sz w:val="24"/>
          <w:szCs w:val="24"/>
        </w:rPr>
        <w:t xml:space="preserve">. </w:t>
      </w:r>
      <w:r w:rsidRPr="007F1CE8">
        <w:rPr>
          <w:sz w:val="24"/>
          <w:szCs w:val="24"/>
        </w:rPr>
        <w:t xml:space="preserve">Kada </w:t>
      </w:r>
      <w:r>
        <w:rPr>
          <w:sz w:val="24"/>
          <w:szCs w:val="24"/>
        </w:rPr>
        <w:t>ekonomija ekspandira</w:t>
      </w:r>
      <w:r w:rsidR="003D5BBF">
        <w:rPr>
          <w:sz w:val="24"/>
          <w:szCs w:val="24"/>
        </w:rPr>
        <w:t>,</w:t>
      </w:r>
      <w:r>
        <w:rPr>
          <w:sz w:val="24"/>
          <w:szCs w:val="24"/>
        </w:rPr>
        <w:t xml:space="preserve"> a </w:t>
      </w:r>
      <w:r w:rsidRPr="007F1CE8">
        <w:rPr>
          <w:sz w:val="24"/>
          <w:szCs w:val="24"/>
        </w:rPr>
        <w:t>cijene dionica i nekretnina rastu</w:t>
      </w:r>
      <w:r w:rsidR="003D5BBF">
        <w:rPr>
          <w:sz w:val="24"/>
          <w:szCs w:val="24"/>
        </w:rPr>
        <w:t xml:space="preserve"> -</w:t>
      </w:r>
      <w:r w:rsidRPr="007F1CE8">
        <w:rPr>
          <w:sz w:val="24"/>
          <w:szCs w:val="24"/>
        </w:rPr>
        <w:t xml:space="preserve"> ljudi vjeruju da će uvijek rasti, skloni su magičnom razmišljanju i pohlepi</w:t>
      </w:r>
      <w:r w:rsidR="003D5BBF">
        <w:rPr>
          <w:sz w:val="24"/>
          <w:szCs w:val="24"/>
        </w:rPr>
        <w:t>. K</w:t>
      </w:r>
      <w:r w:rsidRPr="007F1CE8">
        <w:rPr>
          <w:sz w:val="24"/>
          <w:szCs w:val="24"/>
        </w:rPr>
        <w:t xml:space="preserve">ada su cijene dionica i nekretnina niske </w:t>
      </w:r>
      <w:r w:rsidR="003D5BBF">
        <w:rPr>
          <w:sz w:val="24"/>
          <w:szCs w:val="24"/>
        </w:rPr>
        <w:t xml:space="preserve">ljudi </w:t>
      </w:r>
      <w:r w:rsidRPr="007F1CE8">
        <w:rPr>
          <w:sz w:val="24"/>
          <w:szCs w:val="24"/>
        </w:rPr>
        <w:t xml:space="preserve">ne žele u njih ulagati jer ih koči strah od daljnjeg pada cijena. S druge strane uvijek postoje oni pojedinci koji „žive u nadi“, </w:t>
      </w:r>
      <w:r w:rsidR="00B90D33">
        <w:rPr>
          <w:sz w:val="24"/>
          <w:szCs w:val="24"/>
        </w:rPr>
        <w:t xml:space="preserve">misleći </w:t>
      </w:r>
      <w:r w:rsidRPr="007F1CE8">
        <w:rPr>
          <w:sz w:val="24"/>
          <w:szCs w:val="24"/>
        </w:rPr>
        <w:t>da će „stvari krenuti na bolje“ samo zato jer se to p</w:t>
      </w:r>
      <w:r w:rsidR="003D5BBF">
        <w:rPr>
          <w:sz w:val="24"/>
          <w:szCs w:val="24"/>
        </w:rPr>
        <w:t>oklapa s njihovim razmišljanjem;</w:t>
      </w:r>
      <w:r w:rsidRPr="007F1CE8">
        <w:rPr>
          <w:sz w:val="24"/>
          <w:szCs w:val="24"/>
        </w:rPr>
        <w:t xml:space="preserve"> da će dobiti na lotu „jer su to zaslužili“ ili će neka magična sila upravo njih izabrati kao dobitnike. </w:t>
      </w:r>
      <w:r w:rsidR="0078289C">
        <w:rPr>
          <w:sz w:val="24"/>
          <w:szCs w:val="24"/>
        </w:rPr>
        <w:t>Na sličan način građani previše očekuju i od politič</w:t>
      </w:r>
      <w:r w:rsidR="001F4714">
        <w:rPr>
          <w:sz w:val="24"/>
          <w:szCs w:val="24"/>
        </w:rPr>
        <w:t>kih izbornih procesa</w:t>
      </w:r>
      <w:r w:rsidR="0078289C">
        <w:rPr>
          <w:sz w:val="24"/>
          <w:szCs w:val="24"/>
        </w:rPr>
        <w:t xml:space="preserve">, iako smjene </w:t>
      </w:r>
      <w:r w:rsidR="00483647">
        <w:rPr>
          <w:sz w:val="24"/>
          <w:szCs w:val="24"/>
        </w:rPr>
        <w:t xml:space="preserve">političkih </w:t>
      </w:r>
      <w:r w:rsidR="0078289C">
        <w:rPr>
          <w:sz w:val="24"/>
          <w:szCs w:val="24"/>
        </w:rPr>
        <w:t xml:space="preserve">ciklusa najčešće nemaju pretjerano veze s </w:t>
      </w:r>
      <w:r w:rsidR="00483647">
        <w:rPr>
          <w:sz w:val="24"/>
          <w:szCs w:val="24"/>
        </w:rPr>
        <w:t xml:space="preserve">uzletom ili padom ekonomije, a posebice kada se </w:t>
      </w:r>
      <w:r w:rsidR="00483647" w:rsidRPr="00BC23CC">
        <w:rPr>
          <w:color w:val="C00000"/>
          <w:sz w:val="24"/>
          <w:szCs w:val="24"/>
        </w:rPr>
        <w:t>uzlet i pad ekonomije događaju pod utjecajem globalnih kretanja</w:t>
      </w:r>
      <w:r w:rsidR="001F4714" w:rsidRPr="00BC23CC">
        <w:rPr>
          <w:color w:val="C00000"/>
          <w:sz w:val="24"/>
          <w:szCs w:val="24"/>
        </w:rPr>
        <w:t xml:space="preserve"> </w:t>
      </w:r>
      <w:r w:rsidR="001F4714">
        <w:rPr>
          <w:sz w:val="24"/>
          <w:szCs w:val="24"/>
        </w:rPr>
        <w:t xml:space="preserve">koja se odražavaju na poslovanje domaćih poduzeća, </w:t>
      </w:r>
      <w:r w:rsidR="00D67C07">
        <w:rPr>
          <w:sz w:val="24"/>
          <w:szCs w:val="24"/>
        </w:rPr>
        <w:t xml:space="preserve">promjene </w:t>
      </w:r>
      <w:r w:rsidR="001F4714">
        <w:rPr>
          <w:sz w:val="24"/>
          <w:szCs w:val="24"/>
        </w:rPr>
        <w:t xml:space="preserve">kamatnjaka, </w:t>
      </w:r>
      <w:r w:rsidR="00D67C07">
        <w:rPr>
          <w:sz w:val="24"/>
          <w:szCs w:val="24"/>
        </w:rPr>
        <w:t xml:space="preserve">deviznih tečajeva </w:t>
      </w:r>
      <w:r w:rsidR="001F4714">
        <w:rPr>
          <w:sz w:val="24"/>
          <w:szCs w:val="24"/>
        </w:rPr>
        <w:t>inflacije</w:t>
      </w:r>
      <w:r w:rsidR="00D67C07">
        <w:rPr>
          <w:sz w:val="24"/>
          <w:szCs w:val="24"/>
        </w:rPr>
        <w:t xml:space="preserve"> …</w:t>
      </w:r>
      <w:r w:rsidR="001F4714">
        <w:rPr>
          <w:sz w:val="24"/>
          <w:szCs w:val="24"/>
        </w:rPr>
        <w:t>.</w:t>
      </w:r>
      <w:r w:rsidR="00483647">
        <w:rPr>
          <w:sz w:val="24"/>
          <w:szCs w:val="24"/>
        </w:rPr>
        <w:t xml:space="preserve"> </w:t>
      </w:r>
    </w:p>
    <w:p w:rsidR="00B21A80" w:rsidRDefault="00D67C07" w:rsidP="003A2DC6">
      <w:pPr>
        <w:spacing w:line="271" w:lineRule="auto"/>
        <w:jc w:val="both"/>
        <w:rPr>
          <w:sz w:val="24"/>
          <w:szCs w:val="24"/>
        </w:rPr>
      </w:pPr>
      <w:r>
        <w:rPr>
          <w:sz w:val="24"/>
          <w:szCs w:val="24"/>
        </w:rPr>
        <w:t>Z</w:t>
      </w:r>
      <w:r w:rsidR="00483647">
        <w:rPr>
          <w:sz w:val="24"/>
          <w:szCs w:val="24"/>
        </w:rPr>
        <w:t xml:space="preserve">bog nedostatnih ekonomskih znanja ili osobne </w:t>
      </w:r>
      <w:r w:rsidR="00BC23CC">
        <w:rPr>
          <w:sz w:val="24"/>
          <w:szCs w:val="24"/>
        </w:rPr>
        <w:t>„</w:t>
      </w:r>
      <w:r w:rsidR="00483647">
        <w:rPr>
          <w:sz w:val="24"/>
          <w:szCs w:val="24"/>
        </w:rPr>
        <w:t>potrebe za optimizmom</w:t>
      </w:r>
      <w:r w:rsidR="00BC23CC">
        <w:rPr>
          <w:sz w:val="24"/>
          <w:szCs w:val="24"/>
        </w:rPr>
        <w:t>“</w:t>
      </w:r>
      <w:r w:rsidR="00483647">
        <w:rPr>
          <w:sz w:val="24"/>
          <w:szCs w:val="24"/>
        </w:rPr>
        <w:t xml:space="preserve">, ljudi </w:t>
      </w:r>
      <w:r w:rsidR="001F4714">
        <w:rPr>
          <w:sz w:val="24"/>
          <w:szCs w:val="24"/>
        </w:rPr>
        <w:t>često</w:t>
      </w:r>
      <w:r w:rsidR="00483647">
        <w:rPr>
          <w:sz w:val="24"/>
          <w:szCs w:val="24"/>
        </w:rPr>
        <w:t xml:space="preserve"> razvijaju nadu </w:t>
      </w:r>
      <w:r w:rsidR="001F4714">
        <w:rPr>
          <w:sz w:val="24"/>
          <w:szCs w:val="24"/>
        </w:rPr>
        <w:t xml:space="preserve">umjesto da </w:t>
      </w:r>
      <w:r w:rsidR="00483647">
        <w:rPr>
          <w:sz w:val="24"/>
          <w:szCs w:val="24"/>
        </w:rPr>
        <w:t>racionalno i realno sagledavaju činjenice</w:t>
      </w:r>
      <w:r w:rsidR="00F84733">
        <w:rPr>
          <w:sz w:val="24"/>
          <w:szCs w:val="24"/>
        </w:rPr>
        <w:t>.</w:t>
      </w:r>
      <w:r w:rsidR="0070039C">
        <w:rPr>
          <w:sz w:val="24"/>
          <w:szCs w:val="24"/>
        </w:rPr>
        <w:t xml:space="preserve"> </w:t>
      </w:r>
      <w:r w:rsidR="001F4714">
        <w:rPr>
          <w:sz w:val="24"/>
          <w:szCs w:val="24"/>
        </w:rPr>
        <w:t>A</w:t>
      </w:r>
      <w:r w:rsidR="00F84733">
        <w:rPr>
          <w:sz w:val="24"/>
          <w:szCs w:val="24"/>
        </w:rPr>
        <w:t xml:space="preserve">li ne treba zaboraviti da </w:t>
      </w:r>
      <w:r>
        <w:rPr>
          <w:sz w:val="24"/>
          <w:szCs w:val="24"/>
        </w:rPr>
        <w:t xml:space="preserve">osim rizika opasnosti „lažne nade“, prekomjerni optimizam nosi i rizik </w:t>
      </w:r>
      <w:r w:rsidR="00B21A80">
        <w:rPr>
          <w:sz w:val="24"/>
          <w:szCs w:val="24"/>
        </w:rPr>
        <w:t xml:space="preserve">prekomjerne tolerancije prema izlaganju i preuzimanju rizika, </w:t>
      </w:r>
      <w:r w:rsidR="00787540">
        <w:rPr>
          <w:sz w:val="24"/>
          <w:szCs w:val="24"/>
        </w:rPr>
        <w:t xml:space="preserve">dok </w:t>
      </w:r>
      <w:r w:rsidR="00B21A80">
        <w:rPr>
          <w:sz w:val="24"/>
          <w:szCs w:val="24"/>
        </w:rPr>
        <w:t>u osobnim financijama dijela kućanstva</w:t>
      </w:r>
      <w:r w:rsidR="00787540">
        <w:rPr>
          <w:sz w:val="24"/>
          <w:szCs w:val="24"/>
        </w:rPr>
        <w:t xml:space="preserve"> </w:t>
      </w:r>
      <w:r w:rsidR="001F4714">
        <w:rPr>
          <w:sz w:val="24"/>
          <w:szCs w:val="24"/>
        </w:rPr>
        <w:t>uzrokuje odgađanj</w:t>
      </w:r>
      <w:r w:rsidR="00787540">
        <w:rPr>
          <w:sz w:val="24"/>
          <w:szCs w:val="24"/>
        </w:rPr>
        <w:t>e pravovremenih akcija za</w:t>
      </w:r>
      <w:r w:rsidR="001F4714">
        <w:rPr>
          <w:sz w:val="24"/>
          <w:szCs w:val="24"/>
        </w:rPr>
        <w:t xml:space="preserve"> rješavanj</w:t>
      </w:r>
      <w:r w:rsidR="00787540">
        <w:rPr>
          <w:sz w:val="24"/>
          <w:szCs w:val="24"/>
        </w:rPr>
        <w:t>e</w:t>
      </w:r>
      <w:r w:rsidR="001F4714">
        <w:rPr>
          <w:sz w:val="24"/>
          <w:szCs w:val="24"/>
        </w:rPr>
        <w:t xml:space="preserve"> problema</w:t>
      </w:r>
      <w:r w:rsidR="00F84733">
        <w:rPr>
          <w:sz w:val="24"/>
          <w:szCs w:val="24"/>
        </w:rPr>
        <w:t xml:space="preserve">. </w:t>
      </w:r>
    </w:p>
    <w:p w:rsidR="0070039C" w:rsidRPr="007F1CE8" w:rsidRDefault="00B21A80" w:rsidP="003A2DC6">
      <w:pPr>
        <w:spacing w:line="271" w:lineRule="auto"/>
        <w:jc w:val="both"/>
        <w:rPr>
          <w:sz w:val="24"/>
          <w:szCs w:val="24"/>
        </w:rPr>
      </w:pPr>
      <w:r>
        <w:rPr>
          <w:sz w:val="24"/>
          <w:szCs w:val="24"/>
        </w:rPr>
        <w:lastRenderedPageBreak/>
        <w:t xml:space="preserve">Prema tumačenju tzv. biheviorističkih financija, </w:t>
      </w:r>
      <w:r>
        <w:rPr>
          <w:color w:val="C00000"/>
          <w:sz w:val="24"/>
          <w:szCs w:val="24"/>
        </w:rPr>
        <w:t>n</w:t>
      </w:r>
      <w:r w:rsidR="0070039C" w:rsidRPr="001F4714">
        <w:rPr>
          <w:color w:val="C00000"/>
          <w:sz w:val="24"/>
          <w:szCs w:val="24"/>
        </w:rPr>
        <w:t xml:space="preserve">ada, strah i pohlepa </w:t>
      </w:r>
      <w:r w:rsidR="0070039C" w:rsidRPr="00AA071B">
        <w:rPr>
          <w:sz w:val="24"/>
          <w:szCs w:val="24"/>
        </w:rPr>
        <w:t>su tri psihološka faktora koji se najsnažnije reflektiraj na donošenje iracionalnih odluka u financijama</w:t>
      </w:r>
      <w:r w:rsidR="0070039C" w:rsidRPr="00AA071B">
        <w:rPr>
          <w:b/>
          <w:sz w:val="24"/>
          <w:szCs w:val="24"/>
        </w:rPr>
        <w:t>.</w:t>
      </w:r>
      <w:r w:rsidR="0070039C" w:rsidRPr="007F1CE8">
        <w:rPr>
          <w:sz w:val="24"/>
          <w:szCs w:val="24"/>
        </w:rPr>
        <w:t xml:space="preserve"> Drugi značaj</w:t>
      </w:r>
      <w:r w:rsidR="0070039C">
        <w:rPr>
          <w:sz w:val="24"/>
          <w:szCs w:val="24"/>
        </w:rPr>
        <w:t>ni</w:t>
      </w:r>
      <w:r w:rsidR="0070039C" w:rsidRPr="007F1CE8">
        <w:rPr>
          <w:sz w:val="24"/>
          <w:szCs w:val="24"/>
        </w:rPr>
        <w:t xml:space="preserve"> faktor</w:t>
      </w:r>
      <w:r w:rsidR="0070039C">
        <w:rPr>
          <w:sz w:val="24"/>
          <w:szCs w:val="24"/>
        </w:rPr>
        <w:t>i</w:t>
      </w:r>
      <w:r w:rsidR="0070039C" w:rsidRPr="007F1CE8">
        <w:rPr>
          <w:sz w:val="24"/>
          <w:szCs w:val="24"/>
        </w:rPr>
        <w:t xml:space="preserve"> pomanjkanja racionalnosti u donošenju osobnih financijskih odluka </w:t>
      </w:r>
      <w:r w:rsidR="0070039C">
        <w:rPr>
          <w:sz w:val="24"/>
          <w:szCs w:val="24"/>
        </w:rPr>
        <w:t>su</w:t>
      </w:r>
      <w:r w:rsidR="0070039C" w:rsidRPr="007F1CE8">
        <w:rPr>
          <w:sz w:val="24"/>
          <w:szCs w:val="24"/>
        </w:rPr>
        <w:t xml:space="preserve"> </w:t>
      </w:r>
      <w:r w:rsidR="0070039C" w:rsidRPr="003D5BBF">
        <w:rPr>
          <w:color w:val="C00000"/>
          <w:sz w:val="24"/>
          <w:szCs w:val="24"/>
        </w:rPr>
        <w:t>neznanje i nedovoljna informiranost</w:t>
      </w:r>
      <w:r w:rsidR="0070039C" w:rsidRPr="007F1CE8">
        <w:rPr>
          <w:sz w:val="24"/>
          <w:szCs w:val="24"/>
        </w:rPr>
        <w:t>.</w:t>
      </w:r>
      <w:r w:rsidR="00F84733">
        <w:rPr>
          <w:sz w:val="24"/>
          <w:szCs w:val="24"/>
        </w:rPr>
        <w:t xml:space="preserve"> </w:t>
      </w:r>
      <w:r w:rsidR="0070039C" w:rsidRPr="007F1CE8">
        <w:rPr>
          <w:sz w:val="24"/>
          <w:szCs w:val="24"/>
        </w:rPr>
        <w:t>Niske kamatnjake uz koje je ocijenjena kreditna sposobnost u trenutku odobravanja kredita, ljud</w:t>
      </w:r>
      <w:r w:rsidR="003D5BBF">
        <w:rPr>
          <w:sz w:val="24"/>
          <w:szCs w:val="24"/>
        </w:rPr>
        <w:t xml:space="preserve">i ne tretiraju kao rizik jer ne </w:t>
      </w:r>
      <w:r w:rsidR="0070039C" w:rsidRPr="007F1CE8">
        <w:rPr>
          <w:sz w:val="24"/>
          <w:szCs w:val="24"/>
        </w:rPr>
        <w:t xml:space="preserve">vode računa </w:t>
      </w:r>
      <w:r w:rsidR="0070039C" w:rsidRPr="003D5BBF">
        <w:rPr>
          <w:sz w:val="24"/>
          <w:szCs w:val="24"/>
        </w:rPr>
        <w:t>(</w:t>
      </w:r>
      <w:r w:rsidR="003D5BBF">
        <w:rPr>
          <w:sz w:val="24"/>
          <w:szCs w:val="24"/>
        </w:rPr>
        <w:t xml:space="preserve">ili </w:t>
      </w:r>
      <w:r w:rsidR="0070039C" w:rsidRPr="003D5BBF">
        <w:rPr>
          <w:color w:val="C00000"/>
          <w:sz w:val="24"/>
          <w:szCs w:val="24"/>
        </w:rPr>
        <w:t>racionalno ignoriraju</w:t>
      </w:r>
      <w:r w:rsidR="0070039C" w:rsidRPr="003D5BBF">
        <w:rPr>
          <w:sz w:val="24"/>
          <w:szCs w:val="24"/>
        </w:rPr>
        <w:t xml:space="preserve">) </w:t>
      </w:r>
      <w:r w:rsidR="0070039C" w:rsidRPr="007F1CE8">
        <w:rPr>
          <w:sz w:val="24"/>
          <w:szCs w:val="24"/>
        </w:rPr>
        <w:t>da će prije ili kasnije nastupiti vrijeme visokih kamatnjaka</w:t>
      </w:r>
      <w:r w:rsidR="003D5BBF">
        <w:rPr>
          <w:sz w:val="24"/>
          <w:szCs w:val="24"/>
        </w:rPr>
        <w:t>,</w:t>
      </w:r>
      <w:r w:rsidR="0070039C" w:rsidRPr="007F1CE8">
        <w:rPr>
          <w:sz w:val="24"/>
          <w:szCs w:val="24"/>
        </w:rPr>
        <w:t xml:space="preserve"> kada ranije ocjene kreditne sposobnosti više neće biti točne i kada će uz ugovorenu promjenjivu kamatnu stopu doći do značajnog rasta mjesečnog anuiteta otplate</w:t>
      </w:r>
      <w:r w:rsidR="0070039C">
        <w:rPr>
          <w:sz w:val="24"/>
          <w:szCs w:val="24"/>
        </w:rPr>
        <w:t xml:space="preserve"> </w:t>
      </w:r>
      <w:r w:rsidR="003D5BBF">
        <w:rPr>
          <w:sz w:val="24"/>
          <w:szCs w:val="24"/>
        </w:rPr>
        <w:t>kredita</w:t>
      </w:r>
      <w:r w:rsidR="0070039C" w:rsidRPr="007F1CE8">
        <w:rPr>
          <w:sz w:val="24"/>
          <w:szCs w:val="24"/>
        </w:rPr>
        <w:t xml:space="preserve">. </w:t>
      </w:r>
      <w:r w:rsidR="003D5BBF">
        <w:rPr>
          <w:sz w:val="24"/>
          <w:szCs w:val="24"/>
        </w:rPr>
        <w:t xml:space="preserve">Dio razloga tome je i nedovoljno ekonomsko i financijsko znanje, ali začuje što gotovo iste greške rade ekonomisti kao i osobe koje nisu studirale ekonomiju. </w:t>
      </w:r>
      <w:r w:rsidR="0070039C" w:rsidRPr="007F1CE8">
        <w:rPr>
          <w:sz w:val="24"/>
          <w:szCs w:val="24"/>
        </w:rPr>
        <w:t xml:space="preserve">Na sličan način </w:t>
      </w:r>
      <w:r w:rsidR="003D5BBF">
        <w:rPr>
          <w:sz w:val="24"/>
          <w:szCs w:val="24"/>
        </w:rPr>
        <w:t xml:space="preserve">brojne osobe </w:t>
      </w:r>
      <w:r w:rsidR="0070039C" w:rsidRPr="00DB7A82">
        <w:rPr>
          <w:color w:val="C00000"/>
          <w:sz w:val="24"/>
          <w:szCs w:val="24"/>
        </w:rPr>
        <w:t xml:space="preserve">nemaju dovoljno znanja ili ignoriraju tržišne rizike </w:t>
      </w:r>
      <w:r w:rsidR="0070039C" w:rsidRPr="007F1CE8">
        <w:rPr>
          <w:sz w:val="24"/>
          <w:szCs w:val="24"/>
        </w:rPr>
        <w:t xml:space="preserve">zbog kojih se cijene imovine ili stranih valuta mogu </w:t>
      </w:r>
      <w:r w:rsidR="0057393E">
        <w:rPr>
          <w:sz w:val="24"/>
          <w:szCs w:val="24"/>
        </w:rPr>
        <w:t>značajno</w:t>
      </w:r>
      <w:r w:rsidR="0070039C" w:rsidRPr="007F1CE8">
        <w:rPr>
          <w:sz w:val="24"/>
          <w:szCs w:val="24"/>
        </w:rPr>
        <w:t xml:space="preserve"> mijenjati tijekom vremena, a posebno tijekom razdoblja smjena faza poslovnih i financijskih ciklusa</w:t>
      </w:r>
      <w:r w:rsidR="003D5BBF">
        <w:rPr>
          <w:sz w:val="24"/>
          <w:szCs w:val="24"/>
        </w:rPr>
        <w:t xml:space="preserve"> -</w:t>
      </w:r>
      <w:r w:rsidR="0070039C" w:rsidRPr="007F1CE8">
        <w:rPr>
          <w:sz w:val="24"/>
          <w:szCs w:val="24"/>
        </w:rPr>
        <w:t xml:space="preserve"> gdje svako razdoblje ekspanzije prije ili kasnije dostiže kulminaciju nakon koje slijedi stagnacija ili daleko češće pad vezan uz razvoj recesijskih zbivanja. No, isto tako svaki pad prije ili kasnije bilježi točku zaustavljanja stvarajući uvjete za novu ekspanziju. </w:t>
      </w:r>
      <w:r w:rsidR="00DB7A82">
        <w:rPr>
          <w:sz w:val="24"/>
          <w:szCs w:val="24"/>
        </w:rPr>
        <w:t>Upravo tada, a praktično i prije nego se to dogodi</w:t>
      </w:r>
      <w:r w:rsidR="003D5BBF">
        <w:rPr>
          <w:sz w:val="24"/>
          <w:szCs w:val="24"/>
        </w:rPr>
        <w:t>,</w:t>
      </w:r>
      <w:r w:rsidR="00DB7A82">
        <w:rPr>
          <w:sz w:val="24"/>
          <w:szCs w:val="24"/>
        </w:rPr>
        <w:t xml:space="preserve"> </w:t>
      </w:r>
      <w:r w:rsidR="0070039C">
        <w:rPr>
          <w:sz w:val="24"/>
          <w:szCs w:val="24"/>
        </w:rPr>
        <w:t xml:space="preserve">treba uhvatiti </w:t>
      </w:r>
      <w:r w:rsidR="00B90D33">
        <w:rPr>
          <w:sz w:val="24"/>
          <w:szCs w:val="24"/>
        </w:rPr>
        <w:t>„</w:t>
      </w:r>
      <w:r w:rsidR="0070039C">
        <w:rPr>
          <w:sz w:val="24"/>
          <w:szCs w:val="24"/>
        </w:rPr>
        <w:t>pozitivne vjetrove</w:t>
      </w:r>
      <w:r w:rsidR="00B90D33">
        <w:rPr>
          <w:sz w:val="24"/>
          <w:szCs w:val="24"/>
        </w:rPr>
        <w:t>“</w:t>
      </w:r>
      <w:r w:rsidR="0070039C">
        <w:rPr>
          <w:sz w:val="24"/>
          <w:szCs w:val="24"/>
        </w:rPr>
        <w:t xml:space="preserve"> u vlastitu korist.</w:t>
      </w:r>
    </w:p>
    <w:p w:rsidR="0070039C" w:rsidRDefault="0070039C" w:rsidP="003A2DC6">
      <w:pPr>
        <w:spacing w:line="271" w:lineRule="auto"/>
        <w:jc w:val="both"/>
        <w:rPr>
          <w:sz w:val="24"/>
          <w:szCs w:val="24"/>
        </w:rPr>
      </w:pPr>
      <w:r w:rsidRPr="007F1CE8">
        <w:rPr>
          <w:sz w:val="24"/>
          <w:szCs w:val="24"/>
        </w:rPr>
        <w:t xml:space="preserve">Sve navedeno odgovara opisu biblijskih </w:t>
      </w:r>
      <w:r w:rsidR="00A71753" w:rsidRPr="00A71753">
        <w:rPr>
          <w:i/>
          <w:sz w:val="24"/>
          <w:szCs w:val="24"/>
        </w:rPr>
        <w:t>„</w:t>
      </w:r>
      <w:r w:rsidRPr="00A71753">
        <w:rPr>
          <w:i/>
          <w:sz w:val="24"/>
          <w:szCs w:val="24"/>
        </w:rPr>
        <w:t>sedam debelih krava pa sedam mršavih krava, pa onda opet još većih sedam debelih krava i jako ružnih polumrtvih mršavih krava</w:t>
      </w:r>
      <w:r w:rsidR="00A71753" w:rsidRPr="00A71753">
        <w:rPr>
          <w:i/>
          <w:sz w:val="24"/>
          <w:szCs w:val="24"/>
        </w:rPr>
        <w:t>“</w:t>
      </w:r>
      <w:r w:rsidRPr="00A71753">
        <w:rPr>
          <w:i/>
          <w:sz w:val="24"/>
          <w:szCs w:val="24"/>
        </w:rPr>
        <w:t>.</w:t>
      </w:r>
      <w:r w:rsidRPr="007F1CE8">
        <w:rPr>
          <w:sz w:val="24"/>
          <w:szCs w:val="24"/>
        </w:rPr>
        <w:t xml:space="preserve"> Smjene dobrih i loših vremena kroz 28 do 30 godina traju skoro toliko koliko traje </w:t>
      </w:r>
      <w:r>
        <w:rPr>
          <w:sz w:val="24"/>
          <w:szCs w:val="24"/>
        </w:rPr>
        <w:t xml:space="preserve">npr. </w:t>
      </w:r>
      <w:r w:rsidRPr="007F1CE8">
        <w:rPr>
          <w:sz w:val="24"/>
          <w:szCs w:val="24"/>
        </w:rPr>
        <w:t xml:space="preserve">otplata stambenog ili investicijskog kredita, ili koliko će otprilike proći od 50 godine života </w:t>
      </w:r>
      <w:r w:rsidR="00DB7A82">
        <w:rPr>
          <w:sz w:val="24"/>
          <w:szCs w:val="24"/>
        </w:rPr>
        <w:t xml:space="preserve">pojedinca </w:t>
      </w:r>
      <w:r w:rsidRPr="007F1CE8">
        <w:rPr>
          <w:sz w:val="24"/>
          <w:szCs w:val="24"/>
        </w:rPr>
        <w:t>(vrhunca stjecanja materijalnih dobara) do prosječne godine doživljenja</w:t>
      </w:r>
      <w:r>
        <w:rPr>
          <w:sz w:val="24"/>
          <w:szCs w:val="24"/>
        </w:rPr>
        <w:t>, a između je razdoblje starosti za koju na vrijeme treba formirati štednju</w:t>
      </w:r>
      <w:r w:rsidRPr="007F1CE8">
        <w:rPr>
          <w:sz w:val="24"/>
          <w:szCs w:val="24"/>
        </w:rPr>
        <w:t xml:space="preserve">. </w:t>
      </w:r>
      <w:r w:rsidRPr="001E02F1">
        <w:rPr>
          <w:rFonts w:eastAsia="Times New Roman" w:cs="Arial"/>
          <w:color w:val="C00000"/>
          <w:sz w:val="24"/>
          <w:szCs w:val="24"/>
          <w:shd w:val="clear" w:color="auto" w:fill="FFFFFF"/>
          <w:lang w:eastAsia="hr-HR"/>
        </w:rPr>
        <w:t>Odgovorni dužnici, odgovorne štediše i budući umirovljenici trebaju biti svjesni svih makroekonomskih, financijskih i osobnih rizika koji se mogu odraziti na njihove financije</w:t>
      </w:r>
      <w:r w:rsidRPr="001E02F1">
        <w:rPr>
          <w:sz w:val="24"/>
          <w:szCs w:val="24"/>
        </w:rPr>
        <w:t xml:space="preserve">. </w:t>
      </w:r>
      <w:r w:rsidRPr="007F1CE8">
        <w:rPr>
          <w:sz w:val="24"/>
          <w:szCs w:val="24"/>
        </w:rPr>
        <w:t>Na primjer rizika smanjenja i čak izostanka prihoda</w:t>
      </w:r>
      <w:r>
        <w:rPr>
          <w:sz w:val="24"/>
          <w:szCs w:val="24"/>
        </w:rPr>
        <w:t xml:space="preserve"> koji uz dugotrajnu nezaposlenost može prerasti u rizik siromaštva</w:t>
      </w:r>
      <w:r w:rsidRPr="007F1CE8">
        <w:rPr>
          <w:sz w:val="24"/>
          <w:szCs w:val="24"/>
        </w:rPr>
        <w:t>, kao i rizika nezgoda, razvoda, smrti ili bolesti člana obitelji i brojnih drugih</w:t>
      </w:r>
      <w:r w:rsidR="006F422F">
        <w:rPr>
          <w:sz w:val="24"/>
          <w:szCs w:val="24"/>
        </w:rPr>
        <w:t xml:space="preserve"> koji uzrokuju značajne šokove na osobne financije</w:t>
      </w:r>
      <w:r w:rsidRPr="007F1CE8">
        <w:rPr>
          <w:sz w:val="24"/>
          <w:szCs w:val="24"/>
        </w:rPr>
        <w:t>. Problemi, nesreće i katastrofe ne događaju se samo drugima</w:t>
      </w:r>
      <w:r w:rsidR="009A674D">
        <w:rPr>
          <w:sz w:val="24"/>
          <w:szCs w:val="24"/>
        </w:rPr>
        <w:t>. Mogu se dogoditi svakome</w:t>
      </w:r>
      <w:r w:rsidRPr="007F1CE8">
        <w:rPr>
          <w:sz w:val="24"/>
          <w:szCs w:val="24"/>
        </w:rPr>
        <w:t xml:space="preserve"> </w:t>
      </w:r>
      <w:r w:rsidR="009A674D">
        <w:rPr>
          <w:sz w:val="24"/>
          <w:szCs w:val="24"/>
        </w:rPr>
        <w:t xml:space="preserve">od nas </w:t>
      </w:r>
      <w:r w:rsidRPr="007F1CE8">
        <w:rPr>
          <w:sz w:val="24"/>
          <w:szCs w:val="24"/>
        </w:rPr>
        <w:t xml:space="preserve">te vjerojatno nećemo biti unaprijed upozoreni da je nešto „pošlo po zlu“ kako bi se mogli pravovremeno za to pripremiti. </w:t>
      </w:r>
    </w:p>
    <w:p w:rsidR="0070039C" w:rsidRPr="007F1CE8" w:rsidRDefault="006F422F" w:rsidP="003A2DC6">
      <w:pPr>
        <w:spacing w:line="271" w:lineRule="auto"/>
        <w:jc w:val="both"/>
        <w:rPr>
          <w:sz w:val="24"/>
          <w:szCs w:val="24"/>
        </w:rPr>
      </w:pPr>
      <w:r>
        <w:rPr>
          <w:sz w:val="24"/>
          <w:szCs w:val="24"/>
        </w:rPr>
        <w:t xml:space="preserve">Većina ljudi ne razmišlja </w:t>
      </w:r>
      <w:r w:rsidR="009A674D">
        <w:rPr>
          <w:sz w:val="24"/>
          <w:szCs w:val="24"/>
        </w:rPr>
        <w:t>„</w:t>
      </w:r>
      <w:r>
        <w:rPr>
          <w:sz w:val="24"/>
          <w:szCs w:val="24"/>
        </w:rPr>
        <w:t>ni dovoljno ni pravovremeno</w:t>
      </w:r>
      <w:r w:rsidR="009A674D">
        <w:rPr>
          <w:sz w:val="24"/>
          <w:szCs w:val="24"/>
        </w:rPr>
        <w:t>“</w:t>
      </w:r>
      <w:r>
        <w:rPr>
          <w:sz w:val="24"/>
          <w:szCs w:val="24"/>
        </w:rPr>
        <w:t xml:space="preserve"> o </w:t>
      </w:r>
      <w:r w:rsidRPr="00352A6B">
        <w:rPr>
          <w:color w:val="C00000"/>
          <w:sz w:val="24"/>
          <w:szCs w:val="24"/>
        </w:rPr>
        <w:t>financijskoj budućnosti</w:t>
      </w:r>
      <w:r w:rsidR="009A674D">
        <w:rPr>
          <w:color w:val="C00000"/>
          <w:sz w:val="24"/>
          <w:szCs w:val="24"/>
        </w:rPr>
        <w:t xml:space="preserve"> </w:t>
      </w:r>
      <w:r w:rsidR="009A674D" w:rsidRPr="009A674D">
        <w:rPr>
          <w:sz w:val="24"/>
          <w:szCs w:val="24"/>
        </w:rPr>
        <w:t>pa to</w:t>
      </w:r>
      <w:r w:rsidRPr="009A674D">
        <w:rPr>
          <w:sz w:val="24"/>
          <w:szCs w:val="24"/>
        </w:rPr>
        <w:t xml:space="preserve"> </w:t>
      </w:r>
      <w:r>
        <w:rPr>
          <w:sz w:val="24"/>
          <w:szCs w:val="24"/>
        </w:rPr>
        <w:t>pitanje postaje aktualno tek kada nastupe financijski problemi</w:t>
      </w:r>
      <w:r w:rsidR="00DB7A82">
        <w:rPr>
          <w:sz w:val="24"/>
          <w:szCs w:val="24"/>
        </w:rPr>
        <w:t>, ili kada</w:t>
      </w:r>
      <w:r w:rsidR="009A674D">
        <w:rPr>
          <w:sz w:val="24"/>
          <w:szCs w:val="24"/>
        </w:rPr>
        <w:t xml:space="preserve"> osobe</w:t>
      </w:r>
      <w:r w:rsidR="00DB7A82">
        <w:rPr>
          <w:sz w:val="24"/>
          <w:szCs w:val="24"/>
        </w:rPr>
        <w:t xml:space="preserve"> dočekaju starost bez dovoljnih iznosa ranije kumulirane vlastite štednje</w:t>
      </w:r>
      <w:r>
        <w:rPr>
          <w:sz w:val="24"/>
          <w:szCs w:val="24"/>
        </w:rPr>
        <w:t>. S</w:t>
      </w:r>
      <w:r w:rsidR="00DB7A82">
        <w:rPr>
          <w:sz w:val="24"/>
          <w:szCs w:val="24"/>
        </w:rPr>
        <w:t>toga i ne čudi što se o problemima</w:t>
      </w:r>
      <w:r>
        <w:rPr>
          <w:sz w:val="24"/>
          <w:szCs w:val="24"/>
        </w:rPr>
        <w:t xml:space="preserve"> nedovoljne financijske pismenosti</w:t>
      </w:r>
      <w:r w:rsidR="009A674D">
        <w:rPr>
          <w:sz w:val="24"/>
          <w:szCs w:val="24"/>
        </w:rPr>
        <w:t>, prezaduženosti</w:t>
      </w:r>
      <w:r>
        <w:rPr>
          <w:sz w:val="24"/>
          <w:szCs w:val="24"/>
        </w:rPr>
        <w:t xml:space="preserve"> </w:t>
      </w:r>
      <w:r w:rsidR="00DB7A82">
        <w:rPr>
          <w:sz w:val="24"/>
          <w:szCs w:val="24"/>
        </w:rPr>
        <w:t xml:space="preserve">i rastućeg siromaštva </w:t>
      </w:r>
      <w:r>
        <w:rPr>
          <w:sz w:val="24"/>
          <w:szCs w:val="24"/>
        </w:rPr>
        <w:t>građana raspravlja tek u godinama krize i recesije, dok se o tome nije vodilo dovoljno računa u godinama ekspanzije</w:t>
      </w:r>
      <w:r w:rsidR="009A674D">
        <w:rPr>
          <w:sz w:val="24"/>
          <w:szCs w:val="24"/>
        </w:rPr>
        <w:t>:</w:t>
      </w:r>
      <w:r>
        <w:rPr>
          <w:sz w:val="24"/>
          <w:szCs w:val="24"/>
        </w:rPr>
        <w:t xml:space="preserve"> kada većina troši više nego što treba, zaboravlja na nužnost akumulacije rezervi štednje za „crne dane“ i/ili </w:t>
      </w:r>
      <w:r w:rsidR="00787540">
        <w:rPr>
          <w:sz w:val="24"/>
          <w:szCs w:val="24"/>
        </w:rPr>
        <w:t xml:space="preserve">se </w:t>
      </w:r>
      <w:r>
        <w:rPr>
          <w:sz w:val="24"/>
          <w:szCs w:val="24"/>
        </w:rPr>
        <w:t>kumulira dugoročne dugove koji postaju problem u godinama nepovoljnih ekonomskih zbivanja.</w:t>
      </w:r>
      <w:r w:rsidR="00DB7A82">
        <w:rPr>
          <w:sz w:val="24"/>
          <w:szCs w:val="24"/>
        </w:rPr>
        <w:t xml:space="preserve"> </w:t>
      </w:r>
      <w:r w:rsidR="0070039C" w:rsidRPr="007F1CE8">
        <w:rPr>
          <w:sz w:val="24"/>
          <w:szCs w:val="24"/>
        </w:rPr>
        <w:t xml:space="preserve">Iako se razvoj </w:t>
      </w:r>
      <w:r w:rsidR="00787540">
        <w:rPr>
          <w:sz w:val="24"/>
          <w:szCs w:val="24"/>
        </w:rPr>
        <w:t xml:space="preserve">budućih nepovoljnih </w:t>
      </w:r>
      <w:r w:rsidR="0070039C" w:rsidRPr="007F1CE8">
        <w:rPr>
          <w:sz w:val="24"/>
          <w:szCs w:val="24"/>
        </w:rPr>
        <w:t xml:space="preserve">događaja ne može predvidjeti, a vrlo često niti spriječiti, situacija se može učiniti lakšom uz </w:t>
      </w:r>
      <w:r w:rsidR="0070039C" w:rsidRPr="00DB7A82">
        <w:rPr>
          <w:color w:val="C00000"/>
          <w:sz w:val="24"/>
          <w:szCs w:val="24"/>
        </w:rPr>
        <w:t>pravovremeno formiranje štednje</w:t>
      </w:r>
      <w:r w:rsidR="009A674D" w:rsidRPr="009A674D">
        <w:rPr>
          <w:sz w:val="24"/>
          <w:szCs w:val="24"/>
        </w:rPr>
        <w:t>.</w:t>
      </w:r>
      <w:r w:rsidR="009A674D">
        <w:rPr>
          <w:sz w:val="24"/>
          <w:szCs w:val="24"/>
        </w:rPr>
        <w:t xml:space="preserve"> </w:t>
      </w:r>
      <w:r w:rsidR="009A674D" w:rsidRPr="009A674D">
        <w:rPr>
          <w:sz w:val="24"/>
          <w:szCs w:val="24"/>
        </w:rPr>
        <w:t>Tome</w:t>
      </w:r>
      <w:r w:rsidR="0070039C" w:rsidRPr="009A674D">
        <w:rPr>
          <w:sz w:val="24"/>
          <w:szCs w:val="24"/>
        </w:rPr>
        <w:t xml:space="preserve"> </w:t>
      </w:r>
      <w:r w:rsidR="0070039C" w:rsidRPr="007F1CE8">
        <w:rPr>
          <w:sz w:val="24"/>
          <w:szCs w:val="24"/>
        </w:rPr>
        <w:t xml:space="preserve">mogu poslužiti različiti financijski proizvodi </w:t>
      </w:r>
      <w:r w:rsidR="0070039C" w:rsidRPr="007F1CE8">
        <w:rPr>
          <w:sz w:val="24"/>
          <w:szCs w:val="24"/>
        </w:rPr>
        <w:lastRenderedPageBreak/>
        <w:t>specifičnih obilježja</w:t>
      </w:r>
      <w:r w:rsidR="00DB7A82">
        <w:rPr>
          <w:sz w:val="24"/>
          <w:szCs w:val="24"/>
        </w:rPr>
        <w:t>, poput oročene štednje u bankama, životnog osiguranja, dobrovoljnog mirovinskog osiguranja i drugih</w:t>
      </w:r>
      <w:r w:rsidR="009A674D">
        <w:rPr>
          <w:sz w:val="24"/>
          <w:szCs w:val="24"/>
        </w:rPr>
        <w:t xml:space="preserve">, pod pretpostavkom da su njihove koristi veće od troškova, da štite realnu vrijednost imovine pojedinca </w:t>
      </w:r>
      <w:r w:rsidR="0097725B">
        <w:rPr>
          <w:sz w:val="24"/>
          <w:szCs w:val="24"/>
        </w:rPr>
        <w:t>(imaju pozitivan realni prinos</w:t>
      </w:r>
      <w:r w:rsidR="00787540">
        <w:rPr>
          <w:sz w:val="24"/>
          <w:szCs w:val="24"/>
        </w:rPr>
        <w:t>)</w:t>
      </w:r>
      <w:r w:rsidR="0097725B">
        <w:rPr>
          <w:sz w:val="24"/>
          <w:szCs w:val="24"/>
        </w:rPr>
        <w:t xml:space="preserve"> te</w:t>
      </w:r>
      <w:r w:rsidR="009A674D">
        <w:rPr>
          <w:sz w:val="24"/>
          <w:szCs w:val="24"/>
        </w:rPr>
        <w:t xml:space="preserve"> da doista imaju funkciju koja se promovira</w:t>
      </w:r>
      <w:r w:rsidR="0070039C" w:rsidRPr="007F1CE8">
        <w:rPr>
          <w:sz w:val="24"/>
          <w:szCs w:val="24"/>
        </w:rPr>
        <w:t>.</w:t>
      </w:r>
    </w:p>
    <w:p w:rsidR="001354A7" w:rsidRDefault="0070039C" w:rsidP="003A2DC6">
      <w:pPr>
        <w:spacing w:line="271" w:lineRule="auto"/>
        <w:jc w:val="both"/>
        <w:rPr>
          <w:sz w:val="24"/>
          <w:szCs w:val="24"/>
        </w:rPr>
      </w:pPr>
      <w:r w:rsidRPr="007F1CE8">
        <w:rPr>
          <w:sz w:val="24"/>
          <w:szCs w:val="24"/>
        </w:rPr>
        <w:t xml:space="preserve">Financije su vrlo složeno područje. </w:t>
      </w:r>
      <w:r w:rsidRPr="001E02F1">
        <w:rPr>
          <w:rFonts w:eastAsia="Times New Roman" w:cs="Arial"/>
          <w:color w:val="C00000"/>
          <w:sz w:val="24"/>
          <w:szCs w:val="24"/>
          <w:shd w:val="clear" w:color="auto" w:fill="FFFFFF"/>
          <w:lang w:eastAsia="hr-HR"/>
        </w:rPr>
        <w:t>Financijski proizvodi ponekad izgledaju lako razumljivi</w:t>
      </w:r>
      <w:r w:rsidR="009A674D">
        <w:rPr>
          <w:rFonts w:eastAsia="Times New Roman" w:cs="Arial"/>
          <w:color w:val="C00000"/>
          <w:sz w:val="24"/>
          <w:szCs w:val="24"/>
          <w:shd w:val="clear" w:color="auto" w:fill="FFFFFF"/>
          <w:lang w:eastAsia="hr-HR"/>
        </w:rPr>
        <w:t>,</w:t>
      </w:r>
      <w:r w:rsidRPr="001E02F1">
        <w:rPr>
          <w:rFonts w:eastAsia="Times New Roman" w:cs="Arial"/>
          <w:color w:val="C00000"/>
          <w:sz w:val="24"/>
          <w:szCs w:val="24"/>
          <w:shd w:val="clear" w:color="auto" w:fill="FFFFFF"/>
          <w:lang w:eastAsia="hr-HR"/>
        </w:rPr>
        <w:t xml:space="preserve"> a u stvarnosti mogu biti vrlo složeni i rizični</w:t>
      </w:r>
      <w:r w:rsidR="001354A7">
        <w:rPr>
          <w:sz w:val="24"/>
          <w:szCs w:val="24"/>
        </w:rPr>
        <w:t xml:space="preserve">. Budućnost se ne može predvidjeti pa se na isti način </w:t>
      </w:r>
      <w:r w:rsidR="001354A7" w:rsidRPr="001354A7">
        <w:rPr>
          <w:color w:val="C00000"/>
          <w:sz w:val="24"/>
          <w:szCs w:val="24"/>
        </w:rPr>
        <w:t>ne mogu predvidjeti ukupna zbivanja na financijskim tržištima</w:t>
      </w:r>
      <w:r w:rsidR="001354A7" w:rsidRPr="001354A7">
        <w:rPr>
          <w:sz w:val="24"/>
          <w:szCs w:val="24"/>
        </w:rPr>
        <w:t xml:space="preserve">, dok se o pretpostavkama ponašanja odnosa između </w:t>
      </w:r>
      <w:r w:rsidR="00BC23CC">
        <w:rPr>
          <w:sz w:val="24"/>
          <w:szCs w:val="24"/>
        </w:rPr>
        <w:t xml:space="preserve">ekonomske </w:t>
      </w:r>
      <w:r w:rsidR="001354A7" w:rsidRPr="001354A7">
        <w:rPr>
          <w:sz w:val="24"/>
          <w:szCs w:val="24"/>
        </w:rPr>
        <w:t xml:space="preserve">varijable X i </w:t>
      </w:r>
      <w:r w:rsidR="00BC23CC">
        <w:rPr>
          <w:sz w:val="24"/>
          <w:szCs w:val="24"/>
        </w:rPr>
        <w:t xml:space="preserve">ekonomske </w:t>
      </w:r>
      <w:r w:rsidR="001354A7" w:rsidRPr="001354A7">
        <w:rPr>
          <w:sz w:val="24"/>
          <w:szCs w:val="24"/>
        </w:rPr>
        <w:t>varijable Y tipično raspravlja uz uvjet</w:t>
      </w:r>
      <w:r w:rsidR="001354A7">
        <w:rPr>
          <w:color w:val="C00000"/>
          <w:sz w:val="24"/>
          <w:szCs w:val="24"/>
        </w:rPr>
        <w:t xml:space="preserve"> ceteris paribus (odnosno pretpostavku da se ništa drugo se neće promijeniti)</w:t>
      </w:r>
      <w:r w:rsidR="001354A7">
        <w:rPr>
          <w:sz w:val="24"/>
          <w:szCs w:val="24"/>
        </w:rPr>
        <w:t>. Međutim, stvaran svijet je sve suprotno od toga, jer se niz ekonomskih i financijskih varijabla mijenja istodobno pa konačni rezultati mogu biti bitno različiti od predviđanja koja su izvedena uz određene pretpostavke. Pri tome je posebno teško predvidjeti ponašanje sudionika tržišta, zbog čega se često ističe a su „</w:t>
      </w:r>
      <w:r w:rsidR="001354A7" w:rsidRPr="001354A7">
        <w:rPr>
          <w:i/>
          <w:color w:val="C00000"/>
          <w:sz w:val="24"/>
          <w:szCs w:val="24"/>
        </w:rPr>
        <w:t>ljudi najveći faktor nestabilnosti i nepredvidivosti u ekonomiji</w:t>
      </w:r>
      <w:r w:rsidR="001354A7">
        <w:rPr>
          <w:sz w:val="24"/>
          <w:szCs w:val="24"/>
        </w:rPr>
        <w:t>“</w:t>
      </w:r>
      <w:r w:rsidR="00BC23CC">
        <w:rPr>
          <w:sz w:val="24"/>
          <w:szCs w:val="24"/>
        </w:rPr>
        <w:t>, što je i če</w:t>
      </w:r>
      <w:r w:rsidR="00787540">
        <w:rPr>
          <w:sz w:val="24"/>
          <w:szCs w:val="24"/>
        </w:rPr>
        <w:t>st</w:t>
      </w:r>
      <w:r w:rsidR="00BC23CC">
        <w:rPr>
          <w:sz w:val="24"/>
          <w:szCs w:val="24"/>
        </w:rPr>
        <w:t xml:space="preserve"> razlog kontradiktornih rezultata koje daju ekonometrijske analize provođene u različitim zemljama ili u istim zemljama u različitim vremenskim intervalima</w:t>
      </w:r>
      <w:r w:rsidR="001354A7">
        <w:rPr>
          <w:sz w:val="24"/>
          <w:szCs w:val="24"/>
        </w:rPr>
        <w:t xml:space="preserve">. </w:t>
      </w:r>
    </w:p>
    <w:p w:rsidR="00EA789A" w:rsidRDefault="00040AB8" w:rsidP="003A2DC6">
      <w:pPr>
        <w:spacing w:line="271" w:lineRule="auto"/>
        <w:jc w:val="both"/>
        <w:rPr>
          <w:sz w:val="24"/>
          <w:szCs w:val="24"/>
        </w:rPr>
      </w:pPr>
      <w:r w:rsidRPr="00040AB8">
        <w:rPr>
          <w:sz w:val="24"/>
          <w:szCs w:val="24"/>
        </w:rPr>
        <w:t>A</w:t>
      </w:r>
      <w:r w:rsidR="0070039C" w:rsidRPr="00040AB8">
        <w:rPr>
          <w:sz w:val="24"/>
          <w:szCs w:val="24"/>
        </w:rPr>
        <w:t>k</w:t>
      </w:r>
      <w:r w:rsidR="0070039C" w:rsidRPr="007F1CE8">
        <w:rPr>
          <w:sz w:val="24"/>
          <w:szCs w:val="24"/>
        </w:rPr>
        <w:t>tivnost</w:t>
      </w:r>
      <w:r w:rsidR="009A674D">
        <w:rPr>
          <w:sz w:val="24"/>
          <w:szCs w:val="24"/>
        </w:rPr>
        <w:t>i</w:t>
      </w:r>
      <w:r w:rsidR="0070039C" w:rsidRPr="007F1CE8">
        <w:rPr>
          <w:sz w:val="24"/>
          <w:szCs w:val="24"/>
        </w:rPr>
        <w:t xml:space="preserve"> svakog tipa financijske institucije</w:t>
      </w:r>
      <w:r w:rsidR="00787540">
        <w:rPr>
          <w:sz w:val="24"/>
          <w:szCs w:val="24"/>
        </w:rPr>
        <w:t>, kao</w:t>
      </w:r>
      <w:r w:rsidR="0070039C" w:rsidRPr="007F1CE8">
        <w:rPr>
          <w:sz w:val="24"/>
          <w:szCs w:val="24"/>
        </w:rPr>
        <w:t xml:space="preserve"> </w:t>
      </w:r>
      <w:r w:rsidR="009A674D">
        <w:rPr>
          <w:sz w:val="24"/>
          <w:szCs w:val="24"/>
        </w:rPr>
        <w:t xml:space="preserve">i obilježja financijskih </w:t>
      </w:r>
      <w:r w:rsidR="0077537B">
        <w:rPr>
          <w:sz w:val="24"/>
          <w:szCs w:val="24"/>
        </w:rPr>
        <w:t>„</w:t>
      </w:r>
      <w:r w:rsidR="009A674D">
        <w:rPr>
          <w:sz w:val="24"/>
          <w:szCs w:val="24"/>
        </w:rPr>
        <w:t>proizvoda</w:t>
      </w:r>
      <w:r w:rsidR="0077537B">
        <w:rPr>
          <w:sz w:val="24"/>
          <w:szCs w:val="24"/>
        </w:rPr>
        <w:t>“ i instrumenata</w:t>
      </w:r>
      <w:r w:rsidR="009A674D">
        <w:rPr>
          <w:sz w:val="24"/>
          <w:szCs w:val="24"/>
        </w:rPr>
        <w:t xml:space="preserve"> </w:t>
      </w:r>
      <w:r w:rsidR="0070039C" w:rsidRPr="007F1CE8">
        <w:rPr>
          <w:sz w:val="24"/>
          <w:szCs w:val="24"/>
        </w:rPr>
        <w:t xml:space="preserve">prilično </w:t>
      </w:r>
      <w:r w:rsidR="009A674D">
        <w:rPr>
          <w:sz w:val="24"/>
          <w:szCs w:val="24"/>
        </w:rPr>
        <w:t>su</w:t>
      </w:r>
      <w:r>
        <w:rPr>
          <w:sz w:val="24"/>
          <w:szCs w:val="24"/>
        </w:rPr>
        <w:t xml:space="preserve"> </w:t>
      </w:r>
      <w:r w:rsidR="0070039C" w:rsidRPr="007F1CE8">
        <w:rPr>
          <w:sz w:val="24"/>
          <w:szCs w:val="24"/>
        </w:rPr>
        <w:t>različita</w:t>
      </w:r>
      <w:r w:rsidR="0077537B">
        <w:rPr>
          <w:sz w:val="24"/>
          <w:szCs w:val="24"/>
        </w:rPr>
        <w:t>. O</w:t>
      </w:r>
      <w:r w:rsidR="0070039C" w:rsidRPr="007F1CE8">
        <w:rPr>
          <w:sz w:val="24"/>
          <w:szCs w:val="24"/>
        </w:rPr>
        <w:t>slanjanj</w:t>
      </w:r>
      <w:r w:rsidR="00615252">
        <w:rPr>
          <w:sz w:val="24"/>
          <w:szCs w:val="24"/>
        </w:rPr>
        <w:t>e</w:t>
      </w:r>
      <w:r w:rsidR="0070039C" w:rsidRPr="007F1CE8">
        <w:rPr>
          <w:sz w:val="24"/>
          <w:szCs w:val="24"/>
        </w:rPr>
        <w:t xml:space="preserve"> na ranija</w:t>
      </w:r>
      <w:r w:rsidR="004D5671">
        <w:rPr>
          <w:sz w:val="24"/>
          <w:szCs w:val="24"/>
        </w:rPr>
        <w:t xml:space="preserve"> </w:t>
      </w:r>
      <w:r w:rsidR="0077537B">
        <w:rPr>
          <w:sz w:val="24"/>
          <w:szCs w:val="24"/>
        </w:rPr>
        <w:t xml:space="preserve">(naizgled slična) </w:t>
      </w:r>
      <w:r w:rsidR="0070039C" w:rsidRPr="007F1CE8">
        <w:rPr>
          <w:sz w:val="24"/>
          <w:szCs w:val="24"/>
        </w:rPr>
        <w:t xml:space="preserve">iskustva </w:t>
      </w:r>
      <w:r w:rsidR="0077537B">
        <w:rPr>
          <w:sz w:val="24"/>
          <w:szCs w:val="24"/>
        </w:rPr>
        <w:t xml:space="preserve">stoga </w:t>
      </w:r>
      <w:r w:rsidR="00615252">
        <w:rPr>
          <w:sz w:val="24"/>
          <w:szCs w:val="24"/>
        </w:rPr>
        <w:t>može</w:t>
      </w:r>
      <w:r w:rsidR="004D5671">
        <w:rPr>
          <w:sz w:val="24"/>
          <w:szCs w:val="24"/>
        </w:rPr>
        <w:t xml:space="preserve"> biti </w:t>
      </w:r>
      <w:r w:rsidR="0070039C" w:rsidRPr="007F1CE8">
        <w:rPr>
          <w:sz w:val="24"/>
          <w:szCs w:val="24"/>
        </w:rPr>
        <w:t>opasn</w:t>
      </w:r>
      <w:r w:rsidR="00615252">
        <w:rPr>
          <w:sz w:val="24"/>
          <w:szCs w:val="24"/>
        </w:rPr>
        <w:t>o</w:t>
      </w:r>
      <w:r w:rsidR="004D5671">
        <w:rPr>
          <w:sz w:val="24"/>
          <w:szCs w:val="24"/>
        </w:rPr>
        <w:t xml:space="preserve"> ako se </w:t>
      </w:r>
      <w:r w:rsidR="00615252">
        <w:rPr>
          <w:sz w:val="24"/>
          <w:szCs w:val="24"/>
        </w:rPr>
        <w:t>primjenjuje</w:t>
      </w:r>
      <w:r w:rsidR="004D5671">
        <w:rPr>
          <w:sz w:val="24"/>
          <w:szCs w:val="24"/>
        </w:rPr>
        <w:t xml:space="preserve"> na nekom novom neistraženom području. Izvor informacija o financijskim proizvodima uglavnom je prodajno osoblje </w:t>
      </w:r>
      <w:r w:rsidR="00DB7A82">
        <w:rPr>
          <w:sz w:val="24"/>
          <w:szCs w:val="24"/>
        </w:rPr>
        <w:t xml:space="preserve">financijskih institucija </w:t>
      </w:r>
      <w:r w:rsidR="004D5671">
        <w:rPr>
          <w:sz w:val="24"/>
          <w:szCs w:val="24"/>
        </w:rPr>
        <w:t xml:space="preserve">koje je </w:t>
      </w:r>
      <w:r>
        <w:rPr>
          <w:sz w:val="24"/>
          <w:szCs w:val="24"/>
        </w:rPr>
        <w:t xml:space="preserve">tipično ljubazno i trudi se zadovoljiti potrebe klijenata, </w:t>
      </w:r>
      <w:r w:rsidR="004D5671">
        <w:rPr>
          <w:sz w:val="24"/>
          <w:szCs w:val="24"/>
        </w:rPr>
        <w:t xml:space="preserve">ali je s druge strane pod pritiskom naloženih planova prodaje </w:t>
      </w:r>
      <w:r w:rsidR="008E7D86">
        <w:rPr>
          <w:sz w:val="24"/>
          <w:szCs w:val="24"/>
        </w:rPr>
        <w:t xml:space="preserve">u skladu s kojima </w:t>
      </w:r>
      <w:r w:rsidR="00EA789A">
        <w:rPr>
          <w:sz w:val="24"/>
          <w:szCs w:val="24"/>
        </w:rPr>
        <w:t xml:space="preserve">mora </w:t>
      </w:r>
      <w:r w:rsidR="004D5671" w:rsidRPr="007F1CE8">
        <w:rPr>
          <w:sz w:val="24"/>
          <w:szCs w:val="24"/>
        </w:rPr>
        <w:t>favorizira</w:t>
      </w:r>
      <w:r w:rsidR="00EA789A">
        <w:rPr>
          <w:sz w:val="24"/>
          <w:szCs w:val="24"/>
        </w:rPr>
        <w:t>ti</w:t>
      </w:r>
      <w:r w:rsidR="004D5671" w:rsidRPr="007F1CE8">
        <w:rPr>
          <w:sz w:val="24"/>
          <w:szCs w:val="24"/>
        </w:rPr>
        <w:t xml:space="preserve"> </w:t>
      </w:r>
      <w:r w:rsidR="0077537B">
        <w:rPr>
          <w:sz w:val="24"/>
          <w:szCs w:val="24"/>
        </w:rPr>
        <w:t xml:space="preserve">ponudu određenih instrumenta. Pri tome je (slično kao i kod reklama i drugih promotivnih aktivnosti) </w:t>
      </w:r>
      <w:r w:rsidR="004D5671" w:rsidRPr="00DB7A82">
        <w:rPr>
          <w:color w:val="C00000"/>
          <w:sz w:val="24"/>
          <w:szCs w:val="24"/>
        </w:rPr>
        <w:t xml:space="preserve">praksa uvjeravanja </w:t>
      </w:r>
      <w:r w:rsidR="0077537B">
        <w:rPr>
          <w:color w:val="C00000"/>
          <w:sz w:val="24"/>
          <w:szCs w:val="24"/>
        </w:rPr>
        <w:t xml:space="preserve">često </w:t>
      </w:r>
      <w:r w:rsidR="004D5671" w:rsidRPr="00DB7A82">
        <w:rPr>
          <w:color w:val="C00000"/>
          <w:sz w:val="24"/>
          <w:szCs w:val="24"/>
        </w:rPr>
        <w:t>tim agresivnija što su stvarne neto-pogodnosti proizvoda manje</w:t>
      </w:r>
      <w:r w:rsidR="004D5671">
        <w:rPr>
          <w:sz w:val="24"/>
          <w:szCs w:val="24"/>
        </w:rPr>
        <w:t>.</w:t>
      </w:r>
      <w:r w:rsidR="004D5671" w:rsidRPr="007F1CE8">
        <w:rPr>
          <w:sz w:val="24"/>
          <w:szCs w:val="24"/>
        </w:rPr>
        <w:t xml:space="preserve"> </w:t>
      </w:r>
      <w:r w:rsidR="00BC23CC">
        <w:rPr>
          <w:sz w:val="24"/>
          <w:szCs w:val="24"/>
        </w:rPr>
        <w:t xml:space="preserve">S </w:t>
      </w:r>
      <w:r w:rsidR="0070039C" w:rsidRPr="007F1CE8">
        <w:rPr>
          <w:sz w:val="24"/>
          <w:szCs w:val="24"/>
        </w:rPr>
        <w:t>druge strane</w:t>
      </w:r>
      <w:r w:rsidR="001354A7">
        <w:rPr>
          <w:sz w:val="24"/>
          <w:szCs w:val="24"/>
        </w:rPr>
        <w:t>,</w:t>
      </w:r>
      <w:r w:rsidR="0070039C" w:rsidRPr="007F1CE8">
        <w:rPr>
          <w:sz w:val="24"/>
          <w:szCs w:val="24"/>
        </w:rPr>
        <w:t xml:space="preserve"> </w:t>
      </w:r>
      <w:r w:rsidR="0070039C" w:rsidRPr="00BC23CC">
        <w:rPr>
          <w:color w:val="C00000"/>
          <w:sz w:val="24"/>
          <w:szCs w:val="24"/>
        </w:rPr>
        <w:t>svijet financija je prepun mogućnosti</w:t>
      </w:r>
      <w:r w:rsidR="0070039C" w:rsidRPr="007F1CE8">
        <w:rPr>
          <w:sz w:val="24"/>
          <w:szCs w:val="24"/>
        </w:rPr>
        <w:t>, a jedne od najvažnijih su proizvodi koji čuvaju realnu vrijednost imovine i potiču pojedinca na kapitalizaciju štednje - poseb</w:t>
      </w:r>
      <w:r w:rsidR="001354A7">
        <w:rPr>
          <w:sz w:val="24"/>
          <w:szCs w:val="24"/>
        </w:rPr>
        <w:t>no</w:t>
      </w:r>
      <w:r w:rsidR="0070039C" w:rsidRPr="007F1CE8">
        <w:rPr>
          <w:sz w:val="24"/>
          <w:szCs w:val="24"/>
        </w:rPr>
        <w:t xml:space="preserve"> štednj</w:t>
      </w:r>
      <w:r w:rsidR="00787540">
        <w:rPr>
          <w:sz w:val="24"/>
          <w:szCs w:val="24"/>
        </w:rPr>
        <w:t>e</w:t>
      </w:r>
      <w:r w:rsidR="0070039C" w:rsidRPr="007F1CE8">
        <w:rPr>
          <w:sz w:val="24"/>
          <w:szCs w:val="24"/>
        </w:rPr>
        <w:t xml:space="preserve"> za starost </w:t>
      </w:r>
      <w:r w:rsidR="002843D5">
        <w:rPr>
          <w:sz w:val="24"/>
          <w:szCs w:val="24"/>
        </w:rPr>
        <w:t>i</w:t>
      </w:r>
      <w:r w:rsidR="0070039C" w:rsidRPr="007F1CE8">
        <w:rPr>
          <w:sz w:val="24"/>
          <w:szCs w:val="24"/>
        </w:rPr>
        <w:t xml:space="preserve"> nepredviđene situacije. </w:t>
      </w:r>
    </w:p>
    <w:p w:rsidR="0070039C" w:rsidRDefault="007A27D8" w:rsidP="003A2DC6">
      <w:pPr>
        <w:spacing w:line="271" w:lineRule="auto"/>
        <w:jc w:val="both"/>
        <w:rPr>
          <w:sz w:val="24"/>
          <w:szCs w:val="24"/>
        </w:rPr>
      </w:pPr>
      <w:r>
        <w:rPr>
          <w:sz w:val="24"/>
          <w:szCs w:val="24"/>
        </w:rPr>
        <w:t xml:space="preserve">Što se </w:t>
      </w:r>
      <w:r w:rsidRPr="00EA789A">
        <w:rPr>
          <w:sz w:val="24"/>
          <w:szCs w:val="24"/>
        </w:rPr>
        <w:t xml:space="preserve">ranije započne s praksom redovitog mjesečnog izdvajanja određenog novčanog fonda u svrhu štednje </w:t>
      </w:r>
      <w:r>
        <w:rPr>
          <w:sz w:val="24"/>
          <w:szCs w:val="24"/>
        </w:rPr>
        <w:t xml:space="preserve">(makar samo 5% mjesečnih prihoda), tim će se više štednje kapitalizirati do trenutka odlaska u mirovinu. </w:t>
      </w:r>
      <w:r w:rsidR="0070039C" w:rsidRPr="007F1CE8">
        <w:rPr>
          <w:sz w:val="24"/>
          <w:szCs w:val="24"/>
        </w:rPr>
        <w:t xml:space="preserve">Međutim, jedna od čestih </w:t>
      </w:r>
      <w:r w:rsidR="0070039C" w:rsidRPr="001E02F1">
        <w:rPr>
          <w:rFonts w:eastAsia="Times New Roman" w:cs="Arial"/>
          <w:color w:val="C00000"/>
          <w:sz w:val="24"/>
          <w:szCs w:val="24"/>
          <w:shd w:val="clear" w:color="auto" w:fill="FFFFFF"/>
          <w:lang w:eastAsia="hr-HR"/>
        </w:rPr>
        <w:t>zabluda ljudi</w:t>
      </w:r>
      <w:r w:rsidR="0070039C" w:rsidRPr="00EA789A">
        <w:rPr>
          <w:color w:val="C00000"/>
          <w:sz w:val="24"/>
          <w:szCs w:val="24"/>
        </w:rPr>
        <w:t xml:space="preserve"> </w:t>
      </w:r>
      <w:r w:rsidR="0070039C" w:rsidRPr="007F1CE8">
        <w:rPr>
          <w:sz w:val="24"/>
          <w:szCs w:val="24"/>
        </w:rPr>
        <w:t xml:space="preserve">je da </w:t>
      </w:r>
      <w:r w:rsidR="008E7D86">
        <w:rPr>
          <w:sz w:val="24"/>
          <w:szCs w:val="24"/>
        </w:rPr>
        <w:t xml:space="preserve">„im ništa ne ostaje za štednju“, da </w:t>
      </w:r>
      <w:r w:rsidR="0070039C" w:rsidRPr="007F1CE8">
        <w:rPr>
          <w:sz w:val="24"/>
          <w:szCs w:val="24"/>
        </w:rPr>
        <w:t xml:space="preserve">štedjeti trebaju </w:t>
      </w:r>
      <w:r w:rsidR="00B90D33">
        <w:rPr>
          <w:sz w:val="24"/>
          <w:szCs w:val="24"/>
        </w:rPr>
        <w:t>„</w:t>
      </w:r>
      <w:r w:rsidR="0070039C" w:rsidRPr="007F1CE8">
        <w:rPr>
          <w:sz w:val="24"/>
          <w:szCs w:val="24"/>
        </w:rPr>
        <w:t>samo oni koji mogu</w:t>
      </w:r>
      <w:r w:rsidR="00B90D33">
        <w:rPr>
          <w:sz w:val="24"/>
          <w:szCs w:val="24"/>
        </w:rPr>
        <w:t>“</w:t>
      </w:r>
      <w:r w:rsidR="0070039C" w:rsidRPr="007F1CE8">
        <w:rPr>
          <w:sz w:val="24"/>
          <w:szCs w:val="24"/>
        </w:rPr>
        <w:t xml:space="preserve">, </w:t>
      </w:r>
      <w:r w:rsidR="008E7D86">
        <w:rPr>
          <w:sz w:val="24"/>
          <w:szCs w:val="24"/>
        </w:rPr>
        <w:t>ili da je „štednja luksuz dostupan samo nekima“</w:t>
      </w:r>
      <w:r>
        <w:rPr>
          <w:sz w:val="24"/>
          <w:szCs w:val="24"/>
        </w:rPr>
        <w:t xml:space="preserve">. </w:t>
      </w:r>
      <w:r w:rsidR="00BC23CC">
        <w:rPr>
          <w:sz w:val="24"/>
          <w:szCs w:val="24"/>
        </w:rPr>
        <w:t xml:space="preserve">Međutim, </w:t>
      </w:r>
      <w:r w:rsidR="0070039C" w:rsidRPr="001E02F1">
        <w:rPr>
          <w:rFonts w:eastAsia="Times New Roman" w:cs="Arial"/>
          <w:color w:val="C00000"/>
          <w:sz w:val="24"/>
          <w:szCs w:val="24"/>
          <w:shd w:val="clear" w:color="auto" w:fill="FFFFFF"/>
          <w:lang w:eastAsia="hr-HR"/>
        </w:rPr>
        <w:t xml:space="preserve">štedjeti i racionalno upravljati financijama trebaju svi </w:t>
      </w:r>
      <w:r w:rsidRPr="001E02F1">
        <w:rPr>
          <w:rFonts w:eastAsia="Times New Roman" w:cs="Arial"/>
          <w:color w:val="C00000"/>
          <w:sz w:val="24"/>
          <w:szCs w:val="24"/>
          <w:shd w:val="clear" w:color="auto" w:fill="FFFFFF"/>
          <w:lang w:eastAsia="hr-HR"/>
        </w:rPr>
        <w:t>– i bogati i siromašni</w:t>
      </w:r>
      <w:r w:rsidRPr="00BC0DAF">
        <w:rPr>
          <w:sz w:val="24"/>
          <w:szCs w:val="24"/>
        </w:rPr>
        <w:t xml:space="preserve">, </w:t>
      </w:r>
      <w:r w:rsidR="0070039C" w:rsidRPr="00BC0DAF">
        <w:rPr>
          <w:sz w:val="24"/>
          <w:szCs w:val="24"/>
        </w:rPr>
        <w:t xml:space="preserve">neovisno o visini dohotka </w:t>
      </w:r>
      <w:r w:rsidRPr="007A27D8">
        <w:rPr>
          <w:sz w:val="24"/>
          <w:szCs w:val="24"/>
        </w:rPr>
        <w:t>i činjenici da u društvu postoje značajne dohodovne i imovinske razlike</w:t>
      </w:r>
      <w:r w:rsidR="0070039C" w:rsidRPr="007A27D8">
        <w:rPr>
          <w:sz w:val="24"/>
          <w:szCs w:val="24"/>
        </w:rPr>
        <w:t xml:space="preserve">. </w:t>
      </w:r>
    </w:p>
    <w:p w:rsidR="00FE574C" w:rsidRDefault="0070039C" w:rsidP="003A2DC6">
      <w:pPr>
        <w:spacing w:line="271" w:lineRule="auto"/>
        <w:jc w:val="both"/>
        <w:rPr>
          <w:sz w:val="24"/>
          <w:szCs w:val="24"/>
        </w:rPr>
      </w:pPr>
      <w:r>
        <w:rPr>
          <w:sz w:val="24"/>
          <w:szCs w:val="24"/>
        </w:rPr>
        <w:t xml:space="preserve">Isto tako </w:t>
      </w:r>
      <w:r w:rsidR="008E7D86">
        <w:rPr>
          <w:sz w:val="24"/>
          <w:szCs w:val="24"/>
        </w:rPr>
        <w:t xml:space="preserve">loše emocije poput </w:t>
      </w:r>
      <w:r w:rsidR="00A17E68">
        <w:rPr>
          <w:sz w:val="24"/>
          <w:szCs w:val="24"/>
        </w:rPr>
        <w:t xml:space="preserve">nezadovoljstva, razočaranja i depresije ili pak </w:t>
      </w:r>
      <w:r w:rsidR="008E7D86">
        <w:rPr>
          <w:sz w:val="24"/>
          <w:szCs w:val="24"/>
        </w:rPr>
        <w:t xml:space="preserve">jala i </w:t>
      </w:r>
      <w:r>
        <w:rPr>
          <w:sz w:val="24"/>
          <w:szCs w:val="24"/>
        </w:rPr>
        <w:t>zavist</w:t>
      </w:r>
      <w:r w:rsidR="007A27D8">
        <w:rPr>
          <w:sz w:val="24"/>
          <w:szCs w:val="24"/>
        </w:rPr>
        <w:t>i</w:t>
      </w:r>
      <w:r>
        <w:rPr>
          <w:sz w:val="24"/>
          <w:szCs w:val="24"/>
        </w:rPr>
        <w:t xml:space="preserve"> prema drugima</w:t>
      </w:r>
      <w:r w:rsidR="008E7D86">
        <w:rPr>
          <w:sz w:val="24"/>
          <w:szCs w:val="24"/>
        </w:rPr>
        <w:t xml:space="preserve"> (onima</w:t>
      </w:r>
      <w:r>
        <w:rPr>
          <w:sz w:val="24"/>
          <w:szCs w:val="24"/>
        </w:rPr>
        <w:t xml:space="preserve"> koji imaju više ili jako puno</w:t>
      </w:r>
      <w:r w:rsidR="008E7D86">
        <w:rPr>
          <w:sz w:val="24"/>
          <w:szCs w:val="24"/>
        </w:rPr>
        <w:t>)</w:t>
      </w:r>
      <w:r>
        <w:rPr>
          <w:sz w:val="24"/>
          <w:szCs w:val="24"/>
        </w:rPr>
        <w:t>, nikako ne smij</w:t>
      </w:r>
      <w:r w:rsidR="008E7D86">
        <w:rPr>
          <w:sz w:val="24"/>
          <w:szCs w:val="24"/>
        </w:rPr>
        <w:t>u</w:t>
      </w:r>
      <w:r>
        <w:rPr>
          <w:sz w:val="24"/>
          <w:szCs w:val="24"/>
        </w:rPr>
        <w:t xml:space="preserve"> postati kočnica koja ograničava pojedinca da se sam angažira u</w:t>
      </w:r>
      <w:r w:rsidR="00B90D33">
        <w:rPr>
          <w:sz w:val="24"/>
          <w:szCs w:val="24"/>
        </w:rPr>
        <w:t xml:space="preserve"> unapređenju osobnih financija i promjeni svoju ekonomsku poziciju na bolje.</w:t>
      </w:r>
      <w:r w:rsidR="008E7D86">
        <w:rPr>
          <w:sz w:val="24"/>
          <w:szCs w:val="24"/>
        </w:rPr>
        <w:t xml:space="preserve"> </w:t>
      </w:r>
      <w:r w:rsidR="00FE574C">
        <w:rPr>
          <w:sz w:val="24"/>
          <w:szCs w:val="24"/>
        </w:rPr>
        <w:t>Činjenica da se je netk</w:t>
      </w:r>
      <w:r w:rsidR="00213BD2">
        <w:rPr>
          <w:sz w:val="24"/>
          <w:szCs w:val="24"/>
        </w:rPr>
        <w:t xml:space="preserve">o rodio i odrastao u siromaštvu </w:t>
      </w:r>
      <w:r w:rsidR="00FE574C">
        <w:rPr>
          <w:sz w:val="24"/>
          <w:szCs w:val="24"/>
        </w:rPr>
        <w:t>ne znači da u budućnosti njegova financijska situacija ne može biti daleko bolja</w:t>
      </w:r>
      <w:r w:rsidR="00951406">
        <w:rPr>
          <w:sz w:val="24"/>
          <w:szCs w:val="24"/>
        </w:rPr>
        <w:t xml:space="preserve">, a </w:t>
      </w:r>
      <w:r w:rsidR="00951406" w:rsidRPr="002843D5">
        <w:rPr>
          <w:color w:val="C00000"/>
          <w:sz w:val="24"/>
          <w:szCs w:val="24"/>
        </w:rPr>
        <w:t>j</w:t>
      </w:r>
      <w:r w:rsidR="009054BF" w:rsidRPr="002843D5">
        <w:rPr>
          <w:color w:val="C00000"/>
          <w:sz w:val="24"/>
          <w:szCs w:val="24"/>
        </w:rPr>
        <w:t xml:space="preserve">edan </w:t>
      </w:r>
      <w:r w:rsidR="00951406" w:rsidRPr="002843D5">
        <w:rPr>
          <w:color w:val="C00000"/>
          <w:sz w:val="24"/>
          <w:szCs w:val="24"/>
        </w:rPr>
        <w:t xml:space="preserve">od </w:t>
      </w:r>
      <w:r w:rsidR="009054BF" w:rsidRPr="002843D5">
        <w:rPr>
          <w:color w:val="C00000"/>
          <w:sz w:val="24"/>
          <w:szCs w:val="24"/>
        </w:rPr>
        <w:t xml:space="preserve">načina da se </w:t>
      </w:r>
      <w:r w:rsidR="009054BF" w:rsidRPr="002843D5">
        <w:rPr>
          <w:color w:val="C00000"/>
          <w:sz w:val="24"/>
          <w:szCs w:val="24"/>
        </w:rPr>
        <w:lastRenderedPageBreak/>
        <w:t xml:space="preserve">iskoči iz razreda niskih dohodaka u više dohodovne razrede </w:t>
      </w:r>
      <w:r w:rsidR="00673901" w:rsidRPr="00787540">
        <w:rPr>
          <w:sz w:val="24"/>
          <w:szCs w:val="24"/>
        </w:rPr>
        <w:t xml:space="preserve">(tzv. vertikalna prohodnost) </w:t>
      </w:r>
      <w:r w:rsidR="002843D5" w:rsidRPr="00787540">
        <w:rPr>
          <w:sz w:val="24"/>
          <w:szCs w:val="24"/>
        </w:rPr>
        <w:t>su</w:t>
      </w:r>
      <w:r w:rsidR="009054BF" w:rsidRPr="00787540">
        <w:rPr>
          <w:sz w:val="24"/>
          <w:szCs w:val="24"/>
        </w:rPr>
        <w:t xml:space="preserve"> dostizanje </w:t>
      </w:r>
      <w:r w:rsidR="009054BF" w:rsidRPr="002843D5">
        <w:rPr>
          <w:color w:val="C00000"/>
          <w:sz w:val="24"/>
          <w:szCs w:val="24"/>
        </w:rPr>
        <w:t>što v</w:t>
      </w:r>
      <w:r w:rsidR="00787540">
        <w:rPr>
          <w:color w:val="C00000"/>
          <w:sz w:val="24"/>
          <w:szCs w:val="24"/>
        </w:rPr>
        <w:t>išeg</w:t>
      </w:r>
      <w:r w:rsidR="009054BF" w:rsidRPr="002843D5">
        <w:rPr>
          <w:color w:val="C00000"/>
          <w:sz w:val="24"/>
          <w:szCs w:val="24"/>
        </w:rPr>
        <w:t xml:space="preserve"> stupnja obrazovanja</w:t>
      </w:r>
      <w:r w:rsidR="00787540">
        <w:rPr>
          <w:color w:val="C00000"/>
          <w:sz w:val="24"/>
          <w:szCs w:val="24"/>
        </w:rPr>
        <w:t>, kumuliranje znanja i vještina te</w:t>
      </w:r>
      <w:r w:rsidR="002843D5" w:rsidRPr="002843D5">
        <w:rPr>
          <w:sz w:val="24"/>
          <w:szCs w:val="24"/>
        </w:rPr>
        <w:t xml:space="preserve"> pravovremeno </w:t>
      </w:r>
      <w:r w:rsidR="002843D5">
        <w:rPr>
          <w:color w:val="C00000"/>
          <w:sz w:val="24"/>
          <w:szCs w:val="24"/>
        </w:rPr>
        <w:t>planiranje karijere</w:t>
      </w:r>
      <w:r w:rsidR="009054BF">
        <w:rPr>
          <w:sz w:val="24"/>
          <w:szCs w:val="24"/>
        </w:rPr>
        <w:t xml:space="preserve">. </w:t>
      </w:r>
      <w:r w:rsidR="00787540">
        <w:rPr>
          <w:sz w:val="24"/>
          <w:szCs w:val="24"/>
        </w:rPr>
        <w:t xml:space="preserve">O tome jasno treba </w:t>
      </w:r>
      <w:r w:rsidR="00213BD2">
        <w:rPr>
          <w:sz w:val="24"/>
          <w:szCs w:val="24"/>
        </w:rPr>
        <w:t xml:space="preserve">voditi računa </w:t>
      </w:r>
      <w:r w:rsidR="00787540">
        <w:rPr>
          <w:sz w:val="24"/>
          <w:szCs w:val="24"/>
        </w:rPr>
        <w:t xml:space="preserve">i </w:t>
      </w:r>
      <w:r w:rsidR="00213BD2">
        <w:rPr>
          <w:sz w:val="24"/>
          <w:szCs w:val="24"/>
        </w:rPr>
        <w:t>društvo kroz pristup stipendijama i drugim povlasticama za djecu i mladež, a posebno one koji su u nejednakoj startnoj poziciji u odnosu na druge (koji potječu iz obitelji s niskim dohotkom, niskom razinom obrazovanja ili koje žive u ruralnim krajevima</w:t>
      </w:r>
      <w:r w:rsidR="00787540">
        <w:rPr>
          <w:sz w:val="24"/>
          <w:szCs w:val="24"/>
        </w:rPr>
        <w:t xml:space="preserve"> pa su zbog toga više izloženi nekom od oblika socijalne uključenosti</w:t>
      </w:r>
      <w:r w:rsidR="00213BD2">
        <w:rPr>
          <w:sz w:val="24"/>
          <w:szCs w:val="24"/>
        </w:rPr>
        <w:t>)</w:t>
      </w:r>
      <w:r w:rsidR="00787540">
        <w:rPr>
          <w:sz w:val="24"/>
          <w:szCs w:val="24"/>
        </w:rPr>
        <w:t xml:space="preserve">. Međutim, </w:t>
      </w:r>
      <w:r w:rsidR="00213BD2" w:rsidRPr="00BC23CC">
        <w:rPr>
          <w:color w:val="C00000"/>
          <w:sz w:val="24"/>
          <w:szCs w:val="24"/>
        </w:rPr>
        <w:t>korištenje svih mogućih pogodnosti</w:t>
      </w:r>
      <w:r w:rsidR="00A17E68">
        <w:rPr>
          <w:color w:val="C00000"/>
          <w:sz w:val="24"/>
          <w:szCs w:val="24"/>
        </w:rPr>
        <w:t>,</w:t>
      </w:r>
      <w:r w:rsidR="00213BD2" w:rsidRPr="00BC23CC">
        <w:rPr>
          <w:color w:val="C00000"/>
          <w:sz w:val="24"/>
          <w:szCs w:val="24"/>
        </w:rPr>
        <w:t xml:space="preserve"> </w:t>
      </w:r>
      <w:r w:rsidR="00673901" w:rsidRPr="00BC23CC">
        <w:rPr>
          <w:color w:val="C00000"/>
          <w:sz w:val="24"/>
          <w:szCs w:val="24"/>
        </w:rPr>
        <w:t>uz istodoban trud i uloženo vrijeme u učenje i stjecanje vještina</w:t>
      </w:r>
      <w:r w:rsidR="00A17E68">
        <w:rPr>
          <w:color w:val="C00000"/>
          <w:sz w:val="24"/>
          <w:szCs w:val="24"/>
        </w:rPr>
        <w:t>,</w:t>
      </w:r>
      <w:r w:rsidR="00673901" w:rsidRPr="00BC23CC">
        <w:rPr>
          <w:color w:val="C00000"/>
          <w:sz w:val="24"/>
          <w:szCs w:val="24"/>
        </w:rPr>
        <w:t xml:space="preserve"> </w:t>
      </w:r>
      <w:r w:rsidR="00213BD2" w:rsidRPr="00BC23CC">
        <w:rPr>
          <w:color w:val="C00000"/>
          <w:sz w:val="24"/>
          <w:szCs w:val="24"/>
        </w:rPr>
        <w:t xml:space="preserve">ovisi </w:t>
      </w:r>
      <w:r w:rsidR="00787540">
        <w:rPr>
          <w:color w:val="C00000"/>
          <w:sz w:val="24"/>
          <w:szCs w:val="24"/>
        </w:rPr>
        <w:t>prvenstveno</w:t>
      </w:r>
      <w:r w:rsidR="00213BD2" w:rsidRPr="00BC23CC">
        <w:rPr>
          <w:color w:val="C00000"/>
          <w:sz w:val="24"/>
          <w:szCs w:val="24"/>
        </w:rPr>
        <w:t xml:space="preserve"> o pojedincu</w:t>
      </w:r>
      <w:r w:rsidR="00A17E68">
        <w:rPr>
          <w:color w:val="C00000"/>
          <w:sz w:val="24"/>
          <w:szCs w:val="24"/>
        </w:rPr>
        <w:t xml:space="preserve"> – koliko će se on sam u tome angažirati</w:t>
      </w:r>
      <w:r w:rsidR="00213BD2">
        <w:rPr>
          <w:sz w:val="24"/>
          <w:szCs w:val="24"/>
        </w:rPr>
        <w:t xml:space="preserve">. </w:t>
      </w:r>
      <w:r w:rsidR="00A17E68">
        <w:rPr>
          <w:sz w:val="24"/>
          <w:szCs w:val="24"/>
        </w:rPr>
        <w:t>No, nisu svi spremni na trud i vlastiti angažman. P</w:t>
      </w:r>
      <w:r w:rsidR="009054BF">
        <w:rPr>
          <w:sz w:val="24"/>
          <w:szCs w:val="24"/>
        </w:rPr>
        <w:t xml:space="preserve">oznato je da postoje </w:t>
      </w:r>
      <w:r w:rsidR="00673901">
        <w:rPr>
          <w:sz w:val="24"/>
          <w:szCs w:val="24"/>
        </w:rPr>
        <w:t xml:space="preserve">osobe </w:t>
      </w:r>
      <w:r w:rsidR="009054BF">
        <w:rPr>
          <w:sz w:val="24"/>
          <w:szCs w:val="24"/>
        </w:rPr>
        <w:t>koj</w:t>
      </w:r>
      <w:r w:rsidR="00673901">
        <w:rPr>
          <w:sz w:val="24"/>
          <w:szCs w:val="24"/>
        </w:rPr>
        <w:t>e</w:t>
      </w:r>
      <w:r w:rsidR="009054BF">
        <w:rPr>
          <w:sz w:val="24"/>
          <w:szCs w:val="24"/>
        </w:rPr>
        <w:t xml:space="preserve"> nisu spremn</w:t>
      </w:r>
      <w:r w:rsidR="00673901">
        <w:rPr>
          <w:sz w:val="24"/>
          <w:szCs w:val="24"/>
        </w:rPr>
        <w:t>e</w:t>
      </w:r>
      <w:r w:rsidR="009054BF">
        <w:rPr>
          <w:sz w:val="24"/>
          <w:szCs w:val="24"/>
        </w:rPr>
        <w:t xml:space="preserve"> na žrtvu dugogodišnjeg obrazovanja, </w:t>
      </w:r>
      <w:r w:rsidR="00A17E68">
        <w:rPr>
          <w:sz w:val="24"/>
          <w:szCs w:val="24"/>
        </w:rPr>
        <w:t xml:space="preserve">kao niti na naporan rad, a za lošu osobnu financijsku poziciju krive druge – okolinu, državu …., </w:t>
      </w:r>
      <w:r w:rsidR="00787540">
        <w:rPr>
          <w:sz w:val="24"/>
          <w:szCs w:val="24"/>
        </w:rPr>
        <w:t>„</w:t>
      </w:r>
      <w:r w:rsidR="00A17E68">
        <w:rPr>
          <w:sz w:val="24"/>
          <w:szCs w:val="24"/>
        </w:rPr>
        <w:t>bilo koga druga osim samog sebe</w:t>
      </w:r>
      <w:r w:rsidR="00787540">
        <w:rPr>
          <w:sz w:val="24"/>
          <w:szCs w:val="24"/>
        </w:rPr>
        <w:t>“</w:t>
      </w:r>
      <w:r w:rsidR="00A17E68">
        <w:rPr>
          <w:sz w:val="24"/>
          <w:szCs w:val="24"/>
        </w:rPr>
        <w:t xml:space="preserve">. Postoje i oni koji se žele </w:t>
      </w:r>
      <w:r w:rsidR="009054BF">
        <w:rPr>
          <w:sz w:val="24"/>
          <w:szCs w:val="24"/>
        </w:rPr>
        <w:t xml:space="preserve">obogatiti se u što kraćem roku. Ilegalne aktivnosti su stoga </w:t>
      </w:r>
      <w:r w:rsidR="00673901">
        <w:rPr>
          <w:sz w:val="24"/>
          <w:szCs w:val="24"/>
        </w:rPr>
        <w:t xml:space="preserve">ponekad </w:t>
      </w:r>
      <w:r w:rsidR="009054BF">
        <w:rPr>
          <w:sz w:val="24"/>
          <w:szCs w:val="24"/>
        </w:rPr>
        <w:t xml:space="preserve">korištena alternativa kojom se u kratkom roku želi promijeniti ekonomski status i kupiti „sreća“. No, takve priče prije ili kasnije završavaju osobnom nesrećom – godinama provedenim u zatvoru, gubitkom ugleda u društvu i gubitkom dotadašnjih odnosa s prijateljima i članovima obitelji. </w:t>
      </w:r>
    </w:p>
    <w:p w:rsidR="00BC0DAF" w:rsidRDefault="00FC383F" w:rsidP="003A2DC6">
      <w:pPr>
        <w:spacing w:line="271" w:lineRule="auto"/>
        <w:jc w:val="both"/>
        <w:rPr>
          <w:sz w:val="24"/>
          <w:szCs w:val="24"/>
        </w:rPr>
      </w:pPr>
      <w:r>
        <w:rPr>
          <w:sz w:val="24"/>
          <w:szCs w:val="24"/>
        </w:rPr>
        <w:t xml:space="preserve">Međutim, i s prekomjernim naglašavanjem važnosti stjecanja diplome i visokog obrazovanja treba biti oprezan. </w:t>
      </w:r>
      <w:r w:rsidRPr="00DB7A82">
        <w:rPr>
          <w:color w:val="C00000"/>
          <w:sz w:val="24"/>
          <w:szCs w:val="24"/>
        </w:rPr>
        <w:t xml:space="preserve">Obrazovanje je uglavnom nužan uvjet </w:t>
      </w:r>
      <w:r w:rsidRPr="002843D5">
        <w:rPr>
          <w:sz w:val="24"/>
          <w:szCs w:val="24"/>
        </w:rPr>
        <w:t xml:space="preserve">za dobivanje određenog posla te ostvarivanja većeg dohotka i povećanja bogatstva tijekom radnog vijeka pojedinca, </w:t>
      </w:r>
      <w:r w:rsidRPr="00DB7A82">
        <w:rPr>
          <w:color w:val="C00000"/>
          <w:sz w:val="24"/>
          <w:szCs w:val="24"/>
        </w:rPr>
        <w:t>ali nije i dovoljan uvjet.</w:t>
      </w:r>
      <w:r>
        <w:rPr>
          <w:sz w:val="24"/>
          <w:szCs w:val="24"/>
        </w:rPr>
        <w:t xml:space="preserve"> </w:t>
      </w:r>
      <w:r w:rsidR="000012FC">
        <w:rPr>
          <w:sz w:val="24"/>
          <w:szCs w:val="24"/>
        </w:rPr>
        <w:t>Osim toga uz isti stupanj akademskog obrazovanja (npr. završen diplomski studij) plaće se mogu razlikovati s obzirom na struku i profesiju</w:t>
      </w:r>
      <w:r w:rsidR="002843D5">
        <w:rPr>
          <w:sz w:val="24"/>
          <w:szCs w:val="24"/>
        </w:rPr>
        <w:t xml:space="preserve"> zaposlene osobe</w:t>
      </w:r>
      <w:r w:rsidR="000012FC">
        <w:rPr>
          <w:sz w:val="24"/>
          <w:szCs w:val="24"/>
        </w:rPr>
        <w:t xml:space="preserve">, </w:t>
      </w:r>
      <w:r w:rsidR="002843D5">
        <w:rPr>
          <w:sz w:val="24"/>
          <w:szCs w:val="24"/>
        </w:rPr>
        <w:t xml:space="preserve">razinu složenosti posla koji obavlja, </w:t>
      </w:r>
      <w:r w:rsidR="000012FC">
        <w:rPr>
          <w:sz w:val="24"/>
          <w:szCs w:val="24"/>
        </w:rPr>
        <w:t xml:space="preserve">odnosno poslodavce i djelatnosti u kojima </w:t>
      </w:r>
      <w:r w:rsidR="002843D5">
        <w:rPr>
          <w:sz w:val="24"/>
          <w:szCs w:val="24"/>
        </w:rPr>
        <w:t>su osobe</w:t>
      </w:r>
      <w:r w:rsidR="000012FC">
        <w:rPr>
          <w:sz w:val="24"/>
          <w:szCs w:val="24"/>
        </w:rPr>
        <w:t xml:space="preserve"> zaposlen</w:t>
      </w:r>
      <w:r w:rsidR="002843D5">
        <w:rPr>
          <w:sz w:val="24"/>
          <w:szCs w:val="24"/>
        </w:rPr>
        <w:t>e</w:t>
      </w:r>
      <w:r w:rsidR="000012FC">
        <w:rPr>
          <w:sz w:val="24"/>
          <w:szCs w:val="24"/>
        </w:rPr>
        <w:t>. S druge strane, k</w:t>
      </w:r>
      <w:r w:rsidR="00BC0DAF">
        <w:rPr>
          <w:sz w:val="24"/>
          <w:szCs w:val="24"/>
        </w:rPr>
        <w:t>oji put su u povećanju bogatstva daleko više uspješni oni bez stečenog visokog formalnog obrazovanja, ali koji imaju određene talente, kreativnost, hrabrost i oštroumnost koju drugi</w:t>
      </w:r>
      <w:r w:rsidR="000012FC">
        <w:rPr>
          <w:sz w:val="24"/>
          <w:szCs w:val="24"/>
        </w:rPr>
        <w:t xml:space="preserve"> nemaju. </w:t>
      </w:r>
      <w:r w:rsidR="00BC0DAF">
        <w:rPr>
          <w:sz w:val="24"/>
          <w:szCs w:val="24"/>
        </w:rPr>
        <w:t xml:space="preserve">Vrlo često </w:t>
      </w:r>
      <w:r w:rsidR="00BC0DAF" w:rsidRPr="00E26FC5">
        <w:rPr>
          <w:i/>
          <w:sz w:val="24"/>
          <w:szCs w:val="24"/>
        </w:rPr>
        <w:t>„mašta je važnija od znanja“ (A. Einstein)</w:t>
      </w:r>
      <w:r w:rsidR="00BC0DAF">
        <w:rPr>
          <w:sz w:val="24"/>
          <w:szCs w:val="24"/>
        </w:rPr>
        <w:t xml:space="preserve">. </w:t>
      </w:r>
      <w:r>
        <w:rPr>
          <w:sz w:val="24"/>
          <w:szCs w:val="24"/>
        </w:rPr>
        <w:t xml:space="preserve">Na sličan način, </w:t>
      </w:r>
      <w:r w:rsidRPr="00E22157">
        <w:rPr>
          <w:color w:val="C00000"/>
          <w:sz w:val="24"/>
          <w:szCs w:val="24"/>
        </w:rPr>
        <w:t>ni naporan rad nije garancija povećanja bogatstva</w:t>
      </w:r>
      <w:r>
        <w:rPr>
          <w:sz w:val="24"/>
          <w:szCs w:val="24"/>
        </w:rPr>
        <w:t xml:space="preserve">. Tim više što većina radoholičara </w:t>
      </w:r>
      <w:r w:rsidR="001208CF">
        <w:rPr>
          <w:sz w:val="24"/>
          <w:szCs w:val="24"/>
        </w:rPr>
        <w:t xml:space="preserve">(u svim strukama i djelatnostima) </w:t>
      </w:r>
      <w:r>
        <w:rPr>
          <w:sz w:val="24"/>
          <w:szCs w:val="24"/>
        </w:rPr>
        <w:t>pripada srednjim dohodovnim grupama.</w:t>
      </w:r>
      <w:r w:rsidR="00A125BC" w:rsidRPr="00086C6D">
        <w:rPr>
          <w:sz w:val="24"/>
          <w:szCs w:val="24"/>
          <w:vertAlign w:val="superscript"/>
        </w:rPr>
        <w:footnoteReference w:id="1"/>
      </w:r>
      <w:r>
        <w:rPr>
          <w:sz w:val="24"/>
          <w:szCs w:val="24"/>
        </w:rPr>
        <w:t xml:space="preserve"> </w:t>
      </w:r>
    </w:p>
    <w:p w:rsidR="00951406" w:rsidRDefault="00BC0DAF" w:rsidP="003A2DC6">
      <w:pPr>
        <w:spacing w:line="271" w:lineRule="auto"/>
        <w:jc w:val="both"/>
        <w:rPr>
          <w:sz w:val="24"/>
          <w:szCs w:val="24"/>
        </w:rPr>
      </w:pPr>
      <w:r>
        <w:rPr>
          <w:sz w:val="24"/>
          <w:szCs w:val="24"/>
        </w:rPr>
        <w:t>Neki su bogati jednostavno zato što su rođeni u imućnim obiteljima pa je nasljeđe jedini razlog njihove povoljnije ekonomske situacije u odnosu na druge. No</w:t>
      </w:r>
      <w:r w:rsidR="00150250">
        <w:rPr>
          <w:sz w:val="24"/>
          <w:szCs w:val="24"/>
        </w:rPr>
        <w:t>,</w:t>
      </w:r>
      <w:r>
        <w:rPr>
          <w:sz w:val="24"/>
          <w:szCs w:val="24"/>
        </w:rPr>
        <w:t xml:space="preserve"> situacija vrlo često krene u </w:t>
      </w:r>
      <w:r w:rsidR="00150250">
        <w:rPr>
          <w:sz w:val="24"/>
          <w:szCs w:val="24"/>
        </w:rPr>
        <w:t>„</w:t>
      </w:r>
      <w:r>
        <w:rPr>
          <w:sz w:val="24"/>
          <w:szCs w:val="24"/>
        </w:rPr>
        <w:t>drugom smjeru</w:t>
      </w:r>
      <w:r w:rsidR="00150250">
        <w:rPr>
          <w:sz w:val="24"/>
          <w:szCs w:val="24"/>
        </w:rPr>
        <w:t>“</w:t>
      </w:r>
      <w:r>
        <w:rPr>
          <w:sz w:val="24"/>
          <w:szCs w:val="24"/>
        </w:rPr>
        <w:t xml:space="preserve"> kada ostanu bez roditelja koji su do tada upravljali imovinom, a </w:t>
      </w:r>
      <w:r w:rsidR="00150250">
        <w:rPr>
          <w:sz w:val="24"/>
          <w:szCs w:val="24"/>
        </w:rPr>
        <w:t xml:space="preserve">nasljednici </w:t>
      </w:r>
      <w:r>
        <w:rPr>
          <w:sz w:val="24"/>
          <w:szCs w:val="24"/>
        </w:rPr>
        <w:t xml:space="preserve">nemaju </w:t>
      </w:r>
      <w:r w:rsidR="00150250" w:rsidRPr="00150250">
        <w:rPr>
          <w:i/>
          <w:sz w:val="24"/>
          <w:szCs w:val="24"/>
        </w:rPr>
        <w:t xml:space="preserve">talent/ volju/ </w:t>
      </w:r>
      <w:r w:rsidR="00150250">
        <w:rPr>
          <w:i/>
          <w:sz w:val="24"/>
          <w:szCs w:val="24"/>
        </w:rPr>
        <w:t xml:space="preserve">znanje ili </w:t>
      </w:r>
      <w:r w:rsidRPr="00150250">
        <w:rPr>
          <w:i/>
          <w:sz w:val="24"/>
          <w:szCs w:val="24"/>
        </w:rPr>
        <w:t>odvažnost</w:t>
      </w:r>
      <w:r>
        <w:rPr>
          <w:sz w:val="24"/>
          <w:szCs w:val="24"/>
        </w:rPr>
        <w:t xml:space="preserve"> nositi se s promjenama u kojima </w:t>
      </w:r>
      <w:r w:rsidRPr="002843D5">
        <w:rPr>
          <w:color w:val="C00000"/>
          <w:sz w:val="24"/>
          <w:szCs w:val="24"/>
        </w:rPr>
        <w:t>budućnost obiteljskog naslijeđa ovisi o njima</w:t>
      </w:r>
      <w:r>
        <w:rPr>
          <w:sz w:val="24"/>
          <w:szCs w:val="24"/>
        </w:rPr>
        <w:t>. S druge strane čest je s</w:t>
      </w:r>
      <w:r w:rsidR="00951406">
        <w:rPr>
          <w:sz w:val="24"/>
          <w:szCs w:val="24"/>
        </w:rPr>
        <w:t xml:space="preserve">lučaj uspješnih poduzetnika i vlasnika velikih poduzeća </w:t>
      </w:r>
      <w:r>
        <w:rPr>
          <w:sz w:val="24"/>
          <w:szCs w:val="24"/>
        </w:rPr>
        <w:t>(</w:t>
      </w:r>
      <w:r w:rsidR="00951406">
        <w:rPr>
          <w:sz w:val="24"/>
          <w:szCs w:val="24"/>
        </w:rPr>
        <w:t>pa i multinacionalnih kompanija</w:t>
      </w:r>
      <w:r>
        <w:rPr>
          <w:sz w:val="24"/>
          <w:szCs w:val="24"/>
        </w:rPr>
        <w:t>)</w:t>
      </w:r>
      <w:r w:rsidR="00951406">
        <w:rPr>
          <w:sz w:val="24"/>
          <w:szCs w:val="24"/>
        </w:rPr>
        <w:t xml:space="preserve"> koji su u djetinjstvu bili siromašni.</w:t>
      </w:r>
    </w:p>
    <w:p w:rsidR="0070039C" w:rsidRPr="007F1CE8" w:rsidRDefault="00E22157" w:rsidP="003A2DC6">
      <w:pPr>
        <w:spacing w:line="271" w:lineRule="auto"/>
        <w:jc w:val="both"/>
        <w:rPr>
          <w:sz w:val="24"/>
          <w:szCs w:val="24"/>
        </w:rPr>
      </w:pPr>
      <w:r>
        <w:rPr>
          <w:sz w:val="24"/>
          <w:szCs w:val="24"/>
        </w:rPr>
        <w:t>Kada se govori o osobnim financijama, važno je napomenuti da v</w:t>
      </w:r>
      <w:r w:rsidR="00094EFB">
        <w:rPr>
          <w:sz w:val="24"/>
          <w:szCs w:val="24"/>
        </w:rPr>
        <w:t xml:space="preserve">elike novčane zarade nemaju smisla ako se istodobno ili kasnije financijama neadekvatno upravlja. </w:t>
      </w:r>
      <w:r w:rsidR="0070039C" w:rsidRPr="007F1CE8">
        <w:rPr>
          <w:sz w:val="24"/>
          <w:szCs w:val="24"/>
        </w:rPr>
        <w:t xml:space="preserve">Za adekvatno upravljanje osobnim financijama počevši od kućnog budžeta pa do odluka o štednji, investiranju i zaduživanju potrebne su </w:t>
      </w:r>
      <w:r w:rsidR="0070039C" w:rsidRPr="00E22157">
        <w:rPr>
          <w:color w:val="C00000"/>
          <w:sz w:val="24"/>
          <w:szCs w:val="24"/>
        </w:rPr>
        <w:t>dobre financijske navike</w:t>
      </w:r>
      <w:r w:rsidR="0070039C" w:rsidRPr="00EA789A">
        <w:rPr>
          <w:sz w:val="24"/>
          <w:szCs w:val="24"/>
        </w:rPr>
        <w:t xml:space="preserve">, izbjegavanje pogreški i </w:t>
      </w:r>
      <w:r w:rsidR="0070039C" w:rsidRPr="00E22157">
        <w:rPr>
          <w:color w:val="C00000"/>
          <w:sz w:val="24"/>
          <w:szCs w:val="24"/>
        </w:rPr>
        <w:lastRenderedPageBreak/>
        <w:t xml:space="preserve">financijsko planiranje </w:t>
      </w:r>
      <w:r w:rsidR="0070039C" w:rsidRPr="00EA789A">
        <w:rPr>
          <w:sz w:val="24"/>
          <w:szCs w:val="24"/>
        </w:rPr>
        <w:t>– kako bi najbolje iskoristili ograničeno vrijeme i novac. Četiri stvari su pri tome posebno važne: praćenje i smanjivanje troškova, pametno ulaganje, detaljno informiranje prije donošenja odluka o kupnji</w:t>
      </w:r>
      <w:r w:rsidR="002843D5">
        <w:rPr>
          <w:sz w:val="24"/>
          <w:szCs w:val="24"/>
        </w:rPr>
        <w:t xml:space="preserve"> (zaduživanju, izboru proizvodnja štednje itd.) </w:t>
      </w:r>
      <w:r w:rsidR="0070039C" w:rsidRPr="00EA789A">
        <w:rPr>
          <w:sz w:val="24"/>
          <w:szCs w:val="24"/>
        </w:rPr>
        <w:t xml:space="preserve">te izbjegavanje emotivnog i stihijskog donošenja odluka (posebice onih </w:t>
      </w:r>
      <w:r w:rsidR="002843D5">
        <w:rPr>
          <w:sz w:val="24"/>
          <w:szCs w:val="24"/>
        </w:rPr>
        <w:t xml:space="preserve">odluka </w:t>
      </w:r>
      <w:r w:rsidR="0070039C" w:rsidRPr="00EA789A">
        <w:rPr>
          <w:sz w:val="24"/>
          <w:szCs w:val="24"/>
        </w:rPr>
        <w:t>koje imaju dalekosežne posljedice).</w:t>
      </w:r>
      <w:r w:rsidR="00094EFB">
        <w:rPr>
          <w:sz w:val="24"/>
          <w:szCs w:val="24"/>
        </w:rPr>
        <w:t xml:space="preserve"> Sve zajedno moglo bi se nazvati </w:t>
      </w:r>
      <w:r w:rsidR="00094EFB" w:rsidRPr="00556A09">
        <w:rPr>
          <w:rFonts w:eastAsia="Times New Roman" w:cs="Arial"/>
          <w:color w:val="C00000"/>
          <w:sz w:val="24"/>
          <w:szCs w:val="24"/>
          <w:shd w:val="clear" w:color="auto" w:fill="FFFFFF"/>
          <w:lang w:eastAsia="hr-HR"/>
        </w:rPr>
        <w:t>uspješnost uspostave kontrole nad novcem</w:t>
      </w:r>
      <w:r w:rsidR="00094EFB" w:rsidRPr="00094EFB">
        <w:rPr>
          <w:color w:val="990033"/>
          <w:sz w:val="24"/>
          <w:szCs w:val="24"/>
        </w:rPr>
        <w:t xml:space="preserve"> </w:t>
      </w:r>
      <w:r w:rsidR="00094EFB">
        <w:rPr>
          <w:sz w:val="24"/>
          <w:szCs w:val="24"/>
        </w:rPr>
        <w:t>- u aktivnostima zarade, potrošnje, štednje i investicija</w:t>
      </w:r>
      <w:r w:rsidR="00B71D24">
        <w:rPr>
          <w:sz w:val="24"/>
          <w:szCs w:val="24"/>
        </w:rPr>
        <w:t>.</w:t>
      </w:r>
    </w:p>
    <w:p w:rsidR="0070039C" w:rsidRPr="007F1CE8" w:rsidRDefault="0070039C" w:rsidP="003A2DC6">
      <w:pPr>
        <w:spacing w:line="271" w:lineRule="auto"/>
        <w:jc w:val="both"/>
        <w:rPr>
          <w:b/>
          <w:sz w:val="24"/>
          <w:szCs w:val="24"/>
        </w:rPr>
      </w:pPr>
      <w:r w:rsidRPr="00EA789A">
        <w:rPr>
          <w:sz w:val="24"/>
          <w:szCs w:val="24"/>
        </w:rPr>
        <w:t>Za financijske probleme ljudi najčešće krive nedostatnu zaradu, vjerujući da bi financijski</w:t>
      </w:r>
      <w:r w:rsidRPr="007F1CE8">
        <w:rPr>
          <w:b/>
          <w:sz w:val="24"/>
          <w:szCs w:val="24"/>
        </w:rPr>
        <w:t xml:space="preserve"> </w:t>
      </w:r>
      <w:r w:rsidRPr="00EA789A">
        <w:rPr>
          <w:sz w:val="24"/>
          <w:szCs w:val="24"/>
        </w:rPr>
        <w:t>problemi nestali kada bi zarađivali više. No</w:t>
      </w:r>
      <w:r w:rsidR="00B71D24">
        <w:rPr>
          <w:sz w:val="24"/>
          <w:szCs w:val="24"/>
        </w:rPr>
        <w:t xml:space="preserve">, upravo primjeri propalih bogataša (od filmskih zvijezda do nogometaša ili bogatih nasljednika) dokazuju da </w:t>
      </w:r>
      <w:r w:rsidRPr="00556A09">
        <w:rPr>
          <w:rFonts w:eastAsia="Times New Roman" w:cs="Arial"/>
          <w:color w:val="C00000"/>
          <w:sz w:val="24"/>
          <w:szCs w:val="24"/>
          <w:shd w:val="clear" w:color="auto" w:fill="FFFFFF"/>
          <w:lang w:eastAsia="hr-HR"/>
        </w:rPr>
        <w:t>uspjeh u upravljanju financijama  nije pretjerano određen visinom zarade</w:t>
      </w:r>
      <w:r w:rsidR="00094EFB" w:rsidRPr="00556A09">
        <w:rPr>
          <w:rFonts w:eastAsia="Times New Roman" w:cs="Arial"/>
          <w:color w:val="C00000"/>
          <w:sz w:val="24"/>
          <w:szCs w:val="24"/>
          <w:shd w:val="clear" w:color="auto" w:fill="FFFFFF"/>
          <w:lang w:eastAsia="hr-HR"/>
        </w:rPr>
        <w:t xml:space="preserve"> </w:t>
      </w:r>
      <w:r w:rsidR="00094EFB" w:rsidRPr="002843D5">
        <w:rPr>
          <w:rFonts w:eastAsia="Times New Roman" w:cs="Arial"/>
          <w:sz w:val="24"/>
          <w:szCs w:val="24"/>
          <w:shd w:val="clear" w:color="auto" w:fill="FFFFFF"/>
          <w:lang w:eastAsia="hr-HR"/>
        </w:rPr>
        <w:t>i ukupnog bogatstva</w:t>
      </w:r>
      <w:r w:rsidRPr="002843D5">
        <w:rPr>
          <w:rFonts w:eastAsia="Times New Roman" w:cs="Arial"/>
          <w:sz w:val="24"/>
          <w:szCs w:val="24"/>
          <w:shd w:val="clear" w:color="auto" w:fill="FFFFFF"/>
          <w:lang w:eastAsia="hr-HR"/>
        </w:rPr>
        <w:t xml:space="preserve">, </w:t>
      </w:r>
      <w:r w:rsidRPr="00556A09">
        <w:rPr>
          <w:rFonts w:eastAsia="Times New Roman" w:cs="Arial"/>
          <w:color w:val="C00000"/>
          <w:sz w:val="24"/>
          <w:szCs w:val="24"/>
          <w:shd w:val="clear" w:color="auto" w:fill="FFFFFF"/>
          <w:lang w:eastAsia="hr-HR"/>
        </w:rPr>
        <w:t>nego time kako osoba koristi i upravlja onim što</w:t>
      </w:r>
      <w:r w:rsidR="00094EFB" w:rsidRPr="00556A09">
        <w:rPr>
          <w:rFonts w:eastAsia="Times New Roman" w:cs="Arial"/>
          <w:color w:val="C00000"/>
          <w:sz w:val="24"/>
          <w:szCs w:val="24"/>
          <w:shd w:val="clear" w:color="auto" w:fill="FFFFFF"/>
          <w:lang w:eastAsia="hr-HR"/>
        </w:rPr>
        <w:t xml:space="preserve"> ima</w:t>
      </w:r>
      <w:r w:rsidRPr="00556A09">
        <w:rPr>
          <w:sz w:val="24"/>
          <w:szCs w:val="24"/>
        </w:rPr>
        <w:t>.</w:t>
      </w:r>
      <w:r w:rsidRPr="00EA789A">
        <w:rPr>
          <w:sz w:val="24"/>
          <w:szCs w:val="24"/>
        </w:rPr>
        <w:t xml:space="preserve"> Osim toga financijsko bogatstvo nije mjera sreće. Postoje brojni imućni pojedinci koji su emocionalno siromašni, no isto tako siromašne obitelji i pojedinci koji su sretni, zadovoljni i emocionalno bogati. Isto tako postoje i oni koje društvo smatra bogatima jer raspolažu s nekoliko kuća, automobila, poduzeća i druge vrijedne imovine. Međutim, osim vanjske slike i stila života „na visokoj nozi“ javnost ne zna njihovu razinu zaduženosti </w:t>
      </w:r>
      <w:r w:rsidR="00BB365A">
        <w:rPr>
          <w:sz w:val="24"/>
          <w:szCs w:val="24"/>
        </w:rPr>
        <w:t xml:space="preserve">pa kada </w:t>
      </w:r>
      <w:r w:rsidRPr="00EA789A">
        <w:rPr>
          <w:sz w:val="24"/>
          <w:szCs w:val="24"/>
        </w:rPr>
        <w:t>se od njihove ukupne imovine oduzmu ukupne obveze</w:t>
      </w:r>
      <w:r w:rsidR="00BB365A">
        <w:rPr>
          <w:sz w:val="24"/>
          <w:szCs w:val="24"/>
        </w:rPr>
        <w:t xml:space="preserve"> zapravo slijedi zaključak da je njihovo </w:t>
      </w:r>
      <w:r w:rsidRPr="00E22157">
        <w:rPr>
          <w:color w:val="C00000"/>
          <w:sz w:val="24"/>
          <w:szCs w:val="24"/>
        </w:rPr>
        <w:t>bogatstvo</w:t>
      </w:r>
      <w:r w:rsidRPr="00EA789A">
        <w:rPr>
          <w:sz w:val="24"/>
          <w:szCs w:val="24"/>
        </w:rPr>
        <w:t xml:space="preserve"> </w:t>
      </w:r>
      <w:r w:rsidR="00BB365A">
        <w:rPr>
          <w:sz w:val="24"/>
          <w:szCs w:val="24"/>
        </w:rPr>
        <w:t>(</w:t>
      </w:r>
      <w:r w:rsidRPr="00EA789A">
        <w:rPr>
          <w:sz w:val="24"/>
          <w:szCs w:val="24"/>
        </w:rPr>
        <w:t>neto-vrijednost imovine</w:t>
      </w:r>
      <w:r w:rsidR="00BB365A">
        <w:rPr>
          <w:sz w:val="24"/>
          <w:szCs w:val="24"/>
        </w:rPr>
        <w:t>)</w:t>
      </w:r>
      <w:r w:rsidRPr="00EA789A">
        <w:rPr>
          <w:sz w:val="24"/>
          <w:szCs w:val="24"/>
        </w:rPr>
        <w:t xml:space="preserve"> zapravo vrlo</w:t>
      </w:r>
      <w:r w:rsidR="002843D5">
        <w:rPr>
          <w:sz w:val="24"/>
          <w:szCs w:val="24"/>
        </w:rPr>
        <w:t xml:space="preserve"> nisko</w:t>
      </w:r>
      <w:r w:rsidRPr="00EA789A">
        <w:rPr>
          <w:sz w:val="24"/>
          <w:szCs w:val="24"/>
        </w:rPr>
        <w:t>.</w:t>
      </w:r>
    </w:p>
    <w:p w:rsidR="0070039C" w:rsidRDefault="0070039C" w:rsidP="003A2DC6">
      <w:pPr>
        <w:pStyle w:val="Naslov1"/>
        <w:spacing w:before="0" w:beforeAutospacing="0" w:after="200" w:afterAutospacing="0" w:line="271" w:lineRule="auto"/>
        <w:jc w:val="both"/>
        <w:rPr>
          <w:rFonts w:asciiTheme="minorHAnsi" w:hAnsiTheme="minorHAnsi"/>
          <w:b w:val="0"/>
          <w:sz w:val="24"/>
          <w:szCs w:val="24"/>
        </w:rPr>
      </w:pPr>
      <w:r w:rsidRPr="007F1CE8">
        <w:rPr>
          <w:rFonts w:asciiTheme="minorHAnsi" w:hAnsiTheme="minorHAnsi"/>
          <w:b w:val="0"/>
          <w:sz w:val="24"/>
          <w:szCs w:val="24"/>
        </w:rPr>
        <w:t xml:space="preserve">U ponudi financijskih </w:t>
      </w:r>
      <w:r w:rsidR="00E22157">
        <w:rPr>
          <w:rFonts w:asciiTheme="minorHAnsi" w:hAnsiTheme="minorHAnsi"/>
          <w:b w:val="0"/>
          <w:sz w:val="24"/>
          <w:szCs w:val="24"/>
        </w:rPr>
        <w:t xml:space="preserve">institucija </w:t>
      </w:r>
      <w:r w:rsidRPr="007F1CE8">
        <w:rPr>
          <w:rFonts w:asciiTheme="minorHAnsi" w:hAnsiTheme="minorHAnsi"/>
          <w:b w:val="0"/>
          <w:sz w:val="24"/>
          <w:szCs w:val="24"/>
        </w:rPr>
        <w:t xml:space="preserve">nalaze se brojni </w:t>
      </w:r>
      <w:r w:rsidR="00E22157">
        <w:rPr>
          <w:rFonts w:asciiTheme="minorHAnsi" w:hAnsiTheme="minorHAnsi"/>
          <w:b w:val="0"/>
          <w:sz w:val="24"/>
          <w:szCs w:val="24"/>
        </w:rPr>
        <w:t xml:space="preserve">proizvodi </w:t>
      </w:r>
      <w:r w:rsidRPr="007F1CE8">
        <w:rPr>
          <w:rFonts w:asciiTheme="minorHAnsi" w:hAnsiTheme="minorHAnsi"/>
          <w:b w:val="0"/>
          <w:sz w:val="24"/>
          <w:szCs w:val="24"/>
        </w:rPr>
        <w:t xml:space="preserve">koji omogućavaju zaduživanje ili odgodu plaćanja, ali da bi ih pojedinac koristio u vlastitom interesu bitno je da </w:t>
      </w:r>
      <w:r w:rsidR="002843D5">
        <w:rPr>
          <w:rFonts w:asciiTheme="minorHAnsi" w:hAnsiTheme="minorHAnsi"/>
          <w:b w:val="0"/>
          <w:sz w:val="24"/>
          <w:szCs w:val="24"/>
        </w:rPr>
        <w:t xml:space="preserve">oni </w:t>
      </w:r>
      <w:r w:rsidRPr="007F1CE8">
        <w:rPr>
          <w:rFonts w:asciiTheme="minorHAnsi" w:hAnsiTheme="minorHAnsi"/>
          <w:b w:val="0"/>
          <w:sz w:val="24"/>
          <w:szCs w:val="24"/>
        </w:rPr>
        <w:t>donose povećanje</w:t>
      </w:r>
      <w:r w:rsidR="002843D5">
        <w:rPr>
          <w:rFonts w:asciiTheme="minorHAnsi" w:hAnsiTheme="minorHAnsi"/>
          <w:b w:val="0"/>
          <w:sz w:val="24"/>
          <w:szCs w:val="24"/>
        </w:rPr>
        <w:t xml:space="preserve"> prihoda i koristi većih</w:t>
      </w:r>
      <w:r w:rsidRPr="007F1CE8">
        <w:rPr>
          <w:rFonts w:asciiTheme="minorHAnsi" w:hAnsiTheme="minorHAnsi"/>
          <w:b w:val="0"/>
          <w:sz w:val="24"/>
          <w:szCs w:val="24"/>
        </w:rPr>
        <w:t xml:space="preserve"> od rashoda za kamate, kao i da </w:t>
      </w:r>
      <w:r w:rsidRPr="00556A09">
        <w:rPr>
          <w:rFonts w:asciiTheme="minorHAnsi" w:hAnsiTheme="minorHAnsi" w:cs="Arial"/>
          <w:b w:val="0"/>
          <w:bCs w:val="0"/>
          <w:color w:val="C00000"/>
          <w:kern w:val="0"/>
          <w:sz w:val="24"/>
          <w:szCs w:val="24"/>
          <w:shd w:val="clear" w:color="auto" w:fill="FFFFFF"/>
        </w:rPr>
        <w:t>„život na dug“ pojedinca ne dovedu u situaciju prekomjerne potrošnje i/ili prezaduženosti</w:t>
      </w:r>
      <w:r w:rsidRPr="00556A09">
        <w:rPr>
          <w:rFonts w:asciiTheme="minorHAnsi" w:hAnsiTheme="minorHAnsi"/>
          <w:b w:val="0"/>
          <w:sz w:val="24"/>
          <w:szCs w:val="24"/>
        </w:rPr>
        <w:t>.</w:t>
      </w:r>
      <w:r w:rsidRPr="007F1CE8">
        <w:rPr>
          <w:rFonts w:asciiTheme="minorHAnsi" w:hAnsiTheme="minorHAnsi"/>
          <w:b w:val="0"/>
          <w:sz w:val="24"/>
          <w:szCs w:val="24"/>
        </w:rPr>
        <w:t xml:space="preserve"> S druge strane, ako se takve situacije dogode (a mnogima se događaju) pojedinac ne smije „zabijati glavu u pijesak“, nego se </w:t>
      </w:r>
      <w:r w:rsidRPr="007F1CE8">
        <w:rPr>
          <w:rFonts w:asciiTheme="minorHAnsi" w:hAnsiTheme="minorHAnsi"/>
          <w:b w:val="0"/>
          <w:color w:val="990033"/>
          <w:sz w:val="24"/>
          <w:szCs w:val="24"/>
        </w:rPr>
        <w:t xml:space="preserve">s </w:t>
      </w:r>
      <w:r w:rsidRPr="00556A09">
        <w:rPr>
          <w:rFonts w:asciiTheme="minorHAnsi" w:hAnsiTheme="minorHAnsi" w:cs="Arial"/>
          <w:b w:val="0"/>
          <w:bCs w:val="0"/>
          <w:color w:val="C00000"/>
          <w:kern w:val="0"/>
          <w:sz w:val="24"/>
          <w:szCs w:val="24"/>
          <w:shd w:val="clear" w:color="auto" w:fill="FFFFFF"/>
        </w:rPr>
        <w:t>problemima treba pravovremeno i odgovorno suočiti i početi ih rješavati</w:t>
      </w:r>
      <w:r w:rsidRPr="00556A09">
        <w:rPr>
          <w:rFonts w:asciiTheme="minorHAnsi" w:hAnsiTheme="minorHAnsi"/>
          <w:b w:val="0"/>
          <w:sz w:val="24"/>
          <w:szCs w:val="24"/>
        </w:rPr>
        <w:t>:</w:t>
      </w:r>
      <w:r w:rsidRPr="007F1CE8">
        <w:rPr>
          <w:rFonts w:asciiTheme="minorHAnsi" w:hAnsiTheme="minorHAnsi"/>
          <w:b w:val="0"/>
          <w:sz w:val="24"/>
          <w:szCs w:val="24"/>
        </w:rPr>
        <w:t xml:space="preserve"> kroz racionalizaciju troškova, pronalazak dodatnih izvora prihoda, kroz restrukturiranje duga i/ili prodaju imovine koja donosi veće troškove od koristi. Pri tome su nagorje opcije osuđivanje drugih za vlastite pogreške i probleme te čekanje da se problemi „sami od sebe riješe“. Ništa se ne rješava samo od sebe, a za sve je potrebna volja i akcija. Osim vlastitog znanja, informiranja i spoznaja</w:t>
      </w:r>
      <w:r w:rsidR="00E22157">
        <w:rPr>
          <w:rFonts w:asciiTheme="minorHAnsi" w:hAnsiTheme="minorHAnsi"/>
          <w:b w:val="0"/>
          <w:sz w:val="24"/>
          <w:szCs w:val="24"/>
        </w:rPr>
        <w:t>,</w:t>
      </w:r>
      <w:r w:rsidRPr="007F1CE8">
        <w:rPr>
          <w:rFonts w:asciiTheme="minorHAnsi" w:hAnsiTheme="minorHAnsi"/>
          <w:b w:val="0"/>
          <w:sz w:val="24"/>
          <w:szCs w:val="24"/>
        </w:rPr>
        <w:t xml:space="preserve"> mnogima je za to potrebna i pomoć drugih – savjet dobronamjernih prijatelja, ali i stručnih osoba.</w:t>
      </w:r>
    </w:p>
    <w:p w:rsidR="00B93794" w:rsidRDefault="00012D3B" w:rsidP="003A2DC6">
      <w:pPr>
        <w:spacing w:line="271" w:lineRule="auto"/>
        <w:jc w:val="both"/>
        <w:rPr>
          <w:rFonts w:eastAsia="Times New Roman" w:cs="Times New Roman"/>
          <w:bCs/>
          <w:kern w:val="36"/>
          <w:sz w:val="24"/>
          <w:szCs w:val="24"/>
          <w:lang w:eastAsia="hr-HR"/>
        </w:rPr>
      </w:pPr>
      <w:r>
        <w:rPr>
          <w:rFonts w:eastAsia="Times New Roman" w:cs="Times New Roman"/>
          <w:bCs/>
          <w:kern w:val="36"/>
          <w:sz w:val="24"/>
          <w:szCs w:val="24"/>
          <w:lang w:eastAsia="hr-HR"/>
        </w:rPr>
        <w:t xml:space="preserve">Ekonomski pojam </w:t>
      </w:r>
      <w:r w:rsidR="006F422F" w:rsidRPr="00B93794">
        <w:rPr>
          <w:rFonts w:eastAsia="Times New Roman" w:cs="Times New Roman"/>
          <w:bCs/>
          <w:kern w:val="36"/>
          <w:sz w:val="24"/>
          <w:szCs w:val="24"/>
          <w:lang w:eastAsia="hr-HR"/>
        </w:rPr>
        <w:t>koj</w:t>
      </w:r>
      <w:r>
        <w:rPr>
          <w:rFonts w:eastAsia="Times New Roman" w:cs="Times New Roman"/>
          <w:bCs/>
          <w:kern w:val="36"/>
          <w:sz w:val="24"/>
          <w:szCs w:val="24"/>
          <w:lang w:eastAsia="hr-HR"/>
        </w:rPr>
        <w:t>i</w:t>
      </w:r>
      <w:r w:rsidR="006F422F" w:rsidRPr="00B93794">
        <w:rPr>
          <w:rFonts w:eastAsia="Times New Roman" w:cs="Times New Roman"/>
          <w:bCs/>
          <w:kern w:val="36"/>
          <w:sz w:val="24"/>
          <w:szCs w:val="24"/>
          <w:lang w:eastAsia="hr-HR"/>
        </w:rPr>
        <w:t xml:space="preserve"> se nadovezuj</w:t>
      </w:r>
      <w:r>
        <w:rPr>
          <w:rFonts w:eastAsia="Times New Roman" w:cs="Times New Roman"/>
          <w:bCs/>
          <w:kern w:val="36"/>
          <w:sz w:val="24"/>
          <w:szCs w:val="24"/>
          <w:lang w:eastAsia="hr-HR"/>
        </w:rPr>
        <w:t>e</w:t>
      </w:r>
      <w:r w:rsidR="006F422F" w:rsidRPr="00B93794">
        <w:rPr>
          <w:rFonts w:eastAsia="Times New Roman" w:cs="Times New Roman"/>
          <w:bCs/>
          <w:kern w:val="36"/>
          <w:sz w:val="24"/>
          <w:szCs w:val="24"/>
          <w:lang w:eastAsia="hr-HR"/>
        </w:rPr>
        <w:t xml:space="preserve"> </w:t>
      </w:r>
      <w:r w:rsidR="00B93794" w:rsidRPr="00B93794">
        <w:rPr>
          <w:rFonts w:eastAsia="Times New Roman" w:cs="Times New Roman"/>
          <w:bCs/>
          <w:kern w:val="36"/>
          <w:sz w:val="24"/>
          <w:szCs w:val="24"/>
          <w:lang w:eastAsia="hr-HR"/>
        </w:rPr>
        <w:t xml:space="preserve">uz </w:t>
      </w:r>
      <w:r>
        <w:rPr>
          <w:rFonts w:eastAsia="Times New Roman" w:cs="Times New Roman"/>
          <w:bCs/>
          <w:kern w:val="36"/>
          <w:sz w:val="24"/>
          <w:szCs w:val="24"/>
          <w:lang w:eastAsia="hr-HR"/>
        </w:rPr>
        <w:t xml:space="preserve">sve </w:t>
      </w:r>
      <w:r w:rsidR="00B93794" w:rsidRPr="00B93794">
        <w:rPr>
          <w:rFonts w:eastAsia="Times New Roman" w:cs="Times New Roman"/>
          <w:bCs/>
          <w:kern w:val="36"/>
          <w:sz w:val="24"/>
          <w:szCs w:val="24"/>
          <w:lang w:eastAsia="hr-HR"/>
        </w:rPr>
        <w:t xml:space="preserve">spomenute teme </w:t>
      </w:r>
      <w:r>
        <w:rPr>
          <w:rFonts w:eastAsia="Times New Roman" w:cs="Times New Roman"/>
          <w:bCs/>
          <w:kern w:val="36"/>
          <w:sz w:val="24"/>
          <w:szCs w:val="24"/>
          <w:lang w:eastAsia="hr-HR"/>
        </w:rPr>
        <w:t xml:space="preserve">je </w:t>
      </w:r>
      <w:r w:rsidR="006F422F" w:rsidRPr="00E22157">
        <w:rPr>
          <w:rFonts w:eastAsia="Times New Roman" w:cs="Times New Roman"/>
          <w:bCs/>
          <w:color w:val="C00000"/>
          <w:kern w:val="36"/>
          <w:sz w:val="24"/>
          <w:szCs w:val="24"/>
          <w:lang w:eastAsia="hr-HR"/>
        </w:rPr>
        <w:t xml:space="preserve">financijska pismenost </w:t>
      </w:r>
      <w:r>
        <w:rPr>
          <w:rFonts w:eastAsia="Times New Roman" w:cs="Times New Roman"/>
          <w:bCs/>
          <w:kern w:val="36"/>
          <w:sz w:val="24"/>
          <w:szCs w:val="24"/>
          <w:lang w:eastAsia="hr-HR"/>
        </w:rPr>
        <w:t xml:space="preserve">koja </w:t>
      </w:r>
      <w:r w:rsidR="007E7493">
        <w:rPr>
          <w:rFonts w:eastAsia="Times New Roman" w:cs="Times New Roman"/>
          <w:bCs/>
          <w:kern w:val="36"/>
          <w:sz w:val="24"/>
          <w:szCs w:val="24"/>
          <w:lang w:eastAsia="hr-HR"/>
        </w:rPr>
        <w:t>se može definirati kao „</w:t>
      </w:r>
      <w:r w:rsidR="00B93794" w:rsidRPr="00B93794">
        <w:rPr>
          <w:rFonts w:eastAsia="Times New Roman" w:cs="Times New Roman"/>
          <w:bCs/>
          <w:kern w:val="36"/>
          <w:sz w:val="24"/>
          <w:szCs w:val="24"/>
          <w:lang w:eastAsia="hr-HR"/>
        </w:rPr>
        <w:t>kombinacij</w:t>
      </w:r>
      <w:r w:rsidR="007E7493">
        <w:rPr>
          <w:rFonts w:eastAsia="Times New Roman" w:cs="Times New Roman"/>
          <w:bCs/>
          <w:kern w:val="36"/>
          <w:sz w:val="24"/>
          <w:szCs w:val="24"/>
          <w:lang w:eastAsia="hr-HR"/>
        </w:rPr>
        <w:t>a</w:t>
      </w:r>
      <w:r w:rsidR="00B93794" w:rsidRPr="00B93794">
        <w:rPr>
          <w:rFonts w:eastAsia="Times New Roman" w:cs="Times New Roman"/>
          <w:bCs/>
          <w:kern w:val="36"/>
          <w:sz w:val="24"/>
          <w:szCs w:val="24"/>
          <w:lang w:eastAsia="hr-HR"/>
        </w:rPr>
        <w:t xml:space="preserve"> </w:t>
      </w:r>
      <w:r w:rsidR="007E7493">
        <w:rPr>
          <w:rFonts w:eastAsia="Times New Roman" w:cs="Times New Roman"/>
          <w:bCs/>
          <w:kern w:val="36"/>
          <w:sz w:val="24"/>
          <w:szCs w:val="24"/>
          <w:lang w:eastAsia="hr-HR"/>
        </w:rPr>
        <w:t>svijesti</w:t>
      </w:r>
      <w:r w:rsidR="00B93794" w:rsidRPr="00B93794">
        <w:rPr>
          <w:rFonts w:eastAsia="Times New Roman" w:cs="Times New Roman"/>
          <w:bCs/>
          <w:kern w:val="36"/>
          <w:sz w:val="24"/>
          <w:szCs w:val="24"/>
          <w:lang w:eastAsia="hr-HR"/>
        </w:rPr>
        <w:t xml:space="preserve">, znanja, vještina, stavova i ponašanja </w:t>
      </w:r>
      <w:r w:rsidR="007E7493">
        <w:rPr>
          <w:rFonts w:eastAsia="Times New Roman" w:cs="Times New Roman"/>
          <w:bCs/>
          <w:kern w:val="36"/>
          <w:sz w:val="24"/>
          <w:szCs w:val="24"/>
          <w:lang w:eastAsia="hr-HR"/>
        </w:rPr>
        <w:t xml:space="preserve">nužnih </w:t>
      </w:r>
      <w:r w:rsidR="00B93794" w:rsidRPr="00B93794">
        <w:rPr>
          <w:rFonts w:eastAsia="Times New Roman" w:cs="Times New Roman"/>
          <w:bCs/>
          <w:kern w:val="36"/>
          <w:sz w:val="24"/>
          <w:szCs w:val="24"/>
          <w:lang w:eastAsia="hr-HR"/>
        </w:rPr>
        <w:t>za donošenje adekvatnih financijskih odluka i ostvarenja individu</w:t>
      </w:r>
      <w:r w:rsidR="002843D5">
        <w:rPr>
          <w:rFonts w:eastAsia="Times New Roman" w:cs="Times New Roman"/>
          <w:bCs/>
          <w:kern w:val="36"/>
          <w:sz w:val="24"/>
          <w:szCs w:val="24"/>
          <w:lang w:eastAsia="hr-HR"/>
        </w:rPr>
        <w:t>alnog financijskog blagostanja“</w:t>
      </w:r>
      <w:r w:rsidR="007E7493">
        <w:rPr>
          <w:rStyle w:val="Referencafusnote"/>
          <w:rFonts w:eastAsia="Times New Roman" w:cs="Times New Roman"/>
          <w:bCs/>
          <w:kern w:val="36"/>
          <w:sz w:val="24"/>
          <w:szCs w:val="24"/>
          <w:lang w:eastAsia="hr-HR"/>
        </w:rPr>
        <w:footnoteReference w:id="2"/>
      </w:r>
      <w:r w:rsidR="00B93794" w:rsidRPr="00B93794">
        <w:rPr>
          <w:rFonts w:eastAsia="Times New Roman" w:cs="Times New Roman"/>
          <w:bCs/>
          <w:kern w:val="36"/>
          <w:sz w:val="24"/>
          <w:szCs w:val="24"/>
          <w:lang w:eastAsia="hr-HR"/>
        </w:rPr>
        <w:t xml:space="preserve">. Navedeno podrazumijeva sposobnost razumijevanja i korištenja različitih informacija o financijskim institucijama, proizvodima i tržištima, kao i sposobnost evaluacije različitih alternativa u procesu financijskog planiranja i donošenja financijskih odluka. Za </w:t>
      </w:r>
      <w:r w:rsidR="00502B4B">
        <w:rPr>
          <w:rFonts w:eastAsia="Times New Roman" w:cs="Times New Roman"/>
          <w:bCs/>
          <w:kern w:val="36"/>
          <w:sz w:val="24"/>
          <w:szCs w:val="24"/>
          <w:lang w:eastAsia="hr-HR"/>
        </w:rPr>
        <w:t xml:space="preserve">to </w:t>
      </w:r>
      <w:r w:rsidR="00B93794" w:rsidRPr="00B93794">
        <w:rPr>
          <w:rFonts w:eastAsia="Times New Roman" w:cs="Times New Roman"/>
          <w:bCs/>
          <w:kern w:val="36"/>
          <w:sz w:val="24"/>
          <w:szCs w:val="24"/>
          <w:lang w:eastAsia="hr-HR"/>
        </w:rPr>
        <w:t xml:space="preserve">je potrebno adekvatno znanje i informiranost, ali i određena razina samopouzdanja koja se povećava razvojem vještina snalaženja i ostvarivanja uspjeha u izazovnom gospodarskom i </w:t>
      </w:r>
      <w:r w:rsidR="00B93794" w:rsidRPr="00B93794">
        <w:rPr>
          <w:rFonts w:eastAsia="Times New Roman" w:cs="Times New Roman"/>
          <w:bCs/>
          <w:kern w:val="36"/>
          <w:sz w:val="24"/>
          <w:szCs w:val="24"/>
          <w:lang w:eastAsia="hr-HR"/>
        </w:rPr>
        <w:lastRenderedPageBreak/>
        <w:t xml:space="preserve">financijskom okruženju. Financijska pismenost </w:t>
      </w:r>
      <w:r>
        <w:rPr>
          <w:rFonts w:eastAsia="Times New Roman" w:cs="Times New Roman"/>
          <w:bCs/>
          <w:kern w:val="36"/>
          <w:sz w:val="24"/>
          <w:szCs w:val="24"/>
          <w:lang w:eastAsia="hr-HR"/>
        </w:rPr>
        <w:t xml:space="preserve">je </w:t>
      </w:r>
      <w:r w:rsidR="00B93794" w:rsidRPr="00B93794">
        <w:rPr>
          <w:rFonts w:eastAsia="Times New Roman" w:cs="Times New Roman"/>
          <w:bCs/>
          <w:kern w:val="36"/>
          <w:sz w:val="24"/>
          <w:szCs w:val="24"/>
          <w:lang w:eastAsia="hr-HR"/>
        </w:rPr>
        <w:t xml:space="preserve">nužna pretpostavka veće </w:t>
      </w:r>
      <w:r w:rsidR="00B93794" w:rsidRPr="00502B4B">
        <w:rPr>
          <w:rFonts w:eastAsia="Times New Roman" w:cs="Times New Roman"/>
          <w:bCs/>
          <w:color w:val="C00000"/>
          <w:kern w:val="36"/>
          <w:sz w:val="24"/>
          <w:szCs w:val="24"/>
          <w:lang w:eastAsia="hr-HR"/>
        </w:rPr>
        <w:t xml:space="preserve">financijske uključenosti </w:t>
      </w:r>
      <w:r w:rsidR="00B93794" w:rsidRPr="00B93794">
        <w:rPr>
          <w:rFonts w:eastAsia="Times New Roman" w:cs="Times New Roman"/>
          <w:bCs/>
          <w:kern w:val="36"/>
          <w:sz w:val="24"/>
          <w:szCs w:val="24"/>
          <w:lang w:eastAsia="hr-HR"/>
        </w:rPr>
        <w:t xml:space="preserve">pojedinca i kućanstva, dok s druge strane s većom financijskom uključenošću rastu i vještine koje doprinose unapređenju osobne financijske pismenosti. </w:t>
      </w:r>
    </w:p>
    <w:p w:rsidR="00165955" w:rsidRDefault="00B93794" w:rsidP="003A2DC6">
      <w:pPr>
        <w:spacing w:line="271" w:lineRule="auto"/>
        <w:jc w:val="both"/>
        <w:rPr>
          <w:rFonts w:eastAsia="Times New Roman" w:cs="Times New Roman"/>
          <w:bCs/>
          <w:kern w:val="36"/>
          <w:sz w:val="24"/>
          <w:szCs w:val="24"/>
          <w:lang w:eastAsia="hr-HR"/>
        </w:rPr>
      </w:pPr>
      <w:r w:rsidRPr="00B93794">
        <w:rPr>
          <w:rFonts w:eastAsia="Times New Roman" w:cs="Times New Roman"/>
          <w:bCs/>
          <w:kern w:val="36"/>
          <w:sz w:val="24"/>
          <w:szCs w:val="24"/>
          <w:lang w:eastAsia="hr-HR"/>
        </w:rPr>
        <w:t>U cilju povećanja razine financijske pismenosti i financijske uključenosti mladih, brojne zemlje reformira</w:t>
      </w:r>
      <w:r w:rsidR="005A374D">
        <w:rPr>
          <w:rFonts w:eastAsia="Times New Roman" w:cs="Times New Roman"/>
          <w:bCs/>
          <w:kern w:val="36"/>
          <w:sz w:val="24"/>
          <w:szCs w:val="24"/>
          <w:lang w:eastAsia="hr-HR"/>
        </w:rPr>
        <w:t xml:space="preserve">le su </w:t>
      </w:r>
      <w:r w:rsidRPr="00B93794">
        <w:rPr>
          <w:rFonts w:eastAsia="Times New Roman" w:cs="Times New Roman"/>
          <w:bCs/>
          <w:kern w:val="36"/>
          <w:sz w:val="24"/>
          <w:szCs w:val="24"/>
          <w:lang w:eastAsia="hr-HR"/>
        </w:rPr>
        <w:t xml:space="preserve">programe primarnog i sekundarnog obrazovanja (osnovno i srednje obrazovanje) </w:t>
      </w:r>
      <w:r w:rsidRPr="00E22157">
        <w:rPr>
          <w:rFonts w:eastAsia="Times New Roman" w:cs="Times New Roman"/>
          <w:bCs/>
          <w:color w:val="C00000"/>
          <w:kern w:val="36"/>
          <w:sz w:val="24"/>
          <w:szCs w:val="24"/>
          <w:lang w:eastAsia="hr-HR"/>
        </w:rPr>
        <w:t xml:space="preserve">kako bi što veći broj </w:t>
      </w:r>
      <w:r w:rsidR="005A374D" w:rsidRPr="00E22157">
        <w:rPr>
          <w:rFonts w:eastAsia="Times New Roman" w:cs="Times New Roman"/>
          <w:bCs/>
          <w:color w:val="C00000"/>
          <w:kern w:val="36"/>
          <w:sz w:val="24"/>
          <w:szCs w:val="24"/>
          <w:lang w:eastAsia="hr-HR"/>
        </w:rPr>
        <w:t xml:space="preserve">osoba </w:t>
      </w:r>
      <w:r w:rsidRPr="00E22157">
        <w:rPr>
          <w:rFonts w:eastAsia="Times New Roman" w:cs="Times New Roman"/>
          <w:bCs/>
          <w:color w:val="C00000"/>
          <w:kern w:val="36"/>
          <w:sz w:val="24"/>
          <w:szCs w:val="24"/>
          <w:lang w:eastAsia="hr-HR"/>
        </w:rPr>
        <w:t xml:space="preserve">dobio priliku stjecanja osnovnih znanja iz </w:t>
      </w:r>
      <w:r w:rsidR="005A374D" w:rsidRPr="00E22157">
        <w:rPr>
          <w:rFonts w:eastAsia="Times New Roman" w:cs="Times New Roman"/>
          <w:bCs/>
          <w:color w:val="C00000"/>
          <w:kern w:val="36"/>
          <w:sz w:val="24"/>
          <w:szCs w:val="24"/>
          <w:lang w:eastAsia="hr-HR"/>
        </w:rPr>
        <w:t xml:space="preserve">ekonomije i </w:t>
      </w:r>
      <w:r w:rsidRPr="00E22157">
        <w:rPr>
          <w:rFonts w:eastAsia="Times New Roman" w:cs="Times New Roman"/>
          <w:bCs/>
          <w:color w:val="C00000"/>
          <w:kern w:val="36"/>
          <w:sz w:val="24"/>
          <w:szCs w:val="24"/>
          <w:lang w:eastAsia="hr-HR"/>
        </w:rPr>
        <w:t>financija</w:t>
      </w:r>
      <w:r w:rsidRPr="00B93794">
        <w:rPr>
          <w:rFonts w:eastAsia="Times New Roman" w:cs="Times New Roman"/>
          <w:bCs/>
          <w:kern w:val="36"/>
          <w:sz w:val="24"/>
          <w:szCs w:val="24"/>
          <w:lang w:eastAsia="hr-HR"/>
        </w:rPr>
        <w:t>, posebice osnovnih znanja u upravljanju osobnim financijama</w:t>
      </w:r>
      <w:r w:rsidR="005A374D">
        <w:rPr>
          <w:rFonts w:eastAsia="Times New Roman" w:cs="Times New Roman"/>
          <w:bCs/>
          <w:kern w:val="36"/>
          <w:sz w:val="24"/>
          <w:szCs w:val="24"/>
          <w:lang w:eastAsia="hr-HR"/>
        </w:rPr>
        <w:t>, ali i poduzetništvu i drugim općekorisnim aktivnostima koje mogu pridonijeti rastu općeg blagostanja u društvu.</w:t>
      </w:r>
      <w:r w:rsidRPr="00B93794">
        <w:rPr>
          <w:rFonts w:eastAsia="Times New Roman" w:cs="Times New Roman"/>
          <w:bCs/>
          <w:kern w:val="36"/>
          <w:sz w:val="24"/>
          <w:szCs w:val="24"/>
          <w:lang w:eastAsia="hr-HR"/>
        </w:rPr>
        <w:t xml:space="preserve"> </w:t>
      </w:r>
      <w:r w:rsidR="005A374D">
        <w:rPr>
          <w:rFonts w:eastAsia="Times New Roman" w:cs="Times New Roman"/>
          <w:bCs/>
          <w:kern w:val="36"/>
          <w:sz w:val="24"/>
          <w:szCs w:val="24"/>
          <w:lang w:eastAsia="hr-HR"/>
        </w:rPr>
        <w:t>Određeni pomaci u tom smjeru očekuju se i u Hrvatskoj, a osim kroz reforme školskih programa</w:t>
      </w:r>
      <w:r w:rsidR="00165955">
        <w:rPr>
          <w:rFonts w:eastAsia="Times New Roman" w:cs="Times New Roman"/>
          <w:bCs/>
          <w:kern w:val="36"/>
          <w:sz w:val="24"/>
          <w:szCs w:val="24"/>
          <w:lang w:eastAsia="hr-HR"/>
        </w:rPr>
        <w:t xml:space="preserve"> namijenjene mladima,</w:t>
      </w:r>
      <w:r w:rsidR="005A374D">
        <w:rPr>
          <w:rFonts w:eastAsia="Times New Roman" w:cs="Times New Roman"/>
          <w:bCs/>
          <w:kern w:val="36"/>
          <w:sz w:val="24"/>
          <w:szCs w:val="24"/>
          <w:lang w:eastAsia="hr-HR"/>
        </w:rPr>
        <w:t xml:space="preserve"> </w:t>
      </w:r>
      <w:r w:rsidR="00165955">
        <w:rPr>
          <w:rFonts w:eastAsia="Times New Roman" w:cs="Times New Roman"/>
          <w:bCs/>
          <w:kern w:val="36"/>
          <w:sz w:val="24"/>
          <w:szCs w:val="24"/>
          <w:lang w:eastAsia="hr-HR"/>
        </w:rPr>
        <w:t xml:space="preserve">budućem </w:t>
      </w:r>
      <w:r w:rsidR="005A374D">
        <w:rPr>
          <w:rFonts w:eastAsia="Times New Roman" w:cs="Times New Roman"/>
          <w:bCs/>
          <w:kern w:val="36"/>
          <w:sz w:val="24"/>
          <w:szCs w:val="24"/>
          <w:lang w:eastAsia="hr-HR"/>
        </w:rPr>
        <w:t xml:space="preserve">povećanju financijske pismenosti </w:t>
      </w:r>
      <w:r w:rsidR="005B37F1">
        <w:rPr>
          <w:rFonts w:eastAsia="Times New Roman" w:cs="Times New Roman"/>
          <w:bCs/>
          <w:kern w:val="36"/>
          <w:sz w:val="24"/>
          <w:szCs w:val="24"/>
          <w:lang w:eastAsia="hr-HR"/>
        </w:rPr>
        <w:t xml:space="preserve">u društvu </w:t>
      </w:r>
      <w:r w:rsidR="005A374D">
        <w:rPr>
          <w:rFonts w:eastAsia="Times New Roman" w:cs="Times New Roman"/>
          <w:bCs/>
          <w:kern w:val="36"/>
          <w:sz w:val="24"/>
          <w:szCs w:val="24"/>
          <w:lang w:eastAsia="hr-HR"/>
        </w:rPr>
        <w:t>trebal</w:t>
      </w:r>
      <w:r w:rsidR="00165955">
        <w:rPr>
          <w:rFonts w:eastAsia="Times New Roman" w:cs="Times New Roman"/>
          <w:bCs/>
          <w:kern w:val="36"/>
          <w:sz w:val="24"/>
          <w:szCs w:val="24"/>
          <w:lang w:eastAsia="hr-HR"/>
        </w:rPr>
        <w:t xml:space="preserve">e bi pridonijeti i </w:t>
      </w:r>
      <w:r w:rsidR="005A374D" w:rsidRPr="00E22157">
        <w:rPr>
          <w:rFonts w:eastAsia="Times New Roman" w:cs="Times New Roman"/>
          <w:bCs/>
          <w:color w:val="C00000"/>
          <w:kern w:val="36"/>
          <w:sz w:val="24"/>
          <w:szCs w:val="24"/>
          <w:lang w:eastAsia="hr-HR"/>
        </w:rPr>
        <w:t xml:space="preserve">edukacije za odrasle </w:t>
      </w:r>
      <w:r w:rsidR="006B714D" w:rsidRPr="00E22157">
        <w:rPr>
          <w:rFonts w:eastAsia="Times New Roman" w:cs="Times New Roman"/>
          <w:bCs/>
          <w:color w:val="C00000"/>
          <w:kern w:val="36"/>
          <w:sz w:val="24"/>
          <w:szCs w:val="24"/>
          <w:lang w:eastAsia="hr-HR"/>
        </w:rPr>
        <w:t xml:space="preserve">- </w:t>
      </w:r>
      <w:r w:rsidR="00165955" w:rsidRPr="00E22157">
        <w:rPr>
          <w:rFonts w:eastAsia="Times New Roman" w:cs="Times New Roman"/>
          <w:bCs/>
          <w:color w:val="C00000"/>
          <w:kern w:val="36"/>
          <w:sz w:val="24"/>
          <w:szCs w:val="24"/>
          <w:lang w:eastAsia="hr-HR"/>
        </w:rPr>
        <w:t>programi cijelo životnog obrazovanja</w:t>
      </w:r>
      <w:r w:rsidR="006B714D" w:rsidRPr="00E22157">
        <w:rPr>
          <w:rFonts w:eastAsia="Times New Roman" w:cs="Times New Roman"/>
          <w:bCs/>
          <w:color w:val="C00000"/>
          <w:kern w:val="36"/>
          <w:sz w:val="24"/>
          <w:szCs w:val="24"/>
          <w:lang w:eastAsia="hr-HR"/>
        </w:rPr>
        <w:t xml:space="preserve"> </w:t>
      </w:r>
      <w:r w:rsidR="006B714D">
        <w:rPr>
          <w:rFonts w:eastAsia="Times New Roman" w:cs="Times New Roman"/>
          <w:bCs/>
          <w:kern w:val="36"/>
          <w:sz w:val="24"/>
          <w:szCs w:val="24"/>
          <w:lang w:eastAsia="hr-HR"/>
        </w:rPr>
        <w:t>koje organiziraju različite udruge civilnog društva i neprofitne organizacije, ali i profitno orijentirani segmenti gospodarstva, uključujući financ</w:t>
      </w:r>
      <w:r w:rsidR="00EB559C">
        <w:rPr>
          <w:rFonts w:eastAsia="Times New Roman" w:cs="Times New Roman"/>
          <w:bCs/>
          <w:kern w:val="36"/>
          <w:sz w:val="24"/>
          <w:szCs w:val="24"/>
          <w:lang w:eastAsia="hr-HR"/>
        </w:rPr>
        <w:t>ijske institucije.</w:t>
      </w:r>
      <w:r w:rsidR="003A7A1B">
        <w:rPr>
          <w:rFonts w:eastAsia="Times New Roman" w:cs="Times New Roman"/>
          <w:bCs/>
          <w:kern w:val="36"/>
          <w:sz w:val="24"/>
          <w:szCs w:val="24"/>
          <w:lang w:eastAsia="hr-HR"/>
        </w:rPr>
        <w:t xml:space="preserve"> </w:t>
      </w:r>
      <w:r w:rsidR="00E22157">
        <w:rPr>
          <w:rFonts w:eastAsia="Times New Roman" w:cs="Times New Roman"/>
          <w:bCs/>
          <w:kern w:val="36"/>
          <w:sz w:val="24"/>
          <w:szCs w:val="24"/>
          <w:lang w:eastAsia="hr-HR"/>
        </w:rPr>
        <w:t xml:space="preserve">Dio </w:t>
      </w:r>
      <w:r w:rsidR="006B714D">
        <w:rPr>
          <w:rFonts w:eastAsia="Times New Roman" w:cs="Times New Roman"/>
          <w:bCs/>
          <w:kern w:val="36"/>
          <w:sz w:val="24"/>
          <w:szCs w:val="24"/>
          <w:lang w:eastAsia="hr-HR"/>
        </w:rPr>
        <w:t xml:space="preserve">programa </w:t>
      </w:r>
      <w:r w:rsidR="00E22157">
        <w:rPr>
          <w:rFonts w:eastAsia="Times New Roman" w:cs="Times New Roman"/>
          <w:bCs/>
          <w:kern w:val="36"/>
          <w:sz w:val="24"/>
          <w:szCs w:val="24"/>
          <w:lang w:eastAsia="hr-HR"/>
        </w:rPr>
        <w:t xml:space="preserve">tako </w:t>
      </w:r>
      <w:r w:rsidR="006B714D">
        <w:rPr>
          <w:rFonts w:eastAsia="Times New Roman" w:cs="Times New Roman"/>
          <w:bCs/>
          <w:kern w:val="36"/>
          <w:sz w:val="24"/>
          <w:szCs w:val="24"/>
          <w:lang w:eastAsia="hr-HR"/>
        </w:rPr>
        <w:t xml:space="preserve">ima primarno ulogu povećanja </w:t>
      </w:r>
      <w:r w:rsidR="00EB559C">
        <w:rPr>
          <w:rFonts w:eastAsia="Times New Roman" w:cs="Times New Roman"/>
          <w:bCs/>
          <w:kern w:val="36"/>
          <w:sz w:val="24"/>
          <w:szCs w:val="24"/>
          <w:lang w:eastAsia="hr-HR"/>
        </w:rPr>
        <w:t xml:space="preserve">financijskih znanja </w:t>
      </w:r>
      <w:r w:rsidR="002843D5">
        <w:rPr>
          <w:rFonts w:eastAsia="Times New Roman" w:cs="Times New Roman"/>
          <w:bCs/>
          <w:kern w:val="36"/>
          <w:sz w:val="24"/>
          <w:szCs w:val="24"/>
          <w:lang w:eastAsia="hr-HR"/>
        </w:rPr>
        <w:t xml:space="preserve">javnosti </w:t>
      </w:r>
      <w:r w:rsidR="00EB559C">
        <w:rPr>
          <w:rFonts w:eastAsia="Times New Roman" w:cs="Times New Roman"/>
          <w:bCs/>
          <w:kern w:val="36"/>
          <w:sz w:val="24"/>
          <w:szCs w:val="24"/>
          <w:lang w:eastAsia="hr-HR"/>
        </w:rPr>
        <w:t>te</w:t>
      </w:r>
      <w:r w:rsidR="006B714D">
        <w:rPr>
          <w:rFonts w:eastAsia="Times New Roman" w:cs="Times New Roman"/>
          <w:bCs/>
          <w:kern w:val="36"/>
          <w:sz w:val="24"/>
          <w:szCs w:val="24"/>
          <w:lang w:eastAsia="hr-HR"/>
        </w:rPr>
        <w:t xml:space="preserve"> informiranosti i zaštite potrošača, </w:t>
      </w:r>
      <w:r w:rsidR="00E22157">
        <w:rPr>
          <w:rFonts w:eastAsia="Times New Roman" w:cs="Times New Roman"/>
          <w:bCs/>
          <w:kern w:val="36"/>
          <w:sz w:val="24"/>
          <w:szCs w:val="24"/>
          <w:lang w:eastAsia="hr-HR"/>
        </w:rPr>
        <w:t xml:space="preserve">dok </w:t>
      </w:r>
      <w:r w:rsidR="006B714D">
        <w:rPr>
          <w:rFonts w:eastAsia="Times New Roman" w:cs="Times New Roman"/>
          <w:bCs/>
          <w:kern w:val="36"/>
          <w:sz w:val="24"/>
          <w:szCs w:val="24"/>
          <w:lang w:eastAsia="hr-HR"/>
        </w:rPr>
        <w:t xml:space="preserve">dio programa </w:t>
      </w:r>
      <w:r w:rsidR="002843D5">
        <w:rPr>
          <w:rFonts w:eastAsia="Times New Roman" w:cs="Times New Roman"/>
          <w:bCs/>
          <w:kern w:val="36"/>
          <w:sz w:val="24"/>
          <w:szCs w:val="24"/>
          <w:lang w:eastAsia="hr-HR"/>
        </w:rPr>
        <w:t>(</w:t>
      </w:r>
      <w:r w:rsidR="006B714D">
        <w:rPr>
          <w:rFonts w:eastAsia="Times New Roman" w:cs="Times New Roman"/>
          <w:bCs/>
          <w:kern w:val="36"/>
          <w:sz w:val="24"/>
          <w:szCs w:val="24"/>
          <w:lang w:eastAsia="hr-HR"/>
        </w:rPr>
        <w:t>dodatno</w:t>
      </w:r>
      <w:r w:rsidR="002843D5">
        <w:rPr>
          <w:rFonts w:eastAsia="Times New Roman" w:cs="Times New Roman"/>
          <w:bCs/>
          <w:kern w:val="36"/>
          <w:sz w:val="24"/>
          <w:szCs w:val="24"/>
          <w:lang w:eastAsia="hr-HR"/>
        </w:rPr>
        <w:t>)</w:t>
      </w:r>
      <w:r w:rsidR="006B714D">
        <w:rPr>
          <w:rFonts w:eastAsia="Times New Roman" w:cs="Times New Roman"/>
          <w:bCs/>
          <w:kern w:val="36"/>
          <w:sz w:val="24"/>
          <w:szCs w:val="24"/>
          <w:lang w:eastAsia="hr-HR"/>
        </w:rPr>
        <w:t xml:space="preserve"> ima i ulogu povećanja </w:t>
      </w:r>
      <w:r w:rsidR="006B714D" w:rsidRPr="00556A09">
        <w:rPr>
          <w:rFonts w:eastAsia="Times New Roman" w:cs="Arial"/>
          <w:color w:val="C00000"/>
          <w:sz w:val="24"/>
          <w:szCs w:val="24"/>
          <w:shd w:val="clear" w:color="auto" w:fill="FFFFFF"/>
          <w:lang w:eastAsia="hr-HR"/>
        </w:rPr>
        <w:t>financijske uključenosti</w:t>
      </w:r>
      <w:r w:rsidR="006B714D" w:rsidRPr="006B714D">
        <w:rPr>
          <w:rFonts w:eastAsia="Times New Roman" w:cs="Times New Roman"/>
          <w:bCs/>
          <w:color w:val="990033"/>
          <w:kern w:val="36"/>
          <w:sz w:val="24"/>
          <w:szCs w:val="24"/>
          <w:lang w:eastAsia="hr-HR"/>
        </w:rPr>
        <w:t xml:space="preserve"> </w:t>
      </w:r>
      <w:r w:rsidR="006B714D">
        <w:rPr>
          <w:rFonts w:eastAsia="Times New Roman" w:cs="Times New Roman"/>
          <w:bCs/>
          <w:kern w:val="36"/>
          <w:sz w:val="24"/>
          <w:szCs w:val="24"/>
          <w:lang w:eastAsia="hr-HR"/>
        </w:rPr>
        <w:t>građana kroz veće korištenje financijskih proizvoda</w:t>
      </w:r>
      <w:r w:rsidR="003A7A1B">
        <w:rPr>
          <w:rFonts w:eastAsia="Times New Roman" w:cs="Times New Roman"/>
          <w:bCs/>
          <w:kern w:val="36"/>
          <w:sz w:val="24"/>
          <w:szCs w:val="24"/>
          <w:lang w:eastAsia="hr-HR"/>
        </w:rPr>
        <w:t>:</w:t>
      </w:r>
      <w:r w:rsidR="006B714D">
        <w:rPr>
          <w:rFonts w:eastAsia="Times New Roman" w:cs="Times New Roman"/>
          <w:bCs/>
          <w:kern w:val="36"/>
          <w:sz w:val="24"/>
          <w:szCs w:val="24"/>
          <w:lang w:eastAsia="hr-HR"/>
        </w:rPr>
        <w:t xml:space="preserve"> od kreditnih kartica, do u</w:t>
      </w:r>
      <w:r w:rsidR="003A7A1B">
        <w:rPr>
          <w:rFonts w:eastAsia="Times New Roman" w:cs="Times New Roman"/>
          <w:bCs/>
          <w:kern w:val="36"/>
          <w:sz w:val="24"/>
          <w:szCs w:val="24"/>
          <w:lang w:eastAsia="hr-HR"/>
        </w:rPr>
        <w:t xml:space="preserve">laganja u investicijske fondove, </w:t>
      </w:r>
      <w:r w:rsidR="006B714D">
        <w:rPr>
          <w:rFonts w:eastAsia="Times New Roman" w:cs="Times New Roman"/>
          <w:bCs/>
          <w:kern w:val="36"/>
          <w:sz w:val="24"/>
          <w:szCs w:val="24"/>
          <w:lang w:eastAsia="hr-HR"/>
        </w:rPr>
        <w:t xml:space="preserve"> ugovaranja stambene štednje i</w:t>
      </w:r>
      <w:r w:rsidR="003A7A1B">
        <w:rPr>
          <w:rFonts w:eastAsia="Times New Roman" w:cs="Times New Roman"/>
          <w:bCs/>
          <w:kern w:val="36"/>
          <w:sz w:val="24"/>
          <w:szCs w:val="24"/>
          <w:lang w:eastAsia="hr-HR"/>
        </w:rPr>
        <w:t>li ugovaranja</w:t>
      </w:r>
      <w:r w:rsidR="006B714D">
        <w:rPr>
          <w:rFonts w:eastAsia="Times New Roman" w:cs="Times New Roman"/>
          <w:bCs/>
          <w:kern w:val="36"/>
          <w:sz w:val="24"/>
          <w:szCs w:val="24"/>
          <w:lang w:eastAsia="hr-HR"/>
        </w:rPr>
        <w:t xml:space="preserve"> životnog osiguranja. </w:t>
      </w:r>
    </w:p>
    <w:p w:rsidR="001354A7" w:rsidRDefault="002A7DFA" w:rsidP="003A2DC6">
      <w:pPr>
        <w:spacing w:line="271" w:lineRule="auto"/>
        <w:jc w:val="both"/>
        <w:rPr>
          <w:rFonts w:eastAsia="Times New Roman" w:cs="Times New Roman"/>
          <w:bCs/>
          <w:kern w:val="36"/>
          <w:sz w:val="24"/>
          <w:szCs w:val="24"/>
          <w:lang w:eastAsia="hr-HR"/>
        </w:rPr>
      </w:pPr>
      <w:r>
        <w:rPr>
          <w:rFonts w:eastAsia="Times New Roman" w:cs="Times New Roman"/>
          <w:bCs/>
          <w:kern w:val="36"/>
          <w:sz w:val="24"/>
          <w:szCs w:val="24"/>
          <w:lang w:eastAsia="hr-HR"/>
        </w:rPr>
        <w:t>Sva tri puta financijske edukacije, uključujući i izučavanj</w:t>
      </w:r>
      <w:r w:rsidR="00DA4DD8">
        <w:rPr>
          <w:rFonts w:eastAsia="Times New Roman" w:cs="Times New Roman"/>
          <w:bCs/>
          <w:kern w:val="36"/>
          <w:sz w:val="24"/>
          <w:szCs w:val="24"/>
          <w:lang w:eastAsia="hr-HR"/>
        </w:rPr>
        <w:t xml:space="preserve">e tematike osobnih financija tijekom studija na </w:t>
      </w:r>
      <w:r>
        <w:rPr>
          <w:rFonts w:eastAsia="Times New Roman" w:cs="Times New Roman"/>
          <w:bCs/>
          <w:kern w:val="36"/>
          <w:sz w:val="24"/>
          <w:szCs w:val="24"/>
          <w:lang w:eastAsia="hr-HR"/>
        </w:rPr>
        <w:t>fakultet</w:t>
      </w:r>
      <w:r w:rsidR="00DA4DD8">
        <w:rPr>
          <w:rFonts w:eastAsia="Times New Roman" w:cs="Times New Roman"/>
          <w:bCs/>
          <w:kern w:val="36"/>
          <w:sz w:val="24"/>
          <w:szCs w:val="24"/>
          <w:lang w:eastAsia="hr-HR"/>
        </w:rPr>
        <w:t>u, za pojedinca</w:t>
      </w:r>
      <w:r>
        <w:rPr>
          <w:rFonts w:eastAsia="Times New Roman" w:cs="Times New Roman"/>
          <w:bCs/>
          <w:kern w:val="36"/>
          <w:sz w:val="24"/>
          <w:szCs w:val="24"/>
          <w:lang w:eastAsia="hr-HR"/>
        </w:rPr>
        <w:t xml:space="preserve"> donose brojne koristi</w:t>
      </w:r>
      <w:r w:rsidR="00DA4DD8">
        <w:rPr>
          <w:rFonts w:eastAsia="Times New Roman" w:cs="Times New Roman"/>
          <w:bCs/>
          <w:kern w:val="36"/>
          <w:sz w:val="24"/>
          <w:szCs w:val="24"/>
          <w:lang w:eastAsia="hr-HR"/>
        </w:rPr>
        <w:t xml:space="preserve"> koje se prvenstveno očituju u većoj informiranosti kao pretpostavke donošenja racionalnih odluka</w:t>
      </w:r>
      <w:r>
        <w:rPr>
          <w:rFonts w:eastAsia="Times New Roman" w:cs="Times New Roman"/>
          <w:bCs/>
          <w:kern w:val="36"/>
          <w:sz w:val="24"/>
          <w:szCs w:val="24"/>
          <w:lang w:eastAsia="hr-HR"/>
        </w:rPr>
        <w:t xml:space="preserve">, ali </w:t>
      </w:r>
      <w:r w:rsidRPr="00E22157">
        <w:rPr>
          <w:rFonts w:eastAsia="Times New Roman" w:cs="Times New Roman"/>
          <w:bCs/>
          <w:color w:val="C00000"/>
          <w:kern w:val="36"/>
          <w:sz w:val="24"/>
          <w:szCs w:val="24"/>
          <w:lang w:eastAsia="hr-HR"/>
        </w:rPr>
        <w:t xml:space="preserve">samo o </w:t>
      </w:r>
      <w:r w:rsidR="00B40DA4" w:rsidRPr="00E22157">
        <w:rPr>
          <w:rFonts w:eastAsia="Times New Roman" w:cs="Times New Roman"/>
          <w:bCs/>
          <w:color w:val="C00000"/>
          <w:kern w:val="36"/>
          <w:sz w:val="24"/>
          <w:szCs w:val="24"/>
          <w:lang w:eastAsia="hr-HR"/>
        </w:rPr>
        <w:t xml:space="preserve">pojedincu </w:t>
      </w:r>
      <w:r w:rsidRPr="00E22157">
        <w:rPr>
          <w:rFonts w:eastAsia="Times New Roman" w:cs="Times New Roman"/>
          <w:bCs/>
          <w:color w:val="C00000"/>
          <w:kern w:val="36"/>
          <w:sz w:val="24"/>
          <w:szCs w:val="24"/>
          <w:lang w:eastAsia="hr-HR"/>
        </w:rPr>
        <w:t xml:space="preserve">osobno ovisi kako će ih i koliko </w:t>
      </w:r>
      <w:r w:rsidR="00DA4DD8" w:rsidRPr="00E22157">
        <w:rPr>
          <w:rFonts w:eastAsia="Times New Roman" w:cs="Times New Roman"/>
          <w:bCs/>
          <w:color w:val="C00000"/>
          <w:kern w:val="36"/>
          <w:sz w:val="24"/>
          <w:szCs w:val="24"/>
          <w:lang w:eastAsia="hr-HR"/>
        </w:rPr>
        <w:t>implementirati u vlastitom interesu</w:t>
      </w:r>
      <w:r w:rsidR="00DA4DD8">
        <w:rPr>
          <w:rFonts w:eastAsia="Times New Roman" w:cs="Times New Roman"/>
          <w:bCs/>
          <w:kern w:val="36"/>
          <w:sz w:val="24"/>
          <w:szCs w:val="24"/>
          <w:lang w:eastAsia="hr-HR"/>
        </w:rPr>
        <w:t xml:space="preserve">. </w:t>
      </w: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11117A" w:rsidRDefault="0011117A" w:rsidP="00E22157">
      <w:pPr>
        <w:rPr>
          <w:b/>
          <w:sz w:val="24"/>
          <w:szCs w:val="24"/>
        </w:rPr>
      </w:pPr>
    </w:p>
    <w:p w:rsidR="00502B4B" w:rsidRDefault="00502B4B" w:rsidP="00E22157">
      <w:pPr>
        <w:rPr>
          <w:b/>
          <w:sz w:val="24"/>
          <w:szCs w:val="24"/>
        </w:rPr>
      </w:pPr>
    </w:p>
    <w:p w:rsidR="00502B4B" w:rsidRDefault="00502B4B" w:rsidP="00E22157">
      <w:pPr>
        <w:rPr>
          <w:b/>
          <w:sz w:val="24"/>
          <w:szCs w:val="24"/>
        </w:rPr>
      </w:pPr>
    </w:p>
    <w:p w:rsidR="00502B4B" w:rsidRDefault="00502B4B" w:rsidP="00E22157">
      <w:pPr>
        <w:rPr>
          <w:b/>
          <w:sz w:val="24"/>
          <w:szCs w:val="24"/>
        </w:rPr>
      </w:pPr>
    </w:p>
    <w:p w:rsidR="003109DE" w:rsidRPr="00E22157" w:rsidRDefault="00E22157" w:rsidP="00E22157">
      <w:pPr>
        <w:rPr>
          <w:b/>
          <w:sz w:val="24"/>
          <w:szCs w:val="24"/>
        </w:rPr>
      </w:pPr>
      <w:r>
        <w:rPr>
          <w:b/>
          <w:sz w:val="24"/>
          <w:szCs w:val="24"/>
        </w:rPr>
        <w:lastRenderedPageBreak/>
        <w:t xml:space="preserve">1. </w:t>
      </w:r>
      <w:r w:rsidR="0070039C" w:rsidRPr="00E22157">
        <w:rPr>
          <w:b/>
          <w:sz w:val="24"/>
          <w:szCs w:val="24"/>
        </w:rPr>
        <w:t>PO</w:t>
      </w:r>
      <w:r w:rsidR="00A07011" w:rsidRPr="00E22157">
        <w:rPr>
          <w:b/>
          <w:sz w:val="24"/>
          <w:szCs w:val="24"/>
        </w:rPr>
        <w:t>JEDINAC I GOSPODARSTVO</w:t>
      </w:r>
    </w:p>
    <w:p w:rsidR="00154659" w:rsidRPr="00606E3F" w:rsidRDefault="00A07011" w:rsidP="007B73D3">
      <w:pPr>
        <w:pStyle w:val="StandardWeb"/>
        <w:shd w:val="clear" w:color="auto" w:fill="FFFFFF"/>
        <w:spacing w:before="120" w:beforeAutospacing="0" w:after="120" w:afterAutospacing="0" w:line="336" w:lineRule="atLeast"/>
        <w:jc w:val="both"/>
        <w:rPr>
          <w:rFonts w:asciiTheme="minorHAnsi" w:hAnsiTheme="minorHAnsi" w:cs="Arial"/>
          <w:color w:val="252525"/>
        </w:rPr>
      </w:pPr>
      <w:r w:rsidRPr="00606E3F">
        <w:rPr>
          <w:rFonts w:asciiTheme="minorHAnsi" w:hAnsiTheme="minorHAnsi"/>
        </w:rPr>
        <w:t xml:space="preserve">Izučavanju ekonomskih pitanja može se pristupiti </w:t>
      </w:r>
      <w:r w:rsidR="00783C88">
        <w:rPr>
          <w:rFonts w:asciiTheme="minorHAnsi" w:hAnsiTheme="minorHAnsi"/>
        </w:rPr>
        <w:t xml:space="preserve">iz pozicije </w:t>
      </w:r>
      <w:r w:rsidRPr="00606E3F">
        <w:rPr>
          <w:rFonts w:asciiTheme="minorHAnsi" w:hAnsiTheme="minorHAnsi"/>
        </w:rPr>
        <w:t>mikro pristup</w:t>
      </w:r>
      <w:r w:rsidR="00783C88">
        <w:rPr>
          <w:rFonts w:asciiTheme="minorHAnsi" w:hAnsiTheme="minorHAnsi"/>
        </w:rPr>
        <w:t>a ili</w:t>
      </w:r>
      <w:r w:rsidRPr="00606E3F">
        <w:rPr>
          <w:rFonts w:asciiTheme="minorHAnsi" w:hAnsiTheme="minorHAnsi"/>
        </w:rPr>
        <w:t xml:space="preserve"> makro pristup</w:t>
      </w:r>
      <w:r w:rsidR="00783C88">
        <w:rPr>
          <w:rFonts w:asciiTheme="minorHAnsi" w:hAnsiTheme="minorHAnsi"/>
        </w:rPr>
        <w:t>a</w:t>
      </w:r>
      <w:r w:rsidR="00D73A0F" w:rsidRPr="00606E3F">
        <w:rPr>
          <w:rFonts w:asciiTheme="minorHAnsi" w:hAnsiTheme="minorHAnsi"/>
        </w:rPr>
        <w:t xml:space="preserve">. </w:t>
      </w:r>
      <w:r w:rsidRPr="00606E3F">
        <w:rPr>
          <w:rStyle w:val="apple-converted-space"/>
          <w:rFonts w:asciiTheme="minorHAnsi" w:hAnsiTheme="minorHAnsi" w:cs="Arial"/>
          <w:color w:val="252525"/>
        </w:rPr>
        <w:t xml:space="preserve">Mikro pristup je orijentiran na </w:t>
      </w:r>
      <w:r w:rsidRPr="00606E3F">
        <w:rPr>
          <w:rFonts w:asciiTheme="minorHAnsi" w:hAnsiTheme="minorHAnsi" w:cs="Arial"/>
          <w:color w:val="252525"/>
        </w:rPr>
        <w:t>pojedina</w:t>
      </w:r>
      <w:r w:rsidR="00783C88">
        <w:rPr>
          <w:rFonts w:asciiTheme="minorHAnsi" w:hAnsiTheme="minorHAnsi" w:cs="Arial"/>
          <w:color w:val="252525"/>
        </w:rPr>
        <w:t xml:space="preserve">čne ekonomske subjekte i </w:t>
      </w:r>
      <w:r w:rsidRPr="00606E3F">
        <w:rPr>
          <w:rFonts w:asciiTheme="minorHAnsi" w:hAnsiTheme="minorHAnsi" w:cs="Arial"/>
          <w:color w:val="252525"/>
        </w:rPr>
        <w:t xml:space="preserve">njihove aktivnosti vezane uz ostvarivanje prihoda, upravljanje troškovima, kumuliranje i alokaciju štednje, potrošnju i investicije, </w:t>
      </w:r>
      <w:r w:rsidR="000547A9">
        <w:rPr>
          <w:rFonts w:asciiTheme="minorHAnsi" w:hAnsiTheme="minorHAnsi" w:cs="Arial"/>
          <w:color w:val="252525"/>
        </w:rPr>
        <w:t xml:space="preserve">kao i </w:t>
      </w:r>
      <w:r w:rsidRPr="00606E3F">
        <w:rPr>
          <w:rFonts w:asciiTheme="minorHAnsi" w:hAnsiTheme="minorHAnsi" w:cs="Arial"/>
          <w:color w:val="252525"/>
        </w:rPr>
        <w:t>preferencije, ponašanja i navike</w:t>
      </w:r>
      <w:r w:rsidR="00777790">
        <w:rPr>
          <w:rFonts w:asciiTheme="minorHAnsi" w:hAnsiTheme="minorHAnsi" w:cs="Arial"/>
          <w:color w:val="252525"/>
        </w:rPr>
        <w:t xml:space="preserve"> koje dolaze do izražaja na svim </w:t>
      </w:r>
      <w:r w:rsidR="00154659" w:rsidRPr="00606E3F">
        <w:rPr>
          <w:rFonts w:asciiTheme="minorHAnsi" w:hAnsiTheme="minorHAnsi" w:cs="Arial"/>
          <w:color w:val="252525"/>
        </w:rPr>
        <w:t xml:space="preserve">tržišta uključujući tržište roba i usluga, financijsko tržište i tržište rada. </w:t>
      </w:r>
    </w:p>
    <w:p w:rsidR="00A07011" w:rsidRPr="00606E3F" w:rsidRDefault="00587960" w:rsidP="00606E3F">
      <w:pPr>
        <w:pStyle w:val="StandardWeb"/>
        <w:shd w:val="clear" w:color="auto" w:fill="FFFFFF"/>
        <w:spacing w:before="120" w:beforeAutospacing="0" w:after="120" w:afterAutospacing="0" w:line="336" w:lineRule="atLeast"/>
        <w:jc w:val="both"/>
        <w:rPr>
          <w:rFonts w:asciiTheme="minorHAnsi" w:hAnsiTheme="minorHAnsi" w:cs="Arial"/>
          <w:color w:val="252525"/>
          <w:shd w:val="clear" w:color="auto" w:fill="FFFFFF"/>
        </w:rPr>
      </w:pPr>
      <w:r w:rsidRPr="00606E3F">
        <w:rPr>
          <w:rFonts w:asciiTheme="minorHAnsi" w:hAnsiTheme="minorHAnsi" w:cs="Arial"/>
          <w:color w:val="252525"/>
        </w:rPr>
        <w:t>Makroekonomski pristup polazi od sličnih ekonomskih kategorija, ali sve varijable proučava na agregiranoj razini ukupnog gospodarstva</w:t>
      </w:r>
      <w:r w:rsidRPr="00606E3F">
        <w:rPr>
          <w:rFonts w:asciiTheme="minorHAnsi" w:hAnsiTheme="minorHAnsi" w:cs="Arial"/>
          <w:color w:val="252525"/>
          <w:shd w:val="clear" w:color="auto" w:fill="FFFFFF"/>
        </w:rPr>
        <w:t>. Posebno se orijentira na ostvarivanje temeljnih makroekonomskih ciljeva kao što su: gospodarski rast</w:t>
      </w:r>
      <w:r w:rsidR="00777790">
        <w:rPr>
          <w:rFonts w:asciiTheme="minorHAnsi" w:hAnsiTheme="minorHAnsi" w:cs="Arial"/>
          <w:color w:val="252525"/>
          <w:shd w:val="clear" w:color="auto" w:fill="FFFFFF"/>
        </w:rPr>
        <w:t>,</w:t>
      </w:r>
      <w:r w:rsidRPr="00606E3F">
        <w:rPr>
          <w:rFonts w:asciiTheme="minorHAnsi" w:hAnsiTheme="minorHAnsi" w:cs="Arial"/>
          <w:color w:val="252525"/>
          <w:shd w:val="clear" w:color="auto" w:fill="FFFFFF"/>
        </w:rPr>
        <w:t xml:space="preserve"> stabilnost cijena </w:t>
      </w:r>
      <w:r w:rsidR="00777790">
        <w:rPr>
          <w:rFonts w:asciiTheme="minorHAnsi" w:hAnsiTheme="minorHAnsi" w:cs="Arial"/>
          <w:color w:val="252525"/>
          <w:shd w:val="clear" w:color="auto" w:fill="FFFFFF"/>
        </w:rPr>
        <w:t>maksimalno moguća zaposlenost te</w:t>
      </w:r>
      <w:r w:rsidRPr="00606E3F">
        <w:rPr>
          <w:rFonts w:asciiTheme="minorHAnsi" w:hAnsiTheme="minorHAnsi" w:cs="Arial"/>
          <w:color w:val="252525"/>
          <w:shd w:val="clear" w:color="auto" w:fill="FFFFFF"/>
        </w:rPr>
        <w:t xml:space="preserve"> uravnotežena i pozitivna vanjskotrgovinska bilanca. Ekonomiju stoga promatra kroz relacije koje se ostvaruju između sektora kućanstva, poduzeća, države, financijskog sektora i inozemstva, a na koje se </w:t>
      </w:r>
      <w:r w:rsidR="00154659" w:rsidRPr="00606E3F">
        <w:rPr>
          <w:rFonts w:asciiTheme="minorHAnsi" w:hAnsiTheme="minorHAnsi" w:cs="Arial"/>
          <w:color w:val="252525"/>
          <w:shd w:val="clear" w:color="auto" w:fill="FFFFFF"/>
        </w:rPr>
        <w:t xml:space="preserve">nastoji djelovati i kroz </w:t>
      </w:r>
      <w:r w:rsidRPr="00606E3F">
        <w:rPr>
          <w:rFonts w:asciiTheme="minorHAnsi" w:hAnsiTheme="minorHAnsi" w:cs="Arial"/>
          <w:color w:val="252525"/>
          <w:shd w:val="clear" w:color="auto" w:fill="FFFFFF"/>
        </w:rPr>
        <w:t xml:space="preserve">temeljne ekonomske politike </w:t>
      </w:r>
      <w:r w:rsidR="00777790">
        <w:rPr>
          <w:rFonts w:asciiTheme="minorHAnsi" w:hAnsiTheme="minorHAnsi" w:cs="Arial"/>
          <w:color w:val="252525"/>
          <w:shd w:val="clear" w:color="auto" w:fill="FFFFFF"/>
        </w:rPr>
        <w:t xml:space="preserve">uključujući monetarnu politiku </w:t>
      </w:r>
      <w:r w:rsidR="00154659" w:rsidRPr="00606E3F">
        <w:rPr>
          <w:rFonts w:asciiTheme="minorHAnsi" w:hAnsiTheme="minorHAnsi" w:cs="Arial"/>
          <w:color w:val="252525"/>
          <w:shd w:val="clear" w:color="auto" w:fill="FFFFFF"/>
        </w:rPr>
        <w:t>i</w:t>
      </w:r>
      <w:r w:rsidRPr="00606E3F">
        <w:rPr>
          <w:rFonts w:asciiTheme="minorHAnsi" w:hAnsiTheme="minorHAnsi" w:cs="Arial"/>
          <w:color w:val="252525"/>
          <w:shd w:val="clear" w:color="auto" w:fill="FFFFFF"/>
        </w:rPr>
        <w:t xml:space="preserve"> fiskalnu politiku</w:t>
      </w:r>
      <w:r w:rsidR="00154659" w:rsidRPr="00606E3F">
        <w:rPr>
          <w:rFonts w:asciiTheme="minorHAnsi" w:hAnsiTheme="minorHAnsi" w:cs="Arial"/>
          <w:color w:val="252525"/>
          <w:shd w:val="clear" w:color="auto" w:fill="FFFFFF"/>
        </w:rPr>
        <w:t xml:space="preserve">. </w:t>
      </w:r>
    </w:p>
    <w:p w:rsidR="00587960" w:rsidRPr="00606E3F" w:rsidRDefault="0025789C" w:rsidP="00606E3F">
      <w:pPr>
        <w:pStyle w:val="StandardWeb"/>
        <w:shd w:val="clear" w:color="auto" w:fill="FFFFFF"/>
        <w:spacing w:before="120" w:beforeAutospacing="0" w:after="120" w:afterAutospacing="0" w:line="336" w:lineRule="atLeast"/>
        <w:jc w:val="both"/>
        <w:rPr>
          <w:rFonts w:asciiTheme="minorHAnsi" w:hAnsiTheme="minorHAnsi" w:cs="Arial"/>
          <w:color w:val="252525"/>
          <w:shd w:val="clear" w:color="auto" w:fill="FFFFFF"/>
        </w:rPr>
      </w:pPr>
      <w:r>
        <w:rPr>
          <w:rFonts w:asciiTheme="minorHAnsi" w:hAnsiTheme="minorHAnsi" w:cs="Arial"/>
          <w:color w:val="252525"/>
          <w:shd w:val="clear" w:color="auto" w:fill="FFFFFF"/>
        </w:rPr>
        <w:t>Područje osobnih</w:t>
      </w:r>
      <w:r w:rsidR="00154659" w:rsidRPr="00606E3F">
        <w:rPr>
          <w:rFonts w:asciiTheme="minorHAnsi" w:hAnsiTheme="minorHAnsi" w:cs="Arial"/>
          <w:color w:val="252525"/>
          <w:shd w:val="clear" w:color="auto" w:fill="FFFFFF"/>
        </w:rPr>
        <w:t xml:space="preserve"> financij</w:t>
      </w:r>
      <w:r>
        <w:rPr>
          <w:rFonts w:asciiTheme="minorHAnsi" w:hAnsiTheme="minorHAnsi" w:cs="Arial"/>
          <w:color w:val="252525"/>
          <w:shd w:val="clear" w:color="auto" w:fill="FFFFFF"/>
        </w:rPr>
        <w:t>a</w:t>
      </w:r>
      <w:r w:rsidR="00154659" w:rsidRPr="00606E3F">
        <w:rPr>
          <w:rFonts w:asciiTheme="minorHAnsi" w:hAnsiTheme="minorHAnsi" w:cs="Arial"/>
          <w:color w:val="252525"/>
          <w:shd w:val="clear" w:color="auto" w:fill="FFFFFF"/>
        </w:rPr>
        <w:t xml:space="preserve"> ulaz</w:t>
      </w:r>
      <w:r>
        <w:rPr>
          <w:rFonts w:asciiTheme="minorHAnsi" w:hAnsiTheme="minorHAnsi" w:cs="Arial"/>
          <w:color w:val="252525"/>
          <w:shd w:val="clear" w:color="auto" w:fill="FFFFFF"/>
        </w:rPr>
        <w:t xml:space="preserve">i u domenu </w:t>
      </w:r>
      <w:r w:rsidRPr="00606E3F">
        <w:rPr>
          <w:rFonts w:asciiTheme="minorHAnsi" w:hAnsiTheme="minorHAnsi" w:cs="Arial"/>
          <w:color w:val="252525"/>
          <w:shd w:val="clear" w:color="auto" w:fill="FFFFFF"/>
        </w:rPr>
        <w:t>mikroekonoms</w:t>
      </w:r>
      <w:r>
        <w:rPr>
          <w:rFonts w:asciiTheme="minorHAnsi" w:hAnsiTheme="minorHAnsi" w:cs="Arial"/>
          <w:color w:val="252525"/>
          <w:shd w:val="clear" w:color="auto" w:fill="FFFFFF"/>
        </w:rPr>
        <w:t>kih istraživanja</w:t>
      </w:r>
      <w:r w:rsidR="00154659" w:rsidRPr="00606E3F">
        <w:rPr>
          <w:rFonts w:asciiTheme="minorHAnsi" w:hAnsiTheme="minorHAnsi" w:cs="Arial"/>
          <w:color w:val="252525"/>
          <w:shd w:val="clear" w:color="auto" w:fill="FFFFFF"/>
        </w:rPr>
        <w:t>. No</w:t>
      </w:r>
      <w:r w:rsidR="00BA5825">
        <w:rPr>
          <w:rFonts w:asciiTheme="minorHAnsi" w:hAnsiTheme="minorHAnsi" w:cs="Arial"/>
          <w:color w:val="252525"/>
          <w:shd w:val="clear" w:color="auto" w:fill="FFFFFF"/>
        </w:rPr>
        <w:t>,</w:t>
      </w:r>
      <w:r w:rsidR="00154659" w:rsidRPr="00606E3F">
        <w:rPr>
          <w:rFonts w:asciiTheme="minorHAnsi" w:hAnsiTheme="minorHAnsi" w:cs="Arial"/>
          <w:color w:val="252525"/>
          <w:shd w:val="clear" w:color="auto" w:fill="FFFFFF"/>
        </w:rPr>
        <w:t xml:space="preserve"> za adekvatno upravljanje osobnim financijama itekako je važno uzeti u obzir makroekonomske relacije te učinke koje makroekonomske okolnosti i politike imaju na kretanje brojnih ekonomskih varijabla </w:t>
      </w:r>
      <w:r w:rsidR="00777790">
        <w:rPr>
          <w:rFonts w:asciiTheme="minorHAnsi" w:hAnsiTheme="minorHAnsi" w:cs="Arial"/>
          <w:color w:val="252525"/>
          <w:shd w:val="clear" w:color="auto" w:fill="FFFFFF"/>
        </w:rPr>
        <w:t>(</w:t>
      </w:r>
      <w:r w:rsidR="00BA5825">
        <w:rPr>
          <w:rFonts w:asciiTheme="minorHAnsi" w:hAnsiTheme="minorHAnsi" w:cs="Arial"/>
          <w:color w:val="252525"/>
          <w:shd w:val="clear" w:color="auto" w:fill="FFFFFF"/>
        </w:rPr>
        <w:t xml:space="preserve">inflaciju, </w:t>
      </w:r>
      <w:r w:rsidR="00777790">
        <w:rPr>
          <w:rFonts w:asciiTheme="minorHAnsi" w:hAnsiTheme="minorHAnsi" w:cs="Arial"/>
          <w:color w:val="252525"/>
          <w:shd w:val="clear" w:color="auto" w:fill="FFFFFF"/>
        </w:rPr>
        <w:t>kamatne stope, devizni tečaj, porezn</w:t>
      </w:r>
      <w:r w:rsidR="00B40DA4">
        <w:rPr>
          <w:rFonts w:asciiTheme="minorHAnsi" w:hAnsiTheme="minorHAnsi" w:cs="Arial"/>
          <w:color w:val="252525"/>
          <w:shd w:val="clear" w:color="auto" w:fill="FFFFFF"/>
        </w:rPr>
        <w:t>u</w:t>
      </w:r>
      <w:r w:rsidR="00777790">
        <w:rPr>
          <w:rFonts w:asciiTheme="minorHAnsi" w:hAnsiTheme="minorHAnsi" w:cs="Arial"/>
          <w:color w:val="252525"/>
          <w:shd w:val="clear" w:color="auto" w:fill="FFFFFF"/>
        </w:rPr>
        <w:t xml:space="preserve"> presij</w:t>
      </w:r>
      <w:r w:rsidR="00B40DA4">
        <w:rPr>
          <w:rFonts w:asciiTheme="minorHAnsi" w:hAnsiTheme="minorHAnsi" w:cs="Arial"/>
          <w:color w:val="252525"/>
          <w:shd w:val="clear" w:color="auto" w:fill="FFFFFF"/>
        </w:rPr>
        <w:t>u</w:t>
      </w:r>
      <w:r w:rsidR="00777790">
        <w:rPr>
          <w:rFonts w:asciiTheme="minorHAnsi" w:hAnsiTheme="minorHAnsi" w:cs="Arial"/>
          <w:color w:val="252525"/>
          <w:shd w:val="clear" w:color="auto" w:fill="FFFFFF"/>
        </w:rPr>
        <w:t xml:space="preserve"> i</w:t>
      </w:r>
      <w:r w:rsidR="00BA5825">
        <w:rPr>
          <w:rFonts w:asciiTheme="minorHAnsi" w:hAnsiTheme="minorHAnsi" w:cs="Arial"/>
          <w:color w:val="252525"/>
          <w:shd w:val="clear" w:color="auto" w:fill="FFFFFF"/>
        </w:rPr>
        <w:t xml:space="preserve"> druge</w:t>
      </w:r>
      <w:r w:rsidR="00777790">
        <w:rPr>
          <w:rFonts w:asciiTheme="minorHAnsi" w:hAnsiTheme="minorHAnsi" w:cs="Arial"/>
          <w:color w:val="252525"/>
          <w:shd w:val="clear" w:color="auto" w:fill="FFFFFF"/>
        </w:rPr>
        <w:t xml:space="preserve">) </w:t>
      </w:r>
      <w:r w:rsidR="00154659" w:rsidRPr="00606E3F">
        <w:rPr>
          <w:rFonts w:asciiTheme="minorHAnsi" w:hAnsiTheme="minorHAnsi" w:cs="Arial"/>
          <w:color w:val="252525"/>
          <w:shd w:val="clear" w:color="auto" w:fill="FFFFFF"/>
        </w:rPr>
        <w:t xml:space="preserve">te se kao takve odražavaju na okruženje u kojem </w:t>
      </w:r>
      <w:r w:rsidR="00A85157">
        <w:rPr>
          <w:rFonts w:asciiTheme="minorHAnsi" w:hAnsiTheme="minorHAnsi" w:cs="Arial"/>
          <w:color w:val="252525"/>
          <w:shd w:val="clear" w:color="auto" w:fill="FFFFFF"/>
        </w:rPr>
        <w:t>pojedinac</w:t>
      </w:r>
      <w:r w:rsidR="00154659" w:rsidRPr="00606E3F">
        <w:rPr>
          <w:rFonts w:asciiTheme="minorHAnsi" w:hAnsiTheme="minorHAnsi" w:cs="Arial"/>
          <w:color w:val="252525"/>
          <w:shd w:val="clear" w:color="auto" w:fill="FFFFFF"/>
        </w:rPr>
        <w:t xml:space="preserve"> djeluje </w:t>
      </w:r>
      <w:r w:rsidR="00BA5825">
        <w:rPr>
          <w:rFonts w:asciiTheme="minorHAnsi" w:hAnsiTheme="minorHAnsi" w:cs="Arial"/>
          <w:color w:val="252525"/>
          <w:shd w:val="clear" w:color="auto" w:fill="FFFFFF"/>
        </w:rPr>
        <w:t>te</w:t>
      </w:r>
      <w:r w:rsidR="00154659" w:rsidRPr="00606E3F">
        <w:rPr>
          <w:rFonts w:asciiTheme="minorHAnsi" w:hAnsiTheme="minorHAnsi" w:cs="Arial"/>
          <w:color w:val="252525"/>
          <w:shd w:val="clear" w:color="auto" w:fill="FFFFFF"/>
        </w:rPr>
        <w:t xml:space="preserve"> donosi </w:t>
      </w:r>
      <w:r w:rsidR="00A85157">
        <w:rPr>
          <w:rFonts w:asciiTheme="minorHAnsi" w:hAnsiTheme="minorHAnsi" w:cs="Arial"/>
          <w:color w:val="252525"/>
          <w:shd w:val="clear" w:color="auto" w:fill="FFFFFF"/>
        </w:rPr>
        <w:t xml:space="preserve">financijske i druge </w:t>
      </w:r>
      <w:r w:rsidR="00154659" w:rsidRPr="00606E3F">
        <w:rPr>
          <w:rFonts w:asciiTheme="minorHAnsi" w:hAnsiTheme="minorHAnsi" w:cs="Arial"/>
          <w:color w:val="252525"/>
          <w:shd w:val="clear" w:color="auto" w:fill="FFFFFF"/>
        </w:rPr>
        <w:t xml:space="preserve">odluke. </w:t>
      </w:r>
      <w:r w:rsidR="00BA5825">
        <w:rPr>
          <w:rFonts w:asciiTheme="minorHAnsi" w:hAnsiTheme="minorHAnsi" w:cs="Arial"/>
          <w:color w:val="252525"/>
          <w:shd w:val="clear" w:color="auto" w:fill="FFFFFF"/>
        </w:rPr>
        <w:t xml:space="preserve">U </w:t>
      </w:r>
      <w:r w:rsidR="00D73A0F" w:rsidRPr="00606E3F">
        <w:rPr>
          <w:rFonts w:asciiTheme="minorHAnsi" w:hAnsiTheme="minorHAnsi" w:cs="Arial"/>
          <w:color w:val="252525"/>
          <w:shd w:val="clear" w:color="auto" w:fill="FFFFFF"/>
        </w:rPr>
        <w:t>osobnim financijama</w:t>
      </w:r>
      <w:r w:rsidR="00BA5825">
        <w:rPr>
          <w:rFonts w:asciiTheme="minorHAnsi" w:hAnsiTheme="minorHAnsi" w:cs="Arial"/>
          <w:color w:val="252525"/>
          <w:shd w:val="clear" w:color="auto" w:fill="FFFFFF"/>
        </w:rPr>
        <w:t>,</w:t>
      </w:r>
      <w:r w:rsidR="00D73A0F" w:rsidRPr="00606E3F">
        <w:rPr>
          <w:rFonts w:asciiTheme="minorHAnsi" w:hAnsiTheme="minorHAnsi" w:cs="Arial"/>
          <w:color w:val="252525"/>
          <w:shd w:val="clear" w:color="auto" w:fill="FFFFFF"/>
        </w:rPr>
        <w:t xml:space="preserve"> kao i drugim segmentima ekonomije </w:t>
      </w:r>
      <w:r w:rsidR="00BA5825">
        <w:rPr>
          <w:rFonts w:asciiTheme="minorHAnsi" w:hAnsiTheme="minorHAnsi" w:cs="Arial"/>
          <w:color w:val="252525"/>
          <w:shd w:val="clear" w:color="auto" w:fill="FFFFFF"/>
        </w:rPr>
        <w:t xml:space="preserve">pri tome se </w:t>
      </w:r>
      <w:r w:rsidR="00D73A0F" w:rsidRPr="00606E3F">
        <w:rPr>
          <w:rFonts w:asciiTheme="minorHAnsi" w:hAnsiTheme="minorHAnsi" w:cs="Arial"/>
          <w:color w:val="252525"/>
          <w:shd w:val="clear" w:color="auto" w:fill="FFFFFF"/>
        </w:rPr>
        <w:t xml:space="preserve">polazi od zahtjeva </w:t>
      </w:r>
      <w:r w:rsidR="00BA5825" w:rsidRPr="00BA5825">
        <w:rPr>
          <w:rFonts w:asciiTheme="minorHAnsi" w:hAnsiTheme="minorHAnsi" w:cs="Arial"/>
          <w:shd w:val="clear" w:color="auto" w:fill="FFFFFF"/>
        </w:rPr>
        <w:t>„</w:t>
      </w:r>
      <w:r w:rsidR="00D73A0F" w:rsidRPr="00BA5825">
        <w:rPr>
          <w:rFonts w:asciiTheme="minorHAnsi" w:hAnsiTheme="minorHAnsi" w:cs="Arial"/>
          <w:color w:val="C00000"/>
          <w:shd w:val="clear" w:color="auto" w:fill="FFFFFF"/>
        </w:rPr>
        <w:t>optimalna alokacije oskudnih resursa koji imaju alternativne mogućnosti upotrebe</w:t>
      </w:r>
      <w:r w:rsidR="00BA5825" w:rsidRPr="00BA5825">
        <w:rPr>
          <w:rFonts w:asciiTheme="minorHAnsi" w:hAnsiTheme="minorHAnsi" w:cs="Arial"/>
          <w:shd w:val="clear" w:color="auto" w:fill="FFFFFF"/>
        </w:rPr>
        <w:t>“</w:t>
      </w:r>
      <w:r w:rsidR="00D73A0F" w:rsidRPr="00BA5825">
        <w:rPr>
          <w:rFonts w:asciiTheme="minorHAnsi" w:hAnsiTheme="minorHAnsi" w:cs="Arial"/>
          <w:shd w:val="clear" w:color="auto" w:fill="FFFFFF"/>
        </w:rPr>
        <w:t xml:space="preserve">. </w:t>
      </w:r>
    </w:p>
    <w:p w:rsidR="002C6FDF" w:rsidRPr="00606E3F" w:rsidRDefault="002C6FDF" w:rsidP="00606E3F">
      <w:pPr>
        <w:pStyle w:val="StandardWeb"/>
        <w:shd w:val="clear" w:color="auto" w:fill="FFFFFF"/>
        <w:spacing w:before="120" w:beforeAutospacing="0" w:after="120" w:afterAutospacing="0" w:line="336" w:lineRule="atLeast"/>
        <w:jc w:val="both"/>
        <w:rPr>
          <w:rFonts w:asciiTheme="minorHAnsi" w:hAnsiTheme="minorHAnsi" w:cs="Arial"/>
          <w:color w:val="252525"/>
        </w:rPr>
      </w:pPr>
      <w:r w:rsidRPr="00606E3F">
        <w:rPr>
          <w:rFonts w:asciiTheme="minorHAnsi" w:hAnsiTheme="minorHAnsi" w:cs="Arial"/>
          <w:color w:val="252525"/>
          <w:shd w:val="clear" w:color="auto" w:fill="FFFFFF"/>
        </w:rPr>
        <w:t xml:space="preserve">Podaci važni za izučavanje </w:t>
      </w:r>
      <w:r w:rsidR="00D73A0F" w:rsidRPr="00606E3F">
        <w:rPr>
          <w:rFonts w:asciiTheme="minorHAnsi" w:hAnsiTheme="minorHAnsi" w:cs="Arial"/>
          <w:color w:val="252525"/>
          <w:shd w:val="clear" w:color="auto" w:fill="FFFFFF"/>
        </w:rPr>
        <w:t xml:space="preserve">da li </w:t>
      </w:r>
      <w:r w:rsidR="001936AF">
        <w:rPr>
          <w:rFonts w:asciiTheme="minorHAnsi" w:hAnsiTheme="minorHAnsi" w:cs="Arial"/>
          <w:color w:val="252525"/>
          <w:shd w:val="clear" w:color="auto" w:fill="FFFFFF"/>
        </w:rPr>
        <w:t xml:space="preserve">svako pojedinačno </w:t>
      </w:r>
      <w:r w:rsidR="00D73A0F" w:rsidRPr="00606E3F">
        <w:rPr>
          <w:rFonts w:asciiTheme="minorHAnsi" w:hAnsiTheme="minorHAnsi" w:cs="Arial"/>
          <w:color w:val="252525"/>
          <w:shd w:val="clear" w:color="auto" w:fill="FFFFFF"/>
        </w:rPr>
        <w:t>kućanstv</w:t>
      </w:r>
      <w:r w:rsidR="001936AF">
        <w:rPr>
          <w:rFonts w:asciiTheme="minorHAnsi" w:hAnsiTheme="minorHAnsi" w:cs="Arial"/>
          <w:color w:val="252525"/>
          <w:shd w:val="clear" w:color="auto" w:fill="FFFFFF"/>
        </w:rPr>
        <w:t>o</w:t>
      </w:r>
      <w:r w:rsidR="00D73A0F" w:rsidRPr="00606E3F">
        <w:rPr>
          <w:rFonts w:asciiTheme="minorHAnsi" w:hAnsiTheme="minorHAnsi" w:cs="Arial"/>
          <w:color w:val="252525"/>
          <w:shd w:val="clear" w:color="auto" w:fill="FFFFFF"/>
        </w:rPr>
        <w:t xml:space="preserve"> optimalno alocira oskudne resurse</w:t>
      </w:r>
      <w:r w:rsidR="00777790">
        <w:rPr>
          <w:rFonts w:asciiTheme="minorHAnsi" w:hAnsiTheme="minorHAnsi" w:cs="Arial"/>
          <w:color w:val="252525"/>
          <w:shd w:val="clear" w:color="auto" w:fill="FFFFFF"/>
        </w:rPr>
        <w:t xml:space="preserve"> </w:t>
      </w:r>
      <w:r w:rsidRPr="00606E3F">
        <w:rPr>
          <w:rFonts w:asciiTheme="minorHAnsi" w:hAnsiTheme="minorHAnsi" w:cs="Arial"/>
          <w:color w:val="252525"/>
          <w:shd w:val="clear" w:color="auto" w:fill="FFFFFF"/>
        </w:rPr>
        <w:t xml:space="preserve">nisu javno dostupni. Analize iz područja osobnih financija stoga se primarno oslanjaju na makro </w:t>
      </w:r>
      <w:r w:rsidR="000547A9">
        <w:rPr>
          <w:rFonts w:asciiTheme="minorHAnsi" w:hAnsiTheme="minorHAnsi" w:cs="Arial"/>
          <w:color w:val="252525"/>
          <w:shd w:val="clear" w:color="auto" w:fill="FFFFFF"/>
        </w:rPr>
        <w:t>podatke</w:t>
      </w:r>
      <w:r w:rsidR="00777790">
        <w:rPr>
          <w:rFonts w:asciiTheme="minorHAnsi" w:hAnsiTheme="minorHAnsi" w:cs="Arial"/>
          <w:color w:val="252525"/>
          <w:shd w:val="clear" w:color="auto" w:fill="FFFFFF"/>
        </w:rPr>
        <w:t xml:space="preserve"> iz službene statistike</w:t>
      </w:r>
      <w:r w:rsidRPr="00606E3F">
        <w:rPr>
          <w:rFonts w:asciiTheme="minorHAnsi" w:hAnsiTheme="minorHAnsi" w:cs="Arial"/>
          <w:color w:val="252525"/>
          <w:shd w:val="clear" w:color="auto" w:fill="FFFFFF"/>
        </w:rPr>
        <w:t xml:space="preserve">, dok se dio podataka procjenjuje i temelji na rezultatima </w:t>
      </w:r>
      <w:r w:rsidR="000547A9">
        <w:rPr>
          <w:rFonts w:asciiTheme="minorHAnsi" w:hAnsiTheme="minorHAnsi" w:cs="Arial"/>
          <w:color w:val="252525"/>
          <w:shd w:val="clear" w:color="auto" w:fill="FFFFFF"/>
        </w:rPr>
        <w:t xml:space="preserve">provedenih </w:t>
      </w:r>
      <w:r w:rsidRPr="00606E3F">
        <w:rPr>
          <w:rFonts w:asciiTheme="minorHAnsi" w:hAnsiTheme="minorHAnsi" w:cs="Arial"/>
          <w:color w:val="252525"/>
          <w:shd w:val="clear" w:color="auto" w:fill="FFFFFF"/>
        </w:rPr>
        <w:t>anketa. Na taj način moguć je relativno dobar uvid u prosječne pokazatelje</w:t>
      </w:r>
      <w:r w:rsidR="00D73A0F" w:rsidRPr="00606E3F">
        <w:rPr>
          <w:rFonts w:asciiTheme="minorHAnsi" w:hAnsiTheme="minorHAnsi" w:cs="Arial"/>
          <w:color w:val="252525"/>
          <w:shd w:val="clear" w:color="auto" w:fill="FFFFFF"/>
        </w:rPr>
        <w:t>. N</w:t>
      </w:r>
      <w:r w:rsidRPr="00606E3F">
        <w:rPr>
          <w:rFonts w:asciiTheme="minorHAnsi" w:hAnsiTheme="minorHAnsi" w:cs="Arial"/>
          <w:color w:val="252525"/>
          <w:shd w:val="clear" w:color="auto" w:fill="FFFFFF"/>
        </w:rPr>
        <w:t>o</w:t>
      </w:r>
      <w:r w:rsidR="00BA5825">
        <w:rPr>
          <w:rFonts w:asciiTheme="minorHAnsi" w:hAnsiTheme="minorHAnsi" w:cs="Arial"/>
          <w:color w:val="252525"/>
          <w:shd w:val="clear" w:color="auto" w:fill="FFFFFF"/>
        </w:rPr>
        <w:t>,</w:t>
      </w:r>
      <w:r w:rsidRPr="00606E3F">
        <w:rPr>
          <w:rFonts w:asciiTheme="minorHAnsi" w:hAnsiTheme="minorHAnsi" w:cs="Arial"/>
          <w:color w:val="252525"/>
          <w:shd w:val="clear" w:color="auto" w:fill="FFFFFF"/>
        </w:rPr>
        <w:t xml:space="preserve"> to nipošto </w:t>
      </w:r>
      <w:r w:rsidRPr="000547A9">
        <w:rPr>
          <w:rFonts w:asciiTheme="minorHAnsi" w:hAnsiTheme="minorHAnsi" w:cs="Arial"/>
          <w:color w:val="C00000"/>
          <w:shd w:val="clear" w:color="auto" w:fill="FFFFFF"/>
        </w:rPr>
        <w:t xml:space="preserve">ne znači da </w:t>
      </w:r>
      <w:r w:rsidR="001936AF" w:rsidRPr="000547A9">
        <w:rPr>
          <w:rFonts w:asciiTheme="minorHAnsi" w:hAnsiTheme="minorHAnsi" w:cs="Arial"/>
          <w:color w:val="C00000"/>
          <w:shd w:val="clear" w:color="auto" w:fill="FFFFFF"/>
        </w:rPr>
        <w:t xml:space="preserve">makro-podaci </w:t>
      </w:r>
      <w:r w:rsidRPr="000547A9">
        <w:rPr>
          <w:rFonts w:asciiTheme="minorHAnsi" w:hAnsiTheme="minorHAnsi" w:cs="Arial"/>
          <w:color w:val="C00000"/>
          <w:shd w:val="clear" w:color="auto" w:fill="FFFFFF"/>
        </w:rPr>
        <w:t>odgovaraju stvarnoj slici stanja u</w:t>
      </w:r>
      <w:r w:rsidR="00D73A0F" w:rsidRPr="000547A9">
        <w:rPr>
          <w:rFonts w:asciiTheme="minorHAnsi" w:hAnsiTheme="minorHAnsi" w:cs="Arial"/>
          <w:color w:val="C00000"/>
          <w:shd w:val="clear" w:color="auto" w:fill="FFFFFF"/>
        </w:rPr>
        <w:t xml:space="preserve"> svakom pojedinačnom kućanstvu</w:t>
      </w:r>
      <w:r w:rsidR="00D73A0F" w:rsidRPr="00606E3F">
        <w:rPr>
          <w:rFonts w:asciiTheme="minorHAnsi" w:hAnsiTheme="minorHAnsi" w:cs="Arial"/>
          <w:color w:val="252525"/>
          <w:shd w:val="clear" w:color="auto" w:fill="FFFFFF"/>
        </w:rPr>
        <w:t>.</w:t>
      </w:r>
    </w:p>
    <w:p w:rsidR="00B65730" w:rsidRPr="00595139" w:rsidRDefault="00595139" w:rsidP="003239CD">
      <w:pPr>
        <w:spacing w:before="240"/>
        <w:rPr>
          <w:b/>
          <w:sz w:val="24"/>
          <w:szCs w:val="24"/>
        </w:rPr>
      </w:pPr>
      <w:r>
        <w:rPr>
          <w:b/>
          <w:sz w:val="24"/>
          <w:szCs w:val="24"/>
        </w:rPr>
        <w:t xml:space="preserve">1.1. </w:t>
      </w:r>
      <w:r w:rsidR="00B65730" w:rsidRPr="00595139">
        <w:rPr>
          <w:b/>
          <w:sz w:val="24"/>
          <w:szCs w:val="24"/>
        </w:rPr>
        <w:t>Stanovništvo kao glavni nositelj novčanog suficita</w:t>
      </w:r>
    </w:p>
    <w:p w:rsidR="00CB240E" w:rsidRPr="00606E3F" w:rsidRDefault="00B65730" w:rsidP="00283B0C">
      <w:pPr>
        <w:jc w:val="both"/>
        <w:rPr>
          <w:sz w:val="24"/>
          <w:szCs w:val="24"/>
        </w:rPr>
      </w:pPr>
      <w:r w:rsidRPr="00606E3F">
        <w:rPr>
          <w:sz w:val="24"/>
          <w:szCs w:val="24"/>
        </w:rPr>
        <w:t>Uloga sektora stanovništvo u nacionalnom gospodarstvu primarno se veže uz aktivnosti p</w:t>
      </w:r>
      <w:r w:rsidR="00FF4725">
        <w:rPr>
          <w:sz w:val="24"/>
          <w:szCs w:val="24"/>
        </w:rPr>
        <w:t>otrošnje, štednje i investicija. P</w:t>
      </w:r>
      <w:r w:rsidRPr="00606E3F">
        <w:rPr>
          <w:sz w:val="24"/>
          <w:szCs w:val="24"/>
        </w:rPr>
        <w:t>otrošnja uključuje nabavke rob</w:t>
      </w:r>
      <w:r w:rsidR="00BA5825">
        <w:rPr>
          <w:sz w:val="24"/>
          <w:szCs w:val="24"/>
        </w:rPr>
        <w:t>e</w:t>
      </w:r>
      <w:r w:rsidRPr="00606E3F">
        <w:rPr>
          <w:sz w:val="24"/>
          <w:szCs w:val="24"/>
        </w:rPr>
        <w:t xml:space="preserve"> i usluga domaćeg i inozemnog porijekla, </w:t>
      </w:r>
      <w:r w:rsidR="00FF4725">
        <w:rPr>
          <w:sz w:val="24"/>
          <w:szCs w:val="24"/>
        </w:rPr>
        <w:t xml:space="preserve">dok </w:t>
      </w:r>
      <w:r w:rsidRPr="00606E3F">
        <w:rPr>
          <w:sz w:val="24"/>
          <w:szCs w:val="24"/>
        </w:rPr>
        <w:t xml:space="preserve">investicije i štednja mogu biti u zemlji ili u inozemstvu. </w:t>
      </w:r>
      <w:r w:rsidRPr="001936AF">
        <w:rPr>
          <w:sz w:val="24"/>
          <w:szCs w:val="24"/>
        </w:rPr>
        <w:t xml:space="preserve">Korištenjem </w:t>
      </w:r>
      <w:r w:rsidRPr="00606E3F">
        <w:rPr>
          <w:color w:val="C00000"/>
          <w:sz w:val="24"/>
          <w:szCs w:val="24"/>
        </w:rPr>
        <w:t xml:space="preserve">financijskih računa kao sastavnog dijela sustava nacionalnih računa </w:t>
      </w:r>
      <w:r w:rsidRPr="00606E3F">
        <w:rPr>
          <w:sz w:val="24"/>
          <w:szCs w:val="24"/>
        </w:rPr>
        <w:t xml:space="preserve">moguć je uvid u važnost uloge stanovništva </w:t>
      </w:r>
      <w:r w:rsidR="00F012F8" w:rsidRPr="00606E3F">
        <w:rPr>
          <w:sz w:val="24"/>
          <w:szCs w:val="24"/>
        </w:rPr>
        <w:t xml:space="preserve">u ukupnoj strukturi financijske imovine i financijskih obveza </w:t>
      </w:r>
      <w:r w:rsidR="00BA5825">
        <w:rPr>
          <w:sz w:val="24"/>
          <w:szCs w:val="24"/>
        </w:rPr>
        <w:t xml:space="preserve">zemlje, a u nastavku se daje kratak prikaz navedenog u slučaju </w:t>
      </w:r>
      <w:r w:rsidR="00F012F8" w:rsidRPr="00606E3F">
        <w:rPr>
          <w:sz w:val="24"/>
          <w:szCs w:val="24"/>
        </w:rPr>
        <w:t>Republike Hrvatske.</w:t>
      </w:r>
    </w:p>
    <w:p w:rsidR="009778B3" w:rsidRPr="00606E3F" w:rsidRDefault="00F012F8" w:rsidP="00283B0C">
      <w:pPr>
        <w:jc w:val="both"/>
        <w:rPr>
          <w:sz w:val="24"/>
          <w:szCs w:val="24"/>
        </w:rPr>
      </w:pPr>
      <w:r w:rsidRPr="00606E3F">
        <w:rPr>
          <w:sz w:val="24"/>
          <w:szCs w:val="24"/>
        </w:rPr>
        <w:t xml:space="preserve">Detaljna analiza podataka o stanjima </w:t>
      </w:r>
      <w:r w:rsidR="00CB240E" w:rsidRPr="00606E3F">
        <w:rPr>
          <w:sz w:val="24"/>
          <w:szCs w:val="24"/>
        </w:rPr>
        <w:t xml:space="preserve">financijske </w:t>
      </w:r>
      <w:r w:rsidRPr="00606E3F">
        <w:rPr>
          <w:sz w:val="24"/>
          <w:szCs w:val="24"/>
        </w:rPr>
        <w:t xml:space="preserve">imovine i </w:t>
      </w:r>
      <w:r w:rsidR="00CB240E" w:rsidRPr="00606E3F">
        <w:rPr>
          <w:sz w:val="24"/>
          <w:szCs w:val="24"/>
        </w:rPr>
        <w:t xml:space="preserve">financijskih </w:t>
      </w:r>
      <w:r w:rsidRPr="00606E3F">
        <w:rPr>
          <w:sz w:val="24"/>
          <w:szCs w:val="24"/>
        </w:rPr>
        <w:t xml:space="preserve">obveza na kraju 2013. </w:t>
      </w:r>
      <w:r w:rsidR="009778B3" w:rsidRPr="00606E3F">
        <w:rPr>
          <w:sz w:val="24"/>
          <w:szCs w:val="24"/>
        </w:rPr>
        <w:t>d</w:t>
      </w:r>
      <w:r w:rsidRPr="00606E3F">
        <w:rPr>
          <w:sz w:val="24"/>
          <w:szCs w:val="24"/>
        </w:rPr>
        <w:t xml:space="preserve">ana je u tablici 1 i prikazuje strukturu </w:t>
      </w:r>
      <w:r w:rsidR="00CB240E" w:rsidRPr="001936AF">
        <w:rPr>
          <w:color w:val="C00000"/>
          <w:sz w:val="24"/>
          <w:szCs w:val="24"/>
        </w:rPr>
        <w:t>neto-</w:t>
      </w:r>
      <w:r w:rsidRPr="001936AF">
        <w:rPr>
          <w:color w:val="C00000"/>
          <w:sz w:val="24"/>
          <w:szCs w:val="24"/>
        </w:rPr>
        <w:t xml:space="preserve">vrijednosti financijske imovine </w:t>
      </w:r>
      <w:r w:rsidRPr="00606E3F">
        <w:rPr>
          <w:sz w:val="24"/>
          <w:szCs w:val="24"/>
        </w:rPr>
        <w:t>po pojedinačnim institucionalnim sektorima te otvorenost ekonomije prema ostatku svijeta. Iz podataka je vidljivo da financijska imovina stanovništva</w:t>
      </w:r>
      <w:r w:rsidR="009778B3" w:rsidRPr="00606E3F">
        <w:rPr>
          <w:sz w:val="24"/>
          <w:szCs w:val="24"/>
        </w:rPr>
        <w:t xml:space="preserve"> </w:t>
      </w:r>
      <w:r w:rsidR="0075265B">
        <w:rPr>
          <w:sz w:val="24"/>
          <w:szCs w:val="24"/>
        </w:rPr>
        <w:t xml:space="preserve">(sektor kućanstva) </w:t>
      </w:r>
      <w:r w:rsidR="009778B3" w:rsidRPr="00606E3F">
        <w:rPr>
          <w:sz w:val="24"/>
          <w:szCs w:val="24"/>
        </w:rPr>
        <w:t xml:space="preserve">značajno premašuje njegove </w:t>
      </w:r>
      <w:r w:rsidR="009778B3" w:rsidRPr="00606E3F">
        <w:rPr>
          <w:sz w:val="24"/>
          <w:szCs w:val="24"/>
        </w:rPr>
        <w:lastRenderedPageBreak/>
        <w:t>financijske obveze</w:t>
      </w:r>
      <w:r w:rsidR="002A7DF2">
        <w:rPr>
          <w:sz w:val="24"/>
          <w:szCs w:val="24"/>
        </w:rPr>
        <w:t>,</w:t>
      </w:r>
      <w:r w:rsidR="009778B3" w:rsidRPr="00606E3F">
        <w:rPr>
          <w:sz w:val="24"/>
          <w:szCs w:val="24"/>
        </w:rPr>
        <w:t xml:space="preserve"> kao i da se </w:t>
      </w:r>
      <w:r w:rsidR="009778B3" w:rsidRPr="001936AF">
        <w:rPr>
          <w:color w:val="C00000"/>
          <w:sz w:val="24"/>
          <w:szCs w:val="24"/>
        </w:rPr>
        <w:t>sektor stanovništvo javlja kao najvažniji domaći nositelj novčanog suficita</w:t>
      </w:r>
      <w:r w:rsidR="009778B3" w:rsidRPr="00606E3F">
        <w:rPr>
          <w:sz w:val="24"/>
          <w:szCs w:val="24"/>
        </w:rPr>
        <w:t xml:space="preserve">. </w:t>
      </w:r>
      <w:r w:rsidR="00FF4725">
        <w:rPr>
          <w:sz w:val="24"/>
          <w:szCs w:val="24"/>
        </w:rPr>
        <w:t>P</w:t>
      </w:r>
      <w:r w:rsidR="009778B3" w:rsidRPr="00606E3F">
        <w:rPr>
          <w:sz w:val="24"/>
          <w:szCs w:val="24"/>
        </w:rPr>
        <w:t>oduzeća</w:t>
      </w:r>
      <w:r w:rsidR="0075265B">
        <w:rPr>
          <w:sz w:val="24"/>
          <w:szCs w:val="24"/>
        </w:rPr>
        <w:t xml:space="preserve"> (nefinancijska društva)</w:t>
      </w:r>
      <w:r w:rsidR="00FF4725">
        <w:rPr>
          <w:sz w:val="24"/>
          <w:szCs w:val="24"/>
        </w:rPr>
        <w:t xml:space="preserve"> i</w:t>
      </w:r>
      <w:r w:rsidR="009778B3" w:rsidRPr="00606E3F">
        <w:rPr>
          <w:sz w:val="24"/>
          <w:szCs w:val="24"/>
        </w:rPr>
        <w:t xml:space="preserve"> </w:t>
      </w:r>
      <w:r w:rsidR="0075265B">
        <w:rPr>
          <w:sz w:val="24"/>
          <w:szCs w:val="24"/>
        </w:rPr>
        <w:t>opć</w:t>
      </w:r>
      <w:r w:rsidR="00FF4725">
        <w:rPr>
          <w:sz w:val="24"/>
          <w:szCs w:val="24"/>
        </w:rPr>
        <w:t>a</w:t>
      </w:r>
      <w:r w:rsidR="0075265B">
        <w:rPr>
          <w:sz w:val="24"/>
          <w:szCs w:val="24"/>
        </w:rPr>
        <w:t xml:space="preserve"> </w:t>
      </w:r>
      <w:r w:rsidR="009778B3" w:rsidRPr="00606E3F">
        <w:rPr>
          <w:sz w:val="24"/>
          <w:szCs w:val="24"/>
        </w:rPr>
        <w:t>držav</w:t>
      </w:r>
      <w:r w:rsidR="00FF4725">
        <w:rPr>
          <w:sz w:val="24"/>
          <w:szCs w:val="24"/>
        </w:rPr>
        <w:t xml:space="preserve">a bilježe veće </w:t>
      </w:r>
      <w:r w:rsidR="009778B3" w:rsidRPr="00606E3F">
        <w:rPr>
          <w:sz w:val="24"/>
          <w:szCs w:val="24"/>
        </w:rPr>
        <w:t xml:space="preserve">financijske obveze od financijske imovine te </w:t>
      </w:r>
      <w:r w:rsidR="00FF4725">
        <w:rPr>
          <w:sz w:val="24"/>
          <w:szCs w:val="24"/>
        </w:rPr>
        <w:t xml:space="preserve">slično </w:t>
      </w:r>
      <w:r w:rsidR="009778B3" w:rsidRPr="00606E3F">
        <w:rPr>
          <w:sz w:val="24"/>
          <w:szCs w:val="24"/>
        </w:rPr>
        <w:t xml:space="preserve">kao i u drugim zemljama predstavljaju novčano deficitarne sektore. </w:t>
      </w:r>
      <w:r w:rsidR="00FF4725">
        <w:rPr>
          <w:sz w:val="24"/>
          <w:szCs w:val="24"/>
        </w:rPr>
        <w:t>F</w:t>
      </w:r>
      <w:r w:rsidR="009778B3" w:rsidRPr="00606E3F">
        <w:rPr>
          <w:sz w:val="24"/>
          <w:szCs w:val="24"/>
        </w:rPr>
        <w:t>inancijska imovina inozemstva u RH veća je od financijskih obveza inozemstva prema domaćim sektorima</w:t>
      </w:r>
      <w:r w:rsidR="00777790">
        <w:rPr>
          <w:sz w:val="24"/>
          <w:szCs w:val="24"/>
        </w:rPr>
        <w:t>. T</w:t>
      </w:r>
      <w:r w:rsidR="009778B3" w:rsidRPr="00606E3F">
        <w:rPr>
          <w:sz w:val="24"/>
          <w:szCs w:val="24"/>
        </w:rPr>
        <w:t xml:space="preserve">o ukazuje da se domaći subjekti </w:t>
      </w:r>
      <w:r w:rsidR="0025789C">
        <w:rPr>
          <w:sz w:val="24"/>
          <w:szCs w:val="24"/>
        </w:rPr>
        <w:t xml:space="preserve">uvelike </w:t>
      </w:r>
      <w:r w:rsidR="009778B3" w:rsidRPr="00606E3F">
        <w:rPr>
          <w:sz w:val="24"/>
          <w:szCs w:val="24"/>
        </w:rPr>
        <w:t>financiraju iz inozemni</w:t>
      </w:r>
      <w:r w:rsidR="00777790">
        <w:rPr>
          <w:sz w:val="24"/>
          <w:szCs w:val="24"/>
        </w:rPr>
        <w:t>h</w:t>
      </w:r>
      <w:r w:rsidR="009778B3" w:rsidRPr="00606E3F">
        <w:rPr>
          <w:sz w:val="24"/>
          <w:szCs w:val="24"/>
        </w:rPr>
        <w:t xml:space="preserve"> izvora odnosno da je </w:t>
      </w:r>
      <w:r w:rsidR="009778B3" w:rsidRPr="002C3AB5">
        <w:rPr>
          <w:color w:val="C00000"/>
          <w:sz w:val="24"/>
          <w:szCs w:val="24"/>
        </w:rPr>
        <w:t xml:space="preserve">domaća štednja nedostatna </w:t>
      </w:r>
      <w:r w:rsidR="002A7DF2" w:rsidRPr="002C3AB5">
        <w:rPr>
          <w:color w:val="C00000"/>
          <w:sz w:val="24"/>
          <w:szCs w:val="24"/>
        </w:rPr>
        <w:t>z</w:t>
      </w:r>
      <w:r w:rsidR="00CB240E" w:rsidRPr="002C3AB5">
        <w:rPr>
          <w:color w:val="C00000"/>
          <w:sz w:val="24"/>
          <w:szCs w:val="24"/>
        </w:rPr>
        <w:t xml:space="preserve">a </w:t>
      </w:r>
      <w:r w:rsidR="009778B3" w:rsidRPr="002C3AB5">
        <w:rPr>
          <w:color w:val="C00000"/>
          <w:sz w:val="24"/>
          <w:szCs w:val="24"/>
        </w:rPr>
        <w:t>potreb</w:t>
      </w:r>
      <w:r w:rsidR="00CB240E" w:rsidRPr="002C3AB5">
        <w:rPr>
          <w:color w:val="C00000"/>
          <w:sz w:val="24"/>
          <w:szCs w:val="24"/>
        </w:rPr>
        <w:t>e</w:t>
      </w:r>
      <w:r w:rsidR="009778B3" w:rsidRPr="002C3AB5">
        <w:rPr>
          <w:color w:val="C00000"/>
          <w:sz w:val="24"/>
          <w:szCs w:val="24"/>
        </w:rPr>
        <w:t xml:space="preserve"> financiranja u zemlji</w:t>
      </w:r>
      <w:r w:rsidR="009778B3" w:rsidRPr="002C3AB5">
        <w:rPr>
          <w:sz w:val="24"/>
          <w:szCs w:val="24"/>
        </w:rPr>
        <w:t>.</w:t>
      </w:r>
      <w:r w:rsidR="00FF4725">
        <w:rPr>
          <w:sz w:val="24"/>
          <w:szCs w:val="24"/>
        </w:rPr>
        <w:t xml:space="preserve"> Makroekonomski fenomen koji je </w:t>
      </w:r>
      <w:r w:rsidR="002C3AB5">
        <w:rPr>
          <w:sz w:val="24"/>
          <w:szCs w:val="24"/>
        </w:rPr>
        <w:t xml:space="preserve">s time povezan je visok vanjski </w:t>
      </w:r>
      <w:r w:rsidR="00FF4725">
        <w:rPr>
          <w:sz w:val="24"/>
          <w:szCs w:val="24"/>
        </w:rPr>
        <w:t>dug zemlje na razini 109,4% BDP-a</w:t>
      </w:r>
      <w:r w:rsidR="0025789C">
        <w:rPr>
          <w:sz w:val="24"/>
          <w:szCs w:val="24"/>
        </w:rPr>
        <w:t xml:space="preserve"> sredinom </w:t>
      </w:r>
      <w:r w:rsidR="002C3AB5">
        <w:rPr>
          <w:sz w:val="24"/>
          <w:szCs w:val="24"/>
        </w:rPr>
        <w:t>2015.</w:t>
      </w:r>
      <w:r w:rsidR="00FF4725">
        <w:rPr>
          <w:sz w:val="24"/>
          <w:szCs w:val="24"/>
        </w:rPr>
        <w:t xml:space="preserve"> Hrvatska ujedno ima i visok javni dug koji se kreće na razini 8</w:t>
      </w:r>
      <w:r w:rsidR="0025789C">
        <w:rPr>
          <w:sz w:val="24"/>
          <w:szCs w:val="24"/>
        </w:rPr>
        <w:t>7</w:t>
      </w:r>
      <w:r w:rsidR="00FF4725">
        <w:rPr>
          <w:sz w:val="24"/>
          <w:szCs w:val="24"/>
        </w:rPr>
        <w:t>,</w:t>
      </w:r>
      <w:r w:rsidR="0025789C">
        <w:rPr>
          <w:sz w:val="24"/>
          <w:szCs w:val="24"/>
        </w:rPr>
        <w:t>7</w:t>
      </w:r>
      <w:r w:rsidR="00FF4725">
        <w:rPr>
          <w:sz w:val="24"/>
          <w:szCs w:val="24"/>
        </w:rPr>
        <w:t>% BDP-a, a posljedica je stanja prekomjernih javnih rashoda u odnosu na javne prihode</w:t>
      </w:r>
      <w:r w:rsidR="00121119">
        <w:rPr>
          <w:sz w:val="24"/>
          <w:szCs w:val="24"/>
        </w:rPr>
        <w:t xml:space="preserve"> (</w:t>
      </w:r>
      <w:r w:rsidR="002C3AB5">
        <w:rPr>
          <w:sz w:val="24"/>
          <w:szCs w:val="24"/>
        </w:rPr>
        <w:t xml:space="preserve">visokog </w:t>
      </w:r>
      <w:r w:rsidR="00121119">
        <w:rPr>
          <w:sz w:val="24"/>
          <w:szCs w:val="24"/>
        </w:rPr>
        <w:t>b</w:t>
      </w:r>
      <w:r w:rsidR="00FF4725">
        <w:rPr>
          <w:sz w:val="24"/>
          <w:szCs w:val="24"/>
        </w:rPr>
        <w:t>udžetskog deficita</w:t>
      </w:r>
      <w:r w:rsidR="00121119">
        <w:rPr>
          <w:sz w:val="24"/>
          <w:szCs w:val="24"/>
        </w:rPr>
        <w:t>) i</w:t>
      </w:r>
      <w:r w:rsidR="00FF4725">
        <w:rPr>
          <w:sz w:val="24"/>
          <w:szCs w:val="24"/>
        </w:rPr>
        <w:t xml:space="preserve"> neadekvatno</w:t>
      </w:r>
      <w:r w:rsidR="00121119">
        <w:rPr>
          <w:sz w:val="24"/>
          <w:szCs w:val="24"/>
        </w:rPr>
        <w:t>g</w:t>
      </w:r>
      <w:r w:rsidR="00FF4725">
        <w:rPr>
          <w:sz w:val="24"/>
          <w:szCs w:val="24"/>
        </w:rPr>
        <w:t xml:space="preserve"> upravljanj</w:t>
      </w:r>
      <w:r w:rsidR="00121119">
        <w:rPr>
          <w:sz w:val="24"/>
          <w:szCs w:val="24"/>
        </w:rPr>
        <w:t>a</w:t>
      </w:r>
      <w:r w:rsidR="00FF4725">
        <w:rPr>
          <w:sz w:val="24"/>
          <w:szCs w:val="24"/>
        </w:rPr>
        <w:t xml:space="preserve"> javnim financijama.</w:t>
      </w:r>
    </w:p>
    <w:p w:rsidR="009778B3" w:rsidRPr="007B79A8" w:rsidRDefault="009778B3" w:rsidP="00673901">
      <w:pPr>
        <w:spacing w:after="120"/>
        <w:rPr>
          <w:b/>
          <w:sz w:val="24"/>
          <w:szCs w:val="24"/>
        </w:rPr>
      </w:pPr>
      <w:r w:rsidRPr="007B79A8">
        <w:rPr>
          <w:b/>
          <w:sz w:val="24"/>
          <w:szCs w:val="24"/>
        </w:rPr>
        <w:t xml:space="preserve">Tablica 1: Stanje financijske imovine i </w:t>
      </w:r>
      <w:r w:rsidR="00606E3F" w:rsidRPr="007B79A8">
        <w:rPr>
          <w:b/>
          <w:sz w:val="24"/>
          <w:szCs w:val="24"/>
        </w:rPr>
        <w:t xml:space="preserve">financijskih </w:t>
      </w:r>
      <w:r w:rsidRPr="007B79A8">
        <w:rPr>
          <w:b/>
          <w:sz w:val="24"/>
          <w:szCs w:val="24"/>
        </w:rPr>
        <w:t>obveza na kraju 2013.</w:t>
      </w:r>
      <w:r w:rsidR="00606E3F" w:rsidRPr="007B79A8">
        <w:rPr>
          <w:sz w:val="24"/>
          <w:szCs w:val="24"/>
        </w:rPr>
        <w:t>*</w:t>
      </w:r>
      <w:r w:rsidRPr="007B79A8">
        <w:rPr>
          <w:b/>
          <w:sz w:val="24"/>
          <w:szCs w:val="24"/>
        </w:rPr>
        <w:t xml:space="preserve"> </w:t>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7"/>
        <w:gridCol w:w="1620"/>
        <w:gridCol w:w="1384"/>
        <w:gridCol w:w="2086"/>
      </w:tblGrid>
      <w:tr w:rsidR="00731A0D" w:rsidRPr="00B65730" w:rsidTr="00731A0D">
        <w:trPr>
          <w:trHeight w:val="300"/>
        </w:trPr>
        <w:tc>
          <w:tcPr>
            <w:tcW w:w="4000" w:type="dxa"/>
            <w:shd w:val="clear" w:color="auto" w:fill="auto"/>
            <w:vAlign w:val="center"/>
            <w:hideMark/>
          </w:tcPr>
          <w:p w:rsidR="00731A0D" w:rsidRPr="003239CD" w:rsidRDefault="00731A0D" w:rsidP="00B65730">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 </w:t>
            </w:r>
          </w:p>
        </w:tc>
        <w:tc>
          <w:tcPr>
            <w:tcW w:w="1620" w:type="dxa"/>
            <w:shd w:val="clear" w:color="auto" w:fill="auto"/>
            <w:noWrap/>
            <w:vAlign w:val="center"/>
            <w:hideMark/>
          </w:tcPr>
          <w:p w:rsidR="00731A0D" w:rsidRPr="003239CD" w:rsidRDefault="00731A0D" w:rsidP="00B65730">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Financijska imovina</w:t>
            </w:r>
          </w:p>
        </w:tc>
        <w:tc>
          <w:tcPr>
            <w:tcW w:w="1380" w:type="dxa"/>
            <w:shd w:val="clear" w:color="auto" w:fill="auto"/>
            <w:noWrap/>
            <w:vAlign w:val="center"/>
            <w:hideMark/>
          </w:tcPr>
          <w:p w:rsidR="00731A0D" w:rsidRPr="003239CD" w:rsidRDefault="00731A0D" w:rsidP="00B65730">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Financijske obveze</w:t>
            </w:r>
          </w:p>
        </w:tc>
        <w:tc>
          <w:tcPr>
            <w:tcW w:w="2087" w:type="dxa"/>
          </w:tcPr>
          <w:p w:rsidR="00731A0D" w:rsidRPr="003239CD" w:rsidRDefault="00731A0D" w:rsidP="00B65730">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Neto vrijednost financijske imovine</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Središnja banka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98.976,28</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99.542,38</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-566,10</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Kreditne institucije</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418.819,00</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389.001,06</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29.817,94</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Novčani fondovi</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9.958,56</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10.129,32</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-170,76</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Investicijski fondovi osim novčanih fondova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5.372,75</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5.280,78</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91,97</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Osiguravajuća društva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28.955,41</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32.945,78</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-3.990,37</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Mirovinski fondovi</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61.839,09</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61.303,52</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535,57</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Ostalo - financijski sektor</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41.182,98</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49.703,42</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-8.520,44</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Kućanstva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
                <w:bCs/>
                <w:sz w:val="20"/>
                <w:szCs w:val="20"/>
                <w:lang w:eastAsia="hr-HR"/>
              </w:rPr>
            </w:pPr>
            <w:r w:rsidRPr="003239CD">
              <w:rPr>
                <w:rFonts w:ascii="Arial" w:eastAsia="Times New Roman" w:hAnsi="Arial" w:cs="Arial"/>
                <w:b/>
                <w:bCs/>
                <w:sz w:val="20"/>
                <w:szCs w:val="20"/>
                <w:lang w:eastAsia="hr-HR"/>
              </w:rPr>
              <w:t>359.948,32</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
                <w:bCs/>
                <w:sz w:val="20"/>
                <w:szCs w:val="20"/>
                <w:lang w:eastAsia="hr-HR"/>
              </w:rPr>
            </w:pPr>
            <w:r w:rsidRPr="003239CD">
              <w:rPr>
                <w:rFonts w:ascii="Arial" w:eastAsia="Times New Roman" w:hAnsi="Arial" w:cs="Arial"/>
                <w:b/>
                <w:bCs/>
                <w:sz w:val="20"/>
                <w:szCs w:val="20"/>
                <w:lang w:eastAsia="hr-HR"/>
              </w:rPr>
              <w:t>135.783,69</w:t>
            </w:r>
          </w:p>
        </w:tc>
        <w:tc>
          <w:tcPr>
            <w:tcW w:w="2087" w:type="dxa"/>
            <w:vAlign w:val="center"/>
          </w:tcPr>
          <w:p w:rsidR="00731A0D" w:rsidRPr="003239CD" w:rsidRDefault="00731A0D" w:rsidP="00731A0D">
            <w:pPr>
              <w:spacing w:after="0" w:line="240" w:lineRule="auto"/>
              <w:jc w:val="right"/>
              <w:rPr>
                <w:rFonts w:ascii="Arial" w:hAnsi="Arial" w:cs="Arial"/>
                <w:b/>
                <w:color w:val="000000"/>
                <w:sz w:val="20"/>
                <w:szCs w:val="20"/>
              </w:rPr>
            </w:pPr>
            <w:r w:rsidRPr="003239CD">
              <w:rPr>
                <w:rFonts w:ascii="Arial" w:hAnsi="Arial" w:cs="Arial"/>
                <w:b/>
                <w:color w:val="000000"/>
                <w:sz w:val="20"/>
                <w:szCs w:val="20"/>
              </w:rPr>
              <w:t>224.164,63</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Neprofitne institucije koje služe kućanstvima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3.420,92</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550,74</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2.870,18</w:t>
            </w:r>
          </w:p>
        </w:tc>
      </w:tr>
      <w:tr w:rsidR="00731A0D" w:rsidRPr="00B65730" w:rsidTr="00731A0D">
        <w:trPr>
          <w:trHeight w:val="300"/>
        </w:trPr>
        <w:tc>
          <w:tcPr>
            <w:tcW w:w="4000" w:type="dxa"/>
            <w:shd w:val="clear" w:color="auto" w:fill="auto"/>
            <w:vAlign w:val="center"/>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Nefinancijska društva (sektor poduzeća)</w:t>
            </w:r>
          </w:p>
        </w:tc>
        <w:tc>
          <w:tcPr>
            <w:tcW w:w="1620" w:type="dxa"/>
            <w:shd w:val="clear" w:color="auto" w:fill="auto"/>
            <w:noWrap/>
            <w:vAlign w:val="center"/>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96.283,89</w:t>
            </w:r>
          </w:p>
        </w:tc>
        <w:tc>
          <w:tcPr>
            <w:tcW w:w="1380" w:type="dxa"/>
            <w:shd w:val="clear" w:color="auto" w:fill="auto"/>
            <w:noWrap/>
            <w:vAlign w:val="center"/>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516.956,69</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-420.672,80</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Opća država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160.953,76</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285.990,61</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-125.036,85</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UKUPNO - REPUBLIKA HRVATSKA</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
                <w:bCs/>
                <w:sz w:val="20"/>
                <w:szCs w:val="20"/>
                <w:lang w:eastAsia="hr-HR"/>
              </w:rPr>
            </w:pPr>
            <w:r w:rsidRPr="003239CD">
              <w:rPr>
                <w:rFonts w:ascii="Arial" w:eastAsia="Times New Roman" w:hAnsi="Arial" w:cs="Arial"/>
                <w:b/>
                <w:bCs/>
                <w:sz w:val="20"/>
                <w:szCs w:val="20"/>
                <w:lang w:eastAsia="hr-HR"/>
              </w:rPr>
              <w:t>1.285.710,95</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
                <w:bCs/>
                <w:sz w:val="20"/>
                <w:szCs w:val="20"/>
                <w:lang w:eastAsia="hr-HR"/>
              </w:rPr>
            </w:pPr>
            <w:r w:rsidRPr="003239CD">
              <w:rPr>
                <w:rFonts w:ascii="Arial" w:eastAsia="Times New Roman" w:hAnsi="Arial" w:cs="Arial"/>
                <w:b/>
                <w:bCs/>
                <w:sz w:val="20"/>
                <w:szCs w:val="20"/>
                <w:lang w:eastAsia="hr-HR"/>
              </w:rPr>
              <w:t>1.587.187,98</w:t>
            </w:r>
          </w:p>
        </w:tc>
        <w:tc>
          <w:tcPr>
            <w:tcW w:w="2087" w:type="dxa"/>
            <w:vAlign w:val="center"/>
          </w:tcPr>
          <w:p w:rsidR="00731A0D" w:rsidRPr="003239CD" w:rsidRDefault="00731A0D" w:rsidP="00731A0D">
            <w:pPr>
              <w:spacing w:after="0" w:line="240" w:lineRule="auto"/>
              <w:jc w:val="right"/>
              <w:rPr>
                <w:rFonts w:ascii="Arial" w:hAnsi="Arial" w:cs="Arial"/>
                <w:b/>
                <w:color w:val="000000"/>
                <w:sz w:val="20"/>
                <w:szCs w:val="20"/>
              </w:rPr>
            </w:pPr>
            <w:r w:rsidRPr="003239CD">
              <w:rPr>
                <w:rFonts w:ascii="Arial" w:hAnsi="Arial" w:cs="Arial"/>
                <w:b/>
                <w:color w:val="000000"/>
                <w:sz w:val="20"/>
                <w:szCs w:val="20"/>
              </w:rPr>
              <w:t>-301.477,03</w:t>
            </w:r>
          </w:p>
        </w:tc>
      </w:tr>
      <w:tr w:rsidR="00731A0D" w:rsidRPr="00B65730" w:rsidTr="00731A0D">
        <w:trPr>
          <w:trHeight w:val="300"/>
        </w:trPr>
        <w:tc>
          <w:tcPr>
            <w:tcW w:w="4000" w:type="dxa"/>
            <w:shd w:val="clear" w:color="auto" w:fill="auto"/>
            <w:vAlign w:val="center"/>
            <w:hideMark/>
          </w:tcPr>
          <w:p w:rsidR="00731A0D" w:rsidRPr="003239CD" w:rsidRDefault="00731A0D" w:rsidP="00731A0D">
            <w:pPr>
              <w:spacing w:after="0" w:line="240" w:lineRule="auto"/>
              <w:jc w:val="right"/>
              <w:rPr>
                <w:rFonts w:eastAsia="Times New Roman" w:cs="Arial"/>
                <w:bCs/>
                <w:sz w:val="20"/>
                <w:szCs w:val="20"/>
                <w:lang w:eastAsia="hr-HR"/>
              </w:rPr>
            </w:pPr>
            <w:r w:rsidRPr="003239CD">
              <w:rPr>
                <w:rFonts w:eastAsia="Times New Roman" w:cs="Arial"/>
                <w:bCs/>
                <w:sz w:val="20"/>
                <w:szCs w:val="20"/>
                <w:lang w:eastAsia="hr-HR"/>
              </w:rPr>
              <w:t>Inozemstvo – ukupno</w:t>
            </w:r>
          </w:p>
        </w:tc>
        <w:tc>
          <w:tcPr>
            <w:tcW w:w="162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482.743,57</w:t>
            </w:r>
          </w:p>
        </w:tc>
        <w:tc>
          <w:tcPr>
            <w:tcW w:w="1380" w:type="dxa"/>
            <w:shd w:val="clear" w:color="auto" w:fill="auto"/>
            <w:noWrap/>
            <w:vAlign w:val="center"/>
            <w:hideMark/>
          </w:tcPr>
          <w:p w:rsidR="00731A0D" w:rsidRPr="003239CD" w:rsidRDefault="00731A0D" w:rsidP="00731A0D">
            <w:pPr>
              <w:spacing w:after="0" w:line="240" w:lineRule="auto"/>
              <w:jc w:val="right"/>
              <w:rPr>
                <w:rFonts w:ascii="Arial" w:eastAsia="Times New Roman" w:hAnsi="Arial" w:cs="Arial"/>
                <w:bCs/>
                <w:sz w:val="20"/>
                <w:szCs w:val="20"/>
                <w:lang w:eastAsia="hr-HR"/>
              </w:rPr>
            </w:pPr>
            <w:r w:rsidRPr="003239CD">
              <w:rPr>
                <w:rFonts w:ascii="Arial" w:eastAsia="Times New Roman" w:hAnsi="Arial" w:cs="Arial"/>
                <w:bCs/>
                <w:sz w:val="20"/>
                <w:szCs w:val="20"/>
                <w:lang w:eastAsia="hr-HR"/>
              </w:rPr>
              <w:t>181.266,54</w:t>
            </w:r>
          </w:p>
        </w:tc>
        <w:tc>
          <w:tcPr>
            <w:tcW w:w="2087" w:type="dxa"/>
            <w:vAlign w:val="center"/>
          </w:tcPr>
          <w:p w:rsidR="00731A0D" w:rsidRPr="003239CD" w:rsidRDefault="00731A0D" w:rsidP="00731A0D">
            <w:pPr>
              <w:spacing w:after="0" w:line="240" w:lineRule="auto"/>
              <w:jc w:val="right"/>
              <w:rPr>
                <w:rFonts w:ascii="Arial" w:hAnsi="Arial" w:cs="Arial"/>
                <w:color w:val="000000"/>
                <w:sz w:val="20"/>
                <w:szCs w:val="20"/>
              </w:rPr>
            </w:pPr>
            <w:r w:rsidRPr="003239CD">
              <w:rPr>
                <w:rFonts w:ascii="Arial" w:hAnsi="Arial" w:cs="Arial"/>
                <w:color w:val="000000"/>
                <w:sz w:val="20"/>
                <w:szCs w:val="20"/>
              </w:rPr>
              <w:t>301.477,03</w:t>
            </w:r>
          </w:p>
        </w:tc>
      </w:tr>
    </w:tbl>
    <w:p w:rsidR="00606E3F" w:rsidRPr="003239CD" w:rsidRDefault="00606E3F" w:rsidP="00606E3F">
      <w:pPr>
        <w:spacing w:after="0" w:line="240" w:lineRule="auto"/>
        <w:rPr>
          <w:sz w:val="20"/>
          <w:szCs w:val="20"/>
        </w:rPr>
      </w:pPr>
      <w:r w:rsidRPr="003239CD">
        <w:rPr>
          <w:sz w:val="20"/>
          <w:szCs w:val="20"/>
        </w:rPr>
        <w:t>* konsolidirani i revidirani podaci u milijunima kuna</w:t>
      </w:r>
    </w:p>
    <w:p w:rsidR="00B65730" w:rsidRPr="003239CD" w:rsidRDefault="00606E3F" w:rsidP="00606E3F">
      <w:pPr>
        <w:spacing w:after="0" w:line="240" w:lineRule="auto"/>
        <w:rPr>
          <w:sz w:val="20"/>
          <w:szCs w:val="20"/>
        </w:rPr>
      </w:pPr>
      <w:r w:rsidRPr="003239CD">
        <w:rPr>
          <w:sz w:val="20"/>
          <w:szCs w:val="20"/>
        </w:rPr>
        <w:t xml:space="preserve"> </w:t>
      </w:r>
      <w:r w:rsidR="0094509A" w:rsidRPr="003239CD">
        <w:rPr>
          <w:sz w:val="20"/>
          <w:szCs w:val="20"/>
        </w:rPr>
        <w:t>Izvor</w:t>
      </w:r>
      <w:r w:rsidR="00AD735A">
        <w:rPr>
          <w:sz w:val="20"/>
          <w:szCs w:val="20"/>
        </w:rPr>
        <w:t xml:space="preserve"> podataka</w:t>
      </w:r>
      <w:r w:rsidR="0094509A" w:rsidRPr="003239CD">
        <w:rPr>
          <w:sz w:val="20"/>
          <w:szCs w:val="20"/>
        </w:rPr>
        <w:t>: HNB</w:t>
      </w:r>
    </w:p>
    <w:p w:rsidR="0032585A" w:rsidRDefault="0094509A" w:rsidP="0032585A">
      <w:pPr>
        <w:spacing w:before="240"/>
        <w:jc w:val="both"/>
        <w:rPr>
          <w:sz w:val="24"/>
          <w:szCs w:val="24"/>
        </w:rPr>
      </w:pPr>
      <w:r w:rsidRPr="00283B0C">
        <w:rPr>
          <w:sz w:val="24"/>
          <w:szCs w:val="24"/>
        </w:rPr>
        <w:t xml:space="preserve">U tablici 2 prikazana je struktura financijske imovine i financijskih obveza stanovništva </w:t>
      </w:r>
      <w:r w:rsidR="00606E3F" w:rsidRPr="00283B0C">
        <w:rPr>
          <w:sz w:val="24"/>
          <w:szCs w:val="24"/>
        </w:rPr>
        <w:t xml:space="preserve">i drugih domaćih sektora </w:t>
      </w:r>
      <w:r w:rsidRPr="00283B0C">
        <w:rPr>
          <w:sz w:val="24"/>
          <w:szCs w:val="24"/>
        </w:rPr>
        <w:t xml:space="preserve">s obzirom na </w:t>
      </w:r>
      <w:r w:rsidRPr="002A7DF2">
        <w:rPr>
          <w:color w:val="C00000"/>
          <w:sz w:val="24"/>
          <w:szCs w:val="24"/>
        </w:rPr>
        <w:t>zastupljenost pojedinačnih financijskih instrumenata</w:t>
      </w:r>
      <w:r w:rsidR="00777790" w:rsidRPr="00777790">
        <w:rPr>
          <w:sz w:val="24"/>
          <w:szCs w:val="24"/>
        </w:rPr>
        <w:t>,</w:t>
      </w:r>
      <w:r w:rsidRPr="00777790">
        <w:rPr>
          <w:sz w:val="24"/>
          <w:szCs w:val="24"/>
        </w:rPr>
        <w:t xml:space="preserve"> </w:t>
      </w:r>
      <w:r w:rsidRPr="00283B0C">
        <w:rPr>
          <w:sz w:val="24"/>
          <w:szCs w:val="24"/>
        </w:rPr>
        <w:t>što oslikava veličinu i strukturu financijskog posredovanja u ekonomiji</w:t>
      </w:r>
      <w:r w:rsidR="0032585A">
        <w:rPr>
          <w:sz w:val="24"/>
          <w:szCs w:val="24"/>
        </w:rPr>
        <w:t xml:space="preserve"> i</w:t>
      </w:r>
      <w:r w:rsidRPr="00283B0C">
        <w:rPr>
          <w:sz w:val="24"/>
          <w:szCs w:val="24"/>
        </w:rPr>
        <w:t xml:space="preserve"> dubinu financijskog tržišta. </w:t>
      </w:r>
      <w:r w:rsidR="00CB240E" w:rsidRPr="00283B0C">
        <w:rPr>
          <w:sz w:val="24"/>
          <w:szCs w:val="24"/>
        </w:rPr>
        <w:t xml:space="preserve">Iz podataka je vidljivo da glavninu financijske imovine stanovništva čine novčani oblici gotovina i depoziti </w:t>
      </w:r>
      <w:r w:rsidR="0066655A" w:rsidRPr="00283B0C">
        <w:rPr>
          <w:sz w:val="24"/>
          <w:szCs w:val="24"/>
        </w:rPr>
        <w:t xml:space="preserve">(u domaćoj i stranoj valuti) </w:t>
      </w:r>
      <w:r w:rsidR="00CB240E" w:rsidRPr="00283B0C">
        <w:rPr>
          <w:sz w:val="24"/>
          <w:szCs w:val="24"/>
        </w:rPr>
        <w:t>s udjelom 57%, dok se na drugom mjestu nalazi mirovinsko i drugo osiguranje</w:t>
      </w:r>
      <w:r w:rsidR="0066655A" w:rsidRPr="00283B0C">
        <w:rPr>
          <w:sz w:val="24"/>
          <w:szCs w:val="24"/>
        </w:rPr>
        <w:t xml:space="preserve"> s udjelom 22%, dok vlasnička ulaganja u dionice i investicijske fondove čine 18%</w:t>
      </w:r>
      <w:r w:rsidR="0032585A">
        <w:rPr>
          <w:sz w:val="24"/>
          <w:szCs w:val="24"/>
        </w:rPr>
        <w:t>.</w:t>
      </w:r>
      <w:r w:rsidR="00673901">
        <w:rPr>
          <w:sz w:val="24"/>
          <w:szCs w:val="24"/>
        </w:rPr>
        <w:t xml:space="preserve"> Prema podacima za svibanj 2015. depoziti stanovništva kod kreditnih institucija iznose </w:t>
      </w:r>
      <w:r w:rsidR="00673901" w:rsidRPr="00222740">
        <w:rPr>
          <w:sz w:val="24"/>
          <w:szCs w:val="24"/>
        </w:rPr>
        <w:t>165</w:t>
      </w:r>
      <w:r w:rsidR="00673901">
        <w:rPr>
          <w:sz w:val="24"/>
          <w:szCs w:val="24"/>
        </w:rPr>
        <w:t>.</w:t>
      </w:r>
      <w:r w:rsidR="00673901" w:rsidRPr="00222740">
        <w:rPr>
          <w:sz w:val="24"/>
          <w:szCs w:val="24"/>
        </w:rPr>
        <w:t>291,3</w:t>
      </w:r>
      <w:r w:rsidR="00673901">
        <w:rPr>
          <w:sz w:val="24"/>
          <w:szCs w:val="24"/>
        </w:rPr>
        <w:t xml:space="preserve"> milijuna kuna pri čemu </w:t>
      </w:r>
      <w:r w:rsidR="002E5267">
        <w:rPr>
          <w:sz w:val="24"/>
          <w:szCs w:val="24"/>
        </w:rPr>
        <w:t>je</w:t>
      </w:r>
      <w:r w:rsidR="00673901">
        <w:rPr>
          <w:sz w:val="24"/>
          <w:szCs w:val="24"/>
        </w:rPr>
        <w:t xml:space="preserve"> manji dio u kunama a dominantan dio </w:t>
      </w:r>
      <w:r w:rsidR="00673901" w:rsidRPr="002E5267">
        <w:rPr>
          <w:color w:val="C00000"/>
          <w:sz w:val="24"/>
          <w:szCs w:val="24"/>
        </w:rPr>
        <w:t>86% u devizama</w:t>
      </w:r>
      <w:r w:rsidR="002E5267">
        <w:rPr>
          <w:sz w:val="24"/>
          <w:szCs w:val="24"/>
        </w:rPr>
        <w:t>.</w:t>
      </w:r>
    </w:p>
    <w:p w:rsidR="00CB240E" w:rsidRPr="00283B0C" w:rsidRDefault="00AA731A" w:rsidP="0032585A">
      <w:pPr>
        <w:spacing w:before="240"/>
        <w:jc w:val="both"/>
        <w:rPr>
          <w:sz w:val="24"/>
          <w:szCs w:val="24"/>
        </w:rPr>
      </w:pPr>
      <w:r w:rsidRPr="00283B0C">
        <w:rPr>
          <w:sz w:val="24"/>
          <w:szCs w:val="24"/>
        </w:rPr>
        <w:t>U komparaciji s podacima za druge sektore vidljiv je međuodnos stanovništva s financijskim institucijama budući da se glavnina financijske imovine i obveza stanovništva veže uz depozite kod kreditnih institucija (poglavito banaka, a tek u manjoj mjeri kod stambenih štedionica) i kredite pri</w:t>
      </w:r>
      <w:r w:rsidR="00777790">
        <w:rPr>
          <w:sz w:val="24"/>
          <w:szCs w:val="24"/>
        </w:rPr>
        <w:t xml:space="preserve">mljene od kreditnih institucija. </w:t>
      </w:r>
      <w:r w:rsidRPr="00283B0C">
        <w:rPr>
          <w:sz w:val="24"/>
          <w:szCs w:val="24"/>
        </w:rPr>
        <w:t xml:space="preserve">S druge strane uz </w:t>
      </w:r>
      <w:r w:rsidR="00777790">
        <w:rPr>
          <w:sz w:val="24"/>
          <w:szCs w:val="24"/>
        </w:rPr>
        <w:t xml:space="preserve">financijske institucije </w:t>
      </w:r>
      <w:r w:rsidRPr="00283B0C">
        <w:rPr>
          <w:sz w:val="24"/>
          <w:szCs w:val="24"/>
        </w:rPr>
        <w:lastRenderedPageBreak/>
        <w:t>veže se ulaganje u dužničke i vlasničke vrijednosnice izdane od strane poduzeća, držav</w:t>
      </w:r>
      <w:r w:rsidR="00777790">
        <w:rPr>
          <w:sz w:val="24"/>
          <w:szCs w:val="24"/>
        </w:rPr>
        <w:t xml:space="preserve">ne obveznice i trezorske zapise, </w:t>
      </w:r>
      <w:r w:rsidRPr="00283B0C">
        <w:rPr>
          <w:sz w:val="24"/>
          <w:szCs w:val="24"/>
        </w:rPr>
        <w:t>ulaganje u investicijske fondove</w:t>
      </w:r>
      <w:r w:rsidR="00777790">
        <w:rPr>
          <w:sz w:val="24"/>
          <w:szCs w:val="24"/>
        </w:rPr>
        <w:t xml:space="preserve"> te kreditna potraživanja od domaćih sektora</w:t>
      </w:r>
      <w:r w:rsidRPr="00283B0C">
        <w:rPr>
          <w:sz w:val="24"/>
          <w:szCs w:val="24"/>
        </w:rPr>
        <w:t>.</w:t>
      </w:r>
    </w:p>
    <w:p w:rsidR="00606E3F" w:rsidRPr="007B79A8" w:rsidRDefault="0066655A" w:rsidP="00673901">
      <w:pPr>
        <w:spacing w:after="120"/>
        <w:rPr>
          <w:b/>
          <w:sz w:val="24"/>
          <w:szCs w:val="24"/>
        </w:rPr>
      </w:pPr>
      <w:r w:rsidRPr="007B79A8">
        <w:rPr>
          <w:b/>
          <w:sz w:val="24"/>
          <w:szCs w:val="24"/>
        </w:rPr>
        <w:t xml:space="preserve">Tablica 2: Struktura financijske imovine i obveza </w:t>
      </w:r>
      <w:r w:rsidR="00606E3F" w:rsidRPr="007B79A8">
        <w:rPr>
          <w:b/>
          <w:sz w:val="24"/>
          <w:szCs w:val="24"/>
        </w:rPr>
        <w:t>domaćih sektora – stanje krajem 2013</w:t>
      </w:r>
      <w:r w:rsidR="00606E3F" w:rsidRPr="007B79A8">
        <w:rPr>
          <w:sz w:val="24"/>
          <w:szCs w:val="24"/>
        </w:rPr>
        <w:t>*</w:t>
      </w:r>
    </w:p>
    <w:tbl>
      <w:tblPr>
        <w:tblW w:w="91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9"/>
        <w:gridCol w:w="1418"/>
        <w:gridCol w:w="1842"/>
        <w:gridCol w:w="1239"/>
        <w:gridCol w:w="1132"/>
      </w:tblGrid>
      <w:tr w:rsidR="00AA731A" w:rsidRPr="003239CD" w:rsidTr="003239CD">
        <w:trPr>
          <w:trHeight w:val="675"/>
        </w:trPr>
        <w:tc>
          <w:tcPr>
            <w:tcW w:w="3559" w:type="dxa"/>
            <w:vAlign w:val="center"/>
            <w:hideMark/>
          </w:tcPr>
          <w:p w:rsidR="00606E3F" w:rsidRPr="003239CD" w:rsidRDefault="00606E3F" w:rsidP="00606E3F">
            <w:pPr>
              <w:spacing w:after="0" w:line="240" w:lineRule="auto"/>
              <w:rPr>
                <w:rFonts w:eastAsia="Times New Roman" w:cs="Arial"/>
                <w:b/>
                <w:bCs/>
                <w:sz w:val="20"/>
                <w:szCs w:val="20"/>
                <w:lang w:eastAsia="hr-HR"/>
              </w:rPr>
            </w:pPr>
          </w:p>
        </w:tc>
        <w:tc>
          <w:tcPr>
            <w:tcW w:w="1418" w:type="dxa"/>
            <w:shd w:val="clear" w:color="auto" w:fill="auto"/>
            <w:vAlign w:val="center"/>
            <w:hideMark/>
          </w:tcPr>
          <w:p w:rsidR="00606E3F" w:rsidRPr="003239CD" w:rsidRDefault="00606E3F" w:rsidP="003239CD">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 xml:space="preserve">Nefinancijska društva </w:t>
            </w:r>
            <w:r w:rsidR="003239CD">
              <w:rPr>
                <w:rFonts w:eastAsia="Times New Roman" w:cs="Arial"/>
                <w:b/>
                <w:bCs/>
                <w:sz w:val="20"/>
                <w:szCs w:val="20"/>
                <w:lang w:eastAsia="hr-HR"/>
              </w:rPr>
              <w:t>(</w:t>
            </w:r>
            <w:r w:rsidR="00AA731A" w:rsidRPr="003239CD">
              <w:rPr>
                <w:rFonts w:eastAsia="Times New Roman" w:cs="Arial"/>
                <w:b/>
                <w:bCs/>
                <w:sz w:val="20"/>
                <w:szCs w:val="20"/>
                <w:lang w:eastAsia="hr-HR"/>
              </w:rPr>
              <w:t>sektor poduzeća)</w:t>
            </w:r>
          </w:p>
        </w:tc>
        <w:tc>
          <w:tcPr>
            <w:tcW w:w="1842" w:type="dxa"/>
            <w:shd w:val="clear" w:color="auto" w:fill="auto"/>
            <w:vAlign w:val="center"/>
            <w:hideMark/>
          </w:tcPr>
          <w:p w:rsidR="00606E3F" w:rsidRPr="003239CD" w:rsidRDefault="00AA731A" w:rsidP="003239CD">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Financijska društva  (</w:t>
            </w:r>
            <w:r w:rsidR="003239CD">
              <w:rPr>
                <w:rFonts w:eastAsia="Times New Roman" w:cs="Arial"/>
                <w:b/>
                <w:bCs/>
                <w:sz w:val="20"/>
                <w:szCs w:val="20"/>
                <w:lang w:eastAsia="hr-HR"/>
              </w:rPr>
              <w:t>kred. institucije,</w:t>
            </w:r>
            <w:r w:rsidRPr="003239CD">
              <w:rPr>
                <w:rFonts w:eastAsia="Times New Roman" w:cs="Arial"/>
                <w:b/>
                <w:bCs/>
                <w:sz w:val="20"/>
                <w:szCs w:val="20"/>
                <w:lang w:eastAsia="hr-HR"/>
              </w:rPr>
              <w:t xml:space="preserve"> osiguranje, fondovi, središnja banka itd.)</w:t>
            </w:r>
          </w:p>
        </w:tc>
        <w:tc>
          <w:tcPr>
            <w:tcW w:w="1239" w:type="dxa"/>
            <w:shd w:val="clear" w:color="auto" w:fill="auto"/>
            <w:vAlign w:val="center"/>
            <w:hideMark/>
          </w:tcPr>
          <w:p w:rsidR="00606E3F" w:rsidRPr="003239CD" w:rsidRDefault="00606E3F" w:rsidP="00AA731A">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Opća država</w:t>
            </w:r>
          </w:p>
        </w:tc>
        <w:tc>
          <w:tcPr>
            <w:tcW w:w="1132" w:type="dxa"/>
            <w:shd w:val="clear" w:color="auto" w:fill="auto"/>
            <w:vAlign w:val="center"/>
            <w:hideMark/>
          </w:tcPr>
          <w:p w:rsidR="00606E3F" w:rsidRPr="003239CD" w:rsidRDefault="00606E3F" w:rsidP="00AA731A">
            <w:pPr>
              <w:spacing w:after="0" w:line="240" w:lineRule="auto"/>
              <w:jc w:val="center"/>
              <w:rPr>
                <w:rFonts w:eastAsia="Times New Roman" w:cs="Arial"/>
                <w:b/>
                <w:bCs/>
                <w:sz w:val="20"/>
                <w:szCs w:val="20"/>
                <w:lang w:eastAsia="hr-HR"/>
              </w:rPr>
            </w:pPr>
            <w:r w:rsidRPr="003239CD">
              <w:rPr>
                <w:rFonts w:eastAsia="Times New Roman" w:cs="Arial"/>
                <w:b/>
                <w:bCs/>
                <w:sz w:val="20"/>
                <w:szCs w:val="20"/>
                <w:lang w:eastAsia="hr-HR"/>
              </w:rPr>
              <w:t>Kućanstva</w:t>
            </w:r>
          </w:p>
        </w:tc>
      </w:tr>
      <w:tr w:rsidR="00AA731A" w:rsidRPr="003239CD" w:rsidTr="003239CD">
        <w:trPr>
          <w:trHeight w:val="300"/>
        </w:trPr>
        <w:tc>
          <w:tcPr>
            <w:tcW w:w="3559"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 </w:t>
            </w:r>
          </w:p>
        </w:tc>
        <w:tc>
          <w:tcPr>
            <w:tcW w:w="1418"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S11</w:t>
            </w:r>
          </w:p>
        </w:tc>
        <w:tc>
          <w:tcPr>
            <w:tcW w:w="1842"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S12</w:t>
            </w:r>
          </w:p>
        </w:tc>
        <w:tc>
          <w:tcPr>
            <w:tcW w:w="1239"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S13</w:t>
            </w:r>
          </w:p>
        </w:tc>
        <w:tc>
          <w:tcPr>
            <w:tcW w:w="1132" w:type="dxa"/>
            <w:shd w:val="clear" w:color="auto" w:fill="auto"/>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S14</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b/>
                <w:bCs/>
                <w:sz w:val="20"/>
                <w:szCs w:val="20"/>
                <w:lang w:eastAsia="hr-HR"/>
              </w:rPr>
            </w:pPr>
            <w:r w:rsidRPr="003239CD">
              <w:rPr>
                <w:rFonts w:eastAsia="Times New Roman" w:cs="Arial"/>
                <w:b/>
                <w:bCs/>
                <w:sz w:val="20"/>
                <w:szCs w:val="20"/>
                <w:lang w:eastAsia="hr-HR"/>
              </w:rPr>
              <w:t>FINANCIJSKA IMOVINA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96.283,89</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665.104,06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160.953,76</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359.948,32</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Monetarno zlato i SDR</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2.602,79</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Valuta i depoziti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45.940,95</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95.020,42</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37.714,30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206.656,38</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Dužnički vrijednosni papiri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35,56</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180.166,18</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200,00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654,84</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Krediti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10,65</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335.737,19</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11.033,43</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Vlasnički kapital i dionice investicijskih fondova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25.004,49</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37.345,95</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96.965,11</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63.069,02</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Osiguranje, mirovine i standardizirane garancije</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3.304,36</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1.691,96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261,90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80.368,57</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Izvedeni financijski instrumenti i dioničke opcije zaposlenika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51,11</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1.050,39</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1,19</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Ostala potraživanja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21.936,77</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11.489,18</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14.779,01</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9.198,32</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b/>
                <w:bCs/>
                <w:sz w:val="20"/>
                <w:szCs w:val="20"/>
                <w:lang w:eastAsia="hr-HR"/>
              </w:rPr>
            </w:pPr>
            <w:r w:rsidRPr="003239CD">
              <w:rPr>
                <w:rFonts w:eastAsia="Times New Roman" w:cs="Arial"/>
                <w:b/>
                <w:bCs/>
                <w:sz w:val="20"/>
                <w:szCs w:val="20"/>
                <w:lang w:eastAsia="hr-HR"/>
              </w:rPr>
              <w:t>FINANCIJSKE OBVEZE</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516.956,69</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647.906,26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285.990,61</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135.783,69</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Monetarno zlato i SDR</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2.581,23</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Valuta i depoziti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419.028,49</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Dužnički vrijednosni papiri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17.833,58</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1.184,94</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159.588,03</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Krediti</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243.520,71</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37.283,36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107.355,43</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132.756,08</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Vlasnički kapital i dionice investicijskih fondova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223.829,34</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93.478,75</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Osiguranje, mirovine i standardizirane garancije</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85.451,20</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Izvedeni financijski instrumenti i dioničke opcije zaposlenika</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631,87</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2.126,93</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0,00</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0,23</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sz w:val="20"/>
                <w:szCs w:val="20"/>
                <w:lang w:eastAsia="hr-HR"/>
              </w:rPr>
            </w:pPr>
            <w:r w:rsidRPr="003239CD">
              <w:rPr>
                <w:rFonts w:eastAsia="Times New Roman" w:cs="Arial"/>
                <w:sz w:val="20"/>
                <w:szCs w:val="20"/>
                <w:lang w:eastAsia="hr-HR"/>
              </w:rPr>
              <w:t>Ostale obveze</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31.141,19</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6.771,36</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19.047,15</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sz w:val="20"/>
                <w:szCs w:val="20"/>
                <w:lang w:eastAsia="hr-HR"/>
              </w:rPr>
            </w:pPr>
            <w:r w:rsidRPr="003239CD">
              <w:rPr>
                <w:rFonts w:eastAsia="Times New Roman" w:cs="Arial"/>
                <w:sz w:val="20"/>
                <w:szCs w:val="20"/>
                <w:lang w:eastAsia="hr-HR"/>
              </w:rPr>
              <w:t>3.027,38</w:t>
            </w:r>
          </w:p>
        </w:tc>
      </w:tr>
      <w:tr w:rsidR="00AA731A" w:rsidRPr="003239CD" w:rsidTr="003239CD">
        <w:trPr>
          <w:trHeight w:val="300"/>
        </w:trPr>
        <w:tc>
          <w:tcPr>
            <w:tcW w:w="3559" w:type="dxa"/>
            <w:shd w:val="clear" w:color="auto" w:fill="auto"/>
            <w:noWrap/>
            <w:vAlign w:val="center"/>
            <w:hideMark/>
          </w:tcPr>
          <w:p w:rsidR="00606E3F" w:rsidRPr="003239CD" w:rsidRDefault="00606E3F" w:rsidP="00606E3F">
            <w:pPr>
              <w:spacing w:after="0" w:line="240" w:lineRule="auto"/>
              <w:rPr>
                <w:rFonts w:eastAsia="Times New Roman" w:cs="Arial"/>
                <w:b/>
                <w:bCs/>
                <w:sz w:val="20"/>
                <w:szCs w:val="20"/>
                <w:lang w:eastAsia="hr-HR"/>
              </w:rPr>
            </w:pPr>
            <w:r w:rsidRPr="003239CD">
              <w:rPr>
                <w:rFonts w:eastAsia="Times New Roman" w:cs="Arial"/>
                <w:b/>
                <w:bCs/>
                <w:sz w:val="20"/>
                <w:szCs w:val="20"/>
                <w:lang w:eastAsia="hr-HR"/>
              </w:rPr>
              <w:t>FINANCIJSKA NETO VRIJEDNOST</w:t>
            </w:r>
          </w:p>
        </w:tc>
        <w:tc>
          <w:tcPr>
            <w:tcW w:w="1418"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-420.672,80</w:t>
            </w:r>
          </w:p>
        </w:tc>
        <w:tc>
          <w:tcPr>
            <w:tcW w:w="184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17.197,81</w:t>
            </w:r>
          </w:p>
        </w:tc>
        <w:tc>
          <w:tcPr>
            <w:tcW w:w="1239"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-125.036,85</w:t>
            </w:r>
          </w:p>
        </w:tc>
        <w:tc>
          <w:tcPr>
            <w:tcW w:w="1132" w:type="dxa"/>
            <w:shd w:val="clear" w:color="auto" w:fill="auto"/>
            <w:noWrap/>
            <w:vAlign w:val="center"/>
            <w:hideMark/>
          </w:tcPr>
          <w:p w:rsidR="00606E3F" w:rsidRPr="003239CD" w:rsidRDefault="00606E3F" w:rsidP="00606E3F">
            <w:pPr>
              <w:spacing w:after="0" w:line="240" w:lineRule="auto"/>
              <w:jc w:val="right"/>
              <w:rPr>
                <w:rFonts w:eastAsia="Times New Roman" w:cs="Arial"/>
                <w:b/>
                <w:bCs/>
                <w:sz w:val="20"/>
                <w:szCs w:val="20"/>
                <w:lang w:eastAsia="hr-HR"/>
              </w:rPr>
            </w:pPr>
            <w:r w:rsidRPr="003239CD">
              <w:rPr>
                <w:rFonts w:eastAsia="Times New Roman" w:cs="Arial"/>
                <w:b/>
                <w:bCs/>
                <w:sz w:val="20"/>
                <w:szCs w:val="20"/>
                <w:lang w:eastAsia="hr-HR"/>
              </w:rPr>
              <w:t>224.164,63</w:t>
            </w:r>
          </w:p>
        </w:tc>
      </w:tr>
    </w:tbl>
    <w:p w:rsidR="00606E3F" w:rsidRPr="003239CD" w:rsidRDefault="00606E3F" w:rsidP="00606E3F">
      <w:pPr>
        <w:spacing w:after="0" w:line="240" w:lineRule="auto"/>
        <w:rPr>
          <w:sz w:val="20"/>
          <w:szCs w:val="20"/>
        </w:rPr>
      </w:pPr>
      <w:r w:rsidRPr="003239CD">
        <w:rPr>
          <w:sz w:val="20"/>
          <w:szCs w:val="20"/>
        </w:rPr>
        <w:t>* konsolidirani i revidirani podaci u milijunima kuna</w:t>
      </w:r>
    </w:p>
    <w:p w:rsidR="00606E3F" w:rsidRPr="003239CD" w:rsidRDefault="00606E3F" w:rsidP="00606E3F">
      <w:pPr>
        <w:spacing w:after="0" w:line="240" w:lineRule="auto"/>
        <w:rPr>
          <w:sz w:val="20"/>
          <w:szCs w:val="20"/>
        </w:rPr>
      </w:pPr>
      <w:r w:rsidRPr="003239CD">
        <w:rPr>
          <w:sz w:val="20"/>
          <w:szCs w:val="20"/>
        </w:rPr>
        <w:t xml:space="preserve"> Izvor</w:t>
      </w:r>
      <w:r w:rsidR="00AD735A">
        <w:rPr>
          <w:sz w:val="20"/>
          <w:szCs w:val="20"/>
        </w:rPr>
        <w:t xml:space="preserve"> podataka</w:t>
      </w:r>
      <w:r w:rsidRPr="003239CD">
        <w:rPr>
          <w:sz w:val="20"/>
          <w:szCs w:val="20"/>
        </w:rPr>
        <w:t>: HNB</w:t>
      </w:r>
    </w:p>
    <w:p w:rsidR="000F3622" w:rsidRPr="00283B0C" w:rsidRDefault="00606E3F" w:rsidP="003239CD">
      <w:pPr>
        <w:spacing w:before="240"/>
        <w:jc w:val="both"/>
        <w:rPr>
          <w:sz w:val="24"/>
          <w:szCs w:val="24"/>
        </w:rPr>
      </w:pPr>
      <w:r w:rsidRPr="00283B0C">
        <w:rPr>
          <w:sz w:val="24"/>
          <w:szCs w:val="24"/>
        </w:rPr>
        <w:t xml:space="preserve">U usporedbi s povijesnim pregledom podataka </w:t>
      </w:r>
      <w:r w:rsidR="00AA731A" w:rsidRPr="00283B0C">
        <w:rPr>
          <w:sz w:val="24"/>
          <w:szCs w:val="24"/>
        </w:rPr>
        <w:t xml:space="preserve">na slici 1 vidljivo je da se </w:t>
      </w:r>
      <w:r w:rsidR="001936AF" w:rsidRPr="001936AF">
        <w:rPr>
          <w:color w:val="C00000"/>
          <w:sz w:val="24"/>
          <w:szCs w:val="24"/>
        </w:rPr>
        <w:t xml:space="preserve">imovinske </w:t>
      </w:r>
      <w:r w:rsidR="00AA731A" w:rsidRPr="001936AF">
        <w:rPr>
          <w:color w:val="C00000"/>
          <w:sz w:val="24"/>
          <w:szCs w:val="24"/>
        </w:rPr>
        <w:t>preferencije stanovništva</w:t>
      </w:r>
      <w:r w:rsidR="00AA731A" w:rsidRPr="00283B0C">
        <w:rPr>
          <w:sz w:val="24"/>
          <w:szCs w:val="24"/>
        </w:rPr>
        <w:t xml:space="preserve"> po pitanju držanja depozita kod kreditnih institucija nisu bitno mijenjale posljednjih petnaest godina</w:t>
      </w:r>
      <w:r w:rsidR="00DC261B">
        <w:rPr>
          <w:sz w:val="24"/>
          <w:szCs w:val="24"/>
        </w:rPr>
        <w:t xml:space="preserve">. Međutim, </w:t>
      </w:r>
      <w:r w:rsidR="00301A4A">
        <w:rPr>
          <w:sz w:val="24"/>
          <w:szCs w:val="24"/>
        </w:rPr>
        <w:t xml:space="preserve">nominalna vrijednost i </w:t>
      </w:r>
      <w:r w:rsidR="00AA731A" w:rsidRPr="00283B0C">
        <w:rPr>
          <w:sz w:val="24"/>
          <w:szCs w:val="24"/>
        </w:rPr>
        <w:t xml:space="preserve">ukupna struktura imovine </w:t>
      </w:r>
      <w:r w:rsidR="00DC261B">
        <w:rPr>
          <w:sz w:val="24"/>
          <w:szCs w:val="24"/>
        </w:rPr>
        <w:t xml:space="preserve">stanovništva </w:t>
      </w:r>
      <w:r w:rsidR="00AA731A" w:rsidRPr="00283B0C">
        <w:rPr>
          <w:sz w:val="24"/>
          <w:szCs w:val="24"/>
        </w:rPr>
        <w:t xml:space="preserve">povremeno </w:t>
      </w:r>
      <w:r w:rsidR="00DC261B">
        <w:rPr>
          <w:sz w:val="24"/>
          <w:szCs w:val="24"/>
        </w:rPr>
        <w:t xml:space="preserve">je </w:t>
      </w:r>
      <w:r w:rsidR="00AA731A" w:rsidRPr="00283B0C">
        <w:rPr>
          <w:sz w:val="24"/>
          <w:szCs w:val="24"/>
        </w:rPr>
        <w:t xml:space="preserve">bilježila </w:t>
      </w:r>
      <w:r w:rsidR="0075265B" w:rsidRPr="00283B0C">
        <w:rPr>
          <w:sz w:val="24"/>
          <w:szCs w:val="24"/>
        </w:rPr>
        <w:t>manje</w:t>
      </w:r>
      <w:r w:rsidR="003C71F5">
        <w:rPr>
          <w:sz w:val="24"/>
          <w:szCs w:val="24"/>
        </w:rPr>
        <w:t xml:space="preserve"> ili veće</w:t>
      </w:r>
      <w:r w:rsidR="0075265B" w:rsidRPr="00283B0C">
        <w:rPr>
          <w:sz w:val="24"/>
          <w:szCs w:val="24"/>
        </w:rPr>
        <w:t xml:space="preserve"> promjene;  npr. vezano uz </w:t>
      </w:r>
      <w:r w:rsidR="00AA731A" w:rsidRPr="00283B0C">
        <w:rPr>
          <w:sz w:val="24"/>
          <w:szCs w:val="24"/>
        </w:rPr>
        <w:t xml:space="preserve">veća ulaganja u  dionice </w:t>
      </w:r>
      <w:r w:rsidR="00301A4A">
        <w:rPr>
          <w:sz w:val="24"/>
          <w:szCs w:val="24"/>
        </w:rPr>
        <w:t>i rast cijena dionica posebno tijekom 2006. i</w:t>
      </w:r>
      <w:r w:rsidR="00AA731A" w:rsidRPr="00283B0C">
        <w:rPr>
          <w:sz w:val="24"/>
          <w:szCs w:val="24"/>
        </w:rPr>
        <w:t xml:space="preserve"> 2007. što se poklapa s </w:t>
      </w:r>
      <w:r w:rsidR="00121119">
        <w:rPr>
          <w:sz w:val="24"/>
          <w:szCs w:val="24"/>
        </w:rPr>
        <w:t xml:space="preserve">godinama </w:t>
      </w:r>
      <w:r w:rsidR="00301A4A">
        <w:rPr>
          <w:sz w:val="24"/>
          <w:szCs w:val="24"/>
        </w:rPr>
        <w:t xml:space="preserve">izraženijeg optimizma na </w:t>
      </w:r>
      <w:r w:rsidR="003C71F5">
        <w:rPr>
          <w:sz w:val="24"/>
          <w:szCs w:val="24"/>
        </w:rPr>
        <w:t xml:space="preserve">domaćem </w:t>
      </w:r>
      <w:r w:rsidR="00301A4A">
        <w:rPr>
          <w:sz w:val="24"/>
          <w:szCs w:val="24"/>
        </w:rPr>
        <w:t xml:space="preserve">tržištu </w:t>
      </w:r>
      <w:r w:rsidR="00AA731A" w:rsidRPr="00283B0C">
        <w:rPr>
          <w:sz w:val="24"/>
          <w:szCs w:val="24"/>
        </w:rPr>
        <w:t xml:space="preserve">dionica u </w:t>
      </w:r>
      <w:r w:rsidR="001D49CA">
        <w:rPr>
          <w:sz w:val="24"/>
          <w:szCs w:val="24"/>
        </w:rPr>
        <w:t>predkriz</w:t>
      </w:r>
      <w:r w:rsidR="00AA731A" w:rsidRPr="00283B0C">
        <w:rPr>
          <w:sz w:val="24"/>
          <w:szCs w:val="24"/>
        </w:rPr>
        <w:t xml:space="preserve">nom razdoblju </w:t>
      </w:r>
      <w:r w:rsidR="0075265B" w:rsidRPr="00283B0C">
        <w:rPr>
          <w:sz w:val="24"/>
          <w:szCs w:val="24"/>
        </w:rPr>
        <w:t xml:space="preserve">kada je došlo do značajnijeg interesa građana za </w:t>
      </w:r>
      <w:r w:rsidR="00301A4A">
        <w:rPr>
          <w:sz w:val="24"/>
          <w:szCs w:val="24"/>
        </w:rPr>
        <w:t xml:space="preserve">samostalnim </w:t>
      </w:r>
      <w:r w:rsidR="0075265B" w:rsidRPr="00283B0C">
        <w:rPr>
          <w:sz w:val="24"/>
          <w:szCs w:val="24"/>
        </w:rPr>
        <w:t>uključi</w:t>
      </w:r>
      <w:r w:rsidR="002A7DF2">
        <w:rPr>
          <w:sz w:val="24"/>
          <w:szCs w:val="24"/>
        </w:rPr>
        <w:t>vanjem na dioničko tržište</w:t>
      </w:r>
      <w:r w:rsidR="00301A4A">
        <w:rPr>
          <w:sz w:val="24"/>
          <w:szCs w:val="24"/>
        </w:rPr>
        <w:t xml:space="preserve"> i ulaganje</w:t>
      </w:r>
      <w:r w:rsidR="003C71F5">
        <w:rPr>
          <w:sz w:val="24"/>
          <w:szCs w:val="24"/>
        </w:rPr>
        <w:t>m</w:t>
      </w:r>
      <w:r w:rsidR="00301A4A">
        <w:rPr>
          <w:sz w:val="24"/>
          <w:szCs w:val="24"/>
        </w:rPr>
        <w:t xml:space="preserve"> u investicijske fondove</w:t>
      </w:r>
      <w:r w:rsidR="006B06BD">
        <w:rPr>
          <w:sz w:val="24"/>
          <w:szCs w:val="24"/>
        </w:rPr>
        <w:t>.</w:t>
      </w:r>
      <w:r w:rsidR="0075265B" w:rsidRPr="00283B0C">
        <w:rPr>
          <w:sz w:val="24"/>
          <w:szCs w:val="24"/>
        </w:rPr>
        <w:t xml:space="preserve"> </w:t>
      </w:r>
    </w:p>
    <w:p w:rsidR="00DC261B" w:rsidRDefault="00DC261B" w:rsidP="00DC261B">
      <w:pPr>
        <w:jc w:val="both"/>
        <w:rPr>
          <w:sz w:val="24"/>
          <w:szCs w:val="24"/>
        </w:rPr>
      </w:pPr>
      <w:r w:rsidRPr="00283B0C">
        <w:rPr>
          <w:sz w:val="24"/>
          <w:szCs w:val="24"/>
        </w:rPr>
        <w:lastRenderedPageBreak/>
        <w:t xml:space="preserve">Udio imovine u obveznim mirovinskim fondovima kontinuirano raste kako se povećava broj njihovih članova </w:t>
      </w:r>
      <w:r>
        <w:rPr>
          <w:sz w:val="24"/>
          <w:szCs w:val="24"/>
        </w:rPr>
        <w:t>(</w:t>
      </w:r>
      <w:r w:rsidRPr="00283B0C">
        <w:rPr>
          <w:sz w:val="24"/>
          <w:szCs w:val="24"/>
        </w:rPr>
        <w:t>po sili zakona</w:t>
      </w:r>
      <w:r>
        <w:rPr>
          <w:sz w:val="24"/>
          <w:szCs w:val="24"/>
        </w:rPr>
        <w:t>)</w:t>
      </w:r>
      <w:r w:rsidR="006B06BD">
        <w:rPr>
          <w:sz w:val="24"/>
          <w:szCs w:val="24"/>
        </w:rPr>
        <w:t xml:space="preserve"> i </w:t>
      </w:r>
      <w:r w:rsidR="006B06BD" w:rsidRPr="00283B0C">
        <w:rPr>
          <w:sz w:val="24"/>
          <w:szCs w:val="24"/>
        </w:rPr>
        <w:t>s povećanjem bruto primitaka građana na koje se doprinosi izdvajaju</w:t>
      </w:r>
      <w:r w:rsidR="002C3AB5">
        <w:rPr>
          <w:sz w:val="24"/>
          <w:szCs w:val="24"/>
        </w:rPr>
        <w:t xml:space="preserve"> (pod utjecajem promjena zakonske regulative)</w:t>
      </w:r>
      <w:r w:rsidR="006B06BD">
        <w:rPr>
          <w:sz w:val="24"/>
          <w:szCs w:val="24"/>
        </w:rPr>
        <w:t xml:space="preserve">, odnosno </w:t>
      </w:r>
      <w:r w:rsidRPr="00283B0C">
        <w:rPr>
          <w:sz w:val="24"/>
          <w:szCs w:val="24"/>
        </w:rPr>
        <w:t>kako fondovi oplođuju kapitaliziranu štednju kroz pronalazak dobrih prilika za ulaganja u zemlji i inozemstvu.</w:t>
      </w:r>
      <w:r>
        <w:rPr>
          <w:sz w:val="24"/>
          <w:szCs w:val="24"/>
        </w:rPr>
        <w:t xml:space="preserve"> Nasuprot tome, u</w:t>
      </w:r>
      <w:r w:rsidRPr="00283B0C">
        <w:rPr>
          <w:sz w:val="24"/>
          <w:szCs w:val="24"/>
        </w:rPr>
        <w:t xml:space="preserve">dio financijske imovine </w:t>
      </w:r>
      <w:r>
        <w:rPr>
          <w:sz w:val="24"/>
          <w:szCs w:val="24"/>
        </w:rPr>
        <w:t xml:space="preserve">stanovništva </w:t>
      </w:r>
      <w:r w:rsidRPr="00283B0C">
        <w:rPr>
          <w:sz w:val="24"/>
          <w:szCs w:val="24"/>
        </w:rPr>
        <w:t>u osiguravajućim društvima</w:t>
      </w:r>
      <w:r w:rsidR="002C3AB5">
        <w:rPr>
          <w:sz w:val="24"/>
          <w:szCs w:val="24"/>
        </w:rPr>
        <w:t xml:space="preserve"> i dobrovoljnom mirovinskom osiguranju </w:t>
      </w:r>
      <w:r w:rsidRPr="00283B0C">
        <w:rPr>
          <w:sz w:val="24"/>
          <w:szCs w:val="24"/>
        </w:rPr>
        <w:t xml:space="preserve">vrlo </w:t>
      </w:r>
      <w:r w:rsidR="002C3AB5">
        <w:rPr>
          <w:sz w:val="24"/>
          <w:szCs w:val="24"/>
        </w:rPr>
        <w:t xml:space="preserve">je </w:t>
      </w:r>
      <w:r w:rsidRPr="00283B0C">
        <w:rPr>
          <w:sz w:val="24"/>
          <w:szCs w:val="24"/>
        </w:rPr>
        <w:t>nizak.</w:t>
      </w:r>
      <w:r w:rsidR="00DD0B41">
        <w:rPr>
          <w:sz w:val="24"/>
          <w:szCs w:val="24"/>
        </w:rPr>
        <w:t xml:space="preserve"> </w:t>
      </w:r>
      <w:r w:rsidR="002C3AB5">
        <w:rPr>
          <w:sz w:val="24"/>
          <w:szCs w:val="24"/>
        </w:rPr>
        <w:t xml:space="preserve">Iako su </w:t>
      </w:r>
      <w:r w:rsidR="006B06BD">
        <w:rPr>
          <w:sz w:val="24"/>
          <w:szCs w:val="24"/>
        </w:rPr>
        <w:t>g</w:t>
      </w:r>
      <w:r w:rsidR="00DD0B41">
        <w:rPr>
          <w:sz w:val="24"/>
          <w:szCs w:val="24"/>
        </w:rPr>
        <w:t xml:space="preserve">rađani </w:t>
      </w:r>
      <w:r w:rsidR="006B06BD">
        <w:rPr>
          <w:sz w:val="24"/>
          <w:szCs w:val="24"/>
        </w:rPr>
        <w:t xml:space="preserve">„bankirani“, </w:t>
      </w:r>
      <w:r w:rsidR="002C3AB5">
        <w:rPr>
          <w:sz w:val="24"/>
          <w:szCs w:val="24"/>
        </w:rPr>
        <w:t>nisu</w:t>
      </w:r>
      <w:r w:rsidR="00DD0B41">
        <w:rPr>
          <w:sz w:val="24"/>
          <w:szCs w:val="24"/>
        </w:rPr>
        <w:t xml:space="preserve"> pretjerano uključeni u korištenje proizvoda i usluga </w:t>
      </w:r>
      <w:r w:rsidR="006B06BD">
        <w:rPr>
          <w:sz w:val="24"/>
          <w:szCs w:val="24"/>
        </w:rPr>
        <w:t xml:space="preserve">nebankovnih </w:t>
      </w:r>
      <w:r w:rsidR="00DD0B41">
        <w:rPr>
          <w:sz w:val="24"/>
          <w:szCs w:val="24"/>
        </w:rPr>
        <w:t>financijskih institucija.</w:t>
      </w:r>
    </w:p>
    <w:p w:rsidR="0075265B" w:rsidRPr="007B79A8" w:rsidRDefault="0075265B" w:rsidP="006B06BD">
      <w:pPr>
        <w:spacing w:after="0"/>
        <w:rPr>
          <w:b/>
          <w:sz w:val="24"/>
          <w:szCs w:val="24"/>
        </w:rPr>
      </w:pPr>
      <w:r w:rsidRPr="007B79A8">
        <w:rPr>
          <w:b/>
          <w:sz w:val="24"/>
          <w:szCs w:val="24"/>
        </w:rPr>
        <w:t xml:space="preserve">Slika 1: </w:t>
      </w:r>
      <w:r w:rsidR="00F36127" w:rsidRPr="007B79A8">
        <w:rPr>
          <w:b/>
          <w:sz w:val="24"/>
          <w:szCs w:val="24"/>
        </w:rPr>
        <w:t>F</w:t>
      </w:r>
      <w:r w:rsidRPr="007B79A8">
        <w:rPr>
          <w:b/>
          <w:sz w:val="24"/>
          <w:szCs w:val="24"/>
        </w:rPr>
        <w:t>inancijsk</w:t>
      </w:r>
      <w:r w:rsidR="00F36127" w:rsidRPr="007B79A8">
        <w:rPr>
          <w:b/>
          <w:sz w:val="24"/>
          <w:szCs w:val="24"/>
        </w:rPr>
        <w:t>a</w:t>
      </w:r>
      <w:r w:rsidRPr="007B79A8">
        <w:rPr>
          <w:b/>
          <w:sz w:val="24"/>
          <w:szCs w:val="24"/>
        </w:rPr>
        <w:t xml:space="preserve"> imovin</w:t>
      </w:r>
      <w:r w:rsidR="00F36127" w:rsidRPr="007B79A8">
        <w:rPr>
          <w:b/>
          <w:sz w:val="24"/>
          <w:szCs w:val="24"/>
        </w:rPr>
        <w:t>a</w:t>
      </w:r>
      <w:r w:rsidRPr="007B79A8">
        <w:rPr>
          <w:b/>
          <w:sz w:val="24"/>
          <w:szCs w:val="24"/>
        </w:rPr>
        <w:t xml:space="preserve"> kućanstv</w:t>
      </w:r>
      <w:r w:rsidR="00F36127" w:rsidRPr="007B79A8">
        <w:rPr>
          <w:b/>
          <w:sz w:val="24"/>
          <w:szCs w:val="24"/>
        </w:rPr>
        <w:t>a</w:t>
      </w:r>
    </w:p>
    <w:p w:rsidR="000F3622" w:rsidRDefault="000F3622" w:rsidP="006B06BD">
      <w:pPr>
        <w:spacing w:after="0"/>
      </w:pPr>
      <w:r>
        <w:rPr>
          <w:noProof/>
          <w:lang w:eastAsia="hr-HR"/>
        </w:rPr>
        <w:drawing>
          <wp:inline distT="0" distB="0" distL="0" distR="0" wp14:anchorId="2499E35F" wp14:editId="3EB47DD7">
            <wp:extent cx="5219700" cy="313182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6663" cy="3129998"/>
                    </a:xfrm>
                    <a:prstGeom prst="rect">
                      <a:avLst/>
                    </a:prstGeom>
                    <a:noFill/>
                    <a:ln>
                      <a:noFill/>
                    </a:ln>
                  </pic:spPr>
                </pic:pic>
              </a:graphicData>
            </a:graphic>
          </wp:inline>
        </w:drawing>
      </w:r>
    </w:p>
    <w:p w:rsidR="00F36127" w:rsidRPr="00F36127" w:rsidRDefault="00AD735A" w:rsidP="005777EC">
      <w:pPr>
        <w:jc w:val="both"/>
        <w:rPr>
          <w:sz w:val="20"/>
          <w:szCs w:val="20"/>
        </w:rPr>
      </w:pPr>
      <w:r w:rsidRPr="003239CD">
        <w:rPr>
          <w:sz w:val="20"/>
          <w:szCs w:val="20"/>
        </w:rPr>
        <w:t xml:space="preserve">Izvor: </w:t>
      </w:r>
      <w:r>
        <w:rPr>
          <w:sz w:val="20"/>
          <w:szCs w:val="20"/>
        </w:rPr>
        <w:t>p</w:t>
      </w:r>
      <w:r w:rsidR="00F36127" w:rsidRPr="00F36127">
        <w:rPr>
          <w:sz w:val="20"/>
          <w:szCs w:val="20"/>
        </w:rPr>
        <w:t>reuzeto iz</w:t>
      </w:r>
      <w:r w:rsidR="00F36127">
        <w:rPr>
          <w:sz w:val="20"/>
          <w:szCs w:val="20"/>
        </w:rPr>
        <w:t>:</w:t>
      </w:r>
      <w:r w:rsidR="00F36127" w:rsidRPr="00F36127">
        <w:rPr>
          <w:sz w:val="20"/>
          <w:szCs w:val="20"/>
        </w:rPr>
        <w:t xml:space="preserve"> HNB, </w:t>
      </w:r>
      <w:r w:rsidR="000B40F4">
        <w:rPr>
          <w:sz w:val="20"/>
          <w:szCs w:val="20"/>
        </w:rPr>
        <w:t>„</w:t>
      </w:r>
      <w:r w:rsidR="00F36127" w:rsidRPr="00F36127">
        <w:rPr>
          <w:sz w:val="20"/>
          <w:szCs w:val="20"/>
        </w:rPr>
        <w:t>Financijska stabilnost</w:t>
      </w:r>
      <w:r w:rsidR="000B40F4">
        <w:rPr>
          <w:sz w:val="20"/>
          <w:szCs w:val="20"/>
        </w:rPr>
        <w:t>“</w:t>
      </w:r>
      <w:r w:rsidR="00F36127">
        <w:rPr>
          <w:sz w:val="20"/>
          <w:szCs w:val="20"/>
        </w:rPr>
        <w:t>, br. 15, srpanj 2015.</w:t>
      </w:r>
    </w:p>
    <w:p w:rsidR="00DD0B41" w:rsidRDefault="00EA0F41" w:rsidP="002C3AB5">
      <w:pPr>
        <w:spacing w:before="120" w:after="0" w:line="240" w:lineRule="auto"/>
        <w:jc w:val="both"/>
        <w:rPr>
          <w:b/>
          <w:sz w:val="24"/>
          <w:szCs w:val="24"/>
        </w:rPr>
      </w:pPr>
      <w:r w:rsidRPr="007B79A8">
        <w:rPr>
          <w:b/>
          <w:sz w:val="24"/>
          <w:szCs w:val="24"/>
        </w:rPr>
        <w:t xml:space="preserve">Slika </w:t>
      </w:r>
      <w:r w:rsidR="000B40F4">
        <w:rPr>
          <w:b/>
          <w:sz w:val="24"/>
          <w:szCs w:val="24"/>
        </w:rPr>
        <w:t>2</w:t>
      </w:r>
      <w:r w:rsidRPr="007B79A8">
        <w:rPr>
          <w:b/>
          <w:sz w:val="24"/>
          <w:szCs w:val="24"/>
        </w:rPr>
        <w:t>: Promjene stanja financijske imovine kućanstva</w:t>
      </w:r>
    </w:p>
    <w:p w:rsidR="0075265B" w:rsidRDefault="0075265B" w:rsidP="002C3AB5">
      <w:pPr>
        <w:spacing w:after="0"/>
        <w:jc w:val="both"/>
      </w:pPr>
      <w:r>
        <w:rPr>
          <w:noProof/>
          <w:lang w:eastAsia="hr-HR"/>
        </w:rPr>
        <w:drawing>
          <wp:inline distT="0" distB="0" distL="0" distR="0" wp14:anchorId="2D4C8224" wp14:editId="6B295B2B">
            <wp:extent cx="5172075" cy="3159761"/>
            <wp:effectExtent l="0" t="0" r="0" b="254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3159761"/>
                    </a:xfrm>
                    <a:prstGeom prst="rect">
                      <a:avLst/>
                    </a:prstGeom>
                    <a:noFill/>
                    <a:ln>
                      <a:noFill/>
                    </a:ln>
                  </pic:spPr>
                </pic:pic>
              </a:graphicData>
            </a:graphic>
          </wp:inline>
        </w:drawing>
      </w:r>
    </w:p>
    <w:p w:rsidR="00EA0F41" w:rsidRDefault="00AD735A" w:rsidP="002C3AB5">
      <w:pPr>
        <w:spacing w:after="0" w:line="240" w:lineRule="auto"/>
        <w:jc w:val="both"/>
        <w:rPr>
          <w:sz w:val="20"/>
          <w:szCs w:val="20"/>
        </w:rPr>
      </w:pPr>
      <w:r w:rsidRPr="003239CD">
        <w:rPr>
          <w:sz w:val="20"/>
          <w:szCs w:val="20"/>
        </w:rPr>
        <w:t xml:space="preserve">Izvor: </w:t>
      </w:r>
      <w:r>
        <w:rPr>
          <w:sz w:val="20"/>
          <w:szCs w:val="20"/>
        </w:rPr>
        <w:t>p</w:t>
      </w:r>
      <w:r w:rsidR="00EA0F41" w:rsidRPr="00F36127">
        <w:rPr>
          <w:sz w:val="20"/>
          <w:szCs w:val="20"/>
        </w:rPr>
        <w:t>reuzeto iz</w:t>
      </w:r>
      <w:r w:rsidR="00EA0F41">
        <w:rPr>
          <w:sz w:val="20"/>
          <w:szCs w:val="20"/>
        </w:rPr>
        <w:t>:</w:t>
      </w:r>
      <w:r w:rsidR="00EA0F41" w:rsidRPr="00F36127">
        <w:rPr>
          <w:sz w:val="20"/>
          <w:szCs w:val="20"/>
        </w:rPr>
        <w:t xml:space="preserve"> HNB, </w:t>
      </w:r>
      <w:r w:rsidR="000B40F4">
        <w:rPr>
          <w:sz w:val="20"/>
          <w:szCs w:val="20"/>
        </w:rPr>
        <w:t>„</w:t>
      </w:r>
      <w:r w:rsidR="00EA0F41" w:rsidRPr="00F36127">
        <w:rPr>
          <w:sz w:val="20"/>
          <w:szCs w:val="20"/>
        </w:rPr>
        <w:t>Financijska stabilnost</w:t>
      </w:r>
      <w:r w:rsidR="000B40F4">
        <w:rPr>
          <w:sz w:val="20"/>
          <w:szCs w:val="20"/>
        </w:rPr>
        <w:t>“</w:t>
      </w:r>
      <w:r w:rsidR="00EA0F41">
        <w:rPr>
          <w:sz w:val="20"/>
          <w:szCs w:val="20"/>
        </w:rPr>
        <w:t>, br. 15, srpanj 2015.</w:t>
      </w:r>
    </w:p>
    <w:p w:rsidR="003239CD" w:rsidRDefault="003239CD" w:rsidP="003239CD">
      <w:pPr>
        <w:jc w:val="both"/>
        <w:rPr>
          <w:sz w:val="24"/>
          <w:szCs w:val="24"/>
        </w:rPr>
      </w:pPr>
      <w:r w:rsidRPr="001936AF">
        <w:rPr>
          <w:color w:val="C00000"/>
          <w:sz w:val="24"/>
          <w:szCs w:val="24"/>
        </w:rPr>
        <w:lastRenderedPageBreak/>
        <w:t xml:space="preserve">Transakcijske promjene </w:t>
      </w:r>
      <w:r>
        <w:rPr>
          <w:sz w:val="24"/>
          <w:szCs w:val="24"/>
        </w:rPr>
        <w:t>koje odražavaju učinke rasta ili p</w:t>
      </w:r>
      <w:r w:rsidR="003C71F5">
        <w:rPr>
          <w:sz w:val="24"/>
          <w:szCs w:val="24"/>
        </w:rPr>
        <w:t>ada tržišne vrijednosti dionica i obveznica,</w:t>
      </w:r>
      <w:r>
        <w:rPr>
          <w:sz w:val="24"/>
          <w:szCs w:val="24"/>
        </w:rPr>
        <w:t xml:space="preserve"> vrijednosti udjela u investicijskim fondovima te imovine kojom upravljaju mirovinska društva imale su tijekom povijesti značajne učinke na stanje vrijednosti ukupne financijske imovine stanovništva (slika </w:t>
      </w:r>
      <w:r w:rsidR="000B40F4">
        <w:rPr>
          <w:sz w:val="24"/>
          <w:szCs w:val="24"/>
        </w:rPr>
        <w:t>2</w:t>
      </w:r>
      <w:r>
        <w:rPr>
          <w:sz w:val="24"/>
          <w:szCs w:val="24"/>
        </w:rPr>
        <w:t xml:space="preserve">). S druge strane, u slučaju depozitne štednje koja se u Hrvatskoj tradicionalno drži u formi deviznih depozita (ali i ulaganja u vrijednosnice i udjele denominirane u stranim valutama), prikazani podaci o kunskoj vrijednosti financijske imovine su pod značajnim utjecajem </w:t>
      </w:r>
      <w:r>
        <w:rPr>
          <w:color w:val="C00000"/>
          <w:sz w:val="24"/>
          <w:szCs w:val="24"/>
        </w:rPr>
        <w:t xml:space="preserve">tečajnih promjena. </w:t>
      </w:r>
      <w:r w:rsidRPr="00DC261B">
        <w:rPr>
          <w:sz w:val="24"/>
          <w:szCs w:val="24"/>
        </w:rPr>
        <w:t xml:space="preserve">Pad kunske vrijednosti </w:t>
      </w:r>
      <w:r>
        <w:rPr>
          <w:sz w:val="24"/>
          <w:szCs w:val="24"/>
        </w:rPr>
        <w:t xml:space="preserve">ukupne imovine tako više dolazi do izražaja u razdoblju jače aprecijacije kune, dok se (statistički) rast kunske vrijednosti imovine bilježi u okolnostima deprecijacije kune. </w:t>
      </w:r>
      <w:r w:rsidR="00705CFF">
        <w:rPr>
          <w:sz w:val="24"/>
          <w:szCs w:val="24"/>
        </w:rPr>
        <w:t>U isto vrijeme je moguće da originalne pozicije denominirane u određenoj stranoj valuti uopće ne bilježe promjene, dok su statistički podaci objavljeni u kunama samo pod utjecajem deviznog tečaja.</w:t>
      </w:r>
    </w:p>
    <w:p w:rsidR="003239CD" w:rsidRDefault="003239CD" w:rsidP="003239CD">
      <w:pPr>
        <w:jc w:val="both"/>
        <w:rPr>
          <w:sz w:val="24"/>
          <w:szCs w:val="24"/>
        </w:rPr>
      </w:pPr>
      <w:r>
        <w:rPr>
          <w:sz w:val="24"/>
          <w:szCs w:val="24"/>
        </w:rPr>
        <w:t>Pri tome</w:t>
      </w:r>
      <w:r w:rsidR="00705CFF">
        <w:rPr>
          <w:sz w:val="24"/>
          <w:szCs w:val="24"/>
        </w:rPr>
        <w:t>, dok je</w:t>
      </w:r>
      <w:r>
        <w:rPr>
          <w:sz w:val="24"/>
          <w:szCs w:val="24"/>
        </w:rPr>
        <w:t xml:space="preserve"> tečaj kune prema euru</w:t>
      </w:r>
      <w:r w:rsidR="00705CFF">
        <w:rPr>
          <w:sz w:val="24"/>
          <w:szCs w:val="24"/>
        </w:rPr>
        <w:t xml:space="preserve"> relativno stabilan </w:t>
      </w:r>
      <w:r w:rsidR="002C3AB5">
        <w:rPr>
          <w:sz w:val="24"/>
          <w:szCs w:val="24"/>
        </w:rPr>
        <w:t>(</w:t>
      </w:r>
      <w:r w:rsidR="00705CFF">
        <w:rPr>
          <w:sz w:val="24"/>
          <w:szCs w:val="24"/>
        </w:rPr>
        <w:t>zbog tečajne politike HNB-a usmjerene na očuvanje stabilnosti nominalnog tečaja</w:t>
      </w:r>
      <w:r w:rsidR="0025789C">
        <w:rPr>
          <w:sz w:val="24"/>
          <w:szCs w:val="24"/>
        </w:rPr>
        <w:t>), tečajevi</w:t>
      </w:r>
      <w:r>
        <w:rPr>
          <w:sz w:val="24"/>
          <w:szCs w:val="24"/>
        </w:rPr>
        <w:t xml:space="preserve"> </w:t>
      </w:r>
      <w:r w:rsidR="00705CFF">
        <w:rPr>
          <w:sz w:val="24"/>
          <w:szCs w:val="24"/>
        </w:rPr>
        <w:t xml:space="preserve">kune </w:t>
      </w:r>
      <w:r>
        <w:rPr>
          <w:sz w:val="24"/>
          <w:szCs w:val="24"/>
        </w:rPr>
        <w:t>prema amer</w:t>
      </w:r>
      <w:r w:rsidR="00705CFF">
        <w:rPr>
          <w:sz w:val="24"/>
          <w:szCs w:val="24"/>
        </w:rPr>
        <w:t>ičkom dolaru, britanskoj funti,</w:t>
      </w:r>
      <w:r>
        <w:rPr>
          <w:sz w:val="24"/>
          <w:szCs w:val="24"/>
        </w:rPr>
        <w:t xml:space="preserve"> švicarskom franku </w:t>
      </w:r>
      <w:r w:rsidR="00705CFF">
        <w:rPr>
          <w:sz w:val="24"/>
          <w:szCs w:val="24"/>
        </w:rPr>
        <w:t xml:space="preserve">i drugim stranim valutama </w:t>
      </w:r>
      <w:r w:rsidR="0025789C">
        <w:rPr>
          <w:sz w:val="24"/>
          <w:szCs w:val="24"/>
        </w:rPr>
        <w:t>su</w:t>
      </w:r>
      <w:r w:rsidR="00705CFF">
        <w:rPr>
          <w:sz w:val="24"/>
          <w:szCs w:val="24"/>
        </w:rPr>
        <w:t xml:space="preserve"> znatno nestabilniji i </w:t>
      </w:r>
      <w:r>
        <w:rPr>
          <w:sz w:val="24"/>
          <w:szCs w:val="24"/>
        </w:rPr>
        <w:t xml:space="preserve">ovise o odnosu eura prema spomenutim valutama na svjetskom tržištu. Slika </w:t>
      </w:r>
      <w:r w:rsidR="000B40F4">
        <w:rPr>
          <w:sz w:val="24"/>
          <w:szCs w:val="24"/>
        </w:rPr>
        <w:t>2</w:t>
      </w:r>
      <w:r>
        <w:rPr>
          <w:sz w:val="24"/>
          <w:szCs w:val="24"/>
        </w:rPr>
        <w:t xml:space="preserve"> tako ukazuje na važnost promišljanja što se nalazi iza podataka koji su objavljeni sukladno određenoj meto</w:t>
      </w:r>
      <w:r w:rsidR="002C3AB5">
        <w:rPr>
          <w:sz w:val="24"/>
          <w:szCs w:val="24"/>
        </w:rPr>
        <w:t xml:space="preserve">dologiji ili u pojedinoj valuti, </w:t>
      </w:r>
      <w:r w:rsidR="00705CFF">
        <w:rPr>
          <w:sz w:val="24"/>
          <w:szCs w:val="24"/>
        </w:rPr>
        <w:t xml:space="preserve">kako se ne bi donosili pogrešni zaključci. </w:t>
      </w:r>
    </w:p>
    <w:p w:rsidR="003D2FC1" w:rsidRPr="007B79A8" w:rsidRDefault="003D2FC1" w:rsidP="00705CFF">
      <w:pPr>
        <w:spacing w:after="0"/>
        <w:jc w:val="both"/>
        <w:rPr>
          <w:b/>
          <w:sz w:val="24"/>
          <w:szCs w:val="24"/>
        </w:rPr>
      </w:pPr>
      <w:r w:rsidRPr="007B79A8">
        <w:rPr>
          <w:b/>
          <w:sz w:val="24"/>
          <w:szCs w:val="24"/>
        </w:rPr>
        <w:t xml:space="preserve">Slika </w:t>
      </w:r>
      <w:r w:rsidR="000B40F4">
        <w:rPr>
          <w:b/>
          <w:sz w:val="24"/>
          <w:szCs w:val="24"/>
        </w:rPr>
        <w:t>3</w:t>
      </w:r>
      <w:r w:rsidRPr="007B79A8">
        <w:rPr>
          <w:b/>
          <w:sz w:val="24"/>
          <w:szCs w:val="24"/>
        </w:rPr>
        <w:t>: Promjene i stanje duga kućanstva</w:t>
      </w:r>
    </w:p>
    <w:p w:rsidR="00DA4943" w:rsidRPr="00881301" w:rsidRDefault="00DA4943" w:rsidP="00705CFF">
      <w:pPr>
        <w:spacing w:after="0"/>
        <w:jc w:val="both"/>
        <w:rPr>
          <w:sz w:val="24"/>
          <w:szCs w:val="24"/>
        </w:rPr>
      </w:pPr>
      <w:r>
        <w:rPr>
          <w:noProof/>
          <w:sz w:val="24"/>
          <w:szCs w:val="24"/>
          <w:lang w:eastAsia="hr-HR"/>
        </w:rPr>
        <w:drawing>
          <wp:inline distT="0" distB="0" distL="0" distR="0" wp14:anchorId="2C9B7463" wp14:editId="62CCC5DE">
            <wp:extent cx="5534025" cy="3390048"/>
            <wp:effectExtent l="0" t="0" r="0" b="127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34025" cy="3390048"/>
                    </a:xfrm>
                    <a:prstGeom prst="rect">
                      <a:avLst/>
                    </a:prstGeom>
                    <a:noFill/>
                    <a:ln>
                      <a:noFill/>
                    </a:ln>
                  </pic:spPr>
                </pic:pic>
              </a:graphicData>
            </a:graphic>
          </wp:inline>
        </w:drawing>
      </w:r>
    </w:p>
    <w:p w:rsidR="003D2FC1" w:rsidRDefault="00AD735A" w:rsidP="003D2FC1">
      <w:pPr>
        <w:jc w:val="both"/>
        <w:rPr>
          <w:sz w:val="20"/>
          <w:szCs w:val="20"/>
        </w:rPr>
      </w:pPr>
      <w:r w:rsidRPr="003239CD">
        <w:rPr>
          <w:sz w:val="20"/>
          <w:szCs w:val="20"/>
        </w:rPr>
        <w:t xml:space="preserve">Izvor: </w:t>
      </w:r>
      <w:r>
        <w:rPr>
          <w:sz w:val="20"/>
          <w:szCs w:val="20"/>
        </w:rPr>
        <w:t>p</w:t>
      </w:r>
      <w:r w:rsidR="003D2FC1" w:rsidRPr="00F36127">
        <w:rPr>
          <w:sz w:val="20"/>
          <w:szCs w:val="20"/>
        </w:rPr>
        <w:t>reuzeto iz</w:t>
      </w:r>
      <w:r w:rsidR="003D2FC1">
        <w:rPr>
          <w:sz w:val="20"/>
          <w:szCs w:val="20"/>
        </w:rPr>
        <w:t>:</w:t>
      </w:r>
      <w:r w:rsidR="003D2FC1" w:rsidRPr="00F36127">
        <w:rPr>
          <w:sz w:val="20"/>
          <w:szCs w:val="20"/>
        </w:rPr>
        <w:t xml:space="preserve"> HNB, </w:t>
      </w:r>
      <w:r w:rsidR="000B40F4">
        <w:rPr>
          <w:sz w:val="20"/>
          <w:szCs w:val="20"/>
        </w:rPr>
        <w:t>„</w:t>
      </w:r>
      <w:r w:rsidR="003D2FC1" w:rsidRPr="00F36127">
        <w:rPr>
          <w:sz w:val="20"/>
          <w:szCs w:val="20"/>
        </w:rPr>
        <w:t>Financijska stabilnost</w:t>
      </w:r>
      <w:r w:rsidR="000B40F4">
        <w:rPr>
          <w:sz w:val="20"/>
          <w:szCs w:val="20"/>
        </w:rPr>
        <w:t>“</w:t>
      </w:r>
      <w:r w:rsidR="003D2FC1">
        <w:rPr>
          <w:sz w:val="20"/>
          <w:szCs w:val="20"/>
        </w:rPr>
        <w:t>, br. 15, srpanj 2015.</w:t>
      </w:r>
    </w:p>
    <w:p w:rsidR="00DC261B" w:rsidRDefault="00DC261B" w:rsidP="00DC261B">
      <w:pPr>
        <w:jc w:val="both"/>
        <w:rPr>
          <w:sz w:val="24"/>
          <w:szCs w:val="24"/>
        </w:rPr>
      </w:pPr>
      <w:r>
        <w:rPr>
          <w:sz w:val="24"/>
          <w:szCs w:val="24"/>
        </w:rPr>
        <w:t>T</w:t>
      </w:r>
      <w:r w:rsidRPr="00881301">
        <w:rPr>
          <w:sz w:val="24"/>
          <w:szCs w:val="24"/>
        </w:rPr>
        <w:t xml:space="preserve">ečajne promjene odražavaju se </w:t>
      </w:r>
      <w:r>
        <w:rPr>
          <w:sz w:val="24"/>
          <w:szCs w:val="24"/>
        </w:rPr>
        <w:t>i na stanje duga kućanstva (koji</w:t>
      </w:r>
      <w:r w:rsidRPr="00881301">
        <w:rPr>
          <w:sz w:val="24"/>
          <w:szCs w:val="24"/>
        </w:rPr>
        <w:t xml:space="preserve"> službena statistika objavljuje u domaćoj valuti</w:t>
      </w:r>
      <w:r>
        <w:rPr>
          <w:sz w:val="24"/>
          <w:szCs w:val="24"/>
        </w:rPr>
        <w:t xml:space="preserve">), jer je preko 50% ukupnog duga sektora stanovništvo indeksirano u eurima, manje od 30% u kunama te oko 15% u švicarskom franku. Na slici </w:t>
      </w:r>
      <w:r w:rsidR="000B40F4">
        <w:rPr>
          <w:sz w:val="24"/>
          <w:szCs w:val="24"/>
        </w:rPr>
        <w:t>3</w:t>
      </w:r>
      <w:r>
        <w:rPr>
          <w:sz w:val="24"/>
          <w:szCs w:val="24"/>
        </w:rPr>
        <w:t xml:space="preserve"> vidljivo je da </w:t>
      </w:r>
      <w:r w:rsidR="00705CFF">
        <w:rPr>
          <w:sz w:val="24"/>
          <w:szCs w:val="24"/>
        </w:rPr>
        <w:t xml:space="preserve">je </w:t>
      </w:r>
      <w:r>
        <w:rPr>
          <w:sz w:val="24"/>
          <w:szCs w:val="24"/>
        </w:rPr>
        <w:t xml:space="preserve">rast duga </w:t>
      </w:r>
      <w:r w:rsidR="00705CFF">
        <w:rPr>
          <w:sz w:val="24"/>
          <w:szCs w:val="24"/>
        </w:rPr>
        <w:t>kućanstva tijekom</w:t>
      </w:r>
      <w:r>
        <w:rPr>
          <w:sz w:val="24"/>
          <w:szCs w:val="24"/>
        </w:rPr>
        <w:t xml:space="preserve"> 2011. </w:t>
      </w:r>
      <w:r w:rsidR="00705CFF">
        <w:rPr>
          <w:sz w:val="24"/>
          <w:szCs w:val="24"/>
        </w:rPr>
        <w:t xml:space="preserve">i u prvom tromjesečju 2015. </w:t>
      </w:r>
      <w:r>
        <w:rPr>
          <w:sz w:val="24"/>
          <w:szCs w:val="24"/>
        </w:rPr>
        <w:t xml:space="preserve">bio isključivo </w:t>
      </w:r>
      <w:r>
        <w:rPr>
          <w:sz w:val="24"/>
          <w:szCs w:val="24"/>
        </w:rPr>
        <w:lastRenderedPageBreak/>
        <w:t xml:space="preserve">posljedica tečajnih promjena (dominantno jačana švicarskog franka na svjetskom tržištu), dok od 2009. do danas (s izuzetkom u 2010.) dug ima tendenciju smanjenja, odnosno događa se postupno </w:t>
      </w:r>
      <w:r w:rsidRPr="002A7DF2">
        <w:rPr>
          <w:color w:val="C00000"/>
          <w:sz w:val="24"/>
          <w:szCs w:val="24"/>
        </w:rPr>
        <w:t xml:space="preserve">razduživanje stanovništva </w:t>
      </w:r>
      <w:r>
        <w:rPr>
          <w:sz w:val="24"/>
          <w:szCs w:val="24"/>
        </w:rPr>
        <w:t xml:space="preserve">o kojem govore i negativne godišnje stope promjena kredita banaka u odnosima sa stanovništvom. </w:t>
      </w:r>
      <w:r w:rsidR="00D549A8">
        <w:rPr>
          <w:sz w:val="24"/>
          <w:szCs w:val="24"/>
        </w:rPr>
        <w:t>U novijoj povijesti smanjila se s</w:t>
      </w:r>
      <w:r>
        <w:rPr>
          <w:sz w:val="24"/>
          <w:szCs w:val="24"/>
        </w:rPr>
        <w:t>k</w:t>
      </w:r>
      <w:r w:rsidR="00D549A8">
        <w:rPr>
          <w:sz w:val="24"/>
          <w:szCs w:val="24"/>
        </w:rPr>
        <w:t xml:space="preserve">lonost stanovništva </w:t>
      </w:r>
      <w:r w:rsidR="00100BC8">
        <w:rPr>
          <w:sz w:val="24"/>
          <w:szCs w:val="24"/>
        </w:rPr>
        <w:t xml:space="preserve"> </w:t>
      </w:r>
      <w:r w:rsidR="00D549A8">
        <w:rPr>
          <w:sz w:val="24"/>
          <w:szCs w:val="24"/>
        </w:rPr>
        <w:t xml:space="preserve">zaduživanju, za razliku od </w:t>
      </w:r>
      <w:r>
        <w:rPr>
          <w:sz w:val="24"/>
          <w:szCs w:val="24"/>
        </w:rPr>
        <w:t>razdoblj</w:t>
      </w:r>
      <w:r w:rsidR="00D549A8">
        <w:rPr>
          <w:sz w:val="24"/>
          <w:szCs w:val="24"/>
        </w:rPr>
        <w:t>a</w:t>
      </w:r>
      <w:r>
        <w:rPr>
          <w:sz w:val="24"/>
          <w:szCs w:val="24"/>
        </w:rPr>
        <w:t xml:space="preserve"> od 2005. - 2008. kada su zabilježene visoke </w:t>
      </w:r>
      <w:r w:rsidR="00D549A8">
        <w:rPr>
          <w:sz w:val="24"/>
          <w:szCs w:val="24"/>
        </w:rPr>
        <w:t xml:space="preserve">godišnje </w:t>
      </w:r>
      <w:r>
        <w:rPr>
          <w:sz w:val="24"/>
          <w:szCs w:val="24"/>
        </w:rPr>
        <w:t xml:space="preserve">stope rasta </w:t>
      </w:r>
      <w:r w:rsidR="00D549A8">
        <w:rPr>
          <w:sz w:val="24"/>
          <w:szCs w:val="24"/>
        </w:rPr>
        <w:t xml:space="preserve">kredita, posebno stambenih kredita </w:t>
      </w:r>
      <w:r>
        <w:rPr>
          <w:sz w:val="24"/>
          <w:szCs w:val="24"/>
        </w:rPr>
        <w:t>po stopama od 15%</w:t>
      </w:r>
      <w:r w:rsidR="00D549A8">
        <w:rPr>
          <w:sz w:val="24"/>
          <w:szCs w:val="24"/>
        </w:rPr>
        <w:t xml:space="preserve"> </w:t>
      </w:r>
      <w:r w:rsidR="00100BC8">
        <w:rPr>
          <w:sz w:val="24"/>
          <w:szCs w:val="24"/>
        </w:rPr>
        <w:t xml:space="preserve">godišnje </w:t>
      </w:r>
      <w:r w:rsidR="00D549A8">
        <w:rPr>
          <w:sz w:val="24"/>
          <w:szCs w:val="24"/>
        </w:rPr>
        <w:t xml:space="preserve">pa čak i </w:t>
      </w:r>
      <w:r>
        <w:rPr>
          <w:sz w:val="24"/>
          <w:szCs w:val="24"/>
        </w:rPr>
        <w:t xml:space="preserve">35% u  2006. </w:t>
      </w:r>
      <w:r w:rsidR="00100BC8">
        <w:rPr>
          <w:sz w:val="24"/>
          <w:szCs w:val="24"/>
        </w:rPr>
        <w:t>godini.</w:t>
      </w:r>
    </w:p>
    <w:p w:rsidR="000C0ACB" w:rsidRPr="007B79A8" w:rsidRDefault="000C0ACB" w:rsidP="00100BC8">
      <w:pPr>
        <w:spacing w:after="0"/>
        <w:jc w:val="both"/>
        <w:rPr>
          <w:b/>
          <w:sz w:val="24"/>
          <w:szCs w:val="24"/>
        </w:rPr>
      </w:pPr>
      <w:r w:rsidRPr="007B79A8">
        <w:rPr>
          <w:b/>
          <w:sz w:val="24"/>
          <w:szCs w:val="24"/>
        </w:rPr>
        <w:t xml:space="preserve">Slika </w:t>
      </w:r>
      <w:r w:rsidR="000B40F4">
        <w:rPr>
          <w:b/>
          <w:sz w:val="24"/>
          <w:szCs w:val="24"/>
        </w:rPr>
        <w:t>4</w:t>
      </w:r>
      <w:r w:rsidRPr="007B79A8">
        <w:rPr>
          <w:b/>
          <w:sz w:val="24"/>
          <w:szCs w:val="24"/>
        </w:rPr>
        <w:t>: Makro pokazatelji tereta otplate duga kućanstva</w:t>
      </w:r>
    </w:p>
    <w:p w:rsidR="003D2FC1" w:rsidRDefault="003D2FC1" w:rsidP="00CB240E">
      <w:pPr>
        <w:rPr>
          <w:sz w:val="24"/>
          <w:szCs w:val="24"/>
        </w:rPr>
      </w:pPr>
      <w:r>
        <w:rPr>
          <w:noProof/>
          <w:sz w:val="24"/>
          <w:szCs w:val="24"/>
          <w:lang w:eastAsia="hr-HR"/>
        </w:rPr>
        <w:drawing>
          <wp:inline distT="0" distB="0" distL="0" distR="0" wp14:anchorId="64CFAF8F" wp14:editId="0E8EFFF5">
            <wp:extent cx="5497540" cy="3112846"/>
            <wp:effectExtent l="0" t="0" r="825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97540" cy="3112846"/>
                    </a:xfrm>
                    <a:prstGeom prst="rect">
                      <a:avLst/>
                    </a:prstGeom>
                    <a:noFill/>
                    <a:ln>
                      <a:noFill/>
                    </a:ln>
                  </pic:spPr>
                </pic:pic>
              </a:graphicData>
            </a:graphic>
          </wp:inline>
        </w:drawing>
      </w:r>
    </w:p>
    <w:p w:rsidR="000D3294" w:rsidRDefault="00AD735A" w:rsidP="000D3294">
      <w:pPr>
        <w:jc w:val="both"/>
        <w:rPr>
          <w:sz w:val="20"/>
          <w:szCs w:val="20"/>
        </w:rPr>
      </w:pPr>
      <w:r w:rsidRPr="003239CD">
        <w:rPr>
          <w:sz w:val="20"/>
          <w:szCs w:val="20"/>
        </w:rPr>
        <w:t xml:space="preserve">Izvor: </w:t>
      </w:r>
      <w:r>
        <w:rPr>
          <w:sz w:val="20"/>
          <w:szCs w:val="20"/>
        </w:rPr>
        <w:t>p</w:t>
      </w:r>
      <w:r w:rsidR="000D3294" w:rsidRPr="00F36127">
        <w:rPr>
          <w:sz w:val="20"/>
          <w:szCs w:val="20"/>
        </w:rPr>
        <w:t>reuzeto iz</w:t>
      </w:r>
      <w:r w:rsidR="000D3294">
        <w:rPr>
          <w:sz w:val="20"/>
          <w:szCs w:val="20"/>
        </w:rPr>
        <w:t>:</w:t>
      </w:r>
      <w:r w:rsidR="000D3294" w:rsidRPr="00F36127">
        <w:rPr>
          <w:sz w:val="20"/>
          <w:szCs w:val="20"/>
        </w:rPr>
        <w:t xml:space="preserve"> HNB, </w:t>
      </w:r>
      <w:r w:rsidR="000B40F4">
        <w:rPr>
          <w:sz w:val="20"/>
          <w:szCs w:val="20"/>
        </w:rPr>
        <w:t>„</w:t>
      </w:r>
      <w:r w:rsidR="000D3294" w:rsidRPr="00F36127">
        <w:rPr>
          <w:sz w:val="20"/>
          <w:szCs w:val="20"/>
        </w:rPr>
        <w:t>Financijska stabilnost</w:t>
      </w:r>
      <w:r w:rsidR="000B40F4">
        <w:rPr>
          <w:sz w:val="20"/>
          <w:szCs w:val="20"/>
        </w:rPr>
        <w:t>“</w:t>
      </w:r>
      <w:r w:rsidR="000D3294">
        <w:rPr>
          <w:sz w:val="20"/>
          <w:szCs w:val="20"/>
        </w:rPr>
        <w:t>, br. 15, srpanj 2015.</w:t>
      </w:r>
    </w:p>
    <w:p w:rsidR="004B523C" w:rsidRDefault="000C0ACB" w:rsidP="000C0ACB">
      <w:pPr>
        <w:jc w:val="both"/>
        <w:rPr>
          <w:sz w:val="24"/>
          <w:szCs w:val="24"/>
        </w:rPr>
      </w:pPr>
      <w:r>
        <w:rPr>
          <w:sz w:val="24"/>
          <w:szCs w:val="24"/>
        </w:rPr>
        <w:t>Zbog izraženog procesa razduživanja u novijoj povijesti</w:t>
      </w:r>
      <w:r w:rsidR="00B21151">
        <w:rPr>
          <w:sz w:val="24"/>
          <w:szCs w:val="24"/>
        </w:rPr>
        <w:t xml:space="preserve">, na makro razini </w:t>
      </w:r>
      <w:r w:rsidR="00B21151" w:rsidRPr="0036003C">
        <w:rPr>
          <w:sz w:val="24"/>
          <w:szCs w:val="24"/>
        </w:rPr>
        <w:t xml:space="preserve">nominalni </w:t>
      </w:r>
      <w:r w:rsidRPr="0036003C">
        <w:rPr>
          <w:sz w:val="24"/>
          <w:szCs w:val="24"/>
        </w:rPr>
        <w:t xml:space="preserve">teret zaduženosti </w:t>
      </w:r>
      <w:r w:rsidR="0036003C">
        <w:rPr>
          <w:sz w:val="24"/>
          <w:szCs w:val="24"/>
        </w:rPr>
        <w:t xml:space="preserve">sektora kućanstva </w:t>
      </w:r>
      <w:r>
        <w:rPr>
          <w:sz w:val="24"/>
          <w:szCs w:val="24"/>
        </w:rPr>
        <w:t>ne bilježi daljnje pogoršanje</w:t>
      </w:r>
      <w:r w:rsidR="004B523C">
        <w:rPr>
          <w:sz w:val="24"/>
          <w:szCs w:val="24"/>
        </w:rPr>
        <w:t xml:space="preserve"> </w:t>
      </w:r>
      <w:r w:rsidR="0036003C">
        <w:rPr>
          <w:sz w:val="24"/>
          <w:szCs w:val="24"/>
        </w:rPr>
        <w:t xml:space="preserve">- mjereno kroz četiri osnovna </w:t>
      </w:r>
      <w:r w:rsidR="0036003C" w:rsidRPr="0036003C">
        <w:rPr>
          <w:color w:val="C00000"/>
          <w:sz w:val="24"/>
          <w:szCs w:val="24"/>
        </w:rPr>
        <w:t>indikatora tereta otplate duga</w:t>
      </w:r>
      <w:r w:rsidR="0036003C">
        <w:rPr>
          <w:color w:val="C00000"/>
          <w:sz w:val="24"/>
          <w:szCs w:val="24"/>
        </w:rPr>
        <w:t xml:space="preserve"> </w:t>
      </w:r>
      <w:r w:rsidR="0036003C">
        <w:rPr>
          <w:sz w:val="24"/>
          <w:szCs w:val="24"/>
        </w:rPr>
        <w:t xml:space="preserve">(vidjeti sliku </w:t>
      </w:r>
      <w:r w:rsidR="00D7054B">
        <w:rPr>
          <w:sz w:val="24"/>
          <w:szCs w:val="24"/>
        </w:rPr>
        <w:t>4</w:t>
      </w:r>
      <w:r w:rsidR="0036003C">
        <w:rPr>
          <w:sz w:val="24"/>
          <w:szCs w:val="24"/>
        </w:rPr>
        <w:t>)</w:t>
      </w:r>
      <w:r>
        <w:rPr>
          <w:sz w:val="24"/>
          <w:szCs w:val="24"/>
        </w:rPr>
        <w:t xml:space="preserve">. Nakon što se </w:t>
      </w:r>
      <w:r w:rsidRPr="00100BC8">
        <w:rPr>
          <w:color w:val="C00000"/>
          <w:sz w:val="24"/>
          <w:szCs w:val="24"/>
        </w:rPr>
        <w:t>omjer duga i raspoloživog dohotka</w:t>
      </w:r>
      <w:r>
        <w:rPr>
          <w:sz w:val="24"/>
          <w:szCs w:val="24"/>
        </w:rPr>
        <w:t xml:space="preserve"> povećao s 30% na 90% u razdoblju 2000.-2008. (kada je akumulirana najveća razina rizika prezaduženosti</w:t>
      </w:r>
      <w:r w:rsidR="004B523C">
        <w:rPr>
          <w:sz w:val="24"/>
          <w:szCs w:val="24"/>
        </w:rPr>
        <w:t xml:space="preserve"> građana</w:t>
      </w:r>
      <w:r>
        <w:rPr>
          <w:sz w:val="24"/>
          <w:szCs w:val="24"/>
        </w:rPr>
        <w:t xml:space="preserve">), od tada do danas kreće se stabilnoj razini oko 85%. Nakon 2011. zabilježen je pad </w:t>
      </w:r>
      <w:r w:rsidRPr="00100BC8">
        <w:rPr>
          <w:color w:val="C00000"/>
          <w:sz w:val="24"/>
          <w:szCs w:val="24"/>
        </w:rPr>
        <w:t>omjera plaćenih kamata i raspoloživog dohotka</w:t>
      </w:r>
      <w:r>
        <w:rPr>
          <w:sz w:val="24"/>
          <w:szCs w:val="24"/>
        </w:rPr>
        <w:t xml:space="preserve">, koji je </w:t>
      </w:r>
      <w:r w:rsidR="00B21151">
        <w:rPr>
          <w:sz w:val="24"/>
          <w:szCs w:val="24"/>
        </w:rPr>
        <w:t xml:space="preserve">na početku krize tijekom </w:t>
      </w:r>
      <w:r>
        <w:rPr>
          <w:sz w:val="24"/>
          <w:szCs w:val="24"/>
        </w:rPr>
        <w:t xml:space="preserve">2008. i 2009. bio pod značajnim nepovoljnim utjecajem rasta kamatnih stopa </w:t>
      </w:r>
      <w:r w:rsidR="00FD3EB7">
        <w:rPr>
          <w:sz w:val="24"/>
          <w:szCs w:val="24"/>
        </w:rPr>
        <w:t xml:space="preserve">na domaćem tržištu </w:t>
      </w:r>
      <w:r w:rsidR="0036003C">
        <w:rPr>
          <w:sz w:val="24"/>
          <w:szCs w:val="24"/>
        </w:rPr>
        <w:t>(</w:t>
      </w:r>
      <w:r w:rsidR="00E63AB5">
        <w:rPr>
          <w:sz w:val="24"/>
          <w:szCs w:val="24"/>
        </w:rPr>
        <w:t>a glavnina</w:t>
      </w:r>
      <w:r w:rsidR="00100BC8">
        <w:rPr>
          <w:sz w:val="24"/>
          <w:szCs w:val="24"/>
        </w:rPr>
        <w:t xml:space="preserve"> </w:t>
      </w:r>
      <w:r>
        <w:rPr>
          <w:sz w:val="24"/>
          <w:szCs w:val="24"/>
        </w:rPr>
        <w:t>kredita odobrena uz promjenjive kamatn</w:t>
      </w:r>
      <w:r w:rsidR="00B21151">
        <w:rPr>
          <w:sz w:val="24"/>
          <w:szCs w:val="24"/>
        </w:rPr>
        <w:t>jake</w:t>
      </w:r>
      <w:r w:rsidR="00100BC8">
        <w:rPr>
          <w:sz w:val="24"/>
          <w:szCs w:val="24"/>
        </w:rPr>
        <w:t xml:space="preserve">, dok su tek u novijoj povijesti </w:t>
      </w:r>
      <w:r w:rsidR="00E63AB5">
        <w:rPr>
          <w:sz w:val="24"/>
          <w:szCs w:val="24"/>
        </w:rPr>
        <w:t xml:space="preserve">nešto više </w:t>
      </w:r>
      <w:r w:rsidR="00100BC8">
        <w:rPr>
          <w:sz w:val="24"/>
          <w:szCs w:val="24"/>
        </w:rPr>
        <w:t>zastupljeni krediti s fiksnom kamatnom stopom</w:t>
      </w:r>
      <w:r w:rsidR="0036003C">
        <w:rPr>
          <w:sz w:val="24"/>
          <w:szCs w:val="24"/>
        </w:rPr>
        <w:t>)</w:t>
      </w:r>
      <w:r>
        <w:rPr>
          <w:sz w:val="24"/>
          <w:szCs w:val="24"/>
        </w:rPr>
        <w:t xml:space="preserve">. Također postupno se smanjuje </w:t>
      </w:r>
      <w:r w:rsidRPr="00100BC8">
        <w:rPr>
          <w:color w:val="C00000"/>
          <w:sz w:val="24"/>
          <w:szCs w:val="24"/>
        </w:rPr>
        <w:t>omjer duga i depozita</w:t>
      </w:r>
      <w:r w:rsidR="00100BC8">
        <w:rPr>
          <w:sz w:val="24"/>
          <w:szCs w:val="24"/>
        </w:rPr>
        <w:t xml:space="preserve">, kao i </w:t>
      </w:r>
      <w:r w:rsidRPr="00100BC8">
        <w:rPr>
          <w:color w:val="C00000"/>
          <w:sz w:val="24"/>
          <w:szCs w:val="24"/>
        </w:rPr>
        <w:t>omjer duga i likvidne financijske imovine</w:t>
      </w:r>
      <w:r>
        <w:rPr>
          <w:sz w:val="24"/>
          <w:szCs w:val="24"/>
        </w:rPr>
        <w:t xml:space="preserve">. </w:t>
      </w:r>
    </w:p>
    <w:p w:rsidR="00033CC6" w:rsidRDefault="00100BC8" w:rsidP="00033CC6">
      <w:pPr>
        <w:jc w:val="both"/>
        <w:rPr>
          <w:sz w:val="24"/>
          <w:szCs w:val="24"/>
        </w:rPr>
      </w:pPr>
      <w:r>
        <w:rPr>
          <w:sz w:val="24"/>
          <w:szCs w:val="24"/>
        </w:rPr>
        <w:t>Nasuprot a</w:t>
      </w:r>
      <w:r w:rsidR="00033CC6">
        <w:rPr>
          <w:sz w:val="24"/>
          <w:szCs w:val="24"/>
        </w:rPr>
        <w:t>gregiranim makro podacima</w:t>
      </w:r>
      <w:r>
        <w:rPr>
          <w:sz w:val="24"/>
          <w:szCs w:val="24"/>
        </w:rPr>
        <w:t>,</w:t>
      </w:r>
      <w:r w:rsidR="00033CC6">
        <w:rPr>
          <w:sz w:val="24"/>
          <w:szCs w:val="24"/>
        </w:rPr>
        <w:t xml:space="preserve"> </w:t>
      </w:r>
      <w:r w:rsidR="00033CC6" w:rsidRPr="001936AF">
        <w:rPr>
          <w:color w:val="C00000"/>
          <w:sz w:val="24"/>
          <w:szCs w:val="24"/>
        </w:rPr>
        <w:t>konkretna</w:t>
      </w:r>
      <w:r w:rsidR="00033CC6">
        <w:rPr>
          <w:sz w:val="24"/>
          <w:szCs w:val="24"/>
        </w:rPr>
        <w:t xml:space="preserve"> </w:t>
      </w:r>
      <w:r w:rsidR="00033CC6" w:rsidRPr="001936AF">
        <w:rPr>
          <w:color w:val="C00000"/>
          <w:sz w:val="24"/>
          <w:szCs w:val="24"/>
        </w:rPr>
        <w:t xml:space="preserve">slika tereta duga razlikuje </w:t>
      </w:r>
      <w:r w:rsidR="0057393E">
        <w:rPr>
          <w:color w:val="C00000"/>
          <w:sz w:val="24"/>
          <w:szCs w:val="24"/>
        </w:rPr>
        <w:t xml:space="preserve">se </w:t>
      </w:r>
      <w:r w:rsidR="00033CC6" w:rsidRPr="001936AF">
        <w:rPr>
          <w:color w:val="C00000"/>
          <w:sz w:val="24"/>
          <w:szCs w:val="24"/>
        </w:rPr>
        <w:t>od jednog do drugog kućanstva</w:t>
      </w:r>
      <w:r w:rsidR="00033CC6">
        <w:rPr>
          <w:sz w:val="24"/>
          <w:szCs w:val="24"/>
        </w:rPr>
        <w:t xml:space="preserve">, </w:t>
      </w:r>
      <w:r w:rsidR="00D22E7B">
        <w:rPr>
          <w:sz w:val="24"/>
          <w:szCs w:val="24"/>
        </w:rPr>
        <w:t xml:space="preserve">na što utječu dohodovne i </w:t>
      </w:r>
      <w:r w:rsidR="00033CC6">
        <w:rPr>
          <w:sz w:val="24"/>
          <w:szCs w:val="24"/>
        </w:rPr>
        <w:t>imovinsk</w:t>
      </w:r>
      <w:r w:rsidR="00D22E7B">
        <w:rPr>
          <w:sz w:val="24"/>
          <w:szCs w:val="24"/>
        </w:rPr>
        <w:t>e razlike</w:t>
      </w:r>
      <w:r>
        <w:rPr>
          <w:sz w:val="24"/>
          <w:szCs w:val="24"/>
        </w:rPr>
        <w:t xml:space="preserve"> -</w:t>
      </w:r>
      <w:r w:rsidR="00D22E7B">
        <w:rPr>
          <w:sz w:val="24"/>
          <w:szCs w:val="24"/>
        </w:rPr>
        <w:t xml:space="preserve"> koje su se u razdoblju recesije od 2009. do 2014. dodatno produbile. D</w:t>
      </w:r>
      <w:r w:rsidR="00033CC6">
        <w:rPr>
          <w:sz w:val="24"/>
          <w:szCs w:val="24"/>
        </w:rPr>
        <w:t>io građana</w:t>
      </w:r>
      <w:r w:rsidR="00D22E7B">
        <w:rPr>
          <w:sz w:val="24"/>
          <w:szCs w:val="24"/>
        </w:rPr>
        <w:t xml:space="preserve"> je</w:t>
      </w:r>
      <w:r w:rsidR="00033CC6">
        <w:rPr>
          <w:sz w:val="24"/>
          <w:szCs w:val="24"/>
        </w:rPr>
        <w:t xml:space="preserve"> ostao nezaposlen i bez dotadašnjih prihoda (posebno u privatnom sektoru, djelatnosti građevinarstva, u slučaju mlađih osoba i osoba s nižom kvalifikacijom)</w:t>
      </w:r>
      <w:r w:rsidR="00D22E7B">
        <w:rPr>
          <w:sz w:val="24"/>
          <w:szCs w:val="24"/>
        </w:rPr>
        <w:t xml:space="preserve">. Nakon </w:t>
      </w:r>
      <w:r w:rsidR="00033CC6">
        <w:rPr>
          <w:sz w:val="24"/>
          <w:szCs w:val="24"/>
        </w:rPr>
        <w:t xml:space="preserve">2011. </w:t>
      </w:r>
      <w:r w:rsidR="00D22E7B">
        <w:rPr>
          <w:sz w:val="24"/>
          <w:szCs w:val="24"/>
        </w:rPr>
        <w:t xml:space="preserve">nominalne neto plaće </w:t>
      </w:r>
      <w:r w:rsidR="00033CC6">
        <w:rPr>
          <w:sz w:val="24"/>
          <w:szCs w:val="24"/>
        </w:rPr>
        <w:t xml:space="preserve">nisu </w:t>
      </w:r>
      <w:r w:rsidR="00D22E7B">
        <w:rPr>
          <w:sz w:val="24"/>
          <w:szCs w:val="24"/>
        </w:rPr>
        <w:t xml:space="preserve">se </w:t>
      </w:r>
      <w:r w:rsidR="00033CC6">
        <w:rPr>
          <w:sz w:val="24"/>
          <w:szCs w:val="24"/>
        </w:rPr>
        <w:lastRenderedPageBreak/>
        <w:t>značajno povećavale</w:t>
      </w:r>
      <w:r w:rsidR="009D0B6E">
        <w:rPr>
          <w:sz w:val="24"/>
          <w:szCs w:val="24"/>
        </w:rPr>
        <w:t xml:space="preserve"> </w:t>
      </w:r>
      <w:r w:rsidR="00033CC6">
        <w:rPr>
          <w:sz w:val="24"/>
          <w:szCs w:val="24"/>
        </w:rPr>
        <w:t>dok je rast cijena i troškova života smanjio realnu vrijednost dohodaka</w:t>
      </w:r>
      <w:r w:rsidR="008940B2">
        <w:rPr>
          <w:sz w:val="24"/>
          <w:szCs w:val="24"/>
        </w:rPr>
        <w:t xml:space="preserve">. Uz spomenuta kretanja i pad zaposlenosti zabilježeno je značajno smanjenje realne mase isplaćenih plaća </w:t>
      </w:r>
      <w:r w:rsidR="00D7054B">
        <w:rPr>
          <w:sz w:val="24"/>
          <w:szCs w:val="24"/>
        </w:rPr>
        <w:t xml:space="preserve">(slika 5) </w:t>
      </w:r>
      <w:r w:rsidR="008940B2">
        <w:rPr>
          <w:sz w:val="24"/>
          <w:szCs w:val="24"/>
        </w:rPr>
        <w:t>koj</w:t>
      </w:r>
      <w:r w:rsidR="00D7054B">
        <w:rPr>
          <w:sz w:val="24"/>
          <w:szCs w:val="24"/>
        </w:rPr>
        <w:t>e</w:t>
      </w:r>
      <w:r w:rsidR="008940B2">
        <w:rPr>
          <w:sz w:val="24"/>
          <w:szCs w:val="24"/>
        </w:rPr>
        <w:t xml:space="preserve"> se odrazi</w:t>
      </w:r>
      <w:r w:rsidR="00E63AB5">
        <w:rPr>
          <w:sz w:val="24"/>
          <w:szCs w:val="24"/>
        </w:rPr>
        <w:t>l</w:t>
      </w:r>
      <w:r w:rsidR="008940B2">
        <w:rPr>
          <w:sz w:val="24"/>
          <w:szCs w:val="24"/>
        </w:rPr>
        <w:t>o</w:t>
      </w:r>
      <w:r>
        <w:rPr>
          <w:sz w:val="24"/>
          <w:szCs w:val="24"/>
        </w:rPr>
        <w:t>,</w:t>
      </w:r>
      <w:r w:rsidR="008940B2">
        <w:rPr>
          <w:sz w:val="24"/>
          <w:szCs w:val="24"/>
        </w:rPr>
        <w:t xml:space="preserve"> kako na mogućnosti potrošnje i štednje</w:t>
      </w:r>
      <w:r w:rsidR="00877981">
        <w:rPr>
          <w:sz w:val="24"/>
          <w:szCs w:val="24"/>
        </w:rPr>
        <w:t>, tako i na dostupnost kupovine nekretnina</w:t>
      </w:r>
      <w:r w:rsidR="008940B2">
        <w:rPr>
          <w:sz w:val="24"/>
          <w:szCs w:val="24"/>
        </w:rPr>
        <w:t xml:space="preserve"> i sposobnost otplate kredita. Dodatno, značajne financijske šokove u otplati kredita zabilježila su brojna kućanstva s kreditima indeksiranim u švicarskom franku </w:t>
      </w:r>
      <w:r w:rsidR="00D7054B">
        <w:rPr>
          <w:sz w:val="24"/>
          <w:szCs w:val="24"/>
        </w:rPr>
        <w:t>(</w:t>
      </w:r>
      <w:r w:rsidR="008940B2">
        <w:rPr>
          <w:sz w:val="24"/>
          <w:szCs w:val="24"/>
        </w:rPr>
        <w:t>koji je od 2008. do 2015. zabilježio značajno jačanje na svjetskom deviznom tržištu</w:t>
      </w:r>
      <w:r w:rsidR="00D7054B">
        <w:rPr>
          <w:sz w:val="24"/>
          <w:szCs w:val="24"/>
        </w:rPr>
        <w:t>)</w:t>
      </w:r>
      <w:r w:rsidR="008940B2">
        <w:rPr>
          <w:sz w:val="24"/>
          <w:szCs w:val="24"/>
        </w:rPr>
        <w:t xml:space="preserve">. </w:t>
      </w:r>
    </w:p>
    <w:p w:rsidR="004B523C" w:rsidRDefault="00D7054B" w:rsidP="00100BC8">
      <w:pPr>
        <w:spacing w:after="0"/>
        <w:jc w:val="both"/>
        <w:rPr>
          <w:sz w:val="24"/>
          <w:szCs w:val="24"/>
        </w:rPr>
      </w:pPr>
      <w:r>
        <w:rPr>
          <w:b/>
          <w:sz w:val="24"/>
          <w:szCs w:val="24"/>
        </w:rPr>
        <w:t>Slika 5</w:t>
      </w:r>
      <w:r w:rsidR="004B523C" w:rsidRPr="004B523C">
        <w:rPr>
          <w:b/>
          <w:sz w:val="24"/>
          <w:szCs w:val="24"/>
        </w:rPr>
        <w:t>:</w:t>
      </w:r>
      <w:r w:rsidR="004B523C">
        <w:rPr>
          <w:sz w:val="24"/>
          <w:szCs w:val="24"/>
        </w:rPr>
        <w:t xml:space="preserve"> </w:t>
      </w:r>
      <w:r w:rsidR="004B523C" w:rsidRPr="007B79A8">
        <w:rPr>
          <w:b/>
          <w:sz w:val="24"/>
          <w:szCs w:val="24"/>
        </w:rPr>
        <w:t>Kretanje zaposlenosti i plaća (bez sezonskih učinaka)</w:t>
      </w:r>
    </w:p>
    <w:p w:rsidR="00AD735A" w:rsidRDefault="004B523C" w:rsidP="00AD735A">
      <w:pPr>
        <w:spacing w:after="0"/>
        <w:jc w:val="both"/>
        <w:rPr>
          <w:sz w:val="20"/>
          <w:szCs w:val="20"/>
        </w:rPr>
      </w:pPr>
      <w:r>
        <w:rPr>
          <w:noProof/>
          <w:sz w:val="24"/>
          <w:szCs w:val="24"/>
          <w:lang w:eastAsia="hr-HR"/>
        </w:rPr>
        <w:drawing>
          <wp:inline distT="0" distB="0" distL="0" distR="0" wp14:anchorId="1EFE08E9" wp14:editId="12A8A13F">
            <wp:extent cx="5419725" cy="3368292"/>
            <wp:effectExtent l="0" t="0" r="0" b="381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25120" cy="3371645"/>
                    </a:xfrm>
                    <a:prstGeom prst="rect">
                      <a:avLst/>
                    </a:prstGeom>
                    <a:noFill/>
                    <a:ln>
                      <a:noFill/>
                    </a:ln>
                  </pic:spPr>
                </pic:pic>
              </a:graphicData>
            </a:graphic>
          </wp:inline>
        </w:drawing>
      </w:r>
      <w:r w:rsidR="00212184" w:rsidRPr="00212184">
        <w:rPr>
          <w:sz w:val="20"/>
          <w:szCs w:val="20"/>
        </w:rPr>
        <w:t xml:space="preserve"> </w:t>
      </w:r>
    </w:p>
    <w:p w:rsidR="00212184" w:rsidRDefault="00AD735A" w:rsidP="00212184">
      <w:pPr>
        <w:jc w:val="both"/>
        <w:rPr>
          <w:sz w:val="20"/>
          <w:szCs w:val="20"/>
        </w:rPr>
      </w:pPr>
      <w:r w:rsidRPr="003239CD">
        <w:rPr>
          <w:sz w:val="20"/>
          <w:szCs w:val="20"/>
        </w:rPr>
        <w:t xml:space="preserve">Izvor: </w:t>
      </w:r>
      <w:r>
        <w:rPr>
          <w:sz w:val="20"/>
          <w:szCs w:val="20"/>
        </w:rPr>
        <w:t>p</w:t>
      </w:r>
      <w:r w:rsidR="00212184" w:rsidRPr="00F36127">
        <w:rPr>
          <w:sz w:val="20"/>
          <w:szCs w:val="20"/>
        </w:rPr>
        <w:t>reuzeto iz</w:t>
      </w:r>
      <w:r w:rsidR="00212184">
        <w:rPr>
          <w:sz w:val="20"/>
          <w:szCs w:val="20"/>
        </w:rPr>
        <w:t>:</w:t>
      </w:r>
      <w:r w:rsidR="00212184" w:rsidRPr="00F36127">
        <w:rPr>
          <w:sz w:val="20"/>
          <w:szCs w:val="20"/>
        </w:rPr>
        <w:t xml:space="preserve"> HNB, </w:t>
      </w:r>
      <w:r w:rsidR="00D33C8D">
        <w:rPr>
          <w:sz w:val="20"/>
          <w:szCs w:val="20"/>
        </w:rPr>
        <w:t>„</w:t>
      </w:r>
      <w:r w:rsidR="00212184" w:rsidRPr="00F36127">
        <w:rPr>
          <w:sz w:val="20"/>
          <w:szCs w:val="20"/>
        </w:rPr>
        <w:t>Financijska stabilnost</w:t>
      </w:r>
      <w:r w:rsidR="00D33C8D">
        <w:rPr>
          <w:sz w:val="20"/>
          <w:szCs w:val="20"/>
        </w:rPr>
        <w:t>“</w:t>
      </w:r>
      <w:r w:rsidR="00212184">
        <w:rPr>
          <w:sz w:val="20"/>
          <w:szCs w:val="20"/>
        </w:rPr>
        <w:t>, br. 15, srpanj 2015.</w:t>
      </w:r>
    </w:p>
    <w:p w:rsidR="00595139" w:rsidRPr="00595139" w:rsidRDefault="00595139" w:rsidP="003239CD">
      <w:pPr>
        <w:spacing w:before="240" w:line="240" w:lineRule="auto"/>
        <w:jc w:val="both"/>
        <w:rPr>
          <w:b/>
          <w:sz w:val="24"/>
          <w:szCs w:val="24"/>
        </w:rPr>
      </w:pPr>
      <w:r>
        <w:rPr>
          <w:b/>
          <w:sz w:val="24"/>
          <w:szCs w:val="24"/>
        </w:rPr>
        <w:t xml:space="preserve">1.2. </w:t>
      </w:r>
      <w:r w:rsidR="008940B2">
        <w:rPr>
          <w:b/>
          <w:sz w:val="24"/>
          <w:szCs w:val="24"/>
        </w:rPr>
        <w:t>Raspodjela dohotka kućanstva na potrošnju i štednju</w:t>
      </w:r>
    </w:p>
    <w:p w:rsidR="00B5515C" w:rsidRDefault="00DC0179" w:rsidP="00595139">
      <w:pPr>
        <w:jc w:val="both"/>
        <w:rPr>
          <w:sz w:val="24"/>
          <w:szCs w:val="24"/>
        </w:rPr>
      </w:pPr>
      <w:r>
        <w:rPr>
          <w:sz w:val="24"/>
          <w:szCs w:val="24"/>
        </w:rPr>
        <w:t xml:space="preserve">Kućanstva se međusobno </w:t>
      </w:r>
      <w:r w:rsidR="008F2080" w:rsidRPr="00595139">
        <w:rPr>
          <w:sz w:val="24"/>
          <w:szCs w:val="24"/>
        </w:rPr>
        <w:t xml:space="preserve">razlikuju s obzirom na </w:t>
      </w:r>
      <w:r w:rsidR="00B5515C" w:rsidRPr="00595139">
        <w:rPr>
          <w:sz w:val="24"/>
          <w:szCs w:val="24"/>
        </w:rPr>
        <w:t xml:space="preserve">razinu </w:t>
      </w:r>
      <w:r>
        <w:rPr>
          <w:sz w:val="24"/>
          <w:szCs w:val="24"/>
        </w:rPr>
        <w:t xml:space="preserve">i izvore ostvarivanja </w:t>
      </w:r>
      <w:r w:rsidR="00B5515C" w:rsidRPr="00595139">
        <w:rPr>
          <w:sz w:val="24"/>
          <w:szCs w:val="24"/>
        </w:rPr>
        <w:t xml:space="preserve">dohotka, visinu financijske i realne imovine, teret zaduženosti te po nizu ekonomskih i </w:t>
      </w:r>
      <w:r>
        <w:rPr>
          <w:sz w:val="24"/>
          <w:szCs w:val="24"/>
        </w:rPr>
        <w:t xml:space="preserve">drugih </w:t>
      </w:r>
      <w:r w:rsidR="00B5515C" w:rsidRPr="00595139">
        <w:rPr>
          <w:sz w:val="24"/>
          <w:szCs w:val="24"/>
        </w:rPr>
        <w:t xml:space="preserve">kriterija. U skladu s time razlikuju se njihovi financijski ciljevi, način kako ih ostvaruju, financijski proizvodi kojima su skloniji, ali i raspored prihoda na </w:t>
      </w:r>
      <w:r>
        <w:rPr>
          <w:sz w:val="24"/>
          <w:szCs w:val="24"/>
        </w:rPr>
        <w:t xml:space="preserve">potrošnju i </w:t>
      </w:r>
      <w:r w:rsidR="00B5515C" w:rsidRPr="00595139">
        <w:rPr>
          <w:sz w:val="24"/>
          <w:szCs w:val="24"/>
        </w:rPr>
        <w:t>šted</w:t>
      </w:r>
      <w:r>
        <w:rPr>
          <w:sz w:val="24"/>
          <w:szCs w:val="24"/>
        </w:rPr>
        <w:t>nju (</w:t>
      </w:r>
      <w:r w:rsidR="00B5515C" w:rsidRPr="00595139">
        <w:rPr>
          <w:sz w:val="24"/>
          <w:szCs w:val="24"/>
        </w:rPr>
        <w:t>investi</w:t>
      </w:r>
      <w:r>
        <w:rPr>
          <w:sz w:val="24"/>
          <w:szCs w:val="24"/>
        </w:rPr>
        <w:t>cije)</w:t>
      </w:r>
      <w:r w:rsidR="00B5515C" w:rsidRPr="00595139">
        <w:rPr>
          <w:sz w:val="24"/>
          <w:szCs w:val="24"/>
        </w:rPr>
        <w:t xml:space="preserve">. </w:t>
      </w:r>
    </w:p>
    <w:tbl>
      <w:tblPr>
        <w:tblStyle w:val="Reetkatablice"/>
        <w:tblW w:w="0" w:type="auto"/>
        <w:tblInd w:w="108" w:type="dxa"/>
        <w:tblLook w:val="04A0" w:firstRow="1" w:lastRow="0" w:firstColumn="1" w:lastColumn="0" w:noHBand="0" w:noVBand="1"/>
      </w:tblPr>
      <w:tblGrid>
        <w:gridCol w:w="9072"/>
      </w:tblGrid>
      <w:tr w:rsidR="00227715" w:rsidTr="007415AD">
        <w:tc>
          <w:tcPr>
            <w:tcW w:w="9072" w:type="dxa"/>
            <w:shd w:val="clear" w:color="auto" w:fill="F2F2F2" w:themeFill="background1" w:themeFillShade="F2"/>
          </w:tcPr>
          <w:p w:rsidR="007415AD" w:rsidRDefault="00227715" w:rsidP="00DC0179">
            <w:pPr>
              <w:spacing w:before="120" w:after="120"/>
              <w:jc w:val="both"/>
              <w:rPr>
                <w:rFonts w:asciiTheme="minorHAnsi" w:eastAsiaTheme="minorHAnsi" w:hAnsiTheme="minorHAnsi" w:cstheme="minorBidi"/>
                <w:sz w:val="24"/>
                <w:szCs w:val="24"/>
                <w:lang w:eastAsia="en-US"/>
              </w:rPr>
            </w:pPr>
            <w:r w:rsidRPr="00DC261B">
              <w:rPr>
                <w:rFonts w:asciiTheme="minorHAnsi" w:eastAsiaTheme="minorHAnsi" w:hAnsiTheme="minorHAnsi" w:cstheme="minorBidi"/>
                <w:color w:val="C00000"/>
                <w:sz w:val="24"/>
                <w:szCs w:val="24"/>
                <w:lang w:eastAsia="en-US"/>
              </w:rPr>
              <w:t>Dohodak ku</w:t>
            </w:r>
            <w:r w:rsidR="007415AD" w:rsidRPr="00DC261B">
              <w:rPr>
                <w:rFonts w:asciiTheme="minorHAnsi" w:eastAsiaTheme="minorHAnsi" w:hAnsiTheme="minorHAnsi" w:cstheme="minorBidi"/>
                <w:color w:val="C00000"/>
                <w:sz w:val="24"/>
                <w:szCs w:val="24"/>
                <w:lang w:eastAsia="en-US"/>
              </w:rPr>
              <w:t>ća</w:t>
            </w:r>
            <w:r w:rsidRPr="00DC261B">
              <w:rPr>
                <w:rFonts w:asciiTheme="minorHAnsi" w:eastAsiaTheme="minorHAnsi" w:hAnsiTheme="minorHAnsi" w:cstheme="minorBidi"/>
                <w:color w:val="C00000"/>
                <w:sz w:val="24"/>
                <w:szCs w:val="24"/>
                <w:lang w:eastAsia="en-US"/>
              </w:rPr>
              <w:t xml:space="preserve">nstva </w:t>
            </w:r>
            <w:r w:rsidR="007415AD" w:rsidRPr="00DC261B">
              <w:rPr>
                <w:rFonts w:asciiTheme="minorHAnsi" w:eastAsiaTheme="minorHAnsi" w:hAnsiTheme="minorHAnsi" w:cstheme="minorBidi"/>
                <w:color w:val="C00000"/>
                <w:sz w:val="24"/>
                <w:szCs w:val="24"/>
                <w:lang w:eastAsia="en-US"/>
              </w:rPr>
              <w:t xml:space="preserve">može se ostvarivati iz različitih izvora </w:t>
            </w:r>
            <w:r w:rsidR="007415AD">
              <w:rPr>
                <w:rFonts w:asciiTheme="minorHAnsi" w:eastAsiaTheme="minorHAnsi" w:hAnsiTheme="minorHAnsi" w:cstheme="minorBidi"/>
                <w:sz w:val="24"/>
                <w:szCs w:val="24"/>
                <w:lang w:eastAsia="en-US"/>
              </w:rPr>
              <w:t xml:space="preserve">uključujući: </w:t>
            </w:r>
          </w:p>
          <w:p w:rsidR="007415AD" w:rsidRPr="007415AD" w:rsidRDefault="00227715" w:rsidP="00E93220">
            <w:pPr>
              <w:pStyle w:val="Odlomakpopisa"/>
              <w:numPr>
                <w:ilvl w:val="0"/>
                <w:numId w:val="3"/>
              </w:numPr>
              <w:spacing w:before="120" w:after="120"/>
              <w:ind w:left="1077"/>
              <w:jc w:val="both"/>
              <w:rPr>
                <w:rFonts w:asciiTheme="minorHAnsi" w:eastAsiaTheme="minorHAnsi" w:hAnsiTheme="minorHAnsi" w:cstheme="minorBidi"/>
                <w:sz w:val="24"/>
                <w:szCs w:val="24"/>
                <w:lang w:eastAsia="en-US"/>
              </w:rPr>
            </w:pPr>
            <w:r w:rsidRPr="007415AD">
              <w:rPr>
                <w:rFonts w:asciiTheme="minorHAnsi" w:eastAsiaTheme="minorHAnsi" w:hAnsiTheme="minorHAnsi" w:cstheme="minorBidi"/>
                <w:sz w:val="24"/>
                <w:szCs w:val="24"/>
                <w:lang w:eastAsia="en-US"/>
              </w:rPr>
              <w:t xml:space="preserve">neto </w:t>
            </w:r>
            <w:r w:rsidR="007415AD" w:rsidRPr="007415AD">
              <w:rPr>
                <w:rFonts w:asciiTheme="minorHAnsi" w:eastAsiaTheme="minorHAnsi" w:hAnsiTheme="minorHAnsi" w:cstheme="minorBidi"/>
                <w:sz w:val="24"/>
                <w:szCs w:val="24"/>
                <w:lang w:eastAsia="en-US"/>
              </w:rPr>
              <w:t>plaće</w:t>
            </w:r>
            <w:r w:rsidRPr="007415AD">
              <w:rPr>
                <w:rFonts w:asciiTheme="minorHAnsi" w:eastAsiaTheme="minorHAnsi" w:hAnsiTheme="minorHAnsi" w:cstheme="minorBidi"/>
                <w:sz w:val="24"/>
                <w:szCs w:val="24"/>
                <w:lang w:eastAsia="en-US"/>
              </w:rPr>
              <w:t xml:space="preserve"> i naknade pla</w:t>
            </w:r>
            <w:r w:rsidR="007415AD" w:rsidRPr="007415AD">
              <w:rPr>
                <w:rFonts w:asciiTheme="minorHAnsi" w:eastAsiaTheme="minorHAnsi" w:hAnsiTheme="minorHAnsi" w:cstheme="minorBidi"/>
                <w:sz w:val="24"/>
                <w:szCs w:val="24"/>
                <w:lang w:eastAsia="en-US"/>
              </w:rPr>
              <w:t>ća</w:t>
            </w:r>
            <w:r w:rsidRPr="007415AD">
              <w:rPr>
                <w:rFonts w:asciiTheme="minorHAnsi" w:eastAsiaTheme="minorHAnsi" w:hAnsiTheme="minorHAnsi" w:cstheme="minorBidi"/>
                <w:sz w:val="24"/>
                <w:szCs w:val="24"/>
                <w:lang w:eastAsia="en-US"/>
              </w:rPr>
              <w:t xml:space="preserve"> (prijevoz, topli obrok),</w:t>
            </w:r>
          </w:p>
          <w:p w:rsidR="007415AD" w:rsidRPr="007415AD" w:rsidRDefault="007415AD" w:rsidP="00E93220">
            <w:pPr>
              <w:pStyle w:val="Odlomakpopisa"/>
              <w:numPr>
                <w:ilvl w:val="0"/>
                <w:numId w:val="3"/>
              </w:numPr>
              <w:spacing w:before="120" w:after="120"/>
              <w:ind w:left="1077"/>
              <w:jc w:val="both"/>
              <w:rPr>
                <w:rFonts w:asciiTheme="minorHAnsi" w:eastAsiaTheme="minorHAnsi" w:hAnsiTheme="minorHAnsi" w:cstheme="minorBidi"/>
                <w:sz w:val="24"/>
                <w:szCs w:val="24"/>
                <w:lang w:eastAsia="en-US"/>
              </w:rPr>
            </w:pPr>
            <w:r w:rsidRPr="007415AD">
              <w:rPr>
                <w:rFonts w:asciiTheme="minorHAnsi" w:eastAsiaTheme="minorHAnsi" w:hAnsiTheme="minorHAnsi" w:cstheme="minorBidi"/>
                <w:sz w:val="24"/>
                <w:szCs w:val="24"/>
                <w:lang w:eastAsia="en-US"/>
              </w:rPr>
              <w:t xml:space="preserve">dohodak </w:t>
            </w:r>
            <w:r w:rsidR="00227715" w:rsidRPr="007415AD">
              <w:rPr>
                <w:rFonts w:asciiTheme="minorHAnsi" w:eastAsiaTheme="minorHAnsi" w:hAnsiTheme="minorHAnsi" w:cstheme="minorBidi"/>
                <w:sz w:val="24"/>
                <w:szCs w:val="24"/>
                <w:lang w:eastAsia="en-US"/>
              </w:rPr>
              <w:t xml:space="preserve">od samostalnog rada (dohodak od individualne poljoprivrede, obrta i druge samostalne djelatnosti), </w:t>
            </w:r>
          </w:p>
          <w:p w:rsidR="007415AD" w:rsidRPr="007415AD" w:rsidRDefault="00227715" w:rsidP="00E93220">
            <w:pPr>
              <w:pStyle w:val="Odlomakpopisa"/>
              <w:numPr>
                <w:ilvl w:val="0"/>
                <w:numId w:val="3"/>
              </w:numPr>
              <w:spacing w:before="120" w:after="120"/>
              <w:ind w:left="1077"/>
              <w:jc w:val="both"/>
              <w:rPr>
                <w:rFonts w:asciiTheme="minorHAnsi" w:eastAsiaTheme="minorHAnsi" w:hAnsiTheme="minorHAnsi" w:cstheme="minorBidi"/>
                <w:sz w:val="24"/>
                <w:szCs w:val="24"/>
                <w:lang w:eastAsia="en-US"/>
              </w:rPr>
            </w:pPr>
            <w:r w:rsidRPr="007415AD">
              <w:rPr>
                <w:rFonts w:asciiTheme="minorHAnsi" w:eastAsiaTheme="minorHAnsi" w:hAnsiTheme="minorHAnsi" w:cstheme="minorBidi"/>
                <w:sz w:val="24"/>
                <w:szCs w:val="24"/>
                <w:lang w:eastAsia="en-US"/>
              </w:rPr>
              <w:t>mirovine i druge dr</w:t>
            </w:r>
            <w:r w:rsidR="007415AD" w:rsidRPr="007415AD">
              <w:rPr>
                <w:rFonts w:asciiTheme="minorHAnsi" w:eastAsiaTheme="minorHAnsi" w:hAnsiTheme="minorHAnsi" w:cstheme="minorBidi"/>
                <w:sz w:val="24"/>
                <w:szCs w:val="24"/>
                <w:lang w:eastAsia="en-US"/>
              </w:rPr>
              <w:t>žavne transfere (naknade</w:t>
            </w:r>
            <w:r w:rsidRPr="007415AD">
              <w:rPr>
                <w:rFonts w:asciiTheme="minorHAnsi" w:eastAsiaTheme="minorHAnsi" w:hAnsiTheme="minorHAnsi" w:cstheme="minorBidi"/>
                <w:sz w:val="24"/>
                <w:szCs w:val="24"/>
                <w:lang w:eastAsia="en-US"/>
              </w:rPr>
              <w:t xml:space="preserve"> za nezaposlenost, bolovanje, </w:t>
            </w:r>
            <w:r w:rsidR="007415AD" w:rsidRPr="007415AD">
              <w:rPr>
                <w:rFonts w:asciiTheme="minorHAnsi" w:eastAsiaTheme="minorHAnsi" w:hAnsiTheme="minorHAnsi" w:cstheme="minorBidi"/>
                <w:sz w:val="24"/>
                <w:szCs w:val="24"/>
                <w:lang w:eastAsia="en-US"/>
              </w:rPr>
              <w:t>dječji</w:t>
            </w:r>
            <w:r w:rsidRPr="007415AD">
              <w:rPr>
                <w:rFonts w:asciiTheme="minorHAnsi" w:eastAsiaTheme="minorHAnsi" w:hAnsiTheme="minorHAnsi" w:cstheme="minorBidi"/>
                <w:sz w:val="24"/>
                <w:szCs w:val="24"/>
                <w:lang w:eastAsia="en-US"/>
              </w:rPr>
              <w:t xml:space="preserve"> doplatak, socijaln</w:t>
            </w:r>
            <w:r w:rsidR="007415AD" w:rsidRPr="007415AD">
              <w:rPr>
                <w:rFonts w:asciiTheme="minorHAnsi" w:eastAsiaTheme="minorHAnsi" w:hAnsiTheme="minorHAnsi" w:cstheme="minorBidi"/>
                <w:sz w:val="24"/>
                <w:szCs w:val="24"/>
                <w:lang w:eastAsia="en-US"/>
              </w:rPr>
              <w:t>e</w:t>
            </w:r>
            <w:r w:rsidRPr="007415AD">
              <w:rPr>
                <w:rFonts w:asciiTheme="minorHAnsi" w:eastAsiaTheme="minorHAnsi" w:hAnsiTheme="minorHAnsi" w:cstheme="minorBidi"/>
                <w:sz w:val="24"/>
                <w:szCs w:val="24"/>
                <w:lang w:eastAsia="en-US"/>
              </w:rPr>
              <w:t xml:space="preserve"> </w:t>
            </w:r>
            <w:r w:rsidR="007415AD" w:rsidRPr="007415AD">
              <w:rPr>
                <w:rFonts w:asciiTheme="minorHAnsi" w:eastAsiaTheme="minorHAnsi" w:hAnsiTheme="minorHAnsi" w:cstheme="minorBidi"/>
                <w:sz w:val="24"/>
                <w:szCs w:val="24"/>
                <w:lang w:eastAsia="en-US"/>
              </w:rPr>
              <w:t>pomoći</w:t>
            </w:r>
            <w:r w:rsidRPr="007415AD">
              <w:rPr>
                <w:rFonts w:asciiTheme="minorHAnsi" w:eastAsiaTheme="minorHAnsi" w:hAnsiTheme="minorHAnsi" w:cstheme="minorBidi"/>
                <w:sz w:val="24"/>
                <w:szCs w:val="24"/>
                <w:lang w:eastAsia="en-US"/>
              </w:rPr>
              <w:t>),</w:t>
            </w:r>
          </w:p>
          <w:p w:rsidR="007415AD" w:rsidRPr="007415AD" w:rsidRDefault="00227715" w:rsidP="00E93220">
            <w:pPr>
              <w:pStyle w:val="Odlomakpopisa"/>
              <w:numPr>
                <w:ilvl w:val="0"/>
                <w:numId w:val="3"/>
              </w:numPr>
              <w:spacing w:before="120" w:after="120"/>
              <w:ind w:left="1077"/>
              <w:jc w:val="both"/>
              <w:rPr>
                <w:rFonts w:asciiTheme="minorHAnsi" w:eastAsiaTheme="minorHAnsi" w:hAnsiTheme="minorHAnsi" w:cstheme="minorBidi"/>
                <w:sz w:val="24"/>
                <w:szCs w:val="24"/>
                <w:lang w:eastAsia="en-US"/>
              </w:rPr>
            </w:pPr>
            <w:r w:rsidRPr="007415AD">
              <w:rPr>
                <w:rFonts w:asciiTheme="minorHAnsi" w:eastAsiaTheme="minorHAnsi" w:hAnsiTheme="minorHAnsi" w:cstheme="minorBidi"/>
                <w:sz w:val="24"/>
                <w:szCs w:val="24"/>
                <w:lang w:eastAsia="en-US"/>
              </w:rPr>
              <w:t xml:space="preserve">ostale </w:t>
            </w:r>
            <w:r w:rsidR="007415AD" w:rsidRPr="007415AD">
              <w:rPr>
                <w:rFonts w:asciiTheme="minorHAnsi" w:eastAsiaTheme="minorHAnsi" w:hAnsiTheme="minorHAnsi" w:cstheme="minorBidi"/>
                <w:sz w:val="24"/>
                <w:szCs w:val="24"/>
                <w:lang w:eastAsia="en-US"/>
              </w:rPr>
              <w:t>novčane</w:t>
            </w:r>
            <w:r w:rsidRPr="007415AD">
              <w:rPr>
                <w:rFonts w:asciiTheme="minorHAnsi" w:eastAsiaTheme="minorHAnsi" w:hAnsiTheme="minorHAnsi" w:cstheme="minorBidi"/>
                <w:sz w:val="24"/>
                <w:szCs w:val="24"/>
                <w:lang w:eastAsia="en-US"/>
              </w:rPr>
              <w:t xml:space="preserve"> dohotke (dohotke od imovine</w:t>
            </w:r>
            <w:r w:rsidR="007415AD" w:rsidRPr="007415AD">
              <w:rPr>
                <w:rFonts w:asciiTheme="minorHAnsi" w:eastAsiaTheme="minorHAnsi" w:hAnsiTheme="minorHAnsi" w:cstheme="minorBidi"/>
                <w:sz w:val="24"/>
                <w:szCs w:val="24"/>
                <w:lang w:eastAsia="en-US"/>
              </w:rPr>
              <w:t xml:space="preserve"> i kapitala</w:t>
            </w:r>
            <w:r w:rsidRPr="007415AD">
              <w:rPr>
                <w:rFonts w:asciiTheme="minorHAnsi" w:eastAsiaTheme="minorHAnsi" w:hAnsiTheme="minorHAnsi" w:cstheme="minorBidi"/>
                <w:sz w:val="24"/>
                <w:szCs w:val="24"/>
                <w:lang w:eastAsia="en-US"/>
              </w:rPr>
              <w:t>)</w:t>
            </w:r>
          </w:p>
          <w:p w:rsidR="00227715" w:rsidRPr="007415AD" w:rsidRDefault="007415AD" w:rsidP="00E93220">
            <w:pPr>
              <w:pStyle w:val="Odlomakpopisa"/>
              <w:numPr>
                <w:ilvl w:val="0"/>
                <w:numId w:val="3"/>
              </w:numPr>
              <w:spacing w:before="120" w:after="120"/>
              <w:ind w:left="1077"/>
              <w:jc w:val="both"/>
              <w:rPr>
                <w:sz w:val="24"/>
                <w:szCs w:val="24"/>
              </w:rPr>
            </w:pPr>
            <w:r>
              <w:rPr>
                <w:rFonts w:asciiTheme="minorHAnsi" w:eastAsiaTheme="minorHAnsi" w:hAnsiTheme="minorHAnsi" w:cstheme="minorBidi"/>
                <w:sz w:val="24"/>
                <w:szCs w:val="24"/>
                <w:lang w:eastAsia="en-US"/>
              </w:rPr>
              <w:t xml:space="preserve">te </w:t>
            </w:r>
            <w:r w:rsidR="00227715" w:rsidRPr="007415AD">
              <w:rPr>
                <w:rFonts w:asciiTheme="minorHAnsi" w:eastAsiaTheme="minorHAnsi" w:hAnsiTheme="minorHAnsi" w:cstheme="minorBidi"/>
                <w:sz w:val="24"/>
                <w:szCs w:val="24"/>
                <w:lang w:eastAsia="en-US"/>
              </w:rPr>
              <w:t>dohotke u naturi (</w:t>
            </w:r>
            <w:r w:rsidRPr="007415AD">
              <w:rPr>
                <w:rFonts w:asciiTheme="minorHAnsi" w:eastAsiaTheme="minorHAnsi" w:hAnsiTheme="minorHAnsi" w:cstheme="minorBidi"/>
                <w:sz w:val="24"/>
                <w:szCs w:val="24"/>
                <w:lang w:eastAsia="en-US"/>
              </w:rPr>
              <w:t>plaće</w:t>
            </w:r>
            <w:r w:rsidR="00227715" w:rsidRPr="007415AD">
              <w:rPr>
                <w:rFonts w:asciiTheme="minorHAnsi" w:eastAsiaTheme="minorHAnsi" w:hAnsiTheme="minorHAnsi" w:cstheme="minorBidi"/>
                <w:sz w:val="24"/>
                <w:szCs w:val="24"/>
                <w:lang w:eastAsia="en-US"/>
              </w:rPr>
              <w:t xml:space="preserve"> u naturi, vrijednost utrošenih proizvoda s vlastitog imanja, </w:t>
            </w:r>
            <w:r w:rsidRPr="007415AD">
              <w:rPr>
                <w:rFonts w:asciiTheme="minorHAnsi" w:eastAsiaTheme="minorHAnsi" w:hAnsiTheme="minorHAnsi" w:cstheme="minorBidi"/>
                <w:sz w:val="24"/>
                <w:szCs w:val="24"/>
                <w:lang w:eastAsia="en-US"/>
              </w:rPr>
              <w:t>okućnice</w:t>
            </w:r>
            <w:r w:rsidR="00227715" w:rsidRPr="007415AD">
              <w:rPr>
                <w:rFonts w:asciiTheme="minorHAnsi" w:eastAsiaTheme="minorHAnsi" w:hAnsiTheme="minorHAnsi" w:cstheme="minorBidi"/>
                <w:sz w:val="24"/>
                <w:szCs w:val="24"/>
                <w:lang w:eastAsia="en-US"/>
              </w:rPr>
              <w:t xml:space="preserve"> ili od obrta).</w:t>
            </w:r>
          </w:p>
        </w:tc>
      </w:tr>
    </w:tbl>
    <w:p w:rsidR="009E23F9" w:rsidRPr="00620F70" w:rsidRDefault="003239CD" w:rsidP="00DC261B">
      <w:pPr>
        <w:spacing w:before="240"/>
        <w:jc w:val="both"/>
        <w:rPr>
          <w:sz w:val="24"/>
          <w:szCs w:val="24"/>
        </w:rPr>
      </w:pPr>
      <w:r w:rsidRPr="00CA6170">
        <w:rPr>
          <w:color w:val="C00000"/>
          <w:sz w:val="24"/>
          <w:szCs w:val="24"/>
        </w:rPr>
        <w:lastRenderedPageBreak/>
        <w:t xml:space="preserve">Koliki dio dohotka će kućanstvo trošiti, a koliki štedjeti primarno ovisi o razini dohotka </w:t>
      </w:r>
      <w:r>
        <w:rPr>
          <w:sz w:val="24"/>
          <w:szCs w:val="24"/>
        </w:rPr>
        <w:t xml:space="preserve">- jer su relativne mogućnosti izdvajanja rezervi štednje znatno manje ili uopće ne postoje kod nižih dohodovnih razreda, dok su mogućnosti štednje daleko veće kod visokih dohodovnih razreda. </w:t>
      </w:r>
      <w:r w:rsidR="00DC261B">
        <w:rPr>
          <w:sz w:val="24"/>
          <w:szCs w:val="24"/>
        </w:rPr>
        <w:t xml:space="preserve">Djelomično o tome govori slika </w:t>
      </w:r>
      <w:r w:rsidR="00D7054B">
        <w:rPr>
          <w:sz w:val="24"/>
          <w:szCs w:val="24"/>
        </w:rPr>
        <w:t>6</w:t>
      </w:r>
      <w:r w:rsidR="00DC261B">
        <w:rPr>
          <w:sz w:val="24"/>
          <w:szCs w:val="24"/>
        </w:rPr>
        <w:t xml:space="preserve"> na kojoj su prikazani podaci iz </w:t>
      </w:r>
      <w:r w:rsidR="00DC261B" w:rsidRPr="00100BC8">
        <w:rPr>
          <w:i/>
          <w:sz w:val="24"/>
          <w:szCs w:val="24"/>
        </w:rPr>
        <w:t>Rezultata Ankete o potrošnji kućanstva u 2011.</w:t>
      </w:r>
      <w:r w:rsidR="00DC261B">
        <w:rPr>
          <w:sz w:val="24"/>
          <w:szCs w:val="24"/>
        </w:rPr>
        <w:t xml:space="preserve"> za potrebe koje su anketiran</w:t>
      </w:r>
      <w:r w:rsidR="008940B2">
        <w:rPr>
          <w:sz w:val="24"/>
          <w:szCs w:val="24"/>
        </w:rPr>
        <w:t>a</w:t>
      </w:r>
      <w:r w:rsidR="00DC261B">
        <w:rPr>
          <w:sz w:val="24"/>
          <w:szCs w:val="24"/>
        </w:rPr>
        <w:t xml:space="preserve"> kućanstva podijeljena na deset jednakih razreda</w:t>
      </w:r>
      <w:r w:rsidR="00452A47">
        <w:rPr>
          <w:sz w:val="24"/>
          <w:szCs w:val="24"/>
        </w:rPr>
        <w:t xml:space="preserve"> te u njih razvrstana s obzirom na rastuću skalu godišnjeg raspoloživog dohotka</w:t>
      </w:r>
      <w:r w:rsidR="00B61450">
        <w:rPr>
          <w:sz w:val="24"/>
          <w:szCs w:val="24"/>
        </w:rPr>
        <w:t>. Z</w:t>
      </w:r>
      <w:r w:rsidR="00DC261B">
        <w:rPr>
          <w:sz w:val="24"/>
          <w:szCs w:val="24"/>
        </w:rPr>
        <w:t xml:space="preserve">a svaki </w:t>
      </w:r>
      <w:r w:rsidR="00DC261B" w:rsidRPr="00CA6170">
        <w:rPr>
          <w:color w:val="C00000"/>
          <w:sz w:val="24"/>
          <w:szCs w:val="24"/>
        </w:rPr>
        <w:t xml:space="preserve">decil </w:t>
      </w:r>
      <w:r w:rsidR="00DC261B">
        <w:rPr>
          <w:sz w:val="24"/>
          <w:szCs w:val="24"/>
        </w:rPr>
        <w:t xml:space="preserve">su prikazani podaci o prosječnom godišnjem neto-dohotku po kućanstvu </w:t>
      </w:r>
      <w:r w:rsidR="00B61450">
        <w:rPr>
          <w:sz w:val="24"/>
          <w:szCs w:val="24"/>
        </w:rPr>
        <w:t>u usporedbi s</w:t>
      </w:r>
      <w:r w:rsidR="00DC261B">
        <w:rPr>
          <w:sz w:val="24"/>
          <w:szCs w:val="24"/>
        </w:rPr>
        <w:t xml:space="preserve"> prosječnim godišnjim izdacima za potrošnju po kućanstvu u </w:t>
      </w:r>
      <w:r w:rsidR="00B61450">
        <w:rPr>
          <w:sz w:val="24"/>
          <w:szCs w:val="24"/>
        </w:rPr>
        <w:t xml:space="preserve">istom </w:t>
      </w:r>
      <w:r w:rsidR="00DC261B">
        <w:rPr>
          <w:sz w:val="24"/>
          <w:szCs w:val="24"/>
        </w:rPr>
        <w:t>decil</w:t>
      </w:r>
      <w:r w:rsidR="007F4D7C">
        <w:rPr>
          <w:sz w:val="24"/>
          <w:szCs w:val="24"/>
        </w:rPr>
        <w:t>u</w:t>
      </w:r>
      <w:r w:rsidR="00937419">
        <w:rPr>
          <w:sz w:val="24"/>
          <w:szCs w:val="24"/>
        </w:rPr>
        <w:t>. P</w:t>
      </w:r>
      <w:r w:rsidR="00452A47">
        <w:rPr>
          <w:sz w:val="24"/>
          <w:szCs w:val="24"/>
        </w:rPr>
        <w:t xml:space="preserve">ri tome potrošnja uključuje </w:t>
      </w:r>
      <w:r w:rsidR="00452A47" w:rsidRPr="009E23F9">
        <w:rPr>
          <w:sz w:val="24"/>
          <w:szCs w:val="24"/>
        </w:rPr>
        <w:t>novčanu i naturalnu potrošnju proizvoda i usluga koji služe podmirivanju životnih potreba članova toga kućanstva</w:t>
      </w:r>
      <w:r w:rsidR="009E23F9" w:rsidRPr="009E23F9">
        <w:rPr>
          <w:sz w:val="24"/>
          <w:szCs w:val="24"/>
        </w:rPr>
        <w:t xml:space="preserve">, dok u izdatke </w:t>
      </w:r>
      <w:r w:rsidR="003C5233">
        <w:rPr>
          <w:sz w:val="24"/>
          <w:szCs w:val="24"/>
        </w:rPr>
        <w:t>za</w:t>
      </w:r>
      <w:r w:rsidR="009E23F9" w:rsidRPr="009E23F9">
        <w:rPr>
          <w:sz w:val="24"/>
          <w:szCs w:val="24"/>
        </w:rPr>
        <w:t xml:space="preserve"> stanovanj</w:t>
      </w:r>
      <w:r w:rsidR="003C5233">
        <w:rPr>
          <w:sz w:val="24"/>
          <w:szCs w:val="24"/>
        </w:rPr>
        <w:t>e</w:t>
      </w:r>
      <w:r w:rsidR="009E23F9" w:rsidRPr="009E23F9">
        <w:rPr>
          <w:sz w:val="24"/>
          <w:szCs w:val="24"/>
        </w:rPr>
        <w:t xml:space="preserve"> i potrošnj</w:t>
      </w:r>
      <w:r w:rsidR="003C5233">
        <w:rPr>
          <w:sz w:val="24"/>
          <w:szCs w:val="24"/>
        </w:rPr>
        <w:t>u</w:t>
      </w:r>
      <w:r w:rsidR="009E23F9" w:rsidRPr="009E23F9">
        <w:rPr>
          <w:sz w:val="24"/>
          <w:szCs w:val="24"/>
        </w:rPr>
        <w:t xml:space="preserve"> energenata nije uključena imputirana najamnina. </w:t>
      </w:r>
      <w:r w:rsidR="00A52520">
        <w:rPr>
          <w:sz w:val="24"/>
          <w:szCs w:val="24"/>
        </w:rPr>
        <w:t>Načelno govoreći</w:t>
      </w:r>
      <w:r w:rsidR="00937419">
        <w:rPr>
          <w:sz w:val="24"/>
          <w:szCs w:val="24"/>
        </w:rPr>
        <w:t>,</w:t>
      </w:r>
      <w:r w:rsidR="00A52520">
        <w:rPr>
          <w:sz w:val="24"/>
          <w:szCs w:val="24"/>
        </w:rPr>
        <w:t xml:space="preserve"> r</w:t>
      </w:r>
      <w:r w:rsidR="00DC261B">
        <w:rPr>
          <w:sz w:val="24"/>
          <w:szCs w:val="24"/>
        </w:rPr>
        <w:t xml:space="preserve">azlika </w:t>
      </w:r>
      <w:r w:rsidR="00937419">
        <w:rPr>
          <w:sz w:val="24"/>
          <w:szCs w:val="24"/>
        </w:rPr>
        <w:t xml:space="preserve">raspoloživog dohotka i izdataka za potrošnju </w:t>
      </w:r>
      <w:r w:rsidR="00DC261B">
        <w:rPr>
          <w:sz w:val="24"/>
          <w:szCs w:val="24"/>
        </w:rPr>
        <w:t xml:space="preserve">čini </w:t>
      </w:r>
      <w:r w:rsidR="009E23F9" w:rsidRPr="00620F70">
        <w:rPr>
          <w:sz w:val="24"/>
          <w:szCs w:val="24"/>
        </w:rPr>
        <w:t xml:space="preserve">mogućnost formiranja </w:t>
      </w:r>
      <w:r w:rsidR="00A52520">
        <w:rPr>
          <w:sz w:val="24"/>
          <w:szCs w:val="24"/>
        </w:rPr>
        <w:t xml:space="preserve">rezervi </w:t>
      </w:r>
      <w:r w:rsidR="009E23F9" w:rsidRPr="00620F70">
        <w:rPr>
          <w:sz w:val="24"/>
          <w:szCs w:val="24"/>
        </w:rPr>
        <w:t>novčane štednje</w:t>
      </w:r>
      <w:r w:rsidR="007F4D7C" w:rsidRPr="00620F70">
        <w:rPr>
          <w:sz w:val="24"/>
          <w:szCs w:val="24"/>
        </w:rPr>
        <w:t xml:space="preserve"> u pripadajućem dohodovnom</w:t>
      </w:r>
      <w:r w:rsidR="00B61450" w:rsidRPr="00620F70">
        <w:rPr>
          <w:sz w:val="24"/>
          <w:szCs w:val="24"/>
        </w:rPr>
        <w:t xml:space="preserve"> </w:t>
      </w:r>
      <w:r w:rsidR="007F4D7C" w:rsidRPr="00620F70">
        <w:rPr>
          <w:sz w:val="24"/>
          <w:szCs w:val="24"/>
        </w:rPr>
        <w:t>decilu</w:t>
      </w:r>
      <w:r w:rsidR="00DC261B" w:rsidRPr="00620F70">
        <w:rPr>
          <w:sz w:val="24"/>
          <w:szCs w:val="24"/>
        </w:rPr>
        <w:t xml:space="preserve">. </w:t>
      </w:r>
    </w:p>
    <w:p w:rsidR="007B72D9" w:rsidRPr="000E2610" w:rsidRDefault="007B72D9" w:rsidP="007B72D9">
      <w:pPr>
        <w:rPr>
          <w:b/>
          <w:sz w:val="24"/>
          <w:szCs w:val="24"/>
        </w:rPr>
      </w:pPr>
      <w:r w:rsidRPr="000E2610">
        <w:rPr>
          <w:b/>
          <w:sz w:val="24"/>
          <w:szCs w:val="24"/>
        </w:rPr>
        <w:t xml:space="preserve">Slika </w:t>
      </w:r>
      <w:r w:rsidR="00D7054B">
        <w:rPr>
          <w:b/>
          <w:sz w:val="24"/>
          <w:szCs w:val="24"/>
        </w:rPr>
        <w:t>6</w:t>
      </w:r>
      <w:r w:rsidRPr="000E2610">
        <w:rPr>
          <w:b/>
          <w:sz w:val="24"/>
          <w:szCs w:val="24"/>
        </w:rPr>
        <w:t>.: Raspodjela godišnjeg dohotka kućanstva na potrošnju i štednju</w:t>
      </w:r>
      <w:r w:rsidR="000D7498" w:rsidRPr="000D7498">
        <w:rPr>
          <w:sz w:val="24"/>
          <w:szCs w:val="24"/>
        </w:rPr>
        <w:t>*</w:t>
      </w:r>
    </w:p>
    <w:p w:rsidR="007B72D9" w:rsidRPr="00A11BEB" w:rsidRDefault="007B72D9" w:rsidP="007E2C41">
      <w:pPr>
        <w:spacing w:after="0" w:line="240" w:lineRule="auto"/>
      </w:pPr>
      <w:r>
        <w:rPr>
          <w:noProof/>
          <w:lang w:eastAsia="hr-HR"/>
        </w:rPr>
        <w:drawing>
          <wp:inline distT="0" distB="0" distL="0" distR="0" wp14:anchorId="0F6EBA30" wp14:editId="25E97737">
            <wp:extent cx="5699808" cy="315277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0756" cy="3158831"/>
                    </a:xfrm>
                    <a:prstGeom prst="rect">
                      <a:avLst/>
                    </a:prstGeom>
                    <a:noFill/>
                    <a:ln>
                      <a:noFill/>
                    </a:ln>
                  </pic:spPr>
                </pic:pic>
              </a:graphicData>
            </a:graphic>
          </wp:inline>
        </w:drawing>
      </w:r>
    </w:p>
    <w:p w:rsidR="007B72D9" w:rsidRDefault="007B72D9" w:rsidP="007E2C41">
      <w:pPr>
        <w:spacing w:after="0" w:line="240" w:lineRule="auto"/>
        <w:rPr>
          <w:sz w:val="20"/>
          <w:szCs w:val="20"/>
        </w:rPr>
      </w:pPr>
      <w:r>
        <w:rPr>
          <w:sz w:val="20"/>
          <w:szCs w:val="20"/>
        </w:rPr>
        <w:t>* Ukupna anketirana kućanstva podijeljena su u deset decil</w:t>
      </w:r>
      <w:r w:rsidR="000D7498">
        <w:rPr>
          <w:sz w:val="20"/>
          <w:szCs w:val="20"/>
        </w:rPr>
        <w:t>nih</w:t>
      </w:r>
      <w:r w:rsidR="00605ECD">
        <w:rPr>
          <w:sz w:val="20"/>
          <w:szCs w:val="20"/>
        </w:rPr>
        <w:t xml:space="preserve"> razreda</w:t>
      </w:r>
      <w:r>
        <w:rPr>
          <w:sz w:val="20"/>
          <w:szCs w:val="20"/>
        </w:rPr>
        <w:t>.</w:t>
      </w:r>
      <w:r w:rsidR="00B61450">
        <w:rPr>
          <w:sz w:val="20"/>
          <w:szCs w:val="20"/>
        </w:rPr>
        <w:t xml:space="preserve">, </w:t>
      </w:r>
      <w:r w:rsidR="00B61450" w:rsidRPr="00B61450">
        <w:rPr>
          <w:sz w:val="20"/>
          <w:szCs w:val="20"/>
        </w:rPr>
        <w:t>pri čemu prvi decil obuhvaća kućanstva s najnižim godišnjim neto dohotkom, a deseti decil kućanstva s najvišim godišnjim neto dohotkom.</w:t>
      </w:r>
    </w:p>
    <w:p w:rsidR="007A3151" w:rsidRDefault="007A3151" w:rsidP="007E2C41">
      <w:pPr>
        <w:spacing w:after="0" w:line="240" w:lineRule="auto"/>
        <w:rPr>
          <w:sz w:val="20"/>
          <w:szCs w:val="20"/>
        </w:rPr>
      </w:pPr>
      <w:r>
        <w:rPr>
          <w:sz w:val="20"/>
          <w:szCs w:val="20"/>
        </w:rPr>
        <w:t xml:space="preserve">** </w:t>
      </w:r>
      <w:r w:rsidR="005C7202">
        <w:rPr>
          <w:sz w:val="20"/>
          <w:szCs w:val="20"/>
        </w:rPr>
        <w:t xml:space="preserve">Dohodak od imovine i </w:t>
      </w:r>
      <w:r>
        <w:rPr>
          <w:sz w:val="20"/>
          <w:szCs w:val="20"/>
        </w:rPr>
        <w:t xml:space="preserve">izdaci </w:t>
      </w:r>
      <w:r w:rsidR="005C7202">
        <w:rPr>
          <w:sz w:val="20"/>
          <w:szCs w:val="20"/>
        </w:rPr>
        <w:t xml:space="preserve">potrošnje </w:t>
      </w:r>
      <w:r>
        <w:rPr>
          <w:sz w:val="20"/>
          <w:szCs w:val="20"/>
        </w:rPr>
        <w:t xml:space="preserve">za stanovanje </w:t>
      </w:r>
      <w:r w:rsidR="003C5233">
        <w:rPr>
          <w:sz w:val="20"/>
          <w:szCs w:val="20"/>
        </w:rPr>
        <w:t xml:space="preserve">ne uključuju </w:t>
      </w:r>
      <w:r w:rsidR="003C5233" w:rsidRPr="005D165D">
        <w:rPr>
          <w:color w:val="C00000"/>
          <w:sz w:val="20"/>
          <w:szCs w:val="20"/>
        </w:rPr>
        <w:t xml:space="preserve">imputiranu najamninu </w:t>
      </w:r>
      <w:r w:rsidR="003C5233">
        <w:rPr>
          <w:sz w:val="20"/>
          <w:szCs w:val="20"/>
        </w:rPr>
        <w:t>(</w:t>
      </w:r>
      <w:r w:rsidR="005D165D">
        <w:rPr>
          <w:sz w:val="20"/>
          <w:szCs w:val="20"/>
        </w:rPr>
        <w:t xml:space="preserve">što označava </w:t>
      </w:r>
      <w:r w:rsidR="003C5233" w:rsidRPr="003C5233">
        <w:rPr>
          <w:sz w:val="20"/>
          <w:szCs w:val="20"/>
        </w:rPr>
        <w:t>pretpostavljeni iznos naknade za najam stana koju bi kućanstvo koje stanuje u vlastitom stanu platilo kada bi isti takav stan trebalo unajmiti za potrebe svoga kućanstva)</w:t>
      </w:r>
      <w:r w:rsidR="005C7202">
        <w:rPr>
          <w:sz w:val="20"/>
          <w:szCs w:val="20"/>
        </w:rPr>
        <w:t xml:space="preserve">. </w:t>
      </w:r>
    </w:p>
    <w:p w:rsidR="007B72D9" w:rsidRDefault="007B72D9" w:rsidP="007E2C41">
      <w:pPr>
        <w:spacing w:after="0" w:line="240" w:lineRule="auto"/>
        <w:rPr>
          <w:sz w:val="20"/>
          <w:szCs w:val="20"/>
        </w:rPr>
      </w:pPr>
      <w:r w:rsidRPr="0081311A">
        <w:rPr>
          <w:sz w:val="20"/>
          <w:szCs w:val="20"/>
        </w:rPr>
        <w:t>Izvor</w:t>
      </w:r>
      <w:r w:rsidR="00AD735A">
        <w:rPr>
          <w:sz w:val="20"/>
          <w:szCs w:val="20"/>
        </w:rPr>
        <w:t xml:space="preserve"> podataka</w:t>
      </w:r>
      <w:r w:rsidRPr="0081311A">
        <w:rPr>
          <w:sz w:val="20"/>
          <w:szCs w:val="20"/>
        </w:rPr>
        <w:t>: DZS</w:t>
      </w:r>
      <w:r w:rsidR="00D33C8D">
        <w:rPr>
          <w:sz w:val="20"/>
          <w:szCs w:val="20"/>
        </w:rPr>
        <w:t xml:space="preserve"> (2013): </w:t>
      </w:r>
      <w:r>
        <w:rPr>
          <w:sz w:val="20"/>
          <w:szCs w:val="20"/>
        </w:rPr>
        <w:t>„</w:t>
      </w:r>
      <w:r w:rsidRPr="0081311A">
        <w:rPr>
          <w:sz w:val="20"/>
          <w:szCs w:val="20"/>
        </w:rPr>
        <w:t xml:space="preserve">Rezultati Ankete o </w:t>
      </w:r>
      <w:r>
        <w:rPr>
          <w:sz w:val="20"/>
          <w:szCs w:val="20"/>
        </w:rPr>
        <w:t>potrošnji kućanstva u 20</w:t>
      </w:r>
      <w:r w:rsidR="00837D5D">
        <w:rPr>
          <w:sz w:val="20"/>
          <w:szCs w:val="20"/>
        </w:rPr>
        <w:t>1</w:t>
      </w:r>
      <w:r>
        <w:rPr>
          <w:sz w:val="20"/>
          <w:szCs w:val="20"/>
        </w:rPr>
        <w:t>1.“,</w:t>
      </w:r>
      <w:r w:rsidR="007415AD">
        <w:rPr>
          <w:sz w:val="20"/>
          <w:szCs w:val="20"/>
        </w:rPr>
        <w:t>, dostupno na:</w:t>
      </w:r>
    </w:p>
    <w:p w:rsidR="007415AD" w:rsidRDefault="007415AD" w:rsidP="007E2C41">
      <w:pPr>
        <w:spacing w:after="0" w:line="240" w:lineRule="auto"/>
        <w:rPr>
          <w:sz w:val="20"/>
          <w:szCs w:val="20"/>
        </w:rPr>
      </w:pPr>
      <w:r w:rsidRPr="007415AD">
        <w:rPr>
          <w:sz w:val="20"/>
          <w:szCs w:val="20"/>
        </w:rPr>
        <w:t>http://www.dzs.hr/Hrv_Eng/publication/2012/SI-1484.pdf</w:t>
      </w:r>
    </w:p>
    <w:p w:rsidR="002D687F" w:rsidRDefault="002D687F" w:rsidP="00D418C2">
      <w:pPr>
        <w:spacing w:after="0" w:line="240" w:lineRule="auto"/>
        <w:rPr>
          <w:sz w:val="20"/>
          <w:szCs w:val="20"/>
        </w:rPr>
      </w:pPr>
    </w:p>
    <w:p w:rsidR="00937419" w:rsidRDefault="00620F70" w:rsidP="00620F70">
      <w:pPr>
        <w:jc w:val="both"/>
        <w:rPr>
          <w:sz w:val="24"/>
          <w:szCs w:val="24"/>
        </w:rPr>
      </w:pPr>
      <w:r>
        <w:rPr>
          <w:sz w:val="24"/>
          <w:szCs w:val="24"/>
        </w:rPr>
        <w:t xml:space="preserve">Kućanstva obuhvaćena prvim do petim dohodovnim decilom u prosjeku troše više nego što iznose njihovi tekući raspoloživi (neto) dohoci te </w:t>
      </w:r>
      <w:r w:rsidR="00A52520">
        <w:rPr>
          <w:sz w:val="24"/>
          <w:szCs w:val="24"/>
        </w:rPr>
        <w:t>bi se mogao izvesti zaključak da</w:t>
      </w:r>
      <w:r>
        <w:rPr>
          <w:sz w:val="24"/>
          <w:szCs w:val="24"/>
        </w:rPr>
        <w:t xml:space="preserve"> nemaju mogućnost formiranja rezervi štednje</w:t>
      </w:r>
      <w:r w:rsidR="00A52520">
        <w:rPr>
          <w:sz w:val="24"/>
          <w:szCs w:val="24"/>
        </w:rPr>
        <w:t>. S obzirom da bilježe potrošnju veću od tekućeg raspoloživog dohotka</w:t>
      </w:r>
      <w:r>
        <w:rPr>
          <w:sz w:val="24"/>
          <w:szCs w:val="24"/>
        </w:rPr>
        <w:t xml:space="preserve">, moguće </w:t>
      </w:r>
      <w:r w:rsidR="00A52520">
        <w:rPr>
          <w:sz w:val="24"/>
          <w:szCs w:val="24"/>
        </w:rPr>
        <w:t xml:space="preserve">je </w:t>
      </w:r>
      <w:r>
        <w:rPr>
          <w:sz w:val="24"/>
          <w:szCs w:val="24"/>
        </w:rPr>
        <w:t xml:space="preserve">da potrošnju </w:t>
      </w:r>
      <w:r w:rsidR="00A52520">
        <w:rPr>
          <w:sz w:val="24"/>
          <w:szCs w:val="24"/>
        </w:rPr>
        <w:t xml:space="preserve">dijelom </w:t>
      </w:r>
      <w:r>
        <w:rPr>
          <w:sz w:val="24"/>
          <w:szCs w:val="24"/>
        </w:rPr>
        <w:t xml:space="preserve">financiraju iz ranije kumulirane </w:t>
      </w:r>
      <w:r>
        <w:rPr>
          <w:sz w:val="24"/>
          <w:szCs w:val="24"/>
        </w:rPr>
        <w:lastRenderedPageBreak/>
        <w:t xml:space="preserve">štednje, zaduživanjem, iz prihoda ostvarenih prodajom imovine, kao i da </w:t>
      </w:r>
      <w:r w:rsidR="00A52520">
        <w:rPr>
          <w:sz w:val="24"/>
          <w:szCs w:val="24"/>
        </w:rPr>
        <w:t>(</w:t>
      </w:r>
      <w:r w:rsidR="00100BC8">
        <w:rPr>
          <w:sz w:val="24"/>
          <w:szCs w:val="24"/>
        </w:rPr>
        <w:t>manji ili veći</w:t>
      </w:r>
      <w:r w:rsidR="00A52520">
        <w:rPr>
          <w:sz w:val="24"/>
          <w:szCs w:val="24"/>
        </w:rPr>
        <w:t xml:space="preserve">) </w:t>
      </w:r>
      <w:r>
        <w:rPr>
          <w:sz w:val="24"/>
          <w:szCs w:val="24"/>
        </w:rPr>
        <w:t xml:space="preserve">dio njihove potrošnje čini naturalna potrošnja dobara proizvedenih u vlastitom domaćinstvu. </w:t>
      </w:r>
    </w:p>
    <w:p w:rsidR="00162E29" w:rsidRDefault="00A52520" w:rsidP="00620F70">
      <w:pPr>
        <w:jc w:val="both"/>
        <w:rPr>
          <w:sz w:val="24"/>
          <w:szCs w:val="24"/>
        </w:rPr>
      </w:pPr>
      <w:r>
        <w:rPr>
          <w:sz w:val="24"/>
          <w:szCs w:val="24"/>
        </w:rPr>
        <w:t xml:space="preserve">Upravo ovo posljednje otežava analizu njihovih stvarnih mogućnosti formiranja štednje (i to kako novčane štednje tako i štednje u različitim drugim oblicima </w:t>
      </w:r>
      <w:r w:rsidR="00162E29">
        <w:rPr>
          <w:sz w:val="24"/>
          <w:szCs w:val="24"/>
        </w:rPr>
        <w:t xml:space="preserve">npr. realne imovine). Stoga je </w:t>
      </w:r>
      <w:r w:rsidR="00AE6381">
        <w:rPr>
          <w:sz w:val="24"/>
          <w:szCs w:val="24"/>
        </w:rPr>
        <w:t xml:space="preserve">moguće da </w:t>
      </w:r>
      <w:r>
        <w:rPr>
          <w:sz w:val="24"/>
          <w:szCs w:val="24"/>
        </w:rPr>
        <w:t xml:space="preserve">dio kućanstva između prvog i sedmog dohodovnog decila </w:t>
      </w:r>
      <w:r w:rsidR="00AE6381">
        <w:rPr>
          <w:sz w:val="24"/>
          <w:szCs w:val="24"/>
        </w:rPr>
        <w:t xml:space="preserve">ipak </w:t>
      </w:r>
      <w:r>
        <w:rPr>
          <w:sz w:val="24"/>
          <w:szCs w:val="24"/>
        </w:rPr>
        <w:t xml:space="preserve">štedi iako to slika </w:t>
      </w:r>
      <w:r w:rsidR="00D7054B">
        <w:rPr>
          <w:sz w:val="24"/>
          <w:szCs w:val="24"/>
        </w:rPr>
        <w:t xml:space="preserve">6 </w:t>
      </w:r>
      <w:r>
        <w:rPr>
          <w:sz w:val="24"/>
          <w:szCs w:val="24"/>
        </w:rPr>
        <w:t xml:space="preserve">ne pokazuje. Tim više što </w:t>
      </w:r>
      <w:r w:rsidRPr="00937419">
        <w:rPr>
          <w:color w:val="C00000"/>
          <w:sz w:val="24"/>
          <w:szCs w:val="24"/>
        </w:rPr>
        <w:t>svi moraju (barem povremeno) štedjeti radi financiranja određenih budućih očekivanih ali i neočekivanih izdataka</w:t>
      </w:r>
      <w:r>
        <w:rPr>
          <w:sz w:val="24"/>
          <w:szCs w:val="24"/>
        </w:rPr>
        <w:t xml:space="preserve">. Dodatno podaci se odnose na godišnje dohotke i izdatke, što </w:t>
      </w:r>
      <w:r w:rsidR="00AE6381">
        <w:rPr>
          <w:sz w:val="24"/>
          <w:szCs w:val="24"/>
        </w:rPr>
        <w:t xml:space="preserve">ne isključuje </w:t>
      </w:r>
      <w:r w:rsidRPr="00937419">
        <w:rPr>
          <w:color w:val="000000" w:themeColor="text1"/>
          <w:sz w:val="24"/>
          <w:szCs w:val="24"/>
        </w:rPr>
        <w:t xml:space="preserve">mogućnost štednje </w:t>
      </w:r>
      <w:r w:rsidR="00AE6381">
        <w:rPr>
          <w:color w:val="000000" w:themeColor="text1"/>
          <w:sz w:val="24"/>
          <w:szCs w:val="24"/>
        </w:rPr>
        <w:t xml:space="preserve">kućanstva </w:t>
      </w:r>
      <w:r w:rsidRPr="00937419">
        <w:rPr>
          <w:color w:val="000000" w:themeColor="text1"/>
          <w:sz w:val="24"/>
          <w:szCs w:val="24"/>
        </w:rPr>
        <w:t>unutar godine</w:t>
      </w:r>
      <w:r>
        <w:rPr>
          <w:sz w:val="24"/>
          <w:szCs w:val="24"/>
        </w:rPr>
        <w:t xml:space="preserve">, npr. tijekom ljetnih mjeseci radi lakšeg financiranja izdataka za grijanje tijekom zime, ili nabavku školskih knjiga u jesen, ili financiranje sjetve </w:t>
      </w:r>
      <w:r w:rsidR="00937419">
        <w:rPr>
          <w:sz w:val="24"/>
          <w:szCs w:val="24"/>
        </w:rPr>
        <w:t xml:space="preserve">u proljeće itd. </w:t>
      </w:r>
    </w:p>
    <w:p w:rsidR="005D165D" w:rsidRDefault="00937419" w:rsidP="005D165D">
      <w:pPr>
        <w:jc w:val="both"/>
        <w:rPr>
          <w:sz w:val="24"/>
          <w:szCs w:val="24"/>
        </w:rPr>
      </w:pPr>
      <w:r>
        <w:rPr>
          <w:sz w:val="24"/>
          <w:szCs w:val="24"/>
        </w:rPr>
        <w:t>S druge strane, prave m</w:t>
      </w:r>
      <w:r w:rsidR="00620F70">
        <w:rPr>
          <w:sz w:val="24"/>
          <w:szCs w:val="24"/>
        </w:rPr>
        <w:t>ogućnosti kumuliranja rezervi štednje postoje tek u osmom, devetom i desetom decilnom razredu sa znatno većim raspoloživim dohotkom</w:t>
      </w:r>
      <w:r>
        <w:rPr>
          <w:sz w:val="24"/>
          <w:szCs w:val="24"/>
        </w:rPr>
        <w:t>, dok nije isključeno da za dio kućanstva i ovi podaci uključuju potrošnju proizvoda vlastitog domaćinstva</w:t>
      </w:r>
      <w:r w:rsidR="00620F70">
        <w:rPr>
          <w:sz w:val="24"/>
          <w:szCs w:val="24"/>
        </w:rPr>
        <w:t>.</w:t>
      </w:r>
      <w:r w:rsidR="005D165D">
        <w:rPr>
          <w:sz w:val="24"/>
          <w:szCs w:val="24"/>
        </w:rPr>
        <w:t xml:space="preserve"> Nadalje, osim izdvajanja štednje koja će se poput rezervi oročavati u banci, ulagati u investicijske fondove, dionice i druge oblike financijske ili realne imovine (investirati), dio raspoloživog dohotka kućanstva koristi se za otplatu stambenih i drugih kredita, a što praktično gledajući predstavlja tzv. </w:t>
      </w:r>
      <w:r w:rsidR="005D165D" w:rsidRPr="005D165D">
        <w:rPr>
          <w:color w:val="C00000"/>
          <w:sz w:val="24"/>
          <w:szCs w:val="24"/>
        </w:rPr>
        <w:t>prisilnu štednju</w:t>
      </w:r>
      <w:r w:rsidR="005D165D">
        <w:rPr>
          <w:sz w:val="24"/>
          <w:szCs w:val="24"/>
        </w:rPr>
        <w:t>.</w:t>
      </w:r>
    </w:p>
    <w:tbl>
      <w:tblPr>
        <w:tblStyle w:val="Reetkatablice"/>
        <w:tblW w:w="0" w:type="auto"/>
        <w:tblInd w:w="108" w:type="dxa"/>
        <w:tblLook w:val="04A0" w:firstRow="1" w:lastRow="0" w:firstColumn="1" w:lastColumn="0" w:noHBand="0" w:noVBand="1"/>
      </w:tblPr>
      <w:tblGrid>
        <w:gridCol w:w="9072"/>
      </w:tblGrid>
      <w:tr w:rsidR="005D165D" w:rsidTr="00787098">
        <w:tc>
          <w:tcPr>
            <w:tcW w:w="9072" w:type="dxa"/>
            <w:shd w:val="clear" w:color="auto" w:fill="F2F2F2" w:themeFill="background1" w:themeFillShade="F2"/>
          </w:tcPr>
          <w:p w:rsidR="005D165D" w:rsidRDefault="005D165D" w:rsidP="00100BC8">
            <w:pPr>
              <w:spacing w:before="120" w:after="120" w:line="276" w:lineRule="auto"/>
              <w:jc w:val="both"/>
              <w:rPr>
                <w:sz w:val="24"/>
                <w:szCs w:val="24"/>
              </w:rPr>
            </w:pPr>
            <w:r w:rsidRPr="00716138">
              <w:rPr>
                <w:rFonts w:asciiTheme="minorHAnsi" w:eastAsiaTheme="minorHAnsi" w:hAnsiTheme="minorHAnsi" w:cstheme="minorBidi"/>
                <w:sz w:val="24"/>
                <w:szCs w:val="24"/>
                <w:lang w:eastAsia="en-US"/>
              </w:rPr>
              <w:t xml:space="preserve">Riječ </w:t>
            </w:r>
            <w:r w:rsidRPr="00620F70">
              <w:rPr>
                <w:rFonts w:asciiTheme="minorHAnsi" w:eastAsiaTheme="minorHAnsi" w:hAnsiTheme="minorHAnsi" w:cstheme="minorBidi"/>
                <w:color w:val="C00000"/>
                <w:sz w:val="24"/>
                <w:szCs w:val="24"/>
                <w:lang w:eastAsia="en-US"/>
              </w:rPr>
              <w:t>štednja</w:t>
            </w:r>
            <w:r w:rsidRPr="00716138">
              <w:rPr>
                <w:rFonts w:asciiTheme="minorHAnsi" w:eastAsiaTheme="minorHAnsi" w:hAnsiTheme="minorHAnsi" w:cstheme="minorBidi"/>
                <w:sz w:val="24"/>
                <w:szCs w:val="24"/>
                <w:lang w:eastAsia="en-US"/>
              </w:rPr>
              <w:t xml:space="preserve"> označava izdvajanje dijela novca koji nije namijenjen tekućoj potrošnji (odnosno neutrošeni dio dohotka/prihoda) te se računa na način da se raspoloživi dohodak umanji za visinu potrošnje.</w:t>
            </w:r>
            <w:r>
              <w:rPr>
                <w:rFonts w:asciiTheme="minorHAnsi" w:eastAsiaTheme="minorHAnsi" w:hAnsiTheme="minorHAnsi" w:cstheme="minorBidi"/>
                <w:sz w:val="24"/>
                <w:szCs w:val="24"/>
                <w:lang w:eastAsia="en-US"/>
              </w:rPr>
              <w:t xml:space="preserve"> Odnos </w:t>
            </w:r>
            <w:r w:rsidRPr="00620F70">
              <w:rPr>
                <w:rFonts w:asciiTheme="minorHAnsi" w:eastAsiaTheme="minorHAnsi" w:hAnsiTheme="minorHAnsi" w:cstheme="minorBidi"/>
                <w:sz w:val="24"/>
                <w:szCs w:val="24"/>
                <w:lang w:eastAsia="en-US"/>
              </w:rPr>
              <w:t xml:space="preserve">između prirasta štednje i prirasta raspoloživog dohotka naziva se </w:t>
            </w:r>
            <w:r w:rsidRPr="00620F70">
              <w:rPr>
                <w:rFonts w:asciiTheme="minorHAnsi" w:eastAsiaTheme="minorHAnsi" w:hAnsiTheme="minorHAnsi" w:cstheme="minorBidi"/>
                <w:color w:val="C00000"/>
                <w:sz w:val="24"/>
                <w:szCs w:val="24"/>
                <w:lang w:eastAsia="en-US"/>
              </w:rPr>
              <w:t>granična sklonost štednji</w:t>
            </w:r>
            <w:r w:rsidRPr="00620F70">
              <w:rPr>
                <w:rFonts w:asciiTheme="minorHAnsi" w:eastAsiaTheme="minorHAnsi" w:hAnsiTheme="minorHAnsi" w:cstheme="minorBidi"/>
                <w:sz w:val="24"/>
                <w:szCs w:val="24"/>
                <w:lang w:eastAsia="en-US"/>
              </w:rPr>
              <w:t xml:space="preserve">. </w:t>
            </w:r>
            <w:r w:rsidR="00100BC8">
              <w:rPr>
                <w:rFonts w:asciiTheme="minorHAnsi" w:eastAsiaTheme="minorHAnsi" w:hAnsiTheme="minorHAnsi" w:cstheme="minorBidi"/>
                <w:sz w:val="24"/>
                <w:szCs w:val="24"/>
                <w:lang w:eastAsia="en-US"/>
              </w:rPr>
              <w:t>S rastom dohotka, š</w:t>
            </w:r>
            <w:r w:rsidRPr="00620F70">
              <w:rPr>
                <w:rFonts w:asciiTheme="minorHAnsi" w:eastAsiaTheme="minorHAnsi" w:hAnsiTheme="minorHAnsi" w:cstheme="minorBidi"/>
                <w:sz w:val="24"/>
                <w:szCs w:val="24"/>
                <w:lang w:eastAsia="en-US"/>
              </w:rPr>
              <w:t xml:space="preserve">to je dohodak </w:t>
            </w:r>
            <w:r w:rsidR="00100BC8">
              <w:rPr>
                <w:rFonts w:asciiTheme="minorHAnsi" w:eastAsiaTheme="minorHAnsi" w:hAnsiTheme="minorHAnsi" w:cstheme="minorBidi"/>
                <w:sz w:val="24"/>
                <w:szCs w:val="24"/>
                <w:lang w:eastAsia="en-US"/>
              </w:rPr>
              <w:t xml:space="preserve">veći, veća je i </w:t>
            </w:r>
            <w:r w:rsidRPr="00620F70">
              <w:rPr>
                <w:rFonts w:asciiTheme="minorHAnsi" w:eastAsiaTheme="minorHAnsi" w:hAnsiTheme="minorHAnsi" w:cstheme="minorBidi"/>
                <w:sz w:val="24"/>
                <w:szCs w:val="24"/>
                <w:lang w:eastAsia="en-US"/>
              </w:rPr>
              <w:t xml:space="preserve"> granična sklonost štednji jer se smanjuje granična sklonost potrošnji.</w:t>
            </w:r>
          </w:p>
        </w:tc>
      </w:tr>
    </w:tbl>
    <w:p w:rsidR="00D43262" w:rsidRDefault="00D549A8" w:rsidP="00D549A8">
      <w:pPr>
        <w:spacing w:before="240"/>
        <w:jc w:val="both"/>
        <w:rPr>
          <w:sz w:val="24"/>
          <w:szCs w:val="24"/>
        </w:rPr>
      </w:pPr>
      <w:r>
        <w:rPr>
          <w:sz w:val="24"/>
          <w:szCs w:val="24"/>
        </w:rPr>
        <w:t xml:space="preserve">Iz slike </w:t>
      </w:r>
      <w:r w:rsidR="00D7054B">
        <w:rPr>
          <w:sz w:val="24"/>
          <w:szCs w:val="24"/>
        </w:rPr>
        <w:t>6</w:t>
      </w:r>
      <w:r w:rsidR="005D165D">
        <w:rPr>
          <w:sz w:val="24"/>
          <w:szCs w:val="24"/>
        </w:rPr>
        <w:t xml:space="preserve"> </w:t>
      </w:r>
      <w:r>
        <w:rPr>
          <w:sz w:val="24"/>
          <w:szCs w:val="24"/>
        </w:rPr>
        <w:t xml:space="preserve">je </w:t>
      </w:r>
      <w:r w:rsidR="00937419">
        <w:rPr>
          <w:sz w:val="24"/>
          <w:szCs w:val="24"/>
        </w:rPr>
        <w:t>vidljivo postojanje značajnih razlika u visini dohodaka</w:t>
      </w:r>
      <w:r>
        <w:rPr>
          <w:sz w:val="24"/>
          <w:szCs w:val="24"/>
        </w:rPr>
        <w:t xml:space="preserve"> i</w:t>
      </w:r>
      <w:r w:rsidR="00937419">
        <w:rPr>
          <w:sz w:val="24"/>
          <w:szCs w:val="24"/>
        </w:rPr>
        <w:t xml:space="preserve"> potrošnje kućanstva u Hrvatskoj.</w:t>
      </w:r>
      <w:r w:rsidR="005D165D">
        <w:rPr>
          <w:sz w:val="24"/>
          <w:szCs w:val="24"/>
        </w:rPr>
        <w:t xml:space="preserve"> </w:t>
      </w:r>
      <w:r w:rsidR="009E23F9" w:rsidRPr="00797FD7">
        <w:rPr>
          <w:sz w:val="24"/>
          <w:szCs w:val="24"/>
        </w:rPr>
        <w:t xml:space="preserve">Određeni uvid u razmjer dohodovnih razlika u Hrvatskoj moguće je dobiti </w:t>
      </w:r>
      <w:r w:rsidR="009E23F9">
        <w:rPr>
          <w:sz w:val="24"/>
          <w:szCs w:val="24"/>
        </w:rPr>
        <w:t xml:space="preserve">i </w:t>
      </w:r>
      <w:r w:rsidR="009E23F9" w:rsidRPr="00797FD7">
        <w:rPr>
          <w:sz w:val="24"/>
          <w:szCs w:val="24"/>
        </w:rPr>
        <w:t xml:space="preserve">iz podataka Porezne uprave o registriranim neto dohocima te davanjima za porez, prirez i doprinose u 2011. </w:t>
      </w:r>
      <w:r w:rsidR="009E23F9">
        <w:rPr>
          <w:sz w:val="24"/>
          <w:szCs w:val="24"/>
        </w:rPr>
        <w:t>g</w:t>
      </w:r>
      <w:r w:rsidR="009E23F9" w:rsidRPr="00797FD7">
        <w:rPr>
          <w:sz w:val="24"/>
          <w:szCs w:val="24"/>
        </w:rPr>
        <w:t>odini</w:t>
      </w:r>
      <w:r w:rsidR="009E23F9">
        <w:rPr>
          <w:sz w:val="24"/>
          <w:szCs w:val="24"/>
        </w:rPr>
        <w:t xml:space="preserve"> koji u prikazani u tablici 3 - ali isključivo za osobe </w:t>
      </w:r>
      <w:r w:rsidR="00A85157">
        <w:rPr>
          <w:sz w:val="24"/>
          <w:szCs w:val="24"/>
        </w:rPr>
        <w:t xml:space="preserve">koje </w:t>
      </w:r>
      <w:r w:rsidR="009E23F9">
        <w:rPr>
          <w:sz w:val="24"/>
          <w:szCs w:val="24"/>
        </w:rPr>
        <w:t>ostvaruju određeni oblik primitaka koji se smatraju dohotkom prema Zakonu o porezu na dohodak</w:t>
      </w:r>
      <w:r w:rsidR="009E23F9" w:rsidRPr="00797FD7">
        <w:rPr>
          <w:sz w:val="24"/>
          <w:szCs w:val="24"/>
        </w:rPr>
        <w:t xml:space="preserve">. </w:t>
      </w:r>
    </w:p>
    <w:p w:rsidR="009E23F9" w:rsidRPr="009D0B6E" w:rsidRDefault="009E23F9" w:rsidP="00D549A8">
      <w:pPr>
        <w:spacing w:before="240"/>
        <w:jc w:val="both"/>
        <w:rPr>
          <w:i/>
          <w:sz w:val="24"/>
          <w:szCs w:val="24"/>
        </w:rPr>
      </w:pPr>
      <w:r w:rsidRPr="007E2C41">
        <w:rPr>
          <w:i/>
          <w:sz w:val="24"/>
          <w:szCs w:val="24"/>
        </w:rPr>
        <w:t xml:space="preserve">Stoga valja voditi računa da se </w:t>
      </w:r>
      <w:r w:rsidRPr="00D43262">
        <w:rPr>
          <w:i/>
          <w:color w:val="C00000"/>
          <w:sz w:val="24"/>
          <w:szCs w:val="24"/>
        </w:rPr>
        <w:t xml:space="preserve">podaci </w:t>
      </w:r>
      <w:r w:rsidR="00D43262" w:rsidRPr="00D43262">
        <w:rPr>
          <w:i/>
          <w:color w:val="C00000"/>
          <w:sz w:val="24"/>
          <w:szCs w:val="24"/>
        </w:rPr>
        <w:t xml:space="preserve">u tablici 3 </w:t>
      </w:r>
      <w:r w:rsidRPr="00D43262">
        <w:rPr>
          <w:i/>
          <w:color w:val="C00000"/>
          <w:sz w:val="24"/>
          <w:szCs w:val="24"/>
        </w:rPr>
        <w:t xml:space="preserve">ne mogu tretirati kao reprezentativni uzorak </w:t>
      </w:r>
      <w:r w:rsidRPr="007E2C41">
        <w:rPr>
          <w:i/>
          <w:sz w:val="24"/>
          <w:szCs w:val="24"/>
        </w:rPr>
        <w:t>pa su</w:t>
      </w:r>
      <w:r w:rsidRPr="009D0B6E">
        <w:rPr>
          <w:i/>
          <w:sz w:val="24"/>
          <w:szCs w:val="24"/>
        </w:rPr>
        <w:t xml:space="preserve"> zaključci koji bi se iz njih izveli prilično površni. Kao prvo sve osobe i kućanstva u Hrvatskoj nisu obuhvaćene navedenom statistikom. Dodatno moguće je da </w:t>
      </w:r>
      <w:r>
        <w:rPr>
          <w:i/>
          <w:sz w:val="24"/>
          <w:szCs w:val="24"/>
        </w:rPr>
        <w:t xml:space="preserve">su </w:t>
      </w:r>
      <w:r w:rsidRPr="009D0B6E">
        <w:rPr>
          <w:i/>
          <w:sz w:val="24"/>
          <w:szCs w:val="24"/>
        </w:rPr>
        <w:t>pojedinci ostvar</w:t>
      </w:r>
      <w:r>
        <w:rPr>
          <w:i/>
          <w:sz w:val="24"/>
          <w:szCs w:val="24"/>
        </w:rPr>
        <w:t xml:space="preserve">ivali </w:t>
      </w:r>
      <w:r w:rsidRPr="009D0B6E">
        <w:rPr>
          <w:i/>
          <w:sz w:val="24"/>
          <w:szCs w:val="24"/>
        </w:rPr>
        <w:t xml:space="preserve">određene dohotke koji ovdje nisu registrirani (npr. u sivoj ekonomiji, ili nisu niti trebali biti obuhvaćeni navedenom statistikom jer </w:t>
      </w:r>
      <w:r>
        <w:rPr>
          <w:i/>
          <w:sz w:val="24"/>
          <w:szCs w:val="24"/>
        </w:rPr>
        <w:t xml:space="preserve">nisu </w:t>
      </w:r>
      <w:r w:rsidRPr="009D0B6E">
        <w:rPr>
          <w:i/>
          <w:sz w:val="24"/>
          <w:szCs w:val="24"/>
        </w:rPr>
        <w:t>ostvar</w:t>
      </w:r>
      <w:r>
        <w:rPr>
          <w:i/>
          <w:sz w:val="24"/>
          <w:szCs w:val="24"/>
        </w:rPr>
        <w:t>ivali</w:t>
      </w:r>
      <w:r w:rsidRPr="009D0B6E">
        <w:rPr>
          <w:i/>
          <w:sz w:val="24"/>
          <w:szCs w:val="24"/>
        </w:rPr>
        <w:t xml:space="preserve"> primitke koji se smatraju dohotkom ili se oporezuju</w:t>
      </w:r>
      <w:r w:rsidR="00AE6381">
        <w:rPr>
          <w:i/>
          <w:sz w:val="24"/>
          <w:szCs w:val="24"/>
        </w:rPr>
        <w:t>)</w:t>
      </w:r>
      <w:r w:rsidRPr="009D0B6E">
        <w:rPr>
          <w:i/>
          <w:sz w:val="24"/>
          <w:szCs w:val="24"/>
        </w:rPr>
        <w:t xml:space="preserve">. </w:t>
      </w:r>
      <w:r>
        <w:rPr>
          <w:i/>
          <w:sz w:val="24"/>
          <w:szCs w:val="24"/>
        </w:rPr>
        <w:t>P</w:t>
      </w:r>
      <w:r w:rsidRPr="009D0B6E">
        <w:rPr>
          <w:i/>
          <w:sz w:val="24"/>
          <w:szCs w:val="24"/>
        </w:rPr>
        <w:t xml:space="preserve">odaci </w:t>
      </w:r>
      <w:r>
        <w:rPr>
          <w:i/>
          <w:sz w:val="24"/>
          <w:szCs w:val="24"/>
        </w:rPr>
        <w:t xml:space="preserve">u tablici 3 </w:t>
      </w:r>
      <w:r w:rsidRPr="009D0B6E">
        <w:rPr>
          <w:i/>
          <w:sz w:val="24"/>
          <w:szCs w:val="24"/>
        </w:rPr>
        <w:t xml:space="preserve">odnose </w:t>
      </w:r>
      <w:r w:rsidR="00100BC8">
        <w:rPr>
          <w:i/>
          <w:sz w:val="24"/>
          <w:szCs w:val="24"/>
        </w:rPr>
        <w:t xml:space="preserve">se </w:t>
      </w:r>
      <w:r w:rsidRPr="009D0B6E">
        <w:rPr>
          <w:i/>
          <w:sz w:val="24"/>
          <w:szCs w:val="24"/>
        </w:rPr>
        <w:t xml:space="preserve">na dohodak rezidenata, ali i nerezidenata </w:t>
      </w:r>
      <w:r w:rsidR="00D43262">
        <w:rPr>
          <w:i/>
          <w:sz w:val="24"/>
          <w:szCs w:val="24"/>
        </w:rPr>
        <w:t xml:space="preserve">ako su </w:t>
      </w:r>
      <w:r w:rsidRPr="009D0B6E">
        <w:rPr>
          <w:i/>
          <w:sz w:val="24"/>
          <w:szCs w:val="24"/>
        </w:rPr>
        <w:t>porezni obvezn</w:t>
      </w:r>
      <w:r w:rsidR="00D43262">
        <w:rPr>
          <w:i/>
          <w:sz w:val="24"/>
          <w:szCs w:val="24"/>
        </w:rPr>
        <w:t>ici</w:t>
      </w:r>
      <w:r w:rsidRPr="009D0B6E">
        <w:rPr>
          <w:i/>
          <w:sz w:val="24"/>
          <w:szCs w:val="24"/>
        </w:rPr>
        <w:t xml:space="preserve"> </w:t>
      </w:r>
      <w:r w:rsidR="00D43262">
        <w:rPr>
          <w:i/>
          <w:sz w:val="24"/>
          <w:szCs w:val="24"/>
        </w:rPr>
        <w:t>u RH. N</w:t>
      </w:r>
      <w:r w:rsidRPr="009D0B6E">
        <w:rPr>
          <w:i/>
          <w:sz w:val="24"/>
          <w:szCs w:val="24"/>
        </w:rPr>
        <w:t>e promatraju se na razini kućanstva</w:t>
      </w:r>
      <w:r>
        <w:rPr>
          <w:i/>
          <w:sz w:val="24"/>
          <w:szCs w:val="24"/>
        </w:rPr>
        <w:t xml:space="preserve"> </w:t>
      </w:r>
      <w:r w:rsidR="00D43262">
        <w:rPr>
          <w:i/>
          <w:sz w:val="24"/>
          <w:szCs w:val="24"/>
        </w:rPr>
        <w:t xml:space="preserve">te stoga </w:t>
      </w:r>
      <w:r>
        <w:rPr>
          <w:i/>
          <w:sz w:val="24"/>
          <w:szCs w:val="24"/>
        </w:rPr>
        <w:t>nisu usporedivi s Rezultatima Ankete o potrošnji kućanstva</w:t>
      </w:r>
      <w:r w:rsidRPr="009D0B6E">
        <w:rPr>
          <w:i/>
          <w:sz w:val="24"/>
          <w:szCs w:val="24"/>
        </w:rPr>
        <w:t>. Dodatno nije vidljivo o kojim se sve izvorima dohotka fizičkih osoba radi</w:t>
      </w:r>
      <w:r w:rsidR="00467E11">
        <w:rPr>
          <w:i/>
          <w:sz w:val="24"/>
          <w:szCs w:val="24"/>
        </w:rPr>
        <w:t>, a oni mogu biti raznovrsni (iz radnog odnosa, od kapitala i imovine te različitih drugih izvora)</w:t>
      </w:r>
      <w:r w:rsidRPr="009D0B6E">
        <w:rPr>
          <w:i/>
          <w:sz w:val="24"/>
          <w:szCs w:val="24"/>
        </w:rPr>
        <w:t>.</w:t>
      </w:r>
    </w:p>
    <w:p w:rsidR="00837D5D" w:rsidRPr="000E2610" w:rsidRDefault="00837D5D" w:rsidP="000E2610">
      <w:pPr>
        <w:spacing w:after="0"/>
        <w:rPr>
          <w:b/>
          <w:sz w:val="24"/>
          <w:szCs w:val="24"/>
        </w:rPr>
      </w:pPr>
      <w:r w:rsidRPr="000E2610">
        <w:rPr>
          <w:b/>
          <w:sz w:val="24"/>
          <w:szCs w:val="24"/>
        </w:rPr>
        <w:lastRenderedPageBreak/>
        <w:t xml:space="preserve">Tablica </w:t>
      </w:r>
      <w:r w:rsidR="00CA6170">
        <w:rPr>
          <w:b/>
          <w:sz w:val="24"/>
          <w:szCs w:val="24"/>
        </w:rPr>
        <w:t>3</w:t>
      </w:r>
      <w:r w:rsidRPr="000E2610">
        <w:rPr>
          <w:b/>
          <w:sz w:val="24"/>
          <w:szCs w:val="24"/>
        </w:rPr>
        <w:t xml:space="preserve">: Distribucija dohotka prema podacima Porezne uprave u odnosu na distribuciju raspoloživog dohotka iz Rezultata Ankete o potrošnji kućanstva </w:t>
      </w:r>
      <w:r w:rsidR="00B55C22" w:rsidRPr="000E2610">
        <w:rPr>
          <w:b/>
          <w:sz w:val="24"/>
          <w:szCs w:val="24"/>
        </w:rPr>
        <w:t xml:space="preserve"> (u postocima i kunama)</w:t>
      </w:r>
    </w:p>
    <w:tbl>
      <w:tblPr>
        <w:tblW w:w="8985" w:type="dxa"/>
        <w:tblInd w:w="108" w:type="dxa"/>
        <w:tblLook w:val="0000" w:firstRow="0" w:lastRow="0" w:firstColumn="0" w:lastColumn="0" w:noHBand="0" w:noVBand="0"/>
      </w:tblPr>
      <w:tblGrid>
        <w:gridCol w:w="639"/>
        <w:gridCol w:w="2196"/>
        <w:gridCol w:w="1701"/>
        <w:gridCol w:w="1701"/>
        <w:gridCol w:w="1418"/>
        <w:gridCol w:w="1330"/>
      </w:tblGrid>
      <w:tr w:rsidR="000D7498" w:rsidTr="000D7498">
        <w:trPr>
          <w:trHeight w:val="255"/>
        </w:trPr>
        <w:tc>
          <w:tcPr>
            <w:tcW w:w="6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Doh. raz. PU</w:t>
            </w:r>
            <w:r>
              <w:rPr>
                <w:sz w:val="20"/>
                <w:szCs w:val="20"/>
              </w:rPr>
              <w:t>*</w:t>
            </w:r>
          </w:p>
        </w:tc>
        <w:tc>
          <w:tcPr>
            <w:tcW w:w="21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Postotak primatelja</w:t>
            </w:r>
            <w:r>
              <w:rPr>
                <w:sz w:val="20"/>
                <w:szCs w:val="20"/>
              </w:rPr>
              <w:t xml:space="preserve"> dohotka u pojedinom razredu u odnosu na ukupan broj obuhvaćenih </w:t>
            </w:r>
            <w:r w:rsidR="005B66EE">
              <w:rPr>
                <w:sz w:val="20"/>
                <w:szCs w:val="20"/>
              </w:rPr>
              <w:t>primatelja dohotka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5B66EE">
            <w:pPr>
              <w:spacing w:after="100" w:afterAutospacing="1" w:line="240" w:lineRule="auto"/>
              <w:rPr>
                <w:sz w:val="20"/>
                <w:szCs w:val="20"/>
              </w:rPr>
            </w:pPr>
            <w:r w:rsidRPr="00A73124">
              <w:rPr>
                <w:sz w:val="20"/>
                <w:szCs w:val="20"/>
              </w:rPr>
              <w:t>Udio razreda u uk</w:t>
            </w:r>
            <w:r>
              <w:rPr>
                <w:sz w:val="20"/>
                <w:szCs w:val="20"/>
              </w:rPr>
              <w:t>upnom</w:t>
            </w:r>
            <w:r w:rsidRPr="00A73124">
              <w:rPr>
                <w:sz w:val="20"/>
                <w:szCs w:val="20"/>
              </w:rPr>
              <w:t xml:space="preserve"> neto doh</w:t>
            </w:r>
            <w:r w:rsidR="005B66EE">
              <w:rPr>
                <w:sz w:val="20"/>
                <w:szCs w:val="20"/>
              </w:rPr>
              <w:t>otku</w:t>
            </w:r>
            <w:r w:rsidRPr="00A73124">
              <w:rPr>
                <w:sz w:val="20"/>
                <w:szCs w:val="20"/>
              </w:rPr>
              <w:t xml:space="preserve"> svih </w:t>
            </w:r>
            <w:r>
              <w:rPr>
                <w:sz w:val="20"/>
                <w:szCs w:val="20"/>
              </w:rPr>
              <w:t xml:space="preserve">obuhvaćenih </w:t>
            </w:r>
            <w:r w:rsidRPr="00A73124">
              <w:rPr>
                <w:sz w:val="20"/>
                <w:szCs w:val="20"/>
              </w:rPr>
              <w:t>primatelja</w:t>
            </w:r>
            <w:r>
              <w:rPr>
                <w:sz w:val="20"/>
                <w:szCs w:val="20"/>
              </w:rPr>
              <w:t xml:space="preserve"> dohotka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Udio razreda u ukupnom porezu, prirezu i doprinosu iz bruto dohotka/ plaće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5B66EE">
            <w:pPr>
              <w:spacing w:after="100" w:afterAutospacing="1" w:line="240" w:lineRule="auto"/>
              <w:rPr>
                <w:sz w:val="20"/>
                <w:szCs w:val="20"/>
              </w:rPr>
            </w:pPr>
            <w:r w:rsidRPr="00A73124">
              <w:rPr>
                <w:sz w:val="20"/>
                <w:szCs w:val="20"/>
              </w:rPr>
              <w:t>Prosječni godišnji neto dohodak po primatelju</w:t>
            </w:r>
            <w:r w:rsidR="005B66EE">
              <w:rPr>
                <w:sz w:val="20"/>
                <w:szCs w:val="20"/>
              </w:rPr>
              <w:t xml:space="preserve"> u dohodovnom razredu</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Prosječni mjesečni neto dohodak po primatelju</w:t>
            </w:r>
            <w:r w:rsidR="005B66EE">
              <w:rPr>
                <w:sz w:val="20"/>
                <w:szCs w:val="20"/>
              </w:rPr>
              <w:t xml:space="preserve"> u doh. razredu</w:t>
            </w:r>
          </w:p>
        </w:tc>
      </w:tr>
      <w:tr w:rsidR="000D7498" w:rsidTr="000D7498">
        <w:trPr>
          <w:trHeight w:val="255"/>
        </w:trPr>
        <w:tc>
          <w:tcPr>
            <w:tcW w:w="639" w:type="dxa"/>
            <w:tcBorders>
              <w:top w:val="single" w:sz="4" w:space="0" w:color="auto"/>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(1)</w:t>
            </w:r>
          </w:p>
        </w:tc>
        <w:tc>
          <w:tcPr>
            <w:tcW w:w="2196"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(2)</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(3)</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(4)</w:t>
            </w:r>
          </w:p>
        </w:tc>
        <w:tc>
          <w:tcPr>
            <w:tcW w:w="1418"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(5)</w:t>
            </w:r>
          </w:p>
        </w:tc>
        <w:tc>
          <w:tcPr>
            <w:tcW w:w="1279" w:type="dxa"/>
            <w:tcBorders>
              <w:top w:val="single" w:sz="4" w:space="0" w:color="auto"/>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center"/>
              <w:rPr>
                <w:sz w:val="20"/>
                <w:szCs w:val="20"/>
              </w:rPr>
            </w:pPr>
            <w:r>
              <w:rPr>
                <w:sz w:val="20"/>
                <w:szCs w:val="20"/>
              </w:rPr>
              <w:t>(6)</w:t>
            </w:r>
          </w:p>
        </w:tc>
      </w:tr>
      <w:tr w:rsidR="000D7498" w:rsidTr="000D7498">
        <w:trPr>
          <w:trHeight w:val="255"/>
        </w:trPr>
        <w:tc>
          <w:tcPr>
            <w:tcW w:w="639" w:type="dxa"/>
            <w:tcBorders>
              <w:top w:val="single" w:sz="4" w:space="0" w:color="auto"/>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w:t>
            </w:r>
          </w:p>
        </w:tc>
        <w:tc>
          <w:tcPr>
            <w:tcW w:w="2196"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4,65</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0,04</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1.803,27</w:t>
            </w:r>
          </w:p>
        </w:tc>
        <w:tc>
          <w:tcPr>
            <w:tcW w:w="1279" w:type="dxa"/>
            <w:tcBorders>
              <w:top w:val="single" w:sz="4" w:space="0" w:color="auto"/>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150,27</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 xml:space="preserve">2. </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2,95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7.041,48</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586,79</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3.</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2,37</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9.619,00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801,58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4.</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5,91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13.071,32</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1.089,28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5.</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2,46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0,30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15.021,71</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1.251,81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6.</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4,22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0,35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17.529,70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1.460,81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7.</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6,66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0,40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20.140,03</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1.678,34</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8.</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13,76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0,49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0,07</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24.744,30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2.062,02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9.</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10,25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0,61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0,10</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30.986,67</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2.582,22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10.</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8,90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0,74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0,14</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37.239,09</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3.103,26</w:t>
            </w:r>
          </w:p>
        </w:tc>
      </w:tr>
      <w:tr w:rsidR="000D7498" w:rsidTr="000D7498">
        <w:trPr>
          <w:trHeight w:val="255"/>
        </w:trPr>
        <w:tc>
          <w:tcPr>
            <w:tcW w:w="639" w:type="dxa"/>
            <w:tcBorders>
              <w:top w:val="nil"/>
              <w:left w:val="single" w:sz="4" w:space="0" w:color="auto"/>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11.</w:t>
            </w:r>
          </w:p>
        </w:tc>
        <w:tc>
          <w:tcPr>
            <w:tcW w:w="2196"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6,33</w:t>
            </w:r>
          </w:p>
        </w:tc>
        <w:tc>
          <w:tcPr>
            <w:tcW w:w="1701"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0,85</w:t>
            </w:r>
          </w:p>
        </w:tc>
        <w:tc>
          <w:tcPr>
            <w:tcW w:w="1701"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0,21</w:t>
            </w:r>
          </w:p>
        </w:tc>
        <w:tc>
          <w:tcPr>
            <w:tcW w:w="1418"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43.093,88</w:t>
            </w:r>
          </w:p>
        </w:tc>
        <w:tc>
          <w:tcPr>
            <w:tcW w:w="1279" w:type="dxa"/>
            <w:tcBorders>
              <w:top w:val="nil"/>
              <w:left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3.591,16</w:t>
            </w:r>
          </w:p>
        </w:tc>
      </w:tr>
      <w:tr w:rsidR="000D7498" w:rsidTr="000D7498">
        <w:trPr>
          <w:trHeight w:val="255"/>
        </w:trPr>
        <w:tc>
          <w:tcPr>
            <w:tcW w:w="639" w:type="dxa"/>
            <w:tcBorders>
              <w:top w:val="nil"/>
              <w:left w:val="single" w:sz="4" w:space="0" w:color="auto"/>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12.</w:t>
            </w:r>
          </w:p>
        </w:tc>
        <w:tc>
          <w:tcPr>
            <w:tcW w:w="2196"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5,17</w:t>
            </w:r>
          </w:p>
        </w:tc>
        <w:tc>
          <w:tcPr>
            <w:tcW w:w="1701"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0,97</w:t>
            </w:r>
          </w:p>
        </w:tc>
        <w:tc>
          <w:tcPr>
            <w:tcW w:w="1701"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0,28</w:t>
            </w:r>
          </w:p>
        </w:tc>
        <w:tc>
          <w:tcPr>
            <w:tcW w:w="1418" w:type="dxa"/>
            <w:tcBorders>
              <w:top w:val="nil"/>
              <w:left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49.203,39</w:t>
            </w:r>
          </w:p>
        </w:tc>
        <w:tc>
          <w:tcPr>
            <w:tcW w:w="1279" w:type="dxa"/>
            <w:tcBorders>
              <w:top w:val="nil"/>
              <w:left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4.100,28</w:t>
            </w:r>
          </w:p>
        </w:tc>
      </w:tr>
      <w:tr w:rsidR="000D7498" w:rsidTr="000D7498">
        <w:trPr>
          <w:trHeight w:val="255"/>
        </w:trPr>
        <w:tc>
          <w:tcPr>
            <w:tcW w:w="639" w:type="dxa"/>
            <w:tcBorders>
              <w:left w:val="single" w:sz="4" w:space="0" w:color="auto"/>
              <w:bottom w:val="single" w:sz="4" w:space="0" w:color="auto"/>
              <w:right w:val="nil"/>
            </w:tcBorders>
            <w:shd w:val="clear" w:color="auto" w:fill="auto"/>
            <w:noWrap/>
            <w:vAlign w:val="bottom"/>
          </w:tcPr>
          <w:p w:rsidR="000D7498" w:rsidRPr="00A73124" w:rsidRDefault="000D7498" w:rsidP="000D7498">
            <w:pPr>
              <w:spacing w:after="100" w:afterAutospacing="1" w:line="240" w:lineRule="auto"/>
              <w:rPr>
                <w:sz w:val="20"/>
                <w:szCs w:val="20"/>
              </w:rPr>
            </w:pPr>
          </w:p>
        </w:tc>
        <w:tc>
          <w:tcPr>
            <w:tcW w:w="8295" w:type="dxa"/>
            <w:gridSpan w:val="5"/>
            <w:tcBorders>
              <w:right w:val="single" w:sz="4" w:space="0" w:color="auto"/>
            </w:tcBorders>
            <w:shd w:val="clear" w:color="auto" w:fill="auto"/>
          </w:tcPr>
          <w:p w:rsidR="00A50C02" w:rsidRDefault="00A50C02" w:rsidP="00A50C02">
            <w:pPr>
              <w:spacing w:after="0" w:line="240" w:lineRule="auto"/>
              <w:rPr>
                <w:sz w:val="20"/>
                <w:szCs w:val="20"/>
              </w:rPr>
            </w:pPr>
            <w:r>
              <w:rPr>
                <w:sz w:val="20"/>
                <w:szCs w:val="20"/>
              </w:rPr>
              <w:t xml:space="preserve">Postotak primatelja obuhvaćen dohodovnim. razredima 1.-12. prema podacima PU </w:t>
            </w:r>
            <w:r w:rsidRPr="00A52871">
              <w:rPr>
                <w:sz w:val="20"/>
                <w:szCs w:val="20"/>
              </w:rPr>
              <w:t>je 73,61%</w:t>
            </w:r>
          </w:p>
          <w:p w:rsidR="000D7498" w:rsidRDefault="000D7498" w:rsidP="00A50C02">
            <w:pPr>
              <w:spacing w:after="0" w:line="240" w:lineRule="auto"/>
            </w:pP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13.</w:t>
            </w:r>
          </w:p>
        </w:tc>
        <w:tc>
          <w:tcPr>
            <w:tcW w:w="2196"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4,25</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1,09</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0,35</w:t>
            </w:r>
          </w:p>
        </w:tc>
        <w:tc>
          <w:tcPr>
            <w:tcW w:w="1418"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55.368,15</w:t>
            </w:r>
          </w:p>
        </w:tc>
        <w:tc>
          <w:tcPr>
            <w:tcW w:w="1279" w:type="dxa"/>
            <w:tcBorders>
              <w:top w:val="single" w:sz="4" w:space="0" w:color="auto"/>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4.614,01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14.</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3,89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1,21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0,44</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61.442,30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5.120,19</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15.</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3,56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1,34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0,56</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67.624,10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5.635,34</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16.</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3,08</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1,46</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0,63</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73.719,82</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6.143,32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17.</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2,51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1,57</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0,68</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79.590,75</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6.632,56</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18.</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1,82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1,69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0,78</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85.585,48</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7.132,12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19.</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1,38</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1,81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0,87</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91.456,45</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7.621,37</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20.</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1,81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1,97</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1,03</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99.661,49</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8.305,12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21.</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1,00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2,45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1,38</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123.883,33</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10.323,61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22.</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0,81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2,44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1,57</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123.328,57</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10.277,38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p>
        </w:tc>
        <w:tc>
          <w:tcPr>
            <w:tcW w:w="8295" w:type="dxa"/>
            <w:gridSpan w:val="5"/>
            <w:tcBorders>
              <w:right w:val="single" w:sz="4" w:space="0" w:color="auto"/>
            </w:tcBorders>
            <w:shd w:val="clear" w:color="auto" w:fill="auto"/>
          </w:tcPr>
          <w:p w:rsidR="00A50C02" w:rsidRDefault="00A50C02" w:rsidP="00A50C02">
            <w:pPr>
              <w:spacing w:after="0" w:line="240" w:lineRule="auto"/>
              <w:rPr>
                <w:sz w:val="20"/>
                <w:szCs w:val="20"/>
              </w:rPr>
            </w:pPr>
            <w:r>
              <w:rPr>
                <w:sz w:val="20"/>
                <w:szCs w:val="20"/>
              </w:rPr>
              <w:t>Postotak primatelja obuhvaćen dohodovnim razredima 13.-22. prema podacima PU je 24,11%</w:t>
            </w:r>
          </w:p>
          <w:p w:rsidR="000D7498" w:rsidRDefault="000D7498" w:rsidP="00A50C02">
            <w:pPr>
              <w:spacing w:after="0" w:line="240" w:lineRule="auto"/>
            </w:pPr>
          </w:p>
        </w:tc>
      </w:tr>
      <w:tr w:rsidR="000D7498" w:rsidTr="000D7498">
        <w:trPr>
          <w:trHeight w:val="255"/>
        </w:trPr>
        <w:tc>
          <w:tcPr>
            <w:tcW w:w="639" w:type="dxa"/>
            <w:tcBorders>
              <w:top w:val="single" w:sz="4" w:space="0" w:color="auto"/>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23.</w:t>
            </w:r>
          </w:p>
        </w:tc>
        <w:tc>
          <w:tcPr>
            <w:tcW w:w="2196"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0,56</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2,67</w:t>
            </w:r>
          </w:p>
        </w:tc>
        <w:tc>
          <w:tcPr>
            <w:tcW w:w="1701"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1,89</w:t>
            </w:r>
          </w:p>
        </w:tc>
        <w:tc>
          <w:tcPr>
            <w:tcW w:w="1418" w:type="dxa"/>
            <w:tcBorders>
              <w:top w:val="single" w:sz="4" w:space="0" w:color="auto"/>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134.995,35</w:t>
            </w:r>
          </w:p>
        </w:tc>
        <w:tc>
          <w:tcPr>
            <w:tcW w:w="1279" w:type="dxa"/>
            <w:tcBorders>
              <w:top w:val="single" w:sz="4" w:space="0" w:color="auto"/>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11.249,61</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24.</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0,69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2,99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2,41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151.280,38</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12.606,70</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25.</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0,40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3,44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3,21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174.029,13</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14.502,43</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26.</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3,89</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3,86</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196.894,67</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16.407,89</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27.</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0,12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4,34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4,58</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219.572,90</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18.297,74</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28.</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0,20</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5,23</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6,13</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264.509,72</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22.042,48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29.</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0,04</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7,12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9,02</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360.351,36</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30.029,28</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30.</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9,15</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11,91</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463.036,66</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38.586,39</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31.</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0,02</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12,57</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16,14</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635.677,47</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52.973,12</w:t>
            </w:r>
          </w:p>
        </w:tc>
      </w:tr>
      <w:tr w:rsidR="000D7498" w:rsidTr="000D7498">
        <w:trPr>
          <w:trHeight w:val="255"/>
        </w:trPr>
        <w:tc>
          <w:tcPr>
            <w:tcW w:w="639" w:type="dxa"/>
            <w:tcBorders>
              <w:top w:val="nil"/>
              <w:left w:val="single" w:sz="4" w:space="0" w:color="auto"/>
              <w:bottom w:val="nil"/>
              <w:right w:val="nil"/>
            </w:tcBorders>
            <w:shd w:val="clear" w:color="auto" w:fill="auto"/>
            <w:noWrap/>
            <w:vAlign w:val="bottom"/>
          </w:tcPr>
          <w:p w:rsidR="000D7498" w:rsidRPr="00A73124" w:rsidRDefault="000D7498" w:rsidP="000D7498">
            <w:pPr>
              <w:spacing w:after="100" w:afterAutospacing="1" w:line="240" w:lineRule="auto"/>
              <w:rPr>
                <w:sz w:val="20"/>
                <w:szCs w:val="20"/>
              </w:rPr>
            </w:pPr>
            <w:r w:rsidRPr="00A73124">
              <w:rPr>
                <w:sz w:val="20"/>
                <w:szCs w:val="20"/>
              </w:rPr>
              <w:t>32.</w:t>
            </w:r>
          </w:p>
        </w:tc>
        <w:tc>
          <w:tcPr>
            <w:tcW w:w="2196"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0,01</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26,23</w:t>
            </w:r>
          </w:p>
        </w:tc>
        <w:tc>
          <w:tcPr>
            <w:tcW w:w="1701"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center"/>
              <w:rPr>
                <w:sz w:val="20"/>
                <w:szCs w:val="20"/>
              </w:rPr>
            </w:pPr>
            <w:r w:rsidRPr="00A73124">
              <w:rPr>
                <w:sz w:val="20"/>
                <w:szCs w:val="20"/>
              </w:rPr>
              <w:t>31,75</w:t>
            </w:r>
          </w:p>
        </w:tc>
        <w:tc>
          <w:tcPr>
            <w:tcW w:w="1418" w:type="dxa"/>
            <w:tcBorders>
              <w:top w:val="nil"/>
              <w:left w:val="nil"/>
              <w:bottom w:val="nil"/>
              <w:right w:val="nil"/>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1.326.599,41</w:t>
            </w:r>
          </w:p>
        </w:tc>
        <w:tc>
          <w:tcPr>
            <w:tcW w:w="1279" w:type="dxa"/>
            <w:tcBorders>
              <w:top w:val="nil"/>
              <w:left w:val="nil"/>
              <w:bottom w:val="nil"/>
              <w:right w:val="single" w:sz="4" w:space="0" w:color="auto"/>
            </w:tcBorders>
            <w:shd w:val="clear" w:color="auto" w:fill="auto"/>
            <w:noWrap/>
            <w:vAlign w:val="bottom"/>
          </w:tcPr>
          <w:p w:rsidR="000D7498" w:rsidRPr="00A73124" w:rsidRDefault="000D7498" w:rsidP="000D7498">
            <w:pPr>
              <w:spacing w:after="100" w:afterAutospacing="1" w:line="240" w:lineRule="auto"/>
              <w:jc w:val="right"/>
              <w:rPr>
                <w:sz w:val="20"/>
                <w:szCs w:val="20"/>
              </w:rPr>
            </w:pPr>
            <w:r w:rsidRPr="00A73124">
              <w:rPr>
                <w:sz w:val="20"/>
                <w:szCs w:val="20"/>
              </w:rPr>
              <w:t>110.549,95</w:t>
            </w:r>
          </w:p>
        </w:tc>
      </w:tr>
      <w:tr w:rsidR="000D7498" w:rsidTr="000D7498">
        <w:trPr>
          <w:trHeight w:val="255"/>
        </w:trPr>
        <w:tc>
          <w:tcPr>
            <w:tcW w:w="639" w:type="dxa"/>
            <w:tcBorders>
              <w:top w:val="nil"/>
              <w:left w:val="single" w:sz="4" w:space="0" w:color="auto"/>
              <w:bottom w:val="single" w:sz="4" w:space="0" w:color="auto"/>
              <w:right w:val="nil"/>
            </w:tcBorders>
            <w:shd w:val="clear" w:color="auto" w:fill="auto"/>
            <w:noWrap/>
            <w:vAlign w:val="bottom"/>
          </w:tcPr>
          <w:p w:rsidR="000D7498" w:rsidRPr="00A73124" w:rsidRDefault="000D7498" w:rsidP="000D7498">
            <w:pPr>
              <w:spacing w:after="100" w:afterAutospacing="1" w:line="240" w:lineRule="auto"/>
              <w:rPr>
                <w:sz w:val="20"/>
                <w:szCs w:val="20"/>
              </w:rPr>
            </w:pPr>
          </w:p>
        </w:tc>
        <w:tc>
          <w:tcPr>
            <w:tcW w:w="8295" w:type="dxa"/>
            <w:gridSpan w:val="5"/>
            <w:tcBorders>
              <w:right w:val="single" w:sz="4" w:space="0" w:color="auto"/>
            </w:tcBorders>
            <w:shd w:val="clear" w:color="auto" w:fill="auto"/>
          </w:tcPr>
          <w:p w:rsidR="00A50C02" w:rsidRDefault="00A50C02" w:rsidP="00A50C02">
            <w:pPr>
              <w:spacing w:after="0" w:line="240" w:lineRule="auto"/>
              <w:rPr>
                <w:sz w:val="20"/>
                <w:szCs w:val="20"/>
              </w:rPr>
            </w:pPr>
            <w:r>
              <w:rPr>
                <w:sz w:val="20"/>
                <w:szCs w:val="20"/>
              </w:rPr>
              <w:t>Postotak primatelja obuhvaćen dohodovnim razredima 23.-32. prema podacima PU je 2,28%</w:t>
            </w:r>
          </w:p>
          <w:p w:rsidR="000D7498" w:rsidRDefault="000D7498" w:rsidP="00A50C02">
            <w:pPr>
              <w:spacing w:after="0" w:line="240" w:lineRule="auto"/>
            </w:pPr>
          </w:p>
        </w:tc>
      </w:tr>
      <w:tr w:rsidR="000D7498" w:rsidTr="000D7498">
        <w:tblPrEx>
          <w:tblBorders>
            <w:top w:val="single" w:sz="4" w:space="0" w:color="auto"/>
          </w:tblBorders>
        </w:tblPrEx>
        <w:trPr>
          <w:gridBefore w:val="1"/>
          <w:wBefore w:w="639" w:type="dxa"/>
          <w:trHeight w:val="100"/>
        </w:trPr>
        <w:tc>
          <w:tcPr>
            <w:tcW w:w="8346" w:type="dxa"/>
            <w:gridSpan w:val="5"/>
            <w:tcBorders>
              <w:top w:val="single" w:sz="4" w:space="0" w:color="auto"/>
            </w:tcBorders>
          </w:tcPr>
          <w:p w:rsidR="000D7498" w:rsidRDefault="000D7498" w:rsidP="000D7498">
            <w:pPr>
              <w:spacing w:after="0" w:line="240" w:lineRule="auto"/>
              <w:rPr>
                <w:sz w:val="20"/>
                <w:szCs w:val="20"/>
              </w:rPr>
            </w:pPr>
          </w:p>
        </w:tc>
      </w:tr>
    </w:tbl>
    <w:p w:rsidR="00837D5D" w:rsidRDefault="00837D5D" w:rsidP="00D418C2">
      <w:pPr>
        <w:spacing w:after="0" w:line="240" w:lineRule="auto"/>
        <w:rPr>
          <w:sz w:val="20"/>
          <w:szCs w:val="20"/>
        </w:rPr>
      </w:pPr>
      <w:r>
        <w:rPr>
          <w:sz w:val="20"/>
          <w:szCs w:val="20"/>
        </w:rPr>
        <w:t>Izvor</w:t>
      </w:r>
      <w:r w:rsidR="00AD735A">
        <w:rPr>
          <w:sz w:val="20"/>
          <w:szCs w:val="20"/>
        </w:rPr>
        <w:t xml:space="preserve"> podataka</w:t>
      </w:r>
      <w:r>
        <w:rPr>
          <w:sz w:val="20"/>
          <w:szCs w:val="20"/>
        </w:rPr>
        <w:t xml:space="preserve">: </w:t>
      </w:r>
      <w:r w:rsidRPr="00DF024A">
        <w:rPr>
          <w:sz w:val="20"/>
          <w:szCs w:val="20"/>
        </w:rPr>
        <w:t xml:space="preserve">Prema </w:t>
      </w:r>
      <w:r>
        <w:rPr>
          <w:sz w:val="20"/>
          <w:szCs w:val="20"/>
        </w:rPr>
        <w:t xml:space="preserve">sekundarno prikupljenim </w:t>
      </w:r>
      <w:r w:rsidRPr="00DF024A">
        <w:rPr>
          <w:sz w:val="20"/>
          <w:szCs w:val="20"/>
        </w:rPr>
        <w:t>podacima Porezne uprave</w:t>
      </w:r>
      <w:r>
        <w:rPr>
          <w:sz w:val="20"/>
          <w:szCs w:val="20"/>
        </w:rPr>
        <w:t xml:space="preserve"> za 2011. (Jutarnji list, 15.11.2013.)</w:t>
      </w:r>
    </w:p>
    <w:p w:rsidR="005D165D" w:rsidRDefault="005D165D" w:rsidP="00D549A8">
      <w:pPr>
        <w:spacing w:before="240"/>
        <w:jc w:val="both"/>
        <w:rPr>
          <w:sz w:val="24"/>
          <w:szCs w:val="24"/>
        </w:rPr>
      </w:pPr>
      <w:r>
        <w:rPr>
          <w:sz w:val="24"/>
          <w:szCs w:val="24"/>
        </w:rPr>
        <w:t xml:space="preserve">Uzimajući sve navedeno u obzir, može se </w:t>
      </w:r>
      <w:r w:rsidR="00C4232C">
        <w:rPr>
          <w:sz w:val="24"/>
          <w:szCs w:val="24"/>
        </w:rPr>
        <w:t>(</w:t>
      </w:r>
      <w:r>
        <w:rPr>
          <w:sz w:val="24"/>
          <w:szCs w:val="24"/>
        </w:rPr>
        <w:t>samo</w:t>
      </w:r>
      <w:r w:rsidR="00C4232C">
        <w:rPr>
          <w:sz w:val="24"/>
          <w:szCs w:val="24"/>
        </w:rPr>
        <w:t>)</w:t>
      </w:r>
      <w:r>
        <w:rPr>
          <w:sz w:val="24"/>
          <w:szCs w:val="24"/>
        </w:rPr>
        <w:t xml:space="preserve"> konstatirati da se n</w:t>
      </w:r>
      <w:r w:rsidRPr="00797FD7">
        <w:rPr>
          <w:sz w:val="24"/>
          <w:szCs w:val="24"/>
        </w:rPr>
        <w:t>ajveći broj primatelja</w:t>
      </w:r>
      <w:r>
        <w:rPr>
          <w:sz w:val="24"/>
          <w:szCs w:val="24"/>
        </w:rPr>
        <w:t xml:space="preserve"> dohotka registriranog kod PU</w:t>
      </w:r>
      <w:r w:rsidRPr="00797FD7">
        <w:rPr>
          <w:sz w:val="24"/>
          <w:szCs w:val="24"/>
        </w:rPr>
        <w:t xml:space="preserve">, njih 73% veže za 12 najnižih dohodovnih razreda koji </w:t>
      </w:r>
      <w:r>
        <w:rPr>
          <w:sz w:val="24"/>
          <w:szCs w:val="24"/>
        </w:rPr>
        <w:t>su u 2011. o</w:t>
      </w:r>
      <w:r w:rsidRPr="00797FD7">
        <w:rPr>
          <w:sz w:val="24"/>
          <w:szCs w:val="24"/>
        </w:rPr>
        <w:t>stvar</w:t>
      </w:r>
      <w:r>
        <w:rPr>
          <w:sz w:val="24"/>
          <w:szCs w:val="24"/>
        </w:rPr>
        <w:t xml:space="preserve">ivali </w:t>
      </w:r>
      <w:r w:rsidRPr="00797FD7">
        <w:rPr>
          <w:sz w:val="24"/>
          <w:szCs w:val="24"/>
        </w:rPr>
        <w:t xml:space="preserve">godišnji neto dohodak po primatelju na razini nižoj ili jednakoj 49.203,39 </w:t>
      </w:r>
      <w:r w:rsidRPr="00797FD7">
        <w:rPr>
          <w:sz w:val="24"/>
          <w:szCs w:val="24"/>
        </w:rPr>
        <w:lastRenderedPageBreak/>
        <w:t>kuna, što odgovara prosječnom mjesečnom neto dohotku po primatelju nižem ili jednakom 4.100,28 kuna</w:t>
      </w:r>
      <w:r>
        <w:rPr>
          <w:sz w:val="24"/>
          <w:szCs w:val="24"/>
        </w:rPr>
        <w:t>. Pri tome</w:t>
      </w:r>
      <w:r w:rsidRPr="00797FD7">
        <w:rPr>
          <w:sz w:val="24"/>
          <w:szCs w:val="24"/>
        </w:rPr>
        <w:t xml:space="preserve"> je značajna koncentracija broja osoba koje </w:t>
      </w:r>
      <w:r>
        <w:rPr>
          <w:sz w:val="24"/>
          <w:szCs w:val="24"/>
        </w:rPr>
        <w:t xml:space="preserve">su </w:t>
      </w:r>
      <w:r w:rsidRPr="00797FD7">
        <w:rPr>
          <w:sz w:val="24"/>
          <w:szCs w:val="24"/>
        </w:rPr>
        <w:t>ostvar</w:t>
      </w:r>
      <w:r>
        <w:rPr>
          <w:sz w:val="24"/>
          <w:szCs w:val="24"/>
        </w:rPr>
        <w:t>ivali</w:t>
      </w:r>
      <w:r w:rsidRPr="00797FD7">
        <w:rPr>
          <w:sz w:val="24"/>
          <w:szCs w:val="24"/>
        </w:rPr>
        <w:t xml:space="preserve"> tek polovicu navedenog iznosa.</w:t>
      </w:r>
    </w:p>
    <w:p w:rsidR="005D165D" w:rsidRDefault="005D165D" w:rsidP="005D165D">
      <w:pPr>
        <w:jc w:val="both"/>
        <w:rPr>
          <w:sz w:val="24"/>
          <w:szCs w:val="24"/>
        </w:rPr>
      </w:pPr>
      <w:r w:rsidRPr="00D418C2">
        <w:rPr>
          <w:sz w:val="24"/>
          <w:szCs w:val="24"/>
        </w:rPr>
        <w:t xml:space="preserve">Osobe koje </w:t>
      </w:r>
      <w:r>
        <w:rPr>
          <w:sz w:val="24"/>
          <w:szCs w:val="24"/>
        </w:rPr>
        <w:t xml:space="preserve">su </w:t>
      </w:r>
      <w:r w:rsidRPr="00D418C2">
        <w:rPr>
          <w:sz w:val="24"/>
          <w:szCs w:val="24"/>
        </w:rPr>
        <w:t>ostvar</w:t>
      </w:r>
      <w:r>
        <w:rPr>
          <w:sz w:val="24"/>
          <w:szCs w:val="24"/>
        </w:rPr>
        <w:t>ivale</w:t>
      </w:r>
      <w:r w:rsidRPr="00D418C2">
        <w:rPr>
          <w:sz w:val="24"/>
          <w:szCs w:val="24"/>
        </w:rPr>
        <w:t xml:space="preserve"> prosječne mjesečne neto dohotke na razini između 4.614,01 kn i 10.277,38 kn (odnosno nalaze se između 13 i 22 dohodovnog razreda) či</w:t>
      </w:r>
      <w:r>
        <w:rPr>
          <w:sz w:val="24"/>
          <w:szCs w:val="24"/>
        </w:rPr>
        <w:t>le su</w:t>
      </w:r>
      <w:r w:rsidRPr="00D418C2">
        <w:rPr>
          <w:sz w:val="24"/>
          <w:szCs w:val="24"/>
        </w:rPr>
        <w:t xml:space="preserve"> 24,11% </w:t>
      </w:r>
      <w:r>
        <w:rPr>
          <w:sz w:val="24"/>
          <w:szCs w:val="24"/>
        </w:rPr>
        <w:t xml:space="preserve">registriranih </w:t>
      </w:r>
      <w:r w:rsidRPr="00D418C2">
        <w:rPr>
          <w:sz w:val="24"/>
          <w:szCs w:val="24"/>
        </w:rPr>
        <w:t>primatelja dohotka, dok se u trećoj grupi poreznih obveznika s visokim i ekstremno visokim prosječnim dohotkom (23. do 32. dohodovni razred) nalazi</w:t>
      </w:r>
      <w:r>
        <w:rPr>
          <w:sz w:val="24"/>
          <w:szCs w:val="24"/>
        </w:rPr>
        <w:t>lo</w:t>
      </w:r>
      <w:r w:rsidRPr="00D418C2">
        <w:rPr>
          <w:sz w:val="24"/>
          <w:szCs w:val="24"/>
        </w:rPr>
        <w:t xml:space="preserve"> svega 2,28% osoba. </w:t>
      </w:r>
      <w:r>
        <w:rPr>
          <w:sz w:val="24"/>
          <w:szCs w:val="24"/>
        </w:rPr>
        <w:t xml:space="preserve">Krajnji ekstrem predstavlja 32. dohodovni razred u kojem se nalazilo </w:t>
      </w:r>
      <w:r w:rsidRPr="001C23C1">
        <w:rPr>
          <w:sz w:val="24"/>
          <w:szCs w:val="24"/>
        </w:rPr>
        <w:t xml:space="preserve"> 167 primatelja koji su činili oko 0,01 posto ukupne populacije obuhvaćene poreznom statistikom za 2011. te koji su ostvarivali prosječni mjesečni dohodak 20 puta veći od prosječne neto plaće u istoj godini ( 5.441,00 kuna). </w:t>
      </w:r>
      <w:r>
        <w:rPr>
          <w:sz w:val="24"/>
          <w:szCs w:val="24"/>
        </w:rPr>
        <w:t xml:space="preserve">Dodatno, u slučaju 31. razreda na koji se odnosi 0,02 posto ukupne populacije prosječni mjesečni neto dohodak bio je 10 gotovo puta veći od prosjeka RH. </w:t>
      </w:r>
    </w:p>
    <w:p w:rsidR="005D165D" w:rsidRDefault="005D165D" w:rsidP="005D165D">
      <w:pPr>
        <w:jc w:val="both"/>
        <w:rPr>
          <w:sz w:val="24"/>
          <w:szCs w:val="24"/>
        </w:rPr>
      </w:pPr>
      <w:r>
        <w:rPr>
          <w:sz w:val="24"/>
          <w:szCs w:val="24"/>
        </w:rPr>
        <w:t xml:space="preserve">Radi se o ekstremima </w:t>
      </w:r>
      <w:r w:rsidRPr="001C23C1">
        <w:rPr>
          <w:sz w:val="24"/>
          <w:szCs w:val="24"/>
        </w:rPr>
        <w:t>kakv</w:t>
      </w:r>
      <w:r>
        <w:rPr>
          <w:sz w:val="24"/>
          <w:szCs w:val="24"/>
        </w:rPr>
        <w:t>i</w:t>
      </w:r>
      <w:r w:rsidRPr="001C23C1">
        <w:rPr>
          <w:sz w:val="24"/>
          <w:szCs w:val="24"/>
        </w:rPr>
        <w:t xml:space="preserve"> postoj</w:t>
      </w:r>
      <w:r>
        <w:rPr>
          <w:sz w:val="24"/>
          <w:szCs w:val="24"/>
        </w:rPr>
        <w:t>i</w:t>
      </w:r>
      <w:r w:rsidRPr="001C23C1">
        <w:rPr>
          <w:sz w:val="24"/>
          <w:szCs w:val="24"/>
        </w:rPr>
        <w:t xml:space="preserve"> i u brojnim drugim </w:t>
      </w:r>
      <w:r>
        <w:rPr>
          <w:sz w:val="24"/>
          <w:szCs w:val="24"/>
        </w:rPr>
        <w:t xml:space="preserve">zemljama </w:t>
      </w:r>
      <w:r w:rsidRPr="001C23C1">
        <w:rPr>
          <w:sz w:val="24"/>
          <w:szCs w:val="24"/>
        </w:rPr>
        <w:t xml:space="preserve">i na </w:t>
      </w:r>
      <w:r>
        <w:rPr>
          <w:sz w:val="24"/>
          <w:szCs w:val="24"/>
        </w:rPr>
        <w:t xml:space="preserve">znatno </w:t>
      </w:r>
      <w:r w:rsidRPr="001C23C1">
        <w:rPr>
          <w:sz w:val="24"/>
          <w:szCs w:val="24"/>
        </w:rPr>
        <w:t>izr</w:t>
      </w:r>
      <w:r>
        <w:rPr>
          <w:sz w:val="24"/>
          <w:szCs w:val="24"/>
        </w:rPr>
        <w:t xml:space="preserve">aženijoj razini nego što govore opisani </w:t>
      </w:r>
      <w:r w:rsidRPr="001C23C1">
        <w:rPr>
          <w:sz w:val="24"/>
          <w:szCs w:val="24"/>
        </w:rPr>
        <w:t>podaci za Hrvatsku</w:t>
      </w:r>
      <w:r>
        <w:rPr>
          <w:sz w:val="24"/>
          <w:szCs w:val="24"/>
        </w:rPr>
        <w:t xml:space="preserve">. Takvi ekstremi vezani su uz opći trend porasta </w:t>
      </w:r>
      <w:r w:rsidRPr="00C4232C">
        <w:rPr>
          <w:color w:val="C00000"/>
          <w:sz w:val="24"/>
          <w:szCs w:val="24"/>
        </w:rPr>
        <w:t xml:space="preserve">dohodovne nejednakosti </w:t>
      </w:r>
      <w:r w:rsidRPr="001D045D">
        <w:rPr>
          <w:sz w:val="24"/>
          <w:szCs w:val="24"/>
        </w:rPr>
        <w:t xml:space="preserve">na svjetskoj razini, što </w:t>
      </w:r>
      <w:r w:rsidR="00C4232C">
        <w:rPr>
          <w:sz w:val="24"/>
          <w:szCs w:val="24"/>
        </w:rPr>
        <w:t>(</w:t>
      </w:r>
      <w:r>
        <w:rPr>
          <w:sz w:val="24"/>
          <w:szCs w:val="24"/>
        </w:rPr>
        <w:t>na globalnoj razini</w:t>
      </w:r>
      <w:r w:rsidR="00C4232C">
        <w:rPr>
          <w:sz w:val="24"/>
          <w:szCs w:val="24"/>
        </w:rPr>
        <w:t>)</w:t>
      </w:r>
      <w:r>
        <w:rPr>
          <w:sz w:val="24"/>
          <w:szCs w:val="24"/>
        </w:rPr>
        <w:t xml:space="preserve"> </w:t>
      </w:r>
      <w:r w:rsidRPr="001D045D">
        <w:rPr>
          <w:sz w:val="24"/>
          <w:szCs w:val="24"/>
        </w:rPr>
        <w:t>posebno dolazi do izražaja o</w:t>
      </w:r>
      <w:r>
        <w:rPr>
          <w:sz w:val="24"/>
          <w:szCs w:val="24"/>
        </w:rPr>
        <w:t xml:space="preserve">d </w:t>
      </w:r>
      <w:r w:rsidRPr="001D045D">
        <w:rPr>
          <w:sz w:val="24"/>
          <w:szCs w:val="24"/>
        </w:rPr>
        <w:t xml:space="preserve">početka 1980-ih. Dodatno, tijekom razdoblja tranzicije i jačanja globalizacije </w:t>
      </w:r>
      <w:r w:rsidR="00C4232C">
        <w:rPr>
          <w:sz w:val="24"/>
          <w:szCs w:val="24"/>
        </w:rPr>
        <w:t>karakterističnih za razdoblje</w:t>
      </w:r>
      <w:r w:rsidRPr="001D045D">
        <w:rPr>
          <w:sz w:val="24"/>
          <w:szCs w:val="24"/>
        </w:rPr>
        <w:t xml:space="preserve"> 90-ih</w:t>
      </w:r>
      <w:r w:rsidR="00C4232C">
        <w:rPr>
          <w:sz w:val="24"/>
          <w:szCs w:val="24"/>
        </w:rPr>
        <w:t>,</w:t>
      </w:r>
      <w:r>
        <w:rPr>
          <w:sz w:val="24"/>
          <w:szCs w:val="24"/>
        </w:rPr>
        <w:t xml:space="preserve"> u Hrvatskoj i brojnim drugim europskim zemljama </w:t>
      </w:r>
      <w:r w:rsidRPr="001D045D">
        <w:rPr>
          <w:sz w:val="24"/>
          <w:szCs w:val="24"/>
        </w:rPr>
        <w:t xml:space="preserve">sve su izraženije i </w:t>
      </w:r>
      <w:r w:rsidRPr="00C4232C">
        <w:rPr>
          <w:color w:val="C00000"/>
          <w:sz w:val="24"/>
          <w:szCs w:val="24"/>
        </w:rPr>
        <w:t>imovinske nejednakosti</w:t>
      </w:r>
      <w:r w:rsidRPr="001D045D">
        <w:rPr>
          <w:sz w:val="24"/>
          <w:szCs w:val="24"/>
        </w:rPr>
        <w:t>.</w:t>
      </w:r>
      <w:r>
        <w:rPr>
          <w:sz w:val="24"/>
          <w:szCs w:val="24"/>
        </w:rPr>
        <w:t xml:space="preserve"> Jedni od instrumenata makroekonomske politike kojima se nastoji djelovati na smanjenje dohodovnih nejednakosti su progresivno oporezivanje dohotka, različiti oblici socijalnih transfera te javne usluge i javna dobra čije pružanje </w:t>
      </w:r>
      <w:r w:rsidR="00C4232C">
        <w:rPr>
          <w:sz w:val="24"/>
          <w:szCs w:val="24"/>
        </w:rPr>
        <w:t>osigurava</w:t>
      </w:r>
      <w:r>
        <w:rPr>
          <w:sz w:val="24"/>
          <w:szCs w:val="24"/>
        </w:rPr>
        <w:t xml:space="preserve"> države </w:t>
      </w:r>
      <w:r w:rsidR="00C4232C" w:rsidRPr="00C4232C">
        <w:rPr>
          <w:i/>
          <w:sz w:val="24"/>
          <w:szCs w:val="24"/>
        </w:rPr>
        <w:t>„</w:t>
      </w:r>
      <w:r w:rsidRPr="00C4232C">
        <w:rPr>
          <w:i/>
          <w:sz w:val="24"/>
          <w:szCs w:val="24"/>
        </w:rPr>
        <w:t>na jednak način dostupno svima</w:t>
      </w:r>
      <w:r w:rsidR="00C4232C" w:rsidRPr="00C4232C">
        <w:rPr>
          <w:i/>
          <w:sz w:val="24"/>
          <w:szCs w:val="24"/>
        </w:rPr>
        <w:t>“</w:t>
      </w:r>
      <w:r w:rsidRPr="00C4232C">
        <w:rPr>
          <w:i/>
          <w:sz w:val="24"/>
          <w:szCs w:val="24"/>
        </w:rPr>
        <w:t>.</w:t>
      </w:r>
      <w:r>
        <w:rPr>
          <w:sz w:val="24"/>
          <w:szCs w:val="24"/>
        </w:rPr>
        <w:t xml:space="preserve"> </w:t>
      </w:r>
    </w:p>
    <w:p w:rsidR="005D165D" w:rsidRDefault="005D165D" w:rsidP="005D165D">
      <w:pPr>
        <w:jc w:val="both"/>
        <w:rPr>
          <w:sz w:val="24"/>
          <w:szCs w:val="24"/>
        </w:rPr>
      </w:pPr>
      <w:r>
        <w:rPr>
          <w:sz w:val="24"/>
          <w:szCs w:val="24"/>
        </w:rPr>
        <w:t xml:space="preserve">Iz slike 8 vidljivi </w:t>
      </w:r>
      <w:r w:rsidR="00C4232C">
        <w:rPr>
          <w:sz w:val="24"/>
          <w:szCs w:val="24"/>
        </w:rPr>
        <w:t xml:space="preserve">su </w:t>
      </w:r>
      <w:r>
        <w:rPr>
          <w:sz w:val="24"/>
          <w:szCs w:val="24"/>
        </w:rPr>
        <w:t xml:space="preserve">učinci izdvajanja za obvezne doprinose (mirovinski doprinosi) i progresivnog oporezivanja dohotka u RH u 2011. godini za analiziranih 32 razreda. Vidljivo je da zbog porezne progresije </w:t>
      </w:r>
      <w:r w:rsidRPr="005D165D">
        <w:rPr>
          <w:color w:val="C00000"/>
          <w:sz w:val="24"/>
          <w:szCs w:val="24"/>
        </w:rPr>
        <w:t>osobe s višim i vrlo visokim dohocima snose relativno veći fiskalni teret.</w:t>
      </w:r>
      <w:r>
        <w:rPr>
          <w:sz w:val="24"/>
          <w:szCs w:val="24"/>
        </w:rPr>
        <w:t xml:space="preserve"> Pri tome u analizi podataka treba vodit računa o različitim poreznim stopama kojima se oporezuju dohoci iz različitih izvora. Tri progresivne porezne stope </w:t>
      </w:r>
      <w:r w:rsidR="00467E11">
        <w:rPr>
          <w:sz w:val="24"/>
          <w:szCs w:val="24"/>
        </w:rPr>
        <w:t xml:space="preserve">(12, 25 i 40 posto) </w:t>
      </w:r>
      <w:r>
        <w:rPr>
          <w:sz w:val="24"/>
          <w:szCs w:val="24"/>
        </w:rPr>
        <w:t xml:space="preserve">vežu se uz dohodak od nesamostalnog rada i samostalne djelatnosti (obrtnika i sličnih aktivnosti) te godišnje oporezivanje dohotka po poreznoj prijavi. Na različite druge izvore dohotka primjenjuje se samo najniža porezna stopa (npr. na dohodak od iznajmljivanja nekretnina i dohodak od dividendi) ili samo srednja porezna stopa (npr. kod autorskih honorara uz dodatno pravo na paušalno priznavanje izdataka itd.) pa se prema tome učinci poreznog tereta različito manifestiraju na primatelje dohotka. Svi izvori dohotka nisu vezani uz obvezu izdvajanja mirovinskih doprinosa. </w:t>
      </w:r>
      <w:r w:rsidRPr="00DC0EEC">
        <w:rPr>
          <w:sz w:val="24"/>
          <w:szCs w:val="24"/>
        </w:rPr>
        <w:t>Dodatno, u sustavu oporezivanja dohotka ugrađen je instrument egzistencijskog minimuma u formi osnovnog osobnog odbitka za poreznog obveznika, djecu i druge uzdržavane članove kućanstva, koji nije obuhvaćen poreznim tretmanom</w:t>
      </w:r>
      <w:r w:rsidR="00C4232C">
        <w:rPr>
          <w:sz w:val="24"/>
          <w:szCs w:val="24"/>
        </w:rPr>
        <w:t>, a razlikuje se od jednog do drugog poreznog obveznika</w:t>
      </w:r>
      <w:r w:rsidRPr="00DC0EEC">
        <w:rPr>
          <w:sz w:val="24"/>
          <w:szCs w:val="24"/>
        </w:rPr>
        <w:t>.</w:t>
      </w:r>
      <w:r>
        <w:rPr>
          <w:sz w:val="24"/>
          <w:szCs w:val="24"/>
        </w:rPr>
        <w:t xml:space="preserve"> </w:t>
      </w:r>
    </w:p>
    <w:p w:rsidR="00D549A8" w:rsidRDefault="00D549A8" w:rsidP="005D165D">
      <w:pPr>
        <w:jc w:val="both"/>
        <w:rPr>
          <w:sz w:val="24"/>
          <w:szCs w:val="24"/>
        </w:rPr>
      </w:pPr>
      <w:r w:rsidRPr="00854651">
        <w:rPr>
          <w:color w:val="C00000"/>
          <w:sz w:val="24"/>
          <w:szCs w:val="24"/>
        </w:rPr>
        <w:t xml:space="preserve">Progresivno oporezivanje dohotka </w:t>
      </w:r>
      <w:r w:rsidRPr="00FE5C39">
        <w:rPr>
          <w:sz w:val="24"/>
          <w:szCs w:val="24"/>
        </w:rPr>
        <w:t xml:space="preserve">javlja se kao rezultat primjene prakse oporezivanja ekonomske snage pojedinca, gdje osobe s većim dohotkom plaćaju veći relativni iznos poreza od osoba s nižim i niskim dohotkom. </w:t>
      </w:r>
      <w:r w:rsidRPr="00620F70">
        <w:rPr>
          <w:sz w:val="24"/>
          <w:szCs w:val="24"/>
        </w:rPr>
        <w:t xml:space="preserve">Time se dijelom ispravljaju učinci dohodovnih </w:t>
      </w:r>
      <w:r w:rsidRPr="00620F70">
        <w:rPr>
          <w:sz w:val="24"/>
          <w:szCs w:val="24"/>
        </w:rPr>
        <w:lastRenderedPageBreak/>
        <w:t xml:space="preserve">razlika </w:t>
      </w:r>
      <w:r w:rsidR="00673901">
        <w:rPr>
          <w:sz w:val="24"/>
          <w:szCs w:val="24"/>
        </w:rPr>
        <w:t xml:space="preserve">i nejednakosti </w:t>
      </w:r>
      <w:r w:rsidRPr="00620F70">
        <w:rPr>
          <w:sz w:val="24"/>
          <w:szCs w:val="24"/>
        </w:rPr>
        <w:t xml:space="preserve">u društvu </w:t>
      </w:r>
      <w:r w:rsidR="00673901">
        <w:rPr>
          <w:sz w:val="24"/>
          <w:szCs w:val="24"/>
        </w:rPr>
        <w:t>te</w:t>
      </w:r>
      <w:r w:rsidRPr="00620F70">
        <w:rPr>
          <w:sz w:val="24"/>
          <w:szCs w:val="24"/>
        </w:rPr>
        <w:t xml:space="preserve"> financiraju izvori javnih prihoda za funkcioniranje socijalne države, dok se dijelom ispravljaju učinci regresivnog oporezivanja kakve npr. ima porez na dodanu vrijednost.</w:t>
      </w:r>
    </w:p>
    <w:p w:rsidR="000E2610" w:rsidRDefault="000E2610" w:rsidP="00D06337">
      <w:pPr>
        <w:spacing w:after="0" w:line="240" w:lineRule="auto"/>
        <w:jc w:val="both"/>
        <w:rPr>
          <w:b/>
          <w:sz w:val="24"/>
          <w:szCs w:val="24"/>
        </w:rPr>
      </w:pPr>
      <w:r w:rsidRPr="000E2610">
        <w:rPr>
          <w:b/>
          <w:sz w:val="24"/>
          <w:szCs w:val="24"/>
        </w:rPr>
        <w:t xml:space="preserve">Slika </w:t>
      </w:r>
      <w:r w:rsidR="00D7054B">
        <w:rPr>
          <w:b/>
          <w:sz w:val="24"/>
          <w:szCs w:val="24"/>
        </w:rPr>
        <w:t>7</w:t>
      </w:r>
      <w:r w:rsidRPr="000E2610">
        <w:rPr>
          <w:b/>
          <w:sz w:val="24"/>
          <w:szCs w:val="24"/>
        </w:rPr>
        <w:t xml:space="preserve">.: Struktura bruto dohotka i fiskalno opterećenje za dohodovne razrede u 2011. </w:t>
      </w:r>
    </w:p>
    <w:p w:rsidR="003A0A8F" w:rsidRPr="000E2610" w:rsidRDefault="003A0A8F" w:rsidP="00D06337">
      <w:pPr>
        <w:spacing w:after="0" w:line="240" w:lineRule="auto"/>
        <w:jc w:val="both"/>
        <w:rPr>
          <w:b/>
          <w:sz w:val="24"/>
          <w:szCs w:val="24"/>
        </w:rPr>
      </w:pPr>
    </w:p>
    <w:p w:rsidR="000E2610" w:rsidRPr="00425502" w:rsidRDefault="000E2610" w:rsidP="000E2610">
      <w:r>
        <w:rPr>
          <w:noProof/>
          <w:lang w:eastAsia="hr-HR"/>
        </w:rPr>
        <w:drawing>
          <wp:inline distT="0" distB="0" distL="0" distR="0" wp14:anchorId="5A897186" wp14:editId="65D50F86">
            <wp:extent cx="5753100" cy="3171825"/>
            <wp:effectExtent l="0" t="0" r="0" b="952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3171825"/>
                    </a:xfrm>
                    <a:prstGeom prst="rect">
                      <a:avLst/>
                    </a:prstGeom>
                    <a:noFill/>
                    <a:ln>
                      <a:noFill/>
                    </a:ln>
                  </pic:spPr>
                </pic:pic>
              </a:graphicData>
            </a:graphic>
          </wp:inline>
        </w:drawing>
      </w:r>
    </w:p>
    <w:p w:rsidR="00ED6478" w:rsidRPr="00425502" w:rsidRDefault="00ED6478" w:rsidP="00AD735A">
      <w:pPr>
        <w:spacing w:after="0"/>
      </w:pPr>
      <w:r>
        <w:rPr>
          <w:noProof/>
          <w:lang w:eastAsia="hr-HR"/>
        </w:rPr>
        <w:drawing>
          <wp:inline distT="0" distB="0" distL="0" distR="0" wp14:anchorId="39C16C75" wp14:editId="4C6AAA1B">
            <wp:extent cx="5753100" cy="319087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3190875"/>
                    </a:xfrm>
                    <a:prstGeom prst="rect">
                      <a:avLst/>
                    </a:prstGeom>
                    <a:noFill/>
                    <a:ln>
                      <a:noFill/>
                    </a:ln>
                  </pic:spPr>
                </pic:pic>
              </a:graphicData>
            </a:graphic>
          </wp:inline>
        </w:drawing>
      </w:r>
    </w:p>
    <w:p w:rsidR="00ED6478" w:rsidRPr="00DF024A" w:rsidRDefault="00ED6478" w:rsidP="00EF1DA8">
      <w:pPr>
        <w:spacing w:after="0" w:line="240" w:lineRule="auto"/>
        <w:rPr>
          <w:sz w:val="20"/>
          <w:szCs w:val="20"/>
        </w:rPr>
      </w:pPr>
      <w:r w:rsidRPr="00DF024A">
        <w:rPr>
          <w:sz w:val="20"/>
          <w:szCs w:val="20"/>
        </w:rPr>
        <w:t xml:space="preserve">* Prema </w:t>
      </w:r>
      <w:r>
        <w:rPr>
          <w:sz w:val="20"/>
          <w:szCs w:val="20"/>
        </w:rPr>
        <w:t xml:space="preserve">sekundarno prikupljenim </w:t>
      </w:r>
      <w:r w:rsidRPr="00DF024A">
        <w:rPr>
          <w:sz w:val="20"/>
          <w:szCs w:val="20"/>
        </w:rPr>
        <w:t>podacima Porezne uprave</w:t>
      </w:r>
      <w:r>
        <w:rPr>
          <w:sz w:val="20"/>
          <w:szCs w:val="20"/>
        </w:rPr>
        <w:t xml:space="preserve"> za 2011.</w:t>
      </w:r>
    </w:p>
    <w:p w:rsidR="00ED6478" w:rsidRDefault="00ED6478" w:rsidP="00EF1DA8">
      <w:pPr>
        <w:spacing w:after="0" w:line="240" w:lineRule="auto"/>
        <w:rPr>
          <w:sz w:val="20"/>
          <w:szCs w:val="20"/>
        </w:rPr>
      </w:pPr>
      <w:r w:rsidRPr="00DF024A">
        <w:rPr>
          <w:sz w:val="20"/>
          <w:szCs w:val="20"/>
        </w:rPr>
        <w:t>Izvor</w:t>
      </w:r>
      <w:r w:rsidR="00AD735A">
        <w:rPr>
          <w:sz w:val="20"/>
          <w:szCs w:val="20"/>
        </w:rPr>
        <w:t xml:space="preserve"> poda</w:t>
      </w:r>
      <w:r w:rsidR="00485890">
        <w:rPr>
          <w:sz w:val="20"/>
          <w:szCs w:val="20"/>
        </w:rPr>
        <w:t>ta</w:t>
      </w:r>
      <w:r w:rsidR="00AD735A">
        <w:rPr>
          <w:sz w:val="20"/>
          <w:szCs w:val="20"/>
        </w:rPr>
        <w:t>ka</w:t>
      </w:r>
      <w:r w:rsidRPr="00DF024A">
        <w:rPr>
          <w:sz w:val="20"/>
          <w:szCs w:val="20"/>
        </w:rPr>
        <w:t>: Jutarnji list, „Samo pola posto Hrvata ima plaću veću od dvije tisuće eura“, dostupno na: http://www.jutarnji.hr/ekskluzivno-jutarnji-istrazuje--samo-pola-posto-hrvata-ima-placu-vecu-od-dvije-tisuce-eura/1140018/ (objavljeno 15.11.2013.)</w:t>
      </w:r>
    </w:p>
    <w:p w:rsidR="00FE5C39" w:rsidRDefault="00FE5C39" w:rsidP="00F65258">
      <w:pPr>
        <w:jc w:val="both"/>
        <w:rPr>
          <w:sz w:val="24"/>
          <w:szCs w:val="24"/>
        </w:rPr>
      </w:pPr>
    </w:p>
    <w:p w:rsidR="00854651" w:rsidRDefault="00854651" w:rsidP="00854651">
      <w:pPr>
        <w:spacing w:before="120" w:after="120"/>
        <w:jc w:val="both"/>
        <w:rPr>
          <w:sz w:val="24"/>
          <w:szCs w:val="24"/>
        </w:rPr>
      </w:pPr>
      <w:r w:rsidRPr="00FE5C39">
        <w:rPr>
          <w:sz w:val="24"/>
          <w:szCs w:val="24"/>
        </w:rPr>
        <w:lastRenderedPageBreak/>
        <w:t>U isto vrijeme osobe s većim dohotkom u većoj mjeri sudjeluju u potrošnji koja se oporezuje porezom na dodanu vrijednost</w:t>
      </w:r>
      <w:r w:rsidR="000B6BE8">
        <w:rPr>
          <w:sz w:val="24"/>
          <w:szCs w:val="24"/>
        </w:rPr>
        <w:t xml:space="preserve">. Stoga, </w:t>
      </w:r>
      <w:r w:rsidRPr="00FE5C39">
        <w:rPr>
          <w:sz w:val="24"/>
          <w:szCs w:val="24"/>
        </w:rPr>
        <w:t>i u tom slučaju primjena prakse oporezivanja ekonomske snage pojedinca podrazumijeva da veći iznos poreza (na dodanu vrijednost) plaćaju osobe s većim dohotkom (registriranim i neregistriranim). Međutim, kako se stopa štednje uobičajeno povećava s porastom dohotka (odnosno s povećanjem dohotka smanjuje se relativni udio potrošnje koja se oporezuje porezima na potrošnju – PDV i trošarine), na razini ukupnog stanovništva porez na dodanu vrijednost ima regresivni učinak, jer je relativni porezni teret veći za pojedince s nižim dohotkom (svi</w:t>
      </w:r>
      <w:r w:rsidR="000B6BE8">
        <w:rPr>
          <w:sz w:val="24"/>
          <w:szCs w:val="24"/>
        </w:rPr>
        <w:t xml:space="preserve"> kupuju robe i usluge</w:t>
      </w:r>
      <w:r w:rsidRPr="00FE5C39">
        <w:rPr>
          <w:sz w:val="24"/>
          <w:szCs w:val="24"/>
        </w:rPr>
        <w:t>, a pri tome plaćaju porez), dok je relativni porezni teret PDV-a manji za pojedince s većim dohotkom.</w:t>
      </w:r>
      <w:r w:rsidRPr="00FE5C39">
        <w:rPr>
          <w:vertAlign w:val="superscript"/>
        </w:rPr>
        <w:footnoteReference w:id="3"/>
      </w:r>
    </w:p>
    <w:p w:rsidR="00854651" w:rsidRDefault="00854651" w:rsidP="00854651">
      <w:pPr>
        <w:jc w:val="both"/>
        <w:rPr>
          <w:sz w:val="24"/>
          <w:szCs w:val="24"/>
        </w:rPr>
      </w:pPr>
      <w:r w:rsidRPr="00327B14">
        <w:rPr>
          <w:sz w:val="24"/>
          <w:szCs w:val="24"/>
        </w:rPr>
        <w:t>Osim kroz progresivno oporezivanje dohotka, regresivno djelovanje poreza na dodanu vrijednost umanjuje se primjenom nižih poreznih stopa na potrošnju osnovnih proizvoda (kruh, mlijeko i sl.), kao i različitim oblicima imovinskih poreza kakve u Hrvatskoj predstavljaju porez na nasljedstva i darove, porez na kuće za odmor, porez na cestovna motorna vozila te porez na plovila.</w:t>
      </w:r>
      <w:r w:rsidRPr="00854651">
        <w:rPr>
          <w:sz w:val="24"/>
          <w:szCs w:val="24"/>
          <w:vertAlign w:val="superscript"/>
        </w:rPr>
        <w:footnoteReference w:id="4"/>
      </w:r>
      <w:r w:rsidRPr="00327B14">
        <w:rPr>
          <w:sz w:val="24"/>
          <w:szCs w:val="24"/>
        </w:rPr>
        <w:t xml:space="preserve"> Dodatno, od siječnja 2015. u Hrvatskoj je uvedeno oporezivanje dohotka od kamata na štednju, a u budućnosti je moguće i uvođenje poreza na nekretnine</w:t>
      </w:r>
      <w:r w:rsidR="000B6BE8">
        <w:rPr>
          <w:sz w:val="24"/>
          <w:szCs w:val="24"/>
        </w:rPr>
        <w:t xml:space="preserve"> (kao oblika poreza na imovinu)</w:t>
      </w:r>
      <w:r w:rsidRPr="00327B14">
        <w:rPr>
          <w:sz w:val="24"/>
          <w:szCs w:val="24"/>
        </w:rPr>
        <w:t>.</w:t>
      </w:r>
      <w:r>
        <w:rPr>
          <w:sz w:val="24"/>
          <w:szCs w:val="24"/>
        </w:rPr>
        <w:t xml:space="preserve"> Društvena opravdanost uvođenja spomenutih poreza vezana je postojanje značajnih imovinskih i dohodovnih </w:t>
      </w:r>
      <w:r w:rsidR="00673901">
        <w:rPr>
          <w:sz w:val="24"/>
          <w:szCs w:val="24"/>
        </w:rPr>
        <w:t xml:space="preserve">razlika </w:t>
      </w:r>
      <w:r>
        <w:rPr>
          <w:sz w:val="24"/>
          <w:szCs w:val="24"/>
        </w:rPr>
        <w:t xml:space="preserve">u Hrvatskoj, koje su povezane i uz </w:t>
      </w:r>
      <w:r w:rsidR="00673901">
        <w:rPr>
          <w:sz w:val="24"/>
          <w:szCs w:val="24"/>
        </w:rPr>
        <w:t xml:space="preserve">posljedične </w:t>
      </w:r>
      <w:r>
        <w:rPr>
          <w:sz w:val="24"/>
          <w:szCs w:val="24"/>
        </w:rPr>
        <w:t>razlike u mogućnostima potrošnje i štednje za različita kućanstva.</w:t>
      </w:r>
    </w:p>
    <w:p w:rsidR="00CF3DF5" w:rsidRPr="008930F8" w:rsidRDefault="0028571F" w:rsidP="0028571F">
      <w:pPr>
        <w:jc w:val="both"/>
        <w:rPr>
          <w:color w:val="C00000"/>
          <w:sz w:val="24"/>
          <w:szCs w:val="24"/>
        </w:rPr>
      </w:pPr>
      <w:r>
        <w:rPr>
          <w:sz w:val="24"/>
          <w:szCs w:val="24"/>
        </w:rPr>
        <w:t xml:space="preserve">Razlike u visini dohotka odražavaju se na niz ekonomskih fenomena kao što su </w:t>
      </w:r>
      <w:r w:rsidR="00262099">
        <w:rPr>
          <w:sz w:val="24"/>
          <w:szCs w:val="24"/>
        </w:rPr>
        <w:t>struktura potrošnje, g</w:t>
      </w:r>
      <w:r>
        <w:rPr>
          <w:sz w:val="24"/>
          <w:szCs w:val="24"/>
        </w:rPr>
        <w:t xml:space="preserve">ranična sklonost potrošnji i granična sklonost štednji. </w:t>
      </w:r>
      <w:r w:rsidR="0089382C" w:rsidRPr="0028571F">
        <w:rPr>
          <w:color w:val="C00000"/>
          <w:sz w:val="24"/>
          <w:szCs w:val="24"/>
        </w:rPr>
        <w:t xml:space="preserve">Granična sklonost potrošnji </w:t>
      </w:r>
      <w:r w:rsidR="0089382C" w:rsidRPr="0028571F">
        <w:rPr>
          <w:sz w:val="24"/>
          <w:szCs w:val="24"/>
        </w:rPr>
        <w:t>je odnos između promjene potrošnje i promjene raspoloživog dohotka. Ona pokazuje kako će se promijeniti potrošnja ako se raspoloživi dohodak promijeni za jednu jedinicu</w:t>
      </w:r>
      <w:r w:rsidR="00262099">
        <w:rPr>
          <w:sz w:val="24"/>
          <w:szCs w:val="24"/>
        </w:rPr>
        <w:t xml:space="preserve"> te kao takva na makro razini ujedno </w:t>
      </w:r>
      <w:r w:rsidR="0089382C" w:rsidRPr="0028571F">
        <w:rPr>
          <w:sz w:val="24"/>
          <w:szCs w:val="24"/>
        </w:rPr>
        <w:t>određuje nagib krivulje potrošnje.</w:t>
      </w:r>
      <w:r w:rsidR="00262099" w:rsidRPr="00262099">
        <w:rPr>
          <w:color w:val="C00000"/>
          <w:sz w:val="24"/>
          <w:szCs w:val="24"/>
        </w:rPr>
        <w:t xml:space="preserve"> </w:t>
      </w:r>
      <w:r w:rsidR="00B317E2" w:rsidRPr="008930F8">
        <w:rPr>
          <w:sz w:val="24"/>
          <w:szCs w:val="24"/>
        </w:rPr>
        <w:t xml:space="preserve">Pri tome je iz slike </w:t>
      </w:r>
      <w:r w:rsidR="00D7054B">
        <w:rPr>
          <w:sz w:val="24"/>
          <w:szCs w:val="24"/>
        </w:rPr>
        <w:t>6</w:t>
      </w:r>
      <w:r w:rsidR="00B317E2" w:rsidRPr="008930F8">
        <w:rPr>
          <w:sz w:val="24"/>
          <w:szCs w:val="24"/>
        </w:rPr>
        <w:t xml:space="preserve"> vidljivo da je nagib krivulje strmiji u slučaju nižih i srednjih dohodovnih decila te je krivulja više položena u slučaju visokih i vrlo visokih dohodovnih decila</w:t>
      </w:r>
      <w:r w:rsidR="0002314D">
        <w:rPr>
          <w:sz w:val="24"/>
          <w:szCs w:val="24"/>
        </w:rPr>
        <w:t xml:space="preserve"> (koji imaju manju sklonost potrošnji a veću sklonost štednji)</w:t>
      </w:r>
      <w:r w:rsidR="00B317E2" w:rsidRPr="008930F8">
        <w:rPr>
          <w:sz w:val="24"/>
          <w:szCs w:val="24"/>
        </w:rPr>
        <w:t xml:space="preserve">. </w:t>
      </w:r>
      <w:r w:rsidR="00643C42" w:rsidRPr="008930F8">
        <w:rPr>
          <w:color w:val="C00000"/>
          <w:sz w:val="24"/>
          <w:szCs w:val="24"/>
        </w:rPr>
        <w:t>P</w:t>
      </w:r>
      <w:r w:rsidR="00262099" w:rsidRPr="008930F8">
        <w:rPr>
          <w:color w:val="C00000"/>
          <w:sz w:val="24"/>
          <w:szCs w:val="24"/>
        </w:rPr>
        <w:t>ovećanje dohotka je stoga uvjet za povećanje štednje.</w:t>
      </w:r>
    </w:p>
    <w:p w:rsidR="0002314D" w:rsidRDefault="00854651" w:rsidP="0002314D">
      <w:pPr>
        <w:jc w:val="both"/>
        <w:rPr>
          <w:sz w:val="24"/>
          <w:szCs w:val="24"/>
        </w:rPr>
      </w:pPr>
      <w:r>
        <w:rPr>
          <w:sz w:val="24"/>
          <w:szCs w:val="24"/>
        </w:rPr>
        <w:t xml:space="preserve">Uvažavajući sve napomene vezane uz </w:t>
      </w:r>
      <w:r w:rsidRPr="007752FF">
        <w:rPr>
          <w:sz w:val="24"/>
          <w:szCs w:val="24"/>
        </w:rPr>
        <w:t>podatke</w:t>
      </w:r>
      <w:r w:rsidR="007752FF" w:rsidRPr="007752FF">
        <w:rPr>
          <w:sz w:val="24"/>
          <w:szCs w:val="24"/>
        </w:rPr>
        <w:t xml:space="preserve"> na slici 7</w:t>
      </w:r>
      <w:r>
        <w:rPr>
          <w:sz w:val="24"/>
          <w:szCs w:val="24"/>
        </w:rPr>
        <w:t xml:space="preserve"> </w:t>
      </w:r>
      <w:r w:rsidR="00467E11">
        <w:rPr>
          <w:sz w:val="24"/>
          <w:szCs w:val="24"/>
        </w:rPr>
        <w:t xml:space="preserve">neupitna je </w:t>
      </w:r>
      <w:r w:rsidR="00B220A7">
        <w:rPr>
          <w:sz w:val="24"/>
          <w:szCs w:val="24"/>
        </w:rPr>
        <w:t xml:space="preserve">činjenica da </w:t>
      </w:r>
      <w:r w:rsidR="007752FF">
        <w:rPr>
          <w:sz w:val="24"/>
          <w:szCs w:val="24"/>
        </w:rPr>
        <w:t xml:space="preserve">u slučaju </w:t>
      </w:r>
      <w:r w:rsidR="00B220A7">
        <w:rPr>
          <w:sz w:val="24"/>
          <w:szCs w:val="24"/>
        </w:rPr>
        <w:t>određenog broja</w:t>
      </w:r>
      <w:r w:rsidR="007752FF">
        <w:rPr>
          <w:sz w:val="24"/>
          <w:szCs w:val="24"/>
        </w:rPr>
        <w:t xml:space="preserve"> kućanstva RH raspoloživ dohodak nije dostatan za štednju te da tek </w:t>
      </w:r>
      <w:r>
        <w:rPr>
          <w:sz w:val="24"/>
          <w:szCs w:val="24"/>
        </w:rPr>
        <w:t xml:space="preserve">manji dio </w:t>
      </w:r>
      <w:r w:rsidR="00713152">
        <w:rPr>
          <w:sz w:val="24"/>
          <w:szCs w:val="24"/>
        </w:rPr>
        <w:t xml:space="preserve">kućanstva može iz tekućeg raspoloživog dohotka formirati </w:t>
      </w:r>
      <w:r w:rsidR="00B220A7">
        <w:rPr>
          <w:sz w:val="24"/>
          <w:szCs w:val="24"/>
        </w:rPr>
        <w:t xml:space="preserve">rezerve </w:t>
      </w:r>
      <w:r w:rsidR="007752FF">
        <w:rPr>
          <w:sz w:val="24"/>
          <w:szCs w:val="24"/>
        </w:rPr>
        <w:t>štednj</w:t>
      </w:r>
      <w:r w:rsidR="00B220A7">
        <w:rPr>
          <w:sz w:val="24"/>
          <w:szCs w:val="24"/>
        </w:rPr>
        <w:t>e</w:t>
      </w:r>
      <w:r w:rsidR="00713152">
        <w:rPr>
          <w:sz w:val="24"/>
          <w:szCs w:val="24"/>
        </w:rPr>
        <w:t xml:space="preserve"> (odnosno otplaćivati kredit kao oblik prisilne štednje). Ujedno to korespondira s </w:t>
      </w:r>
      <w:r w:rsidR="0002314D">
        <w:rPr>
          <w:sz w:val="24"/>
          <w:szCs w:val="24"/>
        </w:rPr>
        <w:t xml:space="preserve">u medijima </w:t>
      </w:r>
      <w:r w:rsidR="00713152">
        <w:rPr>
          <w:sz w:val="24"/>
          <w:szCs w:val="24"/>
        </w:rPr>
        <w:t xml:space="preserve">često iznošenim stavovima </w:t>
      </w:r>
      <w:r w:rsidR="0002314D" w:rsidRPr="0002314D">
        <w:rPr>
          <w:i/>
          <w:sz w:val="24"/>
          <w:szCs w:val="24"/>
        </w:rPr>
        <w:t xml:space="preserve">„kako </w:t>
      </w:r>
      <w:r w:rsidR="00590C62" w:rsidRPr="0002314D">
        <w:rPr>
          <w:i/>
          <w:sz w:val="24"/>
          <w:szCs w:val="24"/>
        </w:rPr>
        <w:t xml:space="preserve">je </w:t>
      </w:r>
      <w:r w:rsidR="00713152" w:rsidRPr="0002314D">
        <w:rPr>
          <w:i/>
          <w:sz w:val="24"/>
          <w:szCs w:val="24"/>
        </w:rPr>
        <w:t xml:space="preserve">značajan dio </w:t>
      </w:r>
      <w:r w:rsidR="00590C62" w:rsidRPr="0002314D">
        <w:rPr>
          <w:i/>
          <w:sz w:val="24"/>
          <w:szCs w:val="24"/>
        </w:rPr>
        <w:t xml:space="preserve">štednje </w:t>
      </w:r>
      <w:r w:rsidR="00713152" w:rsidRPr="0002314D">
        <w:rPr>
          <w:i/>
          <w:sz w:val="24"/>
          <w:szCs w:val="24"/>
        </w:rPr>
        <w:t>stanovništva</w:t>
      </w:r>
      <w:r w:rsidR="00590C62" w:rsidRPr="0002314D">
        <w:rPr>
          <w:i/>
          <w:sz w:val="24"/>
          <w:szCs w:val="24"/>
        </w:rPr>
        <w:t xml:space="preserve"> kod banaka koncentriran na relativno mali dio društva</w:t>
      </w:r>
      <w:r w:rsidR="0002314D" w:rsidRPr="0002314D">
        <w:rPr>
          <w:i/>
          <w:sz w:val="24"/>
          <w:szCs w:val="24"/>
        </w:rPr>
        <w:t>“</w:t>
      </w:r>
      <w:r w:rsidR="007752FF">
        <w:rPr>
          <w:sz w:val="24"/>
          <w:szCs w:val="24"/>
        </w:rPr>
        <w:t xml:space="preserve">. </w:t>
      </w:r>
      <w:r w:rsidR="00590C62">
        <w:rPr>
          <w:sz w:val="24"/>
          <w:szCs w:val="24"/>
        </w:rPr>
        <w:t xml:space="preserve">S tim u svezi zanimljiva je procjena iz analize </w:t>
      </w:r>
      <w:r w:rsidR="00292FDF">
        <w:rPr>
          <w:sz w:val="24"/>
          <w:szCs w:val="24"/>
        </w:rPr>
        <w:t>koju je s aspekta najave poreza na kamate na štednju provelo Ministarstvo financija</w:t>
      </w:r>
      <w:r w:rsidR="00FE6B3E">
        <w:rPr>
          <w:sz w:val="24"/>
          <w:szCs w:val="24"/>
        </w:rPr>
        <w:t xml:space="preserve"> u rujnu 2014.</w:t>
      </w:r>
      <w:r w:rsidR="00590C62">
        <w:rPr>
          <w:sz w:val="24"/>
          <w:szCs w:val="24"/>
        </w:rPr>
        <w:t xml:space="preserve"> Tada je</w:t>
      </w:r>
      <w:r w:rsidR="00FE6B3E">
        <w:rPr>
          <w:sz w:val="24"/>
          <w:szCs w:val="24"/>
        </w:rPr>
        <w:t xml:space="preserve"> iznesen podatak da u odnosu na </w:t>
      </w:r>
      <w:r w:rsidR="00401F4A" w:rsidRPr="0002314D">
        <w:rPr>
          <w:i/>
          <w:sz w:val="24"/>
          <w:szCs w:val="24"/>
        </w:rPr>
        <w:t>„400.000 građana koji štede u bankama“</w:t>
      </w:r>
      <w:r w:rsidR="00401F4A" w:rsidRPr="00401F4A">
        <w:rPr>
          <w:rStyle w:val="Referencafusnote"/>
          <w:sz w:val="24"/>
          <w:szCs w:val="24"/>
        </w:rPr>
        <w:t xml:space="preserve"> </w:t>
      </w:r>
      <w:r w:rsidR="00401F4A">
        <w:rPr>
          <w:rStyle w:val="Referencafusnote"/>
          <w:sz w:val="24"/>
          <w:szCs w:val="24"/>
        </w:rPr>
        <w:footnoteReference w:id="5"/>
      </w:r>
      <w:r w:rsidR="00401F4A">
        <w:rPr>
          <w:sz w:val="24"/>
          <w:szCs w:val="24"/>
        </w:rPr>
        <w:t xml:space="preserve">  …</w:t>
      </w:r>
      <w:r w:rsidR="00FE6B3E">
        <w:rPr>
          <w:sz w:val="24"/>
          <w:szCs w:val="24"/>
        </w:rPr>
        <w:t xml:space="preserve"> </w:t>
      </w:r>
      <w:r w:rsidR="00FE6B3E" w:rsidRPr="0002314D">
        <w:rPr>
          <w:i/>
          <w:sz w:val="24"/>
          <w:szCs w:val="24"/>
        </w:rPr>
        <w:t xml:space="preserve">„oko 50.000 građana u hrvatskim bankama ima oročeno oko 10 milijardi eura, odnosno oko 75 milijardi </w:t>
      </w:r>
      <w:r w:rsidR="00FE6B3E" w:rsidRPr="0002314D">
        <w:rPr>
          <w:i/>
          <w:sz w:val="24"/>
          <w:szCs w:val="24"/>
        </w:rPr>
        <w:lastRenderedPageBreak/>
        <w:t>kuna štednje“</w:t>
      </w:r>
      <w:r w:rsidR="00401F4A" w:rsidRPr="00401F4A">
        <w:rPr>
          <w:rStyle w:val="Referencafusnote"/>
          <w:sz w:val="24"/>
          <w:szCs w:val="24"/>
        </w:rPr>
        <w:t xml:space="preserve"> </w:t>
      </w:r>
      <w:r w:rsidR="00401F4A">
        <w:rPr>
          <w:rStyle w:val="Referencafusnote"/>
          <w:sz w:val="24"/>
          <w:szCs w:val="24"/>
        </w:rPr>
        <w:footnoteReference w:id="6"/>
      </w:r>
      <w:r w:rsidR="00401F4A">
        <w:rPr>
          <w:sz w:val="24"/>
          <w:szCs w:val="24"/>
        </w:rPr>
        <w:t xml:space="preserve"> </w:t>
      </w:r>
      <w:r w:rsidR="00FE6B3E" w:rsidRPr="00FE6B3E">
        <w:rPr>
          <w:sz w:val="24"/>
          <w:szCs w:val="24"/>
        </w:rPr>
        <w:t xml:space="preserve"> te da uz prosječni kamatnjak 3% oni godišnje zarade 2,3 milijarde kuna na kamatama.</w:t>
      </w:r>
      <w:r w:rsidR="00FE6B3E">
        <w:rPr>
          <w:sz w:val="24"/>
          <w:szCs w:val="24"/>
        </w:rPr>
        <w:t xml:space="preserve"> </w:t>
      </w:r>
      <w:r w:rsidR="00401F4A">
        <w:rPr>
          <w:sz w:val="24"/>
          <w:szCs w:val="24"/>
        </w:rPr>
        <w:t xml:space="preserve">U istom razdoblju spominjan je i </w:t>
      </w:r>
      <w:r w:rsidR="00314216">
        <w:rPr>
          <w:sz w:val="24"/>
          <w:szCs w:val="24"/>
        </w:rPr>
        <w:t xml:space="preserve">neslužbeni </w:t>
      </w:r>
      <w:r w:rsidR="00401F4A">
        <w:rPr>
          <w:sz w:val="24"/>
          <w:szCs w:val="24"/>
        </w:rPr>
        <w:t xml:space="preserve">podatak da se štednja </w:t>
      </w:r>
      <w:r w:rsidR="00262099">
        <w:rPr>
          <w:sz w:val="24"/>
          <w:szCs w:val="24"/>
        </w:rPr>
        <w:t xml:space="preserve">u pojedinačnim iznosu </w:t>
      </w:r>
      <w:r w:rsidR="00A532BE">
        <w:rPr>
          <w:sz w:val="24"/>
          <w:szCs w:val="24"/>
        </w:rPr>
        <w:t>iznad</w:t>
      </w:r>
      <w:r w:rsidR="00401F4A">
        <w:rPr>
          <w:sz w:val="24"/>
          <w:szCs w:val="24"/>
        </w:rPr>
        <w:t xml:space="preserve"> 500.000,00 kn odnosi na svega </w:t>
      </w:r>
      <w:r w:rsidR="00401F4A" w:rsidRPr="00A532BE">
        <w:rPr>
          <w:sz w:val="24"/>
          <w:szCs w:val="24"/>
        </w:rPr>
        <w:t>pet posto svih štednih računa</w:t>
      </w:r>
      <w:r w:rsidR="00A532BE" w:rsidRPr="00A532BE">
        <w:rPr>
          <w:sz w:val="24"/>
          <w:szCs w:val="24"/>
        </w:rPr>
        <w:t xml:space="preserve"> u hrvatskim bankama</w:t>
      </w:r>
      <w:r w:rsidR="00A532BE">
        <w:rPr>
          <w:sz w:val="24"/>
          <w:szCs w:val="24"/>
        </w:rPr>
        <w:t>.</w:t>
      </w:r>
      <w:r w:rsidR="00314216">
        <w:rPr>
          <w:rStyle w:val="Referencafusnote"/>
          <w:sz w:val="24"/>
          <w:szCs w:val="24"/>
        </w:rPr>
        <w:footnoteReference w:id="7"/>
      </w:r>
      <w:r w:rsidR="002E5267">
        <w:rPr>
          <w:sz w:val="24"/>
          <w:szCs w:val="24"/>
        </w:rPr>
        <w:t xml:space="preserve"> Nadalje kada se uzmu u obzir svi korisnici bankovnih računa </w:t>
      </w:r>
      <w:r w:rsidR="00134EA2">
        <w:rPr>
          <w:sz w:val="24"/>
          <w:szCs w:val="24"/>
        </w:rPr>
        <w:t xml:space="preserve">kod kojih postoji mogućnost oporezivanja kamata </w:t>
      </w:r>
      <w:r w:rsidR="002E5267">
        <w:rPr>
          <w:sz w:val="24"/>
          <w:szCs w:val="24"/>
        </w:rPr>
        <w:t>(njih oko 3 milijuna)</w:t>
      </w:r>
      <w:r w:rsidR="00134EA2">
        <w:rPr>
          <w:sz w:val="24"/>
          <w:szCs w:val="24"/>
        </w:rPr>
        <w:t>,</w:t>
      </w:r>
      <w:r w:rsidR="002E5267">
        <w:rPr>
          <w:sz w:val="24"/>
          <w:szCs w:val="24"/>
        </w:rPr>
        <w:t xml:space="preserve"> </w:t>
      </w:r>
      <w:r w:rsidR="00134EA2">
        <w:rPr>
          <w:sz w:val="24"/>
          <w:szCs w:val="24"/>
        </w:rPr>
        <w:t xml:space="preserve">izveden je zaključak da </w:t>
      </w:r>
      <w:r w:rsidR="002E5267">
        <w:rPr>
          <w:sz w:val="24"/>
          <w:szCs w:val="24"/>
        </w:rPr>
        <w:t xml:space="preserve">tek </w:t>
      </w:r>
      <w:r w:rsidR="00134EA2">
        <w:rPr>
          <w:sz w:val="24"/>
          <w:szCs w:val="24"/>
        </w:rPr>
        <w:t>9,9%</w:t>
      </w:r>
      <w:r w:rsidR="002E5267">
        <w:rPr>
          <w:sz w:val="24"/>
          <w:szCs w:val="24"/>
        </w:rPr>
        <w:t xml:space="preserve"> </w:t>
      </w:r>
      <w:r w:rsidR="00134EA2">
        <w:rPr>
          <w:sz w:val="24"/>
          <w:szCs w:val="24"/>
        </w:rPr>
        <w:t xml:space="preserve">korisnika </w:t>
      </w:r>
      <w:r w:rsidR="00AE6381">
        <w:rPr>
          <w:sz w:val="24"/>
          <w:szCs w:val="24"/>
        </w:rPr>
        <w:t xml:space="preserve">bankovnih </w:t>
      </w:r>
      <w:r w:rsidR="00134EA2">
        <w:rPr>
          <w:sz w:val="24"/>
          <w:szCs w:val="24"/>
        </w:rPr>
        <w:t xml:space="preserve">računa </w:t>
      </w:r>
      <w:r w:rsidR="002E5267">
        <w:rPr>
          <w:sz w:val="24"/>
          <w:szCs w:val="24"/>
        </w:rPr>
        <w:t xml:space="preserve">(298.177 osoba) posjeduje </w:t>
      </w:r>
      <w:r w:rsidR="00134EA2">
        <w:rPr>
          <w:sz w:val="24"/>
          <w:szCs w:val="24"/>
        </w:rPr>
        <w:t>79,1</w:t>
      </w:r>
      <w:r w:rsidR="002E5267">
        <w:rPr>
          <w:sz w:val="24"/>
          <w:szCs w:val="24"/>
        </w:rPr>
        <w:t xml:space="preserve">% </w:t>
      </w:r>
      <w:r w:rsidR="00134EA2">
        <w:rPr>
          <w:sz w:val="24"/>
          <w:szCs w:val="24"/>
        </w:rPr>
        <w:t xml:space="preserve">iznosa </w:t>
      </w:r>
      <w:r w:rsidR="002E5267">
        <w:rPr>
          <w:sz w:val="24"/>
          <w:szCs w:val="24"/>
        </w:rPr>
        <w:t>depozita sektora stanovništvo</w:t>
      </w:r>
      <w:r w:rsidR="00134EA2">
        <w:rPr>
          <w:sz w:val="24"/>
          <w:szCs w:val="24"/>
        </w:rPr>
        <w:t xml:space="preserve"> te ostvaruje 92,7% ukupnih isplaćenih kamata. Pri tome se čak 43,2% iznosa depozita </w:t>
      </w:r>
      <w:r w:rsidR="008A30F4">
        <w:rPr>
          <w:sz w:val="24"/>
          <w:szCs w:val="24"/>
        </w:rPr>
        <w:t xml:space="preserve">stanovništva (tj. 74,7 milijardi kuna) </w:t>
      </w:r>
      <w:r w:rsidR="00134EA2">
        <w:rPr>
          <w:sz w:val="24"/>
          <w:szCs w:val="24"/>
        </w:rPr>
        <w:t>odnosi na svega 1,7% korisnika računa (51.202</w:t>
      </w:r>
      <w:r w:rsidR="008A30F4">
        <w:rPr>
          <w:sz w:val="24"/>
          <w:szCs w:val="24"/>
        </w:rPr>
        <w:t xml:space="preserve"> osobe</w:t>
      </w:r>
      <w:r w:rsidR="00134EA2">
        <w:rPr>
          <w:sz w:val="24"/>
          <w:szCs w:val="24"/>
        </w:rPr>
        <w:t>)</w:t>
      </w:r>
      <w:r w:rsidR="008A30F4">
        <w:rPr>
          <w:sz w:val="24"/>
          <w:szCs w:val="24"/>
        </w:rPr>
        <w:t xml:space="preserve"> </w:t>
      </w:r>
      <w:r w:rsidR="00AE6381">
        <w:rPr>
          <w:sz w:val="24"/>
          <w:szCs w:val="24"/>
        </w:rPr>
        <w:t>koji</w:t>
      </w:r>
      <w:r w:rsidR="008A30F4">
        <w:rPr>
          <w:sz w:val="24"/>
          <w:szCs w:val="24"/>
        </w:rPr>
        <w:t xml:space="preserve"> u ukupnim isplaćenim kamatama imaju udio od 58%</w:t>
      </w:r>
      <w:r w:rsidR="00134EA2">
        <w:rPr>
          <w:sz w:val="24"/>
          <w:szCs w:val="24"/>
        </w:rPr>
        <w:t>.</w:t>
      </w:r>
      <w:r w:rsidR="00134EA2">
        <w:rPr>
          <w:rStyle w:val="Referencafusnote"/>
          <w:sz w:val="24"/>
          <w:szCs w:val="24"/>
        </w:rPr>
        <w:footnoteReference w:id="8"/>
      </w:r>
    </w:p>
    <w:p w:rsidR="00C70359" w:rsidRDefault="00590C62" w:rsidP="00F65258">
      <w:pPr>
        <w:jc w:val="both"/>
        <w:rPr>
          <w:sz w:val="24"/>
          <w:szCs w:val="24"/>
        </w:rPr>
      </w:pPr>
      <w:r>
        <w:rPr>
          <w:sz w:val="24"/>
          <w:szCs w:val="24"/>
        </w:rPr>
        <w:t>Kao što je rečeno</w:t>
      </w:r>
      <w:r w:rsidR="0002314D">
        <w:rPr>
          <w:sz w:val="24"/>
          <w:szCs w:val="24"/>
        </w:rPr>
        <w:t>,</w:t>
      </w:r>
      <w:r>
        <w:rPr>
          <w:sz w:val="24"/>
          <w:szCs w:val="24"/>
        </w:rPr>
        <w:t xml:space="preserve"> radi se o procjenama </w:t>
      </w:r>
      <w:r w:rsidR="0002314D">
        <w:rPr>
          <w:sz w:val="24"/>
          <w:szCs w:val="24"/>
        </w:rPr>
        <w:t xml:space="preserve">stanja u sustavu štednje </w:t>
      </w:r>
      <w:r>
        <w:rPr>
          <w:sz w:val="24"/>
          <w:szCs w:val="24"/>
        </w:rPr>
        <w:t>koje mogu biti više ili manje</w:t>
      </w:r>
      <w:r w:rsidR="00954C80">
        <w:rPr>
          <w:sz w:val="24"/>
          <w:szCs w:val="24"/>
        </w:rPr>
        <w:t xml:space="preserve"> pouzdane</w:t>
      </w:r>
      <w:r w:rsidR="008A30F4">
        <w:rPr>
          <w:sz w:val="24"/>
          <w:szCs w:val="24"/>
        </w:rPr>
        <w:t>, dok</w:t>
      </w:r>
      <w:r>
        <w:rPr>
          <w:sz w:val="24"/>
          <w:szCs w:val="24"/>
        </w:rPr>
        <w:t xml:space="preserve"> </w:t>
      </w:r>
      <w:r w:rsidR="00134EA2">
        <w:rPr>
          <w:sz w:val="24"/>
          <w:szCs w:val="24"/>
        </w:rPr>
        <w:t xml:space="preserve">službeno objavljeni </w:t>
      </w:r>
      <w:r>
        <w:rPr>
          <w:sz w:val="24"/>
          <w:szCs w:val="24"/>
        </w:rPr>
        <w:t xml:space="preserve">podaci </w:t>
      </w:r>
      <w:r w:rsidR="00C70359">
        <w:rPr>
          <w:sz w:val="24"/>
          <w:szCs w:val="24"/>
        </w:rPr>
        <w:t xml:space="preserve">o distribuciji štednje </w:t>
      </w:r>
      <w:r>
        <w:rPr>
          <w:sz w:val="24"/>
          <w:szCs w:val="24"/>
        </w:rPr>
        <w:t>nisu dostupni</w:t>
      </w:r>
      <w:r w:rsidR="0002314D">
        <w:rPr>
          <w:sz w:val="24"/>
          <w:szCs w:val="24"/>
        </w:rPr>
        <w:t>. To je ujedno r</w:t>
      </w:r>
      <w:r w:rsidR="00713152">
        <w:rPr>
          <w:sz w:val="24"/>
          <w:szCs w:val="24"/>
        </w:rPr>
        <w:t>azlog zbog kojeg se</w:t>
      </w:r>
      <w:r w:rsidR="00C70359">
        <w:rPr>
          <w:sz w:val="24"/>
          <w:szCs w:val="24"/>
        </w:rPr>
        <w:t xml:space="preserve"> </w:t>
      </w:r>
      <w:r w:rsidR="00C70359" w:rsidRPr="0002314D">
        <w:rPr>
          <w:color w:val="C00000"/>
          <w:sz w:val="24"/>
          <w:szCs w:val="24"/>
        </w:rPr>
        <w:t>analiza kapaciteta i navik</w:t>
      </w:r>
      <w:r w:rsidR="00713152" w:rsidRPr="0002314D">
        <w:rPr>
          <w:color w:val="C00000"/>
          <w:sz w:val="24"/>
          <w:szCs w:val="24"/>
        </w:rPr>
        <w:t>a</w:t>
      </w:r>
      <w:r w:rsidR="00C70359" w:rsidRPr="0002314D">
        <w:rPr>
          <w:color w:val="C00000"/>
          <w:sz w:val="24"/>
          <w:szCs w:val="24"/>
        </w:rPr>
        <w:t xml:space="preserve"> štednje</w:t>
      </w:r>
      <w:r w:rsidR="00C70359">
        <w:rPr>
          <w:sz w:val="24"/>
          <w:szCs w:val="24"/>
        </w:rPr>
        <w:t xml:space="preserve"> tipično provodi na temelju anketnih istraživanja. Tako npr. prema </w:t>
      </w:r>
      <w:r w:rsidR="00C70359" w:rsidRPr="00691D54">
        <w:rPr>
          <w:sz w:val="24"/>
          <w:szCs w:val="24"/>
        </w:rPr>
        <w:t>rezultat</w:t>
      </w:r>
      <w:r w:rsidR="00C70359">
        <w:rPr>
          <w:sz w:val="24"/>
          <w:szCs w:val="24"/>
        </w:rPr>
        <w:t>ima</w:t>
      </w:r>
      <w:r w:rsidR="00C70359" w:rsidRPr="00691D54">
        <w:rPr>
          <w:sz w:val="24"/>
          <w:szCs w:val="24"/>
        </w:rPr>
        <w:t xml:space="preserve"> istraživanja koje je u rujnu 2013. na uzorku od 500 ispitanika provela agencija IMAS </w:t>
      </w:r>
      <w:r w:rsidR="00C70359">
        <w:rPr>
          <w:sz w:val="24"/>
          <w:szCs w:val="24"/>
        </w:rPr>
        <w:t>(</w:t>
      </w:r>
      <w:r w:rsidR="00C70359" w:rsidRPr="00691D54">
        <w:rPr>
          <w:sz w:val="24"/>
          <w:szCs w:val="24"/>
        </w:rPr>
        <w:t>za potrebe Erste grupe</w:t>
      </w:r>
      <w:r w:rsidR="00C70359">
        <w:rPr>
          <w:sz w:val="24"/>
          <w:szCs w:val="24"/>
        </w:rPr>
        <w:t>), s</w:t>
      </w:r>
      <w:r w:rsidR="00C70359" w:rsidRPr="00691D54">
        <w:rPr>
          <w:sz w:val="24"/>
          <w:szCs w:val="24"/>
        </w:rPr>
        <w:t xml:space="preserve">lijedi da </w:t>
      </w:r>
      <w:r w:rsidR="00C70359" w:rsidRPr="00F65258">
        <w:rPr>
          <w:i/>
          <w:sz w:val="24"/>
          <w:szCs w:val="24"/>
        </w:rPr>
        <w:t>dvije trećine građana RH štedi i pri tome mjesečno izdvaja u prosjeku 432 kune</w:t>
      </w:r>
      <w:r w:rsidR="00C70359" w:rsidRPr="00691D54">
        <w:rPr>
          <w:sz w:val="24"/>
          <w:szCs w:val="24"/>
        </w:rPr>
        <w:t xml:space="preserve">. </w:t>
      </w:r>
      <w:r w:rsidR="00C70359" w:rsidRPr="00F65258">
        <w:rPr>
          <w:i/>
          <w:sz w:val="24"/>
          <w:szCs w:val="24"/>
        </w:rPr>
        <w:t>„Najviše štede građani u dobi između 30 i 49 godina, u prosjeku 534 kune mjesečno. Građani u dobi između 15 i 29 godina prosječno mjesečno štede 384 kune, a stariji od 50 godina 363 kune.“</w:t>
      </w:r>
      <w:r w:rsidR="00C70359" w:rsidRPr="00F65258">
        <w:t xml:space="preserve"> </w:t>
      </w:r>
      <w:r w:rsidR="00C70359" w:rsidRPr="00B220A7">
        <w:rPr>
          <w:sz w:val="24"/>
          <w:szCs w:val="24"/>
          <w:vertAlign w:val="superscript"/>
        </w:rPr>
        <w:footnoteReference w:id="9"/>
      </w:r>
      <w:r w:rsidR="00C70359" w:rsidRPr="00B220A7">
        <w:rPr>
          <w:sz w:val="24"/>
          <w:szCs w:val="24"/>
          <w:vertAlign w:val="superscript"/>
        </w:rPr>
        <w:t xml:space="preserve"> </w:t>
      </w:r>
      <w:r w:rsidR="00C70359">
        <w:rPr>
          <w:sz w:val="24"/>
          <w:szCs w:val="24"/>
        </w:rPr>
        <w:t xml:space="preserve"> </w:t>
      </w:r>
    </w:p>
    <w:p w:rsidR="008F6D0C" w:rsidRDefault="00713152" w:rsidP="008A30F4">
      <w:pPr>
        <w:pStyle w:val="Arial"/>
        <w:spacing w:line="276" w:lineRule="auto"/>
        <w:rPr>
          <w:rFonts w:asciiTheme="minorHAnsi" w:eastAsiaTheme="minorHAnsi" w:hAnsiTheme="minorHAnsi" w:cstheme="minorBidi"/>
          <w:sz w:val="24"/>
          <w:szCs w:val="24"/>
          <w:lang w:val="hr-HR" w:eastAsia="en-US"/>
        </w:rPr>
      </w:pPr>
      <w:r>
        <w:rPr>
          <w:rFonts w:asciiTheme="minorHAnsi" w:eastAsiaTheme="minorHAnsi" w:hAnsiTheme="minorHAnsi" w:cstheme="minorBidi"/>
          <w:sz w:val="24"/>
          <w:szCs w:val="24"/>
          <w:lang w:val="hr-HR" w:eastAsia="en-US"/>
        </w:rPr>
        <w:t>Nasuprot tome rezultati istraživanja GfK</w:t>
      </w:r>
      <w:r w:rsidRPr="00C70359">
        <w:rPr>
          <w:rFonts w:asciiTheme="minorHAnsi" w:eastAsiaTheme="minorHAnsi" w:hAnsiTheme="minorHAnsi" w:cstheme="minorBidi"/>
          <w:sz w:val="24"/>
          <w:szCs w:val="24"/>
          <w:lang w:val="hr-HR" w:eastAsia="en-US"/>
        </w:rPr>
        <w:t xml:space="preserve"> </w:t>
      </w:r>
      <w:r>
        <w:rPr>
          <w:rFonts w:asciiTheme="minorHAnsi" w:eastAsiaTheme="minorHAnsi" w:hAnsiTheme="minorHAnsi" w:cstheme="minorBidi"/>
          <w:sz w:val="24"/>
          <w:szCs w:val="24"/>
          <w:lang w:val="hr-HR" w:eastAsia="en-US"/>
        </w:rPr>
        <w:t xml:space="preserve"> </w:t>
      </w:r>
      <w:r w:rsidRPr="00C70359">
        <w:rPr>
          <w:rFonts w:asciiTheme="minorHAnsi" w:eastAsiaTheme="minorHAnsi" w:hAnsiTheme="minorHAnsi" w:cstheme="minorBidi"/>
          <w:sz w:val="24"/>
          <w:szCs w:val="24"/>
          <w:lang w:val="hr-HR" w:eastAsia="en-US"/>
        </w:rPr>
        <w:t xml:space="preserve">iz 2005. za 2000 ispitanika iz Hrvatske </w:t>
      </w:r>
      <w:r>
        <w:rPr>
          <w:rFonts w:asciiTheme="minorHAnsi" w:eastAsiaTheme="minorHAnsi" w:hAnsiTheme="minorHAnsi" w:cstheme="minorBidi"/>
          <w:sz w:val="24"/>
          <w:szCs w:val="24"/>
          <w:lang w:val="hr-HR" w:eastAsia="en-US"/>
        </w:rPr>
        <w:t xml:space="preserve">ukazuju da </w:t>
      </w:r>
      <w:r w:rsidRPr="00C70359">
        <w:rPr>
          <w:rFonts w:asciiTheme="minorHAnsi" w:eastAsiaTheme="minorHAnsi" w:hAnsiTheme="minorHAnsi" w:cstheme="minorBidi"/>
          <w:sz w:val="24"/>
          <w:szCs w:val="24"/>
          <w:lang w:val="hr-HR" w:eastAsia="en-US"/>
        </w:rPr>
        <w:t>42% ispitanika štedi na neki način</w:t>
      </w:r>
      <w:r w:rsidR="0002314D">
        <w:rPr>
          <w:rFonts w:asciiTheme="minorHAnsi" w:eastAsiaTheme="minorHAnsi" w:hAnsiTheme="minorHAnsi" w:cstheme="minorBidi"/>
          <w:sz w:val="24"/>
          <w:szCs w:val="24"/>
          <w:lang w:val="hr-HR" w:eastAsia="en-US"/>
        </w:rPr>
        <w:t>,</w:t>
      </w:r>
      <w:r>
        <w:rPr>
          <w:rFonts w:asciiTheme="minorHAnsi" w:eastAsiaTheme="minorHAnsi" w:hAnsiTheme="minorHAnsi" w:cstheme="minorBidi"/>
          <w:sz w:val="24"/>
          <w:szCs w:val="24"/>
          <w:lang w:val="hr-HR" w:eastAsia="en-US"/>
        </w:rPr>
        <w:t xml:space="preserve"> </w:t>
      </w:r>
      <w:r w:rsidR="00F65258">
        <w:rPr>
          <w:rFonts w:asciiTheme="minorHAnsi" w:eastAsiaTheme="minorHAnsi" w:hAnsiTheme="minorHAnsi" w:cstheme="minorBidi"/>
          <w:sz w:val="24"/>
          <w:szCs w:val="24"/>
          <w:lang w:val="hr-HR" w:eastAsia="en-US"/>
        </w:rPr>
        <w:t xml:space="preserve">ali i da </w:t>
      </w:r>
      <w:r w:rsidRPr="00C70359">
        <w:rPr>
          <w:rFonts w:asciiTheme="minorHAnsi" w:eastAsiaTheme="minorHAnsi" w:hAnsiTheme="minorHAnsi" w:cstheme="minorBidi"/>
          <w:sz w:val="24"/>
          <w:szCs w:val="24"/>
          <w:lang w:val="hr-HR" w:eastAsia="en-US"/>
        </w:rPr>
        <w:t>štednja u bankama nije jedini oblik imovine uz koji se vežu šte</w:t>
      </w:r>
      <w:r w:rsidR="008F6D0C">
        <w:rPr>
          <w:rFonts w:asciiTheme="minorHAnsi" w:eastAsiaTheme="minorHAnsi" w:hAnsiTheme="minorHAnsi" w:cstheme="minorBidi"/>
          <w:sz w:val="24"/>
          <w:szCs w:val="24"/>
          <w:lang w:val="hr-HR" w:eastAsia="en-US"/>
        </w:rPr>
        <w:t>dne preferencije građana. Tako konkretno:</w:t>
      </w:r>
    </w:p>
    <w:tbl>
      <w:tblPr>
        <w:tblStyle w:val="Reetkatablice"/>
        <w:tblW w:w="0" w:type="auto"/>
        <w:tblLook w:val="04A0" w:firstRow="1" w:lastRow="0" w:firstColumn="1" w:lastColumn="0" w:noHBand="0" w:noVBand="1"/>
      </w:tblPr>
      <w:tblGrid>
        <w:gridCol w:w="675"/>
        <w:gridCol w:w="8613"/>
      </w:tblGrid>
      <w:tr w:rsidR="008F6D0C" w:rsidTr="008F6D0C">
        <w:tc>
          <w:tcPr>
            <w:tcW w:w="675" w:type="dxa"/>
            <w:tcBorders>
              <w:top w:val="nil"/>
              <w:left w:val="nil"/>
              <w:bottom w:val="nil"/>
              <w:right w:val="single" w:sz="4" w:space="0" w:color="auto"/>
            </w:tcBorders>
          </w:tcPr>
          <w:p w:rsidR="008F6D0C" w:rsidRDefault="008F6D0C" w:rsidP="008A30F4">
            <w:pPr>
              <w:pStyle w:val="Arial"/>
              <w:spacing w:after="40" w:line="269" w:lineRule="auto"/>
              <w:rPr>
                <w:rFonts w:asciiTheme="minorHAnsi" w:eastAsiaTheme="minorHAnsi" w:hAnsiTheme="minorHAnsi" w:cstheme="minorBidi"/>
                <w:sz w:val="24"/>
                <w:szCs w:val="24"/>
                <w:lang w:val="hr-HR" w:eastAsia="en-US"/>
              </w:rPr>
            </w:pPr>
          </w:p>
        </w:tc>
        <w:tc>
          <w:tcPr>
            <w:tcW w:w="8613" w:type="dxa"/>
            <w:tcBorders>
              <w:top w:val="nil"/>
              <w:left w:val="single" w:sz="4" w:space="0" w:color="auto"/>
              <w:bottom w:val="nil"/>
              <w:right w:val="nil"/>
            </w:tcBorders>
          </w:tcPr>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 xml:space="preserve">„građani Hrvatske (stariji od 15 godina) smatraju najboljim tri načina štednje / ulaganja: kupovanje stana / kuće (30% ispitanika), oročena štednja u bankama (27%) i životno osiguranje (26%). Prema učestalosti preferiranja slijede: stambene štedionice (20%), kupovanje zemljišta (19%), štedna knjižica u banci (19%) te čuvanje novca kod kuće (17%). </w:t>
            </w:r>
          </w:p>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 xml:space="preserve">Kupovanje stana / kuće više se preferira u Istri i Primorju i Zagrebu i okolici, nego u ostalim regijama. Oročena štednja u bankama više se preferira u Lici, Kordunu i Banovini, te u Sjevernoj Hrvatskoj. U regiji Zagreb i okolica više se preferira životno osiguranje, ali i moderni načini štednje / ulaganja: kupovanje dionica i kupovanje udjela u investicijskim fondovima. U Istri i Primorju osim kupovanja stana / kuće češće se nego u ostalim regijama preferira i kupovina zemljišta kao vid štednje odnosno ulaganja. Čuvanje novca kod kuće još je uvijek atraktivan način štednje, naročito u Slavoniji. </w:t>
            </w:r>
          </w:p>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 xml:space="preserve">Skupina ispitanika u dobi od 25 do 59 godina više preferira kupovinu stana / kuće / zemljišta u usporedbi s mlađim i starijim ispitanicima. Najstarija dobna skupina (stariji od 60 godina) više preferira klasične oblike štednje u bankama (oročena ili a'vista), ali i čuvanje novaca kod kuće njima je atraktivniji oblik štednje. Uspoređujući različite dobne skupine ispitanika, oni u dobi </w:t>
            </w:r>
            <w:r w:rsidRPr="008F6D0C">
              <w:rPr>
                <w:rFonts w:asciiTheme="minorHAnsi" w:eastAsiaTheme="minorHAnsi" w:hAnsiTheme="minorHAnsi" w:cstheme="minorBidi"/>
                <w:i/>
                <w:sz w:val="22"/>
                <w:szCs w:val="22"/>
                <w:lang w:val="hr-HR" w:eastAsia="en-US"/>
              </w:rPr>
              <w:lastRenderedPageBreak/>
              <w:t>30 do 39 godina češće navode životno osiguranje, dok se za stambene štedionice češće odlučuju mlađi ispitanici - oni u odbi 20 do 24 godine.</w:t>
            </w:r>
          </w:p>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Utvrđene su i neke razlike po obrazovnom statusu ispitanika. Obrazovaniji više preferiraju kupovanje stana / kuće / zemljišta, dok manje obrazovani više preferiraju a'vista štednju u bankama te čuvanje novca kod kuće. Ispitanici s najvišim stupnjem završenog obrazovanja (viša škola, fakultet, magisterij, doktorat) češće preferiraju životno osiguranje, stambenu štednju, i ulaganje u investicijske fondove.</w:t>
            </w:r>
          </w:p>
          <w:p w:rsidR="008F6D0C" w:rsidRPr="008F6D0C" w:rsidRDefault="008F6D0C" w:rsidP="008A30F4">
            <w:pPr>
              <w:pStyle w:val="Arial"/>
              <w:spacing w:after="40" w:line="269" w:lineRule="auto"/>
              <w:rPr>
                <w:rFonts w:asciiTheme="minorHAnsi" w:eastAsiaTheme="minorHAnsi" w:hAnsiTheme="minorHAnsi" w:cstheme="minorBidi"/>
                <w:i/>
                <w:sz w:val="22"/>
                <w:szCs w:val="22"/>
                <w:lang w:val="hr-HR" w:eastAsia="en-US"/>
              </w:rPr>
            </w:pPr>
            <w:r w:rsidRPr="008F6D0C">
              <w:rPr>
                <w:rFonts w:asciiTheme="minorHAnsi" w:eastAsiaTheme="minorHAnsi" w:hAnsiTheme="minorHAnsi" w:cstheme="minorBidi"/>
                <w:i/>
                <w:sz w:val="22"/>
                <w:szCs w:val="22"/>
                <w:lang w:val="hr-HR" w:eastAsia="en-US"/>
              </w:rPr>
              <w:t>Što su ispitanici boljeg socio-ekonomskog statusa to se češće biraju različiti načini štednje / ulaganja, ali ipak češće se preferiraju kupovine stana / kuće / zemljišta, životno osiguranje, stambena štednja i moderni načini ulaganja - kupovina dionica i investicijski fondovi. Ispitanici najnižeg socio-ekonomskog statusa češće se opredjeljuju za čuvanje novca kod kuće i a'vista štednju u banci što smatraju najatraktivnijim načinima štednje.</w:t>
            </w:r>
          </w:p>
          <w:p w:rsidR="008F6D0C" w:rsidRDefault="008F6D0C" w:rsidP="008A30F4">
            <w:pPr>
              <w:pStyle w:val="Arial"/>
              <w:spacing w:after="40" w:line="269" w:lineRule="auto"/>
              <w:rPr>
                <w:rFonts w:asciiTheme="minorHAnsi" w:eastAsiaTheme="minorHAnsi" w:hAnsiTheme="minorHAnsi" w:cstheme="minorBidi"/>
                <w:sz w:val="24"/>
                <w:szCs w:val="24"/>
                <w:lang w:val="hr-HR" w:eastAsia="en-US"/>
              </w:rPr>
            </w:pPr>
            <w:r w:rsidRPr="008F6D0C">
              <w:rPr>
                <w:rFonts w:asciiTheme="minorHAnsi" w:eastAsiaTheme="minorHAnsi" w:hAnsiTheme="minorHAnsi" w:cstheme="minorBidi"/>
                <w:i/>
                <w:sz w:val="22"/>
                <w:szCs w:val="22"/>
                <w:lang w:val="hr-HR" w:eastAsia="en-US"/>
              </w:rPr>
              <w:t>Tri su najvažnija motiva za štednju: štedi se zbog nepredvidivih okolnosti, izvanrednih stanja, hitnih slučajeva (25%), radi vlastite djece (22%) i radi vlastite mirovine / za stare dane (21%). 14% ispitanika štedi radi kupovine stana / kuće.“</w:t>
            </w:r>
            <w:r w:rsidR="006E3085" w:rsidRPr="00F65258">
              <w:rPr>
                <w:vertAlign w:val="superscript"/>
              </w:rPr>
              <w:t xml:space="preserve"> </w:t>
            </w:r>
            <w:r w:rsidR="006E3085" w:rsidRPr="00F65258">
              <w:rPr>
                <w:vertAlign w:val="superscript"/>
              </w:rPr>
              <w:footnoteReference w:id="10"/>
            </w:r>
          </w:p>
        </w:tc>
      </w:tr>
    </w:tbl>
    <w:p w:rsidR="00F65258" w:rsidRDefault="00F65258" w:rsidP="0002314D">
      <w:pPr>
        <w:pStyle w:val="Arial"/>
        <w:spacing w:before="240" w:after="200" w:line="276" w:lineRule="auto"/>
        <w:rPr>
          <w:rFonts w:asciiTheme="minorHAnsi" w:eastAsiaTheme="minorHAnsi" w:hAnsiTheme="minorHAnsi" w:cstheme="minorBidi"/>
          <w:sz w:val="24"/>
          <w:szCs w:val="24"/>
          <w:lang w:val="hr-HR" w:eastAsia="en-US"/>
        </w:rPr>
      </w:pPr>
      <w:r w:rsidRPr="00F65258">
        <w:rPr>
          <w:rFonts w:asciiTheme="minorHAnsi" w:eastAsiaTheme="minorHAnsi" w:hAnsiTheme="minorHAnsi" w:cstheme="minorBidi"/>
          <w:sz w:val="24"/>
          <w:szCs w:val="24"/>
          <w:lang w:val="hr-HR" w:eastAsia="en-US"/>
        </w:rPr>
        <w:lastRenderedPageBreak/>
        <w:t xml:space="preserve">Nasuprot rezultatima istraživanja iz 2005., djelomično drugačiju sliku daju rezultati istraživanja GfK iz veljače 2014. o penetraciji štednih i kreditnih proizvoda u zemljama regije srednje i istočne Europe (slika </w:t>
      </w:r>
      <w:r w:rsidR="00D7054B">
        <w:rPr>
          <w:rFonts w:asciiTheme="minorHAnsi" w:eastAsiaTheme="minorHAnsi" w:hAnsiTheme="minorHAnsi" w:cstheme="minorBidi"/>
          <w:sz w:val="24"/>
          <w:szCs w:val="24"/>
          <w:lang w:val="hr-HR" w:eastAsia="en-US"/>
        </w:rPr>
        <w:t>8</w:t>
      </w:r>
      <w:r w:rsidRPr="00F65258">
        <w:rPr>
          <w:rFonts w:asciiTheme="minorHAnsi" w:eastAsiaTheme="minorHAnsi" w:hAnsiTheme="minorHAnsi" w:cstheme="minorBidi"/>
          <w:sz w:val="24"/>
          <w:szCs w:val="24"/>
          <w:lang w:val="hr-HR" w:eastAsia="en-US"/>
        </w:rPr>
        <w:t>).</w:t>
      </w:r>
    </w:p>
    <w:p w:rsidR="00B317E2" w:rsidRDefault="00590C62" w:rsidP="0002314D">
      <w:pPr>
        <w:spacing w:after="0"/>
        <w:jc w:val="both"/>
        <w:rPr>
          <w:b/>
          <w:sz w:val="24"/>
          <w:szCs w:val="24"/>
        </w:rPr>
      </w:pPr>
      <w:r w:rsidRPr="00691D54">
        <w:rPr>
          <w:b/>
          <w:sz w:val="24"/>
          <w:szCs w:val="24"/>
        </w:rPr>
        <w:t xml:space="preserve">Slika </w:t>
      </w:r>
      <w:r w:rsidR="00D7054B">
        <w:rPr>
          <w:b/>
          <w:sz w:val="24"/>
          <w:szCs w:val="24"/>
        </w:rPr>
        <w:t>8</w:t>
      </w:r>
      <w:r w:rsidRPr="00691D54">
        <w:rPr>
          <w:b/>
          <w:sz w:val="24"/>
          <w:szCs w:val="24"/>
        </w:rPr>
        <w:t>: Rezultati istraživanja Gf</w:t>
      </w:r>
      <w:r>
        <w:rPr>
          <w:b/>
          <w:sz w:val="24"/>
          <w:szCs w:val="24"/>
        </w:rPr>
        <w:t>K</w:t>
      </w:r>
      <w:r w:rsidRPr="00691D54">
        <w:rPr>
          <w:b/>
          <w:sz w:val="24"/>
          <w:szCs w:val="24"/>
        </w:rPr>
        <w:t xml:space="preserve"> </w:t>
      </w:r>
      <w:r w:rsidR="00F65258">
        <w:rPr>
          <w:b/>
          <w:sz w:val="24"/>
          <w:szCs w:val="24"/>
        </w:rPr>
        <w:t xml:space="preserve">iz 2014. </w:t>
      </w:r>
      <w:r w:rsidRPr="00691D54">
        <w:rPr>
          <w:b/>
          <w:sz w:val="24"/>
          <w:szCs w:val="24"/>
        </w:rPr>
        <w:t xml:space="preserve">o penetraciji štednih i kreditnih proizvoda među ukupnim stanovništvom </w:t>
      </w:r>
      <w:r w:rsidR="00F65258">
        <w:rPr>
          <w:b/>
          <w:sz w:val="24"/>
          <w:szCs w:val="24"/>
        </w:rPr>
        <w:t>CEE zemalja</w:t>
      </w:r>
    </w:p>
    <w:p w:rsidR="00590C62" w:rsidRPr="007752FF" w:rsidRDefault="00F65258" w:rsidP="0002314D">
      <w:pPr>
        <w:spacing w:after="0" w:line="240" w:lineRule="auto"/>
        <w:jc w:val="both"/>
        <w:rPr>
          <w:sz w:val="24"/>
          <w:szCs w:val="24"/>
        </w:rPr>
      </w:pPr>
      <w:r>
        <w:rPr>
          <w:noProof/>
          <w:sz w:val="24"/>
          <w:szCs w:val="24"/>
          <w:lang w:eastAsia="hr-HR"/>
        </w:rPr>
        <w:drawing>
          <wp:inline distT="0" distB="0" distL="0" distR="0" wp14:anchorId="330CB356" wp14:editId="0948C8CE">
            <wp:extent cx="5724525" cy="3505200"/>
            <wp:effectExtent l="0" t="0" r="952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3505200"/>
                    </a:xfrm>
                    <a:prstGeom prst="rect">
                      <a:avLst/>
                    </a:prstGeom>
                    <a:noFill/>
                    <a:ln>
                      <a:noFill/>
                    </a:ln>
                  </pic:spPr>
                </pic:pic>
              </a:graphicData>
            </a:graphic>
          </wp:inline>
        </w:drawing>
      </w:r>
    </w:p>
    <w:p w:rsidR="00590C62" w:rsidRPr="005B2730" w:rsidRDefault="0002314D" w:rsidP="00590C62">
      <w:pPr>
        <w:jc w:val="both"/>
        <w:rPr>
          <w:sz w:val="20"/>
          <w:szCs w:val="20"/>
        </w:rPr>
      </w:pPr>
      <w:r>
        <w:rPr>
          <w:sz w:val="20"/>
          <w:szCs w:val="20"/>
        </w:rPr>
        <w:t>Izvor: p</w:t>
      </w:r>
      <w:r w:rsidR="002A63C6">
        <w:rPr>
          <w:sz w:val="20"/>
          <w:szCs w:val="20"/>
        </w:rPr>
        <w:t>reuzeto iz:</w:t>
      </w:r>
      <w:r w:rsidR="002A63C6" w:rsidRPr="00A94513">
        <w:rPr>
          <w:sz w:val="20"/>
          <w:szCs w:val="20"/>
        </w:rPr>
        <w:t xml:space="preserve"> </w:t>
      </w:r>
      <w:r w:rsidR="00590C62" w:rsidRPr="005B2730">
        <w:rPr>
          <w:rFonts w:eastAsia="Times New Roman" w:cs="Times New Roman"/>
          <w:sz w:val="20"/>
          <w:szCs w:val="20"/>
          <w:lang w:eastAsia="hr-HR"/>
        </w:rPr>
        <w:t xml:space="preserve">GfK: </w:t>
      </w:r>
      <w:r w:rsidR="00D33C8D">
        <w:rPr>
          <w:rFonts w:eastAsia="Times New Roman" w:cs="Times New Roman"/>
          <w:sz w:val="20"/>
          <w:szCs w:val="20"/>
          <w:lang w:eastAsia="hr-HR"/>
        </w:rPr>
        <w:t>„</w:t>
      </w:r>
      <w:r w:rsidR="00590C62" w:rsidRPr="005B2730">
        <w:rPr>
          <w:rFonts w:eastAsia="Times New Roman" w:cs="Times New Roman"/>
          <w:sz w:val="20"/>
          <w:szCs w:val="20"/>
          <w:lang w:eastAsia="hr-HR"/>
        </w:rPr>
        <w:t>Press release</w:t>
      </w:r>
      <w:r w:rsidR="00D33C8D">
        <w:rPr>
          <w:rFonts w:eastAsia="Times New Roman" w:cs="Times New Roman"/>
          <w:sz w:val="20"/>
          <w:szCs w:val="20"/>
          <w:lang w:eastAsia="hr-HR"/>
        </w:rPr>
        <w:t>“</w:t>
      </w:r>
      <w:r w:rsidR="00590C62" w:rsidRPr="005B2730">
        <w:rPr>
          <w:rFonts w:eastAsia="Times New Roman" w:cs="Times New Roman"/>
          <w:sz w:val="20"/>
          <w:szCs w:val="20"/>
          <w:lang w:eastAsia="hr-HR"/>
        </w:rPr>
        <w:t xml:space="preserve">, 28.2.2014., </w:t>
      </w:r>
      <w:r w:rsidR="005B2730">
        <w:rPr>
          <w:rFonts w:eastAsia="Times New Roman" w:cs="Times New Roman"/>
          <w:sz w:val="20"/>
          <w:szCs w:val="20"/>
          <w:lang w:eastAsia="hr-HR"/>
        </w:rPr>
        <w:t xml:space="preserve">dostupno na: </w:t>
      </w:r>
      <w:r w:rsidR="00590C62" w:rsidRPr="005B2730">
        <w:rPr>
          <w:sz w:val="20"/>
          <w:szCs w:val="20"/>
        </w:rPr>
        <w:t>http://www.gfk.com/cz/news-and-events/news/documents/140226_gfk_press_release_cee_savings_and_loans_enfin.pdf</w:t>
      </w:r>
    </w:p>
    <w:p w:rsidR="00B220A7" w:rsidRDefault="00B220A7" w:rsidP="00B220A7">
      <w:pPr>
        <w:jc w:val="both"/>
        <w:rPr>
          <w:sz w:val="24"/>
          <w:szCs w:val="24"/>
        </w:rPr>
      </w:pPr>
      <w:r>
        <w:rPr>
          <w:sz w:val="24"/>
          <w:szCs w:val="24"/>
        </w:rPr>
        <w:lastRenderedPageBreak/>
        <w:t xml:space="preserve">Za razliku od Austrije, Njemačke, Slovačke i Češke koje se </w:t>
      </w:r>
      <w:r w:rsidR="00CA6CF3">
        <w:rPr>
          <w:sz w:val="24"/>
          <w:szCs w:val="24"/>
        </w:rPr>
        <w:t>(</w:t>
      </w:r>
      <w:r w:rsidR="00CA6CF3" w:rsidRPr="00CA6CF3">
        <w:rPr>
          <w:sz w:val="24"/>
          <w:szCs w:val="24"/>
        </w:rPr>
        <w:t>prema navedenom istraživanju</w:t>
      </w:r>
      <w:r w:rsidR="00CA6CF3">
        <w:rPr>
          <w:sz w:val="24"/>
          <w:szCs w:val="24"/>
        </w:rPr>
        <w:t xml:space="preserve"> GfK)</w:t>
      </w:r>
      <w:r w:rsidR="00CA6CF3" w:rsidRPr="00CA6CF3">
        <w:rPr>
          <w:sz w:val="24"/>
          <w:szCs w:val="24"/>
        </w:rPr>
        <w:t xml:space="preserve"> </w:t>
      </w:r>
      <w:r>
        <w:rPr>
          <w:sz w:val="24"/>
          <w:szCs w:val="24"/>
        </w:rPr>
        <w:t xml:space="preserve">ističu kao zemlje u kojima više od polovice stanovništva u dobi starijoj od 15 godina ima neki oblik štednog proizvoda, </w:t>
      </w:r>
      <w:r w:rsidR="00CA6CF3">
        <w:rPr>
          <w:color w:val="C00000"/>
          <w:sz w:val="24"/>
          <w:szCs w:val="24"/>
        </w:rPr>
        <w:t xml:space="preserve">u Hrvatskoj </w:t>
      </w:r>
      <w:r w:rsidRPr="00262099">
        <w:rPr>
          <w:color w:val="C00000"/>
          <w:sz w:val="24"/>
          <w:szCs w:val="24"/>
        </w:rPr>
        <w:t xml:space="preserve">tek 20% </w:t>
      </w:r>
      <w:r w:rsidR="00CA6CF3">
        <w:rPr>
          <w:color w:val="C00000"/>
          <w:sz w:val="24"/>
          <w:szCs w:val="24"/>
        </w:rPr>
        <w:t xml:space="preserve">osoba </w:t>
      </w:r>
      <w:r w:rsidRPr="00262099">
        <w:rPr>
          <w:color w:val="C00000"/>
          <w:sz w:val="24"/>
          <w:szCs w:val="24"/>
        </w:rPr>
        <w:t>koristi štedne proizvode, dok 21% koristi neki oblik kreditnog proizvoda</w:t>
      </w:r>
      <w:r w:rsidR="00CA6CF3">
        <w:rPr>
          <w:color w:val="C00000"/>
          <w:sz w:val="24"/>
          <w:szCs w:val="24"/>
        </w:rPr>
        <w:t>.</w:t>
      </w:r>
      <w:r w:rsidR="00CA6CF3" w:rsidRPr="00CA6CF3">
        <w:rPr>
          <w:rStyle w:val="Referencafusnote"/>
          <w:sz w:val="24"/>
          <w:szCs w:val="24"/>
        </w:rPr>
        <w:t xml:space="preserve"> </w:t>
      </w:r>
      <w:r w:rsidR="00CA6CF3">
        <w:rPr>
          <w:rStyle w:val="Referencafusnote"/>
          <w:sz w:val="24"/>
          <w:szCs w:val="24"/>
        </w:rPr>
        <w:footnoteReference w:id="11"/>
      </w:r>
      <w:r w:rsidR="00CA6CF3">
        <w:rPr>
          <w:color w:val="C00000"/>
          <w:sz w:val="24"/>
          <w:szCs w:val="24"/>
        </w:rPr>
        <w:t xml:space="preserve"> </w:t>
      </w:r>
      <w:r w:rsidR="00CA6CF3" w:rsidRPr="00CA6CF3">
        <w:rPr>
          <w:sz w:val="24"/>
          <w:szCs w:val="24"/>
        </w:rPr>
        <w:t>T</w:t>
      </w:r>
      <w:r w:rsidR="0032585A" w:rsidRPr="0032585A">
        <w:rPr>
          <w:sz w:val="24"/>
          <w:szCs w:val="24"/>
        </w:rPr>
        <w:t>o ukazuje da je financijska uključenost relativno niska</w:t>
      </w:r>
      <w:r>
        <w:rPr>
          <w:sz w:val="24"/>
          <w:szCs w:val="24"/>
        </w:rPr>
        <w:t xml:space="preserve">. Udio onih koji imaju štedne proizvode u Hrvatskoj je niži nego u Sloveniji i Makedoniji, </w:t>
      </w:r>
      <w:r w:rsidR="00CA6CF3">
        <w:rPr>
          <w:sz w:val="24"/>
          <w:szCs w:val="24"/>
        </w:rPr>
        <w:t xml:space="preserve">a </w:t>
      </w:r>
      <w:r>
        <w:rPr>
          <w:sz w:val="24"/>
          <w:szCs w:val="24"/>
        </w:rPr>
        <w:t>veći nego u Mađarskoj, BiH, Bugarskoj ili Rumunjskoj. Među promatranim zemljama najlošija je situacija u Srbiji gdje tek 3% građana ima štedne proizvode.</w:t>
      </w:r>
    </w:p>
    <w:p w:rsidR="00B220A7" w:rsidRDefault="00B220A7" w:rsidP="00B220A7">
      <w:pPr>
        <w:jc w:val="both"/>
        <w:rPr>
          <w:sz w:val="24"/>
          <w:szCs w:val="24"/>
        </w:rPr>
      </w:pPr>
      <w:r>
        <w:rPr>
          <w:sz w:val="24"/>
          <w:szCs w:val="24"/>
        </w:rPr>
        <w:t xml:space="preserve">Očito da različite ankete i istraživanja koje se provode za različite svrhe na različitim uzorcima dolaze do različitih zaključaka te mogu biti manje ili više reprezentativne i </w:t>
      </w:r>
      <w:r w:rsidR="00954C80">
        <w:rPr>
          <w:sz w:val="24"/>
          <w:szCs w:val="24"/>
        </w:rPr>
        <w:t>pouzdane</w:t>
      </w:r>
      <w:r>
        <w:rPr>
          <w:sz w:val="24"/>
          <w:szCs w:val="24"/>
        </w:rPr>
        <w:t xml:space="preserve">, a osim toga </w:t>
      </w:r>
      <w:r w:rsidRPr="0002314D">
        <w:rPr>
          <w:color w:val="C00000"/>
          <w:sz w:val="24"/>
          <w:szCs w:val="24"/>
        </w:rPr>
        <w:t>kod anketnih istraživanja uvijek je problematično kako ispitanici doživljavaju postavljena pitanja</w:t>
      </w:r>
      <w:r>
        <w:rPr>
          <w:sz w:val="24"/>
          <w:szCs w:val="24"/>
        </w:rPr>
        <w:t>. Na primjer pojedinac koji kod kuće ima kumuliranih 5.000 kuna štednje „za crne dane“ možda sebe uopće ne doživljava kao štedišu jer nema oročenu štednju u banci. Novac na tekućim i žiro računima formalno nije štednja iako može služiti u tu svrhu, dok se u depozite u funkciji štednje u službenoj statistici uključuju a vista štedni depoziti i oročeni depoziti.</w:t>
      </w:r>
      <w:r w:rsidR="00222740">
        <w:rPr>
          <w:sz w:val="24"/>
          <w:szCs w:val="24"/>
        </w:rPr>
        <w:t xml:space="preserve"> </w:t>
      </w:r>
      <w:r w:rsidR="0002314D">
        <w:rPr>
          <w:sz w:val="24"/>
          <w:szCs w:val="24"/>
        </w:rPr>
        <w:t xml:space="preserve">Na sličan način, </w:t>
      </w:r>
      <w:r w:rsidR="00954C80">
        <w:rPr>
          <w:sz w:val="24"/>
          <w:szCs w:val="24"/>
        </w:rPr>
        <w:t xml:space="preserve">korištenje kreditnih kartica i mogućnosti otplata u ratama </w:t>
      </w:r>
      <w:r w:rsidR="0002314D">
        <w:rPr>
          <w:sz w:val="24"/>
          <w:szCs w:val="24"/>
        </w:rPr>
        <w:t>brojne osobe uo</w:t>
      </w:r>
      <w:r w:rsidR="00954C80">
        <w:rPr>
          <w:sz w:val="24"/>
          <w:szCs w:val="24"/>
        </w:rPr>
        <w:t>pće ne doživljavaju kao korištenje kredita.</w:t>
      </w:r>
    </w:p>
    <w:p w:rsidR="00620F70" w:rsidRDefault="00302851" w:rsidP="005D165D">
      <w:pPr>
        <w:jc w:val="both"/>
        <w:rPr>
          <w:sz w:val="24"/>
          <w:szCs w:val="24"/>
        </w:rPr>
      </w:pPr>
      <w:r>
        <w:rPr>
          <w:sz w:val="24"/>
          <w:szCs w:val="24"/>
        </w:rPr>
        <w:t>L</w:t>
      </w:r>
      <w:r w:rsidR="006A64E4">
        <w:rPr>
          <w:sz w:val="24"/>
          <w:szCs w:val="24"/>
        </w:rPr>
        <w:t xml:space="preserve">judi </w:t>
      </w:r>
      <w:r>
        <w:rPr>
          <w:sz w:val="24"/>
          <w:szCs w:val="24"/>
        </w:rPr>
        <w:t>„</w:t>
      </w:r>
      <w:r w:rsidR="006A64E4">
        <w:rPr>
          <w:sz w:val="24"/>
          <w:szCs w:val="24"/>
        </w:rPr>
        <w:t>štede</w:t>
      </w:r>
      <w:r>
        <w:rPr>
          <w:sz w:val="24"/>
          <w:szCs w:val="24"/>
        </w:rPr>
        <w:t>“</w:t>
      </w:r>
      <w:r w:rsidR="006A64E4">
        <w:rPr>
          <w:sz w:val="24"/>
          <w:szCs w:val="24"/>
        </w:rPr>
        <w:t xml:space="preserve"> trošeći manje</w:t>
      </w:r>
      <w:r w:rsidR="00485890">
        <w:rPr>
          <w:sz w:val="24"/>
          <w:szCs w:val="24"/>
        </w:rPr>
        <w:t xml:space="preserve">, </w:t>
      </w:r>
      <w:r>
        <w:rPr>
          <w:sz w:val="24"/>
          <w:szCs w:val="24"/>
        </w:rPr>
        <w:t xml:space="preserve"> </w:t>
      </w:r>
      <w:r w:rsidR="006A64E4">
        <w:rPr>
          <w:sz w:val="24"/>
          <w:szCs w:val="24"/>
        </w:rPr>
        <w:t>kako kažu</w:t>
      </w:r>
      <w:r w:rsidR="00485890">
        <w:rPr>
          <w:sz w:val="24"/>
          <w:szCs w:val="24"/>
        </w:rPr>
        <w:t xml:space="preserve"> -</w:t>
      </w:r>
      <w:r w:rsidR="006A64E4">
        <w:rPr>
          <w:sz w:val="24"/>
          <w:szCs w:val="24"/>
        </w:rPr>
        <w:t xml:space="preserve"> „štede na svemu“</w:t>
      </w:r>
      <w:r w:rsidR="001777A0">
        <w:rPr>
          <w:sz w:val="24"/>
          <w:szCs w:val="24"/>
        </w:rPr>
        <w:t>,</w:t>
      </w:r>
      <w:r w:rsidR="006A64E4">
        <w:rPr>
          <w:sz w:val="24"/>
          <w:szCs w:val="24"/>
        </w:rPr>
        <w:t xml:space="preserve"> ali to još uvijek ne znači da koriste štedn</w:t>
      </w:r>
      <w:r w:rsidR="00716138">
        <w:rPr>
          <w:sz w:val="24"/>
          <w:szCs w:val="24"/>
        </w:rPr>
        <w:t>e</w:t>
      </w:r>
      <w:r w:rsidR="006A64E4">
        <w:rPr>
          <w:sz w:val="24"/>
          <w:szCs w:val="24"/>
        </w:rPr>
        <w:t xml:space="preserve"> proizvod</w:t>
      </w:r>
      <w:r w:rsidR="00716138">
        <w:rPr>
          <w:sz w:val="24"/>
          <w:szCs w:val="24"/>
        </w:rPr>
        <w:t>e</w:t>
      </w:r>
      <w:r w:rsidR="006A64E4">
        <w:rPr>
          <w:sz w:val="24"/>
          <w:szCs w:val="24"/>
        </w:rPr>
        <w:t xml:space="preserve"> financijske institucije ili da imaju „štednju u čarapi“. </w:t>
      </w:r>
      <w:r w:rsidR="001777A0">
        <w:rPr>
          <w:sz w:val="24"/>
          <w:szCs w:val="24"/>
        </w:rPr>
        <w:t xml:space="preserve">S tim u vezi važno je  razlikovati </w:t>
      </w:r>
      <w:r w:rsidR="00FE7C0B">
        <w:rPr>
          <w:sz w:val="24"/>
          <w:szCs w:val="24"/>
        </w:rPr>
        <w:t xml:space="preserve">situacije kada je primjerenije </w:t>
      </w:r>
      <w:r w:rsidR="001777A0">
        <w:rPr>
          <w:sz w:val="24"/>
          <w:szCs w:val="24"/>
        </w:rPr>
        <w:t xml:space="preserve">korištenje pojma </w:t>
      </w:r>
      <w:r w:rsidR="00716138">
        <w:rPr>
          <w:sz w:val="24"/>
          <w:szCs w:val="24"/>
        </w:rPr>
        <w:t>„</w:t>
      </w:r>
      <w:r w:rsidR="001777A0">
        <w:rPr>
          <w:sz w:val="24"/>
          <w:szCs w:val="24"/>
        </w:rPr>
        <w:t>štednja</w:t>
      </w:r>
      <w:r w:rsidR="00716138">
        <w:rPr>
          <w:sz w:val="24"/>
          <w:szCs w:val="24"/>
        </w:rPr>
        <w:t>“</w:t>
      </w:r>
      <w:r w:rsidR="001777A0">
        <w:rPr>
          <w:sz w:val="24"/>
          <w:szCs w:val="24"/>
        </w:rPr>
        <w:t xml:space="preserve"> </w:t>
      </w:r>
      <w:r w:rsidR="00FE7C0B">
        <w:rPr>
          <w:sz w:val="24"/>
          <w:szCs w:val="24"/>
        </w:rPr>
        <w:t xml:space="preserve">od </w:t>
      </w:r>
      <w:r w:rsidR="00716138">
        <w:rPr>
          <w:sz w:val="24"/>
          <w:szCs w:val="24"/>
        </w:rPr>
        <w:t xml:space="preserve">drugih situacija </w:t>
      </w:r>
      <w:r w:rsidR="00FE7C0B">
        <w:rPr>
          <w:sz w:val="24"/>
          <w:szCs w:val="24"/>
        </w:rPr>
        <w:t xml:space="preserve">kada je primjerenije korištenje pojma </w:t>
      </w:r>
      <w:r w:rsidR="001777A0" w:rsidRPr="001777A0">
        <w:rPr>
          <w:color w:val="C00000"/>
          <w:sz w:val="24"/>
          <w:szCs w:val="24"/>
        </w:rPr>
        <w:t>racionalizacija troškova</w:t>
      </w:r>
      <w:r w:rsidR="00FE7C0B">
        <w:rPr>
          <w:sz w:val="24"/>
          <w:szCs w:val="24"/>
        </w:rPr>
        <w:t xml:space="preserve"> </w:t>
      </w:r>
      <w:r w:rsidR="005B2730">
        <w:rPr>
          <w:sz w:val="24"/>
          <w:szCs w:val="24"/>
        </w:rPr>
        <w:t xml:space="preserve">npr. štednja električne energije </w:t>
      </w:r>
      <w:r w:rsidR="00485890">
        <w:rPr>
          <w:sz w:val="24"/>
          <w:szCs w:val="24"/>
        </w:rPr>
        <w:t>(bilo</w:t>
      </w:r>
      <w:r w:rsidR="005B2730">
        <w:rPr>
          <w:sz w:val="24"/>
          <w:szCs w:val="24"/>
        </w:rPr>
        <w:t xml:space="preserve"> zbog odgovornog odnosa prema okolišu </w:t>
      </w:r>
      <w:r w:rsidR="00485890">
        <w:rPr>
          <w:sz w:val="24"/>
          <w:szCs w:val="24"/>
        </w:rPr>
        <w:t>bilo</w:t>
      </w:r>
      <w:r w:rsidR="005B2730">
        <w:rPr>
          <w:sz w:val="24"/>
          <w:szCs w:val="24"/>
        </w:rPr>
        <w:t xml:space="preserve"> zbog smanjenja troškova života</w:t>
      </w:r>
      <w:r w:rsidR="00485890">
        <w:rPr>
          <w:sz w:val="24"/>
          <w:szCs w:val="24"/>
        </w:rPr>
        <w:t>)</w:t>
      </w:r>
      <w:r w:rsidR="005B2730">
        <w:rPr>
          <w:sz w:val="24"/>
          <w:szCs w:val="24"/>
        </w:rPr>
        <w:t>, suzdržavanje od izdataka koji nisu neophodni itd.</w:t>
      </w:r>
      <w:r w:rsidR="00485890">
        <w:rPr>
          <w:sz w:val="24"/>
          <w:szCs w:val="24"/>
        </w:rPr>
        <w:t xml:space="preserve"> -</w:t>
      </w:r>
      <w:r w:rsidR="001777A0">
        <w:rPr>
          <w:sz w:val="24"/>
          <w:szCs w:val="24"/>
        </w:rPr>
        <w:t xml:space="preserve"> iako se matematički </w:t>
      </w:r>
      <w:r w:rsidR="005B2730">
        <w:rPr>
          <w:sz w:val="24"/>
          <w:szCs w:val="24"/>
        </w:rPr>
        <w:t xml:space="preserve">i definicijski, </w:t>
      </w:r>
      <w:r w:rsidR="00716138">
        <w:rPr>
          <w:sz w:val="24"/>
          <w:szCs w:val="24"/>
        </w:rPr>
        <w:t xml:space="preserve">jedno i drugo </w:t>
      </w:r>
      <w:r w:rsidR="001777A0">
        <w:rPr>
          <w:sz w:val="24"/>
          <w:szCs w:val="24"/>
        </w:rPr>
        <w:t>svod</w:t>
      </w:r>
      <w:r w:rsidR="00716138">
        <w:rPr>
          <w:sz w:val="24"/>
          <w:szCs w:val="24"/>
        </w:rPr>
        <w:t>i</w:t>
      </w:r>
      <w:r w:rsidR="001777A0">
        <w:rPr>
          <w:sz w:val="24"/>
          <w:szCs w:val="24"/>
        </w:rPr>
        <w:t xml:space="preserve"> na isto</w:t>
      </w:r>
      <w:r w:rsidR="00485890">
        <w:rPr>
          <w:sz w:val="24"/>
          <w:szCs w:val="24"/>
        </w:rPr>
        <w:t>: š</w:t>
      </w:r>
      <w:r w:rsidR="005B2730">
        <w:rPr>
          <w:sz w:val="24"/>
          <w:szCs w:val="24"/>
        </w:rPr>
        <w:t>tednja o</w:t>
      </w:r>
      <w:r w:rsidR="00485890">
        <w:rPr>
          <w:sz w:val="24"/>
          <w:szCs w:val="24"/>
        </w:rPr>
        <w:t>značava neutrošeni dio dohotka.</w:t>
      </w:r>
      <w:r w:rsidR="00FE7C0B">
        <w:rPr>
          <w:sz w:val="24"/>
          <w:szCs w:val="24"/>
        </w:rPr>
        <w:t xml:space="preserve"> </w:t>
      </w:r>
      <w:r w:rsidR="006E3085">
        <w:rPr>
          <w:sz w:val="24"/>
          <w:szCs w:val="24"/>
        </w:rPr>
        <w:t>U nekom drugom slučaju</w:t>
      </w:r>
      <w:r w:rsidR="00485890">
        <w:rPr>
          <w:sz w:val="24"/>
          <w:szCs w:val="24"/>
        </w:rPr>
        <w:t>,</w:t>
      </w:r>
      <w:r w:rsidR="006E3085">
        <w:rPr>
          <w:sz w:val="24"/>
          <w:szCs w:val="24"/>
        </w:rPr>
        <w:t xml:space="preserve"> pojedinci možda razmišljaju da se razgovor o štednji odnosi ne „nekog drugog“ - imućnog </w:t>
      </w:r>
      <w:r w:rsidR="005B2730">
        <w:rPr>
          <w:sz w:val="24"/>
          <w:szCs w:val="24"/>
        </w:rPr>
        <w:t>pojedinca pa stoga u pitanju „d</w:t>
      </w:r>
      <w:r w:rsidR="006E3085">
        <w:rPr>
          <w:sz w:val="24"/>
          <w:szCs w:val="24"/>
        </w:rPr>
        <w:t xml:space="preserve">a li štede“ odgovaraju da „ne štede“ jer za to nemaju mogućnosti (iako praktično štede kroz racionalizaciju troškova). </w:t>
      </w:r>
    </w:p>
    <w:p w:rsidR="00B93FD3" w:rsidRDefault="00467E11" w:rsidP="00F0185A">
      <w:pPr>
        <w:jc w:val="both"/>
        <w:rPr>
          <w:sz w:val="24"/>
          <w:szCs w:val="24"/>
        </w:rPr>
      </w:pPr>
      <w:r>
        <w:rPr>
          <w:sz w:val="24"/>
          <w:szCs w:val="24"/>
        </w:rPr>
        <w:t>Međutim, o</w:t>
      </w:r>
      <w:r w:rsidR="00B54564">
        <w:rPr>
          <w:sz w:val="24"/>
          <w:szCs w:val="24"/>
        </w:rPr>
        <w:t xml:space="preserve">no što je </w:t>
      </w:r>
      <w:r w:rsidR="00FE7C0B">
        <w:rPr>
          <w:sz w:val="24"/>
          <w:szCs w:val="24"/>
        </w:rPr>
        <w:t xml:space="preserve">najvažnije je </w:t>
      </w:r>
      <w:r w:rsidR="00B54564">
        <w:rPr>
          <w:sz w:val="24"/>
          <w:szCs w:val="24"/>
        </w:rPr>
        <w:t xml:space="preserve">da </w:t>
      </w:r>
      <w:r w:rsidR="00B54564" w:rsidRPr="00227715">
        <w:rPr>
          <w:color w:val="C00000"/>
          <w:sz w:val="24"/>
          <w:szCs w:val="24"/>
        </w:rPr>
        <w:t>svako kućanstvo treba štedjeti najviše što m</w:t>
      </w:r>
      <w:r w:rsidR="00485890">
        <w:rPr>
          <w:color w:val="C00000"/>
          <w:sz w:val="24"/>
          <w:szCs w:val="24"/>
        </w:rPr>
        <w:t xml:space="preserve">ože </w:t>
      </w:r>
      <w:r w:rsidR="00485890" w:rsidRPr="00485890">
        <w:rPr>
          <w:sz w:val="24"/>
          <w:szCs w:val="24"/>
        </w:rPr>
        <w:t>te su</w:t>
      </w:r>
      <w:r w:rsidR="00B54564" w:rsidRPr="00485890">
        <w:rPr>
          <w:sz w:val="24"/>
          <w:szCs w:val="24"/>
        </w:rPr>
        <w:t xml:space="preserve"> štednja </w:t>
      </w:r>
      <w:r w:rsidR="00485890" w:rsidRPr="00485890">
        <w:rPr>
          <w:sz w:val="24"/>
          <w:szCs w:val="24"/>
        </w:rPr>
        <w:t xml:space="preserve">i racionalizacija troškova </w:t>
      </w:r>
      <w:r w:rsidR="00B54564" w:rsidRPr="00485890">
        <w:rPr>
          <w:sz w:val="24"/>
          <w:szCs w:val="24"/>
        </w:rPr>
        <w:t>potrebn</w:t>
      </w:r>
      <w:r w:rsidR="00485890" w:rsidRPr="00485890">
        <w:rPr>
          <w:sz w:val="24"/>
          <w:szCs w:val="24"/>
        </w:rPr>
        <w:t>i</w:t>
      </w:r>
      <w:r w:rsidR="00B54564" w:rsidRPr="00485890">
        <w:rPr>
          <w:sz w:val="24"/>
          <w:szCs w:val="24"/>
        </w:rPr>
        <w:t xml:space="preserve"> </w:t>
      </w:r>
      <w:r w:rsidR="006A64E4" w:rsidRPr="00485890">
        <w:rPr>
          <w:sz w:val="24"/>
          <w:szCs w:val="24"/>
        </w:rPr>
        <w:t xml:space="preserve">kako u slučaju </w:t>
      </w:r>
      <w:r w:rsidR="00B54564" w:rsidRPr="00485890">
        <w:rPr>
          <w:sz w:val="24"/>
          <w:szCs w:val="24"/>
        </w:rPr>
        <w:t xml:space="preserve">kućanstva s vrlo niskim </w:t>
      </w:r>
      <w:r w:rsidR="0007270B" w:rsidRPr="00485890">
        <w:rPr>
          <w:sz w:val="24"/>
          <w:szCs w:val="24"/>
        </w:rPr>
        <w:t xml:space="preserve">i prosječnim </w:t>
      </w:r>
      <w:r w:rsidR="00B54564" w:rsidRPr="00485890">
        <w:rPr>
          <w:sz w:val="24"/>
          <w:szCs w:val="24"/>
        </w:rPr>
        <w:t>dohotkom</w:t>
      </w:r>
      <w:r w:rsidR="0007270B" w:rsidRPr="00485890">
        <w:rPr>
          <w:sz w:val="24"/>
          <w:szCs w:val="24"/>
        </w:rPr>
        <w:t>,</w:t>
      </w:r>
      <w:r w:rsidR="006A64E4" w:rsidRPr="00485890">
        <w:rPr>
          <w:sz w:val="24"/>
          <w:szCs w:val="24"/>
        </w:rPr>
        <w:t xml:space="preserve"> tako i </w:t>
      </w:r>
      <w:r w:rsidR="00485890" w:rsidRPr="00485890">
        <w:rPr>
          <w:sz w:val="24"/>
          <w:szCs w:val="24"/>
        </w:rPr>
        <w:t xml:space="preserve">u slučaju </w:t>
      </w:r>
      <w:r w:rsidR="006A64E4" w:rsidRPr="00485890">
        <w:rPr>
          <w:sz w:val="24"/>
          <w:szCs w:val="24"/>
        </w:rPr>
        <w:t>kućanstva s vrlo visokim dohotkom</w:t>
      </w:r>
      <w:r w:rsidR="00F0185A" w:rsidRPr="00485890">
        <w:rPr>
          <w:sz w:val="24"/>
          <w:szCs w:val="24"/>
        </w:rPr>
        <w:t xml:space="preserve">. </w:t>
      </w:r>
      <w:r w:rsidR="00F0185A" w:rsidRPr="00F0185A">
        <w:rPr>
          <w:sz w:val="24"/>
          <w:szCs w:val="24"/>
        </w:rPr>
        <w:t>N</w:t>
      </w:r>
      <w:r w:rsidR="00B54564" w:rsidRPr="00F0185A">
        <w:rPr>
          <w:sz w:val="24"/>
          <w:szCs w:val="24"/>
        </w:rPr>
        <w:t xml:space="preserve">epredviđene situacije </w:t>
      </w:r>
      <w:r w:rsidR="00F0185A" w:rsidRPr="00F0185A">
        <w:rPr>
          <w:sz w:val="24"/>
          <w:szCs w:val="24"/>
        </w:rPr>
        <w:t xml:space="preserve">se </w:t>
      </w:r>
      <w:r w:rsidR="00227715" w:rsidRPr="00F0185A">
        <w:rPr>
          <w:sz w:val="24"/>
          <w:szCs w:val="24"/>
        </w:rPr>
        <w:t xml:space="preserve">događaju </w:t>
      </w:r>
      <w:r w:rsidR="00485890" w:rsidRPr="00F0185A">
        <w:rPr>
          <w:sz w:val="24"/>
          <w:szCs w:val="24"/>
        </w:rPr>
        <w:t>svima</w:t>
      </w:r>
      <w:r w:rsidR="00485890">
        <w:rPr>
          <w:sz w:val="24"/>
          <w:szCs w:val="24"/>
        </w:rPr>
        <w:t xml:space="preserve"> </w:t>
      </w:r>
      <w:r w:rsidR="00FE7C0B">
        <w:rPr>
          <w:sz w:val="24"/>
          <w:szCs w:val="24"/>
        </w:rPr>
        <w:t>te</w:t>
      </w:r>
      <w:r w:rsidR="006A64E4" w:rsidRPr="00F0185A">
        <w:rPr>
          <w:sz w:val="24"/>
          <w:szCs w:val="24"/>
        </w:rPr>
        <w:t xml:space="preserve"> uvijek postoje </w:t>
      </w:r>
      <w:r w:rsidR="00FE7C0B">
        <w:rPr>
          <w:sz w:val="24"/>
          <w:szCs w:val="24"/>
        </w:rPr>
        <w:t xml:space="preserve">planirani i neplanirani rashodi za koje treba na vrijeme </w:t>
      </w:r>
      <w:r w:rsidR="00FE7C0B" w:rsidRPr="00485890">
        <w:rPr>
          <w:color w:val="C00000"/>
          <w:sz w:val="24"/>
          <w:szCs w:val="24"/>
        </w:rPr>
        <w:t xml:space="preserve">kumulirati rezerve štednje </w:t>
      </w:r>
      <w:r w:rsidR="0007270B">
        <w:rPr>
          <w:sz w:val="24"/>
          <w:szCs w:val="24"/>
        </w:rPr>
        <w:t>(</w:t>
      </w:r>
      <w:r w:rsidR="00FE7C0B">
        <w:rPr>
          <w:sz w:val="24"/>
          <w:szCs w:val="24"/>
        </w:rPr>
        <w:t xml:space="preserve">za </w:t>
      </w:r>
      <w:r w:rsidR="00485890">
        <w:rPr>
          <w:sz w:val="24"/>
          <w:szCs w:val="24"/>
        </w:rPr>
        <w:t xml:space="preserve">potrebe buduće kupnje </w:t>
      </w:r>
      <w:r w:rsidR="00B54564">
        <w:rPr>
          <w:sz w:val="24"/>
          <w:szCs w:val="24"/>
        </w:rPr>
        <w:t xml:space="preserve">školskih udžbenika </w:t>
      </w:r>
      <w:r w:rsidR="00FE7C0B">
        <w:rPr>
          <w:sz w:val="24"/>
          <w:szCs w:val="24"/>
        </w:rPr>
        <w:t>i stvari potr</w:t>
      </w:r>
      <w:r w:rsidR="00485890">
        <w:rPr>
          <w:sz w:val="24"/>
          <w:szCs w:val="24"/>
        </w:rPr>
        <w:t>ebnih za početak školske godine, za kupnju</w:t>
      </w:r>
      <w:r w:rsidR="00B54564">
        <w:rPr>
          <w:sz w:val="24"/>
          <w:szCs w:val="24"/>
        </w:rPr>
        <w:t xml:space="preserve"> novog televizora, hladnjaka itd.)</w:t>
      </w:r>
      <w:r w:rsidR="006A64E4">
        <w:rPr>
          <w:sz w:val="24"/>
          <w:szCs w:val="24"/>
        </w:rPr>
        <w:t xml:space="preserve">. </w:t>
      </w:r>
      <w:r w:rsidR="00B54564">
        <w:rPr>
          <w:sz w:val="24"/>
          <w:szCs w:val="24"/>
        </w:rPr>
        <w:t xml:space="preserve"> </w:t>
      </w:r>
      <w:r w:rsidR="00B93FD3">
        <w:rPr>
          <w:sz w:val="24"/>
          <w:szCs w:val="24"/>
        </w:rPr>
        <w:t xml:space="preserve">Pri tome je manje bitno u kojem obliku </w:t>
      </w:r>
      <w:r w:rsidR="006A64E4">
        <w:rPr>
          <w:sz w:val="24"/>
          <w:szCs w:val="24"/>
        </w:rPr>
        <w:t xml:space="preserve">imovine osoba drži štednju ako </w:t>
      </w:r>
      <w:r w:rsidR="00485890">
        <w:rPr>
          <w:sz w:val="24"/>
          <w:szCs w:val="24"/>
        </w:rPr>
        <w:t xml:space="preserve">se time postiže zaštita od gubitka realne vrijednosti zbog inflacije te ako je takva imovina </w:t>
      </w:r>
      <w:r w:rsidR="00B93FD3">
        <w:rPr>
          <w:sz w:val="24"/>
          <w:szCs w:val="24"/>
        </w:rPr>
        <w:t>dovoljno likvidn</w:t>
      </w:r>
      <w:r w:rsidR="006A64E4">
        <w:rPr>
          <w:sz w:val="24"/>
          <w:szCs w:val="24"/>
        </w:rPr>
        <w:t>a</w:t>
      </w:r>
      <w:r w:rsidR="00B93FD3">
        <w:rPr>
          <w:sz w:val="24"/>
          <w:szCs w:val="24"/>
        </w:rPr>
        <w:t xml:space="preserve"> i raspoloživ</w:t>
      </w:r>
      <w:r w:rsidR="006A64E4">
        <w:rPr>
          <w:sz w:val="24"/>
          <w:szCs w:val="24"/>
        </w:rPr>
        <w:t>a</w:t>
      </w:r>
      <w:r w:rsidR="00B93FD3">
        <w:rPr>
          <w:sz w:val="24"/>
          <w:szCs w:val="24"/>
        </w:rPr>
        <w:t xml:space="preserve"> kada </w:t>
      </w:r>
      <w:r w:rsidR="006A64E4">
        <w:rPr>
          <w:sz w:val="24"/>
          <w:szCs w:val="24"/>
        </w:rPr>
        <w:t>treba, ali isto</w:t>
      </w:r>
      <w:r w:rsidR="00485890">
        <w:rPr>
          <w:sz w:val="24"/>
          <w:szCs w:val="24"/>
        </w:rPr>
        <w:t xml:space="preserve">dobno </w:t>
      </w:r>
      <w:r w:rsidR="006A64E4" w:rsidRPr="00485890">
        <w:rPr>
          <w:color w:val="C00000"/>
          <w:sz w:val="24"/>
          <w:szCs w:val="24"/>
        </w:rPr>
        <w:t xml:space="preserve">„stavljena sa strane“ sprječavajući </w:t>
      </w:r>
      <w:r w:rsidR="00FE7C0B" w:rsidRPr="00485890">
        <w:rPr>
          <w:color w:val="C00000"/>
          <w:sz w:val="24"/>
          <w:szCs w:val="24"/>
        </w:rPr>
        <w:t>pojedinca</w:t>
      </w:r>
      <w:r w:rsidR="006A64E4" w:rsidRPr="00485890">
        <w:rPr>
          <w:color w:val="C00000"/>
          <w:sz w:val="24"/>
          <w:szCs w:val="24"/>
        </w:rPr>
        <w:t xml:space="preserve"> </w:t>
      </w:r>
      <w:r w:rsidR="00B93FD3" w:rsidRPr="00485890">
        <w:rPr>
          <w:color w:val="C00000"/>
          <w:sz w:val="24"/>
          <w:szCs w:val="24"/>
        </w:rPr>
        <w:t xml:space="preserve">da </w:t>
      </w:r>
      <w:r w:rsidR="00690C8F">
        <w:rPr>
          <w:color w:val="C00000"/>
          <w:sz w:val="24"/>
          <w:szCs w:val="24"/>
        </w:rPr>
        <w:t>„</w:t>
      </w:r>
      <w:r w:rsidR="006A64E4" w:rsidRPr="00485890">
        <w:rPr>
          <w:color w:val="C00000"/>
          <w:sz w:val="24"/>
          <w:szCs w:val="24"/>
        </w:rPr>
        <w:t>dođe u napast</w:t>
      </w:r>
      <w:r w:rsidR="00690C8F">
        <w:rPr>
          <w:color w:val="C00000"/>
          <w:sz w:val="24"/>
          <w:szCs w:val="24"/>
        </w:rPr>
        <w:t>“</w:t>
      </w:r>
      <w:r w:rsidR="006A64E4" w:rsidRPr="00485890">
        <w:rPr>
          <w:color w:val="C00000"/>
          <w:sz w:val="24"/>
          <w:szCs w:val="24"/>
        </w:rPr>
        <w:t xml:space="preserve"> potrošiti je prije vremena </w:t>
      </w:r>
      <w:r w:rsidR="00954C80">
        <w:rPr>
          <w:color w:val="C00000"/>
          <w:sz w:val="24"/>
          <w:szCs w:val="24"/>
        </w:rPr>
        <w:t xml:space="preserve">za koje </w:t>
      </w:r>
      <w:r w:rsidR="00234243" w:rsidRPr="00485890">
        <w:rPr>
          <w:color w:val="C00000"/>
          <w:sz w:val="24"/>
          <w:szCs w:val="24"/>
        </w:rPr>
        <w:t>je namijenjena</w:t>
      </w:r>
      <w:r w:rsidR="00B93FD3">
        <w:rPr>
          <w:sz w:val="24"/>
          <w:szCs w:val="24"/>
        </w:rPr>
        <w:t xml:space="preserve">. </w:t>
      </w:r>
    </w:p>
    <w:p w:rsidR="0007270B" w:rsidRDefault="00234243" w:rsidP="00D67286">
      <w:pPr>
        <w:spacing w:after="0"/>
        <w:jc w:val="both"/>
        <w:rPr>
          <w:sz w:val="24"/>
          <w:szCs w:val="24"/>
        </w:rPr>
      </w:pPr>
      <w:r>
        <w:rPr>
          <w:sz w:val="24"/>
          <w:szCs w:val="24"/>
        </w:rPr>
        <w:lastRenderedPageBreak/>
        <w:t>Uzimajući sve navedeno u obzir</w:t>
      </w:r>
      <w:r w:rsidR="00D67286">
        <w:rPr>
          <w:sz w:val="24"/>
          <w:szCs w:val="24"/>
        </w:rPr>
        <w:t xml:space="preserve">, </w:t>
      </w:r>
      <w:r w:rsidR="0007270B" w:rsidRPr="00D67286">
        <w:rPr>
          <w:color w:val="C00000"/>
          <w:sz w:val="24"/>
          <w:szCs w:val="24"/>
        </w:rPr>
        <w:t xml:space="preserve">motivi štednje </w:t>
      </w:r>
      <w:r w:rsidR="00954C80">
        <w:rPr>
          <w:sz w:val="24"/>
          <w:szCs w:val="24"/>
        </w:rPr>
        <w:t xml:space="preserve">mogu biti različiti, </w:t>
      </w:r>
      <w:r w:rsidR="0007270B">
        <w:rPr>
          <w:sz w:val="24"/>
          <w:szCs w:val="24"/>
        </w:rPr>
        <w:t xml:space="preserve">među kojima se </w:t>
      </w:r>
      <w:r w:rsidR="00D67286">
        <w:rPr>
          <w:sz w:val="24"/>
          <w:szCs w:val="24"/>
        </w:rPr>
        <w:t>izdv</w:t>
      </w:r>
      <w:r>
        <w:rPr>
          <w:sz w:val="24"/>
          <w:szCs w:val="24"/>
        </w:rPr>
        <w:t>a</w:t>
      </w:r>
      <w:r w:rsidR="00716138">
        <w:rPr>
          <w:sz w:val="24"/>
          <w:szCs w:val="24"/>
        </w:rPr>
        <w:t>jaju</w:t>
      </w:r>
      <w:r w:rsidR="0007270B">
        <w:rPr>
          <w:sz w:val="24"/>
          <w:szCs w:val="24"/>
        </w:rPr>
        <w:t xml:space="preserve">: </w:t>
      </w:r>
    </w:p>
    <w:p w:rsidR="006F2CB6" w:rsidRPr="00F0185A" w:rsidRDefault="006F2CB6" w:rsidP="00E93220">
      <w:pPr>
        <w:numPr>
          <w:ilvl w:val="0"/>
          <w:numId w:val="4"/>
        </w:numPr>
        <w:tabs>
          <w:tab w:val="clear" w:pos="1146"/>
          <w:tab w:val="num" w:pos="426"/>
        </w:tabs>
        <w:spacing w:after="0"/>
        <w:ind w:left="426" w:firstLine="0"/>
        <w:jc w:val="both"/>
        <w:rPr>
          <w:sz w:val="24"/>
          <w:szCs w:val="24"/>
        </w:rPr>
      </w:pPr>
      <w:r w:rsidRPr="00F0185A">
        <w:rPr>
          <w:sz w:val="24"/>
          <w:szCs w:val="24"/>
        </w:rPr>
        <w:t>stvaranje rezervi iz razloga predostrožnosti, čime se povećava osjećaj sigurnosti i neovisnosti</w:t>
      </w:r>
      <w:r w:rsidR="00D67286">
        <w:rPr>
          <w:sz w:val="24"/>
          <w:szCs w:val="24"/>
        </w:rPr>
        <w:t xml:space="preserve">, uključujući </w:t>
      </w:r>
      <w:r w:rsidR="00D67286" w:rsidRPr="00D67286">
        <w:rPr>
          <w:color w:val="C00000"/>
          <w:sz w:val="24"/>
          <w:szCs w:val="24"/>
        </w:rPr>
        <w:t xml:space="preserve">štednju za crne dane </w:t>
      </w:r>
      <w:r w:rsidR="00D67286">
        <w:rPr>
          <w:sz w:val="24"/>
          <w:szCs w:val="24"/>
        </w:rPr>
        <w:t xml:space="preserve">i </w:t>
      </w:r>
      <w:r w:rsidR="00D67286" w:rsidRPr="00D67286">
        <w:rPr>
          <w:color w:val="C00000"/>
          <w:sz w:val="24"/>
          <w:szCs w:val="24"/>
        </w:rPr>
        <w:t>štednju za starost</w:t>
      </w:r>
      <w:r w:rsidR="00485890">
        <w:rPr>
          <w:color w:val="C00000"/>
          <w:sz w:val="24"/>
          <w:szCs w:val="24"/>
        </w:rPr>
        <w:t>;</w:t>
      </w:r>
    </w:p>
    <w:p w:rsidR="00D67286" w:rsidRDefault="006F2CB6" w:rsidP="00E93220">
      <w:pPr>
        <w:numPr>
          <w:ilvl w:val="0"/>
          <w:numId w:val="4"/>
        </w:numPr>
        <w:tabs>
          <w:tab w:val="clear" w:pos="1146"/>
          <w:tab w:val="num" w:pos="426"/>
        </w:tabs>
        <w:spacing w:after="0"/>
        <w:ind w:left="426" w:firstLine="0"/>
        <w:jc w:val="both"/>
        <w:rPr>
          <w:sz w:val="24"/>
          <w:szCs w:val="24"/>
        </w:rPr>
      </w:pPr>
      <w:r w:rsidRPr="00D67286">
        <w:rPr>
          <w:sz w:val="24"/>
          <w:szCs w:val="24"/>
        </w:rPr>
        <w:t>os</w:t>
      </w:r>
      <w:r w:rsidR="00485890">
        <w:rPr>
          <w:sz w:val="24"/>
          <w:szCs w:val="24"/>
        </w:rPr>
        <w:t>tvarivanje</w:t>
      </w:r>
      <w:r w:rsidRPr="00D67286">
        <w:rPr>
          <w:sz w:val="24"/>
          <w:szCs w:val="24"/>
        </w:rPr>
        <w:t xml:space="preserve"> dohotka od kamata na štednju ili povrata na druge oblike financijske imovine</w:t>
      </w:r>
      <w:r w:rsidR="00485890">
        <w:rPr>
          <w:sz w:val="24"/>
          <w:szCs w:val="24"/>
        </w:rPr>
        <w:t xml:space="preserve"> (</w:t>
      </w:r>
      <w:r w:rsidR="00716138" w:rsidRPr="00485890">
        <w:rPr>
          <w:color w:val="C00000"/>
          <w:sz w:val="24"/>
          <w:szCs w:val="24"/>
        </w:rPr>
        <w:t xml:space="preserve">kapitalizirana </w:t>
      </w:r>
      <w:r w:rsidR="00D67286" w:rsidRPr="00485890">
        <w:rPr>
          <w:color w:val="C00000"/>
          <w:sz w:val="24"/>
          <w:szCs w:val="24"/>
        </w:rPr>
        <w:t xml:space="preserve">štednja sa svrhom </w:t>
      </w:r>
      <w:r w:rsidR="008E03DD" w:rsidRPr="00485890">
        <w:rPr>
          <w:color w:val="C00000"/>
          <w:sz w:val="24"/>
          <w:szCs w:val="24"/>
        </w:rPr>
        <w:t>dodatnog povećanja bogatstva</w:t>
      </w:r>
      <w:r w:rsidR="00485890">
        <w:rPr>
          <w:sz w:val="24"/>
          <w:szCs w:val="24"/>
        </w:rPr>
        <w:t>);</w:t>
      </w:r>
    </w:p>
    <w:p w:rsidR="00234243" w:rsidRPr="00716138" w:rsidRDefault="00D67286" w:rsidP="00E93220">
      <w:pPr>
        <w:numPr>
          <w:ilvl w:val="0"/>
          <w:numId w:val="4"/>
        </w:numPr>
        <w:tabs>
          <w:tab w:val="clear" w:pos="1146"/>
          <w:tab w:val="num" w:pos="426"/>
        </w:tabs>
        <w:spacing w:after="0"/>
        <w:ind w:left="426" w:firstLine="0"/>
        <w:jc w:val="both"/>
        <w:rPr>
          <w:sz w:val="24"/>
          <w:szCs w:val="24"/>
        </w:rPr>
      </w:pPr>
      <w:r w:rsidRPr="00716138">
        <w:rPr>
          <w:sz w:val="24"/>
          <w:szCs w:val="24"/>
        </w:rPr>
        <w:t xml:space="preserve">akumulacija rezervi za potrebe renoviranja stambenog objekta, putovanja, </w:t>
      </w:r>
      <w:r w:rsidR="00234243" w:rsidRPr="00716138">
        <w:rPr>
          <w:sz w:val="24"/>
          <w:szCs w:val="24"/>
        </w:rPr>
        <w:t xml:space="preserve">odnosno neke </w:t>
      </w:r>
      <w:r w:rsidR="00716138" w:rsidRPr="00716138">
        <w:rPr>
          <w:sz w:val="24"/>
          <w:szCs w:val="24"/>
        </w:rPr>
        <w:t xml:space="preserve">druge </w:t>
      </w:r>
      <w:r w:rsidR="00234243" w:rsidRPr="00716138">
        <w:rPr>
          <w:sz w:val="24"/>
          <w:szCs w:val="24"/>
        </w:rPr>
        <w:t xml:space="preserve">konkretne svrhe u skladu s definiranim financijskim ciljevima i </w:t>
      </w:r>
      <w:r w:rsidR="00716138" w:rsidRPr="00716138">
        <w:rPr>
          <w:sz w:val="24"/>
          <w:szCs w:val="24"/>
        </w:rPr>
        <w:t>planovima</w:t>
      </w:r>
      <w:r w:rsidR="00234243" w:rsidRPr="00716138">
        <w:rPr>
          <w:sz w:val="24"/>
          <w:szCs w:val="24"/>
        </w:rPr>
        <w:t xml:space="preserve"> za njihovo ostvarenje</w:t>
      </w:r>
      <w:r w:rsidR="00485890">
        <w:rPr>
          <w:sz w:val="24"/>
          <w:szCs w:val="24"/>
        </w:rPr>
        <w:t xml:space="preserve"> (</w:t>
      </w:r>
      <w:r w:rsidR="00716138" w:rsidRPr="00485890">
        <w:rPr>
          <w:color w:val="C00000"/>
          <w:sz w:val="24"/>
          <w:szCs w:val="24"/>
        </w:rPr>
        <w:t>kumuliranje sredstava „kako bi si kasnije mogli nešto priuštiti“</w:t>
      </w:r>
      <w:r w:rsidR="00485890" w:rsidRPr="00485890">
        <w:rPr>
          <w:sz w:val="24"/>
          <w:szCs w:val="24"/>
        </w:rPr>
        <w:t>);</w:t>
      </w:r>
    </w:p>
    <w:p w:rsidR="006F2CB6" w:rsidRPr="00D67286" w:rsidRDefault="006F2CB6" w:rsidP="00E93220">
      <w:pPr>
        <w:numPr>
          <w:ilvl w:val="0"/>
          <w:numId w:val="4"/>
        </w:numPr>
        <w:tabs>
          <w:tab w:val="clear" w:pos="1146"/>
          <w:tab w:val="num" w:pos="426"/>
        </w:tabs>
        <w:spacing w:after="0"/>
        <w:ind w:left="426" w:firstLine="0"/>
        <w:jc w:val="both"/>
        <w:rPr>
          <w:sz w:val="24"/>
          <w:szCs w:val="24"/>
        </w:rPr>
      </w:pPr>
      <w:r w:rsidRPr="00D67286">
        <w:rPr>
          <w:sz w:val="24"/>
          <w:szCs w:val="24"/>
        </w:rPr>
        <w:t>mogućnost prenošenja nasljedstva potomcima</w:t>
      </w:r>
      <w:r w:rsidR="00485890">
        <w:rPr>
          <w:sz w:val="24"/>
          <w:szCs w:val="24"/>
        </w:rPr>
        <w:t>;</w:t>
      </w:r>
    </w:p>
    <w:p w:rsidR="00D67286" w:rsidRPr="00D67286" w:rsidRDefault="00D67286" w:rsidP="00E93220">
      <w:pPr>
        <w:numPr>
          <w:ilvl w:val="0"/>
          <w:numId w:val="4"/>
        </w:numPr>
        <w:tabs>
          <w:tab w:val="clear" w:pos="1146"/>
          <w:tab w:val="num" w:pos="426"/>
        </w:tabs>
        <w:spacing w:after="0"/>
        <w:ind w:left="426" w:firstLine="0"/>
        <w:jc w:val="both"/>
        <w:rPr>
          <w:sz w:val="24"/>
          <w:szCs w:val="24"/>
        </w:rPr>
      </w:pPr>
      <w:r w:rsidRPr="00D67286">
        <w:rPr>
          <w:sz w:val="24"/>
          <w:szCs w:val="24"/>
        </w:rPr>
        <w:t>štednja bez nekog posebnog motiva</w:t>
      </w:r>
      <w:r w:rsidR="00485890">
        <w:rPr>
          <w:sz w:val="24"/>
          <w:szCs w:val="24"/>
        </w:rPr>
        <w:t>;</w:t>
      </w:r>
    </w:p>
    <w:p w:rsidR="006F2CB6" w:rsidRDefault="00D67286" w:rsidP="00E93220">
      <w:pPr>
        <w:numPr>
          <w:ilvl w:val="0"/>
          <w:numId w:val="4"/>
        </w:numPr>
        <w:tabs>
          <w:tab w:val="clear" w:pos="1146"/>
          <w:tab w:val="num" w:pos="426"/>
        </w:tabs>
        <w:spacing w:after="0"/>
        <w:ind w:left="426" w:firstLine="0"/>
        <w:jc w:val="both"/>
        <w:rPr>
          <w:sz w:val="24"/>
          <w:szCs w:val="24"/>
        </w:rPr>
      </w:pPr>
      <w:r>
        <w:rPr>
          <w:sz w:val="24"/>
          <w:szCs w:val="24"/>
        </w:rPr>
        <w:t xml:space="preserve">i </w:t>
      </w:r>
      <w:r w:rsidR="006F2CB6" w:rsidRPr="00F0185A">
        <w:rPr>
          <w:sz w:val="24"/>
          <w:szCs w:val="24"/>
        </w:rPr>
        <w:t>gomilanje bogatstva z</w:t>
      </w:r>
      <w:r>
        <w:rPr>
          <w:sz w:val="24"/>
          <w:szCs w:val="24"/>
        </w:rPr>
        <w:t>bog osobne škrtosti</w:t>
      </w:r>
      <w:r w:rsidR="006F2CB6" w:rsidRPr="00F0185A">
        <w:rPr>
          <w:sz w:val="24"/>
          <w:szCs w:val="24"/>
        </w:rPr>
        <w:t>.</w:t>
      </w:r>
    </w:p>
    <w:p w:rsidR="00302851" w:rsidRPr="00F0185A" w:rsidRDefault="00302851" w:rsidP="00302851">
      <w:pPr>
        <w:spacing w:after="0"/>
        <w:ind w:left="426"/>
        <w:jc w:val="both"/>
        <w:rPr>
          <w:sz w:val="24"/>
          <w:szCs w:val="24"/>
        </w:rPr>
      </w:pPr>
    </w:p>
    <w:p w:rsidR="00605ECD" w:rsidRDefault="00595139" w:rsidP="00595139">
      <w:pPr>
        <w:jc w:val="both"/>
        <w:rPr>
          <w:b/>
          <w:sz w:val="24"/>
          <w:szCs w:val="24"/>
        </w:rPr>
      </w:pPr>
      <w:r>
        <w:rPr>
          <w:b/>
          <w:sz w:val="24"/>
          <w:szCs w:val="24"/>
        </w:rPr>
        <w:t xml:space="preserve">1.3. </w:t>
      </w:r>
      <w:r w:rsidR="00605ECD">
        <w:rPr>
          <w:b/>
          <w:sz w:val="24"/>
          <w:szCs w:val="24"/>
        </w:rPr>
        <w:t>Struktura potrošnje kućanstva</w:t>
      </w:r>
    </w:p>
    <w:p w:rsidR="00090AFE" w:rsidRDefault="00872DAA" w:rsidP="00595139">
      <w:pPr>
        <w:jc w:val="both"/>
        <w:rPr>
          <w:sz w:val="24"/>
          <w:szCs w:val="24"/>
        </w:rPr>
      </w:pPr>
      <w:r>
        <w:rPr>
          <w:sz w:val="24"/>
          <w:szCs w:val="24"/>
        </w:rPr>
        <w:t>Prema namjeni</w:t>
      </w:r>
      <w:r w:rsidR="00954C80">
        <w:rPr>
          <w:sz w:val="24"/>
          <w:szCs w:val="24"/>
        </w:rPr>
        <w:t>,</w:t>
      </w:r>
      <w:r>
        <w:rPr>
          <w:sz w:val="24"/>
          <w:szCs w:val="24"/>
        </w:rPr>
        <w:t xml:space="preserve"> potrošnja kućanstva dijeli se na potrošnju trajnih dobara, potrošnju potrošnih dobara i potrošnju usluga. </w:t>
      </w:r>
      <w:r w:rsidR="00F23D81">
        <w:rPr>
          <w:sz w:val="24"/>
          <w:szCs w:val="24"/>
        </w:rPr>
        <w:t>U kratkom roku određena je visinom tekućeg raspoloživog dohotka, dok je u dugom roku određena visinom</w:t>
      </w:r>
      <w:r w:rsidR="00E22157">
        <w:rPr>
          <w:sz w:val="24"/>
          <w:szCs w:val="24"/>
        </w:rPr>
        <w:t xml:space="preserve"> tzv.</w:t>
      </w:r>
      <w:r w:rsidR="00F23D81">
        <w:rPr>
          <w:sz w:val="24"/>
          <w:szCs w:val="24"/>
        </w:rPr>
        <w:t xml:space="preserve"> </w:t>
      </w:r>
      <w:r w:rsidR="00F23D81" w:rsidRPr="004F5F84">
        <w:rPr>
          <w:color w:val="C00000"/>
          <w:sz w:val="24"/>
          <w:szCs w:val="24"/>
        </w:rPr>
        <w:t xml:space="preserve">permanentnog dohotka </w:t>
      </w:r>
      <w:r w:rsidR="00F23D81">
        <w:rPr>
          <w:sz w:val="24"/>
          <w:szCs w:val="24"/>
        </w:rPr>
        <w:t xml:space="preserve">(koji </w:t>
      </w:r>
      <w:r w:rsidR="00485890">
        <w:rPr>
          <w:sz w:val="24"/>
          <w:szCs w:val="24"/>
        </w:rPr>
        <w:t xml:space="preserve">se može smatrati stalnim </w:t>
      </w:r>
      <w:r w:rsidR="00A95508">
        <w:rPr>
          <w:sz w:val="24"/>
          <w:szCs w:val="24"/>
        </w:rPr>
        <w:t xml:space="preserve">u dugom roku </w:t>
      </w:r>
      <w:r w:rsidR="00485890">
        <w:rPr>
          <w:sz w:val="24"/>
          <w:szCs w:val="24"/>
        </w:rPr>
        <w:t xml:space="preserve">i </w:t>
      </w:r>
      <w:r w:rsidR="00F23D81">
        <w:rPr>
          <w:sz w:val="24"/>
          <w:szCs w:val="24"/>
        </w:rPr>
        <w:t>nije pod utjecajem smjena faza poslovnog ciklusa</w:t>
      </w:r>
      <w:r w:rsidR="00485890">
        <w:rPr>
          <w:sz w:val="24"/>
          <w:szCs w:val="24"/>
        </w:rPr>
        <w:t>, odnosno</w:t>
      </w:r>
      <w:r w:rsidR="00F23D81">
        <w:rPr>
          <w:sz w:val="24"/>
          <w:szCs w:val="24"/>
        </w:rPr>
        <w:t xml:space="preserve"> kratkoročnih i sezonskih oscilacija)</w:t>
      </w:r>
      <w:r w:rsidR="00E22157">
        <w:rPr>
          <w:sz w:val="24"/>
          <w:szCs w:val="24"/>
        </w:rPr>
        <w:t xml:space="preserve">. </w:t>
      </w:r>
      <w:r w:rsidR="00A95508">
        <w:rPr>
          <w:sz w:val="24"/>
          <w:szCs w:val="24"/>
        </w:rPr>
        <w:t xml:space="preserve">Naveden podrazumijeva da se rast veličine potrošnje događa samo ukoliko dolazi do rasta permanentnog dohotka, dok rast tekućeg dohotka prvenstveno djeluje na rast štednje, ali ne i potrošnje. </w:t>
      </w:r>
      <w:r w:rsidR="00485890">
        <w:rPr>
          <w:sz w:val="24"/>
          <w:szCs w:val="24"/>
        </w:rPr>
        <w:t xml:space="preserve">Naime, </w:t>
      </w:r>
      <w:r w:rsidR="004F5F84">
        <w:rPr>
          <w:sz w:val="24"/>
          <w:szCs w:val="24"/>
        </w:rPr>
        <w:t xml:space="preserve">u skladu s </w:t>
      </w:r>
      <w:r w:rsidR="004F5F84" w:rsidRPr="004F5F84">
        <w:rPr>
          <w:color w:val="C00000"/>
          <w:sz w:val="24"/>
          <w:szCs w:val="24"/>
        </w:rPr>
        <w:t>hipotezom životnog ciklusa</w:t>
      </w:r>
      <w:r w:rsidR="004F5F84">
        <w:rPr>
          <w:sz w:val="24"/>
          <w:szCs w:val="24"/>
        </w:rPr>
        <w:t xml:space="preserve"> stanovništvo formira određenu štednju </w:t>
      </w:r>
      <w:r w:rsidR="00F23D81">
        <w:rPr>
          <w:sz w:val="24"/>
          <w:szCs w:val="24"/>
        </w:rPr>
        <w:t>za starost</w:t>
      </w:r>
      <w:r w:rsidR="004F5F84">
        <w:rPr>
          <w:sz w:val="24"/>
          <w:szCs w:val="24"/>
        </w:rPr>
        <w:t xml:space="preserve"> </w:t>
      </w:r>
      <w:r w:rsidR="001533DE">
        <w:rPr>
          <w:sz w:val="24"/>
          <w:szCs w:val="24"/>
        </w:rPr>
        <w:t xml:space="preserve">što se </w:t>
      </w:r>
      <w:r w:rsidR="00E21C4F">
        <w:rPr>
          <w:sz w:val="24"/>
          <w:szCs w:val="24"/>
        </w:rPr>
        <w:t xml:space="preserve">uz rast tekućeg dohotka </w:t>
      </w:r>
      <w:r w:rsidR="001533DE">
        <w:rPr>
          <w:sz w:val="24"/>
          <w:szCs w:val="24"/>
        </w:rPr>
        <w:t xml:space="preserve">odražava na smanjenje </w:t>
      </w:r>
      <w:r w:rsidR="00E21C4F">
        <w:rPr>
          <w:sz w:val="24"/>
          <w:szCs w:val="24"/>
        </w:rPr>
        <w:t xml:space="preserve">relativnog udjela </w:t>
      </w:r>
      <w:r w:rsidR="001533DE">
        <w:rPr>
          <w:sz w:val="24"/>
          <w:szCs w:val="24"/>
        </w:rPr>
        <w:t xml:space="preserve">izdataka za potrošnju. Pri tome se navike i visina štednje za starost </w:t>
      </w:r>
      <w:r w:rsidR="004F5F84">
        <w:rPr>
          <w:sz w:val="24"/>
          <w:szCs w:val="24"/>
        </w:rPr>
        <w:t xml:space="preserve">kumuliranja tijekom radnog vijeka </w:t>
      </w:r>
      <w:r w:rsidR="001533DE">
        <w:rPr>
          <w:sz w:val="24"/>
          <w:szCs w:val="24"/>
        </w:rPr>
        <w:t xml:space="preserve">razlikuju od zemlje do zemlje i </w:t>
      </w:r>
      <w:r w:rsidR="004F5F84">
        <w:rPr>
          <w:sz w:val="24"/>
          <w:szCs w:val="24"/>
        </w:rPr>
        <w:t xml:space="preserve">uvelike </w:t>
      </w:r>
      <w:r w:rsidR="001533DE">
        <w:rPr>
          <w:sz w:val="24"/>
          <w:szCs w:val="24"/>
        </w:rPr>
        <w:t xml:space="preserve">su </w:t>
      </w:r>
      <w:r w:rsidR="004F5F84">
        <w:rPr>
          <w:sz w:val="24"/>
          <w:szCs w:val="24"/>
        </w:rPr>
        <w:t>određen</w:t>
      </w:r>
      <w:r w:rsidR="001533DE">
        <w:rPr>
          <w:sz w:val="24"/>
          <w:szCs w:val="24"/>
        </w:rPr>
        <w:t>e</w:t>
      </w:r>
      <w:r w:rsidR="004F5F84">
        <w:rPr>
          <w:sz w:val="24"/>
          <w:szCs w:val="24"/>
        </w:rPr>
        <w:t xml:space="preserve"> razmjerom socijalne države</w:t>
      </w:r>
      <w:r w:rsidR="00090AFE">
        <w:rPr>
          <w:sz w:val="24"/>
          <w:szCs w:val="24"/>
        </w:rPr>
        <w:t xml:space="preserve"> te prihodima koje pojedinac očekuje iz mirovinskog osiguranja koje organizira država</w:t>
      </w:r>
      <w:r w:rsidR="00F23D81">
        <w:rPr>
          <w:sz w:val="24"/>
          <w:szCs w:val="24"/>
        </w:rPr>
        <w:t xml:space="preserve">. </w:t>
      </w:r>
    </w:p>
    <w:p w:rsidR="00A8361D" w:rsidRDefault="00F23D81" w:rsidP="00595139">
      <w:pPr>
        <w:jc w:val="both"/>
        <w:rPr>
          <w:sz w:val="24"/>
          <w:szCs w:val="24"/>
        </w:rPr>
      </w:pPr>
      <w:r w:rsidRPr="000264D4">
        <w:rPr>
          <w:color w:val="C00000"/>
          <w:sz w:val="24"/>
          <w:szCs w:val="24"/>
        </w:rPr>
        <w:t xml:space="preserve">Visina dohotka odražava </w:t>
      </w:r>
      <w:r w:rsidR="00090AFE">
        <w:rPr>
          <w:color w:val="C00000"/>
          <w:sz w:val="24"/>
          <w:szCs w:val="24"/>
        </w:rPr>
        <w:t xml:space="preserve">se </w:t>
      </w:r>
      <w:r w:rsidRPr="000264D4">
        <w:rPr>
          <w:color w:val="C00000"/>
          <w:sz w:val="24"/>
          <w:szCs w:val="24"/>
        </w:rPr>
        <w:t xml:space="preserve">na </w:t>
      </w:r>
      <w:r w:rsidR="00872DAA" w:rsidRPr="000264D4">
        <w:rPr>
          <w:color w:val="C00000"/>
          <w:sz w:val="24"/>
          <w:szCs w:val="24"/>
        </w:rPr>
        <w:t>visin</w:t>
      </w:r>
      <w:r w:rsidRPr="000264D4">
        <w:rPr>
          <w:color w:val="C00000"/>
          <w:sz w:val="24"/>
          <w:szCs w:val="24"/>
        </w:rPr>
        <w:t>u</w:t>
      </w:r>
      <w:r w:rsidR="00872DAA" w:rsidRPr="000264D4">
        <w:rPr>
          <w:color w:val="C00000"/>
          <w:sz w:val="24"/>
          <w:szCs w:val="24"/>
        </w:rPr>
        <w:t xml:space="preserve"> </w:t>
      </w:r>
      <w:r w:rsidR="000264D4">
        <w:rPr>
          <w:color w:val="C00000"/>
          <w:sz w:val="24"/>
          <w:szCs w:val="24"/>
        </w:rPr>
        <w:t xml:space="preserve">i strukturu </w:t>
      </w:r>
      <w:r w:rsidR="00872DAA" w:rsidRPr="000264D4">
        <w:rPr>
          <w:color w:val="C00000"/>
          <w:sz w:val="24"/>
          <w:szCs w:val="24"/>
        </w:rPr>
        <w:t>potrošnje</w:t>
      </w:r>
      <w:r w:rsidR="00872DAA">
        <w:rPr>
          <w:sz w:val="24"/>
          <w:szCs w:val="24"/>
        </w:rPr>
        <w:t xml:space="preserve">, što je već u 19. stoljeću uočio njemački statističar </w:t>
      </w:r>
      <w:r w:rsidR="00E01B9F" w:rsidRPr="00E01B9F">
        <w:rPr>
          <w:sz w:val="24"/>
          <w:szCs w:val="24"/>
        </w:rPr>
        <w:t>Ernst Engel</w:t>
      </w:r>
      <w:r w:rsidR="00872DAA">
        <w:rPr>
          <w:sz w:val="24"/>
          <w:szCs w:val="24"/>
        </w:rPr>
        <w:t xml:space="preserve"> ukazujući</w:t>
      </w:r>
      <w:r w:rsidR="00E01B9F">
        <w:rPr>
          <w:sz w:val="24"/>
          <w:szCs w:val="24"/>
        </w:rPr>
        <w:t>,</w:t>
      </w:r>
      <w:r w:rsidR="00872DAA">
        <w:rPr>
          <w:sz w:val="24"/>
          <w:szCs w:val="24"/>
        </w:rPr>
        <w:t xml:space="preserve"> da se na najnižim razinama dohotka on dominantno ili čak u potpunosti koristi za podmirenje osnovnih životnih potreba kao što su hrana i stanovanja. S rastom dohotka rastu i izdaci za hranu jer osobe nastoje </w:t>
      </w:r>
      <w:r w:rsidR="00A8361D">
        <w:rPr>
          <w:sz w:val="24"/>
          <w:szCs w:val="24"/>
        </w:rPr>
        <w:t xml:space="preserve">konzumirati kvalitetnije proizvode. Međutim u relativnom smislu smanjuje se udio potrošnje na hranu i druge osnovne životne potrebe, dok s daljnjim rastom dohotka raste </w:t>
      </w:r>
      <w:r w:rsidR="00643C42">
        <w:rPr>
          <w:sz w:val="24"/>
          <w:szCs w:val="24"/>
        </w:rPr>
        <w:t xml:space="preserve">udio </w:t>
      </w:r>
      <w:r w:rsidR="00A8361D">
        <w:rPr>
          <w:sz w:val="24"/>
          <w:szCs w:val="24"/>
        </w:rPr>
        <w:t>potrošnj</w:t>
      </w:r>
      <w:r w:rsidR="00643C42">
        <w:rPr>
          <w:sz w:val="24"/>
          <w:szCs w:val="24"/>
        </w:rPr>
        <w:t>e</w:t>
      </w:r>
      <w:r w:rsidR="00A8361D">
        <w:rPr>
          <w:sz w:val="24"/>
          <w:szCs w:val="24"/>
        </w:rPr>
        <w:t xml:space="preserve"> za odjeću, rekreaciju i različite luksuznije proizvode. Spomenute tvrdnje izražavaju se kao </w:t>
      </w:r>
      <w:r w:rsidR="00A8361D" w:rsidRPr="00ED6143">
        <w:rPr>
          <w:color w:val="C00000"/>
          <w:sz w:val="24"/>
          <w:szCs w:val="24"/>
        </w:rPr>
        <w:t>Engelovi zakoni</w:t>
      </w:r>
      <w:r w:rsidR="00A8361D">
        <w:rPr>
          <w:sz w:val="24"/>
          <w:szCs w:val="24"/>
        </w:rPr>
        <w:t xml:space="preserve">, a kao takvi mogu se uočiti i iz podataka ankete o potrošnji kućanstva u </w:t>
      </w:r>
      <w:r w:rsidR="00643C42">
        <w:rPr>
          <w:sz w:val="24"/>
          <w:szCs w:val="24"/>
        </w:rPr>
        <w:t>R</w:t>
      </w:r>
      <w:r w:rsidR="00A8361D">
        <w:rPr>
          <w:sz w:val="24"/>
          <w:szCs w:val="24"/>
        </w:rPr>
        <w:t>H</w:t>
      </w:r>
      <w:r w:rsidR="005F6F83">
        <w:rPr>
          <w:sz w:val="24"/>
          <w:szCs w:val="24"/>
        </w:rPr>
        <w:t xml:space="preserve"> </w:t>
      </w:r>
      <w:r w:rsidR="00E21C4F">
        <w:rPr>
          <w:sz w:val="24"/>
          <w:szCs w:val="24"/>
        </w:rPr>
        <w:t>koji su prikazani</w:t>
      </w:r>
      <w:r w:rsidR="005F6F83">
        <w:rPr>
          <w:sz w:val="24"/>
          <w:szCs w:val="24"/>
        </w:rPr>
        <w:t xml:space="preserve"> u nastavku.</w:t>
      </w:r>
      <w:r w:rsidR="00A8361D">
        <w:rPr>
          <w:sz w:val="24"/>
          <w:szCs w:val="24"/>
        </w:rPr>
        <w:t xml:space="preserve"> </w:t>
      </w:r>
    </w:p>
    <w:p w:rsidR="00E21C4F" w:rsidRDefault="00620F70" w:rsidP="00E21C4F">
      <w:pPr>
        <w:jc w:val="both"/>
        <w:rPr>
          <w:sz w:val="24"/>
          <w:szCs w:val="24"/>
        </w:rPr>
      </w:pPr>
      <w:r>
        <w:rPr>
          <w:sz w:val="24"/>
          <w:szCs w:val="24"/>
        </w:rPr>
        <w:t xml:space="preserve">Iz podataka u tablici 4 vidljive su značajne razlike u visini izdataka za potrošnju u deset dohodovnih decila. Izdaci u prvom dohodovnom decilu kreću na razini svega 36% prosjeka na razini RH, dok su izdaci za potrošnju u desetom dohodovnom decilu 1,8 put veći od prosjeka. </w:t>
      </w:r>
      <w:r w:rsidR="00E21C4F">
        <w:rPr>
          <w:sz w:val="24"/>
          <w:szCs w:val="24"/>
        </w:rPr>
        <w:t xml:space="preserve">Dodatno vidljive su i značajne razlike u udjelima pojedinih kategorija izdataka za potrošnju između prvih dohodovnih decila s najnižim dohocima i desetog dohodovnog decila. </w:t>
      </w:r>
    </w:p>
    <w:p w:rsidR="00A5149A" w:rsidRDefault="005F6F83" w:rsidP="00A5149A">
      <w:pPr>
        <w:jc w:val="both"/>
        <w:rPr>
          <w:b/>
          <w:sz w:val="24"/>
          <w:szCs w:val="24"/>
        </w:rPr>
      </w:pPr>
      <w:r>
        <w:rPr>
          <w:b/>
          <w:sz w:val="24"/>
          <w:szCs w:val="24"/>
        </w:rPr>
        <w:lastRenderedPageBreak/>
        <w:t xml:space="preserve">Tablica 4: </w:t>
      </w:r>
      <w:r w:rsidR="00A5149A">
        <w:rPr>
          <w:b/>
          <w:sz w:val="24"/>
          <w:szCs w:val="24"/>
        </w:rPr>
        <w:t>Struktura izdataka za potrošnju prema dohodovnim decilima u 2011.</w:t>
      </w:r>
      <w:r w:rsidR="00136A99">
        <w:rPr>
          <w:b/>
          <w:sz w:val="24"/>
          <w:szCs w:val="24"/>
        </w:rPr>
        <w:t>*</w:t>
      </w:r>
    </w:p>
    <w:p w:rsidR="00605ECD" w:rsidRDefault="007415AD" w:rsidP="00595139">
      <w:pPr>
        <w:jc w:val="both"/>
        <w:rPr>
          <w:b/>
          <w:sz w:val="24"/>
          <w:szCs w:val="24"/>
        </w:rPr>
      </w:pPr>
      <w:r>
        <w:rPr>
          <w:b/>
          <w:noProof/>
          <w:sz w:val="24"/>
          <w:szCs w:val="24"/>
          <w:lang w:eastAsia="hr-HR"/>
        </w:rPr>
        <w:drawing>
          <wp:inline distT="0" distB="0" distL="0" distR="0" wp14:anchorId="484C4327" wp14:editId="30B9117A">
            <wp:extent cx="5248275" cy="7229475"/>
            <wp:effectExtent l="0" t="0" r="9525" b="952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8275" cy="7229475"/>
                    </a:xfrm>
                    <a:prstGeom prst="rect">
                      <a:avLst/>
                    </a:prstGeom>
                    <a:noFill/>
                    <a:ln>
                      <a:noFill/>
                    </a:ln>
                  </pic:spPr>
                </pic:pic>
              </a:graphicData>
            </a:graphic>
          </wp:inline>
        </w:drawing>
      </w:r>
    </w:p>
    <w:p w:rsidR="005D165D" w:rsidRPr="005B2730" w:rsidRDefault="005D165D" w:rsidP="005D165D">
      <w:pPr>
        <w:spacing w:after="0" w:line="240" w:lineRule="auto"/>
        <w:jc w:val="both"/>
        <w:rPr>
          <w:sz w:val="20"/>
          <w:szCs w:val="20"/>
        </w:rPr>
      </w:pPr>
      <w:r w:rsidRPr="005B2730">
        <w:rPr>
          <w:sz w:val="20"/>
          <w:szCs w:val="20"/>
        </w:rPr>
        <w:t xml:space="preserve">* U ukupnoj potrošnji izdaci za stanovanje i potrošnju energenata ne uključuju imputiranu najamninu </w:t>
      </w:r>
    </w:p>
    <w:p w:rsidR="00136A99" w:rsidRPr="005B2730" w:rsidRDefault="00136A99" w:rsidP="005D165D">
      <w:pPr>
        <w:spacing w:after="0" w:line="240" w:lineRule="auto"/>
        <w:jc w:val="both"/>
        <w:rPr>
          <w:sz w:val="20"/>
          <w:szCs w:val="20"/>
        </w:rPr>
      </w:pPr>
      <w:r w:rsidRPr="005B2730">
        <w:rPr>
          <w:sz w:val="20"/>
          <w:szCs w:val="20"/>
        </w:rPr>
        <w:t>*</w:t>
      </w:r>
      <w:r w:rsidR="005D165D" w:rsidRPr="005B2730">
        <w:rPr>
          <w:sz w:val="20"/>
          <w:szCs w:val="20"/>
        </w:rPr>
        <w:t>*</w:t>
      </w:r>
      <w:r w:rsidR="005B2730">
        <w:rPr>
          <w:sz w:val="20"/>
          <w:szCs w:val="20"/>
        </w:rPr>
        <w:t xml:space="preserve"> </w:t>
      </w:r>
      <w:r w:rsidRPr="005B2730">
        <w:rPr>
          <w:sz w:val="20"/>
          <w:szCs w:val="20"/>
        </w:rPr>
        <w:t>U anketni uzorak Ankete o potrošnji kućanstva u 2011. bilo je izabrano 4 160 kućanstva od kojih je uspješno anketirano 2 335 kućanstva uz stopu odgovora 64%. Zbog visokih troškova obrade ista anketa nije provedena za 2012. i 2013., a rezultati ankete provedene za  2014. bi trebali biti dostupni krajem 2015.</w:t>
      </w:r>
    </w:p>
    <w:p w:rsidR="005D165D" w:rsidRPr="005B2730" w:rsidRDefault="00AD735A" w:rsidP="005D165D">
      <w:pPr>
        <w:spacing w:after="0" w:line="240" w:lineRule="auto"/>
        <w:jc w:val="both"/>
        <w:rPr>
          <w:sz w:val="20"/>
          <w:szCs w:val="20"/>
        </w:rPr>
      </w:pPr>
      <w:r>
        <w:rPr>
          <w:sz w:val="20"/>
          <w:szCs w:val="20"/>
        </w:rPr>
        <w:t>Izvor: p</w:t>
      </w:r>
      <w:r w:rsidR="002A63C6">
        <w:rPr>
          <w:sz w:val="20"/>
          <w:szCs w:val="20"/>
        </w:rPr>
        <w:t>reuzeto iz:</w:t>
      </w:r>
      <w:r w:rsidR="002A63C6" w:rsidRPr="00A94513">
        <w:rPr>
          <w:sz w:val="20"/>
          <w:szCs w:val="20"/>
        </w:rPr>
        <w:t xml:space="preserve"> </w:t>
      </w:r>
      <w:r w:rsidR="005D165D" w:rsidRPr="005B2730">
        <w:rPr>
          <w:sz w:val="20"/>
          <w:szCs w:val="20"/>
        </w:rPr>
        <w:t>DZS</w:t>
      </w:r>
      <w:r w:rsidR="000B40F4">
        <w:rPr>
          <w:sz w:val="20"/>
          <w:szCs w:val="20"/>
        </w:rPr>
        <w:t xml:space="preserve"> (2013): </w:t>
      </w:r>
      <w:r w:rsidR="005D165D" w:rsidRPr="005B2730">
        <w:rPr>
          <w:sz w:val="20"/>
          <w:szCs w:val="20"/>
        </w:rPr>
        <w:t xml:space="preserve">„Rezultati Ankete o potrošnji kućanstva u 2011.“, dostupno na: </w:t>
      </w:r>
      <w:hyperlink r:id="rId19" w:history="1">
        <w:r w:rsidR="005D165D" w:rsidRPr="005B2730">
          <w:rPr>
            <w:rStyle w:val="Hiperveza"/>
            <w:sz w:val="20"/>
            <w:szCs w:val="20"/>
          </w:rPr>
          <w:t>http://www.dzs.hr/Hrv_Eng/publication/2012/SI-1484.pdf</w:t>
        </w:r>
      </w:hyperlink>
    </w:p>
    <w:p w:rsidR="005D165D" w:rsidRDefault="005D165D" w:rsidP="00136A99">
      <w:pPr>
        <w:spacing w:line="240" w:lineRule="auto"/>
        <w:jc w:val="both"/>
        <w:rPr>
          <w:sz w:val="20"/>
          <w:szCs w:val="20"/>
        </w:rPr>
      </w:pPr>
    </w:p>
    <w:p w:rsidR="00E10375" w:rsidRDefault="00E21C4F" w:rsidP="00E10375">
      <w:pPr>
        <w:jc w:val="both"/>
        <w:rPr>
          <w:sz w:val="24"/>
          <w:szCs w:val="24"/>
        </w:rPr>
      </w:pPr>
      <w:r>
        <w:rPr>
          <w:sz w:val="24"/>
          <w:szCs w:val="24"/>
        </w:rPr>
        <w:lastRenderedPageBreak/>
        <w:t xml:space="preserve">Dok na razini RH, </w:t>
      </w:r>
      <w:r w:rsidRPr="002371C1">
        <w:rPr>
          <w:i/>
          <w:color w:val="C00000"/>
          <w:sz w:val="24"/>
          <w:szCs w:val="24"/>
        </w:rPr>
        <w:t>izdaci za hranu i bezalkoholna pića</w:t>
      </w:r>
      <w:r w:rsidRPr="00ED6143">
        <w:rPr>
          <w:color w:val="C00000"/>
          <w:sz w:val="24"/>
          <w:szCs w:val="24"/>
        </w:rPr>
        <w:t xml:space="preserve"> </w:t>
      </w:r>
      <w:r>
        <w:rPr>
          <w:sz w:val="24"/>
          <w:szCs w:val="24"/>
        </w:rPr>
        <w:t xml:space="preserve">u prosjeku čine 31,7% ukupnih izdataka za potrošnju stanovništva, njihov u dio u prvom dohodovnom decilu (s najnižim dohocima) iznosi 42,4%, a u desetom dohodovnom decilu (s najvišim dohocima kućanstva) čine 27%.  </w:t>
      </w:r>
      <w:r w:rsidR="00E10375">
        <w:rPr>
          <w:sz w:val="24"/>
          <w:szCs w:val="24"/>
        </w:rPr>
        <w:t xml:space="preserve">Na drugom mjestu ukupnih izdataka za potrošnju su </w:t>
      </w:r>
      <w:r w:rsidR="00E10375" w:rsidRPr="002371C1">
        <w:rPr>
          <w:i/>
          <w:color w:val="C00000"/>
          <w:sz w:val="24"/>
          <w:szCs w:val="24"/>
        </w:rPr>
        <w:t>izdaci za stanovanje i potrošnju energenata</w:t>
      </w:r>
      <w:r w:rsidR="00E10375">
        <w:rPr>
          <w:sz w:val="24"/>
          <w:szCs w:val="24"/>
        </w:rPr>
        <w:t xml:space="preserve"> s postotnim udjelom 15,7% (bez uključene imputirane najamnine), ali koji imaju relativno veći udio u prvom dohodovnom decilu te manji udio u destom. </w:t>
      </w:r>
    </w:p>
    <w:p w:rsidR="002371C1" w:rsidRPr="002371C1" w:rsidRDefault="002371C1" w:rsidP="005F6F83">
      <w:pPr>
        <w:jc w:val="both"/>
        <w:rPr>
          <w:b/>
          <w:sz w:val="24"/>
          <w:szCs w:val="24"/>
        </w:rPr>
      </w:pPr>
      <w:r w:rsidRPr="002371C1">
        <w:rPr>
          <w:b/>
          <w:sz w:val="24"/>
          <w:szCs w:val="24"/>
        </w:rPr>
        <w:t>Tablica 5: Koeficijent varijacije za osnove varijable Ankete o potrošnji kućanstva u 2011.</w:t>
      </w:r>
    </w:p>
    <w:p w:rsidR="002371C1" w:rsidRPr="006E545F" w:rsidRDefault="002371C1" w:rsidP="005F6F83">
      <w:pPr>
        <w:jc w:val="both"/>
        <w:rPr>
          <w:sz w:val="24"/>
          <w:szCs w:val="24"/>
        </w:rPr>
      </w:pPr>
      <w:r>
        <w:rPr>
          <w:noProof/>
          <w:sz w:val="24"/>
          <w:szCs w:val="24"/>
          <w:lang w:eastAsia="hr-HR"/>
        </w:rPr>
        <w:drawing>
          <wp:inline distT="0" distB="0" distL="0" distR="0" wp14:anchorId="46E034C9" wp14:editId="2255D717">
            <wp:extent cx="5599224" cy="4895850"/>
            <wp:effectExtent l="0" t="0" r="190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9224" cy="4895850"/>
                    </a:xfrm>
                    <a:prstGeom prst="rect">
                      <a:avLst/>
                    </a:prstGeom>
                    <a:noFill/>
                    <a:ln>
                      <a:noFill/>
                    </a:ln>
                  </pic:spPr>
                </pic:pic>
              </a:graphicData>
            </a:graphic>
          </wp:inline>
        </w:drawing>
      </w:r>
    </w:p>
    <w:p w:rsidR="000B0DDC" w:rsidRDefault="000B0DDC" w:rsidP="000B0DDC">
      <w:pPr>
        <w:spacing w:after="0" w:line="240" w:lineRule="auto"/>
        <w:jc w:val="both"/>
        <w:rPr>
          <w:sz w:val="20"/>
          <w:szCs w:val="20"/>
        </w:rPr>
      </w:pPr>
      <w:r w:rsidRPr="000B0DDC">
        <w:rPr>
          <w:sz w:val="20"/>
          <w:szCs w:val="20"/>
        </w:rPr>
        <w:t xml:space="preserve">* Prosječno kućanstvo ima 2,8 članova kućanstva. </w:t>
      </w:r>
    </w:p>
    <w:p w:rsidR="000B0DDC" w:rsidRPr="000B0DDC" w:rsidRDefault="000B0DDC" w:rsidP="000B0DDC">
      <w:pPr>
        <w:spacing w:after="0" w:line="240" w:lineRule="auto"/>
        <w:jc w:val="both"/>
        <w:rPr>
          <w:sz w:val="20"/>
          <w:szCs w:val="20"/>
        </w:rPr>
      </w:pPr>
      <w:r w:rsidRPr="000B0DDC">
        <w:rPr>
          <w:sz w:val="20"/>
          <w:szCs w:val="20"/>
        </w:rPr>
        <w:t>*</w:t>
      </w:r>
      <w:r w:rsidR="005B2730">
        <w:rPr>
          <w:sz w:val="20"/>
          <w:szCs w:val="20"/>
        </w:rPr>
        <w:t xml:space="preserve">* </w:t>
      </w:r>
      <w:r w:rsidRPr="000B0DDC">
        <w:rPr>
          <w:sz w:val="20"/>
          <w:szCs w:val="20"/>
        </w:rPr>
        <w:t xml:space="preserve">85,1% anketiranih kućanstva ima smještaj u privatnom vlasništvu bez obveze otplate stambenog kredita, dok 5,8% ima smještaj u privatnom vlasništvu uz obvezu otplate stambenog kredita. Svega 3,2% ima unajmljeni smještaj, a 5,0% besplatno unajmljeni smještaj. </w:t>
      </w:r>
    </w:p>
    <w:p w:rsidR="000B0DDC" w:rsidRPr="000B0DDC" w:rsidRDefault="000B0DDC" w:rsidP="000B0DDC">
      <w:pPr>
        <w:spacing w:after="0" w:line="240" w:lineRule="auto"/>
        <w:jc w:val="both"/>
        <w:rPr>
          <w:sz w:val="20"/>
          <w:szCs w:val="20"/>
        </w:rPr>
      </w:pPr>
      <w:r w:rsidRPr="000B0DDC">
        <w:rPr>
          <w:sz w:val="20"/>
          <w:szCs w:val="20"/>
        </w:rPr>
        <w:t>***</w:t>
      </w:r>
      <w:r w:rsidR="005B2730">
        <w:rPr>
          <w:sz w:val="20"/>
          <w:szCs w:val="20"/>
        </w:rPr>
        <w:t xml:space="preserve"> </w:t>
      </w:r>
      <w:r w:rsidRPr="000B0DDC">
        <w:rPr>
          <w:sz w:val="20"/>
          <w:szCs w:val="20"/>
        </w:rPr>
        <w:t>41,4% anketiranih kućanstva kao glavni izvor dohotka navodi dohodak od nesamostalnog rada, 25,5% mirovine, a 19,7% transfere. Svega 8,5% kućanstva ima glavne izvore dohotka od samostalne djelatnosti a 5% kućanstva dohodak o imovine.</w:t>
      </w:r>
    </w:p>
    <w:p w:rsidR="000B0DDC" w:rsidRPr="000B0DDC" w:rsidRDefault="000B0DDC" w:rsidP="000B0DDC">
      <w:pPr>
        <w:spacing w:after="0" w:line="240" w:lineRule="auto"/>
        <w:jc w:val="both"/>
        <w:rPr>
          <w:sz w:val="20"/>
          <w:szCs w:val="20"/>
        </w:rPr>
      </w:pPr>
      <w:r w:rsidRPr="000B0DDC">
        <w:rPr>
          <w:sz w:val="20"/>
          <w:szCs w:val="20"/>
        </w:rPr>
        <w:t>****</w:t>
      </w:r>
      <w:r w:rsidR="005B2730">
        <w:rPr>
          <w:sz w:val="20"/>
          <w:szCs w:val="20"/>
        </w:rPr>
        <w:t xml:space="preserve"> </w:t>
      </w:r>
      <w:r w:rsidRPr="000B0DDC">
        <w:rPr>
          <w:sz w:val="20"/>
          <w:szCs w:val="20"/>
        </w:rPr>
        <w:t>Automobil posjeduje 58,6% kućanstva, a drugi automobil njih 11,7%. Televizor ima 96,9% kućanstva,  stroj za pranje posuđa 30,6%, a klimatizacijski uređaj 25,3%</w:t>
      </w:r>
    </w:p>
    <w:p w:rsidR="000B0DDC" w:rsidRDefault="00AD735A" w:rsidP="00DC0179">
      <w:pPr>
        <w:spacing w:before="120"/>
        <w:jc w:val="both"/>
        <w:rPr>
          <w:sz w:val="20"/>
          <w:szCs w:val="20"/>
        </w:rPr>
      </w:pPr>
      <w:r w:rsidRPr="003239CD">
        <w:rPr>
          <w:sz w:val="20"/>
          <w:szCs w:val="20"/>
        </w:rPr>
        <w:t xml:space="preserve">Izvor: </w:t>
      </w:r>
      <w:r>
        <w:rPr>
          <w:sz w:val="20"/>
          <w:szCs w:val="20"/>
        </w:rPr>
        <w:t>p</w:t>
      </w:r>
      <w:r w:rsidR="00C4109F">
        <w:rPr>
          <w:sz w:val="20"/>
          <w:szCs w:val="20"/>
        </w:rPr>
        <w:t>reuzeto iz:</w:t>
      </w:r>
      <w:r w:rsidR="00C4109F" w:rsidRPr="00A94513">
        <w:rPr>
          <w:sz w:val="20"/>
          <w:szCs w:val="20"/>
        </w:rPr>
        <w:t xml:space="preserve"> </w:t>
      </w:r>
      <w:r w:rsidR="000B0DDC" w:rsidRPr="005F6F83">
        <w:rPr>
          <w:sz w:val="20"/>
          <w:szCs w:val="20"/>
        </w:rPr>
        <w:t>DZS</w:t>
      </w:r>
      <w:r w:rsidR="00D33C8D">
        <w:rPr>
          <w:sz w:val="20"/>
          <w:szCs w:val="20"/>
        </w:rPr>
        <w:t xml:space="preserve"> (2013):</w:t>
      </w:r>
      <w:r w:rsidR="000B0DDC" w:rsidRPr="005F6F83">
        <w:rPr>
          <w:sz w:val="20"/>
          <w:szCs w:val="20"/>
        </w:rPr>
        <w:t xml:space="preserve"> </w:t>
      </w:r>
      <w:r w:rsidR="00DC0179">
        <w:rPr>
          <w:sz w:val="20"/>
          <w:szCs w:val="20"/>
        </w:rPr>
        <w:t>„</w:t>
      </w:r>
      <w:r w:rsidR="00DC0179" w:rsidRPr="0081311A">
        <w:rPr>
          <w:sz w:val="20"/>
          <w:szCs w:val="20"/>
        </w:rPr>
        <w:t xml:space="preserve">Rezultati Ankete o </w:t>
      </w:r>
      <w:r w:rsidR="00DC0179">
        <w:rPr>
          <w:sz w:val="20"/>
          <w:szCs w:val="20"/>
        </w:rPr>
        <w:t xml:space="preserve">potrošnji kućanstva u 2011.“, Zagreb, dostupno na: </w:t>
      </w:r>
      <w:r w:rsidR="00E21C4F" w:rsidRPr="00E21C4F">
        <w:rPr>
          <w:sz w:val="20"/>
          <w:szCs w:val="20"/>
        </w:rPr>
        <w:t>http://www.dzs.hr/Hrv_Eng/publication/2012/SI-1484.pdf</w:t>
      </w:r>
    </w:p>
    <w:p w:rsidR="00E10375" w:rsidRDefault="00E21C4F" w:rsidP="00E10375">
      <w:pPr>
        <w:jc w:val="both"/>
        <w:rPr>
          <w:i/>
          <w:sz w:val="24"/>
          <w:szCs w:val="24"/>
        </w:rPr>
      </w:pPr>
      <w:r>
        <w:rPr>
          <w:sz w:val="24"/>
          <w:szCs w:val="24"/>
        </w:rPr>
        <w:lastRenderedPageBreak/>
        <w:t xml:space="preserve">Treću kategoriju relativno najizraženijih izdataka za potrošnju čine </w:t>
      </w:r>
      <w:r w:rsidRPr="002371C1">
        <w:rPr>
          <w:i/>
          <w:color w:val="C00000"/>
          <w:sz w:val="24"/>
          <w:szCs w:val="24"/>
        </w:rPr>
        <w:t>izdaci za prijevoz</w:t>
      </w:r>
      <w:r w:rsidRPr="00E21C4F">
        <w:t xml:space="preserve"> </w:t>
      </w:r>
      <w:r w:rsidRPr="00E21C4F">
        <w:rPr>
          <w:sz w:val="24"/>
          <w:szCs w:val="24"/>
        </w:rPr>
        <w:t>koji na razini RH imaju prosječni udio 12,9%, ali sa značajno manjim udjelom u potrošnji prvog dohodovnog decila (svega 3,4%) u usporedbi s desetim dohodovnim decilom (17,7%).</w:t>
      </w:r>
      <w:r>
        <w:rPr>
          <w:sz w:val="24"/>
          <w:szCs w:val="24"/>
        </w:rPr>
        <w:t xml:space="preserve"> </w:t>
      </w:r>
      <w:r w:rsidR="00E10375">
        <w:rPr>
          <w:sz w:val="24"/>
          <w:szCs w:val="24"/>
        </w:rPr>
        <w:t xml:space="preserve">Druge kategorije koje bilježe relativno veći udio u izdacima za potrošnju desegog dohodovnog decila  u odnosu na prvi su </w:t>
      </w:r>
      <w:r w:rsidR="00E10375" w:rsidRPr="002371C1">
        <w:rPr>
          <w:i/>
          <w:sz w:val="24"/>
          <w:szCs w:val="24"/>
        </w:rPr>
        <w:t>izdaci za odjeću i obuću</w:t>
      </w:r>
      <w:r w:rsidR="00E10375" w:rsidRPr="000B63BF">
        <w:rPr>
          <w:color w:val="C00000"/>
          <w:sz w:val="24"/>
          <w:szCs w:val="24"/>
        </w:rPr>
        <w:t xml:space="preserve"> </w:t>
      </w:r>
      <w:r w:rsidR="00E10375" w:rsidRPr="002371C1">
        <w:rPr>
          <w:sz w:val="24"/>
          <w:szCs w:val="24"/>
        </w:rPr>
        <w:t xml:space="preserve">te </w:t>
      </w:r>
      <w:r w:rsidR="00E10375" w:rsidRPr="002371C1">
        <w:rPr>
          <w:i/>
          <w:sz w:val="24"/>
          <w:szCs w:val="24"/>
        </w:rPr>
        <w:t>izdaci za restorane i hotele</w:t>
      </w:r>
      <w:r w:rsidR="00E10375">
        <w:rPr>
          <w:sz w:val="24"/>
          <w:szCs w:val="24"/>
        </w:rPr>
        <w:t xml:space="preserve">, dok prvi dohodovni decil ima relativno veće relativne udjele </w:t>
      </w:r>
      <w:r w:rsidR="00E10375" w:rsidRPr="002371C1">
        <w:rPr>
          <w:i/>
          <w:sz w:val="24"/>
          <w:szCs w:val="24"/>
        </w:rPr>
        <w:t>izdataka za zdravstvo</w:t>
      </w:r>
      <w:r w:rsidR="00E10375" w:rsidRPr="002371C1">
        <w:rPr>
          <w:sz w:val="24"/>
          <w:szCs w:val="24"/>
        </w:rPr>
        <w:t xml:space="preserve"> </w:t>
      </w:r>
      <w:r w:rsidR="00E10375">
        <w:rPr>
          <w:sz w:val="24"/>
          <w:szCs w:val="24"/>
        </w:rPr>
        <w:t xml:space="preserve">te </w:t>
      </w:r>
      <w:r w:rsidR="00E10375" w:rsidRPr="002371C1">
        <w:rPr>
          <w:i/>
          <w:sz w:val="24"/>
          <w:szCs w:val="24"/>
        </w:rPr>
        <w:t>izdataka za alkoholna pića i duhan.</w:t>
      </w:r>
    </w:p>
    <w:p w:rsidR="00E10375" w:rsidRDefault="00E21C4F" w:rsidP="00E10375">
      <w:pPr>
        <w:jc w:val="both"/>
        <w:rPr>
          <w:sz w:val="24"/>
          <w:szCs w:val="24"/>
        </w:rPr>
      </w:pPr>
      <w:r>
        <w:rPr>
          <w:sz w:val="24"/>
          <w:szCs w:val="24"/>
        </w:rPr>
        <w:t>Osim veličine dohotka, s</w:t>
      </w:r>
      <w:r w:rsidR="00E10375">
        <w:rPr>
          <w:sz w:val="24"/>
          <w:szCs w:val="24"/>
        </w:rPr>
        <w:t xml:space="preserve">truktura izdataka za potrošnju je dijelom pod utjecajem </w:t>
      </w:r>
      <w:r w:rsidR="00E10375" w:rsidRPr="000264D4">
        <w:rPr>
          <w:color w:val="C00000"/>
          <w:sz w:val="24"/>
          <w:szCs w:val="24"/>
        </w:rPr>
        <w:t>socioekonomskih faktora</w:t>
      </w:r>
      <w:r w:rsidR="00E10375">
        <w:rPr>
          <w:sz w:val="24"/>
          <w:szCs w:val="24"/>
        </w:rPr>
        <w:t xml:space="preserve">. Izdaci za hranu i stanovanje imaju veći udio u potrošnji nezaposlenih i umirovljenika nego nefizičkih radnika. Izdaci za prijevoz najveći udio imaju kod samozaposlenih osoba, a izdaci za zdravstvo kod umirovljenika i fizičkih </w:t>
      </w:r>
      <w:r>
        <w:rPr>
          <w:sz w:val="24"/>
          <w:szCs w:val="24"/>
        </w:rPr>
        <w:t>radnika</w:t>
      </w:r>
      <w:r w:rsidR="00E10375">
        <w:rPr>
          <w:sz w:val="24"/>
          <w:szCs w:val="24"/>
        </w:rPr>
        <w:t>. Izdaci za obrazovanje, rekreaciju i kulturu te restorane i hotele imaju najveći relativni udio kod nefizičkih radnika i samozaposleni</w:t>
      </w:r>
      <w:r w:rsidR="00467E11">
        <w:rPr>
          <w:sz w:val="24"/>
          <w:szCs w:val="24"/>
        </w:rPr>
        <w:t>h</w:t>
      </w:r>
      <w:r w:rsidR="00E10375">
        <w:rPr>
          <w:sz w:val="24"/>
          <w:szCs w:val="24"/>
        </w:rPr>
        <w:t xml:space="preserve">, a za alkolholna pića i duhan kod nezaposlenih osoba. Uzimajući u obzir odstupanje od godišnjeg prosjeka po kućanstvu na razini RH, </w:t>
      </w:r>
      <w:r w:rsidR="00E10375" w:rsidRPr="002371C1">
        <w:rPr>
          <w:color w:val="C00000"/>
          <w:sz w:val="24"/>
          <w:szCs w:val="24"/>
        </w:rPr>
        <w:t xml:space="preserve">koeficijent varijacije </w:t>
      </w:r>
      <w:r w:rsidR="00E10375">
        <w:rPr>
          <w:sz w:val="24"/>
          <w:szCs w:val="24"/>
        </w:rPr>
        <w:t xml:space="preserve">je najveći u slučaju izdataka za obrazovanje, izdataka za restorane i hotele, izdataka za zdravstvo te izdataka za odjeću i obuću (tablica 5). </w:t>
      </w:r>
    </w:p>
    <w:p w:rsidR="00E10375" w:rsidRPr="00CE2690" w:rsidRDefault="00E10375" w:rsidP="00E10375">
      <w:pPr>
        <w:jc w:val="both"/>
        <w:rPr>
          <w:b/>
          <w:sz w:val="24"/>
          <w:szCs w:val="24"/>
        </w:rPr>
      </w:pPr>
      <w:r w:rsidRPr="00CE2690">
        <w:rPr>
          <w:b/>
          <w:sz w:val="24"/>
          <w:szCs w:val="24"/>
        </w:rPr>
        <w:t>Tablica 6: Izdaci za potrošnju, prosjek po kućanstvu 1998.-2011.</w:t>
      </w:r>
    </w:p>
    <w:p w:rsidR="00E10375" w:rsidRDefault="00E10375" w:rsidP="00E10375">
      <w:pPr>
        <w:jc w:val="both"/>
        <w:rPr>
          <w:sz w:val="24"/>
          <w:szCs w:val="24"/>
        </w:rPr>
      </w:pPr>
      <w:r>
        <w:rPr>
          <w:noProof/>
          <w:sz w:val="24"/>
          <w:szCs w:val="24"/>
          <w:lang w:eastAsia="hr-HR"/>
        </w:rPr>
        <w:drawing>
          <wp:inline distT="0" distB="0" distL="0" distR="0" wp14:anchorId="52295F8D" wp14:editId="18438808">
            <wp:extent cx="5753100" cy="4048125"/>
            <wp:effectExtent l="0" t="0" r="0" b="952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4048125"/>
                    </a:xfrm>
                    <a:prstGeom prst="rect">
                      <a:avLst/>
                    </a:prstGeom>
                    <a:noFill/>
                    <a:ln>
                      <a:noFill/>
                    </a:ln>
                  </pic:spPr>
                </pic:pic>
              </a:graphicData>
            </a:graphic>
          </wp:inline>
        </w:drawing>
      </w:r>
    </w:p>
    <w:p w:rsidR="00AC52E6" w:rsidRDefault="00AC52E6" w:rsidP="00AC52E6">
      <w:pPr>
        <w:spacing w:after="0" w:line="240" w:lineRule="auto"/>
        <w:jc w:val="both"/>
        <w:rPr>
          <w:sz w:val="20"/>
          <w:szCs w:val="20"/>
        </w:rPr>
      </w:pPr>
      <w:r>
        <w:rPr>
          <w:sz w:val="20"/>
          <w:szCs w:val="20"/>
        </w:rPr>
        <w:t xml:space="preserve">* U ukupnoj potrošnji izdaci za stanovanje i potrošnju energenata ne uključuju imputiranu najamninu </w:t>
      </w:r>
    </w:p>
    <w:p w:rsidR="00E10375" w:rsidRDefault="00AD735A" w:rsidP="00E10375">
      <w:pPr>
        <w:jc w:val="both"/>
        <w:rPr>
          <w:rStyle w:val="Hiperveza"/>
          <w:sz w:val="20"/>
          <w:szCs w:val="20"/>
        </w:rPr>
      </w:pPr>
      <w:r w:rsidRPr="003239CD">
        <w:rPr>
          <w:sz w:val="20"/>
          <w:szCs w:val="20"/>
        </w:rPr>
        <w:t xml:space="preserve">Izvor: </w:t>
      </w:r>
      <w:r>
        <w:rPr>
          <w:sz w:val="20"/>
          <w:szCs w:val="20"/>
        </w:rPr>
        <w:t>p</w:t>
      </w:r>
      <w:r w:rsidR="00FB6BC8">
        <w:rPr>
          <w:sz w:val="20"/>
          <w:szCs w:val="20"/>
        </w:rPr>
        <w:t>reuzeto iz:</w:t>
      </w:r>
      <w:r w:rsidR="00FB6BC8" w:rsidRPr="00A94513">
        <w:rPr>
          <w:sz w:val="20"/>
          <w:szCs w:val="20"/>
        </w:rPr>
        <w:t xml:space="preserve"> </w:t>
      </w:r>
      <w:r w:rsidR="00E10375" w:rsidRPr="005F6F83">
        <w:rPr>
          <w:sz w:val="20"/>
          <w:szCs w:val="20"/>
        </w:rPr>
        <w:t>DZS</w:t>
      </w:r>
      <w:r w:rsidR="00D33C8D">
        <w:rPr>
          <w:sz w:val="20"/>
          <w:szCs w:val="20"/>
        </w:rPr>
        <w:t xml:space="preserve"> (2013):</w:t>
      </w:r>
      <w:r w:rsidR="00E10375" w:rsidRPr="005F6F83">
        <w:rPr>
          <w:sz w:val="20"/>
          <w:szCs w:val="20"/>
        </w:rPr>
        <w:t xml:space="preserve"> </w:t>
      </w:r>
      <w:r w:rsidR="00E10375">
        <w:rPr>
          <w:sz w:val="20"/>
          <w:szCs w:val="20"/>
        </w:rPr>
        <w:t>„</w:t>
      </w:r>
      <w:r w:rsidR="00E10375" w:rsidRPr="0081311A">
        <w:rPr>
          <w:sz w:val="20"/>
          <w:szCs w:val="20"/>
        </w:rPr>
        <w:t xml:space="preserve">Rezultati Ankete o </w:t>
      </w:r>
      <w:r w:rsidR="00E10375">
        <w:rPr>
          <w:sz w:val="20"/>
          <w:szCs w:val="20"/>
        </w:rPr>
        <w:t xml:space="preserve">potrošnji kućanstva u 2011.“,, dostupno na: </w:t>
      </w:r>
      <w:r w:rsidR="00E10375" w:rsidRPr="00E21C4F">
        <w:rPr>
          <w:sz w:val="20"/>
          <w:szCs w:val="20"/>
        </w:rPr>
        <w:t>http://www.dzs.hr/Hrv_Eng/publication/2012/SI-1484.pdf</w:t>
      </w:r>
    </w:p>
    <w:p w:rsidR="00AC52E6" w:rsidRDefault="00AC52E6" w:rsidP="00AC52E6">
      <w:pPr>
        <w:jc w:val="both"/>
        <w:rPr>
          <w:sz w:val="24"/>
          <w:szCs w:val="24"/>
        </w:rPr>
      </w:pPr>
      <w:r w:rsidRPr="00CE2690">
        <w:rPr>
          <w:sz w:val="24"/>
          <w:szCs w:val="24"/>
        </w:rPr>
        <w:lastRenderedPageBreak/>
        <w:t xml:space="preserve">Od 1998. </w:t>
      </w:r>
      <w:r>
        <w:rPr>
          <w:sz w:val="24"/>
          <w:szCs w:val="24"/>
        </w:rPr>
        <w:t>g</w:t>
      </w:r>
      <w:r w:rsidRPr="00CE2690">
        <w:rPr>
          <w:sz w:val="24"/>
          <w:szCs w:val="24"/>
        </w:rPr>
        <w:t xml:space="preserve">odine do </w:t>
      </w:r>
      <w:r>
        <w:rPr>
          <w:sz w:val="24"/>
          <w:szCs w:val="24"/>
        </w:rPr>
        <w:t xml:space="preserve">2011. najznačajnije rast udjela u strukturi izdataka za potrošnju zabilježili su izdaci </w:t>
      </w:r>
      <w:r w:rsidR="00E21C4F">
        <w:rPr>
          <w:sz w:val="24"/>
          <w:szCs w:val="24"/>
        </w:rPr>
        <w:t xml:space="preserve">za </w:t>
      </w:r>
      <w:r>
        <w:rPr>
          <w:sz w:val="24"/>
          <w:szCs w:val="24"/>
        </w:rPr>
        <w:t xml:space="preserve">komunikacije, izdaci za stanovanje i potrošnju energenata te izdaci za zdravstvo (tablica 6), dok se je smanjio udio izdataka za hranu i bezalkoholna pića što korespondira s podacima o ekonomskom rastu i razvoju u istom razdoblju. </w:t>
      </w:r>
    </w:p>
    <w:p w:rsidR="00AC52E6" w:rsidRDefault="00AC52E6" w:rsidP="00AC52E6">
      <w:pPr>
        <w:spacing w:before="120" w:after="120"/>
        <w:jc w:val="both"/>
        <w:rPr>
          <w:sz w:val="24"/>
          <w:szCs w:val="24"/>
        </w:rPr>
      </w:pPr>
      <w:r w:rsidRPr="00ED6642">
        <w:rPr>
          <w:sz w:val="24"/>
          <w:szCs w:val="24"/>
        </w:rPr>
        <w:t xml:space="preserve">S obzirom da država financira javno zdravstvo i obrazovanje, </w:t>
      </w:r>
      <w:r w:rsidRPr="00E10375">
        <w:rPr>
          <w:color w:val="C00000"/>
          <w:sz w:val="24"/>
          <w:szCs w:val="24"/>
        </w:rPr>
        <w:t>udio izdataka kućanstva za zdravstvo i obrazovanje u Hrvatskoj je vrlo nizak kod svih dohodovnih decila</w:t>
      </w:r>
      <w:r w:rsidRPr="00ED6642">
        <w:rPr>
          <w:sz w:val="24"/>
          <w:szCs w:val="24"/>
        </w:rPr>
        <w:t xml:space="preserve">, a što se odražava i na </w:t>
      </w:r>
      <w:r>
        <w:rPr>
          <w:sz w:val="24"/>
          <w:szCs w:val="24"/>
        </w:rPr>
        <w:t>manju motiviranost građana za štednju</w:t>
      </w:r>
      <w:r w:rsidRPr="00ED6642">
        <w:rPr>
          <w:sz w:val="24"/>
          <w:szCs w:val="24"/>
        </w:rPr>
        <w:t xml:space="preserve"> za navedene potrebe. </w:t>
      </w:r>
      <w:r>
        <w:rPr>
          <w:sz w:val="24"/>
          <w:szCs w:val="24"/>
        </w:rPr>
        <w:t xml:space="preserve">Međutim, dok su prije trideset godina ranije generacije imale razloga vjerovati da će javni zdravstveni sustav adekvatno zadovoljavati njihove potrebe za liječenjem, situacija je posljednjih dvadeset godina različita što se vidi i iz podataka o rastu udjela izdataka </w:t>
      </w:r>
      <w:r w:rsidR="00090AFE">
        <w:rPr>
          <w:sz w:val="24"/>
          <w:szCs w:val="24"/>
        </w:rPr>
        <w:t xml:space="preserve">kućanstva </w:t>
      </w:r>
      <w:r>
        <w:rPr>
          <w:sz w:val="24"/>
          <w:szCs w:val="24"/>
        </w:rPr>
        <w:t xml:space="preserve">za zdravstvo. </w:t>
      </w:r>
    </w:p>
    <w:p w:rsidR="00AC52E6" w:rsidRDefault="00AC52E6" w:rsidP="00AC52E6">
      <w:pPr>
        <w:jc w:val="both"/>
        <w:rPr>
          <w:sz w:val="24"/>
          <w:szCs w:val="24"/>
        </w:rPr>
      </w:pPr>
      <w:r>
        <w:rPr>
          <w:sz w:val="24"/>
          <w:szCs w:val="24"/>
        </w:rPr>
        <w:t xml:space="preserve">Neovisno što postoji organiziran sustav mirovinskog osiguranja i zdravstvenog osiguranja, kao i dostupnost različitih socijalnih transfera, svako kućanstvo treba dodatno samostalno štedjeti za navedene svrhe, jer se </w:t>
      </w:r>
      <w:r w:rsidRPr="00090AFE">
        <w:rPr>
          <w:color w:val="C00000"/>
          <w:sz w:val="24"/>
          <w:szCs w:val="24"/>
        </w:rPr>
        <w:t>razmjer države blagostanja kontinuirano smanjuje</w:t>
      </w:r>
      <w:r>
        <w:rPr>
          <w:sz w:val="24"/>
          <w:szCs w:val="24"/>
        </w:rPr>
        <w:t xml:space="preserve">, dok država ima sve veći problem nerazmjera javnih rashoda i prihoda. </w:t>
      </w:r>
      <w:r w:rsidR="002D46AE">
        <w:rPr>
          <w:sz w:val="24"/>
          <w:szCs w:val="24"/>
        </w:rPr>
        <w:t xml:space="preserve">Kućanstva stoga </w:t>
      </w:r>
      <w:r>
        <w:rPr>
          <w:sz w:val="24"/>
          <w:szCs w:val="24"/>
        </w:rPr>
        <w:t>sve češće samostalno fina</w:t>
      </w:r>
      <w:r w:rsidR="00881FB1">
        <w:rPr>
          <w:sz w:val="24"/>
          <w:szCs w:val="24"/>
        </w:rPr>
        <w:t>ncira</w:t>
      </w:r>
      <w:r w:rsidR="00467E11">
        <w:rPr>
          <w:sz w:val="24"/>
          <w:szCs w:val="24"/>
        </w:rPr>
        <w:t>ju</w:t>
      </w:r>
      <w:r w:rsidR="002D46AE">
        <w:rPr>
          <w:sz w:val="24"/>
          <w:szCs w:val="24"/>
        </w:rPr>
        <w:t xml:space="preserve"> nabavke lijekova i troškove liječenja.</w:t>
      </w:r>
    </w:p>
    <w:p w:rsidR="00DC0179" w:rsidRPr="00185225" w:rsidRDefault="00881FB1" w:rsidP="005B2730">
      <w:pPr>
        <w:spacing w:before="240"/>
        <w:jc w:val="both"/>
        <w:rPr>
          <w:b/>
          <w:sz w:val="24"/>
          <w:szCs w:val="24"/>
        </w:rPr>
      </w:pPr>
      <w:r>
        <w:rPr>
          <w:b/>
          <w:sz w:val="24"/>
          <w:szCs w:val="24"/>
        </w:rPr>
        <w:t xml:space="preserve">1.4. </w:t>
      </w:r>
      <w:r w:rsidR="00B61450" w:rsidRPr="00185225">
        <w:rPr>
          <w:b/>
          <w:sz w:val="24"/>
          <w:szCs w:val="24"/>
        </w:rPr>
        <w:t>Rizik</w:t>
      </w:r>
      <w:r w:rsidR="00580049" w:rsidRPr="00185225">
        <w:rPr>
          <w:b/>
          <w:sz w:val="24"/>
          <w:szCs w:val="24"/>
        </w:rPr>
        <w:t xml:space="preserve"> siromaštva i socijalne isključenosti</w:t>
      </w:r>
    </w:p>
    <w:p w:rsidR="00022A08" w:rsidRDefault="00580049" w:rsidP="00580049">
      <w:pPr>
        <w:jc w:val="both"/>
        <w:rPr>
          <w:sz w:val="24"/>
          <w:szCs w:val="24"/>
        </w:rPr>
      </w:pPr>
      <w:r w:rsidRPr="00022A08">
        <w:rPr>
          <w:color w:val="C00000"/>
          <w:sz w:val="24"/>
          <w:szCs w:val="24"/>
        </w:rPr>
        <w:t>Socijaln</w:t>
      </w:r>
      <w:r w:rsidR="00B61450" w:rsidRPr="00022A08">
        <w:rPr>
          <w:color w:val="C00000"/>
          <w:sz w:val="24"/>
          <w:szCs w:val="24"/>
        </w:rPr>
        <w:t>a</w:t>
      </w:r>
      <w:r w:rsidRPr="00022A08">
        <w:rPr>
          <w:color w:val="C00000"/>
          <w:sz w:val="24"/>
          <w:szCs w:val="24"/>
        </w:rPr>
        <w:t xml:space="preserve"> isključenost </w:t>
      </w:r>
      <w:r w:rsidRPr="00185225">
        <w:rPr>
          <w:sz w:val="24"/>
          <w:szCs w:val="24"/>
        </w:rPr>
        <w:t xml:space="preserve">definira </w:t>
      </w:r>
      <w:r w:rsidR="00B61450" w:rsidRPr="00185225">
        <w:rPr>
          <w:sz w:val="24"/>
          <w:szCs w:val="24"/>
        </w:rPr>
        <w:t xml:space="preserve">se </w:t>
      </w:r>
      <w:r w:rsidRPr="00185225">
        <w:rPr>
          <w:sz w:val="24"/>
          <w:szCs w:val="24"/>
        </w:rPr>
        <w:t>kao razmjerno trajna, višestruko uvjetovana i višedimenzionalna deprivi</w:t>
      </w:r>
      <w:r w:rsidR="000A5C42">
        <w:rPr>
          <w:sz w:val="24"/>
          <w:szCs w:val="24"/>
        </w:rPr>
        <w:t>ranost (prikraćenost) pojedinca spram društvene okoline</w:t>
      </w:r>
      <w:r w:rsidR="00147B5E">
        <w:rPr>
          <w:sz w:val="24"/>
          <w:szCs w:val="24"/>
        </w:rPr>
        <w:t>.</w:t>
      </w:r>
      <w:r w:rsidRPr="00185225">
        <w:rPr>
          <w:sz w:val="24"/>
          <w:szCs w:val="24"/>
        </w:rPr>
        <w:t xml:space="preserve"> </w:t>
      </w:r>
      <w:r w:rsidR="00185225" w:rsidRPr="00185225">
        <w:rPr>
          <w:sz w:val="24"/>
          <w:szCs w:val="24"/>
        </w:rPr>
        <w:t>S</w:t>
      </w:r>
      <w:r w:rsidR="00B61450" w:rsidRPr="00185225">
        <w:rPr>
          <w:sz w:val="24"/>
          <w:szCs w:val="24"/>
        </w:rPr>
        <w:t xml:space="preserve">ocijalno isključenom osobom smatra ona koja </w:t>
      </w:r>
      <w:r w:rsidR="00022A08" w:rsidRPr="000A5C42">
        <w:rPr>
          <w:sz w:val="24"/>
          <w:szCs w:val="24"/>
        </w:rPr>
        <w:t xml:space="preserve">istodobno </w:t>
      </w:r>
      <w:r w:rsidR="00B61450" w:rsidRPr="000A5C42">
        <w:rPr>
          <w:sz w:val="24"/>
          <w:szCs w:val="24"/>
        </w:rPr>
        <w:t xml:space="preserve">ne sudjeluje u </w:t>
      </w:r>
      <w:r w:rsidRPr="000A5C42">
        <w:rPr>
          <w:sz w:val="24"/>
          <w:szCs w:val="24"/>
        </w:rPr>
        <w:t xml:space="preserve">raspodjeli društvenih dobara </w:t>
      </w:r>
      <w:r w:rsidR="00147B5E">
        <w:rPr>
          <w:sz w:val="24"/>
          <w:szCs w:val="24"/>
        </w:rPr>
        <w:t xml:space="preserve">što se uobičajeno promatra </w:t>
      </w:r>
      <w:r w:rsidR="00B61450" w:rsidRPr="000A5C42">
        <w:rPr>
          <w:sz w:val="24"/>
          <w:szCs w:val="24"/>
        </w:rPr>
        <w:t xml:space="preserve">kroz </w:t>
      </w:r>
      <w:r w:rsidR="00033CEE" w:rsidRPr="00022A08">
        <w:rPr>
          <w:color w:val="C00000"/>
          <w:sz w:val="24"/>
          <w:szCs w:val="24"/>
        </w:rPr>
        <w:t xml:space="preserve">tri povezane </w:t>
      </w:r>
      <w:r w:rsidR="00B61450" w:rsidRPr="00022A08">
        <w:rPr>
          <w:color w:val="C00000"/>
          <w:sz w:val="24"/>
          <w:szCs w:val="24"/>
        </w:rPr>
        <w:t>dimenzij</w:t>
      </w:r>
      <w:r w:rsidR="00147B5E">
        <w:rPr>
          <w:color w:val="C00000"/>
          <w:sz w:val="24"/>
          <w:szCs w:val="24"/>
        </w:rPr>
        <w:t>e</w:t>
      </w:r>
      <w:r w:rsidR="00B61450" w:rsidRPr="00022A08">
        <w:rPr>
          <w:color w:val="C00000"/>
          <w:sz w:val="24"/>
          <w:szCs w:val="24"/>
        </w:rPr>
        <w:t xml:space="preserve"> prikraćenosti</w:t>
      </w:r>
      <w:r w:rsidR="00033CEE" w:rsidRPr="00022A08">
        <w:rPr>
          <w:color w:val="C00000"/>
          <w:sz w:val="24"/>
          <w:szCs w:val="24"/>
        </w:rPr>
        <w:t xml:space="preserve"> </w:t>
      </w:r>
      <w:r w:rsidR="00033CEE" w:rsidRPr="00185225">
        <w:rPr>
          <w:sz w:val="24"/>
          <w:szCs w:val="24"/>
        </w:rPr>
        <w:t>uključujući</w:t>
      </w:r>
      <w:r w:rsidR="00B61450" w:rsidRPr="00185225">
        <w:rPr>
          <w:sz w:val="24"/>
          <w:szCs w:val="24"/>
        </w:rPr>
        <w:t xml:space="preserve">: </w:t>
      </w:r>
    </w:p>
    <w:p w:rsidR="00022A08" w:rsidRPr="00022A08" w:rsidRDefault="00033CEE" w:rsidP="00E93220">
      <w:pPr>
        <w:pStyle w:val="Odlomakpopisa"/>
        <w:numPr>
          <w:ilvl w:val="0"/>
          <w:numId w:val="8"/>
        </w:numPr>
        <w:jc w:val="both"/>
        <w:rPr>
          <w:sz w:val="24"/>
          <w:szCs w:val="24"/>
        </w:rPr>
      </w:pPr>
      <w:r w:rsidRPr="00022A08">
        <w:rPr>
          <w:sz w:val="24"/>
          <w:szCs w:val="24"/>
        </w:rPr>
        <w:t xml:space="preserve">ekonomsku  </w:t>
      </w:r>
      <w:r w:rsidR="00147B5E">
        <w:rPr>
          <w:sz w:val="24"/>
          <w:szCs w:val="24"/>
        </w:rPr>
        <w:t xml:space="preserve">s podjelom na radnu prikraćenost </w:t>
      </w:r>
      <w:r w:rsidRPr="00022A08">
        <w:rPr>
          <w:sz w:val="24"/>
          <w:szCs w:val="24"/>
        </w:rPr>
        <w:t>(nezaposlenost i nesudjelovanje na tržištu rada</w:t>
      </w:r>
      <w:r w:rsidR="00147B5E">
        <w:rPr>
          <w:sz w:val="24"/>
          <w:szCs w:val="24"/>
        </w:rPr>
        <w:t xml:space="preserve">) i </w:t>
      </w:r>
      <w:r w:rsidRPr="00022A08">
        <w:rPr>
          <w:sz w:val="24"/>
          <w:szCs w:val="24"/>
        </w:rPr>
        <w:t>siromaštvo</w:t>
      </w:r>
      <w:r w:rsidR="00147B5E">
        <w:rPr>
          <w:sz w:val="24"/>
          <w:szCs w:val="24"/>
        </w:rPr>
        <w:t xml:space="preserve"> (</w:t>
      </w:r>
      <w:r w:rsidR="00147B5E" w:rsidRPr="00022A08">
        <w:rPr>
          <w:sz w:val="24"/>
          <w:szCs w:val="24"/>
        </w:rPr>
        <w:t>nedostatna kupovna moć</w:t>
      </w:r>
      <w:r w:rsidRPr="00022A08">
        <w:rPr>
          <w:sz w:val="24"/>
          <w:szCs w:val="24"/>
        </w:rPr>
        <w:t>)</w:t>
      </w:r>
      <w:r w:rsidR="00022A08" w:rsidRPr="00022A08">
        <w:rPr>
          <w:sz w:val="24"/>
          <w:szCs w:val="24"/>
        </w:rPr>
        <w:t>;</w:t>
      </w:r>
      <w:r w:rsidRPr="00022A08">
        <w:rPr>
          <w:sz w:val="24"/>
          <w:szCs w:val="24"/>
        </w:rPr>
        <w:t xml:space="preserve"> </w:t>
      </w:r>
    </w:p>
    <w:p w:rsidR="00022A08" w:rsidRPr="00022A08" w:rsidRDefault="00033CEE" w:rsidP="00E93220">
      <w:pPr>
        <w:pStyle w:val="Odlomakpopisa"/>
        <w:numPr>
          <w:ilvl w:val="0"/>
          <w:numId w:val="8"/>
        </w:numPr>
        <w:jc w:val="both"/>
        <w:rPr>
          <w:sz w:val="24"/>
          <w:szCs w:val="24"/>
        </w:rPr>
      </w:pPr>
      <w:r w:rsidRPr="00022A08">
        <w:rPr>
          <w:sz w:val="24"/>
          <w:szCs w:val="24"/>
        </w:rPr>
        <w:t>institucionalnu (nemogućnost školovanja, neadekvatan pristup zdravstvenim i socijalnim uslugama)</w:t>
      </w:r>
      <w:r w:rsidR="00022A08" w:rsidRPr="00022A08">
        <w:rPr>
          <w:sz w:val="24"/>
          <w:szCs w:val="24"/>
        </w:rPr>
        <w:t>;</w:t>
      </w:r>
      <w:r w:rsidRPr="00022A08">
        <w:rPr>
          <w:sz w:val="24"/>
          <w:szCs w:val="24"/>
        </w:rPr>
        <w:t xml:space="preserve"> te</w:t>
      </w:r>
    </w:p>
    <w:p w:rsidR="00185225" w:rsidRDefault="00033CEE" w:rsidP="00E93220">
      <w:pPr>
        <w:pStyle w:val="Odlomakpopisa"/>
        <w:numPr>
          <w:ilvl w:val="0"/>
          <w:numId w:val="8"/>
        </w:numPr>
        <w:jc w:val="both"/>
        <w:rPr>
          <w:sz w:val="24"/>
          <w:szCs w:val="24"/>
        </w:rPr>
      </w:pPr>
      <w:r w:rsidRPr="00022A08">
        <w:rPr>
          <w:sz w:val="24"/>
          <w:szCs w:val="24"/>
        </w:rPr>
        <w:t>sociokulturnu (</w:t>
      </w:r>
      <w:r w:rsidR="00022A08">
        <w:rPr>
          <w:sz w:val="24"/>
          <w:szCs w:val="24"/>
        </w:rPr>
        <w:t xml:space="preserve">neumreženost, isključenost sudjelovanja u </w:t>
      </w:r>
      <w:r w:rsidRPr="00022A08">
        <w:rPr>
          <w:sz w:val="24"/>
          <w:szCs w:val="24"/>
        </w:rPr>
        <w:t>kulturni</w:t>
      </w:r>
      <w:r w:rsidR="00022A08">
        <w:rPr>
          <w:sz w:val="24"/>
          <w:szCs w:val="24"/>
        </w:rPr>
        <w:t>m, religijskim, političkim</w:t>
      </w:r>
      <w:r w:rsidR="00D04B40">
        <w:rPr>
          <w:sz w:val="24"/>
          <w:szCs w:val="24"/>
        </w:rPr>
        <w:t xml:space="preserve"> i drugim oblicima udruženja civilnog društva i</w:t>
      </w:r>
      <w:r w:rsidRPr="00022A08">
        <w:rPr>
          <w:sz w:val="24"/>
          <w:szCs w:val="24"/>
        </w:rPr>
        <w:t xml:space="preserve"> oblikovanju identiteta,  društvena izoliranost i prikraćenost u </w:t>
      </w:r>
      <w:r w:rsidR="00580049" w:rsidRPr="00022A08">
        <w:rPr>
          <w:sz w:val="24"/>
          <w:szCs w:val="24"/>
        </w:rPr>
        <w:t>razmjen</w:t>
      </w:r>
      <w:r w:rsidRPr="00022A08">
        <w:rPr>
          <w:sz w:val="24"/>
          <w:szCs w:val="24"/>
        </w:rPr>
        <w:t>i</w:t>
      </w:r>
      <w:r w:rsidR="00580049" w:rsidRPr="00022A08">
        <w:rPr>
          <w:sz w:val="24"/>
          <w:szCs w:val="24"/>
        </w:rPr>
        <w:t xml:space="preserve"> emocija). </w:t>
      </w:r>
    </w:p>
    <w:p w:rsidR="00147B5E" w:rsidRDefault="00185225" w:rsidP="00580049">
      <w:pPr>
        <w:jc w:val="both"/>
        <w:rPr>
          <w:sz w:val="24"/>
          <w:szCs w:val="24"/>
        </w:rPr>
      </w:pPr>
      <w:r w:rsidRPr="00185225">
        <w:rPr>
          <w:sz w:val="24"/>
          <w:szCs w:val="24"/>
        </w:rPr>
        <w:t xml:space="preserve">Pri tome se ne radi o privremenoj situaciji nego obilježju trajnog stanja iz kojeg je vrlo teško izaći, dok se </w:t>
      </w:r>
      <w:r w:rsidR="00A16CD3">
        <w:rPr>
          <w:sz w:val="24"/>
          <w:szCs w:val="24"/>
        </w:rPr>
        <w:t xml:space="preserve">višedimenzionalna </w:t>
      </w:r>
      <w:r w:rsidRPr="00185225">
        <w:rPr>
          <w:sz w:val="24"/>
          <w:szCs w:val="24"/>
        </w:rPr>
        <w:t>isključenost ne javlja nužno kao posljedica osobnih nedostataka</w:t>
      </w:r>
      <w:r w:rsidR="00580049" w:rsidRPr="00185225">
        <w:rPr>
          <w:sz w:val="24"/>
          <w:szCs w:val="24"/>
        </w:rPr>
        <w:t>, lijenosti, nesposobnosti</w:t>
      </w:r>
      <w:r w:rsidR="00342420">
        <w:rPr>
          <w:sz w:val="24"/>
          <w:szCs w:val="24"/>
        </w:rPr>
        <w:t>, nezainteresiranosti</w:t>
      </w:r>
      <w:r w:rsidR="00580049" w:rsidRPr="00185225">
        <w:rPr>
          <w:sz w:val="24"/>
          <w:szCs w:val="24"/>
        </w:rPr>
        <w:t xml:space="preserve"> ili drugih mana</w:t>
      </w:r>
      <w:r w:rsidR="00DA5AB3" w:rsidRPr="003352E0">
        <w:rPr>
          <w:sz w:val="24"/>
          <w:szCs w:val="24"/>
          <w:vertAlign w:val="superscript"/>
        </w:rPr>
        <w:footnoteReference w:id="12"/>
      </w:r>
      <w:r w:rsidR="00022A08">
        <w:rPr>
          <w:sz w:val="24"/>
          <w:szCs w:val="24"/>
        </w:rPr>
        <w:t>, nego ima obilježja višestrukih „životnih nesreća“</w:t>
      </w:r>
      <w:r w:rsidR="005538EB">
        <w:rPr>
          <w:sz w:val="24"/>
          <w:szCs w:val="24"/>
        </w:rPr>
        <w:t xml:space="preserve"> uz postojanja tzv. </w:t>
      </w:r>
      <w:r w:rsidR="005538EB" w:rsidRPr="005538EB">
        <w:rPr>
          <w:color w:val="C00000"/>
          <w:sz w:val="24"/>
          <w:szCs w:val="24"/>
        </w:rPr>
        <w:t>spiralnog efekta</w:t>
      </w:r>
      <w:r w:rsidR="00580049" w:rsidRPr="00185225">
        <w:rPr>
          <w:sz w:val="24"/>
          <w:szCs w:val="24"/>
        </w:rPr>
        <w:t xml:space="preserve">. </w:t>
      </w:r>
      <w:r w:rsidR="003C37D0">
        <w:rPr>
          <w:sz w:val="24"/>
          <w:szCs w:val="24"/>
        </w:rPr>
        <w:t>Pri tome, š</w:t>
      </w:r>
      <w:r w:rsidR="00147B5E">
        <w:rPr>
          <w:sz w:val="24"/>
          <w:szCs w:val="24"/>
        </w:rPr>
        <w:t xml:space="preserve">to je više obilježja isključenosti izraženo to je osoba </w:t>
      </w:r>
      <w:r w:rsidR="00147B5E" w:rsidRPr="00147B5E">
        <w:rPr>
          <w:color w:val="C00000"/>
          <w:sz w:val="24"/>
          <w:szCs w:val="24"/>
        </w:rPr>
        <w:t>ranjivija</w:t>
      </w:r>
      <w:r w:rsidR="00147B5E">
        <w:rPr>
          <w:sz w:val="24"/>
          <w:szCs w:val="24"/>
        </w:rPr>
        <w:t xml:space="preserve">. </w:t>
      </w:r>
    </w:p>
    <w:p w:rsidR="00580049" w:rsidRDefault="00185225" w:rsidP="00580049">
      <w:pPr>
        <w:jc w:val="both"/>
        <w:rPr>
          <w:sz w:val="24"/>
          <w:szCs w:val="24"/>
        </w:rPr>
      </w:pPr>
      <w:r w:rsidRPr="00185225">
        <w:rPr>
          <w:sz w:val="24"/>
          <w:szCs w:val="24"/>
        </w:rPr>
        <w:t>Povezanost tri dimenzije prikraćenosti nerijetko se javlja kada osoba koja izgubi posao dođe u stanje dugotrajne nezaposlenosti i siromaštva</w:t>
      </w:r>
      <w:r w:rsidR="00A16CD3">
        <w:rPr>
          <w:sz w:val="24"/>
          <w:szCs w:val="24"/>
        </w:rPr>
        <w:t>,</w:t>
      </w:r>
      <w:r w:rsidRPr="00185225">
        <w:rPr>
          <w:sz w:val="24"/>
          <w:szCs w:val="24"/>
        </w:rPr>
        <w:t xml:space="preserve"> a ujedno izgubi dotadašnju prijateljsku / poznaničku mrežu, emotivnu potporu, neformalne izvore informacija o mogućnostima </w:t>
      </w:r>
      <w:r w:rsidRPr="00185225">
        <w:rPr>
          <w:sz w:val="24"/>
          <w:szCs w:val="24"/>
        </w:rPr>
        <w:lastRenderedPageBreak/>
        <w:t>ponovnog zapošljavanja</w:t>
      </w:r>
      <w:r w:rsidR="00022A08">
        <w:rPr>
          <w:sz w:val="24"/>
          <w:szCs w:val="24"/>
        </w:rPr>
        <w:t xml:space="preserve">, mogućnost posudbe novca za pokretanje samozapošljavanja itd. </w:t>
      </w:r>
      <w:r w:rsidR="00A16CD3">
        <w:rPr>
          <w:sz w:val="24"/>
          <w:szCs w:val="24"/>
        </w:rPr>
        <w:t xml:space="preserve">- </w:t>
      </w:r>
      <w:r w:rsidRPr="00185225">
        <w:rPr>
          <w:sz w:val="24"/>
          <w:szCs w:val="24"/>
        </w:rPr>
        <w:t xml:space="preserve">uz veliku vjerojatnost da takav drastičan rez u životu pogođene osobe uzrokuje „potonuće“ u potpunu </w:t>
      </w:r>
      <w:r w:rsidR="00580049" w:rsidRPr="00185225">
        <w:rPr>
          <w:sz w:val="24"/>
          <w:szCs w:val="24"/>
        </w:rPr>
        <w:t>socijalnu isključenost.</w:t>
      </w:r>
      <w:r w:rsidR="00D04B40">
        <w:rPr>
          <w:sz w:val="24"/>
          <w:szCs w:val="24"/>
        </w:rPr>
        <w:t xml:space="preserve"> </w:t>
      </w:r>
    </w:p>
    <w:p w:rsidR="00DA5AB3" w:rsidRDefault="00DA5AB3" w:rsidP="00DA5AB3">
      <w:pPr>
        <w:jc w:val="both"/>
        <w:rPr>
          <w:sz w:val="24"/>
          <w:szCs w:val="24"/>
        </w:rPr>
      </w:pPr>
      <w:r w:rsidRPr="000A5C42">
        <w:rPr>
          <w:color w:val="C00000"/>
          <w:sz w:val="24"/>
          <w:szCs w:val="24"/>
        </w:rPr>
        <w:t xml:space="preserve">Unutar </w:t>
      </w:r>
      <w:r w:rsidR="00147B5E">
        <w:rPr>
          <w:color w:val="C00000"/>
          <w:sz w:val="24"/>
          <w:szCs w:val="24"/>
        </w:rPr>
        <w:t xml:space="preserve">ekonomskih </w:t>
      </w:r>
      <w:r w:rsidRPr="000A5C42">
        <w:rPr>
          <w:color w:val="C00000"/>
          <w:sz w:val="24"/>
          <w:szCs w:val="24"/>
        </w:rPr>
        <w:t>dimenzij</w:t>
      </w:r>
      <w:r w:rsidR="00147B5E">
        <w:rPr>
          <w:color w:val="C00000"/>
          <w:sz w:val="24"/>
          <w:szCs w:val="24"/>
        </w:rPr>
        <w:t>a</w:t>
      </w:r>
      <w:r w:rsidRPr="000A5C42">
        <w:rPr>
          <w:color w:val="C00000"/>
          <w:sz w:val="24"/>
          <w:szCs w:val="24"/>
        </w:rPr>
        <w:t xml:space="preserve"> socijalne isključenosti najveća je povezanost između siromaštva i nezaposlenosti / gospodarske neaktivnosti. </w:t>
      </w:r>
      <w:r>
        <w:rPr>
          <w:sz w:val="24"/>
          <w:szCs w:val="24"/>
        </w:rPr>
        <w:t xml:space="preserve">Zaposlenost pridonosi ne samo povećanju financijske i druge neovisnosti pojedinca nego pridonosi i povećanju njegovih osobnih vještina te uključenosti u društvene kontakte, a od čega su prikraćene gotovo na isti način nezaposlene osobe i neaktivne osobe. Dodatno, </w:t>
      </w:r>
      <w:r w:rsidR="003C37D0">
        <w:rPr>
          <w:sz w:val="24"/>
          <w:szCs w:val="24"/>
        </w:rPr>
        <w:t xml:space="preserve">znatno su više izložena riziku gubitka prihoda, odnosno riziku siromaštva, ona </w:t>
      </w:r>
      <w:r>
        <w:rPr>
          <w:sz w:val="24"/>
          <w:szCs w:val="24"/>
        </w:rPr>
        <w:t>kućanstva u kojima je samo jedna osoba radno aktivna</w:t>
      </w:r>
      <w:r w:rsidR="003C37D0">
        <w:rPr>
          <w:sz w:val="24"/>
          <w:szCs w:val="24"/>
        </w:rPr>
        <w:t xml:space="preserve"> i doprinosi novčanim prihodima</w:t>
      </w:r>
      <w:r>
        <w:rPr>
          <w:sz w:val="24"/>
          <w:szCs w:val="24"/>
        </w:rPr>
        <w:t xml:space="preserve">. Međutim, iako između socijalne isključenosti i siromaštva postoji značajna koncepcijska povezanost,  navedeno ne znači da su svi siromašni ujedno prikraćeni u svim dimenzijama socijalne isključenosti, kao niti da su osobe prikraćene u pojedinim dimenzijama socijalne isključenosti nužno siromašne, što je vidljivo na slici </w:t>
      </w:r>
      <w:r w:rsidR="00D7054B">
        <w:rPr>
          <w:sz w:val="24"/>
          <w:szCs w:val="24"/>
        </w:rPr>
        <w:t>9</w:t>
      </w:r>
      <w:r>
        <w:rPr>
          <w:sz w:val="24"/>
          <w:szCs w:val="24"/>
        </w:rPr>
        <w:t xml:space="preserve">. </w:t>
      </w:r>
    </w:p>
    <w:p w:rsidR="00AB6F8F" w:rsidRPr="005B7AFA" w:rsidRDefault="00AB6F8F" w:rsidP="00D04B40">
      <w:pPr>
        <w:jc w:val="both"/>
        <w:rPr>
          <w:b/>
          <w:sz w:val="24"/>
          <w:szCs w:val="24"/>
        </w:rPr>
      </w:pPr>
      <w:r w:rsidRPr="005B7AFA">
        <w:rPr>
          <w:b/>
          <w:sz w:val="24"/>
          <w:szCs w:val="24"/>
        </w:rPr>
        <w:t xml:space="preserve">Slika </w:t>
      </w:r>
      <w:r w:rsidR="00D7054B">
        <w:rPr>
          <w:b/>
          <w:sz w:val="24"/>
          <w:szCs w:val="24"/>
        </w:rPr>
        <w:t>9</w:t>
      </w:r>
      <w:r w:rsidRPr="005B7AFA">
        <w:rPr>
          <w:b/>
          <w:sz w:val="24"/>
          <w:szCs w:val="24"/>
        </w:rPr>
        <w:t>: Dimenzije prikraćenosti i socijalna isključenost</w:t>
      </w:r>
    </w:p>
    <w:p w:rsidR="00AB6F8F" w:rsidRDefault="0094419E" w:rsidP="00D04B40">
      <w:pPr>
        <w:jc w:val="both"/>
        <w:rPr>
          <w:sz w:val="24"/>
          <w:szCs w:val="24"/>
        </w:rPr>
      </w:pPr>
      <w:r>
        <w:rPr>
          <w:noProof/>
          <w:sz w:val="24"/>
          <w:szCs w:val="24"/>
          <w:lang w:eastAsia="hr-HR"/>
        </w:rPr>
        <w:drawing>
          <wp:inline distT="0" distB="0" distL="0" distR="0" wp14:anchorId="71C64C48" wp14:editId="5F695AE5">
            <wp:extent cx="5876925" cy="3716863"/>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80799" cy="3719313"/>
                    </a:xfrm>
                    <a:prstGeom prst="rect">
                      <a:avLst/>
                    </a:prstGeom>
                    <a:noFill/>
                    <a:ln>
                      <a:noFill/>
                    </a:ln>
                  </pic:spPr>
                </pic:pic>
              </a:graphicData>
            </a:graphic>
          </wp:inline>
        </w:drawing>
      </w:r>
    </w:p>
    <w:p w:rsidR="00AB6F8F" w:rsidRPr="00D33C8D" w:rsidRDefault="00AB6F8F" w:rsidP="00D04B40">
      <w:pPr>
        <w:jc w:val="both"/>
        <w:rPr>
          <w:sz w:val="20"/>
          <w:szCs w:val="20"/>
        </w:rPr>
      </w:pPr>
      <w:r w:rsidRPr="00D33C8D">
        <w:rPr>
          <w:sz w:val="20"/>
          <w:szCs w:val="20"/>
        </w:rPr>
        <w:t xml:space="preserve">Izvor: </w:t>
      </w:r>
      <w:r w:rsidR="00452A47" w:rsidRPr="00D33C8D">
        <w:rPr>
          <w:sz w:val="20"/>
          <w:szCs w:val="20"/>
        </w:rPr>
        <w:t xml:space="preserve">Uz manje izmjene preuzeto iz: </w:t>
      </w:r>
      <w:r w:rsidR="005B7AFA" w:rsidRPr="00D33C8D">
        <w:rPr>
          <w:sz w:val="20"/>
          <w:szCs w:val="20"/>
        </w:rPr>
        <w:t xml:space="preserve">Matković, T.; Štulhofer, A. </w:t>
      </w:r>
      <w:r w:rsidR="00D33C8D" w:rsidRPr="00D33C8D">
        <w:rPr>
          <w:sz w:val="20"/>
          <w:szCs w:val="20"/>
        </w:rPr>
        <w:t xml:space="preserve">(2006): </w:t>
      </w:r>
      <w:r w:rsidR="005B7AFA" w:rsidRPr="00D33C8D">
        <w:rPr>
          <w:sz w:val="20"/>
          <w:szCs w:val="20"/>
        </w:rPr>
        <w:t xml:space="preserve">„Socijalna isključenost u Hrvatskoj – empirijska analiza“, u Stare, N.; Ofak, L., Šabić, Š. (ur), „Siromaštvo, nezaposlenost, socijalna isključenost, UNDP, </w:t>
      </w:r>
      <w:r w:rsidR="00D33C8D" w:rsidRPr="00D33C8D">
        <w:rPr>
          <w:sz w:val="20"/>
          <w:szCs w:val="20"/>
        </w:rPr>
        <w:t>Zagreb</w:t>
      </w:r>
    </w:p>
    <w:p w:rsidR="00881FB1" w:rsidRDefault="00881FB1" w:rsidP="00881FB1">
      <w:pPr>
        <w:jc w:val="both"/>
        <w:rPr>
          <w:color w:val="C00000"/>
          <w:sz w:val="24"/>
          <w:szCs w:val="24"/>
        </w:rPr>
      </w:pPr>
      <w:r>
        <w:rPr>
          <w:sz w:val="24"/>
          <w:szCs w:val="24"/>
        </w:rPr>
        <w:t xml:space="preserve">Istraživanja obilježja i učinaka socijalne isključenosti provedena za Hrvatsku u 2003. (na uzorku 2.500 osoba u dobi starijoj od 20 godina) ukazuju da isključene osobe </w:t>
      </w:r>
      <w:r w:rsidRPr="000A5C42">
        <w:rPr>
          <w:sz w:val="24"/>
          <w:szCs w:val="24"/>
        </w:rPr>
        <w:t xml:space="preserve">karakterizira najmanja kvaliteta života,  najniža  samoprocjena  društvenog statusa i najugroženije zdravlje </w:t>
      </w:r>
      <w:r w:rsidRPr="000A5C42">
        <w:rPr>
          <w:sz w:val="24"/>
          <w:szCs w:val="24"/>
        </w:rPr>
        <w:lastRenderedPageBreak/>
        <w:t>te uz siromašne iskazuju najmanje zadovoljstvo.</w:t>
      </w:r>
      <w:r w:rsidRPr="003352E0">
        <w:rPr>
          <w:sz w:val="24"/>
          <w:szCs w:val="24"/>
          <w:vertAlign w:val="superscript"/>
        </w:rPr>
        <w:footnoteReference w:id="13"/>
      </w:r>
      <w:r w:rsidRPr="000A5C42">
        <w:rPr>
          <w:sz w:val="24"/>
          <w:szCs w:val="24"/>
        </w:rPr>
        <w:t xml:space="preserve"> </w:t>
      </w:r>
      <w:r w:rsidR="00090AFE">
        <w:rPr>
          <w:sz w:val="24"/>
          <w:szCs w:val="24"/>
        </w:rPr>
        <w:t>Situacija se danas nije bitno promijenila, a p</w:t>
      </w:r>
      <w:r w:rsidRPr="000A5C42">
        <w:rPr>
          <w:sz w:val="24"/>
          <w:szCs w:val="24"/>
        </w:rPr>
        <w:t xml:space="preserve">roblem socijalne isključenosti </w:t>
      </w:r>
      <w:r w:rsidR="00090AFE">
        <w:rPr>
          <w:sz w:val="24"/>
          <w:szCs w:val="24"/>
        </w:rPr>
        <w:t xml:space="preserve">više je </w:t>
      </w:r>
      <w:r w:rsidRPr="000A5C42">
        <w:rPr>
          <w:sz w:val="24"/>
          <w:szCs w:val="24"/>
        </w:rPr>
        <w:t>izražen kod žena</w:t>
      </w:r>
      <w:r>
        <w:rPr>
          <w:sz w:val="24"/>
          <w:szCs w:val="24"/>
        </w:rPr>
        <w:t>,</w:t>
      </w:r>
      <w:r w:rsidRPr="000A5C42">
        <w:rPr>
          <w:sz w:val="24"/>
          <w:szCs w:val="24"/>
        </w:rPr>
        <w:t xml:space="preserve"> osoba koje žive u ruralnim sredinama</w:t>
      </w:r>
      <w:r>
        <w:rPr>
          <w:sz w:val="24"/>
          <w:szCs w:val="24"/>
        </w:rPr>
        <w:t xml:space="preserve"> i malim </w:t>
      </w:r>
      <w:r w:rsidR="00090AFE">
        <w:rPr>
          <w:sz w:val="24"/>
          <w:szCs w:val="24"/>
        </w:rPr>
        <w:t>naseljima te kod osoba starijih od 5</w:t>
      </w:r>
      <w:r>
        <w:rPr>
          <w:sz w:val="24"/>
          <w:szCs w:val="24"/>
        </w:rPr>
        <w:t xml:space="preserve">0 </w:t>
      </w:r>
      <w:r w:rsidR="00090AFE">
        <w:rPr>
          <w:sz w:val="24"/>
          <w:szCs w:val="24"/>
        </w:rPr>
        <w:t xml:space="preserve">i više </w:t>
      </w:r>
      <w:r>
        <w:rPr>
          <w:sz w:val="24"/>
          <w:szCs w:val="24"/>
        </w:rPr>
        <w:t>godina</w:t>
      </w:r>
      <w:r w:rsidRPr="000A5C42">
        <w:rPr>
          <w:sz w:val="24"/>
          <w:szCs w:val="24"/>
        </w:rPr>
        <w:t xml:space="preserve">. Dominantno je izražen kod osoba koje imaju završenu samo osnovnu školu (ili je nisu završili), a znatno manje kod osoba sa završenom srednjom školom. S druge strane socijalne isključenost je vrlo mala u slučaju osoba sa završenim fakultetom ili višom školom. </w:t>
      </w:r>
      <w:r w:rsidRPr="000A5C42">
        <w:rPr>
          <w:color w:val="C00000"/>
          <w:sz w:val="24"/>
          <w:szCs w:val="24"/>
        </w:rPr>
        <w:t xml:space="preserve">Obrazovanje se javlja kao faktor koji najviše utječe na socijalnu isključenost </w:t>
      </w:r>
      <w:r w:rsidRPr="003C37D0">
        <w:rPr>
          <w:sz w:val="24"/>
          <w:szCs w:val="24"/>
        </w:rPr>
        <w:t>i u tom slučaju je utjecaj izraženiji nego u slučaju utjecaja na siromaštvo.</w:t>
      </w:r>
      <w:r>
        <w:rPr>
          <w:color w:val="C00000"/>
          <w:sz w:val="24"/>
          <w:szCs w:val="24"/>
        </w:rPr>
        <w:t xml:space="preserve"> </w:t>
      </w:r>
      <w:r w:rsidR="003C37D0" w:rsidRPr="003C37D0">
        <w:rPr>
          <w:color w:val="C00000"/>
          <w:sz w:val="24"/>
          <w:szCs w:val="24"/>
        </w:rPr>
        <w:t>Odluka o dužem obrazovanju i adekvatnom izboru karijere stoga je jedna od početnih</w:t>
      </w:r>
      <w:r w:rsidR="003C37D0">
        <w:rPr>
          <w:sz w:val="24"/>
          <w:szCs w:val="24"/>
        </w:rPr>
        <w:t xml:space="preserve"> (a s obzirom na dugoročne učinke) </w:t>
      </w:r>
      <w:r w:rsidR="003C37D0" w:rsidRPr="003C37D0">
        <w:rPr>
          <w:color w:val="C00000"/>
          <w:sz w:val="24"/>
          <w:szCs w:val="24"/>
        </w:rPr>
        <w:t>i najvažnijih oduka u upravljanu osobnim financijama te budućom pozicijom pojedinca u društvu</w:t>
      </w:r>
      <w:r w:rsidR="003C37D0">
        <w:rPr>
          <w:sz w:val="24"/>
          <w:szCs w:val="24"/>
        </w:rPr>
        <w:t>.</w:t>
      </w:r>
    </w:p>
    <w:p w:rsidR="00881FB1" w:rsidRDefault="00090AFE" w:rsidP="00881FB1">
      <w:pPr>
        <w:jc w:val="both"/>
        <w:rPr>
          <w:sz w:val="24"/>
          <w:szCs w:val="24"/>
        </w:rPr>
      </w:pPr>
      <w:r>
        <w:rPr>
          <w:sz w:val="24"/>
          <w:szCs w:val="24"/>
        </w:rPr>
        <w:t xml:space="preserve">Na regionalnoj razini, </w:t>
      </w:r>
      <w:r w:rsidR="00881FB1" w:rsidRPr="005538EB">
        <w:rPr>
          <w:sz w:val="24"/>
          <w:szCs w:val="24"/>
        </w:rPr>
        <w:t>socijalna isključenost je zastupljenija i veća od nacionalnog prosje</w:t>
      </w:r>
      <w:r>
        <w:rPr>
          <w:sz w:val="24"/>
          <w:szCs w:val="24"/>
        </w:rPr>
        <w:t xml:space="preserve">ka u slučaju </w:t>
      </w:r>
      <w:r w:rsidR="00881FB1" w:rsidRPr="005538EB">
        <w:rPr>
          <w:sz w:val="24"/>
          <w:szCs w:val="24"/>
        </w:rPr>
        <w:t>Slavonij</w:t>
      </w:r>
      <w:r>
        <w:rPr>
          <w:sz w:val="24"/>
          <w:szCs w:val="24"/>
        </w:rPr>
        <w:t>e</w:t>
      </w:r>
      <w:r w:rsidR="00881FB1" w:rsidRPr="005538EB">
        <w:rPr>
          <w:sz w:val="24"/>
          <w:szCs w:val="24"/>
        </w:rPr>
        <w:t xml:space="preserve">, dok se najviši stupanj socijalne uključenosti procjenjuje za zagrebačku regiju, Primorje i Istru. </w:t>
      </w:r>
      <w:r w:rsidR="006E6987">
        <w:rPr>
          <w:sz w:val="24"/>
          <w:szCs w:val="24"/>
        </w:rPr>
        <w:t>R</w:t>
      </w:r>
      <w:r w:rsidR="00881FB1" w:rsidRPr="005538EB">
        <w:rPr>
          <w:sz w:val="24"/>
          <w:szCs w:val="24"/>
        </w:rPr>
        <w:t xml:space="preserve">ezultati istraživanja pokazuju da je </w:t>
      </w:r>
      <w:r w:rsidR="006E6987">
        <w:rPr>
          <w:sz w:val="24"/>
          <w:szCs w:val="24"/>
        </w:rPr>
        <w:t xml:space="preserve">na nacionalnoj razini </w:t>
      </w:r>
      <w:r w:rsidR="00881FB1" w:rsidRPr="005538EB">
        <w:rPr>
          <w:sz w:val="24"/>
          <w:szCs w:val="24"/>
        </w:rPr>
        <w:t xml:space="preserve">svaka deseta osoba </w:t>
      </w:r>
      <w:r w:rsidR="006E6987">
        <w:rPr>
          <w:sz w:val="24"/>
          <w:szCs w:val="24"/>
        </w:rPr>
        <w:t xml:space="preserve">(u uzorku) </w:t>
      </w:r>
      <w:r w:rsidR="00881FB1" w:rsidRPr="005538EB">
        <w:rPr>
          <w:sz w:val="24"/>
          <w:szCs w:val="24"/>
        </w:rPr>
        <w:t xml:space="preserve">siromašna, neumrežena i bez posla odnosno pod utjecajem je višedimenzionalnog obilježja socijalne isključenosti. </w:t>
      </w:r>
      <w:r>
        <w:rPr>
          <w:sz w:val="24"/>
          <w:szCs w:val="24"/>
        </w:rPr>
        <w:t>S obzirom na razmjer krize nakon 2009. realno je za očekivati da je razmjer socijalne isključenosti danas još više izražen</w:t>
      </w:r>
      <w:r w:rsidR="006E6D1F">
        <w:rPr>
          <w:sz w:val="24"/>
          <w:szCs w:val="24"/>
        </w:rPr>
        <w:t>, o čemu govore i pokazatelji socijalne isključenosti koje prati DZS prezentirani u nastavku.</w:t>
      </w:r>
    </w:p>
    <w:tbl>
      <w:tblPr>
        <w:tblStyle w:val="Reetkatablice"/>
        <w:tblW w:w="0" w:type="auto"/>
        <w:tblInd w:w="108" w:type="dxa"/>
        <w:tblLook w:val="04A0" w:firstRow="1" w:lastRow="0" w:firstColumn="1" w:lastColumn="0" w:noHBand="0" w:noVBand="1"/>
      </w:tblPr>
      <w:tblGrid>
        <w:gridCol w:w="9180"/>
      </w:tblGrid>
      <w:tr w:rsidR="00342420" w:rsidTr="0094419E">
        <w:tc>
          <w:tcPr>
            <w:tcW w:w="9180" w:type="dxa"/>
            <w:shd w:val="clear" w:color="auto" w:fill="F2F2F2" w:themeFill="background1" w:themeFillShade="F2"/>
          </w:tcPr>
          <w:p w:rsidR="00D1637C" w:rsidRPr="00D1637C" w:rsidRDefault="00D1637C" w:rsidP="00D1637C">
            <w:pPr>
              <w:spacing w:before="60" w:after="60"/>
              <w:jc w:val="both"/>
              <w:rPr>
                <w:rFonts w:asciiTheme="minorHAnsi" w:eastAsiaTheme="minorHAnsi" w:hAnsiTheme="minorHAnsi" w:cstheme="minorBidi"/>
                <w:b/>
                <w:sz w:val="24"/>
                <w:szCs w:val="24"/>
                <w:lang w:eastAsia="en-US"/>
              </w:rPr>
            </w:pPr>
            <w:r w:rsidRPr="00D1637C">
              <w:rPr>
                <w:rFonts w:asciiTheme="minorHAnsi" w:eastAsiaTheme="minorHAnsi" w:hAnsiTheme="minorHAnsi" w:cstheme="minorBidi"/>
                <w:b/>
                <w:sz w:val="24"/>
                <w:szCs w:val="24"/>
                <w:lang w:eastAsia="en-US"/>
              </w:rPr>
              <w:t>Socijalna uključenost</w:t>
            </w:r>
          </w:p>
          <w:p w:rsidR="00342420" w:rsidRDefault="00342420" w:rsidP="00D1637C">
            <w:pPr>
              <w:spacing w:before="120" w:after="60"/>
              <w:jc w:val="both"/>
              <w:rPr>
                <w:rFonts w:asciiTheme="minorHAnsi" w:eastAsiaTheme="minorHAnsi" w:hAnsiTheme="minorHAnsi" w:cstheme="minorBidi"/>
                <w:sz w:val="24"/>
                <w:szCs w:val="24"/>
                <w:lang w:eastAsia="en-US"/>
              </w:rPr>
            </w:pPr>
            <w:r w:rsidRPr="00342420">
              <w:rPr>
                <w:rFonts w:asciiTheme="minorHAnsi" w:eastAsiaTheme="minorHAnsi" w:hAnsiTheme="minorHAnsi" w:cstheme="minorBidi"/>
                <w:color w:val="C00000"/>
                <w:sz w:val="24"/>
                <w:szCs w:val="24"/>
                <w:lang w:eastAsia="en-US"/>
              </w:rPr>
              <w:t xml:space="preserve">Socijalna uključenost </w:t>
            </w:r>
            <w:r w:rsidRPr="00342420">
              <w:rPr>
                <w:rFonts w:asciiTheme="minorHAnsi" w:eastAsiaTheme="minorHAnsi" w:hAnsiTheme="minorHAnsi" w:cstheme="minorBidi"/>
                <w:sz w:val="24"/>
                <w:szCs w:val="24"/>
                <w:lang w:eastAsia="en-US"/>
              </w:rPr>
              <w:t xml:space="preserve">je način ublažavanje i uklanjanja socijalne isključenosti. Definira se kao afirmativna aktivnost </w:t>
            </w:r>
            <w:r w:rsidR="006C3D3E">
              <w:rPr>
                <w:rFonts w:asciiTheme="minorHAnsi" w:eastAsiaTheme="minorHAnsi" w:hAnsiTheme="minorHAnsi" w:cstheme="minorBidi"/>
                <w:sz w:val="24"/>
                <w:szCs w:val="24"/>
                <w:lang w:eastAsia="en-US"/>
              </w:rPr>
              <w:t xml:space="preserve">u smjeru </w:t>
            </w:r>
            <w:r w:rsidRPr="00342420">
              <w:rPr>
                <w:rFonts w:asciiTheme="minorHAnsi" w:eastAsiaTheme="minorHAnsi" w:hAnsiTheme="minorHAnsi" w:cstheme="minorBidi"/>
                <w:sz w:val="24"/>
                <w:szCs w:val="24"/>
                <w:lang w:eastAsia="en-US"/>
              </w:rPr>
              <w:t>promjen</w:t>
            </w:r>
            <w:r w:rsidR="006C3D3E">
              <w:rPr>
                <w:rFonts w:asciiTheme="minorHAnsi" w:eastAsiaTheme="minorHAnsi" w:hAnsiTheme="minorHAnsi" w:cstheme="minorBidi"/>
                <w:sz w:val="24"/>
                <w:szCs w:val="24"/>
                <w:lang w:eastAsia="en-US"/>
              </w:rPr>
              <w:t>e</w:t>
            </w:r>
            <w:r w:rsidRPr="00342420">
              <w:rPr>
                <w:rFonts w:asciiTheme="minorHAnsi" w:eastAsiaTheme="minorHAnsi" w:hAnsiTheme="minorHAnsi" w:cstheme="minorBidi"/>
                <w:sz w:val="24"/>
                <w:szCs w:val="24"/>
                <w:lang w:eastAsia="en-US"/>
              </w:rPr>
              <w:t xml:space="preserve"> uvjeta koji su doveli do socijalne isključenosti. Prema definiciji </w:t>
            </w:r>
            <w:r w:rsidR="006C3D3E">
              <w:rPr>
                <w:rFonts w:asciiTheme="minorHAnsi" w:eastAsiaTheme="minorHAnsi" w:hAnsiTheme="minorHAnsi" w:cstheme="minorBidi"/>
                <w:sz w:val="24"/>
                <w:szCs w:val="24"/>
                <w:lang w:eastAsia="en-US"/>
              </w:rPr>
              <w:t>Cent</w:t>
            </w:r>
            <w:r w:rsidRPr="00342420">
              <w:rPr>
                <w:rFonts w:asciiTheme="minorHAnsi" w:eastAsiaTheme="minorHAnsi" w:hAnsiTheme="minorHAnsi" w:cstheme="minorBidi"/>
                <w:sz w:val="24"/>
                <w:szCs w:val="24"/>
                <w:lang w:eastAsia="en-US"/>
              </w:rPr>
              <w:t>r</w:t>
            </w:r>
            <w:r w:rsidR="006C3D3E">
              <w:rPr>
                <w:rFonts w:asciiTheme="minorHAnsi" w:eastAsiaTheme="minorHAnsi" w:hAnsiTheme="minorHAnsi" w:cstheme="minorBidi"/>
                <w:sz w:val="24"/>
                <w:szCs w:val="24"/>
                <w:lang w:eastAsia="en-US"/>
              </w:rPr>
              <w:t>a</w:t>
            </w:r>
            <w:r w:rsidRPr="00342420">
              <w:rPr>
                <w:rFonts w:asciiTheme="minorHAnsi" w:eastAsiaTheme="minorHAnsi" w:hAnsiTheme="minorHAnsi" w:cstheme="minorBidi"/>
                <w:sz w:val="24"/>
                <w:szCs w:val="24"/>
                <w:lang w:eastAsia="en-US"/>
              </w:rPr>
              <w:t xml:space="preserve"> za ekonomsku i socijalnu uključenost to je „</w:t>
            </w:r>
            <w:r w:rsidRPr="006C3D3E">
              <w:rPr>
                <w:rFonts w:asciiTheme="minorHAnsi" w:eastAsiaTheme="minorHAnsi" w:hAnsiTheme="minorHAnsi" w:cstheme="minorBidi"/>
                <w:i/>
                <w:sz w:val="24"/>
                <w:szCs w:val="24"/>
                <w:lang w:eastAsia="en-US"/>
              </w:rPr>
              <w:t>proces kojim se nastoji osigurati da svatko, neovisno o svom iskustvu i okolnostima, može ostvariti puni potencijal u životu. Kako bi se postigla uključenost, dohodak i zaposlenost su važni, ali nisu dovoljni. Društvo koje nastoji uključiti sve građane karakteriziraju napori za smanjenom nejednakosti te ravnoteža između individualnih prava i dužnosti povećane socijalne kohezije</w:t>
            </w:r>
            <w:r w:rsidRPr="00342420">
              <w:rPr>
                <w:rFonts w:asciiTheme="minorHAnsi" w:eastAsiaTheme="minorHAnsi" w:hAnsiTheme="minorHAnsi" w:cstheme="minorBidi"/>
                <w:sz w:val="24"/>
                <w:szCs w:val="24"/>
                <w:lang w:eastAsia="en-US"/>
              </w:rPr>
              <w:t xml:space="preserve">.” </w:t>
            </w:r>
            <w:r w:rsidRPr="00342420">
              <w:rPr>
                <w:rFonts w:asciiTheme="minorHAnsi" w:eastAsiaTheme="minorHAnsi" w:hAnsiTheme="minorHAnsi" w:cstheme="minorBidi"/>
                <w:sz w:val="24"/>
                <w:szCs w:val="24"/>
                <w:vertAlign w:val="superscript"/>
                <w:lang w:eastAsia="en-US"/>
              </w:rPr>
              <w:footnoteReference w:id="14"/>
            </w:r>
          </w:p>
          <w:p w:rsidR="008815B6" w:rsidRDefault="003329F7" w:rsidP="00090AFE">
            <w:pPr>
              <w:spacing w:before="60" w:after="6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Međutim, </w:t>
            </w:r>
            <w:r w:rsidRPr="006C3D3E">
              <w:rPr>
                <w:rFonts w:asciiTheme="minorHAnsi" w:eastAsiaTheme="minorHAnsi" w:hAnsiTheme="minorHAnsi" w:cstheme="minorBidi"/>
                <w:color w:val="C00000"/>
                <w:sz w:val="24"/>
                <w:szCs w:val="24"/>
                <w:lang w:eastAsia="en-US"/>
              </w:rPr>
              <w:t xml:space="preserve">afirmativne aktivnosti u smjeru socijalne uključenosti </w:t>
            </w:r>
            <w:r>
              <w:rPr>
                <w:rFonts w:asciiTheme="minorHAnsi" w:eastAsiaTheme="minorHAnsi" w:hAnsiTheme="minorHAnsi" w:cstheme="minorBidi"/>
                <w:sz w:val="24"/>
                <w:szCs w:val="24"/>
                <w:lang w:eastAsia="en-US"/>
              </w:rPr>
              <w:t>ne ovise samo o institucijama</w:t>
            </w:r>
            <w:r w:rsidR="00E00B73">
              <w:rPr>
                <w:rFonts w:asciiTheme="minorHAnsi" w:eastAsiaTheme="minorHAnsi" w:hAnsiTheme="minorHAnsi" w:cstheme="minorBidi"/>
                <w:sz w:val="24"/>
                <w:szCs w:val="24"/>
                <w:lang w:eastAsia="en-US"/>
              </w:rPr>
              <w:t>,</w:t>
            </w:r>
            <w:r>
              <w:rPr>
                <w:rFonts w:asciiTheme="minorHAnsi" w:eastAsiaTheme="minorHAnsi" w:hAnsiTheme="minorHAnsi" w:cstheme="minorBidi"/>
                <w:sz w:val="24"/>
                <w:szCs w:val="24"/>
                <w:lang w:eastAsia="en-US"/>
              </w:rPr>
              <w:t xml:space="preserve"> državi </w:t>
            </w:r>
            <w:r w:rsidR="00E00B73">
              <w:rPr>
                <w:rFonts w:asciiTheme="minorHAnsi" w:eastAsiaTheme="minorHAnsi" w:hAnsiTheme="minorHAnsi" w:cstheme="minorBidi"/>
                <w:sz w:val="24"/>
                <w:szCs w:val="24"/>
                <w:lang w:eastAsia="en-US"/>
              </w:rPr>
              <w:t xml:space="preserve">i okolini </w:t>
            </w:r>
            <w:r>
              <w:rPr>
                <w:rFonts w:asciiTheme="minorHAnsi" w:eastAsiaTheme="minorHAnsi" w:hAnsiTheme="minorHAnsi" w:cstheme="minorBidi"/>
                <w:sz w:val="24"/>
                <w:szCs w:val="24"/>
                <w:lang w:eastAsia="en-US"/>
              </w:rPr>
              <w:t xml:space="preserve">nego </w:t>
            </w:r>
            <w:r w:rsidRPr="006C3D3E">
              <w:rPr>
                <w:rFonts w:asciiTheme="minorHAnsi" w:eastAsiaTheme="minorHAnsi" w:hAnsiTheme="minorHAnsi" w:cstheme="minorBidi"/>
                <w:color w:val="C00000"/>
                <w:sz w:val="24"/>
                <w:szCs w:val="24"/>
                <w:lang w:eastAsia="en-US"/>
              </w:rPr>
              <w:t xml:space="preserve">ovise </w:t>
            </w:r>
            <w:r w:rsidR="00E428A2">
              <w:rPr>
                <w:rFonts w:asciiTheme="minorHAnsi" w:eastAsiaTheme="minorHAnsi" w:hAnsiTheme="minorHAnsi" w:cstheme="minorBidi"/>
                <w:color w:val="C00000"/>
                <w:sz w:val="24"/>
                <w:szCs w:val="24"/>
                <w:lang w:eastAsia="en-US"/>
              </w:rPr>
              <w:t xml:space="preserve">i </w:t>
            </w:r>
            <w:r w:rsidRPr="006C3D3E">
              <w:rPr>
                <w:rFonts w:asciiTheme="minorHAnsi" w:eastAsiaTheme="minorHAnsi" w:hAnsiTheme="minorHAnsi" w:cstheme="minorBidi"/>
                <w:color w:val="C00000"/>
                <w:sz w:val="24"/>
                <w:szCs w:val="24"/>
                <w:lang w:eastAsia="en-US"/>
              </w:rPr>
              <w:t xml:space="preserve">o pojedincu </w:t>
            </w:r>
            <w:r>
              <w:rPr>
                <w:rFonts w:asciiTheme="minorHAnsi" w:eastAsiaTheme="minorHAnsi" w:hAnsiTheme="minorHAnsi" w:cstheme="minorBidi"/>
                <w:sz w:val="24"/>
                <w:szCs w:val="24"/>
                <w:lang w:eastAsia="en-US"/>
              </w:rPr>
              <w:t>kako će se prema njima postaviti i kojim radnjama će pridonijeti većoj uključenosti. Tim više što su u</w:t>
            </w:r>
            <w:r w:rsidRPr="00734BDE">
              <w:rPr>
                <w:rFonts w:asciiTheme="minorHAnsi" w:eastAsiaTheme="minorHAnsi" w:hAnsiTheme="minorHAnsi" w:cstheme="minorBidi"/>
                <w:sz w:val="24"/>
                <w:szCs w:val="24"/>
                <w:lang w:eastAsia="en-US"/>
              </w:rPr>
              <w:t xml:space="preserve">zroci </w:t>
            </w:r>
            <w:r w:rsidR="00E00B73">
              <w:rPr>
                <w:rFonts w:asciiTheme="minorHAnsi" w:eastAsiaTheme="minorHAnsi" w:hAnsiTheme="minorHAnsi" w:cstheme="minorBidi"/>
                <w:sz w:val="24"/>
                <w:szCs w:val="24"/>
                <w:lang w:eastAsia="en-US"/>
              </w:rPr>
              <w:t xml:space="preserve">siromaštva i </w:t>
            </w:r>
            <w:r w:rsidRPr="00734BDE">
              <w:rPr>
                <w:rFonts w:asciiTheme="minorHAnsi" w:eastAsiaTheme="minorHAnsi" w:hAnsiTheme="minorHAnsi" w:cstheme="minorBidi"/>
                <w:sz w:val="24"/>
                <w:szCs w:val="24"/>
                <w:lang w:eastAsia="en-US"/>
              </w:rPr>
              <w:t>socijalne isključenosti često povezani s nedovoljnom zapošljivosti koja je pod utjecajem niske obrazovne razine</w:t>
            </w:r>
            <w:r w:rsidR="00E13438">
              <w:rPr>
                <w:rFonts w:asciiTheme="minorHAnsi" w:eastAsiaTheme="minorHAnsi" w:hAnsiTheme="minorHAnsi" w:cstheme="minorBidi"/>
                <w:sz w:val="24"/>
                <w:szCs w:val="24"/>
                <w:lang w:eastAsia="en-US"/>
              </w:rPr>
              <w:t xml:space="preserve"> </w:t>
            </w:r>
            <w:r w:rsidR="006E6987">
              <w:rPr>
                <w:rFonts w:asciiTheme="minorHAnsi" w:eastAsiaTheme="minorHAnsi" w:hAnsiTheme="minorHAnsi" w:cstheme="minorBidi"/>
                <w:sz w:val="24"/>
                <w:szCs w:val="24"/>
                <w:lang w:eastAsia="en-US"/>
              </w:rPr>
              <w:t>i /ili</w:t>
            </w:r>
            <w:r w:rsidR="00E13438">
              <w:rPr>
                <w:rFonts w:asciiTheme="minorHAnsi" w:eastAsiaTheme="minorHAnsi" w:hAnsiTheme="minorHAnsi" w:cstheme="minorBidi"/>
                <w:sz w:val="24"/>
                <w:szCs w:val="24"/>
                <w:lang w:eastAsia="en-US"/>
              </w:rPr>
              <w:t xml:space="preserve"> </w:t>
            </w:r>
            <w:r w:rsidRPr="00734BDE">
              <w:rPr>
                <w:rFonts w:asciiTheme="minorHAnsi" w:eastAsiaTheme="minorHAnsi" w:hAnsiTheme="minorHAnsi" w:cstheme="minorBidi"/>
                <w:sz w:val="24"/>
                <w:szCs w:val="24"/>
                <w:lang w:eastAsia="en-US"/>
              </w:rPr>
              <w:t>uski</w:t>
            </w:r>
            <w:r w:rsidR="00E13438">
              <w:rPr>
                <w:rFonts w:asciiTheme="minorHAnsi" w:eastAsiaTheme="minorHAnsi" w:hAnsiTheme="minorHAnsi" w:cstheme="minorBidi"/>
                <w:sz w:val="24"/>
                <w:szCs w:val="24"/>
                <w:lang w:eastAsia="en-US"/>
              </w:rPr>
              <w:t>h</w:t>
            </w:r>
            <w:r w:rsidRPr="00734BDE">
              <w:rPr>
                <w:rFonts w:asciiTheme="minorHAnsi" w:eastAsiaTheme="minorHAnsi" w:hAnsiTheme="minorHAnsi" w:cstheme="minorBidi"/>
                <w:sz w:val="24"/>
                <w:szCs w:val="24"/>
                <w:lang w:eastAsia="en-US"/>
              </w:rPr>
              <w:t xml:space="preserve"> i </w:t>
            </w:r>
            <w:r w:rsidR="00E13438">
              <w:rPr>
                <w:rFonts w:asciiTheme="minorHAnsi" w:eastAsiaTheme="minorHAnsi" w:hAnsiTheme="minorHAnsi" w:cstheme="minorBidi"/>
                <w:sz w:val="24"/>
                <w:szCs w:val="24"/>
                <w:lang w:eastAsia="en-US"/>
              </w:rPr>
              <w:t>zastarjelih</w:t>
            </w:r>
            <w:r w:rsidRPr="00734BDE">
              <w:rPr>
                <w:rFonts w:asciiTheme="minorHAnsi" w:eastAsiaTheme="minorHAnsi" w:hAnsiTheme="minorHAnsi" w:cstheme="minorBidi"/>
                <w:sz w:val="24"/>
                <w:szCs w:val="24"/>
                <w:lang w:eastAsia="en-US"/>
              </w:rPr>
              <w:t xml:space="preserve"> znanja i sposobnosti pojedinca. </w:t>
            </w:r>
            <w:r w:rsidRPr="006C3D3E">
              <w:rPr>
                <w:rFonts w:asciiTheme="minorHAnsi" w:eastAsiaTheme="minorHAnsi" w:hAnsiTheme="minorHAnsi" w:cstheme="minorBidi"/>
                <w:color w:val="C00000"/>
                <w:sz w:val="24"/>
                <w:szCs w:val="24"/>
                <w:lang w:eastAsia="en-US"/>
              </w:rPr>
              <w:t>Zapošljivost</w:t>
            </w:r>
            <w:r w:rsidRPr="00734BDE">
              <w:rPr>
                <w:rFonts w:asciiTheme="minorHAnsi" w:eastAsiaTheme="minorHAnsi" w:hAnsiTheme="minorHAnsi" w:cstheme="minorBidi"/>
                <w:sz w:val="24"/>
                <w:szCs w:val="24"/>
                <w:lang w:eastAsia="en-US"/>
              </w:rPr>
              <w:t xml:space="preserve"> obuhvaća „</w:t>
            </w:r>
            <w:r w:rsidRPr="00E00B73">
              <w:rPr>
                <w:rFonts w:asciiTheme="minorHAnsi" w:eastAsiaTheme="minorHAnsi" w:hAnsiTheme="minorHAnsi" w:cstheme="minorBidi"/>
                <w:i/>
                <w:sz w:val="24"/>
                <w:szCs w:val="24"/>
                <w:lang w:eastAsia="en-US"/>
              </w:rPr>
              <w:t>znanja, stručnosti i sposobnosti da osoba dobije i zadrži posao, profesionalno napreduje, pronađe drugi posao ako je otpuštena, odnosno uđe na tržište rada u različitim razdobljima svog radnog i životnog ciklusa. Pojedinci su najviše zapošljivi kada imaju široko znanje i sposobnosti, osnovna i specijalistička znanja, uključujući sposobnost timskog rada, informatičko-komunikacijske tehnologije te sposobnosti i znanja stranih jezika i komuniciranja. Navedena kombinacija znanja i sposobnosti omogućava osobama prilagođavanja promjenama u svijetu rada</w:t>
            </w:r>
            <w:r w:rsidRPr="00734BDE">
              <w:rPr>
                <w:rFonts w:asciiTheme="minorHAnsi" w:eastAsiaTheme="minorHAnsi" w:hAnsiTheme="minorHAnsi" w:cstheme="minorBidi"/>
                <w:sz w:val="24"/>
                <w:szCs w:val="24"/>
                <w:lang w:eastAsia="en-US"/>
              </w:rPr>
              <w:t>.“</w:t>
            </w:r>
            <w:r w:rsidR="00734BDE" w:rsidRPr="00734BDE">
              <w:rPr>
                <w:rFonts w:asciiTheme="minorHAnsi" w:eastAsiaTheme="minorHAnsi" w:hAnsiTheme="minorHAnsi" w:cstheme="minorBidi"/>
                <w:sz w:val="24"/>
                <w:szCs w:val="24"/>
                <w:lang w:eastAsia="en-US"/>
              </w:rPr>
              <w:t xml:space="preserve"> </w:t>
            </w:r>
            <w:r w:rsidR="00734BDE" w:rsidRPr="00734BDE">
              <w:rPr>
                <w:rFonts w:asciiTheme="minorHAnsi" w:eastAsiaTheme="minorHAnsi" w:hAnsiTheme="minorHAnsi" w:cstheme="minorBidi"/>
                <w:sz w:val="24"/>
                <w:szCs w:val="24"/>
                <w:vertAlign w:val="superscript"/>
                <w:lang w:eastAsia="en-US"/>
              </w:rPr>
              <w:footnoteReference w:id="15"/>
            </w:r>
          </w:p>
          <w:p w:rsidR="00E13438" w:rsidRPr="00342420" w:rsidRDefault="00E13438" w:rsidP="00090AFE">
            <w:pPr>
              <w:spacing w:before="60" w:after="6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Nadalje s aspekta sociokulturnih, emotivnih i relacijskih aspekta pojedinac postaje više </w:t>
            </w:r>
            <w:r>
              <w:rPr>
                <w:rFonts w:asciiTheme="minorHAnsi" w:eastAsiaTheme="minorHAnsi" w:hAnsiTheme="minorHAnsi" w:cstheme="minorBidi"/>
                <w:sz w:val="24"/>
                <w:szCs w:val="24"/>
                <w:lang w:eastAsia="en-US"/>
              </w:rPr>
              <w:lastRenderedPageBreak/>
              <w:t>socijalno uključen vodeći računa o vremenu koje provodi s obitelji, rodbinom i prijateljima, vremenu koje provodi s kolegama s posla izvan radnog vremena, s ljudima u vjerskim institucijama, udrugama civilnog društva, u kreiranju rasprava i odluka o pitanjima važnim za lokalnu zajednicu, u klubovima i različitim drugim oblicima dobrovoljnih aktivnosti.</w:t>
            </w:r>
          </w:p>
        </w:tc>
      </w:tr>
    </w:tbl>
    <w:p w:rsidR="000A5483" w:rsidRPr="008E2261" w:rsidRDefault="00B45761" w:rsidP="008E2261">
      <w:pPr>
        <w:spacing w:before="240" w:after="240"/>
        <w:jc w:val="both"/>
        <w:rPr>
          <w:sz w:val="24"/>
          <w:szCs w:val="24"/>
        </w:rPr>
      </w:pPr>
      <w:r>
        <w:rPr>
          <w:sz w:val="24"/>
          <w:szCs w:val="24"/>
        </w:rPr>
        <w:lastRenderedPageBreak/>
        <w:t xml:space="preserve">Nasuprot višedimenzionalnom pristupu analize socijalne isključenosti, </w:t>
      </w:r>
      <w:r w:rsidR="004563A0">
        <w:rPr>
          <w:sz w:val="24"/>
          <w:szCs w:val="24"/>
        </w:rPr>
        <w:t xml:space="preserve">postoji i višedimenzionalni pristup analizi </w:t>
      </w:r>
      <w:r w:rsidRPr="00CE0749">
        <w:rPr>
          <w:sz w:val="24"/>
          <w:szCs w:val="24"/>
        </w:rPr>
        <w:t>siromaštv</w:t>
      </w:r>
      <w:r w:rsidR="004563A0" w:rsidRPr="00CE0749">
        <w:rPr>
          <w:sz w:val="24"/>
          <w:szCs w:val="24"/>
        </w:rPr>
        <w:t>a</w:t>
      </w:r>
      <w:r w:rsidR="004563A0">
        <w:rPr>
          <w:sz w:val="24"/>
          <w:szCs w:val="24"/>
        </w:rPr>
        <w:t xml:space="preserve">. Pri tome se koriste različiti </w:t>
      </w:r>
      <w:r w:rsidR="004563A0" w:rsidRPr="00356A4A">
        <w:rPr>
          <w:color w:val="C00000"/>
          <w:sz w:val="24"/>
          <w:szCs w:val="24"/>
        </w:rPr>
        <w:t>pokazatelji siromaštva</w:t>
      </w:r>
      <w:r w:rsidR="004563A0" w:rsidRPr="00356A4A">
        <w:rPr>
          <w:sz w:val="24"/>
          <w:szCs w:val="24"/>
        </w:rPr>
        <w:t xml:space="preserve"> </w:t>
      </w:r>
      <w:r w:rsidR="004563A0">
        <w:rPr>
          <w:sz w:val="24"/>
          <w:szCs w:val="24"/>
        </w:rPr>
        <w:t xml:space="preserve">uključujući: </w:t>
      </w:r>
      <w:r>
        <w:rPr>
          <w:sz w:val="24"/>
          <w:szCs w:val="24"/>
        </w:rPr>
        <w:t>apsolutno siromaštv</w:t>
      </w:r>
      <w:r w:rsidR="004563A0">
        <w:rPr>
          <w:sz w:val="24"/>
          <w:szCs w:val="24"/>
        </w:rPr>
        <w:t>o</w:t>
      </w:r>
      <w:r>
        <w:rPr>
          <w:sz w:val="24"/>
          <w:szCs w:val="24"/>
        </w:rPr>
        <w:t xml:space="preserve">, </w:t>
      </w:r>
      <w:r w:rsidR="004563A0">
        <w:rPr>
          <w:sz w:val="24"/>
          <w:szCs w:val="24"/>
        </w:rPr>
        <w:t>apsolutnu</w:t>
      </w:r>
      <w:r>
        <w:rPr>
          <w:sz w:val="24"/>
          <w:szCs w:val="24"/>
        </w:rPr>
        <w:t xml:space="preserve"> granic</w:t>
      </w:r>
      <w:r w:rsidR="004563A0">
        <w:rPr>
          <w:sz w:val="24"/>
          <w:szCs w:val="24"/>
        </w:rPr>
        <w:t>u</w:t>
      </w:r>
      <w:r>
        <w:rPr>
          <w:sz w:val="24"/>
          <w:szCs w:val="24"/>
        </w:rPr>
        <w:t xml:space="preserve"> siromaštva, relativn</w:t>
      </w:r>
      <w:r w:rsidR="004563A0">
        <w:rPr>
          <w:sz w:val="24"/>
          <w:szCs w:val="24"/>
        </w:rPr>
        <w:t>u granicu</w:t>
      </w:r>
      <w:r>
        <w:rPr>
          <w:sz w:val="24"/>
          <w:szCs w:val="24"/>
        </w:rPr>
        <w:t xml:space="preserve"> siromaštva, jaz siromaštva</w:t>
      </w:r>
      <w:r w:rsidR="008040E4">
        <w:rPr>
          <w:sz w:val="24"/>
          <w:szCs w:val="24"/>
        </w:rPr>
        <w:t xml:space="preserve"> te</w:t>
      </w:r>
      <w:r>
        <w:rPr>
          <w:sz w:val="24"/>
          <w:szCs w:val="24"/>
        </w:rPr>
        <w:t xml:space="preserve"> intenzitet siromaštva</w:t>
      </w:r>
      <w:r w:rsidR="00CE0749">
        <w:rPr>
          <w:sz w:val="24"/>
          <w:szCs w:val="24"/>
        </w:rPr>
        <w:t xml:space="preserve">, što se dodatno kombinira s </w:t>
      </w:r>
      <w:r w:rsidR="00CE0749" w:rsidRPr="00CE0749">
        <w:rPr>
          <w:color w:val="C00000"/>
          <w:sz w:val="24"/>
          <w:szCs w:val="24"/>
        </w:rPr>
        <w:t xml:space="preserve">pokazateljima nejednakosti </w:t>
      </w:r>
      <w:r w:rsidR="00CE0749">
        <w:rPr>
          <w:sz w:val="24"/>
          <w:szCs w:val="24"/>
        </w:rPr>
        <w:t xml:space="preserve">uključujući </w:t>
      </w:r>
      <w:r w:rsidR="00CC4533">
        <w:rPr>
          <w:sz w:val="24"/>
          <w:szCs w:val="24"/>
        </w:rPr>
        <w:t xml:space="preserve">kvintilni omjer kao pokazatelj nejednakosti distribucije dohotka i </w:t>
      </w:r>
      <w:r w:rsidR="00CE0749">
        <w:rPr>
          <w:sz w:val="24"/>
          <w:szCs w:val="24"/>
        </w:rPr>
        <w:t xml:space="preserve">Ginjiev koeficjent </w:t>
      </w:r>
      <w:r w:rsidR="004563A0">
        <w:rPr>
          <w:sz w:val="24"/>
          <w:szCs w:val="24"/>
        </w:rPr>
        <w:t xml:space="preserve"> </w:t>
      </w:r>
      <w:r w:rsidR="00CC4533">
        <w:rPr>
          <w:sz w:val="24"/>
          <w:szCs w:val="24"/>
        </w:rPr>
        <w:t>kao pokazatelj nejednakosti raspodjele dohotka</w:t>
      </w:r>
      <w:r>
        <w:rPr>
          <w:sz w:val="24"/>
          <w:szCs w:val="24"/>
        </w:rPr>
        <w:t>.</w:t>
      </w:r>
      <w:r w:rsidR="004563A0">
        <w:rPr>
          <w:sz w:val="24"/>
          <w:szCs w:val="24"/>
        </w:rPr>
        <w:t xml:space="preserve"> </w:t>
      </w:r>
    </w:p>
    <w:tbl>
      <w:tblPr>
        <w:tblStyle w:val="Reetkatablice"/>
        <w:tblW w:w="0" w:type="auto"/>
        <w:tblInd w:w="108" w:type="dxa"/>
        <w:tblLook w:val="04A0" w:firstRow="1" w:lastRow="0" w:firstColumn="1" w:lastColumn="0" w:noHBand="0" w:noVBand="1"/>
      </w:tblPr>
      <w:tblGrid>
        <w:gridCol w:w="4536"/>
        <w:gridCol w:w="4644"/>
      </w:tblGrid>
      <w:tr w:rsidR="00B45761" w:rsidTr="00623781">
        <w:tc>
          <w:tcPr>
            <w:tcW w:w="4536" w:type="dxa"/>
          </w:tcPr>
          <w:p w:rsidR="00B45761" w:rsidRPr="00FB6BC8" w:rsidRDefault="00FB6BC8" w:rsidP="00623781">
            <w:pPr>
              <w:spacing w:before="120" w:line="23" w:lineRule="atLeast"/>
              <w:jc w:val="both"/>
              <w:rPr>
                <w:rFonts w:asciiTheme="minorHAnsi" w:eastAsiaTheme="minorHAnsi" w:hAnsiTheme="minorHAnsi" w:cstheme="minorBidi"/>
                <w:i/>
                <w:sz w:val="24"/>
                <w:szCs w:val="24"/>
                <w:lang w:eastAsia="en-US"/>
              </w:rPr>
            </w:pPr>
            <w:r w:rsidRPr="006E6987">
              <w:rPr>
                <w:rFonts w:asciiTheme="minorHAnsi" w:eastAsiaTheme="minorHAnsi" w:hAnsiTheme="minorHAnsi" w:cstheme="minorBidi"/>
                <w:i/>
                <w:sz w:val="24"/>
                <w:szCs w:val="24"/>
                <w:lang w:eastAsia="en-US"/>
              </w:rPr>
              <w:t>„</w:t>
            </w:r>
            <w:r w:rsidR="00B45761" w:rsidRPr="00FB6BC8">
              <w:rPr>
                <w:rFonts w:asciiTheme="minorHAnsi" w:eastAsiaTheme="minorHAnsi" w:hAnsiTheme="minorHAnsi" w:cstheme="minorBidi"/>
                <w:i/>
                <w:color w:val="C00000"/>
                <w:sz w:val="24"/>
                <w:szCs w:val="24"/>
                <w:lang w:eastAsia="en-US"/>
              </w:rPr>
              <w:t xml:space="preserve">Apsolutno siromaštvo </w:t>
            </w:r>
            <w:r w:rsidR="00B45761" w:rsidRPr="00FB6BC8">
              <w:rPr>
                <w:rFonts w:asciiTheme="minorHAnsi" w:eastAsiaTheme="minorHAnsi" w:hAnsiTheme="minorHAnsi" w:cstheme="minorBidi"/>
                <w:i/>
                <w:sz w:val="24"/>
                <w:szCs w:val="24"/>
                <w:lang w:eastAsia="en-US"/>
              </w:rPr>
              <w:t xml:space="preserve">pokazuje postotak stanovništva koji živi ispod određenog iznosa raspoloživog dohotka. Taj je određeni iznos granica siromaštva. </w:t>
            </w:r>
          </w:p>
          <w:p w:rsidR="00B45761" w:rsidRPr="00623781" w:rsidRDefault="00B45761" w:rsidP="00623781">
            <w:pPr>
              <w:spacing w:before="120" w:line="23" w:lineRule="atLeast"/>
              <w:jc w:val="both"/>
              <w:rPr>
                <w:rFonts w:asciiTheme="minorHAnsi" w:eastAsiaTheme="minorHAnsi" w:hAnsiTheme="minorHAnsi" w:cstheme="minorBidi"/>
                <w:sz w:val="24"/>
                <w:szCs w:val="24"/>
                <w:lang w:eastAsia="en-US"/>
              </w:rPr>
            </w:pPr>
            <w:r w:rsidRPr="00FB6BC8">
              <w:rPr>
                <w:rFonts w:asciiTheme="minorHAnsi" w:eastAsiaTheme="minorHAnsi" w:hAnsiTheme="minorHAnsi" w:cstheme="minorBidi"/>
                <w:i/>
                <w:color w:val="C00000"/>
                <w:sz w:val="24"/>
                <w:szCs w:val="24"/>
                <w:lang w:eastAsia="en-US"/>
              </w:rPr>
              <w:t xml:space="preserve">Apsolutna granica siromaštva </w:t>
            </w:r>
            <w:r w:rsidRPr="00FB6BC8">
              <w:rPr>
                <w:rFonts w:asciiTheme="minorHAnsi" w:eastAsiaTheme="minorHAnsi" w:hAnsiTheme="minorHAnsi" w:cstheme="minorBidi"/>
                <w:i/>
                <w:sz w:val="24"/>
                <w:szCs w:val="24"/>
                <w:lang w:eastAsia="en-US"/>
              </w:rPr>
              <w:t xml:space="preserve">označava apsolutni minimalni životni standard i obično se temelji na točno utvrđenoj potrošačkoj košarici prehrambenih proizvoda (za koju se ocjenjuje da čini odgovarajuće minimalne prehrambene potrebe za očuvanje zdravlja) uvećanu za neke druge troškove (poput stanovanja i odječe). Stoga se apsolutna granica siromaštva može znatno razlikovati </w:t>
            </w:r>
            <w:r w:rsidR="004563A0" w:rsidRPr="00FB6BC8">
              <w:rPr>
                <w:rFonts w:asciiTheme="minorHAnsi" w:eastAsiaTheme="minorHAnsi" w:hAnsiTheme="minorHAnsi" w:cstheme="minorBidi"/>
                <w:i/>
                <w:sz w:val="24"/>
                <w:szCs w:val="24"/>
                <w:lang w:eastAsia="en-US"/>
              </w:rPr>
              <w:t>među</w:t>
            </w:r>
            <w:r w:rsidRPr="00FB6BC8">
              <w:rPr>
                <w:rFonts w:asciiTheme="minorHAnsi" w:eastAsiaTheme="minorHAnsi" w:hAnsiTheme="minorHAnsi" w:cstheme="minorBidi"/>
                <w:i/>
                <w:sz w:val="24"/>
                <w:szCs w:val="24"/>
                <w:lang w:eastAsia="en-US"/>
              </w:rPr>
              <w:t xml:space="preserve"> zemljama, ovisno o sadržaju potrošačke košarice. Iako sigurno postoji određena proizvoljnost o tome što je odgovarajuće, tako utvrđena granica siromaštva ipak je svojevrsno u</w:t>
            </w:r>
            <w:r w:rsidR="00DD245A" w:rsidRPr="00FB6BC8">
              <w:rPr>
                <w:rFonts w:asciiTheme="minorHAnsi" w:eastAsiaTheme="minorHAnsi" w:hAnsiTheme="minorHAnsi" w:cstheme="minorBidi"/>
                <w:i/>
                <w:sz w:val="24"/>
                <w:szCs w:val="24"/>
                <w:lang w:eastAsia="en-US"/>
              </w:rPr>
              <w:t>porište za analizu i usporedbe.</w:t>
            </w:r>
            <w:r w:rsidR="00FB6BC8" w:rsidRPr="00FB6BC8">
              <w:rPr>
                <w:rFonts w:asciiTheme="minorHAnsi" w:eastAsiaTheme="minorHAnsi" w:hAnsiTheme="minorHAnsi" w:cstheme="minorBidi"/>
                <w:i/>
                <w:sz w:val="24"/>
                <w:szCs w:val="24"/>
                <w:lang w:eastAsia="en-US"/>
              </w:rPr>
              <w:t>“</w:t>
            </w:r>
            <w:r w:rsidR="00DD245A" w:rsidRPr="00FB6BC8">
              <w:rPr>
                <w:rFonts w:asciiTheme="minorHAnsi" w:eastAsiaTheme="minorHAnsi" w:hAnsiTheme="minorHAnsi" w:cstheme="minorBidi"/>
                <w:i/>
                <w:sz w:val="24"/>
                <w:szCs w:val="24"/>
                <w:lang w:eastAsia="en-US"/>
              </w:rPr>
              <w:t>*</w:t>
            </w:r>
          </w:p>
        </w:tc>
        <w:tc>
          <w:tcPr>
            <w:tcW w:w="4644" w:type="dxa"/>
          </w:tcPr>
          <w:p w:rsidR="00B45761" w:rsidRPr="00FB6BC8" w:rsidRDefault="00FB6BC8" w:rsidP="00623781">
            <w:pPr>
              <w:spacing w:before="120" w:line="23" w:lineRule="atLeast"/>
              <w:jc w:val="both"/>
              <w:rPr>
                <w:rFonts w:asciiTheme="minorHAnsi" w:eastAsiaTheme="minorHAnsi" w:hAnsiTheme="minorHAnsi" w:cstheme="minorBidi"/>
                <w:i/>
                <w:sz w:val="24"/>
                <w:szCs w:val="24"/>
                <w:lang w:eastAsia="en-US"/>
              </w:rPr>
            </w:pPr>
            <w:r w:rsidRPr="006E6987">
              <w:rPr>
                <w:rFonts w:asciiTheme="minorHAnsi" w:eastAsiaTheme="minorHAnsi" w:hAnsiTheme="minorHAnsi" w:cstheme="minorBidi"/>
                <w:i/>
                <w:sz w:val="24"/>
                <w:szCs w:val="24"/>
                <w:lang w:eastAsia="en-US"/>
              </w:rPr>
              <w:t>„</w:t>
            </w:r>
            <w:r w:rsidR="00B45761" w:rsidRPr="00FB6BC8">
              <w:rPr>
                <w:rFonts w:asciiTheme="minorHAnsi" w:eastAsiaTheme="minorHAnsi" w:hAnsiTheme="minorHAnsi" w:cstheme="minorBidi"/>
                <w:i/>
                <w:color w:val="C00000"/>
                <w:sz w:val="24"/>
                <w:szCs w:val="24"/>
                <w:lang w:eastAsia="en-US"/>
              </w:rPr>
              <w:t xml:space="preserve">Relativna granica siromaštva </w:t>
            </w:r>
            <w:r w:rsidR="00B45761" w:rsidRPr="00FB6BC8">
              <w:rPr>
                <w:rFonts w:asciiTheme="minorHAnsi" w:eastAsiaTheme="minorHAnsi" w:hAnsiTheme="minorHAnsi" w:cstheme="minorBidi"/>
                <w:i/>
                <w:sz w:val="24"/>
                <w:szCs w:val="24"/>
                <w:lang w:eastAsia="en-US"/>
              </w:rPr>
              <w:t>utvrđuje siromaštvo u odnosu prema nacionalnom životnom standardu jer se, bez obzira na apsolutne potrebe, ljudi mogu smatrati siromašnima ako je njihov standard znatno ni</w:t>
            </w:r>
            <w:r w:rsidR="00623781" w:rsidRPr="00FB6BC8">
              <w:rPr>
                <w:rFonts w:asciiTheme="minorHAnsi" w:eastAsiaTheme="minorHAnsi" w:hAnsiTheme="minorHAnsi" w:cstheme="minorBidi"/>
                <w:i/>
                <w:sz w:val="24"/>
                <w:szCs w:val="24"/>
                <w:lang w:eastAsia="en-US"/>
              </w:rPr>
              <w:t>ž</w:t>
            </w:r>
            <w:r w:rsidR="00B45761" w:rsidRPr="00FB6BC8">
              <w:rPr>
                <w:rFonts w:asciiTheme="minorHAnsi" w:eastAsiaTheme="minorHAnsi" w:hAnsiTheme="minorHAnsi" w:cstheme="minorBidi"/>
                <w:i/>
                <w:sz w:val="24"/>
                <w:szCs w:val="24"/>
                <w:lang w:eastAsia="en-US"/>
              </w:rPr>
              <w:t xml:space="preserve">i od standarda drugih osoba u promatranoj zemlji. Relativna granica siromaštva obično se utvrđuje kao određeni postotak medijalnog ili prosječnog dohotka kućanstva. World Bank (2000) računa siromaštvo upotrebom polovice medijalnog dohotka kao osnovice za međunarodne usporedbe. </w:t>
            </w:r>
          </w:p>
          <w:p w:rsidR="00B45761" w:rsidRDefault="00623781" w:rsidP="00623781">
            <w:pPr>
              <w:spacing w:before="120" w:line="23" w:lineRule="atLeast"/>
              <w:jc w:val="both"/>
              <w:rPr>
                <w:rFonts w:asciiTheme="minorHAnsi" w:eastAsiaTheme="minorHAnsi" w:hAnsiTheme="minorHAnsi" w:cstheme="minorBidi"/>
                <w:sz w:val="24"/>
                <w:szCs w:val="24"/>
                <w:lang w:eastAsia="en-US"/>
              </w:rPr>
            </w:pPr>
            <w:r w:rsidRPr="00FB6BC8">
              <w:rPr>
                <w:rFonts w:asciiTheme="minorHAnsi" w:eastAsiaTheme="minorHAnsi" w:hAnsiTheme="minorHAnsi" w:cstheme="minorBidi"/>
                <w:i/>
                <w:color w:val="C00000"/>
                <w:sz w:val="24"/>
                <w:szCs w:val="24"/>
                <w:lang w:eastAsia="en-US"/>
              </w:rPr>
              <w:t xml:space="preserve">Jaz siromaštva </w:t>
            </w:r>
            <w:r w:rsidRPr="00FB6BC8">
              <w:rPr>
                <w:rFonts w:asciiTheme="minorHAnsi" w:eastAsiaTheme="minorHAnsi" w:hAnsiTheme="minorHAnsi" w:cstheme="minorBidi"/>
                <w:i/>
                <w:sz w:val="24"/>
                <w:szCs w:val="24"/>
                <w:lang w:eastAsia="en-US"/>
              </w:rPr>
              <w:t>pokazuje koliko bi dohotka trebalo transferirati siromašnom stanovništvu da se dohodak kućanstva podigne do granice siromaštva (uz pretpostavku da transferirani dohodak ne utječe na radne napore primatelja).</w:t>
            </w:r>
            <w:r w:rsidR="00FB6BC8" w:rsidRPr="00FB6BC8">
              <w:rPr>
                <w:rFonts w:asciiTheme="minorHAnsi" w:eastAsiaTheme="minorHAnsi" w:hAnsiTheme="minorHAnsi" w:cstheme="minorBidi"/>
                <w:i/>
                <w:sz w:val="24"/>
                <w:szCs w:val="24"/>
                <w:lang w:eastAsia="en-US"/>
              </w:rPr>
              <w:t>“</w:t>
            </w:r>
            <w:r w:rsidRPr="00623781">
              <w:rPr>
                <w:rFonts w:asciiTheme="minorHAnsi" w:eastAsiaTheme="minorHAnsi" w:hAnsiTheme="minorHAnsi" w:cstheme="minorBidi"/>
                <w:sz w:val="24"/>
                <w:szCs w:val="24"/>
                <w:lang w:eastAsia="en-US"/>
              </w:rPr>
              <w:t xml:space="preserve"> </w:t>
            </w:r>
            <w:r w:rsidR="00DD245A">
              <w:rPr>
                <w:rFonts w:asciiTheme="minorHAnsi" w:eastAsiaTheme="minorHAnsi" w:hAnsiTheme="minorHAnsi" w:cstheme="minorBidi"/>
                <w:sz w:val="24"/>
                <w:szCs w:val="24"/>
                <w:lang w:eastAsia="en-US"/>
              </w:rPr>
              <w:t>*</w:t>
            </w:r>
          </w:p>
          <w:p w:rsidR="00623781" w:rsidRPr="00623781" w:rsidRDefault="00623781" w:rsidP="00623781">
            <w:pPr>
              <w:spacing w:before="120" w:line="23" w:lineRule="atLeast"/>
              <w:jc w:val="both"/>
              <w:rPr>
                <w:rFonts w:asciiTheme="minorHAnsi" w:eastAsiaTheme="minorHAnsi" w:hAnsiTheme="minorHAnsi" w:cstheme="minorBidi"/>
                <w:sz w:val="24"/>
                <w:szCs w:val="24"/>
                <w:lang w:eastAsia="en-US"/>
              </w:rPr>
            </w:pPr>
          </w:p>
        </w:tc>
      </w:tr>
      <w:tr w:rsidR="00623781" w:rsidTr="00623781">
        <w:tblPrEx>
          <w:tblLook w:val="0000" w:firstRow="0" w:lastRow="0" w:firstColumn="0" w:lastColumn="0" w:noHBand="0" w:noVBand="0"/>
        </w:tblPrEx>
        <w:trPr>
          <w:trHeight w:val="450"/>
        </w:trPr>
        <w:tc>
          <w:tcPr>
            <w:tcW w:w="9180" w:type="dxa"/>
            <w:gridSpan w:val="2"/>
          </w:tcPr>
          <w:p w:rsidR="00623781" w:rsidRDefault="00AD735A" w:rsidP="00DD245A">
            <w:pPr>
              <w:spacing w:before="120" w:line="23" w:lineRule="atLeast"/>
              <w:jc w:val="both"/>
              <w:rPr>
                <w:rFonts w:asciiTheme="minorHAnsi" w:eastAsiaTheme="minorHAnsi" w:hAnsiTheme="minorHAnsi" w:cstheme="minorBidi"/>
                <w:sz w:val="24"/>
                <w:szCs w:val="24"/>
                <w:lang w:eastAsia="en-US"/>
              </w:rPr>
            </w:pPr>
            <w:r w:rsidRPr="00AD735A">
              <w:rPr>
                <w:rFonts w:asciiTheme="minorHAnsi" w:eastAsiaTheme="minorHAnsi" w:hAnsiTheme="minorHAnsi" w:cstheme="minorBidi"/>
                <w:sz w:val="24"/>
                <w:szCs w:val="24"/>
                <w:lang w:eastAsia="en-US"/>
              </w:rPr>
              <w:t>„</w:t>
            </w:r>
            <w:r w:rsidR="00623781" w:rsidRPr="00623781">
              <w:rPr>
                <w:rFonts w:asciiTheme="minorHAnsi" w:eastAsiaTheme="minorHAnsi" w:hAnsiTheme="minorHAnsi" w:cstheme="minorBidi"/>
                <w:color w:val="C00000"/>
                <w:sz w:val="24"/>
                <w:szCs w:val="24"/>
                <w:lang w:eastAsia="en-US"/>
              </w:rPr>
              <w:t xml:space="preserve">Intenzitet siromaštva </w:t>
            </w:r>
            <w:r w:rsidR="00623781" w:rsidRPr="00623781">
              <w:rPr>
                <w:rFonts w:asciiTheme="minorHAnsi" w:eastAsiaTheme="minorHAnsi" w:hAnsiTheme="minorHAnsi" w:cstheme="minorBidi"/>
                <w:sz w:val="24"/>
                <w:szCs w:val="24"/>
                <w:lang w:eastAsia="en-US"/>
              </w:rPr>
              <w:t>zajednički je pokazatelj broja siromašnih, dubine siromaštva i nejednakosti među siromašnim. Zbog praktičnih razloga intenzitet siromaštva može se aproksimativno uzeti kao zbroj postotnih promjena stopa siromaštva i jaza siromaštva.</w:t>
            </w:r>
            <w:r>
              <w:rPr>
                <w:rFonts w:asciiTheme="minorHAnsi" w:eastAsiaTheme="minorHAnsi" w:hAnsiTheme="minorHAnsi" w:cstheme="minorBidi"/>
                <w:sz w:val="24"/>
                <w:szCs w:val="24"/>
                <w:lang w:eastAsia="en-US"/>
              </w:rPr>
              <w:t>“</w:t>
            </w:r>
            <w:r w:rsidR="00DD245A">
              <w:rPr>
                <w:rFonts w:asciiTheme="minorHAnsi" w:eastAsiaTheme="minorHAnsi" w:hAnsiTheme="minorHAnsi" w:cstheme="minorBidi"/>
                <w:sz w:val="24"/>
                <w:szCs w:val="24"/>
                <w:lang w:eastAsia="en-US"/>
              </w:rPr>
              <w:t>*</w:t>
            </w:r>
          </w:p>
          <w:p w:rsidR="00DD245A" w:rsidRPr="00DD245A" w:rsidRDefault="00DD245A" w:rsidP="00DD245A">
            <w:pPr>
              <w:spacing w:before="120" w:line="23" w:lineRule="atLeast"/>
              <w:jc w:val="both"/>
              <w:rPr>
                <w:rFonts w:asciiTheme="minorHAnsi" w:hAnsiTheme="minorHAnsi"/>
              </w:rPr>
            </w:pPr>
          </w:p>
        </w:tc>
      </w:tr>
      <w:tr w:rsidR="00DD245A" w:rsidTr="00623781">
        <w:tblPrEx>
          <w:tblLook w:val="0000" w:firstRow="0" w:lastRow="0" w:firstColumn="0" w:lastColumn="0" w:noHBand="0" w:noVBand="0"/>
        </w:tblPrEx>
        <w:trPr>
          <w:trHeight w:val="450"/>
        </w:trPr>
        <w:tc>
          <w:tcPr>
            <w:tcW w:w="9180" w:type="dxa"/>
            <w:gridSpan w:val="2"/>
          </w:tcPr>
          <w:p w:rsidR="00DD245A" w:rsidRPr="00623781" w:rsidRDefault="00DD245A" w:rsidP="00AD735A">
            <w:pPr>
              <w:spacing w:before="120" w:after="120" w:line="23" w:lineRule="atLeast"/>
              <w:jc w:val="both"/>
              <w:rPr>
                <w:color w:val="C00000"/>
                <w:sz w:val="24"/>
                <w:szCs w:val="24"/>
              </w:rPr>
            </w:pPr>
            <w:r>
              <w:rPr>
                <w:rFonts w:asciiTheme="minorHAnsi" w:eastAsiaTheme="minorHAnsi" w:hAnsiTheme="minorHAnsi" w:cstheme="minorBidi"/>
                <w:lang w:eastAsia="en-US"/>
              </w:rPr>
              <w:t xml:space="preserve">* </w:t>
            </w:r>
            <w:r w:rsidR="00AD735A">
              <w:rPr>
                <w:rFonts w:asciiTheme="minorHAnsi" w:eastAsiaTheme="minorHAnsi" w:hAnsiTheme="minorHAnsi" w:cstheme="minorBidi"/>
                <w:lang w:eastAsia="en-US"/>
              </w:rPr>
              <w:t>Izvor: p</w:t>
            </w:r>
            <w:r w:rsidR="00FB6BC8">
              <w:rPr>
                <w:rFonts w:asciiTheme="minorHAnsi" w:eastAsiaTheme="minorHAnsi" w:hAnsiTheme="minorHAnsi" w:cstheme="minorBidi"/>
                <w:lang w:eastAsia="en-US"/>
              </w:rPr>
              <w:t>reuzet</w:t>
            </w:r>
            <w:r w:rsidR="00AD735A">
              <w:rPr>
                <w:rFonts w:asciiTheme="minorHAnsi" w:eastAsiaTheme="minorHAnsi" w:hAnsiTheme="minorHAnsi" w:cstheme="minorBidi"/>
                <w:lang w:eastAsia="en-US"/>
              </w:rPr>
              <w:t>o</w:t>
            </w:r>
            <w:r w:rsidR="00FB6BC8">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 xml:space="preserve">iz: </w:t>
            </w:r>
            <w:r w:rsidRPr="00DD245A">
              <w:rPr>
                <w:rFonts w:asciiTheme="minorHAnsi" w:hAnsiTheme="minorHAnsi"/>
              </w:rPr>
              <w:t>Bejaković, P., Siromaštvo, nejednakost i socijalna isključenost u Europskoj uniji i Hrvatskoj“, dostupno na: http://www.ijf.hr/Eu2/Bejakovic.pdf</w:t>
            </w:r>
          </w:p>
        </w:tc>
      </w:tr>
    </w:tbl>
    <w:p w:rsidR="008E2261" w:rsidRPr="00356A4A" w:rsidRDefault="008E2261" w:rsidP="008E2261">
      <w:pPr>
        <w:spacing w:before="360"/>
        <w:jc w:val="both"/>
        <w:rPr>
          <w:sz w:val="24"/>
          <w:szCs w:val="24"/>
        </w:rPr>
      </w:pPr>
      <w:r>
        <w:rPr>
          <w:sz w:val="24"/>
          <w:szCs w:val="24"/>
        </w:rPr>
        <w:t>„</w:t>
      </w:r>
      <w:r w:rsidRPr="00734BDE">
        <w:rPr>
          <w:i/>
          <w:sz w:val="24"/>
          <w:szCs w:val="24"/>
        </w:rPr>
        <w:t xml:space="preserve">Uvjeti i pojavni oblik siromaštva razlikuju se prema socijalnim skupinama, vremenu, mjestu i zemlji. Siromaštvo se može razlikovati prema spolu osoba, etnitetu, dobi, mjestu (ruralno nasuprot urbanome), te prema izvoru dohotka. Obično su u kućanstvima djeca i žene izloženiji siromaštvu od muškaraca. Na siromaštvo utječu složeni međuodnosi politike, mjera </w:t>
      </w:r>
      <w:r w:rsidRPr="00734BDE">
        <w:rPr>
          <w:i/>
          <w:sz w:val="24"/>
          <w:szCs w:val="24"/>
        </w:rPr>
        <w:lastRenderedPageBreak/>
        <w:t>i institucija u ekonomskoj i političkoj sferi. Značenje siromaštva ne ovisi samo o tome što se događa s nacionalnim dohotkom, već je važnije kako se promjene nacionalnog dohotka odražavaju na položaj kućanstava, te što se zbiva u raspodjeli potrošnje dohotka. … U gotovo svim članicama EU-a najvažniji čimbenik siromaštva i socijalne isključenosti je nezaposlenost, pogotovo dugotrajna isključenost iz svijeta rada …</w:t>
      </w:r>
      <w:r w:rsidRPr="00356A4A">
        <w:rPr>
          <w:sz w:val="24"/>
          <w:szCs w:val="24"/>
        </w:rPr>
        <w:t>“</w:t>
      </w:r>
      <w:r w:rsidRPr="00734BDE">
        <w:rPr>
          <w:sz w:val="24"/>
          <w:szCs w:val="24"/>
          <w:vertAlign w:val="superscript"/>
        </w:rPr>
        <w:footnoteReference w:id="16"/>
      </w:r>
      <w:r>
        <w:rPr>
          <w:sz w:val="24"/>
          <w:szCs w:val="24"/>
        </w:rPr>
        <w:t xml:space="preserve">, dok se </w:t>
      </w:r>
      <w:r w:rsidRPr="00734BDE">
        <w:rPr>
          <w:color w:val="C00000"/>
          <w:sz w:val="24"/>
          <w:szCs w:val="24"/>
        </w:rPr>
        <w:t>kao dominantne grupe među siromašnima izdvajaju: stariji i slabije obrazovani te nezaposlene i neaktivne osobe</w:t>
      </w:r>
      <w:r w:rsidRPr="00CE0749">
        <w:rPr>
          <w:sz w:val="24"/>
          <w:szCs w:val="24"/>
        </w:rPr>
        <w:t>.</w:t>
      </w:r>
      <w:r w:rsidRPr="00734BDE">
        <w:rPr>
          <w:sz w:val="24"/>
          <w:szCs w:val="24"/>
        </w:rPr>
        <w:t xml:space="preserve"> „</w:t>
      </w:r>
      <w:r w:rsidRPr="00734BDE">
        <w:rPr>
          <w:i/>
          <w:sz w:val="24"/>
          <w:szCs w:val="24"/>
        </w:rPr>
        <w:t>Kao dio ljudskog kapitala, osim neobrazovanosti ili neodgovarajuće obrazovanosti, bitna je odrednica siromaštva zdravstveno stanje pojedinca i njegove obitelji. Ugroženo zdravlje i ograničena radna sposobnost te ozbiljnija bolest u obitelji smanjuju mogućnost zapošljavanja, profesionalnog napredovanja i izlaska iz siromaštva</w:t>
      </w:r>
      <w:r w:rsidRPr="00734BDE">
        <w:rPr>
          <w:sz w:val="24"/>
          <w:szCs w:val="24"/>
        </w:rPr>
        <w:t xml:space="preserve">.“ </w:t>
      </w:r>
      <w:r w:rsidRPr="00734BDE">
        <w:rPr>
          <w:sz w:val="24"/>
          <w:szCs w:val="24"/>
          <w:vertAlign w:val="superscript"/>
        </w:rPr>
        <w:footnoteReference w:id="17"/>
      </w:r>
    </w:p>
    <w:p w:rsidR="008E2261" w:rsidRPr="00356A4A" w:rsidRDefault="008E2261" w:rsidP="00D1637C">
      <w:pPr>
        <w:spacing w:before="240" w:after="0"/>
        <w:jc w:val="both"/>
        <w:rPr>
          <w:color w:val="C00000"/>
          <w:sz w:val="24"/>
          <w:szCs w:val="24"/>
        </w:rPr>
      </w:pPr>
      <w:r w:rsidRPr="00356A4A">
        <w:rPr>
          <w:color w:val="C00000"/>
          <w:sz w:val="24"/>
          <w:szCs w:val="24"/>
        </w:rPr>
        <w:t xml:space="preserve">Za potrebe procjene siromaštva i nejednakosti u društvu mogu se koristit: </w:t>
      </w:r>
    </w:p>
    <w:p w:rsidR="008E2261" w:rsidRPr="00356A4A" w:rsidRDefault="008E2261" w:rsidP="00D1637C">
      <w:pPr>
        <w:pStyle w:val="Odlomakpopisa"/>
        <w:numPr>
          <w:ilvl w:val="0"/>
          <w:numId w:val="9"/>
        </w:numPr>
        <w:ind w:left="714" w:hanging="357"/>
        <w:jc w:val="both"/>
        <w:rPr>
          <w:sz w:val="24"/>
          <w:szCs w:val="24"/>
        </w:rPr>
      </w:pPr>
      <w:r w:rsidRPr="00356A4A">
        <w:rPr>
          <w:sz w:val="24"/>
          <w:szCs w:val="24"/>
        </w:rPr>
        <w:t xml:space="preserve">pokazatelji temeljeni na potrošnji koji uključuju kako novčane izdatke tako i vrijednost prehrambenih proizvoda proizvedenih u vlastitoj okućnici te </w:t>
      </w:r>
    </w:p>
    <w:p w:rsidR="008E2261" w:rsidRPr="000A5483" w:rsidRDefault="008E2261" w:rsidP="00E93220">
      <w:pPr>
        <w:pStyle w:val="Odlomakpopisa"/>
        <w:numPr>
          <w:ilvl w:val="0"/>
          <w:numId w:val="9"/>
        </w:numPr>
        <w:spacing w:before="240"/>
        <w:jc w:val="both"/>
        <w:rPr>
          <w:sz w:val="24"/>
          <w:szCs w:val="24"/>
        </w:rPr>
      </w:pPr>
      <w:r w:rsidRPr="00356A4A">
        <w:rPr>
          <w:sz w:val="24"/>
          <w:szCs w:val="24"/>
        </w:rPr>
        <w:t xml:space="preserve">pokazatelji temeljeni na tekućem raspoloživom dohotku (ali što može izazvati problem nestabilnosti podataka u slučaju neredovitih isplata plaća ili problem nepouzdanosti ukoliko ispitanici  nisu spremni istinito odgovarati o visini dohotka ukoliko ih ostvaruju iz nezakonitih ili poluzakonitih izvora, uključujući „sivu“ ekonomiju). </w:t>
      </w:r>
    </w:p>
    <w:p w:rsidR="00787098" w:rsidRPr="005B2730" w:rsidRDefault="00787098" w:rsidP="00787098">
      <w:pPr>
        <w:jc w:val="both"/>
        <w:rPr>
          <w:i/>
          <w:sz w:val="24"/>
          <w:szCs w:val="24"/>
        </w:rPr>
      </w:pPr>
      <w:r w:rsidRPr="00CC4533">
        <w:rPr>
          <w:sz w:val="24"/>
          <w:szCs w:val="24"/>
        </w:rPr>
        <w:t xml:space="preserve">Državni zavod za statistiku </w:t>
      </w:r>
      <w:r w:rsidR="008E2261">
        <w:rPr>
          <w:sz w:val="24"/>
          <w:szCs w:val="24"/>
        </w:rPr>
        <w:t xml:space="preserve">RH </w:t>
      </w:r>
      <w:r w:rsidRPr="00CC4533">
        <w:rPr>
          <w:sz w:val="24"/>
          <w:szCs w:val="24"/>
        </w:rPr>
        <w:t xml:space="preserve">objavljuje </w:t>
      </w:r>
      <w:r w:rsidRPr="00CC4533">
        <w:rPr>
          <w:color w:val="C00000"/>
          <w:sz w:val="24"/>
          <w:szCs w:val="24"/>
        </w:rPr>
        <w:t xml:space="preserve">pokazatelje siromaštva i socijalne isključenosti </w:t>
      </w:r>
      <w:r w:rsidRPr="00CC4533">
        <w:rPr>
          <w:sz w:val="24"/>
          <w:szCs w:val="24"/>
        </w:rPr>
        <w:t xml:space="preserve">koji se temelje na </w:t>
      </w:r>
      <w:r w:rsidRPr="006E6987">
        <w:rPr>
          <w:i/>
          <w:sz w:val="24"/>
          <w:szCs w:val="24"/>
        </w:rPr>
        <w:t>Anketi o dohotku stanovništva</w:t>
      </w:r>
      <w:r w:rsidRPr="00CC4533">
        <w:rPr>
          <w:sz w:val="24"/>
          <w:szCs w:val="24"/>
        </w:rPr>
        <w:t>.</w:t>
      </w:r>
      <w:r w:rsidRPr="00CC4533">
        <w:rPr>
          <w:sz w:val="24"/>
          <w:szCs w:val="24"/>
          <w:vertAlign w:val="superscript"/>
        </w:rPr>
        <w:footnoteReference w:id="18"/>
      </w:r>
      <w:r w:rsidRPr="00CC4533">
        <w:rPr>
          <w:sz w:val="24"/>
          <w:szCs w:val="24"/>
        </w:rPr>
        <w:t xml:space="preserve"> Nadalje temelje se na „</w:t>
      </w:r>
      <w:r w:rsidR="00623781" w:rsidRPr="005B2730">
        <w:rPr>
          <w:i/>
          <w:sz w:val="24"/>
          <w:szCs w:val="24"/>
        </w:rPr>
        <w:t>konceptu relativnog siromaštva koji uzima u obzir raspoloživi dohodak kućanstva, broj članova u kućanstvu (veličinu kućanstva) i distribuciju dohotka unutar populacije.</w:t>
      </w:r>
      <w:r w:rsidRPr="005B2730">
        <w:rPr>
          <w:i/>
          <w:sz w:val="24"/>
          <w:szCs w:val="24"/>
        </w:rPr>
        <w:t xml:space="preserve"> </w:t>
      </w:r>
      <w:r w:rsidR="00623781" w:rsidRPr="005B2730">
        <w:rPr>
          <w:i/>
          <w:sz w:val="24"/>
          <w:szCs w:val="24"/>
        </w:rPr>
        <w:t xml:space="preserve">Osnovni je pokazatelj </w:t>
      </w:r>
      <w:r w:rsidR="00623781" w:rsidRPr="005B2730">
        <w:rPr>
          <w:i/>
          <w:color w:val="C00000"/>
          <w:sz w:val="24"/>
          <w:szCs w:val="24"/>
        </w:rPr>
        <w:t>stopa rizika od siromaštva</w:t>
      </w:r>
      <w:r w:rsidR="00623781" w:rsidRPr="005B2730">
        <w:rPr>
          <w:i/>
          <w:sz w:val="24"/>
          <w:szCs w:val="24"/>
        </w:rPr>
        <w:t>. To je postotak osoba koje imaju raspoloživi ekvivalentni dohodak ispod praga rizika od siromaštva. Stopa rizika od siromaštva ne pokazuje koliko je osoba stvarno siromašno, nego koliko njih ima dohodak ispod praga rizika od siromaštva. Prag rizika od siromaštva postavljen je na 60% od srednje vrijednosti (medijana) ekvivalentnoga raspoloživog dohotka svih kućanstava.</w:t>
      </w:r>
      <w:r w:rsidRPr="005B2730">
        <w:rPr>
          <w:i/>
          <w:sz w:val="24"/>
          <w:szCs w:val="24"/>
        </w:rPr>
        <w:t xml:space="preserve"> …</w:t>
      </w:r>
    </w:p>
    <w:p w:rsidR="005B2730" w:rsidRDefault="00C6167D" w:rsidP="00787098">
      <w:pPr>
        <w:jc w:val="both"/>
        <w:rPr>
          <w:sz w:val="24"/>
          <w:szCs w:val="24"/>
        </w:rPr>
      </w:pPr>
      <w:r w:rsidRPr="005B2730">
        <w:rPr>
          <w:i/>
          <w:sz w:val="24"/>
          <w:szCs w:val="24"/>
        </w:rPr>
        <w:t xml:space="preserve">… </w:t>
      </w:r>
      <w:r w:rsidR="00787098" w:rsidRPr="005B2730">
        <w:rPr>
          <w:i/>
          <w:color w:val="C00000"/>
          <w:sz w:val="24"/>
          <w:szCs w:val="24"/>
        </w:rPr>
        <w:t>Ekvivalentni dohodak </w:t>
      </w:r>
      <w:r w:rsidR="00787098" w:rsidRPr="005B2730">
        <w:rPr>
          <w:i/>
          <w:sz w:val="24"/>
          <w:szCs w:val="24"/>
        </w:rPr>
        <w:t xml:space="preserve">računa se tako da se ukupan dohodak kućanstva podijeli s ekvivalentnom veličinom kućanstva izračunanom prema modificiranoj OECD-ovoj ljestvici, prema kojoj se nositelju kućanstva dodjeljuje koeficijent 1, svakoj drugoj odrasloj osobi u kućanstvu od 14 godina i starijoj osobi koeficijent 0,5, a djeci mlađoj od 14 godina koeficijent </w:t>
      </w:r>
      <w:r w:rsidR="00787098" w:rsidRPr="005B2730">
        <w:rPr>
          <w:i/>
          <w:sz w:val="24"/>
          <w:szCs w:val="24"/>
        </w:rPr>
        <w:lastRenderedPageBreak/>
        <w:t>0,3. Postupak se primjenjuje zbog određivanja ravnomjernijeg udjela svakog člana kućanstva u stjecanju zajedničkog prihoda</w:t>
      </w:r>
      <w:r w:rsidR="00787098" w:rsidRPr="00CC4533">
        <w:rPr>
          <w:sz w:val="24"/>
          <w:szCs w:val="24"/>
        </w:rPr>
        <w:t>.“</w:t>
      </w:r>
      <w:r w:rsidR="00FC00A4" w:rsidRPr="00FC00A4">
        <w:rPr>
          <w:sz w:val="24"/>
          <w:szCs w:val="24"/>
          <w:vertAlign w:val="superscript"/>
        </w:rPr>
        <w:t xml:space="preserve"> </w:t>
      </w:r>
      <w:r w:rsidR="00FC00A4" w:rsidRPr="00CC4533">
        <w:rPr>
          <w:sz w:val="24"/>
          <w:szCs w:val="24"/>
          <w:vertAlign w:val="superscript"/>
        </w:rPr>
        <w:footnoteReference w:id="19"/>
      </w:r>
      <w:r w:rsidR="00787098" w:rsidRPr="00CC4533">
        <w:rPr>
          <w:sz w:val="24"/>
          <w:szCs w:val="24"/>
        </w:rPr>
        <w:t xml:space="preserve"> </w:t>
      </w:r>
    </w:p>
    <w:p w:rsidR="00787098" w:rsidRDefault="00787098" w:rsidP="00787098">
      <w:pPr>
        <w:jc w:val="both"/>
        <w:rPr>
          <w:sz w:val="24"/>
          <w:szCs w:val="24"/>
        </w:rPr>
      </w:pPr>
      <w:r w:rsidRPr="00CC4533">
        <w:rPr>
          <w:sz w:val="24"/>
          <w:szCs w:val="24"/>
        </w:rPr>
        <w:t>U</w:t>
      </w:r>
      <w:r w:rsidR="00C6167D" w:rsidRPr="00CC4533">
        <w:rPr>
          <w:sz w:val="24"/>
          <w:szCs w:val="24"/>
        </w:rPr>
        <w:t xml:space="preserve"> nastavku </w:t>
      </w:r>
      <w:r w:rsidRPr="00CC4533">
        <w:rPr>
          <w:sz w:val="24"/>
          <w:szCs w:val="24"/>
        </w:rPr>
        <w:t xml:space="preserve">su prezentirani ključni pokazatelji siromaštva u 2013. </w:t>
      </w:r>
      <w:r w:rsidR="009E17A3">
        <w:rPr>
          <w:sz w:val="24"/>
          <w:szCs w:val="24"/>
        </w:rPr>
        <w:t>p</w:t>
      </w:r>
      <w:r w:rsidR="00CC4533">
        <w:rPr>
          <w:sz w:val="24"/>
          <w:szCs w:val="24"/>
        </w:rPr>
        <w:t>reuzeti sa stranica DZS-a</w:t>
      </w:r>
      <w:r w:rsidR="00FC00A4">
        <w:rPr>
          <w:sz w:val="24"/>
          <w:szCs w:val="24"/>
        </w:rPr>
        <w:t xml:space="preserve">. </w:t>
      </w:r>
      <w:r w:rsidR="008E2261">
        <w:rPr>
          <w:sz w:val="24"/>
          <w:szCs w:val="24"/>
        </w:rPr>
        <w:t>Podaci novijeg datuma nisu bili dostupni u trenutku sastavljanja ovog teksta.</w:t>
      </w:r>
    </w:p>
    <w:tbl>
      <w:tblPr>
        <w:tblStyle w:val="Reetkatablice"/>
        <w:tblW w:w="9322" w:type="dxa"/>
        <w:tblLayout w:type="fixed"/>
        <w:tblLook w:val="04A0" w:firstRow="1" w:lastRow="0" w:firstColumn="1" w:lastColumn="0" w:noHBand="0" w:noVBand="1"/>
      </w:tblPr>
      <w:tblGrid>
        <w:gridCol w:w="3510"/>
        <w:gridCol w:w="5778"/>
        <w:gridCol w:w="34"/>
      </w:tblGrid>
      <w:tr w:rsidR="00CC4533" w:rsidTr="009E17A3">
        <w:trPr>
          <w:gridAfter w:val="1"/>
          <w:wAfter w:w="34" w:type="dxa"/>
        </w:trPr>
        <w:tc>
          <w:tcPr>
            <w:tcW w:w="3510" w:type="dxa"/>
          </w:tcPr>
          <w:p w:rsidR="00CC4533" w:rsidRPr="009E17A3" w:rsidRDefault="00FC00A4" w:rsidP="009849A1">
            <w:pPr>
              <w:spacing w:before="120" w:after="120"/>
              <w:jc w:val="both"/>
              <w:rPr>
                <w:rFonts w:asciiTheme="minorHAnsi" w:hAnsiTheme="minorHAnsi"/>
                <w:sz w:val="22"/>
                <w:szCs w:val="22"/>
              </w:rPr>
            </w:pPr>
            <w:r w:rsidRPr="00FC00A4">
              <w:rPr>
                <w:rFonts w:asciiTheme="minorHAnsi" w:hAnsiTheme="minorHAnsi" w:cstheme="minorBidi"/>
                <w:i/>
                <w:sz w:val="22"/>
                <w:szCs w:val="22"/>
              </w:rPr>
              <w:t>„</w:t>
            </w:r>
            <w:r w:rsidR="00CC4533" w:rsidRPr="00FC00A4">
              <w:rPr>
                <w:rFonts w:asciiTheme="minorHAnsi" w:hAnsiTheme="minorHAnsi" w:cstheme="minorBidi"/>
                <w:i/>
                <w:sz w:val="22"/>
                <w:szCs w:val="22"/>
              </w:rPr>
              <w:t>Pokazatelj </w:t>
            </w:r>
            <w:r w:rsidR="00CC4533" w:rsidRPr="00FC00A4">
              <w:rPr>
                <w:rFonts w:asciiTheme="minorHAnsi" w:hAnsiTheme="minorHAnsi" w:cstheme="minorBidi"/>
                <w:i/>
                <w:color w:val="C00000"/>
                <w:sz w:val="22"/>
                <w:szCs w:val="22"/>
              </w:rPr>
              <w:t>Osobe u riziku od siro</w:t>
            </w:r>
            <w:r w:rsidR="009E17A3" w:rsidRPr="00FC00A4">
              <w:rPr>
                <w:rFonts w:asciiTheme="minorHAnsi" w:hAnsiTheme="minorHAnsi" w:cstheme="minorBidi"/>
                <w:i/>
                <w:color w:val="C00000"/>
                <w:sz w:val="22"/>
                <w:szCs w:val="22"/>
              </w:rPr>
              <w:t xml:space="preserve">- </w:t>
            </w:r>
            <w:r w:rsidR="00CC4533" w:rsidRPr="00FC00A4">
              <w:rPr>
                <w:rFonts w:asciiTheme="minorHAnsi" w:hAnsiTheme="minorHAnsi" w:cstheme="minorBidi"/>
                <w:i/>
                <w:color w:val="C00000"/>
                <w:sz w:val="22"/>
                <w:szCs w:val="22"/>
              </w:rPr>
              <w:t>maštva ili socijalne isključenosti</w:t>
            </w:r>
            <w:r w:rsidR="00CC4533" w:rsidRPr="00FC00A4">
              <w:rPr>
                <w:rFonts w:asciiTheme="minorHAnsi" w:hAnsiTheme="minorHAnsi" w:cstheme="minorBidi"/>
                <w:i/>
                <w:sz w:val="22"/>
                <w:szCs w:val="22"/>
              </w:rPr>
              <w:t xml:space="preserve"> odnosi se na one osobe koje su u riziku od siromaštva ili su u teškoj deprivaciji ili žive u kućanstvima s niskim intenzitetom rada. Prema tom pokazatelju za 2013. u Republici Hrvatskoj u takvu je položaju bilo 29,9% osoba</w:t>
            </w:r>
            <w:r w:rsidR="00CC4533" w:rsidRPr="00FC00A4">
              <w:rPr>
                <w:rFonts w:asciiTheme="minorHAnsi" w:hAnsiTheme="minorHAnsi"/>
                <w:i/>
                <w:sz w:val="22"/>
                <w:szCs w:val="22"/>
              </w:rPr>
              <w:t>.</w:t>
            </w:r>
            <w:r w:rsidRPr="00FC00A4">
              <w:rPr>
                <w:rFonts w:asciiTheme="minorHAnsi" w:hAnsiTheme="minorHAnsi"/>
                <w:i/>
                <w:sz w:val="22"/>
                <w:szCs w:val="22"/>
              </w:rPr>
              <w:t>“*</w:t>
            </w:r>
          </w:p>
          <w:p w:rsidR="009849A1" w:rsidRPr="009E17A3" w:rsidRDefault="00FC00A4" w:rsidP="009849A1">
            <w:pPr>
              <w:spacing w:before="120" w:after="120"/>
              <w:jc w:val="both"/>
              <w:rPr>
                <w:rFonts w:asciiTheme="minorHAnsi" w:hAnsiTheme="minorHAnsi" w:cstheme="minorBidi"/>
                <w:sz w:val="22"/>
                <w:szCs w:val="22"/>
              </w:rPr>
            </w:pPr>
            <w:r w:rsidRPr="00FC00A4">
              <w:rPr>
                <w:rFonts w:asciiTheme="minorHAnsi" w:hAnsiTheme="minorHAnsi" w:cstheme="minorBidi"/>
                <w:i/>
                <w:sz w:val="22"/>
                <w:szCs w:val="22"/>
              </w:rPr>
              <w:t>„</w:t>
            </w:r>
            <w:r w:rsidR="009849A1" w:rsidRPr="00FC00A4">
              <w:rPr>
                <w:rFonts w:asciiTheme="minorHAnsi" w:hAnsiTheme="minorHAnsi" w:cstheme="minorBidi"/>
                <w:i/>
                <w:color w:val="C00000"/>
                <w:sz w:val="22"/>
                <w:szCs w:val="22"/>
              </w:rPr>
              <w:t>Stopa materijalne deprivacij</w:t>
            </w:r>
            <w:r w:rsidR="009E17A3" w:rsidRPr="00FC00A4">
              <w:rPr>
                <w:rFonts w:asciiTheme="minorHAnsi" w:hAnsiTheme="minorHAnsi" w:cstheme="minorBidi"/>
                <w:i/>
                <w:color w:val="C00000"/>
                <w:sz w:val="22"/>
                <w:szCs w:val="22"/>
              </w:rPr>
              <w:t xml:space="preserve">e </w:t>
            </w:r>
            <w:r w:rsidR="009849A1" w:rsidRPr="00FC00A4">
              <w:rPr>
                <w:rFonts w:asciiTheme="minorHAnsi" w:hAnsiTheme="minorHAnsi" w:cstheme="minorBidi"/>
                <w:i/>
                <w:sz w:val="22"/>
                <w:szCs w:val="22"/>
              </w:rPr>
              <w:t>pri</w:t>
            </w:r>
            <w:r w:rsidR="009E17A3" w:rsidRPr="00FC00A4">
              <w:rPr>
                <w:rFonts w:asciiTheme="minorHAnsi" w:hAnsiTheme="minorHAnsi" w:cstheme="minorBidi"/>
                <w:i/>
                <w:sz w:val="22"/>
                <w:szCs w:val="22"/>
              </w:rPr>
              <w:t>-</w:t>
            </w:r>
            <w:r w:rsidR="009849A1" w:rsidRPr="00FC00A4">
              <w:rPr>
                <w:rFonts w:asciiTheme="minorHAnsi" w:hAnsiTheme="minorHAnsi" w:cstheme="minorBidi"/>
                <w:i/>
                <w:sz w:val="22"/>
                <w:szCs w:val="22"/>
              </w:rPr>
              <w:t>kazuje postotak osoba koje žive u kućanstvima koja si ne mogu, isključivo zbog financijskih razloga, priuštiti najmanje tri od devet stavki materijalne deprivacije.</w:t>
            </w:r>
            <w:r w:rsidRPr="00FC00A4">
              <w:rPr>
                <w:rFonts w:asciiTheme="minorHAnsi" w:hAnsiTheme="minorHAnsi" w:cstheme="minorBidi"/>
                <w:i/>
                <w:sz w:val="22"/>
                <w:szCs w:val="22"/>
              </w:rPr>
              <w:t>“*</w:t>
            </w:r>
            <w:r w:rsidR="009849A1" w:rsidRPr="009E17A3">
              <w:rPr>
                <w:rFonts w:asciiTheme="minorHAnsi" w:hAnsiTheme="minorHAnsi" w:cstheme="minorBidi"/>
                <w:sz w:val="22"/>
                <w:szCs w:val="22"/>
              </w:rPr>
              <w:t xml:space="preserve"> </w:t>
            </w:r>
            <w:r>
              <w:rPr>
                <w:rFonts w:asciiTheme="minorHAnsi" w:hAnsiTheme="minorHAnsi" w:cstheme="minorBidi"/>
                <w:sz w:val="22"/>
                <w:szCs w:val="22"/>
              </w:rPr>
              <w:t xml:space="preserve">U 2013. stopa materijalne deprivacije iznosila je </w:t>
            </w:r>
            <w:r w:rsidR="009849A1" w:rsidRPr="009E17A3">
              <w:rPr>
                <w:rFonts w:asciiTheme="minorHAnsi" w:hAnsiTheme="minorHAnsi" w:cstheme="minorBidi"/>
                <w:sz w:val="22"/>
                <w:szCs w:val="22"/>
              </w:rPr>
              <w:t>34,6%.</w:t>
            </w:r>
          </w:p>
          <w:p w:rsidR="009849A1" w:rsidRDefault="00FC00A4" w:rsidP="009849A1">
            <w:pPr>
              <w:spacing w:before="120" w:after="120"/>
              <w:jc w:val="both"/>
              <w:rPr>
                <w:rFonts w:asciiTheme="minorHAnsi" w:hAnsiTheme="minorHAnsi" w:cstheme="minorBidi"/>
                <w:sz w:val="22"/>
                <w:szCs w:val="22"/>
              </w:rPr>
            </w:pPr>
            <w:r w:rsidRPr="00FC00A4">
              <w:rPr>
                <w:rFonts w:asciiTheme="minorHAnsi" w:hAnsiTheme="minorHAnsi" w:cstheme="minorBidi"/>
                <w:i/>
                <w:sz w:val="22"/>
                <w:szCs w:val="22"/>
              </w:rPr>
              <w:t>„</w:t>
            </w:r>
            <w:r w:rsidR="009849A1" w:rsidRPr="00FC00A4">
              <w:rPr>
                <w:rFonts w:asciiTheme="minorHAnsi" w:hAnsiTheme="minorHAnsi" w:cstheme="minorBidi"/>
                <w:i/>
                <w:color w:val="C00000"/>
                <w:sz w:val="22"/>
                <w:szCs w:val="22"/>
              </w:rPr>
              <w:t>Stopa teške materijalne deprivaci</w:t>
            </w:r>
            <w:r w:rsidR="009E17A3" w:rsidRPr="00FC00A4">
              <w:rPr>
                <w:rFonts w:asciiTheme="minorHAnsi" w:hAnsiTheme="minorHAnsi" w:cstheme="minorBidi"/>
                <w:i/>
                <w:color w:val="C00000"/>
                <w:sz w:val="22"/>
                <w:szCs w:val="22"/>
              </w:rPr>
              <w:t>-</w:t>
            </w:r>
            <w:r w:rsidR="009849A1" w:rsidRPr="00FC00A4">
              <w:rPr>
                <w:rFonts w:asciiTheme="minorHAnsi" w:hAnsiTheme="minorHAnsi" w:cstheme="minorBidi"/>
                <w:i/>
                <w:color w:val="C00000"/>
                <w:sz w:val="22"/>
                <w:szCs w:val="22"/>
              </w:rPr>
              <w:t>je </w:t>
            </w:r>
            <w:r w:rsidR="009849A1" w:rsidRPr="00FC00A4">
              <w:rPr>
                <w:rFonts w:asciiTheme="minorHAnsi" w:hAnsiTheme="minorHAnsi" w:cstheme="minorBidi"/>
                <w:i/>
                <w:sz w:val="22"/>
                <w:szCs w:val="22"/>
              </w:rPr>
              <w:t>prikazuje postotak osoba koje žive u kućanstvima koja si ne mogu priuštiti najmanje četiri od devet stavaka materijalne depr</w:t>
            </w:r>
            <w:r w:rsidR="005B2730" w:rsidRPr="00FC00A4">
              <w:rPr>
                <w:rFonts w:asciiTheme="minorHAnsi" w:hAnsiTheme="minorHAnsi" w:cstheme="minorBidi"/>
                <w:i/>
                <w:sz w:val="22"/>
                <w:szCs w:val="22"/>
              </w:rPr>
              <w:t>ivacije</w:t>
            </w:r>
            <w:r w:rsidRPr="00FC00A4">
              <w:rPr>
                <w:rFonts w:asciiTheme="minorHAnsi" w:hAnsiTheme="minorHAnsi" w:cstheme="minorBidi"/>
                <w:i/>
                <w:sz w:val="22"/>
                <w:szCs w:val="22"/>
              </w:rPr>
              <w:t>.“*</w:t>
            </w:r>
            <w:r>
              <w:rPr>
                <w:rFonts w:asciiTheme="minorHAnsi" w:hAnsiTheme="minorHAnsi" w:cstheme="minorBidi"/>
                <w:sz w:val="22"/>
                <w:szCs w:val="22"/>
              </w:rPr>
              <w:t xml:space="preserve"> U</w:t>
            </w:r>
            <w:r w:rsidR="005B2730">
              <w:rPr>
                <w:rFonts w:asciiTheme="minorHAnsi" w:hAnsiTheme="minorHAnsi" w:cstheme="minorBidi"/>
                <w:sz w:val="22"/>
                <w:szCs w:val="22"/>
              </w:rPr>
              <w:t xml:space="preserve"> 2013. </w:t>
            </w:r>
            <w:r>
              <w:rPr>
                <w:rFonts w:asciiTheme="minorHAnsi" w:hAnsiTheme="minorHAnsi" w:cstheme="minorBidi"/>
                <w:sz w:val="22"/>
                <w:szCs w:val="22"/>
              </w:rPr>
              <w:t>I</w:t>
            </w:r>
            <w:r w:rsidR="005B2730">
              <w:rPr>
                <w:rFonts w:asciiTheme="minorHAnsi" w:hAnsiTheme="minorHAnsi" w:cstheme="minorBidi"/>
                <w:sz w:val="22"/>
                <w:szCs w:val="22"/>
              </w:rPr>
              <w:t>znosi</w:t>
            </w:r>
            <w:r>
              <w:rPr>
                <w:rFonts w:asciiTheme="minorHAnsi" w:hAnsiTheme="minorHAnsi" w:cstheme="minorBidi"/>
                <w:sz w:val="22"/>
                <w:szCs w:val="22"/>
              </w:rPr>
              <w:t>la je</w:t>
            </w:r>
            <w:r w:rsidR="005B2730">
              <w:rPr>
                <w:rFonts w:asciiTheme="minorHAnsi" w:hAnsiTheme="minorHAnsi" w:cstheme="minorBidi"/>
                <w:sz w:val="22"/>
                <w:szCs w:val="22"/>
              </w:rPr>
              <w:t xml:space="preserve"> 14,7%.</w:t>
            </w:r>
          </w:p>
          <w:p w:rsidR="00FC00A4" w:rsidRPr="009E17A3" w:rsidRDefault="00FC00A4" w:rsidP="00FC00A4">
            <w:pPr>
              <w:spacing w:before="120" w:after="120"/>
              <w:jc w:val="both"/>
              <w:rPr>
                <w:rFonts w:asciiTheme="minorHAnsi" w:hAnsiTheme="minorHAnsi" w:cstheme="minorBidi"/>
                <w:sz w:val="22"/>
                <w:szCs w:val="22"/>
              </w:rPr>
            </w:pPr>
            <w:r>
              <w:rPr>
                <w:rFonts w:asciiTheme="minorHAnsi" w:hAnsiTheme="minorHAnsi" w:cstheme="minorBidi"/>
                <w:color w:val="C00000"/>
                <w:sz w:val="22"/>
                <w:szCs w:val="22"/>
              </w:rPr>
              <w:t>S</w:t>
            </w:r>
            <w:r w:rsidRPr="009E17A3">
              <w:rPr>
                <w:rFonts w:asciiTheme="minorHAnsi" w:hAnsiTheme="minorHAnsi" w:cstheme="minorBidi"/>
                <w:color w:val="C00000"/>
                <w:sz w:val="22"/>
                <w:szCs w:val="22"/>
              </w:rPr>
              <w:t>topa rizika od siromaštva </w:t>
            </w:r>
            <w:r w:rsidRPr="00FC00A4">
              <w:rPr>
                <w:rFonts w:asciiTheme="minorHAnsi" w:hAnsiTheme="minorHAnsi" w:cstheme="minorBidi"/>
                <w:sz w:val="22"/>
                <w:szCs w:val="22"/>
              </w:rPr>
              <w:t xml:space="preserve">je jedan od najčešće korištenih pokazatelja, a </w:t>
            </w:r>
            <w:r w:rsidRPr="009E17A3">
              <w:rPr>
                <w:rFonts w:asciiTheme="minorHAnsi" w:hAnsiTheme="minorHAnsi" w:cstheme="minorBidi"/>
                <w:sz w:val="22"/>
                <w:szCs w:val="22"/>
              </w:rPr>
              <w:t xml:space="preserve">u 2013. </w:t>
            </w:r>
            <w:r>
              <w:rPr>
                <w:rFonts w:asciiTheme="minorHAnsi" w:hAnsiTheme="minorHAnsi" w:cstheme="minorBidi"/>
                <w:sz w:val="22"/>
                <w:szCs w:val="22"/>
              </w:rPr>
              <w:t>i</w:t>
            </w:r>
            <w:r w:rsidRPr="009E17A3">
              <w:rPr>
                <w:rFonts w:asciiTheme="minorHAnsi" w:hAnsiTheme="minorHAnsi" w:cstheme="minorBidi"/>
                <w:sz w:val="22"/>
                <w:szCs w:val="22"/>
              </w:rPr>
              <w:t>znosi</w:t>
            </w:r>
            <w:r>
              <w:rPr>
                <w:rFonts w:asciiTheme="minorHAnsi" w:hAnsiTheme="minorHAnsi" w:cstheme="minorBidi"/>
                <w:sz w:val="22"/>
                <w:szCs w:val="22"/>
              </w:rPr>
              <w:t xml:space="preserve">la </w:t>
            </w:r>
            <w:r w:rsidRPr="009E17A3">
              <w:rPr>
                <w:rFonts w:asciiTheme="minorHAnsi" w:hAnsiTheme="minorHAnsi" w:cstheme="minorBidi"/>
                <w:sz w:val="22"/>
                <w:szCs w:val="22"/>
              </w:rPr>
              <w:t xml:space="preserve"> </w:t>
            </w:r>
            <w:r>
              <w:rPr>
                <w:rFonts w:asciiTheme="minorHAnsi" w:hAnsiTheme="minorHAnsi" w:cstheme="minorBidi"/>
                <w:sz w:val="22"/>
                <w:szCs w:val="22"/>
              </w:rPr>
              <w:t xml:space="preserve">je </w:t>
            </w:r>
            <w:r w:rsidRPr="009E17A3">
              <w:rPr>
                <w:rFonts w:asciiTheme="minorHAnsi" w:hAnsiTheme="minorHAnsi" w:cstheme="minorBidi"/>
                <w:sz w:val="22"/>
                <w:szCs w:val="22"/>
              </w:rPr>
              <w:t xml:space="preserve">19,5% </w:t>
            </w:r>
          </w:p>
          <w:p w:rsidR="00FC00A4" w:rsidRPr="009E17A3" w:rsidRDefault="00FC00A4" w:rsidP="00FC00A4">
            <w:pPr>
              <w:spacing w:before="120" w:after="120"/>
              <w:jc w:val="both"/>
              <w:rPr>
                <w:rFonts w:asciiTheme="minorHAnsi" w:hAnsiTheme="minorHAnsi" w:cstheme="minorBidi"/>
                <w:sz w:val="22"/>
                <w:szCs w:val="22"/>
              </w:rPr>
            </w:pPr>
            <w:r w:rsidRPr="00FC00A4">
              <w:rPr>
                <w:rFonts w:asciiTheme="minorHAnsi" w:hAnsiTheme="minorHAnsi" w:cstheme="minorBidi"/>
                <w:sz w:val="22"/>
                <w:szCs w:val="22"/>
              </w:rPr>
              <w:t xml:space="preserve">Pri tome je </w:t>
            </w:r>
            <w:r>
              <w:rPr>
                <w:rFonts w:asciiTheme="minorHAnsi" w:hAnsiTheme="minorHAnsi" w:cstheme="minorBidi"/>
                <w:color w:val="C00000"/>
                <w:sz w:val="22"/>
                <w:szCs w:val="22"/>
              </w:rPr>
              <w:t>p</w:t>
            </w:r>
            <w:r w:rsidRPr="009E17A3">
              <w:rPr>
                <w:rFonts w:asciiTheme="minorHAnsi" w:hAnsiTheme="minorHAnsi" w:cstheme="minorBidi"/>
                <w:color w:val="C00000"/>
                <w:sz w:val="22"/>
                <w:szCs w:val="22"/>
              </w:rPr>
              <w:t>rag rizika od siromaštva </w:t>
            </w:r>
            <w:r w:rsidRPr="009E17A3">
              <w:rPr>
                <w:rFonts w:asciiTheme="minorHAnsi" w:hAnsiTheme="minorHAnsi" w:cstheme="minorBidi"/>
                <w:sz w:val="22"/>
                <w:szCs w:val="22"/>
              </w:rPr>
              <w:t>u 2013. za jednočlano kućanstvo iznosi</w:t>
            </w:r>
            <w:r>
              <w:rPr>
                <w:rFonts w:asciiTheme="minorHAnsi" w:hAnsiTheme="minorHAnsi" w:cstheme="minorBidi"/>
                <w:sz w:val="22"/>
                <w:szCs w:val="22"/>
              </w:rPr>
              <w:t>o 2</w:t>
            </w:r>
            <w:r w:rsidRPr="009E17A3">
              <w:rPr>
                <w:rFonts w:asciiTheme="minorHAnsi" w:hAnsiTheme="minorHAnsi" w:cstheme="minorBidi"/>
                <w:sz w:val="22"/>
                <w:szCs w:val="22"/>
              </w:rPr>
              <w:t>2</w:t>
            </w:r>
            <w:r>
              <w:rPr>
                <w:rFonts w:asciiTheme="minorHAnsi" w:hAnsiTheme="minorHAnsi" w:cstheme="minorBidi"/>
                <w:sz w:val="22"/>
                <w:szCs w:val="22"/>
              </w:rPr>
              <w:t>.</w:t>
            </w:r>
            <w:r w:rsidRPr="009E17A3">
              <w:rPr>
                <w:rFonts w:asciiTheme="minorHAnsi" w:hAnsiTheme="minorHAnsi" w:cstheme="minorBidi"/>
                <w:sz w:val="22"/>
                <w:szCs w:val="22"/>
              </w:rPr>
              <w:t>916</w:t>
            </w:r>
            <w:r>
              <w:rPr>
                <w:rFonts w:asciiTheme="minorHAnsi" w:hAnsiTheme="minorHAnsi" w:cstheme="minorBidi"/>
                <w:sz w:val="22"/>
                <w:szCs w:val="22"/>
              </w:rPr>
              <w:t>,00 kn</w:t>
            </w:r>
            <w:r w:rsidRPr="009E17A3">
              <w:rPr>
                <w:rFonts w:asciiTheme="minorHAnsi" w:hAnsiTheme="minorHAnsi" w:cstheme="minorBidi"/>
                <w:sz w:val="22"/>
                <w:szCs w:val="22"/>
              </w:rPr>
              <w:t xml:space="preserve"> </w:t>
            </w:r>
            <w:r>
              <w:rPr>
                <w:rFonts w:asciiTheme="minorHAnsi" w:hAnsiTheme="minorHAnsi" w:cstheme="minorBidi"/>
                <w:sz w:val="22"/>
                <w:szCs w:val="22"/>
              </w:rPr>
              <w:t>godišnje</w:t>
            </w:r>
            <w:r w:rsidRPr="009E17A3">
              <w:rPr>
                <w:rFonts w:asciiTheme="minorHAnsi" w:hAnsiTheme="minorHAnsi" w:cstheme="minorBidi"/>
                <w:sz w:val="22"/>
                <w:szCs w:val="22"/>
              </w:rPr>
              <w:t xml:space="preserve">, </w:t>
            </w:r>
            <w:r>
              <w:rPr>
                <w:rFonts w:asciiTheme="minorHAnsi" w:hAnsiTheme="minorHAnsi" w:cstheme="minorBidi"/>
                <w:sz w:val="22"/>
                <w:szCs w:val="22"/>
              </w:rPr>
              <w:t>a z</w:t>
            </w:r>
            <w:r w:rsidRPr="009E17A3">
              <w:rPr>
                <w:rFonts w:asciiTheme="minorHAnsi" w:hAnsiTheme="minorHAnsi" w:cstheme="minorBidi"/>
                <w:sz w:val="22"/>
                <w:szCs w:val="22"/>
              </w:rPr>
              <w:t>a kućanstvo s dvije odrasle osobe i dvoje djece mlađe od 14 godina 48</w:t>
            </w:r>
            <w:r>
              <w:rPr>
                <w:rFonts w:asciiTheme="minorHAnsi" w:hAnsiTheme="minorHAnsi" w:cstheme="minorBidi"/>
                <w:sz w:val="22"/>
                <w:szCs w:val="22"/>
              </w:rPr>
              <w:t>.</w:t>
            </w:r>
            <w:r w:rsidRPr="009E17A3">
              <w:rPr>
                <w:rFonts w:asciiTheme="minorHAnsi" w:hAnsiTheme="minorHAnsi" w:cstheme="minorBidi"/>
                <w:sz w:val="22"/>
                <w:szCs w:val="22"/>
              </w:rPr>
              <w:t>124 k</w:t>
            </w:r>
            <w:r>
              <w:rPr>
                <w:rFonts w:asciiTheme="minorHAnsi" w:hAnsiTheme="minorHAnsi" w:cstheme="minorBidi"/>
                <w:sz w:val="22"/>
                <w:szCs w:val="22"/>
              </w:rPr>
              <w:t>n godišnje</w:t>
            </w:r>
            <w:r w:rsidRPr="009E17A3">
              <w:rPr>
                <w:rFonts w:asciiTheme="minorHAnsi" w:hAnsiTheme="minorHAnsi" w:cstheme="minorBidi"/>
                <w:sz w:val="22"/>
                <w:szCs w:val="22"/>
              </w:rPr>
              <w:t>.</w:t>
            </w:r>
          </w:p>
          <w:p w:rsidR="00FC00A4" w:rsidRPr="009E17A3" w:rsidRDefault="00FC00A4" w:rsidP="009849A1">
            <w:pPr>
              <w:spacing w:before="120" w:after="120"/>
              <w:jc w:val="both"/>
              <w:rPr>
                <w:rFonts w:asciiTheme="minorHAnsi" w:hAnsiTheme="minorHAnsi" w:cstheme="minorBidi"/>
                <w:sz w:val="22"/>
                <w:szCs w:val="22"/>
              </w:rPr>
            </w:pPr>
          </w:p>
          <w:p w:rsidR="009849A1" w:rsidRDefault="009849A1" w:rsidP="009E17A3">
            <w:pPr>
              <w:jc w:val="both"/>
              <w:rPr>
                <w:sz w:val="24"/>
                <w:szCs w:val="24"/>
              </w:rPr>
            </w:pPr>
          </w:p>
        </w:tc>
        <w:tc>
          <w:tcPr>
            <w:tcW w:w="5778" w:type="dxa"/>
          </w:tcPr>
          <w:p w:rsidR="009849A1" w:rsidRPr="00C571C3" w:rsidRDefault="009849A1" w:rsidP="009849A1">
            <w:pPr>
              <w:spacing w:before="120" w:after="120"/>
              <w:jc w:val="both"/>
              <w:rPr>
                <w:rFonts w:asciiTheme="minorHAnsi" w:hAnsiTheme="minorHAnsi" w:cstheme="minorBidi"/>
                <w:color w:val="C00000"/>
                <w:sz w:val="22"/>
                <w:szCs w:val="22"/>
              </w:rPr>
            </w:pPr>
            <w:r w:rsidRPr="00C571C3">
              <w:rPr>
                <w:rFonts w:asciiTheme="minorHAnsi" w:hAnsiTheme="minorHAnsi" w:cstheme="minorBidi"/>
                <w:color w:val="C00000"/>
                <w:sz w:val="22"/>
                <w:szCs w:val="22"/>
              </w:rPr>
              <w:t>Stavke materijalne deprivacije su:</w:t>
            </w:r>
          </w:p>
          <w:p w:rsidR="009849A1" w:rsidRDefault="009849A1" w:rsidP="009849A1">
            <w:pPr>
              <w:spacing w:before="120" w:after="120"/>
              <w:jc w:val="both"/>
            </w:pPr>
            <w:r>
              <w:rPr>
                <w:rFonts w:asciiTheme="minorHAnsi" w:eastAsiaTheme="minorHAnsi" w:hAnsiTheme="minorHAnsi" w:cstheme="minorBidi"/>
                <w:sz w:val="22"/>
                <w:szCs w:val="22"/>
                <w:lang w:eastAsia="en-US"/>
              </w:rPr>
              <w:object w:dxaOrig="5325" w:dyaOrig="2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25pt;height:128.25pt" o:ole="">
                  <v:imagedata r:id="rId23" o:title=""/>
                </v:shape>
                <o:OLEObject Type="Embed" ProgID="PBrush" ShapeID="_x0000_i1025" DrawAspect="Content" ObjectID="_1505681353" r:id="rId24"/>
              </w:object>
            </w:r>
          </w:p>
          <w:p w:rsidR="009849A1" w:rsidRDefault="009849A1" w:rsidP="009849A1">
            <w:pPr>
              <w:spacing w:before="120" w:after="120"/>
              <w:jc w:val="both"/>
              <w:rPr>
                <w:sz w:val="24"/>
                <w:szCs w:val="24"/>
              </w:rPr>
            </w:pPr>
            <w:r>
              <w:rPr>
                <w:rFonts w:asciiTheme="minorHAnsi" w:eastAsiaTheme="minorHAnsi" w:hAnsiTheme="minorHAnsi" w:cstheme="minorBidi"/>
                <w:sz w:val="22"/>
                <w:szCs w:val="22"/>
                <w:lang w:eastAsia="en-US"/>
              </w:rPr>
              <w:object w:dxaOrig="5505" w:dyaOrig="6540">
                <v:shape id="_x0000_i1026" type="#_x0000_t75" style="width:275.25pt;height:327pt" o:ole="">
                  <v:imagedata r:id="rId25" o:title=""/>
                </v:shape>
                <o:OLEObject Type="Embed" ProgID="PBrush" ShapeID="_x0000_i1026" DrawAspect="Content" ObjectID="_1505681354" r:id="rId26"/>
              </w:object>
            </w:r>
          </w:p>
        </w:tc>
      </w:tr>
      <w:tr w:rsidR="009849A1" w:rsidTr="009849A1">
        <w:tc>
          <w:tcPr>
            <w:tcW w:w="9322" w:type="dxa"/>
            <w:gridSpan w:val="3"/>
          </w:tcPr>
          <w:p w:rsidR="009E17A3" w:rsidRDefault="009E17A3" w:rsidP="009E17A3">
            <w:pPr>
              <w:jc w:val="both"/>
              <w:rPr>
                <w:rFonts w:asciiTheme="minorHAnsi" w:hAnsiTheme="minorHAnsi" w:cstheme="minorBidi"/>
                <w:sz w:val="22"/>
                <w:szCs w:val="22"/>
              </w:rPr>
            </w:pPr>
          </w:p>
          <w:p w:rsidR="009E17A3" w:rsidRPr="00D6669C" w:rsidRDefault="00D6669C" w:rsidP="009E17A3">
            <w:pPr>
              <w:jc w:val="both"/>
              <w:rPr>
                <w:rFonts w:asciiTheme="minorHAnsi" w:hAnsiTheme="minorHAnsi" w:cstheme="minorBidi"/>
                <w:i/>
                <w:sz w:val="21"/>
                <w:szCs w:val="21"/>
              </w:rPr>
            </w:pPr>
            <w:r>
              <w:rPr>
                <w:rFonts w:asciiTheme="minorHAnsi" w:hAnsiTheme="minorHAnsi" w:cstheme="minorBidi"/>
                <w:sz w:val="21"/>
                <w:szCs w:val="21"/>
              </w:rPr>
              <w:t>„</w:t>
            </w:r>
            <w:r w:rsidR="009E17A3" w:rsidRPr="00D6669C">
              <w:rPr>
                <w:rFonts w:asciiTheme="minorHAnsi" w:hAnsiTheme="minorHAnsi" w:cstheme="minorBidi"/>
                <w:i/>
                <w:sz w:val="21"/>
                <w:szCs w:val="21"/>
              </w:rPr>
              <w:t>Usporedba osnovne stope rizika od siromaštva i stope rizika od siromaštva prije socijalnih transfera pokazuje da izuzimanje socijalnih transfera iz dohotka utječe na povećanje postotka osoba koje su u riziku od siromaštva s osnovnih 19,5% na stopu od 29,7%. Ako se iz dohotka izuzmu i socijalni transferi i mirovine, tada stopa rizika od siromaštva iznosi 44,6%.</w:t>
            </w:r>
            <w:r w:rsidRPr="00D6669C">
              <w:rPr>
                <w:rFonts w:asciiTheme="minorHAnsi" w:hAnsiTheme="minorHAnsi" w:cstheme="minorBidi"/>
                <w:i/>
                <w:sz w:val="21"/>
                <w:szCs w:val="21"/>
              </w:rPr>
              <w:t xml:space="preserve"> </w:t>
            </w:r>
          </w:p>
          <w:p w:rsidR="009E17A3" w:rsidRPr="00D6669C" w:rsidRDefault="009E17A3" w:rsidP="009E17A3">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lastRenderedPageBreak/>
              <w:t>Stopa rizika od siromaštva prema dobi i spolu u 2013. najviša je u osoba u dobi 65 i više godina te iznosi 23,4%. U toj je dobnoj skupini razlika prema spolu najveća te stopa rizika od siromaštva u žena iznosi 26,6%, a u muškaraca 18,6%. Najniža stopa rizika od siromaštva bilježi se za osobe u dobi od 25 do 54 godine i iznosi 16,9%. U muškaraca te dobi iznosi 17,3%, a u žena 16,4%</w:t>
            </w:r>
            <w:r w:rsidR="00D6669C" w:rsidRPr="00D6669C">
              <w:rPr>
                <w:rFonts w:asciiTheme="minorHAnsi" w:hAnsiTheme="minorHAnsi" w:cstheme="minorBidi"/>
                <w:i/>
                <w:sz w:val="21"/>
                <w:szCs w:val="21"/>
              </w:rPr>
              <w:t xml:space="preserve"> </w:t>
            </w:r>
          </w:p>
          <w:p w:rsidR="009E17A3" w:rsidRPr="00D6669C" w:rsidRDefault="009E17A3" w:rsidP="009E17A3">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t>U 2013. stopa rizika od siromaštva prema najčešćem statusu u aktivnosti najviša je za nezaposlene osobe i iznosi 43,2%. Za nezaposlene muškarce iznosi 47,0%, a za nezaposlene žene 39,2%. Stopa rizika od siromaštva prema najčešćem statusu u aktivnosti najmanja je za zaposlenike, 4,8%. Za žene iznosi 3,7%, a za muškarce 5,9%.</w:t>
            </w:r>
            <w:r w:rsidR="00D6669C" w:rsidRPr="00D6669C">
              <w:rPr>
                <w:rFonts w:asciiTheme="minorHAnsi" w:hAnsiTheme="minorHAnsi" w:cstheme="minorBidi"/>
                <w:i/>
                <w:sz w:val="21"/>
                <w:szCs w:val="21"/>
              </w:rPr>
              <w:t xml:space="preserve"> …</w:t>
            </w:r>
          </w:p>
          <w:p w:rsidR="009E17A3" w:rsidRPr="00D6669C" w:rsidRDefault="00D6669C" w:rsidP="009E17A3">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t xml:space="preserve">… </w:t>
            </w:r>
            <w:r w:rsidR="009E17A3" w:rsidRPr="00D6669C">
              <w:rPr>
                <w:rFonts w:asciiTheme="minorHAnsi" w:hAnsiTheme="minorHAnsi" w:cstheme="minorBidi"/>
                <w:i/>
                <w:sz w:val="21"/>
                <w:szCs w:val="21"/>
              </w:rPr>
              <w:t>U kućanstvima bez uzdržavane djece najviše stope rizika od siromaštva u 2013. zabilježene su u jednočlanim kućanstvima, i to u onima koje čine žene, 34,7%, te u onima koje čine osobe stare 65 i više godina, za koje</w:t>
            </w:r>
            <w:r w:rsidR="00BA1B99" w:rsidRPr="00D6669C">
              <w:rPr>
                <w:rFonts w:asciiTheme="minorHAnsi" w:hAnsiTheme="minorHAnsi" w:cstheme="minorBidi"/>
                <w:i/>
                <w:sz w:val="21"/>
                <w:szCs w:val="21"/>
              </w:rPr>
              <w:t xml:space="preserve"> </w:t>
            </w:r>
            <w:r w:rsidR="009E17A3" w:rsidRPr="00D6669C">
              <w:rPr>
                <w:rFonts w:asciiTheme="minorHAnsi" w:hAnsiTheme="minorHAnsi" w:cstheme="minorBidi"/>
                <w:i/>
                <w:sz w:val="21"/>
                <w:szCs w:val="21"/>
              </w:rPr>
              <w:t>stopa rizika od siromaštva iznosi 32,8%</w:t>
            </w:r>
            <w:r w:rsidR="00BA1B99" w:rsidRPr="00D6669C">
              <w:rPr>
                <w:rFonts w:asciiTheme="minorHAnsi" w:hAnsiTheme="minorHAnsi" w:cstheme="minorBidi"/>
                <w:i/>
                <w:sz w:val="21"/>
                <w:szCs w:val="21"/>
              </w:rPr>
              <w:t>.</w:t>
            </w:r>
            <w:r w:rsidRPr="00D6669C">
              <w:rPr>
                <w:rFonts w:asciiTheme="minorHAnsi" w:hAnsiTheme="minorHAnsi" w:cstheme="minorBidi"/>
                <w:i/>
                <w:sz w:val="21"/>
                <w:szCs w:val="21"/>
              </w:rPr>
              <w:t xml:space="preserve"> …</w:t>
            </w:r>
          </w:p>
          <w:p w:rsidR="009E17A3" w:rsidRPr="00D6669C" w:rsidRDefault="009E17A3" w:rsidP="009E17A3">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t>U kategoriji kućanstava s uzdržavanom djecom najviše stope rizika od siromaštva zabilježene su u kućanstvima koja čine jedan roditelj s uzdržavanom djecom, za koje stopa iznosi 31,7%, i u kućanstvima s dvije odrasle osobe s troje ili više djece, za koje stopa rizika od siromaštva iznosi 30,1%.</w:t>
            </w:r>
            <w:r w:rsidR="00D6669C" w:rsidRPr="00D6669C">
              <w:rPr>
                <w:rFonts w:asciiTheme="minorHAnsi" w:hAnsiTheme="minorHAnsi" w:cstheme="minorBidi"/>
                <w:i/>
                <w:sz w:val="21"/>
                <w:szCs w:val="21"/>
              </w:rPr>
              <w:t xml:space="preserve"> …</w:t>
            </w:r>
          </w:p>
          <w:p w:rsidR="009849A1" w:rsidRPr="00D6669C" w:rsidRDefault="00D6669C" w:rsidP="00007E98">
            <w:pPr>
              <w:spacing w:before="120" w:after="120"/>
              <w:jc w:val="both"/>
              <w:rPr>
                <w:rFonts w:asciiTheme="minorHAnsi" w:hAnsiTheme="minorHAnsi" w:cstheme="minorBidi"/>
                <w:i/>
                <w:sz w:val="21"/>
                <w:szCs w:val="21"/>
              </w:rPr>
            </w:pPr>
            <w:r w:rsidRPr="00D6669C">
              <w:rPr>
                <w:rFonts w:asciiTheme="minorHAnsi" w:hAnsiTheme="minorHAnsi" w:cstheme="minorBidi"/>
                <w:i/>
                <w:sz w:val="21"/>
                <w:szCs w:val="21"/>
              </w:rPr>
              <w:t xml:space="preserve">… </w:t>
            </w:r>
            <w:r w:rsidR="009E17A3" w:rsidRPr="00D6669C">
              <w:rPr>
                <w:rFonts w:asciiTheme="minorHAnsi" w:hAnsiTheme="minorHAnsi" w:cstheme="minorBidi"/>
                <w:i/>
                <w:sz w:val="21"/>
                <w:szCs w:val="21"/>
              </w:rPr>
              <w:t>U 2013. stopa rizika od siromaštva prema intenzitetu rada kućanstva najviša je kod kućanstava s vrlo niskim intenzitetom rada te za kućanstva s uzdržavanom djecom iznosi 68,0%, a za kućanstva bez uzdržavane djece iznosi 57,3%. Vrlo niski intenzitet rada odnosi se na situaciju u kojoj osobe žive u kućanstvima u kojima nitko ne radi ili radi vrlo malo, odnosno radno sposobni članovi rade do 20% od ukupnog broja mjeseci u kojima su mogli raditi u referentnom razdoblju.</w:t>
            </w:r>
            <w:r w:rsidRPr="00D6669C">
              <w:rPr>
                <w:rFonts w:asciiTheme="minorHAnsi" w:hAnsiTheme="minorHAnsi" w:cstheme="minorBidi"/>
                <w:i/>
                <w:sz w:val="21"/>
                <w:szCs w:val="21"/>
              </w:rPr>
              <w:t xml:space="preserve"> …</w:t>
            </w:r>
          </w:p>
          <w:p w:rsidR="00007E98" w:rsidRDefault="00D6669C" w:rsidP="00007E98">
            <w:pPr>
              <w:spacing w:before="120" w:after="120"/>
              <w:jc w:val="both"/>
              <w:rPr>
                <w:rFonts w:ascii="Arial" w:hAnsi="Arial" w:cs="Arial"/>
                <w:b/>
                <w:bCs/>
                <w:color w:val="000000"/>
                <w:sz w:val="16"/>
                <w:szCs w:val="16"/>
                <w:lang w:val="en-US"/>
              </w:rPr>
            </w:pPr>
            <w:r w:rsidRPr="00D6669C">
              <w:rPr>
                <w:rFonts w:asciiTheme="minorHAnsi" w:hAnsiTheme="minorHAnsi" w:cstheme="minorBidi"/>
                <w:i/>
                <w:sz w:val="21"/>
                <w:szCs w:val="21"/>
              </w:rPr>
              <w:t xml:space="preserve">… </w:t>
            </w:r>
            <w:r w:rsidR="00007E98" w:rsidRPr="00D6669C">
              <w:rPr>
                <w:rFonts w:asciiTheme="minorHAnsi" w:hAnsiTheme="minorHAnsi" w:cstheme="minorBidi"/>
                <w:i/>
                <w:sz w:val="21"/>
                <w:szCs w:val="21"/>
              </w:rPr>
              <w:t>Prema statusu vlasnika stana stopa rizika od siromaštva veća je za stanare, 27,9 %, nego za vlasnike stana, za koje iznosi 19,2%</w:t>
            </w:r>
            <w:r w:rsidR="00007E98" w:rsidRPr="00007E98">
              <w:rPr>
                <w:rFonts w:asciiTheme="minorHAnsi" w:hAnsiTheme="minorHAnsi" w:cstheme="minorBidi"/>
                <w:sz w:val="21"/>
                <w:szCs w:val="21"/>
              </w:rPr>
              <w:t>.</w:t>
            </w:r>
            <w:r>
              <w:rPr>
                <w:rFonts w:asciiTheme="minorHAnsi" w:hAnsiTheme="minorHAnsi" w:cstheme="minorBidi"/>
                <w:sz w:val="21"/>
                <w:szCs w:val="21"/>
              </w:rPr>
              <w:t>“*</w:t>
            </w:r>
          </w:p>
        </w:tc>
      </w:tr>
      <w:tr w:rsidR="00FE2CFD" w:rsidTr="009849A1">
        <w:tc>
          <w:tcPr>
            <w:tcW w:w="9322" w:type="dxa"/>
            <w:gridSpan w:val="3"/>
          </w:tcPr>
          <w:p w:rsidR="00FE2CFD" w:rsidRPr="00BA1B99" w:rsidRDefault="00FE2CFD" w:rsidP="00C571C3">
            <w:pPr>
              <w:spacing w:before="120" w:after="120"/>
              <w:jc w:val="both"/>
              <w:rPr>
                <w:rFonts w:asciiTheme="minorHAnsi" w:hAnsiTheme="minorHAnsi" w:cstheme="minorBidi"/>
                <w:sz w:val="24"/>
                <w:szCs w:val="24"/>
              </w:rPr>
            </w:pPr>
            <w:r w:rsidRPr="00BA1B99">
              <w:rPr>
                <w:rFonts w:asciiTheme="minorHAnsi" w:hAnsiTheme="minorHAnsi" w:cstheme="minorBidi"/>
                <w:color w:val="C00000"/>
                <w:sz w:val="24"/>
                <w:szCs w:val="24"/>
              </w:rPr>
              <w:lastRenderedPageBreak/>
              <w:t xml:space="preserve">Kvintilni omjer </w:t>
            </w:r>
            <w:r w:rsidRPr="00BA1B99">
              <w:rPr>
                <w:rFonts w:asciiTheme="minorHAnsi" w:hAnsiTheme="minorHAnsi" w:cstheme="minorBidi"/>
                <w:sz w:val="24"/>
                <w:szCs w:val="24"/>
              </w:rPr>
              <w:t>je pokazatelj doho</w:t>
            </w:r>
            <w:r w:rsidR="00D6669C">
              <w:rPr>
                <w:rFonts w:asciiTheme="minorHAnsi" w:hAnsiTheme="minorHAnsi" w:cstheme="minorBidi"/>
                <w:sz w:val="24"/>
                <w:szCs w:val="24"/>
              </w:rPr>
              <w:t>dovne nejednakosti. Mjeri omjer</w:t>
            </w:r>
            <w:r w:rsidRPr="00BA1B99">
              <w:rPr>
                <w:rFonts w:asciiTheme="minorHAnsi" w:hAnsiTheme="minorHAnsi" w:cstheme="minorBidi"/>
                <w:sz w:val="24"/>
                <w:szCs w:val="24"/>
              </w:rPr>
              <w:t xml:space="preserve"> ukupnoga ekvivalentnog dohotka 20% populacije s najvećim dohotkom i ukupnoga ekvivalentnog dohotka 20% populacije s najmanjim dohotkom. U 2013.</w:t>
            </w:r>
            <w:r w:rsidR="00D6669C">
              <w:rPr>
                <w:rFonts w:asciiTheme="minorHAnsi" w:hAnsiTheme="minorHAnsi" w:cstheme="minorBidi"/>
                <w:sz w:val="24"/>
                <w:szCs w:val="24"/>
              </w:rPr>
              <w:t xml:space="preserve"> kvintilni omjer </w:t>
            </w:r>
            <w:r w:rsidR="00F9611C">
              <w:rPr>
                <w:rFonts w:asciiTheme="minorHAnsi" w:hAnsiTheme="minorHAnsi" w:cstheme="minorBidi"/>
                <w:sz w:val="24"/>
                <w:szCs w:val="24"/>
              </w:rPr>
              <w:t xml:space="preserve">u RH </w:t>
            </w:r>
            <w:r w:rsidR="00D6669C">
              <w:rPr>
                <w:rFonts w:asciiTheme="minorHAnsi" w:hAnsiTheme="minorHAnsi" w:cstheme="minorBidi"/>
                <w:sz w:val="24"/>
                <w:szCs w:val="24"/>
              </w:rPr>
              <w:t xml:space="preserve">je </w:t>
            </w:r>
            <w:r w:rsidRPr="00BA1B99">
              <w:rPr>
                <w:rFonts w:asciiTheme="minorHAnsi" w:hAnsiTheme="minorHAnsi" w:cstheme="minorBidi"/>
                <w:sz w:val="24"/>
                <w:szCs w:val="24"/>
              </w:rPr>
              <w:t>iznosio 5,3.</w:t>
            </w:r>
          </w:p>
          <w:p w:rsidR="00FE2CFD" w:rsidRDefault="00FE2CFD" w:rsidP="00D6669C">
            <w:pPr>
              <w:spacing w:before="120" w:after="120"/>
              <w:jc w:val="both"/>
            </w:pPr>
            <w:r w:rsidRPr="00BA1B99">
              <w:rPr>
                <w:rFonts w:asciiTheme="minorHAnsi" w:hAnsiTheme="minorHAnsi" w:cstheme="minorBidi"/>
                <w:color w:val="C00000"/>
                <w:sz w:val="24"/>
                <w:szCs w:val="24"/>
              </w:rPr>
              <w:t>Ginijev koeficijent </w:t>
            </w:r>
            <w:r w:rsidR="00D6669C" w:rsidRPr="00D6669C">
              <w:rPr>
                <w:rFonts w:asciiTheme="minorHAnsi" w:hAnsiTheme="minorHAnsi" w:cstheme="minorBidi"/>
                <w:sz w:val="24"/>
                <w:szCs w:val="24"/>
              </w:rPr>
              <w:t>predstavlja</w:t>
            </w:r>
            <w:r w:rsidR="00D6669C">
              <w:rPr>
                <w:rFonts w:asciiTheme="minorHAnsi" w:hAnsiTheme="minorHAnsi" w:cstheme="minorBidi"/>
                <w:color w:val="C00000"/>
                <w:sz w:val="24"/>
                <w:szCs w:val="24"/>
              </w:rPr>
              <w:t xml:space="preserve"> </w:t>
            </w:r>
            <w:r w:rsidR="00D6669C">
              <w:rPr>
                <w:rFonts w:asciiTheme="minorHAnsi" w:hAnsiTheme="minorHAnsi" w:cstheme="minorBidi"/>
                <w:sz w:val="24"/>
                <w:szCs w:val="24"/>
              </w:rPr>
              <w:t>mjeru</w:t>
            </w:r>
            <w:r w:rsidRPr="00BA1B99">
              <w:rPr>
                <w:rFonts w:asciiTheme="minorHAnsi" w:hAnsiTheme="minorHAnsi" w:cstheme="minorBidi"/>
                <w:sz w:val="24"/>
                <w:szCs w:val="24"/>
              </w:rPr>
              <w:t xml:space="preserve"> nejednakosti raspodjele dohotka</w:t>
            </w:r>
            <w:r w:rsidR="006455BF">
              <w:rPr>
                <w:rFonts w:asciiTheme="minorHAnsi" w:hAnsiTheme="minorHAnsi" w:cstheme="minorBidi"/>
                <w:sz w:val="24"/>
                <w:szCs w:val="24"/>
              </w:rPr>
              <w:t>.</w:t>
            </w:r>
            <w:r w:rsidRPr="00BA1B99">
              <w:rPr>
                <w:rFonts w:asciiTheme="minorHAnsi" w:hAnsiTheme="minorHAnsi" w:cstheme="minorBidi"/>
                <w:sz w:val="24"/>
                <w:szCs w:val="24"/>
              </w:rPr>
              <w:t xml:space="preserve"> Kad bi svaka osoba primala jednaki dohodak, Ginijev koeficijent </w:t>
            </w:r>
            <w:r w:rsidR="00D6669C">
              <w:rPr>
                <w:rFonts w:asciiTheme="minorHAnsi" w:hAnsiTheme="minorHAnsi" w:cstheme="minorBidi"/>
                <w:sz w:val="24"/>
                <w:szCs w:val="24"/>
              </w:rPr>
              <w:t xml:space="preserve">bi </w:t>
            </w:r>
            <w:r w:rsidRPr="00BA1B99">
              <w:rPr>
                <w:rFonts w:asciiTheme="minorHAnsi" w:hAnsiTheme="minorHAnsi" w:cstheme="minorBidi"/>
                <w:sz w:val="24"/>
                <w:szCs w:val="24"/>
              </w:rPr>
              <w:t>iznosio 0%.</w:t>
            </w:r>
            <w:r w:rsidR="00D6669C">
              <w:rPr>
                <w:rFonts w:asciiTheme="minorHAnsi" w:hAnsiTheme="minorHAnsi" w:cstheme="minorBidi"/>
                <w:sz w:val="24"/>
                <w:szCs w:val="24"/>
              </w:rPr>
              <w:t xml:space="preserve">, dok rast vrijednosti bliže 100% </w:t>
            </w:r>
            <w:r w:rsidRPr="00BA1B99">
              <w:rPr>
                <w:rFonts w:asciiTheme="minorHAnsi" w:hAnsiTheme="minorHAnsi" w:cstheme="minorBidi"/>
                <w:sz w:val="24"/>
                <w:szCs w:val="24"/>
              </w:rPr>
              <w:t xml:space="preserve"> </w:t>
            </w:r>
            <w:r w:rsidR="00D6669C">
              <w:rPr>
                <w:rFonts w:asciiTheme="minorHAnsi" w:hAnsiTheme="minorHAnsi" w:cstheme="minorBidi"/>
                <w:sz w:val="24"/>
                <w:szCs w:val="24"/>
              </w:rPr>
              <w:t xml:space="preserve">ukazuje da je </w:t>
            </w:r>
            <w:r w:rsidRPr="00BA1B99">
              <w:rPr>
                <w:rFonts w:asciiTheme="minorHAnsi" w:hAnsiTheme="minorHAnsi" w:cstheme="minorBidi"/>
                <w:sz w:val="24"/>
                <w:szCs w:val="24"/>
              </w:rPr>
              <w:t>dohodovna nejednakost veća.</w:t>
            </w:r>
            <w:r w:rsidR="00D6669C">
              <w:rPr>
                <w:rFonts w:asciiTheme="minorHAnsi" w:hAnsiTheme="minorHAnsi" w:cstheme="minorBidi"/>
                <w:sz w:val="24"/>
                <w:szCs w:val="24"/>
              </w:rPr>
              <w:t xml:space="preserve"> U</w:t>
            </w:r>
            <w:r w:rsidR="00D6669C" w:rsidRPr="00BA1B99">
              <w:rPr>
                <w:rFonts w:asciiTheme="minorHAnsi" w:hAnsiTheme="minorHAnsi" w:cstheme="minorBidi"/>
                <w:sz w:val="24"/>
                <w:szCs w:val="24"/>
              </w:rPr>
              <w:t xml:space="preserve"> 2013. </w:t>
            </w:r>
            <w:r w:rsidR="00D6669C">
              <w:rPr>
                <w:rFonts w:asciiTheme="minorHAnsi" w:hAnsiTheme="minorHAnsi" w:cstheme="minorBidi"/>
                <w:sz w:val="24"/>
                <w:szCs w:val="24"/>
              </w:rPr>
              <w:t xml:space="preserve">Ginijev koeficijent </w:t>
            </w:r>
            <w:r w:rsidR="00F9611C">
              <w:rPr>
                <w:rFonts w:asciiTheme="minorHAnsi" w:hAnsiTheme="minorHAnsi" w:cstheme="minorBidi"/>
                <w:sz w:val="24"/>
                <w:szCs w:val="24"/>
              </w:rPr>
              <w:t xml:space="preserve">u RH </w:t>
            </w:r>
            <w:r w:rsidR="00D6669C">
              <w:rPr>
                <w:rFonts w:asciiTheme="minorHAnsi" w:hAnsiTheme="minorHAnsi" w:cstheme="minorBidi"/>
                <w:sz w:val="24"/>
                <w:szCs w:val="24"/>
              </w:rPr>
              <w:t>je i</w:t>
            </w:r>
            <w:r w:rsidR="00D6669C" w:rsidRPr="00BA1B99">
              <w:rPr>
                <w:rFonts w:asciiTheme="minorHAnsi" w:hAnsiTheme="minorHAnsi" w:cstheme="minorBidi"/>
                <w:sz w:val="24"/>
                <w:szCs w:val="24"/>
              </w:rPr>
              <w:t>znosio 30,9%.</w:t>
            </w:r>
          </w:p>
        </w:tc>
      </w:tr>
      <w:tr w:rsidR="00C571C3" w:rsidTr="009849A1">
        <w:tc>
          <w:tcPr>
            <w:tcW w:w="9322" w:type="dxa"/>
            <w:gridSpan w:val="3"/>
          </w:tcPr>
          <w:p w:rsidR="00C571C3" w:rsidRPr="00C571C3" w:rsidRDefault="00C571C3" w:rsidP="00AD735A">
            <w:pPr>
              <w:spacing w:before="120" w:after="120"/>
              <w:jc w:val="both"/>
              <w:rPr>
                <w:color w:val="C00000"/>
              </w:rPr>
            </w:pPr>
            <w:r w:rsidRPr="00C571C3">
              <w:rPr>
                <w:rFonts w:asciiTheme="minorHAnsi" w:eastAsiaTheme="minorHAnsi" w:hAnsiTheme="minorHAnsi" w:cstheme="minorBidi"/>
                <w:lang w:eastAsia="en-US"/>
              </w:rPr>
              <w:t xml:space="preserve">* </w:t>
            </w:r>
            <w:r w:rsidR="00AD735A" w:rsidRPr="003239CD">
              <w:t xml:space="preserve">Izvor: </w:t>
            </w:r>
            <w:r w:rsidR="00AD735A">
              <w:t>t</w:t>
            </w:r>
            <w:r w:rsidR="00D6669C">
              <w:rPr>
                <w:rFonts w:asciiTheme="minorHAnsi" w:eastAsiaTheme="minorHAnsi" w:hAnsiTheme="minorHAnsi" w:cstheme="minorBidi"/>
                <w:lang w:eastAsia="en-US"/>
              </w:rPr>
              <w:t xml:space="preserve">ekst pod navodnicima preuzet je </w:t>
            </w:r>
            <w:r w:rsidRPr="00C571C3">
              <w:rPr>
                <w:rFonts w:asciiTheme="minorHAnsi" w:eastAsiaTheme="minorHAnsi" w:hAnsiTheme="minorHAnsi" w:cstheme="minorBidi"/>
                <w:lang w:eastAsia="en-US"/>
              </w:rPr>
              <w:t>iz: DZS</w:t>
            </w:r>
            <w:r w:rsidR="00D33C8D">
              <w:rPr>
                <w:rFonts w:asciiTheme="minorHAnsi" w:eastAsiaTheme="minorHAnsi" w:hAnsiTheme="minorHAnsi" w:cstheme="minorBidi"/>
                <w:lang w:eastAsia="en-US"/>
              </w:rPr>
              <w:t xml:space="preserve"> (2014):</w:t>
            </w:r>
            <w:r w:rsidRPr="00C571C3">
              <w:rPr>
                <w:rFonts w:asciiTheme="minorHAnsi" w:eastAsiaTheme="minorHAnsi" w:hAnsiTheme="minorHAnsi" w:cstheme="minorBidi"/>
                <w:lang w:eastAsia="en-US"/>
              </w:rPr>
              <w:t xml:space="preserve"> </w:t>
            </w:r>
            <w:r w:rsidR="005B2730">
              <w:rPr>
                <w:rFonts w:asciiTheme="minorHAnsi" w:eastAsiaTheme="minorHAnsi" w:hAnsiTheme="minorHAnsi" w:cstheme="minorBidi"/>
                <w:lang w:eastAsia="en-US"/>
              </w:rPr>
              <w:t>„</w:t>
            </w:r>
            <w:r w:rsidRPr="00C571C3">
              <w:rPr>
                <w:rFonts w:asciiTheme="minorHAnsi" w:eastAsiaTheme="minorHAnsi" w:hAnsiTheme="minorHAnsi" w:cstheme="minorBidi"/>
                <w:lang w:eastAsia="en-US"/>
              </w:rPr>
              <w:t>Pokazatelji siromaštva u 2013. – končani podaci</w:t>
            </w:r>
            <w:r w:rsidR="005B2730">
              <w:rPr>
                <w:rFonts w:asciiTheme="minorHAnsi" w:eastAsiaTheme="minorHAnsi" w:hAnsiTheme="minorHAnsi" w:cstheme="minorBidi"/>
                <w:lang w:eastAsia="en-US"/>
              </w:rPr>
              <w:t>“</w:t>
            </w:r>
            <w:r w:rsidRPr="00C571C3">
              <w:rPr>
                <w:rFonts w:asciiTheme="minorHAnsi" w:eastAsiaTheme="minorHAnsi" w:hAnsiTheme="minorHAnsi" w:cstheme="minorBidi"/>
                <w:lang w:eastAsia="en-US"/>
              </w:rPr>
              <w:t>, dostupno na:</w:t>
            </w:r>
            <w:r w:rsidR="005B2730">
              <w:rPr>
                <w:rFonts w:asciiTheme="minorHAnsi" w:eastAsiaTheme="minorHAnsi" w:hAnsiTheme="minorHAnsi" w:cstheme="minorBidi"/>
                <w:lang w:eastAsia="en-US"/>
              </w:rPr>
              <w:t xml:space="preserve"> </w:t>
            </w:r>
            <w:r w:rsidRPr="00C571C3">
              <w:t>http://www.dzs.hr/Hrv_Eng/publication/2014/14-01-02_01_2014.htm</w:t>
            </w:r>
          </w:p>
        </w:tc>
      </w:tr>
    </w:tbl>
    <w:p w:rsidR="0097172A" w:rsidRDefault="00C571C3" w:rsidP="006455BF">
      <w:pPr>
        <w:spacing w:before="240" w:after="120"/>
        <w:jc w:val="both"/>
        <w:rPr>
          <w:sz w:val="24"/>
          <w:szCs w:val="24"/>
        </w:rPr>
      </w:pPr>
      <w:r>
        <w:rPr>
          <w:sz w:val="24"/>
          <w:szCs w:val="24"/>
        </w:rPr>
        <w:t xml:space="preserve">Dok prema podacima za 2013. stopa rizika od siromaštva </w:t>
      </w:r>
      <w:r w:rsidR="006455BF">
        <w:rPr>
          <w:sz w:val="24"/>
          <w:szCs w:val="24"/>
        </w:rPr>
        <w:t xml:space="preserve">u Hrvatskoj </w:t>
      </w:r>
      <w:r>
        <w:rPr>
          <w:sz w:val="24"/>
          <w:szCs w:val="24"/>
        </w:rPr>
        <w:t xml:space="preserve">iznosi 19,5%, u 2009. </w:t>
      </w:r>
      <w:r w:rsidR="00BA1B99">
        <w:rPr>
          <w:sz w:val="24"/>
          <w:szCs w:val="24"/>
        </w:rPr>
        <w:t>i</w:t>
      </w:r>
      <w:r>
        <w:rPr>
          <w:sz w:val="24"/>
          <w:szCs w:val="24"/>
        </w:rPr>
        <w:t>znosila je 18% a u 2008. 17,4%</w:t>
      </w:r>
      <w:r w:rsidR="00512236">
        <w:rPr>
          <w:sz w:val="24"/>
          <w:szCs w:val="24"/>
        </w:rPr>
        <w:t xml:space="preserve">. </w:t>
      </w:r>
      <w:r>
        <w:rPr>
          <w:sz w:val="24"/>
          <w:szCs w:val="24"/>
        </w:rPr>
        <w:t xml:space="preserve">U 2009. kvintilni omjer je iznosio 4,3 </w:t>
      </w:r>
      <w:r w:rsidR="00D6669C">
        <w:rPr>
          <w:sz w:val="24"/>
          <w:szCs w:val="24"/>
        </w:rPr>
        <w:t xml:space="preserve">(što znači da je ukupni ekvivalentni dohodak 20% populacije s najvećim dohotkom bio 4,3 puta veći od ukupnog ekvivalentnog dohotka 20% populacije s najmanjim dohotkom); a Ginijev koeficijent 27%. </w:t>
      </w:r>
      <w:r w:rsidR="005D17DC">
        <w:rPr>
          <w:sz w:val="24"/>
          <w:szCs w:val="24"/>
        </w:rPr>
        <w:t xml:space="preserve">Pri tome je </w:t>
      </w:r>
      <w:r w:rsidR="006455BF">
        <w:rPr>
          <w:sz w:val="24"/>
          <w:szCs w:val="24"/>
        </w:rPr>
        <w:t xml:space="preserve">komparacija podataka iz 2009. s onima za 2013. </w:t>
      </w:r>
      <w:r w:rsidR="005D17DC">
        <w:rPr>
          <w:sz w:val="24"/>
          <w:szCs w:val="24"/>
        </w:rPr>
        <w:t xml:space="preserve">bitno </w:t>
      </w:r>
      <w:r w:rsidR="006455BF">
        <w:rPr>
          <w:sz w:val="24"/>
          <w:szCs w:val="24"/>
        </w:rPr>
        <w:t>otežana jer je u međuvremenu promijenjena metodologija, odnosno usklađena s onom kod ostalih članica EU</w:t>
      </w:r>
      <w:r>
        <w:rPr>
          <w:sz w:val="24"/>
          <w:szCs w:val="24"/>
        </w:rPr>
        <w:t xml:space="preserve">. </w:t>
      </w:r>
      <w:r w:rsidR="006455BF">
        <w:rPr>
          <w:sz w:val="24"/>
          <w:szCs w:val="24"/>
        </w:rPr>
        <w:t xml:space="preserve">Međutim, daleko važniji podatak je da je nova metodologija razbila zablude o Hrvatskoj kao zemlji s ispodprosječnom nejednakošću te umjesto toga kategorizirala Hrvatsku </w:t>
      </w:r>
      <w:r w:rsidR="005D17DC">
        <w:rPr>
          <w:sz w:val="24"/>
          <w:szCs w:val="24"/>
        </w:rPr>
        <w:t xml:space="preserve">u krug članica EU s natprosječno </w:t>
      </w:r>
      <w:r w:rsidR="006455BF">
        <w:rPr>
          <w:sz w:val="24"/>
          <w:szCs w:val="24"/>
        </w:rPr>
        <w:t xml:space="preserve">većim </w:t>
      </w:r>
      <w:r w:rsidR="005D17DC">
        <w:rPr>
          <w:sz w:val="24"/>
          <w:szCs w:val="24"/>
        </w:rPr>
        <w:t xml:space="preserve">dohodovnim </w:t>
      </w:r>
      <w:r w:rsidR="006455BF">
        <w:rPr>
          <w:sz w:val="24"/>
          <w:szCs w:val="24"/>
        </w:rPr>
        <w:t>nejednakostima među građanima.</w:t>
      </w:r>
    </w:p>
    <w:p w:rsidR="006E6DA0" w:rsidRDefault="006455BF" w:rsidP="006455BF">
      <w:pPr>
        <w:spacing w:before="120"/>
        <w:jc w:val="both"/>
        <w:rPr>
          <w:sz w:val="24"/>
          <w:szCs w:val="24"/>
        </w:rPr>
      </w:pPr>
      <w:r>
        <w:rPr>
          <w:sz w:val="24"/>
          <w:szCs w:val="24"/>
        </w:rPr>
        <w:t>S</w:t>
      </w:r>
      <w:r w:rsidR="007262FF">
        <w:rPr>
          <w:sz w:val="24"/>
          <w:szCs w:val="24"/>
        </w:rPr>
        <w:t xml:space="preserve">topa rizika od siromaštva </w:t>
      </w:r>
      <w:r w:rsidR="009207BC">
        <w:rPr>
          <w:sz w:val="24"/>
          <w:szCs w:val="24"/>
        </w:rPr>
        <w:t xml:space="preserve">znatno </w:t>
      </w:r>
      <w:r w:rsidR="007262FF">
        <w:rPr>
          <w:sz w:val="24"/>
          <w:szCs w:val="24"/>
        </w:rPr>
        <w:t xml:space="preserve">veća je u Hrvatskoj nego u starim članicama poput </w:t>
      </w:r>
      <w:r w:rsidR="009207BC">
        <w:rPr>
          <w:sz w:val="24"/>
          <w:szCs w:val="24"/>
        </w:rPr>
        <w:t xml:space="preserve">Nizozemske, Finske, </w:t>
      </w:r>
      <w:r w:rsidR="007262FF">
        <w:rPr>
          <w:sz w:val="24"/>
          <w:szCs w:val="24"/>
        </w:rPr>
        <w:t xml:space="preserve">Njemačke i Austrije, ali i u odnosu na pojedine nove članice uključujući Češku (kao članica EU s najnižom stopom rizika od siromaštva), Slovačku i Sloveniju. Nalazi se </w:t>
      </w:r>
      <w:r w:rsidR="007262FF">
        <w:rPr>
          <w:sz w:val="24"/>
          <w:szCs w:val="24"/>
        </w:rPr>
        <w:lastRenderedPageBreak/>
        <w:t>na razini između Portugala i Španjolske, odnosno gotovo kao u Letoniji</w:t>
      </w:r>
      <w:r w:rsidR="00501A83">
        <w:rPr>
          <w:sz w:val="24"/>
          <w:szCs w:val="24"/>
        </w:rPr>
        <w:t xml:space="preserve"> te je značajno iznad prosjeka EU-28</w:t>
      </w:r>
      <w:r w:rsidR="007262FF">
        <w:rPr>
          <w:sz w:val="24"/>
          <w:szCs w:val="24"/>
        </w:rPr>
        <w:t xml:space="preserve">. </w:t>
      </w:r>
    </w:p>
    <w:p w:rsidR="007D71F9" w:rsidRPr="006077C0" w:rsidRDefault="007D71F9" w:rsidP="004638C5">
      <w:pPr>
        <w:spacing w:before="240"/>
        <w:jc w:val="both"/>
        <w:rPr>
          <w:b/>
          <w:sz w:val="24"/>
          <w:szCs w:val="24"/>
        </w:rPr>
      </w:pPr>
      <w:r w:rsidRPr="006077C0">
        <w:rPr>
          <w:b/>
          <w:sz w:val="24"/>
          <w:szCs w:val="24"/>
        </w:rPr>
        <w:t xml:space="preserve">Tablica </w:t>
      </w:r>
      <w:r w:rsidR="006077C0" w:rsidRPr="006077C0">
        <w:rPr>
          <w:b/>
          <w:sz w:val="24"/>
          <w:szCs w:val="24"/>
        </w:rPr>
        <w:t>7: Pokazatelji siromaštva u Europskoj uniji za 2013.</w:t>
      </w:r>
    </w:p>
    <w:p w:rsidR="007262FF" w:rsidRDefault="007262FF" w:rsidP="004638C5">
      <w:pPr>
        <w:spacing w:before="240"/>
        <w:jc w:val="both"/>
        <w:rPr>
          <w:sz w:val="24"/>
          <w:szCs w:val="24"/>
        </w:rPr>
      </w:pPr>
      <w:r>
        <w:rPr>
          <w:noProof/>
          <w:sz w:val="24"/>
          <w:szCs w:val="24"/>
          <w:lang w:eastAsia="hr-HR"/>
        </w:rPr>
        <w:drawing>
          <wp:inline distT="0" distB="0" distL="0" distR="0" wp14:anchorId="7961AC71" wp14:editId="3321651C">
            <wp:extent cx="5753100" cy="6105525"/>
            <wp:effectExtent l="0" t="0" r="0" b="952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6105525"/>
                    </a:xfrm>
                    <a:prstGeom prst="rect">
                      <a:avLst/>
                    </a:prstGeom>
                    <a:noFill/>
                    <a:ln>
                      <a:noFill/>
                    </a:ln>
                  </pic:spPr>
                </pic:pic>
              </a:graphicData>
            </a:graphic>
          </wp:inline>
        </w:drawing>
      </w:r>
    </w:p>
    <w:p w:rsidR="006077C0" w:rsidRPr="006077C0" w:rsidRDefault="006077C0" w:rsidP="004638C5">
      <w:pPr>
        <w:spacing w:before="240"/>
        <w:jc w:val="both"/>
        <w:rPr>
          <w:sz w:val="20"/>
          <w:szCs w:val="20"/>
        </w:rPr>
      </w:pPr>
      <w:r w:rsidRPr="006077C0">
        <w:rPr>
          <w:sz w:val="20"/>
          <w:szCs w:val="20"/>
        </w:rPr>
        <w:t xml:space="preserve">Izvor: </w:t>
      </w:r>
      <w:r w:rsidR="00AD735A">
        <w:rPr>
          <w:sz w:val="20"/>
          <w:szCs w:val="20"/>
        </w:rPr>
        <w:t xml:space="preserve">preuzeto iz: </w:t>
      </w:r>
      <w:r w:rsidRPr="006077C0">
        <w:rPr>
          <w:sz w:val="20"/>
          <w:szCs w:val="20"/>
        </w:rPr>
        <w:t>DZS</w:t>
      </w:r>
      <w:r w:rsidR="00D33C8D">
        <w:rPr>
          <w:sz w:val="20"/>
          <w:szCs w:val="20"/>
        </w:rPr>
        <w:t xml:space="preserve"> (2014): </w:t>
      </w:r>
      <w:r w:rsidRPr="006077C0">
        <w:rPr>
          <w:sz w:val="20"/>
          <w:szCs w:val="20"/>
        </w:rPr>
        <w:t>„Pokazatelji siromaštva u 2013. – končani podaci“, dostupno na: http://www.dzs.hr/Hrv_Eng/publication/2014/14-01-02_01_2014.htm</w:t>
      </w:r>
    </w:p>
    <w:p w:rsidR="005D17DC" w:rsidRDefault="006E6987" w:rsidP="006E6987">
      <w:pPr>
        <w:spacing w:before="240"/>
        <w:jc w:val="both"/>
        <w:rPr>
          <w:sz w:val="24"/>
          <w:szCs w:val="24"/>
        </w:rPr>
      </w:pPr>
      <w:r>
        <w:rPr>
          <w:sz w:val="24"/>
          <w:szCs w:val="24"/>
        </w:rPr>
        <w:t>Najveću stopu rizika od siromaštva u EU bilježe Grčka (pogođena kombinacijom ekonomske krize, krize prezadužene države i financijske krize), Rumunjska i Bugarska. Kvintilni omjer (nejednakost distribucije dohotka) najveći je u slučaju Grčke, Bugarske, Rumunjske, Letonije, Litv</w:t>
      </w:r>
      <w:r w:rsidR="005D17DC">
        <w:rPr>
          <w:sz w:val="24"/>
          <w:szCs w:val="24"/>
        </w:rPr>
        <w:t>e, Portugala i Španjolske, a zajedno s navedenim državama</w:t>
      </w:r>
      <w:r>
        <w:rPr>
          <w:sz w:val="24"/>
          <w:szCs w:val="24"/>
        </w:rPr>
        <w:t xml:space="preserve"> Hrvatsk</w:t>
      </w:r>
      <w:r w:rsidR="005D17DC">
        <w:rPr>
          <w:sz w:val="24"/>
          <w:szCs w:val="24"/>
        </w:rPr>
        <w:t>a čini trećinu članica EU s najvećim dohodovnim nejednakostima</w:t>
      </w:r>
      <w:r>
        <w:rPr>
          <w:sz w:val="24"/>
          <w:szCs w:val="24"/>
        </w:rPr>
        <w:t xml:space="preserve">. Ginijev koeficijent (nejednakosti raspodjele </w:t>
      </w:r>
      <w:r>
        <w:rPr>
          <w:sz w:val="24"/>
          <w:szCs w:val="24"/>
        </w:rPr>
        <w:lastRenderedPageBreak/>
        <w:t xml:space="preserve">dohotka) najveći je u slučaju Bugarske, Letonije, Grčke, Litve, Portugala i Španjolske. U Hrvatskoj se Ginijev koeficijent bilježi vrijednost blizu prosjeka EU-28, odnosno slične vrijednosti kao u Poljskoj, Ujedinjenom Kraljevstvu i Luksemburgu.  </w:t>
      </w:r>
    </w:p>
    <w:p w:rsidR="005D17DC" w:rsidRDefault="005D17DC" w:rsidP="006E6987">
      <w:pPr>
        <w:spacing w:before="240"/>
        <w:jc w:val="both"/>
        <w:rPr>
          <w:sz w:val="24"/>
          <w:szCs w:val="24"/>
        </w:rPr>
      </w:pPr>
      <w:r>
        <w:rPr>
          <w:sz w:val="24"/>
          <w:szCs w:val="24"/>
        </w:rPr>
        <w:t xml:space="preserve">Iako je </w:t>
      </w:r>
      <w:r w:rsidRPr="006455BF">
        <w:rPr>
          <w:color w:val="C00000"/>
          <w:sz w:val="24"/>
          <w:szCs w:val="24"/>
        </w:rPr>
        <w:t xml:space="preserve">Ginijev koeficijent najpopularnija mjera nejednakosti </w:t>
      </w:r>
      <w:r w:rsidRPr="006455BF">
        <w:rPr>
          <w:sz w:val="24"/>
          <w:szCs w:val="24"/>
        </w:rPr>
        <w:t>posebno u međunarodnim usporedbama</w:t>
      </w:r>
      <w:r w:rsidRPr="005D17DC">
        <w:rPr>
          <w:sz w:val="24"/>
          <w:szCs w:val="24"/>
        </w:rPr>
        <w:t xml:space="preserve">, mnogi stručnjaci ističu da ta mjera </w:t>
      </w:r>
      <w:r w:rsidRPr="006455BF">
        <w:rPr>
          <w:color w:val="C00000"/>
          <w:sz w:val="24"/>
          <w:szCs w:val="24"/>
        </w:rPr>
        <w:t>ima određene nedostatke</w:t>
      </w:r>
      <w:r w:rsidRPr="006455BF">
        <w:rPr>
          <w:sz w:val="24"/>
          <w:szCs w:val="24"/>
        </w:rPr>
        <w:t>. Na primjer</w:t>
      </w:r>
      <w:r>
        <w:rPr>
          <w:sz w:val="24"/>
          <w:szCs w:val="24"/>
        </w:rPr>
        <w:t>,</w:t>
      </w:r>
      <w:r w:rsidRPr="006455BF">
        <w:rPr>
          <w:sz w:val="24"/>
          <w:szCs w:val="24"/>
        </w:rPr>
        <w:t xml:space="preserve"> pristran je u korist koncentracije u sredini raspodjele te je upitno koliko je prihvatljiva mjera za međunarodne usporedbe (zbog specifičnih faktora koji se odražavaju na nejednakost u pojedinoj zemlji). </w:t>
      </w:r>
    </w:p>
    <w:p w:rsidR="00AE0AF1" w:rsidRPr="00595139" w:rsidRDefault="00881FB1" w:rsidP="00BA1B99">
      <w:pPr>
        <w:spacing w:before="240"/>
        <w:jc w:val="both"/>
        <w:rPr>
          <w:b/>
          <w:sz w:val="24"/>
          <w:szCs w:val="24"/>
        </w:rPr>
      </w:pPr>
      <w:r>
        <w:rPr>
          <w:b/>
          <w:sz w:val="24"/>
          <w:szCs w:val="24"/>
        </w:rPr>
        <w:t>1.5</w:t>
      </w:r>
      <w:r w:rsidR="00AE0AF1">
        <w:rPr>
          <w:b/>
          <w:sz w:val="24"/>
          <w:szCs w:val="24"/>
        </w:rPr>
        <w:t xml:space="preserve">. </w:t>
      </w:r>
      <w:r w:rsidR="00AE0AF1" w:rsidRPr="00595139">
        <w:rPr>
          <w:b/>
          <w:sz w:val="24"/>
          <w:szCs w:val="24"/>
        </w:rPr>
        <w:t>Financijski ciljevi, bogatstvo i ekonomsko zadovoljstvo pojedinca (kućanstva)</w:t>
      </w:r>
    </w:p>
    <w:p w:rsidR="00F26541" w:rsidRDefault="003232C8" w:rsidP="00AE0AF1">
      <w:pPr>
        <w:jc w:val="both"/>
        <w:rPr>
          <w:sz w:val="24"/>
          <w:szCs w:val="24"/>
        </w:rPr>
      </w:pPr>
      <w:r>
        <w:rPr>
          <w:sz w:val="24"/>
          <w:szCs w:val="24"/>
        </w:rPr>
        <w:t xml:space="preserve">Nakon visine </w:t>
      </w:r>
      <w:r w:rsidR="00AE0AF1">
        <w:rPr>
          <w:sz w:val="24"/>
          <w:szCs w:val="24"/>
        </w:rPr>
        <w:t xml:space="preserve">dohotka drugi važni faktori alokacije raspoloživog dohotka kućanstva na potrošnju i štednju </w:t>
      </w:r>
      <w:r>
        <w:rPr>
          <w:sz w:val="24"/>
          <w:szCs w:val="24"/>
        </w:rPr>
        <w:t xml:space="preserve">(kao i strukture potrošnje i štednje) </w:t>
      </w:r>
      <w:r w:rsidR="00525C55">
        <w:rPr>
          <w:sz w:val="24"/>
          <w:szCs w:val="24"/>
        </w:rPr>
        <w:t>je</w:t>
      </w:r>
      <w:r w:rsidR="00AE0AF1">
        <w:rPr>
          <w:sz w:val="24"/>
          <w:szCs w:val="24"/>
        </w:rPr>
        <w:t xml:space="preserve"> veličina kumuliranog </w:t>
      </w:r>
      <w:r w:rsidR="00AE0AF1" w:rsidRPr="003232C8">
        <w:rPr>
          <w:color w:val="000000" w:themeColor="text1"/>
          <w:sz w:val="24"/>
          <w:szCs w:val="24"/>
        </w:rPr>
        <w:t>bogatstva</w:t>
      </w:r>
      <w:r w:rsidRPr="003232C8">
        <w:rPr>
          <w:color w:val="000000" w:themeColor="text1"/>
          <w:sz w:val="24"/>
          <w:szCs w:val="24"/>
        </w:rPr>
        <w:t xml:space="preserve">. </w:t>
      </w:r>
      <w:r w:rsidRPr="003232C8">
        <w:rPr>
          <w:sz w:val="24"/>
          <w:szCs w:val="24"/>
        </w:rPr>
        <w:t xml:space="preserve">Alternativno umjesto pojma bogatstvo može se koristit pojam </w:t>
      </w:r>
      <w:r w:rsidR="00AE0AF1" w:rsidRPr="008E1EE2">
        <w:rPr>
          <w:color w:val="C00000"/>
          <w:sz w:val="24"/>
          <w:szCs w:val="24"/>
        </w:rPr>
        <w:t>neto vrijednost kućanstva</w:t>
      </w:r>
      <w:r>
        <w:rPr>
          <w:color w:val="C00000"/>
          <w:sz w:val="24"/>
          <w:szCs w:val="24"/>
        </w:rPr>
        <w:t xml:space="preserve"> </w:t>
      </w:r>
      <w:r w:rsidRPr="003232C8">
        <w:rPr>
          <w:sz w:val="24"/>
          <w:szCs w:val="24"/>
        </w:rPr>
        <w:t xml:space="preserve">jer </w:t>
      </w:r>
      <w:r>
        <w:rPr>
          <w:sz w:val="24"/>
          <w:szCs w:val="24"/>
        </w:rPr>
        <w:t xml:space="preserve">pojam </w:t>
      </w:r>
      <w:r w:rsidRPr="003232C8">
        <w:rPr>
          <w:color w:val="C00000"/>
          <w:sz w:val="24"/>
          <w:szCs w:val="24"/>
        </w:rPr>
        <w:t>bogatstvo</w:t>
      </w:r>
      <w:r>
        <w:rPr>
          <w:sz w:val="24"/>
          <w:szCs w:val="24"/>
        </w:rPr>
        <w:t xml:space="preserve"> </w:t>
      </w:r>
      <w:r w:rsidRPr="00F26541">
        <w:rPr>
          <w:color w:val="C00000"/>
          <w:sz w:val="24"/>
          <w:szCs w:val="24"/>
        </w:rPr>
        <w:t xml:space="preserve">označava </w:t>
      </w:r>
      <w:r w:rsidR="00AE0AF1" w:rsidRPr="00F26541">
        <w:rPr>
          <w:color w:val="C00000"/>
          <w:sz w:val="24"/>
          <w:szCs w:val="24"/>
        </w:rPr>
        <w:t>razli</w:t>
      </w:r>
      <w:r w:rsidRPr="00F26541">
        <w:rPr>
          <w:color w:val="C00000"/>
          <w:sz w:val="24"/>
          <w:szCs w:val="24"/>
        </w:rPr>
        <w:t>ku</w:t>
      </w:r>
      <w:r w:rsidR="00AE0AF1" w:rsidRPr="00F26541">
        <w:rPr>
          <w:color w:val="C00000"/>
          <w:sz w:val="24"/>
          <w:szCs w:val="24"/>
        </w:rPr>
        <w:t xml:space="preserve"> ukupne imovine i </w:t>
      </w:r>
      <w:r w:rsidR="00525C55" w:rsidRPr="00F26541">
        <w:rPr>
          <w:color w:val="C00000"/>
          <w:sz w:val="24"/>
          <w:szCs w:val="24"/>
        </w:rPr>
        <w:t xml:space="preserve">ukupnih </w:t>
      </w:r>
      <w:r w:rsidR="00AE0AF1" w:rsidRPr="00F26541">
        <w:rPr>
          <w:color w:val="C00000"/>
          <w:sz w:val="24"/>
          <w:szCs w:val="24"/>
        </w:rPr>
        <w:t>obveza</w:t>
      </w:r>
      <w:r w:rsidRPr="00F26541">
        <w:rPr>
          <w:color w:val="C00000"/>
          <w:sz w:val="24"/>
          <w:szCs w:val="24"/>
        </w:rPr>
        <w:t xml:space="preserve"> pojedinca</w:t>
      </w:r>
      <w:r w:rsidR="00525C55">
        <w:rPr>
          <w:sz w:val="24"/>
          <w:szCs w:val="24"/>
        </w:rPr>
        <w:t>.</w:t>
      </w:r>
      <w:r w:rsidR="00F26541">
        <w:rPr>
          <w:sz w:val="24"/>
          <w:szCs w:val="24"/>
        </w:rPr>
        <w:t xml:space="preserve"> </w:t>
      </w:r>
    </w:p>
    <w:p w:rsidR="00AE0AF1" w:rsidRDefault="00525C55" w:rsidP="00AE0AF1">
      <w:pPr>
        <w:jc w:val="both"/>
        <w:rPr>
          <w:sz w:val="24"/>
          <w:szCs w:val="24"/>
        </w:rPr>
      </w:pPr>
      <w:r>
        <w:rPr>
          <w:sz w:val="24"/>
          <w:szCs w:val="24"/>
        </w:rPr>
        <w:t xml:space="preserve">Na veličinu i strukturu potrošnje, odnosno veličinu i strukturu štednje odražavaju se i </w:t>
      </w:r>
      <w:r w:rsidR="00AE0AF1">
        <w:rPr>
          <w:sz w:val="24"/>
          <w:szCs w:val="24"/>
        </w:rPr>
        <w:t>navike, sklonosti i običaji. Nadalje alokacija dohotka na potrošnju i štednju, kao i strukture potrošnje i štednje razlikuju se s obzirom na obilježja kućanstva, uključujući prosječnu dob, broj osoba koje zarađuju, da li imaju malu djecu ili stariju djecu koja se još uvijek školuju</w:t>
      </w:r>
      <w:r w:rsidR="00FB6207">
        <w:rPr>
          <w:sz w:val="24"/>
          <w:szCs w:val="24"/>
        </w:rPr>
        <w:t>, radi li se o samačkom kućanstvu ili kućanstvu s više generacija</w:t>
      </w:r>
      <w:r w:rsidR="00AE0AF1">
        <w:rPr>
          <w:sz w:val="24"/>
          <w:szCs w:val="24"/>
        </w:rPr>
        <w:t xml:space="preserve"> itd.</w:t>
      </w:r>
    </w:p>
    <w:p w:rsidR="00AE0AF1" w:rsidRPr="009A220B" w:rsidRDefault="00AE0AF1" w:rsidP="00AE0AF1">
      <w:pPr>
        <w:spacing w:before="120" w:after="120"/>
        <w:jc w:val="both"/>
        <w:rPr>
          <w:sz w:val="24"/>
          <w:szCs w:val="24"/>
        </w:rPr>
      </w:pPr>
      <w:r w:rsidRPr="00287212">
        <w:rPr>
          <w:color w:val="C00000"/>
          <w:sz w:val="24"/>
          <w:szCs w:val="24"/>
        </w:rPr>
        <w:t>Kućanstvo</w:t>
      </w:r>
      <w:r w:rsidRPr="009A220B">
        <w:rPr>
          <w:sz w:val="24"/>
          <w:szCs w:val="24"/>
        </w:rPr>
        <w:t xml:space="preserve"> je svaka obiteljska ili druga zajednica osoba koje zajedno stanuju i zajednički troše svoje prihode za podmirivanje osnovnih životnih potreba (stanovanje, hrana i drugo). Prema broju članova razlikuje</w:t>
      </w:r>
      <w:r w:rsidR="00FB6207">
        <w:rPr>
          <w:sz w:val="24"/>
          <w:szCs w:val="24"/>
        </w:rPr>
        <w:t xml:space="preserve"> se</w:t>
      </w:r>
      <w:r w:rsidRPr="009A220B">
        <w:rPr>
          <w:sz w:val="24"/>
          <w:szCs w:val="24"/>
        </w:rPr>
        <w:t xml:space="preserve"> nekoliko strukturnih oblika kućanstva:</w:t>
      </w:r>
    </w:p>
    <w:p w:rsidR="00AE0AF1" w:rsidRDefault="00AE0AF1" w:rsidP="00E93220">
      <w:pPr>
        <w:numPr>
          <w:ilvl w:val="0"/>
          <w:numId w:val="2"/>
        </w:numPr>
        <w:spacing w:after="0" w:line="240" w:lineRule="auto"/>
        <w:ind w:left="714" w:hanging="357"/>
        <w:jc w:val="both"/>
        <w:rPr>
          <w:sz w:val="24"/>
          <w:szCs w:val="24"/>
        </w:rPr>
      </w:pPr>
      <w:r w:rsidRPr="00AE0AF1">
        <w:rPr>
          <w:sz w:val="24"/>
          <w:szCs w:val="24"/>
        </w:rPr>
        <w:t>samačka kućanstva (pojedinac kao jedini član kućanstva)</w:t>
      </w:r>
    </w:p>
    <w:p w:rsidR="00AE0AF1" w:rsidRPr="00AE0AF1" w:rsidRDefault="00AE0AF1" w:rsidP="00E93220">
      <w:pPr>
        <w:numPr>
          <w:ilvl w:val="0"/>
          <w:numId w:val="2"/>
        </w:numPr>
        <w:spacing w:after="0" w:line="240" w:lineRule="auto"/>
        <w:ind w:left="714" w:hanging="357"/>
        <w:jc w:val="both"/>
        <w:rPr>
          <w:sz w:val="24"/>
          <w:szCs w:val="24"/>
        </w:rPr>
      </w:pPr>
      <w:r w:rsidRPr="00AE0AF1">
        <w:rPr>
          <w:sz w:val="24"/>
          <w:szCs w:val="24"/>
        </w:rPr>
        <w:t>parovi bez djece</w:t>
      </w:r>
    </w:p>
    <w:p w:rsidR="00AE0AF1" w:rsidRPr="009A220B" w:rsidRDefault="00AE0AF1" w:rsidP="00E93220">
      <w:pPr>
        <w:numPr>
          <w:ilvl w:val="0"/>
          <w:numId w:val="2"/>
        </w:numPr>
        <w:spacing w:after="0" w:line="240" w:lineRule="auto"/>
        <w:ind w:left="714" w:hanging="357"/>
        <w:jc w:val="both"/>
        <w:rPr>
          <w:sz w:val="24"/>
          <w:szCs w:val="24"/>
        </w:rPr>
      </w:pPr>
      <w:r w:rsidRPr="009A220B">
        <w:rPr>
          <w:sz w:val="24"/>
          <w:szCs w:val="24"/>
        </w:rPr>
        <w:t>parovi s djecom (jedno dijete, dvoje djece, troje i više djece)</w:t>
      </w:r>
    </w:p>
    <w:p w:rsidR="00AE0AF1" w:rsidRPr="009A220B" w:rsidRDefault="00AE0AF1" w:rsidP="00E93220">
      <w:pPr>
        <w:numPr>
          <w:ilvl w:val="0"/>
          <w:numId w:val="2"/>
        </w:numPr>
        <w:spacing w:after="0" w:line="240" w:lineRule="auto"/>
        <w:ind w:left="714" w:hanging="357"/>
        <w:jc w:val="both"/>
        <w:rPr>
          <w:sz w:val="24"/>
          <w:szCs w:val="24"/>
        </w:rPr>
      </w:pPr>
      <w:r w:rsidRPr="009A220B">
        <w:rPr>
          <w:sz w:val="24"/>
          <w:szCs w:val="24"/>
        </w:rPr>
        <w:t>parovi sa starijom djecom</w:t>
      </w:r>
    </w:p>
    <w:p w:rsidR="00AE0AF1" w:rsidRPr="009A220B" w:rsidRDefault="00AE0AF1" w:rsidP="00E93220">
      <w:pPr>
        <w:numPr>
          <w:ilvl w:val="0"/>
          <w:numId w:val="2"/>
        </w:numPr>
        <w:spacing w:after="0" w:line="240" w:lineRule="auto"/>
        <w:ind w:left="714" w:hanging="357"/>
        <w:jc w:val="both"/>
        <w:rPr>
          <w:sz w:val="24"/>
          <w:szCs w:val="24"/>
        </w:rPr>
      </w:pPr>
      <w:r w:rsidRPr="009A220B">
        <w:rPr>
          <w:sz w:val="24"/>
          <w:szCs w:val="24"/>
        </w:rPr>
        <w:t>parovi s odraslom djecom</w:t>
      </w:r>
    </w:p>
    <w:p w:rsidR="00AE0AF1" w:rsidRPr="009A220B" w:rsidRDefault="00AE0AF1" w:rsidP="00E93220">
      <w:pPr>
        <w:numPr>
          <w:ilvl w:val="0"/>
          <w:numId w:val="2"/>
        </w:numPr>
        <w:spacing w:after="0" w:line="240" w:lineRule="auto"/>
        <w:ind w:left="714" w:hanging="357"/>
        <w:jc w:val="both"/>
        <w:rPr>
          <w:sz w:val="24"/>
          <w:szCs w:val="24"/>
        </w:rPr>
      </w:pPr>
      <w:r w:rsidRPr="009A220B">
        <w:rPr>
          <w:sz w:val="24"/>
          <w:szCs w:val="24"/>
        </w:rPr>
        <w:t>kućanstva s više generacija</w:t>
      </w:r>
    </w:p>
    <w:p w:rsidR="00AE0AF1" w:rsidRPr="00AE0AF1" w:rsidRDefault="00AE0AF1" w:rsidP="00E93220">
      <w:pPr>
        <w:numPr>
          <w:ilvl w:val="0"/>
          <w:numId w:val="2"/>
        </w:numPr>
        <w:spacing w:after="0" w:line="240" w:lineRule="auto"/>
        <w:ind w:left="714" w:hanging="357"/>
        <w:jc w:val="both"/>
        <w:rPr>
          <w:rFonts w:ascii="TimesCR-Roman" w:eastAsia="Times New Roman" w:hAnsi="TimesCR-Roman" w:cs="TimesCR-Roman"/>
          <w:sz w:val="20"/>
          <w:szCs w:val="20"/>
          <w:lang w:eastAsia="hr-HR"/>
        </w:rPr>
      </w:pPr>
      <w:r w:rsidRPr="009A220B">
        <w:rPr>
          <w:sz w:val="24"/>
          <w:szCs w:val="24"/>
        </w:rPr>
        <w:t>kućanstva s nesrodnicima.</w:t>
      </w:r>
    </w:p>
    <w:p w:rsidR="00F31312" w:rsidRDefault="00AE0AF1" w:rsidP="00E52684">
      <w:pPr>
        <w:autoSpaceDE w:val="0"/>
        <w:autoSpaceDN w:val="0"/>
        <w:adjustRightInd w:val="0"/>
        <w:spacing w:before="240"/>
        <w:jc w:val="both"/>
        <w:rPr>
          <w:sz w:val="24"/>
          <w:szCs w:val="24"/>
        </w:rPr>
      </w:pPr>
      <w:r w:rsidRPr="00AE0AF1">
        <w:rPr>
          <w:sz w:val="24"/>
          <w:szCs w:val="24"/>
        </w:rPr>
        <w:t>S obzirom obilježja kućanstva</w:t>
      </w:r>
      <w:r>
        <w:rPr>
          <w:sz w:val="24"/>
          <w:szCs w:val="24"/>
        </w:rPr>
        <w:t>,</w:t>
      </w:r>
      <w:r w:rsidRPr="00AE0AF1">
        <w:rPr>
          <w:sz w:val="24"/>
          <w:szCs w:val="24"/>
        </w:rPr>
        <w:t xml:space="preserve"> razlikuju se i njihovi financijski i drugi ciljevi. </w:t>
      </w:r>
      <w:r w:rsidRPr="00FB6207">
        <w:rPr>
          <w:color w:val="C00000"/>
          <w:sz w:val="24"/>
          <w:szCs w:val="24"/>
        </w:rPr>
        <w:t xml:space="preserve">Ciljevi </w:t>
      </w:r>
      <w:r w:rsidRPr="00AE0AF1">
        <w:rPr>
          <w:sz w:val="24"/>
          <w:szCs w:val="24"/>
        </w:rPr>
        <w:t>predstavljaju željena stanja i rezultate koje treba postići u određenom vremenu - slijedom planiranih aktivnosti. Potencijalni ciljevi mogu biti: veličina bogatstva koja se želi kumulirati do odlaska u mirovinu</w:t>
      </w:r>
      <w:r w:rsidR="003352E0">
        <w:rPr>
          <w:sz w:val="24"/>
          <w:szCs w:val="24"/>
        </w:rPr>
        <w:t>,</w:t>
      </w:r>
      <w:r w:rsidR="00D377AE">
        <w:rPr>
          <w:sz w:val="24"/>
          <w:szCs w:val="24"/>
        </w:rPr>
        <w:t xml:space="preserve"> </w:t>
      </w:r>
      <w:r w:rsidRPr="00AE0AF1">
        <w:rPr>
          <w:sz w:val="24"/>
          <w:szCs w:val="24"/>
        </w:rPr>
        <w:t>određena razina potrošnje koja se želi dostići kako bi život bio ugodniji</w:t>
      </w:r>
      <w:r w:rsidR="003352E0">
        <w:rPr>
          <w:sz w:val="24"/>
          <w:szCs w:val="24"/>
        </w:rPr>
        <w:t>,</w:t>
      </w:r>
      <w:r w:rsidRPr="00AE0AF1">
        <w:rPr>
          <w:sz w:val="24"/>
          <w:szCs w:val="24"/>
        </w:rPr>
        <w:t xml:space="preserve"> vlasništvo osobnog automobila</w:t>
      </w:r>
      <w:r w:rsidR="003352E0">
        <w:rPr>
          <w:sz w:val="24"/>
          <w:szCs w:val="24"/>
        </w:rPr>
        <w:t>,</w:t>
      </w:r>
      <w:r w:rsidRPr="00AE0AF1">
        <w:rPr>
          <w:sz w:val="24"/>
          <w:szCs w:val="24"/>
        </w:rPr>
        <w:t xml:space="preserve"> akumuliranje dostatne ušteđevina za školovanje djece i slično</w:t>
      </w:r>
      <w:r w:rsidR="00D377AE">
        <w:rPr>
          <w:sz w:val="24"/>
          <w:szCs w:val="24"/>
        </w:rPr>
        <w:t xml:space="preserve">, a </w:t>
      </w:r>
      <w:r w:rsidR="00D377AE" w:rsidRPr="00F31312">
        <w:rPr>
          <w:color w:val="C00000"/>
          <w:sz w:val="24"/>
          <w:szCs w:val="24"/>
        </w:rPr>
        <w:t xml:space="preserve">kod mladih osoba koje su u procesu osamostaljivanja od roditelja </w:t>
      </w:r>
      <w:r w:rsidR="00D377AE">
        <w:rPr>
          <w:sz w:val="24"/>
          <w:szCs w:val="24"/>
        </w:rPr>
        <w:t>bi trebalo biti kumuliranje štednje za najam stana i troškove života prije primitka prve plaće</w:t>
      </w:r>
      <w:r w:rsidR="00F31312">
        <w:rPr>
          <w:sz w:val="24"/>
          <w:szCs w:val="24"/>
        </w:rPr>
        <w:t>, odnosno racionalizacija troškova kako bi mogli financirati sve redovne troškove kućanstva i u pravom smislu riječi postali financijski neovisni</w:t>
      </w:r>
      <w:r w:rsidRPr="00AE0AF1">
        <w:rPr>
          <w:sz w:val="24"/>
          <w:szCs w:val="24"/>
        </w:rPr>
        <w:t xml:space="preserve">. </w:t>
      </w:r>
    </w:p>
    <w:p w:rsidR="00AE0AF1" w:rsidRPr="00F31312" w:rsidRDefault="00AE0AF1" w:rsidP="00E52684">
      <w:pPr>
        <w:autoSpaceDE w:val="0"/>
        <w:autoSpaceDN w:val="0"/>
        <w:adjustRightInd w:val="0"/>
        <w:spacing w:before="240"/>
        <w:jc w:val="both"/>
        <w:rPr>
          <w:sz w:val="24"/>
          <w:szCs w:val="24"/>
        </w:rPr>
      </w:pPr>
      <w:r w:rsidRPr="00AE0AF1">
        <w:rPr>
          <w:sz w:val="24"/>
          <w:szCs w:val="24"/>
        </w:rPr>
        <w:lastRenderedPageBreak/>
        <w:t xml:space="preserve">Ostvarivanje financijskih ciljeva usko je povezano s procesom upravljanja osobnim financijama i njegovom temeljnom svrhom - </w:t>
      </w:r>
      <w:r w:rsidRPr="00AE0AF1">
        <w:rPr>
          <w:color w:val="C00000"/>
          <w:sz w:val="24"/>
          <w:szCs w:val="24"/>
        </w:rPr>
        <w:t xml:space="preserve">dostizanja one razine ekonomskog zadovoljstva i financijskog blagostanja </w:t>
      </w:r>
      <w:r w:rsidRPr="00F31312">
        <w:rPr>
          <w:sz w:val="24"/>
          <w:szCs w:val="24"/>
        </w:rPr>
        <w:t xml:space="preserve">uz koje se osoba osjeća sretnom i uz koje će svoj život i osobne financije moći ocijeniti uspješnima. </w:t>
      </w:r>
    </w:p>
    <w:tbl>
      <w:tblPr>
        <w:tblStyle w:val="Reetkatablice"/>
        <w:tblW w:w="0" w:type="auto"/>
        <w:tblInd w:w="108" w:type="dxa"/>
        <w:tblLook w:val="04A0" w:firstRow="1" w:lastRow="0" w:firstColumn="1" w:lastColumn="0" w:noHBand="0" w:noVBand="1"/>
      </w:tblPr>
      <w:tblGrid>
        <w:gridCol w:w="9072"/>
      </w:tblGrid>
      <w:tr w:rsidR="00AE0AF1" w:rsidTr="003352E0">
        <w:tc>
          <w:tcPr>
            <w:tcW w:w="9072" w:type="dxa"/>
            <w:shd w:val="clear" w:color="auto" w:fill="F2F2F2" w:themeFill="background1" w:themeFillShade="F2"/>
          </w:tcPr>
          <w:p w:rsidR="00A00C63" w:rsidRDefault="00FB6207" w:rsidP="00F31312">
            <w:pPr>
              <w:autoSpaceDE w:val="0"/>
              <w:autoSpaceDN w:val="0"/>
              <w:adjustRightInd w:val="0"/>
              <w:spacing w:before="120" w:after="120"/>
              <w:jc w:val="both"/>
            </w:pPr>
            <w:r w:rsidRPr="00FB6207">
              <w:rPr>
                <w:rFonts w:asciiTheme="minorHAnsi" w:eastAsiaTheme="minorHAnsi" w:hAnsiTheme="minorHAnsi" w:cstheme="minorBidi"/>
                <w:sz w:val="24"/>
                <w:szCs w:val="24"/>
                <w:lang w:eastAsia="en-US"/>
              </w:rPr>
              <w:t>Upravljanje osobnim financijama uključuje niz sustavnih aktivnosti upravljanja imovinom i obvezama. odnosno pr</w:t>
            </w:r>
            <w:r w:rsidR="00B141BD">
              <w:rPr>
                <w:rFonts w:asciiTheme="minorHAnsi" w:eastAsiaTheme="minorHAnsi" w:hAnsiTheme="minorHAnsi" w:cstheme="minorBidi"/>
                <w:sz w:val="24"/>
                <w:szCs w:val="24"/>
                <w:lang w:eastAsia="en-US"/>
              </w:rPr>
              <w:t>ihodima i rashodima (kućanstva),</w:t>
            </w:r>
            <w:r w:rsidRPr="00FB6207">
              <w:rPr>
                <w:rFonts w:asciiTheme="minorHAnsi" w:eastAsiaTheme="minorHAnsi" w:hAnsiTheme="minorHAnsi" w:cstheme="minorBidi"/>
                <w:sz w:val="24"/>
                <w:szCs w:val="24"/>
                <w:lang w:eastAsia="en-US"/>
              </w:rPr>
              <w:t xml:space="preserve"> a s ciljem povećanja osobnog blagostanja</w:t>
            </w:r>
            <w:r>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(subjektivnog) ekonomskog zadovoljstva te osobne koristi kumuliranog bogatstva.</w:t>
            </w:r>
            <w:r>
              <w:t xml:space="preserve"> </w:t>
            </w:r>
          </w:p>
          <w:p w:rsidR="00AE0AF1" w:rsidRDefault="00AE0AF1" w:rsidP="00F31312">
            <w:pPr>
              <w:autoSpaceDE w:val="0"/>
              <w:autoSpaceDN w:val="0"/>
              <w:adjustRightInd w:val="0"/>
              <w:spacing w:before="120" w:after="120"/>
              <w:jc w:val="both"/>
              <w:rPr>
                <w:rFonts w:ascii="TimesCR-Roman" w:hAnsi="TimesCR-Roman" w:cs="TimesCR-Roman"/>
                <w:color w:val="0000FF"/>
              </w:rPr>
            </w:pPr>
            <w:r w:rsidRPr="00FB6207">
              <w:rPr>
                <w:rFonts w:asciiTheme="minorHAnsi" w:eastAsiaTheme="minorHAnsi" w:hAnsiTheme="minorHAnsi" w:cstheme="minorBidi"/>
                <w:color w:val="C00000"/>
                <w:sz w:val="24"/>
                <w:szCs w:val="24"/>
                <w:lang w:eastAsia="en-US"/>
              </w:rPr>
              <w:t xml:space="preserve">Osobno blagostanje </w:t>
            </w:r>
            <w:r w:rsidRPr="00FB6207">
              <w:rPr>
                <w:rFonts w:asciiTheme="minorHAnsi" w:eastAsiaTheme="minorHAnsi" w:hAnsiTheme="minorHAnsi" w:cstheme="minorBidi"/>
                <w:sz w:val="24"/>
                <w:szCs w:val="24"/>
                <w:lang w:eastAsia="en-US"/>
              </w:rPr>
              <w:t xml:space="preserve">i </w:t>
            </w:r>
            <w:r w:rsidRPr="00FB6207">
              <w:rPr>
                <w:rFonts w:asciiTheme="minorHAnsi" w:eastAsiaTheme="minorHAnsi" w:hAnsiTheme="minorHAnsi" w:cstheme="minorBidi"/>
                <w:color w:val="C00000"/>
                <w:sz w:val="24"/>
                <w:szCs w:val="24"/>
                <w:lang w:eastAsia="en-US"/>
              </w:rPr>
              <w:t xml:space="preserve">subjektivno ekonomsko zadovoljstvo </w:t>
            </w:r>
            <w:r w:rsidRPr="00FB6207">
              <w:rPr>
                <w:rFonts w:asciiTheme="minorHAnsi" w:eastAsiaTheme="minorHAnsi" w:hAnsiTheme="minorHAnsi" w:cstheme="minorBidi"/>
                <w:sz w:val="24"/>
                <w:szCs w:val="24"/>
                <w:lang w:eastAsia="en-US"/>
              </w:rPr>
              <w:t>ner</w:t>
            </w:r>
            <w:r w:rsidR="00B141BD">
              <w:rPr>
                <w:rFonts w:asciiTheme="minorHAnsi" w:eastAsiaTheme="minorHAnsi" w:hAnsiTheme="minorHAnsi" w:cstheme="minorBidi"/>
                <w:sz w:val="24"/>
                <w:szCs w:val="24"/>
                <w:lang w:eastAsia="en-US"/>
              </w:rPr>
              <w:t>ijetko se javljaju kao sinonimi,</w:t>
            </w:r>
            <w:r w:rsidRPr="00FB6207">
              <w:rPr>
                <w:rFonts w:asciiTheme="minorHAnsi" w:eastAsiaTheme="minorHAnsi" w:hAnsiTheme="minorHAnsi" w:cstheme="minorBidi"/>
                <w:sz w:val="24"/>
                <w:szCs w:val="24"/>
                <w:lang w:eastAsia="en-US"/>
              </w:rPr>
              <w:t xml:space="preserve"> označavajući subjektivnu ocjenu zadovoljstva „u životu“</w:t>
            </w:r>
            <w:r w:rsidR="00B141BD">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zadovoljstva vlastitom financijskom pozicijom</w:t>
            </w:r>
            <w:r w:rsidR="00B410BC">
              <w:rPr>
                <w:rFonts w:asciiTheme="minorHAnsi" w:eastAsiaTheme="minorHAnsi" w:hAnsiTheme="minorHAnsi" w:cstheme="minorBidi"/>
                <w:sz w:val="24"/>
                <w:szCs w:val="24"/>
                <w:lang w:eastAsia="en-US"/>
              </w:rPr>
              <w:t xml:space="preserve">, </w:t>
            </w:r>
            <w:r w:rsidR="00B410BC" w:rsidRPr="00B410BC">
              <w:rPr>
                <w:rFonts w:asciiTheme="minorHAnsi" w:eastAsiaTheme="minorHAnsi" w:hAnsiTheme="minorHAnsi" w:cstheme="minorBidi"/>
                <w:sz w:val="24"/>
                <w:szCs w:val="24"/>
                <w:lang w:eastAsia="en-US"/>
              </w:rPr>
              <w:t>pokazateljima u mikroekonomskoj i makroekonomskoj okolini</w:t>
            </w:r>
            <w:r w:rsidR="00B141BD">
              <w:rPr>
                <w:rFonts w:asciiTheme="minorHAnsi" w:eastAsiaTheme="minorHAnsi" w:hAnsiTheme="minorHAnsi" w:cstheme="minorBidi"/>
                <w:sz w:val="24"/>
                <w:szCs w:val="24"/>
                <w:lang w:eastAsia="en-US"/>
              </w:rPr>
              <w:t xml:space="preserve"> (gdje se kao signifikantne varijable posebno ističu inflacija i nezaposlenost)</w:t>
            </w:r>
            <w:r w:rsidR="00B410BC" w:rsidRPr="00B410BC">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osobnim postignućima (karijerom</w:t>
            </w:r>
            <w:r w:rsidR="00B141BD">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društvenim životom</w:t>
            </w:r>
            <w:r w:rsidR="00B141BD">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lang w:eastAsia="en-US"/>
              </w:rPr>
              <w:t xml:space="preserve"> fizičkom kondicijom i sl.)</w:t>
            </w:r>
            <w:r w:rsidR="00B410BC">
              <w:rPr>
                <w:rFonts w:asciiTheme="minorHAnsi" w:eastAsiaTheme="minorHAnsi" w:hAnsiTheme="minorHAnsi" w:cstheme="minorBidi"/>
                <w:sz w:val="24"/>
                <w:szCs w:val="24"/>
                <w:lang w:eastAsia="en-US"/>
              </w:rPr>
              <w:t xml:space="preserve"> </w:t>
            </w:r>
            <w:r w:rsidR="00B410BC" w:rsidRPr="00B410BC">
              <w:rPr>
                <w:rFonts w:asciiTheme="minorHAnsi" w:eastAsiaTheme="minorHAnsi" w:hAnsiTheme="minorHAnsi" w:cstheme="minorBidi"/>
                <w:sz w:val="24"/>
                <w:szCs w:val="24"/>
                <w:lang w:eastAsia="en-US"/>
              </w:rPr>
              <w:t>i mogućnostima za unaprjeđene postojeće financijske situacije</w:t>
            </w:r>
            <w:r w:rsidRPr="00FB6207">
              <w:rPr>
                <w:rFonts w:asciiTheme="minorHAnsi" w:eastAsiaTheme="minorHAnsi" w:hAnsiTheme="minorHAnsi" w:cstheme="minorBidi"/>
                <w:sz w:val="24"/>
                <w:szCs w:val="24"/>
                <w:lang w:eastAsia="en-US"/>
              </w:rPr>
              <w:t>.</w:t>
            </w:r>
            <w:r w:rsidRPr="00FB6207">
              <w:rPr>
                <w:rFonts w:asciiTheme="minorHAnsi" w:eastAsiaTheme="minorHAnsi" w:hAnsiTheme="minorHAnsi" w:cstheme="minorBidi"/>
                <w:sz w:val="24"/>
                <w:szCs w:val="24"/>
                <w:vertAlign w:val="superscript"/>
                <w:lang w:eastAsia="en-US"/>
              </w:rPr>
              <w:footnoteReference w:id="20"/>
            </w:r>
            <w:r w:rsidRPr="00FB6207">
              <w:rPr>
                <w:rFonts w:asciiTheme="minorHAnsi" w:eastAsiaTheme="minorHAnsi" w:hAnsiTheme="minorHAnsi" w:cstheme="minorBidi"/>
                <w:sz w:val="24"/>
                <w:szCs w:val="24"/>
                <w:lang w:eastAsia="en-US"/>
              </w:rPr>
              <w:t xml:space="preserve"> Kako navedeno u</w:t>
            </w:r>
            <w:r w:rsidR="00B141BD">
              <w:rPr>
                <w:rFonts w:asciiTheme="minorHAnsi" w:eastAsiaTheme="minorHAnsi" w:hAnsiTheme="minorHAnsi" w:cstheme="minorBidi"/>
                <w:sz w:val="24"/>
                <w:szCs w:val="24"/>
                <w:lang w:eastAsia="en-US"/>
              </w:rPr>
              <w:t xml:space="preserve">velike ovisi o veličini dohotka, </w:t>
            </w:r>
            <w:r w:rsidRPr="00FB6207">
              <w:rPr>
                <w:rFonts w:asciiTheme="minorHAnsi" w:eastAsiaTheme="minorHAnsi" w:hAnsiTheme="minorHAnsi" w:cstheme="minorBidi"/>
                <w:sz w:val="24"/>
                <w:szCs w:val="24"/>
                <w:lang w:eastAsia="en-US"/>
              </w:rPr>
              <w:t>ekonomski model</w:t>
            </w:r>
            <w:r w:rsidR="00FB6207">
              <w:rPr>
                <w:rFonts w:asciiTheme="minorHAnsi" w:eastAsiaTheme="minorHAnsi" w:hAnsiTheme="minorHAnsi" w:cstheme="minorBidi"/>
                <w:sz w:val="24"/>
                <w:szCs w:val="24"/>
                <w:lang w:eastAsia="en-US"/>
              </w:rPr>
              <w:t>i</w:t>
            </w:r>
            <w:r w:rsidRPr="00FB6207">
              <w:rPr>
                <w:rFonts w:asciiTheme="minorHAnsi" w:eastAsiaTheme="minorHAnsi" w:hAnsiTheme="minorHAnsi" w:cstheme="minorBidi"/>
                <w:sz w:val="24"/>
                <w:szCs w:val="24"/>
                <w:lang w:eastAsia="en-US"/>
              </w:rPr>
              <w:t xml:space="preserve"> maksimalizacije ekonomskog zadovoljstva primarno naglašavaju financijske politike i učinke upravljanja osobnim financijama na financijsku poziciju i bogatstvo kućanstva te dostizanje određene razine životnog standarda i kvalitete života.</w:t>
            </w:r>
          </w:p>
        </w:tc>
      </w:tr>
    </w:tbl>
    <w:p w:rsidR="003352E0" w:rsidRPr="003352E0" w:rsidRDefault="003352E0" w:rsidP="00E52684">
      <w:pPr>
        <w:spacing w:before="240"/>
        <w:jc w:val="both"/>
        <w:rPr>
          <w:sz w:val="24"/>
          <w:szCs w:val="24"/>
        </w:rPr>
      </w:pPr>
      <w:r w:rsidRPr="003352E0">
        <w:rPr>
          <w:sz w:val="24"/>
          <w:szCs w:val="24"/>
        </w:rPr>
        <w:t xml:space="preserve">Ukoliko je cilj ostvariti veću razinu kvalitete života i dostići viši životni standard, posljednje na što treba računati je dobitak na lotu i nasljedstvo bogatog strica iz Amerike. Jedan od mogućih </w:t>
      </w:r>
      <w:r w:rsidR="005B795E" w:rsidRPr="003352E0">
        <w:rPr>
          <w:sz w:val="24"/>
          <w:szCs w:val="24"/>
        </w:rPr>
        <w:t>put</w:t>
      </w:r>
      <w:r w:rsidR="005B795E">
        <w:rPr>
          <w:sz w:val="24"/>
          <w:szCs w:val="24"/>
        </w:rPr>
        <w:t>o</w:t>
      </w:r>
      <w:r w:rsidR="005B795E" w:rsidRPr="003352E0">
        <w:rPr>
          <w:sz w:val="24"/>
          <w:szCs w:val="24"/>
        </w:rPr>
        <w:t>va</w:t>
      </w:r>
      <w:r w:rsidR="005B795E">
        <w:rPr>
          <w:sz w:val="24"/>
          <w:szCs w:val="24"/>
        </w:rPr>
        <w:t xml:space="preserve"> povećanja budućih primanja i dostizanja standarda života j</w:t>
      </w:r>
      <w:r w:rsidRPr="003352E0">
        <w:rPr>
          <w:sz w:val="24"/>
          <w:szCs w:val="24"/>
        </w:rPr>
        <w:t xml:space="preserve">e pravovremeno donesena odluka o višegodišnjem studiranju i stjecanju diplome koja omogućuju obavljanje visokostručnih poslova te ostvarivanje većeg dohotka iz redovnog radnog odnosa, a </w:t>
      </w:r>
      <w:r w:rsidRPr="003352E0">
        <w:rPr>
          <w:color w:val="C00000"/>
          <w:sz w:val="24"/>
          <w:szCs w:val="24"/>
        </w:rPr>
        <w:t>s većim dohotkom otvaraju se mogućnosti izbora u potrošnji i štednji</w:t>
      </w:r>
      <w:r w:rsidRPr="003352E0">
        <w:rPr>
          <w:sz w:val="24"/>
          <w:szCs w:val="24"/>
        </w:rPr>
        <w:t xml:space="preserve">. Naime, brojne opisane dohodovne razlike između kućanstva, kao i iz njih izvedene razlike u mogućnostima i strukturi potrošnje i štednje determinirane su razlikama u kvalifikaciji zaposlenih članova kućanstva, odnosno razlikama u visini plaće osoba npr. za završenim fakultetom u odnosu na osobe sa završenom srednjom školom ili samo završenom osnovnom školom. </w:t>
      </w:r>
    </w:p>
    <w:p w:rsidR="003352E0" w:rsidRDefault="003352E0" w:rsidP="00FF728C">
      <w:pPr>
        <w:jc w:val="both"/>
        <w:rPr>
          <w:sz w:val="24"/>
          <w:szCs w:val="24"/>
        </w:rPr>
      </w:pPr>
      <w:r w:rsidRPr="003352E0">
        <w:rPr>
          <w:sz w:val="24"/>
          <w:szCs w:val="24"/>
        </w:rPr>
        <w:t>Međutim</w:t>
      </w:r>
      <w:r>
        <w:rPr>
          <w:sz w:val="24"/>
          <w:szCs w:val="24"/>
        </w:rPr>
        <w:t>,</w:t>
      </w:r>
      <w:r w:rsidRPr="003352E0">
        <w:rPr>
          <w:sz w:val="24"/>
          <w:szCs w:val="24"/>
        </w:rPr>
        <w:t xml:space="preserve"> </w:t>
      </w:r>
      <w:r w:rsidRPr="003352E0">
        <w:rPr>
          <w:color w:val="C00000"/>
          <w:sz w:val="24"/>
          <w:szCs w:val="24"/>
        </w:rPr>
        <w:t>stečena diploma i relativno visoka plaća nisu garancije kvalitetnijeg života, a isto tako niti garancija financijske uspješnosti</w:t>
      </w:r>
      <w:r w:rsidRPr="003352E0">
        <w:rPr>
          <w:sz w:val="24"/>
          <w:szCs w:val="24"/>
        </w:rPr>
        <w:t xml:space="preserve">. Uz istu diplomu pojedinci obavljaju poslove koji su međusobno različiti s obzirom na zahtijevani trud, analitičke sposobnosti, spremnost dodatnog kontinuiranog usavršavanja itd. Različita poduzeća, pa čak i u istoj branši, međusobno se razlikuju s obzirom na razinu uspješnosti, tehnološkog napretka, agresivnost nastupa na tržištu, tradiciju postojanja i druga obilježja - zbog čega visina plaće za isto radno mjesto varira od poslodavca do poslodavca. </w:t>
      </w:r>
    </w:p>
    <w:p w:rsidR="003352E0" w:rsidRPr="000109F2" w:rsidRDefault="003352E0" w:rsidP="00FF728C">
      <w:pPr>
        <w:autoSpaceDE w:val="0"/>
        <w:autoSpaceDN w:val="0"/>
        <w:adjustRightInd w:val="0"/>
        <w:jc w:val="both"/>
        <w:rPr>
          <w:sz w:val="24"/>
          <w:szCs w:val="24"/>
        </w:rPr>
      </w:pPr>
      <w:r w:rsidRPr="003352E0">
        <w:rPr>
          <w:sz w:val="24"/>
          <w:szCs w:val="24"/>
        </w:rPr>
        <w:t xml:space="preserve">Da bi postigli željene ciljeve treba </w:t>
      </w:r>
      <w:r w:rsidRPr="003352E0">
        <w:rPr>
          <w:color w:val="C00000"/>
          <w:sz w:val="24"/>
          <w:szCs w:val="24"/>
        </w:rPr>
        <w:t>sagledati prilike i mogućnosti,  ali isto tako troškove i opasnosti</w:t>
      </w:r>
      <w:r w:rsidRPr="003352E0">
        <w:rPr>
          <w:sz w:val="24"/>
          <w:szCs w:val="24"/>
        </w:rPr>
        <w:t xml:space="preserve"> koje na putu do cilja donose promjene u životu i poslovnom okruženju. Napuštanje jednog poslodavca i zapošljavanje kod drugog poslodavca može omogućiti veća mjesečna </w:t>
      </w:r>
      <w:r w:rsidRPr="003352E0">
        <w:rPr>
          <w:sz w:val="24"/>
          <w:szCs w:val="24"/>
        </w:rPr>
        <w:lastRenderedPageBreak/>
        <w:t xml:space="preserve">primanja, ali i produžiti vrijeme ostajanja na poslu - sa ili bez dodatne novčane naknade za prekovremeni rad. </w:t>
      </w:r>
      <w:r w:rsidRPr="00F31312">
        <w:rPr>
          <w:color w:val="C00000"/>
          <w:sz w:val="24"/>
          <w:szCs w:val="24"/>
        </w:rPr>
        <w:t xml:space="preserve">Višegodišnji prekovremeni rad </w:t>
      </w:r>
      <w:r w:rsidRPr="00F31312">
        <w:rPr>
          <w:sz w:val="24"/>
          <w:szCs w:val="24"/>
        </w:rPr>
        <w:t xml:space="preserve">i </w:t>
      </w:r>
      <w:r w:rsidR="00F31312" w:rsidRPr="00F31312">
        <w:rPr>
          <w:sz w:val="24"/>
          <w:szCs w:val="24"/>
        </w:rPr>
        <w:t xml:space="preserve">prekomjerna </w:t>
      </w:r>
      <w:r w:rsidRPr="00F31312">
        <w:rPr>
          <w:sz w:val="24"/>
          <w:szCs w:val="24"/>
        </w:rPr>
        <w:t xml:space="preserve">orijentacija na stjecanje materijalnog bogatstva </w:t>
      </w:r>
      <w:r w:rsidRPr="00F31312">
        <w:rPr>
          <w:color w:val="C00000"/>
          <w:sz w:val="24"/>
          <w:szCs w:val="24"/>
        </w:rPr>
        <w:t>mogu ugroziti fizičko i psihičko zdravlje pojedinca</w:t>
      </w:r>
      <w:r w:rsidR="00F31312">
        <w:rPr>
          <w:color w:val="C00000"/>
          <w:sz w:val="24"/>
          <w:szCs w:val="24"/>
        </w:rPr>
        <w:t xml:space="preserve"> a time dovesti u pitanje i buduće ostvarivanje prihoda</w:t>
      </w:r>
      <w:r w:rsidRPr="00F26541">
        <w:rPr>
          <w:sz w:val="24"/>
          <w:szCs w:val="24"/>
          <w:vertAlign w:val="superscript"/>
        </w:rPr>
        <w:footnoteReference w:id="21"/>
      </w:r>
      <w:r w:rsidR="00F31312">
        <w:rPr>
          <w:sz w:val="24"/>
          <w:szCs w:val="24"/>
        </w:rPr>
        <w:t xml:space="preserve">. Mogu dovesti do pogoršanja odnosa pojedinca </w:t>
      </w:r>
      <w:r w:rsidRPr="003352E0">
        <w:rPr>
          <w:sz w:val="24"/>
          <w:szCs w:val="24"/>
        </w:rPr>
        <w:t xml:space="preserve">s članovima obitelji ili značajno odgoditi početak zasnivanja bračne zajednice. Uslijed svakodnevne opsjednutosti poslovnim aktivnostima osoba može postati loši gospodari vlastite imovine (može izostati sustavno upravljanja imovinom i obvezama, može propustiti dobre prilike za ulaganje, zaboraviti oročiti sredstva i vlastitu novčane viškove prepustiti destruktivnom djelovanju inflacije). Također u procesu akumulacije većeg </w:t>
      </w:r>
      <w:r w:rsidRPr="003352E0">
        <w:rPr>
          <w:color w:val="C00000"/>
          <w:sz w:val="24"/>
          <w:szCs w:val="24"/>
        </w:rPr>
        <w:t xml:space="preserve">materijalnog bogatstva </w:t>
      </w:r>
      <w:r w:rsidRPr="003352E0">
        <w:rPr>
          <w:sz w:val="24"/>
          <w:szCs w:val="24"/>
        </w:rPr>
        <w:t xml:space="preserve">može zaboraviti da postoji i </w:t>
      </w:r>
      <w:r w:rsidRPr="003352E0">
        <w:rPr>
          <w:color w:val="C00000"/>
          <w:sz w:val="24"/>
          <w:szCs w:val="24"/>
        </w:rPr>
        <w:t>nematerijalno bogatstvo</w:t>
      </w:r>
      <w:r w:rsidR="00A51244">
        <w:rPr>
          <w:color w:val="C00000"/>
          <w:sz w:val="24"/>
          <w:szCs w:val="24"/>
        </w:rPr>
        <w:t xml:space="preserve"> </w:t>
      </w:r>
      <w:r w:rsidR="00A51244" w:rsidRPr="000109F2">
        <w:rPr>
          <w:sz w:val="24"/>
          <w:szCs w:val="24"/>
        </w:rPr>
        <w:t>(sreća</w:t>
      </w:r>
      <w:r w:rsidR="000109F2" w:rsidRPr="000109F2">
        <w:rPr>
          <w:sz w:val="24"/>
          <w:szCs w:val="24"/>
        </w:rPr>
        <w:t xml:space="preserve"> i zadovoljstvo</w:t>
      </w:r>
      <w:r w:rsidR="00A51244" w:rsidRPr="000109F2">
        <w:rPr>
          <w:sz w:val="24"/>
          <w:szCs w:val="24"/>
        </w:rPr>
        <w:t>)</w:t>
      </w:r>
      <w:r w:rsidRPr="000109F2">
        <w:rPr>
          <w:sz w:val="24"/>
          <w:szCs w:val="24"/>
        </w:rPr>
        <w:t xml:space="preserve">. </w:t>
      </w:r>
    </w:p>
    <w:p w:rsidR="00AE0AF1" w:rsidRPr="00FB6207" w:rsidRDefault="00FB6207" w:rsidP="00F31312">
      <w:pPr>
        <w:autoSpaceDE w:val="0"/>
        <w:autoSpaceDN w:val="0"/>
        <w:adjustRightInd w:val="0"/>
        <w:spacing w:after="0"/>
        <w:jc w:val="both"/>
        <w:rPr>
          <w:sz w:val="24"/>
          <w:szCs w:val="24"/>
        </w:rPr>
      </w:pPr>
      <w:r w:rsidRPr="00FB6207">
        <w:rPr>
          <w:sz w:val="24"/>
          <w:szCs w:val="24"/>
        </w:rPr>
        <w:t xml:space="preserve">Ekonomski i financijski ciljevi pojedinca su mnogobrojni. Oni su nerijetko međusobno uvjetovani i isprepleteni. Umjesto jednog jedinstvenog cilja </w:t>
      </w:r>
      <w:r w:rsidR="00CE4481">
        <w:rPr>
          <w:sz w:val="24"/>
          <w:szCs w:val="24"/>
        </w:rPr>
        <w:t xml:space="preserve">postoji </w:t>
      </w:r>
      <w:r w:rsidRPr="00FB6207">
        <w:rPr>
          <w:sz w:val="24"/>
          <w:szCs w:val="24"/>
        </w:rPr>
        <w:t xml:space="preserve">mrežu ciljeva. a u mreži ciljeva postoji </w:t>
      </w:r>
      <w:r w:rsidRPr="00FF728C">
        <w:rPr>
          <w:color w:val="C00000"/>
          <w:sz w:val="24"/>
          <w:szCs w:val="24"/>
        </w:rPr>
        <w:t>hijerarhija koju čini redoslijed ciljeva po važnosti i prioritetu</w:t>
      </w:r>
      <w:r w:rsidRPr="00FB6207">
        <w:rPr>
          <w:sz w:val="24"/>
          <w:szCs w:val="24"/>
        </w:rPr>
        <w:t>.</w:t>
      </w:r>
      <w:r w:rsidRPr="003352E0">
        <w:rPr>
          <w:sz w:val="24"/>
          <w:szCs w:val="24"/>
        </w:rPr>
        <w:t xml:space="preserve"> Pri tome je p</w:t>
      </w:r>
      <w:r w:rsidR="00AE0AF1" w:rsidRPr="00FB6207">
        <w:rPr>
          <w:sz w:val="24"/>
          <w:szCs w:val="24"/>
        </w:rPr>
        <w:t xml:space="preserve">otrebno ostvariti optimalan odnos između: </w:t>
      </w:r>
    </w:p>
    <w:p w:rsidR="00AE0AF1" w:rsidRPr="00FB6207" w:rsidRDefault="00AE0AF1" w:rsidP="00E93220">
      <w:pPr>
        <w:numPr>
          <w:ilvl w:val="0"/>
          <w:numId w:val="5"/>
        </w:numPr>
        <w:autoSpaceDE w:val="0"/>
        <w:autoSpaceDN w:val="0"/>
        <w:adjustRightInd w:val="0"/>
        <w:spacing w:after="0"/>
        <w:ind w:left="714" w:hanging="357"/>
        <w:jc w:val="both"/>
        <w:rPr>
          <w:sz w:val="24"/>
          <w:szCs w:val="24"/>
        </w:rPr>
      </w:pPr>
      <w:r w:rsidRPr="00FB6207">
        <w:rPr>
          <w:sz w:val="24"/>
          <w:szCs w:val="24"/>
        </w:rPr>
        <w:t xml:space="preserve">ciljeva usmjerenih na povećanje financijske sigurnosti </w:t>
      </w:r>
      <w:r w:rsidR="00F31312">
        <w:rPr>
          <w:sz w:val="24"/>
          <w:szCs w:val="24"/>
        </w:rPr>
        <w:t>i materijalnog</w:t>
      </w:r>
      <w:r w:rsidRPr="00FB6207">
        <w:rPr>
          <w:sz w:val="24"/>
          <w:szCs w:val="24"/>
        </w:rPr>
        <w:t xml:space="preserve"> bogatstv</w:t>
      </w:r>
      <w:r w:rsidR="00F31312">
        <w:rPr>
          <w:sz w:val="24"/>
          <w:szCs w:val="24"/>
        </w:rPr>
        <w:t>a</w:t>
      </w:r>
      <w:r w:rsidRPr="00FB6207">
        <w:rPr>
          <w:sz w:val="24"/>
          <w:szCs w:val="24"/>
        </w:rPr>
        <w:t xml:space="preserve"> </w:t>
      </w:r>
    </w:p>
    <w:p w:rsidR="00FF728C" w:rsidRDefault="00AE0AF1" w:rsidP="00F31312">
      <w:pPr>
        <w:numPr>
          <w:ilvl w:val="0"/>
          <w:numId w:val="5"/>
        </w:numPr>
        <w:autoSpaceDE w:val="0"/>
        <w:autoSpaceDN w:val="0"/>
        <w:adjustRightInd w:val="0"/>
        <w:spacing w:after="0" w:line="240" w:lineRule="auto"/>
        <w:ind w:left="714" w:hanging="357"/>
        <w:jc w:val="both"/>
        <w:rPr>
          <w:sz w:val="24"/>
          <w:szCs w:val="24"/>
        </w:rPr>
      </w:pPr>
      <w:r w:rsidRPr="00FB6207">
        <w:rPr>
          <w:sz w:val="24"/>
          <w:szCs w:val="24"/>
        </w:rPr>
        <w:t>te ciljeva koji doprinose većoj kvaliteti života i zadovoljstva samim sobom.</w:t>
      </w:r>
    </w:p>
    <w:p w:rsidR="00AE0AF1" w:rsidRPr="00FF728C" w:rsidRDefault="00AE0AF1" w:rsidP="00F31312">
      <w:pPr>
        <w:autoSpaceDE w:val="0"/>
        <w:autoSpaceDN w:val="0"/>
        <w:adjustRightInd w:val="0"/>
        <w:spacing w:before="240" w:after="0"/>
        <w:jc w:val="both"/>
        <w:rPr>
          <w:sz w:val="24"/>
          <w:szCs w:val="24"/>
        </w:rPr>
      </w:pPr>
      <w:r w:rsidRPr="00FF728C">
        <w:rPr>
          <w:sz w:val="24"/>
          <w:szCs w:val="24"/>
        </w:rPr>
        <w:t>Obje kategorije ciljeva vezane su uz zadovoljavanje uobičajenih ljudskih potreba</w:t>
      </w:r>
      <w:r w:rsidR="00575B2F" w:rsidRPr="00FF728C">
        <w:rPr>
          <w:sz w:val="24"/>
          <w:szCs w:val="24"/>
        </w:rPr>
        <w:t>,</w:t>
      </w:r>
      <w:r w:rsidRPr="00FF728C">
        <w:rPr>
          <w:sz w:val="24"/>
          <w:szCs w:val="24"/>
        </w:rPr>
        <w:t xml:space="preserve"> a po rangu prioriteta i važnosti slijede uobičajenu </w:t>
      </w:r>
      <w:r w:rsidRPr="00FF728C">
        <w:rPr>
          <w:color w:val="C00000"/>
          <w:sz w:val="24"/>
          <w:szCs w:val="24"/>
        </w:rPr>
        <w:t>Maslowovu hijerarhiju potreba</w:t>
      </w:r>
      <w:r w:rsidRPr="003352E0">
        <w:rPr>
          <w:sz w:val="24"/>
          <w:szCs w:val="24"/>
          <w:vertAlign w:val="superscript"/>
        </w:rPr>
        <w:footnoteReference w:id="22"/>
      </w:r>
      <w:r w:rsidRPr="00FF728C">
        <w:rPr>
          <w:sz w:val="24"/>
          <w:szCs w:val="24"/>
        </w:rPr>
        <w:t xml:space="preserve">: </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fiziološke egzistencijske potrebe (hrana. voda. odjeća. zaklon. ...)</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potrebe za sigurnošću (osobna sigurnost. zaštita od nezgoda. izvor zarade i financijska sigurnost. zdravlje. zadovoljstvo. ...)</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pripadanje. ljubav i društvene potrebe</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samopoštovanje i poštovanje drugih (pozitivno mišljenje drugih o nama)</w:t>
      </w:r>
    </w:p>
    <w:p w:rsidR="00AE0AF1" w:rsidRPr="00FB6207" w:rsidRDefault="00AE0AF1" w:rsidP="001D49CA">
      <w:pPr>
        <w:numPr>
          <w:ilvl w:val="1"/>
          <w:numId w:val="5"/>
        </w:numPr>
        <w:autoSpaceDE w:val="0"/>
        <w:autoSpaceDN w:val="0"/>
        <w:adjustRightInd w:val="0"/>
        <w:spacing w:after="0" w:line="240" w:lineRule="auto"/>
        <w:ind w:left="1434" w:hanging="357"/>
        <w:jc w:val="both"/>
        <w:rPr>
          <w:sz w:val="24"/>
          <w:szCs w:val="24"/>
        </w:rPr>
      </w:pPr>
      <w:r w:rsidRPr="00FB6207">
        <w:rPr>
          <w:sz w:val="24"/>
          <w:szCs w:val="24"/>
        </w:rPr>
        <w:t>potrebe za samoostvarivanjem.</w:t>
      </w:r>
    </w:p>
    <w:p w:rsidR="00AE0AF1" w:rsidRPr="00FB6207" w:rsidRDefault="00AE0AF1" w:rsidP="001D49CA">
      <w:pPr>
        <w:autoSpaceDE w:val="0"/>
        <w:autoSpaceDN w:val="0"/>
        <w:adjustRightInd w:val="0"/>
        <w:spacing w:before="240"/>
        <w:jc w:val="both"/>
        <w:rPr>
          <w:sz w:val="24"/>
          <w:szCs w:val="24"/>
        </w:rPr>
      </w:pPr>
      <w:r w:rsidRPr="00FB6207">
        <w:rPr>
          <w:sz w:val="24"/>
          <w:szCs w:val="24"/>
        </w:rPr>
        <w:t>Dok je ostvarivanje dohotka za financiranje mjesečnih izdataka za kupovinu hrane i drugih namjernica vezano uz potrebu zadovoljena temeljnih fizičkih (egzistencijskih) potreba</w:t>
      </w:r>
      <w:r w:rsidR="00936F68">
        <w:rPr>
          <w:sz w:val="24"/>
          <w:szCs w:val="24"/>
        </w:rPr>
        <w:t>,</w:t>
      </w:r>
      <w:r w:rsidRPr="00FB6207">
        <w:rPr>
          <w:sz w:val="24"/>
          <w:szCs w:val="24"/>
        </w:rPr>
        <w:t xml:space="preserve"> </w:t>
      </w:r>
      <w:r w:rsidRPr="00F31312">
        <w:rPr>
          <w:color w:val="C00000"/>
          <w:sz w:val="24"/>
          <w:szCs w:val="24"/>
        </w:rPr>
        <w:t>formiranje štednje ulazi u domenu potreba za sigurnošću</w:t>
      </w:r>
      <w:r w:rsidR="00936F68" w:rsidRPr="00F31312">
        <w:rPr>
          <w:color w:val="C00000"/>
          <w:sz w:val="24"/>
          <w:szCs w:val="24"/>
        </w:rPr>
        <w:t>,</w:t>
      </w:r>
      <w:r w:rsidRPr="00F31312">
        <w:rPr>
          <w:color w:val="C00000"/>
          <w:sz w:val="24"/>
          <w:szCs w:val="24"/>
        </w:rPr>
        <w:t xml:space="preserve"> ali i potreba za samopoštovanjem i samoostvarenjem</w:t>
      </w:r>
      <w:r w:rsidRPr="00FB6207">
        <w:rPr>
          <w:sz w:val="24"/>
          <w:szCs w:val="24"/>
        </w:rPr>
        <w:t>. Formirana štednja najbolja je zaštita od financijske nesigurnosti kakvu predstavljaju mogućnosti gubitka posla ili financijski problemi poslodavca zbog kojih se pojedinac može suočiti s značajnim smanjenjem redovnih prihoda iz plaće. Sredstva formirane štednje posebno su važna s aspekta poboljšanja financijske situacije u godinama umirovljenja kada se redovni prihodi tipično smanjuju. Isto tako ona je važna za financiranje školovanja djece</w:t>
      </w:r>
      <w:r w:rsidR="00936F68">
        <w:rPr>
          <w:sz w:val="24"/>
          <w:szCs w:val="24"/>
        </w:rPr>
        <w:t>,</w:t>
      </w:r>
      <w:r w:rsidRPr="00FB6207">
        <w:rPr>
          <w:sz w:val="24"/>
          <w:szCs w:val="24"/>
        </w:rPr>
        <w:t xml:space="preserve"> financiranje kupovine automobila</w:t>
      </w:r>
      <w:r w:rsidR="00936F68">
        <w:rPr>
          <w:sz w:val="24"/>
          <w:szCs w:val="24"/>
        </w:rPr>
        <w:t>,</w:t>
      </w:r>
      <w:r w:rsidRPr="00FB6207">
        <w:rPr>
          <w:sz w:val="24"/>
          <w:szCs w:val="24"/>
        </w:rPr>
        <w:t xml:space="preserve"> kupovine većeg stana</w:t>
      </w:r>
      <w:r w:rsidR="00936F68">
        <w:rPr>
          <w:sz w:val="24"/>
          <w:szCs w:val="24"/>
        </w:rPr>
        <w:t>,</w:t>
      </w:r>
      <w:r w:rsidRPr="00FB6207">
        <w:rPr>
          <w:sz w:val="24"/>
          <w:szCs w:val="24"/>
        </w:rPr>
        <w:t xml:space="preserve"> financiranja turističkih putovanja</w:t>
      </w:r>
      <w:r w:rsidR="00936F68">
        <w:rPr>
          <w:sz w:val="24"/>
          <w:szCs w:val="24"/>
        </w:rPr>
        <w:t>,</w:t>
      </w:r>
      <w:r w:rsidRPr="00FB6207">
        <w:rPr>
          <w:sz w:val="24"/>
          <w:szCs w:val="24"/>
        </w:rPr>
        <w:t xml:space="preserve"> kao i pokretanja samostalnog poduzetništva. </w:t>
      </w:r>
    </w:p>
    <w:tbl>
      <w:tblPr>
        <w:tblStyle w:val="Reetkatablice"/>
        <w:tblW w:w="0" w:type="auto"/>
        <w:tblInd w:w="108" w:type="dxa"/>
        <w:tblLook w:val="04A0" w:firstRow="1" w:lastRow="0" w:firstColumn="1" w:lastColumn="0" w:noHBand="0" w:noVBand="1"/>
      </w:tblPr>
      <w:tblGrid>
        <w:gridCol w:w="9180"/>
      </w:tblGrid>
      <w:tr w:rsidR="0098184B" w:rsidTr="0098184B">
        <w:tc>
          <w:tcPr>
            <w:tcW w:w="9180" w:type="dxa"/>
            <w:shd w:val="clear" w:color="auto" w:fill="F2F2F2" w:themeFill="background1" w:themeFillShade="F2"/>
          </w:tcPr>
          <w:p w:rsidR="0098184B" w:rsidRDefault="0098184B" w:rsidP="001D49CA">
            <w:pPr>
              <w:autoSpaceDE w:val="0"/>
              <w:autoSpaceDN w:val="0"/>
              <w:adjustRightInd w:val="0"/>
              <w:spacing w:before="120" w:after="120" w:line="264" w:lineRule="auto"/>
              <w:jc w:val="both"/>
              <w:rPr>
                <w:sz w:val="24"/>
                <w:szCs w:val="24"/>
              </w:rPr>
            </w:pPr>
            <w:r w:rsidRPr="000109F2">
              <w:rPr>
                <w:rFonts w:asciiTheme="minorHAnsi" w:hAnsiTheme="minorHAnsi" w:cstheme="minorBidi"/>
                <w:sz w:val="24"/>
                <w:szCs w:val="24"/>
              </w:rPr>
              <w:t>U zemljama s vrlo visokom stopom siromaštva</w:t>
            </w:r>
            <w:r>
              <w:rPr>
                <w:sz w:val="24"/>
                <w:szCs w:val="24"/>
              </w:rPr>
              <w:t>,</w:t>
            </w:r>
            <w:r w:rsidRPr="000109F2">
              <w:rPr>
                <w:rFonts w:asciiTheme="minorHAnsi" w:hAnsiTheme="minorHAnsi" w:cstheme="minorBidi"/>
                <w:sz w:val="24"/>
                <w:szCs w:val="24"/>
              </w:rPr>
              <w:t xml:space="preserve"> financijski ciljevi pojedinaca usmjereni su primarno na kratak rok te na dostizanje one razine dohotka uz koju temeljne egzistencijske </w:t>
            </w:r>
            <w:r w:rsidRPr="000109F2">
              <w:rPr>
                <w:rFonts w:asciiTheme="minorHAnsi" w:hAnsiTheme="minorHAnsi" w:cstheme="minorBidi"/>
                <w:sz w:val="24"/>
                <w:szCs w:val="24"/>
              </w:rPr>
              <w:lastRenderedPageBreak/>
              <w:t>potrebe pojedinca i članova nj</w:t>
            </w:r>
            <w:r w:rsidR="00F9611C">
              <w:rPr>
                <w:rFonts w:asciiTheme="minorHAnsi" w:hAnsiTheme="minorHAnsi" w:cstheme="minorBidi"/>
                <w:sz w:val="24"/>
                <w:szCs w:val="24"/>
              </w:rPr>
              <w:t>egove obitelji nisu ugrožene. S</w:t>
            </w:r>
            <w:r w:rsidRPr="000109F2">
              <w:rPr>
                <w:rFonts w:asciiTheme="minorHAnsi" w:hAnsiTheme="minorHAnsi" w:cstheme="minorBidi"/>
                <w:sz w:val="24"/>
                <w:szCs w:val="24"/>
              </w:rPr>
              <w:t xml:space="preserve"> porastom dohotka per capita</w:t>
            </w:r>
            <w:r>
              <w:rPr>
                <w:sz w:val="24"/>
                <w:szCs w:val="24"/>
              </w:rPr>
              <w:t>,</w:t>
            </w:r>
            <w:r w:rsidRPr="000109F2">
              <w:rPr>
                <w:rFonts w:asciiTheme="minorHAnsi" w:hAnsiTheme="minorHAnsi" w:cstheme="minorBidi"/>
                <w:sz w:val="24"/>
                <w:szCs w:val="24"/>
              </w:rPr>
              <w:t xml:space="preserve"> ekonomski i financijski ciljevi više su orijentirani na srednji i dugi rok</w:t>
            </w:r>
            <w:r>
              <w:rPr>
                <w:sz w:val="24"/>
                <w:szCs w:val="24"/>
              </w:rPr>
              <w:t xml:space="preserve"> -</w:t>
            </w:r>
            <w:r w:rsidRPr="000109F2">
              <w:rPr>
                <w:rFonts w:asciiTheme="minorHAnsi" w:hAnsiTheme="minorHAnsi" w:cstheme="minorBidi"/>
                <w:sz w:val="24"/>
                <w:szCs w:val="24"/>
              </w:rPr>
              <w:t xml:space="preserve"> brigu o financijskoj situaciji u godinama umirovljenja te na dostizanje više razine životnog standarda. Nakon dostizanja određene razine dohotka</w:t>
            </w:r>
            <w:r>
              <w:rPr>
                <w:sz w:val="24"/>
                <w:szCs w:val="24"/>
              </w:rPr>
              <w:t xml:space="preserve">, </w:t>
            </w:r>
            <w:r w:rsidRPr="000109F2">
              <w:rPr>
                <w:rFonts w:asciiTheme="minorHAnsi" w:hAnsiTheme="minorHAnsi" w:cstheme="minorBidi"/>
                <w:sz w:val="24"/>
                <w:szCs w:val="24"/>
              </w:rPr>
              <w:t>pored potrebe za povećanjem životnog standarda i brige za financijsku situaciju u godinama umirovljenja</w:t>
            </w:r>
            <w:r>
              <w:rPr>
                <w:sz w:val="24"/>
                <w:szCs w:val="24"/>
              </w:rPr>
              <w:t>,</w:t>
            </w:r>
            <w:r w:rsidRPr="000109F2">
              <w:rPr>
                <w:rFonts w:asciiTheme="minorHAnsi" w:hAnsiTheme="minorHAnsi" w:cstheme="minorBidi"/>
                <w:sz w:val="24"/>
                <w:szCs w:val="24"/>
              </w:rPr>
              <w:t xml:space="preserve"> sve važniji postaju ciljevi usmjereni na </w:t>
            </w:r>
            <w:r w:rsidRPr="00F31312">
              <w:rPr>
                <w:rFonts w:asciiTheme="minorHAnsi" w:hAnsiTheme="minorHAnsi" w:cstheme="minorBidi"/>
                <w:color w:val="C00000"/>
                <w:sz w:val="24"/>
                <w:szCs w:val="24"/>
              </w:rPr>
              <w:t>povećanje kvali</w:t>
            </w:r>
            <w:r w:rsidR="00B30D31" w:rsidRPr="00F31312">
              <w:rPr>
                <w:rFonts w:asciiTheme="minorHAnsi" w:hAnsiTheme="minorHAnsi" w:cstheme="minorBidi"/>
                <w:color w:val="C00000"/>
                <w:sz w:val="24"/>
                <w:szCs w:val="24"/>
              </w:rPr>
              <w:t>tete života u svim fazama život</w:t>
            </w:r>
            <w:r w:rsidR="009F1EEF" w:rsidRPr="00F31312">
              <w:rPr>
                <w:rFonts w:asciiTheme="minorHAnsi" w:hAnsiTheme="minorHAnsi" w:cstheme="minorBidi"/>
                <w:color w:val="C00000"/>
                <w:sz w:val="24"/>
                <w:szCs w:val="24"/>
              </w:rPr>
              <w:t>nog ciklusa</w:t>
            </w:r>
            <w:r w:rsidRPr="000109F2">
              <w:rPr>
                <w:rFonts w:asciiTheme="minorHAnsi" w:hAnsiTheme="minorHAnsi" w:cstheme="minorBidi"/>
                <w:sz w:val="24"/>
                <w:szCs w:val="24"/>
              </w:rPr>
              <w:t xml:space="preserve">. </w:t>
            </w:r>
          </w:p>
        </w:tc>
      </w:tr>
    </w:tbl>
    <w:p w:rsidR="0098184B" w:rsidRDefault="00AE0AF1" w:rsidP="001D49CA">
      <w:pPr>
        <w:autoSpaceDE w:val="0"/>
        <w:autoSpaceDN w:val="0"/>
        <w:adjustRightInd w:val="0"/>
        <w:spacing w:before="240"/>
        <w:jc w:val="both"/>
        <w:rPr>
          <w:sz w:val="24"/>
          <w:szCs w:val="24"/>
        </w:rPr>
      </w:pPr>
      <w:r w:rsidRPr="00FB6207">
        <w:rPr>
          <w:sz w:val="24"/>
          <w:szCs w:val="24"/>
        </w:rPr>
        <w:lastRenderedPageBreak/>
        <w:t xml:space="preserve">Ako </w:t>
      </w:r>
      <w:r w:rsidR="0098184B">
        <w:rPr>
          <w:sz w:val="24"/>
          <w:szCs w:val="24"/>
        </w:rPr>
        <w:t>su</w:t>
      </w:r>
      <w:r w:rsidRPr="00FB6207">
        <w:rPr>
          <w:sz w:val="24"/>
          <w:szCs w:val="24"/>
        </w:rPr>
        <w:t xml:space="preserve"> cilj</w:t>
      </w:r>
      <w:r w:rsidR="0098184B">
        <w:rPr>
          <w:sz w:val="24"/>
          <w:szCs w:val="24"/>
        </w:rPr>
        <w:t>evi</w:t>
      </w:r>
      <w:r w:rsidRPr="00FB6207">
        <w:rPr>
          <w:sz w:val="24"/>
          <w:szCs w:val="24"/>
        </w:rPr>
        <w:t xml:space="preserve"> povećanje financijske sigurnosti i bogatstva </w:t>
      </w:r>
      <w:r w:rsidR="0098184B">
        <w:rPr>
          <w:sz w:val="24"/>
          <w:szCs w:val="24"/>
        </w:rPr>
        <w:t xml:space="preserve">kućanstva, </w:t>
      </w:r>
      <w:r w:rsidRPr="00FB6207">
        <w:rPr>
          <w:sz w:val="24"/>
          <w:szCs w:val="24"/>
        </w:rPr>
        <w:t xml:space="preserve">jedini put da </w:t>
      </w:r>
      <w:r w:rsidR="00936F68">
        <w:rPr>
          <w:sz w:val="24"/>
          <w:szCs w:val="24"/>
        </w:rPr>
        <w:t>se to</w:t>
      </w:r>
      <w:r w:rsidRPr="00FB6207">
        <w:rPr>
          <w:sz w:val="24"/>
          <w:szCs w:val="24"/>
        </w:rPr>
        <w:t xml:space="preserve"> postigne je </w:t>
      </w:r>
      <w:r w:rsidR="00936F68">
        <w:rPr>
          <w:sz w:val="24"/>
          <w:szCs w:val="24"/>
        </w:rPr>
        <w:t xml:space="preserve">manja potrošnja u tekućem razdoblju i formiranje štednje koja se </w:t>
      </w:r>
      <w:r w:rsidRPr="00FB6207">
        <w:rPr>
          <w:sz w:val="24"/>
          <w:szCs w:val="24"/>
        </w:rPr>
        <w:t xml:space="preserve">ulaže u </w:t>
      </w:r>
      <w:r w:rsidR="00936F68">
        <w:rPr>
          <w:sz w:val="24"/>
          <w:szCs w:val="24"/>
        </w:rPr>
        <w:t xml:space="preserve">adekvatne i različite </w:t>
      </w:r>
      <w:r w:rsidRPr="00FB6207">
        <w:rPr>
          <w:sz w:val="24"/>
          <w:szCs w:val="24"/>
        </w:rPr>
        <w:t xml:space="preserve">financijske ili realne oblike imovine koji će donijeti odgovarajući prinos </w:t>
      </w:r>
      <w:r w:rsidR="00936F68">
        <w:rPr>
          <w:sz w:val="24"/>
          <w:szCs w:val="24"/>
        </w:rPr>
        <w:t>te</w:t>
      </w:r>
      <w:r w:rsidRPr="00FB6207">
        <w:rPr>
          <w:sz w:val="24"/>
          <w:szCs w:val="24"/>
        </w:rPr>
        <w:t xml:space="preserve"> porast životnog standarda i kvalitete živo</w:t>
      </w:r>
      <w:r w:rsidR="00936F68">
        <w:rPr>
          <w:sz w:val="24"/>
          <w:szCs w:val="24"/>
        </w:rPr>
        <w:t>t</w:t>
      </w:r>
      <w:r w:rsidRPr="00FB6207">
        <w:rPr>
          <w:sz w:val="24"/>
          <w:szCs w:val="24"/>
        </w:rPr>
        <w:t>a u budućnosti.</w:t>
      </w:r>
      <w:r w:rsidRPr="00936F68">
        <w:rPr>
          <w:sz w:val="24"/>
          <w:szCs w:val="24"/>
          <w:vertAlign w:val="superscript"/>
        </w:rPr>
        <w:footnoteReference w:id="23"/>
      </w:r>
      <w:r w:rsidR="008E4DD2">
        <w:rPr>
          <w:sz w:val="24"/>
          <w:szCs w:val="24"/>
        </w:rPr>
        <w:t xml:space="preserve"> </w:t>
      </w:r>
      <w:r w:rsidR="00F31312">
        <w:rPr>
          <w:sz w:val="24"/>
          <w:szCs w:val="24"/>
        </w:rPr>
        <w:t>D</w:t>
      </w:r>
      <w:r w:rsidR="00A00C63" w:rsidRPr="00975801">
        <w:rPr>
          <w:sz w:val="24"/>
          <w:szCs w:val="24"/>
        </w:rPr>
        <w:t xml:space="preserve">a bi financijski ciljevi imali smisao i vrijednost, potrebno ih je </w:t>
      </w:r>
      <w:r w:rsidR="00975801">
        <w:rPr>
          <w:sz w:val="24"/>
          <w:szCs w:val="24"/>
        </w:rPr>
        <w:t xml:space="preserve">kvantificirati </w:t>
      </w:r>
      <w:r w:rsidR="00A00C63" w:rsidRPr="00975801">
        <w:rPr>
          <w:sz w:val="24"/>
          <w:szCs w:val="24"/>
        </w:rPr>
        <w:t xml:space="preserve">uz objektivno sagledavanje tekućeg financijskog stanje te analizu prilika i mogućnosti koje su realno ostvarive. </w:t>
      </w:r>
    </w:p>
    <w:p w:rsidR="00A00C63" w:rsidRPr="00975801" w:rsidRDefault="00A00C63" w:rsidP="00A00C63">
      <w:pPr>
        <w:autoSpaceDE w:val="0"/>
        <w:autoSpaceDN w:val="0"/>
        <w:adjustRightInd w:val="0"/>
        <w:jc w:val="both"/>
        <w:rPr>
          <w:sz w:val="24"/>
          <w:szCs w:val="24"/>
        </w:rPr>
      </w:pPr>
      <w:r w:rsidRPr="00D76837">
        <w:rPr>
          <w:color w:val="C00000"/>
          <w:sz w:val="24"/>
          <w:szCs w:val="24"/>
        </w:rPr>
        <w:t xml:space="preserve">Analiza okoline </w:t>
      </w:r>
      <w:r w:rsidRPr="00975801">
        <w:rPr>
          <w:sz w:val="24"/>
          <w:szCs w:val="24"/>
        </w:rPr>
        <w:t xml:space="preserve">važan je korak procesa planiranja i upravljanja osobnim financijama. Analiziranje sadašnjih i budućih </w:t>
      </w:r>
      <w:r w:rsidRPr="00D76837">
        <w:rPr>
          <w:color w:val="C00000"/>
          <w:sz w:val="24"/>
          <w:szCs w:val="24"/>
        </w:rPr>
        <w:t xml:space="preserve">prijetnji i prilika </w:t>
      </w:r>
      <w:r w:rsidRPr="00975801">
        <w:rPr>
          <w:sz w:val="24"/>
          <w:szCs w:val="24"/>
        </w:rPr>
        <w:t xml:space="preserve">koje proizlaze iz vanjske okoline te </w:t>
      </w:r>
      <w:r w:rsidRPr="00D76837">
        <w:rPr>
          <w:color w:val="C00000"/>
          <w:sz w:val="24"/>
          <w:szCs w:val="24"/>
        </w:rPr>
        <w:t xml:space="preserve">snage i slabosti </w:t>
      </w:r>
      <w:r w:rsidRPr="00975801">
        <w:rPr>
          <w:sz w:val="24"/>
          <w:szCs w:val="24"/>
        </w:rPr>
        <w:t xml:space="preserve">koje rezultiraju iz interne okoline, čimbenici su koji mogu djelovati na sposobnost pojedinca (kućanstva) da ostvari postavljene financijske ciljeve. </w:t>
      </w:r>
      <w:r w:rsidRPr="00D76837">
        <w:rPr>
          <w:color w:val="C00000"/>
          <w:sz w:val="24"/>
          <w:szCs w:val="24"/>
        </w:rPr>
        <w:t xml:space="preserve">Eksterna okolina </w:t>
      </w:r>
      <w:r w:rsidRPr="00975801">
        <w:rPr>
          <w:sz w:val="24"/>
          <w:szCs w:val="24"/>
        </w:rPr>
        <w:t>uključuje čimbenike koji indirektno djeluju na financije i ekonomsko zadovoljstvo pojedinca i članova njegove obitelji</w:t>
      </w:r>
      <w:r w:rsidR="00975801" w:rsidRPr="00975801">
        <w:rPr>
          <w:sz w:val="24"/>
          <w:szCs w:val="24"/>
        </w:rPr>
        <w:t>,</w:t>
      </w:r>
      <w:r w:rsidRPr="00975801">
        <w:rPr>
          <w:sz w:val="24"/>
          <w:szCs w:val="24"/>
        </w:rPr>
        <w:t xml:space="preserve"> a uključuju socio</w:t>
      </w:r>
      <w:r w:rsidR="00975801" w:rsidRPr="00975801">
        <w:rPr>
          <w:sz w:val="24"/>
          <w:szCs w:val="24"/>
        </w:rPr>
        <w:t>-</w:t>
      </w:r>
      <w:r w:rsidRPr="00975801">
        <w:rPr>
          <w:sz w:val="24"/>
          <w:szCs w:val="24"/>
        </w:rPr>
        <w:t>kulturnu okolinu</w:t>
      </w:r>
      <w:r w:rsidR="00975801" w:rsidRPr="00975801">
        <w:rPr>
          <w:sz w:val="24"/>
          <w:szCs w:val="24"/>
        </w:rPr>
        <w:t>,</w:t>
      </w:r>
      <w:r w:rsidRPr="00975801">
        <w:rPr>
          <w:sz w:val="24"/>
          <w:szCs w:val="24"/>
        </w:rPr>
        <w:t xml:space="preserve"> političko-pravnu okolinu</w:t>
      </w:r>
      <w:r w:rsidR="00975801" w:rsidRPr="00975801">
        <w:rPr>
          <w:sz w:val="24"/>
          <w:szCs w:val="24"/>
        </w:rPr>
        <w:t>,</w:t>
      </w:r>
      <w:r w:rsidRPr="00975801">
        <w:rPr>
          <w:sz w:val="24"/>
          <w:szCs w:val="24"/>
        </w:rPr>
        <w:t xml:space="preserve"> ekonomsku okolinu</w:t>
      </w:r>
      <w:r w:rsidR="00975801" w:rsidRPr="00975801">
        <w:rPr>
          <w:sz w:val="24"/>
          <w:szCs w:val="24"/>
        </w:rPr>
        <w:t>,</w:t>
      </w:r>
      <w:r w:rsidRPr="00975801">
        <w:rPr>
          <w:sz w:val="24"/>
          <w:szCs w:val="24"/>
        </w:rPr>
        <w:t xml:space="preserve"> prirodno-ekološku okolinu</w:t>
      </w:r>
      <w:r w:rsidR="00975801" w:rsidRPr="00975801">
        <w:rPr>
          <w:sz w:val="24"/>
          <w:szCs w:val="24"/>
        </w:rPr>
        <w:t>,</w:t>
      </w:r>
      <w:r w:rsidRPr="00975801">
        <w:rPr>
          <w:sz w:val="24"/>
          <w:szCs w:val="24"/>
        </w:rPr>
        <w:t xml:space="preserve"> poslovnu okolinu itd. Njihovo predviđanje</w:t>
      </w:r>
      <w:r w:rsidR="00975801" w:rsidRPr="00975801">
        <w:rPr>
          <w:sz w:val="24"/>
          <w:szCs w:val="24"/>
        </w:rPr>
        <w:t>,</w:t>
      </w:r>
      <w:r w:rsidRPr="00975801">
        <w:rPr>
          <w:sz w:val="24"/>
          <w:szCs w:val="24"/>
        </w:rPr>
        <w:t xml:space="preserve"> praćenje i analiziranje važni su preduvjeti za efikasno upravljanje osobnim financijama</w:t>
      </w:r>
      <w:r w:rsidR="00975801" w:rsidRPr="00975801">
        <w:rPr>
          <w:sz w:val="24"/>
          <w:szCs w:val="24"/>
        </w:rPr>
        <w:t>,</w:t>
      </w:r>
      <w:r w:rsidRPr="00975801">
        <w:rPr>
          <w:sz w:val="24"/>
          <w:szCs w:val="24"/>
        </w:rPr>
        <w:t xml:space="preserve"> kako bi se na vrijeme prilagodil</w:t>
      </w:r>
      <w:r w:rsidR="00F31312">
        <w:rPr>
          <w:sz w:val="24"/>
          <w:szCs w:val="24"/>
        </w:rPr>
        <w:t>o promjenama te poduzelo</w:t>
      </w:r>
      <w:r w:rsidRPr="00975801">
        <w:rPr>
          <w:sz w:val="24"/>
          <w:szCs w:val="24"/>
        </w:rPr>
        <w:t xml:space="preserve"> korektivne akcije koje će omogućiti ostvarivanje ciljeva.</w:t>
      </w:r>
    </w:p>
    <w:p w:rsidR="001D49CA" w:rsidRDefault="00A00C63" w:rsidP="00A00C63">
      <w:pPr>
        <w:autoSpaceDE w:val="0"/>
        <w:autoSpaceDN w:val="0"/>
        <w:adjustRightInd w:val="0"/>
        <w:jc w:val="both"/>
        <w:rPr>
          <w:sz w:val="24"/>
          <w:szCs w:val="24"/>
        </w:rPr>
      </w:pPr>
      <w:r w:rsidRPr="00975801">
        <w:rPr>
          <w:sz w:val="24"/>
          <w:szCs w:val="24"/>
        </w:rPr>
        <w:t xml:space="preserve">Na ekonomsko zadovoljstvo pojedinaca i mogućnosti ostvarivanja financijskih ciljeva djeluju </w:t>
      </w:r>
      <w:r w:rsidRPr="00D76837">
        <w:rPr>
          <w:color w:val="C00000"/>
          <w:sz w:val="24"/>
          <w:szCs w:val="24"/>
        </w:rPr>
        <w:t>čimbenici mikroekonomskog i makroekonomskog okruženja</w:t>
      </w:r>
      <w:r w:rsidRPr="00975801">
        <w:rPr>
          <w:sz w:val="24"/>
          <w:szCs w:val="24"/>
        </w:rPr>
        <w:t>. Dok su mikroekonomski čimbenici primarno vezani uz neposrednu radnu i obiteljsku okolinu</w:t>
      </w:r>
      <w:r w:rsidR="00975801" w:rsidRPr="00975801">
        <w:rPr>
          <w:sz w:val="24"/>
          <w:szCs w:val="24"/>
        </w:rPr>
        <w:t>,</w:t>
      </w:r>
      <w:r w:rsidRPr="00975801">
        <w:rPr>
          <w:sz w:val="24"/>
          <w:szCs w:val="24"/>
        </w:rPr>
        <w:t xml:space="preserve"> makroekonomski eksterni čimbenici determinirani su općom ekonomskom situacijom u zemlji i globalnom okruženju. Tipične makroekonomske varijable uz koje se vežu učinci na ekonomsko zadovoljstvo pojedinaca su: veličina realnog bruto domaćeg proizvoda</w:t>
      </w:r>
      <w:r w:rsidR="00975801" w:rsidRPr="00975801">
        <w:rPr>
          <w:sz w:val="24"/>
          <w:szCs w:val="24"/>
        </w:rPr>
        <w:t>,</w:t>
      </w:r>
      <w:r w:rsidRPr="00975801">
        <w:rPr>
          <w:sz w:val="24"/>
          <w:szCs w:val="24"/>
        </w:rPr>
        <w:t xml:space="preserve"> veličina BDP-a per capita</w:t>
      </w:r>
      <w:r w:rsidR="00975801" w:rsidRPr="00975801">
        <w:rPr>
          <w:sz w:val="24"/>
          <w:szCs w:val="24"/>
        </w:rPr>
        <w:t>,</w:t>
      </w:r>
      <w:r w:rsidRPr="00975801">
        <w:rPr>
          <w:sz w:val="24"/>
          <w:szCs w:val="24"/>
        </w:rPr>
        <w:t xml:space="preserve"> ravnomjernost distribucije dohotka u društvu</w:t>
      </w:r>
      <w:r w:rsidR="00975801" w:rsidRPr="00975801">
        <w:rPr>
          <w:sz w:val="24"/>
          <w:szCs w:val="24"/>
        </w:rPr>
        <w:t>,</w:t>
      </w:r>
      <w:r w:rsidRPr="00975801">
        <w:rPr>
          <w:sz w:val="24"/>
          <w:szCs w:val="24"/>
        </w:rPr>
        <w:t xml:space="preserve"> stopa realnog rasta BDP-a</w:t>
      </w:r>
      <w:r w:rsidR="00975801" w:rsidRPr="00975801">
        <w:rPr>
          <w:sz w:val="24"/>
          <w:szCs w:val="24"/>
        </w:rPr>
        <w:t>,</w:t>
      </w:r>
      <w:r w:rsidRPr="00975801">
        <w:rPr>
          <w:sz w:val="24"/>
          <w:szCs w:val="24"/>
        </w:rPr>
        <w:t xml:space="preserve"> stopa inflacije</w:t>
      </w:r>
      <w:r w:rsidR="00975801" w:rsidRPr="00975801">
        <w:rPr>
          <w:sz w:val="24"/>
          <w:szCs w:val="24"/>
        </w:rPr>
        <w:t>,</w:t>
      </w:r>
      <w:r w:rsidRPr="00975801">
        <w:rPr>
          <w:sz w:val="24"/>
          <w:szCs w:val="24"/>
        </w:rPr>
        <w:t xml:space="preserve"> stopa nezaposlenosti</w:t>
      </w:r>
      <w:r w:rsidR="00975801" w:rsidRPr="00975801">
        <w:rPr>
          <w:sz w:val="24"/>
          <w:szCs w:val="24"/>
        </w:rPr>
        <w:t>,</w:t>
      </w:r>
      <w:r w:rsidRPr="00975801">
        <w:rPr>
          <w:sz w:val="24"/>
          <w:szCs w:val="24"/>
        </w:rPr>
        <w:t xml:space="preserve"> porezno opterećenje te razina države blagostanja</w:t>
      </w:r>
      <w:r w:rsidR="00975801" w:rsidRPr="00975801">
        <w:rPr>
          <w:sz w:val="24"/>
          <w:szCs w:val="24"/>
        </w:rPr>
        <w:t xml:space="preserve"> (socijalne države)</w:t>
      </w:r>
      <w:r w:rsidRPr="00975801">
        <w:rPr>
          <w:sz w:val="24"/>
          <w:szCs w:val="24"/>
        </w:rPr>
        <w:t xml:space="preserve">. </w:t>
      </w:r>
    </w:p>
    <w:p w:rsidR="00A00C63" w:rsidRPr="00975801" w:rsidRDefault="00A00C63" w:rsidP="00A00C63">
      <w:pPr>
        <w:autoSpaceDE w:val="0"/>
        <w:autoSpaceDN w:val="0"/>
        <w:adjustRightInd w:val="0"/>
        <w:jc w:val="both"/>
        <w:rPr>
          <w:sz w:val="24"/>
          <w:szCs w:val="24"/>
        </w:rPr>
      </w:pPr>
      <w:r w:rsidRPr="00975801">
        <w:rPr>
          <w:sz w:val="24"/>
          <w:szCs w:val="24"/>
        </w:rPr>
        <w:t>Pri tome su učinci spomenutih varijabla različiti od zemlje do zemlje</w:t>
      </w:r>
      <w:r w:rsidR="00975801" w:rsidRPr="00975801">
        <w:rPr>
          <w:sz w:val="24"/>
          <w:szCs w:val="24"/>
        </w:rPr>
        <w:t>,</w:t>
      </w:r>
      <w:r w:rsidRPr="00975801">
        <w:rPr>
          <w:sz w:val="24"/>
          <w:szCs w:val="24"/>
        </w:rPr>
        <w:t xml:space="preserve"> što ovisi o stupnju ekonomskog i društvenog razvoja</w:t>
      </w:r>
      <w:r w:rsidR="00975801" w:rsidRPr="00975801">
        <w:rPr>
          <w:sz w:val="24"/>
          <w:szCs w:val="24"/>
        </w:rPr>
        <w:t>,</w:t>
      </w:r>
      <w:r w:rsidRPr="00975801">
        <w:rPr>
          <w:sz w:val="24"/>
          <w:szCs w:val="24"/>
        </w:rPr>
        <w:t xml:space="preserve"> životnom standardu i kvaliteti života građana</w:t>
      </w:r>
      <w:r w:rsidR="00975801" w:rsidRPr="00975801">
        <w:rPr>
          <w:sz w:val="24"/>
          <w:szCs w:val="24"/>
        </w:rPr>
        <w:t>,</w:t>
      </w:r>
      <w:r w:rsidRPr="00975801">
        <w:rPr>
          <w:sz w:val="24"/>
          <w:szCs w:val="24"/>
        </w:rPr>
        <w:t xml:space="preserve"> o zabilježenoj stopi siromaštva</w:t>
      </w:r>
      <w:r w:rsidR="00975801" w:rsidRPr="00975801">
        <w:rPr>
          <w:sz w:val="24"/>
          <w:szCs w:val="24"/>
        </w:rPr>
        <w:t>,</w:t>
      </w:r>
      <w:r w:rsidRPr="00975801">
        <w:rPr>
          <w:sz w:val="24"/>
          <w:szCs w:val="24"/>
        </w:rPr>
        <w:t xml:space="preserve"> povijesnim iskustvima</w:t>
      </w:r>
      <w:r w:rsidR="00975801" w:rsidRPr="00975801">
        <w:rPr>
          <w:sz w:val="24"/>
          <w:szCs w:val="24"/>
        </w:rPr>
        <w:t>,</w:t>
      </w:r>
      <w:r w:rsidRPr="00975801">
        <w:rPr>
          <w:sz w:val="24"/>
          <w:szCs w:val="24"/>
        </w:rPr>
        <w:t xml:space="preserve"> političkom uređenju i nizu drugih okolnosti. Nadalje. utjecaj spomenutih varijabla na subjektivno ekonomsko zadovoljstvo </w:t>
      </w:r>
      <w:r w:rsidRPr="00975801">
        <w:rPr>
          <w:sz w:val="24"/>
          <w:szCs w:val="24"/>
        </w:rPr>
        <w:lastRenderedPageBreak/>
        <w:t>ovisan je o dobi pojedinca</w:t>
      </w:r>
      <w:r w:rsidR="00975801" w:rsidRPr="00975801">
        <w:rPr>
          <w:sz w:val="24"/>
          <w:szCs w:val="24"/>
        </w:rPr>
        <w:t>,</w:t>
      </w:r>
      <w:r w:rsidRPr="00975801">
        <w:rPr>
          <w:sz w:val="24"/>
          <w:szCs w:val="24"/>
        </w:rPr>
        <w:t xml:space="preserve"> njegovom stupnju obrazovanja</w:t>
      </w:r>
      <w:r w:rsidR="00975801" w:rsidRPr="00975801">
        <w:rPr>
          <w:sz w:val="24"/>
          <w:szCs w:val="24"/>
        </w:rPr>
        <w:t>,</w:t>
      </w:r>
      <w:r w:rsidRPr="00975801">
        <w:rPr>
          <w:sz w:val="24"/>
          <w:szCs w:val="24"/>
        </w:rPr>
        <w:t xml:space="preserve"> dohodovnom razredu</w:t>
      </w:r>
      <w:r w:rsidR="00975801" w:rsidRPr="00975801">
        <w:rPr>
          <w:sz w:val="24"/>
          <w:szCs w:val="24"/>
        </w:rPr>
        <w:t xml:space="preserve">, </w:t>
      </w:r>
      <w:r w:rsidRPr="00975801">
        <w:rPr>
          <w:sz w:val="24"/>
          <w:szCs w:val="24"/>
        </w:rPr>
        <w:t xml:space="preserve"> trenutnom stanju</w:t>
      </w:r>
      <w:r w:rsidR="00975801" w:rsidRPr="00975801">
        <w:rPr>
          <w:sz w:val="24"/>
          <w:szCs w:val="24"/>
        </w:rPr>
        <w:t xml:space="preserve"> zaposlenosti i sigurnosti </w:t>
      </w:r>
      <w:r w:rsidRPr="00975801">
        <w:rPr>
          <w:sz w:val="24"/>
          <w:szCs w:val="24"/>
        </w:rPr>
        <w:t xml:space="preserve"> </w:t>
      </w:r>
      <w:r w:rsidR="00975801" w:rsidRPr="00975801">
        <w:rPr>
          <w:sz w:val="24"/>
          <w:szCs w:val="24"/>
        </w:rPr>
        <w:t>radnog mjesta</w:t>
      </w:r>
      <w:r w:rsidRPr="00975801">
        <w:rPr>
          <w:sz w:val="24"/>
          <w:szCs w:val="24"/>
        </w:rPr>
        <w:t>.</w:t>
      </w:r>
      <w:r w:rsidRPr="00D76837">
        <w:rPr>
          <w:sz w:val="24"/>
          <w:szCs w:val="24"/>
          <w:vertAlign w:val="superscript"/>
        </w:rPr>
        <w:footnoteReference w:id="24"/>
      </w:r>
    </w:p>
    <w:p w:rsidR="00A00C63" w:rsidRPr="00975801" w:rsidRDefault="00A00C63" w:rsidP="00A00C63">
      <w:pPr>
        <w:autoSpaceDE w:val="0"/>
        <w:autoSpaceDN w:val="0"/>
        <w:adjustRightInd w:val="0"/>
        <w:jc w:val="both"/>
        <w:rPr>
          <w:sz w:val="24"/>
          <w:szCs w:val="24"/>
        </w:rPr>
      </w:pPr>
      <w:r w:rsidRPr="00975801">
        <w:rPr>
          <w:sz w:val="24"/>
          <w:szCs w:val="24"/>
        </w:rPr>
        <w:t xml:space="preserve">Porast stope nezaposlenosti odražava se na </w:t>
      </w:r>
      <w:r w:rsidR="00F31312">
        <w:rPr>
          <w:sz w:val="24"/>
          <w:szCs w:val="24"/>
        </w:rPr>
        <w:t>sreću i ekonomsko zadovoljstvo, kako</w:t>
      </w:r>
      <w:r w:rsidRPr="00975801">
        <w:rPr>
          <w:sz w:val="24"/>
          <w:szCs w:val="24"/>
        </w:rPr>
        <w:t xml:space="preserve"> nezaposlenih</w:t>
      </w:r>
      <w:r w:rsidR="00F31312">
        <w:rPr>
          <w:sz w:val="24"/>
          <w:szCs w:val="24"/>
        </w:rPr>
        <w:t>,</w:t>
      </w:r>
      <w:r w:rsidRPr="00975801">
        <w:rPr>
          <w:sz w:val="24"/>
          <w:szCs w:val="24"/>
        </w:rPr>
        <w:t xml:space="preserve"> </w:t>
      </w:r>
      <w:r w:rsidR="00F31312">
        <w:rPr>
          <w:sz w:val="24"/>
          <w:szCs w:val="24"/>
        </w:rPr>
        <w:t xml:space="preserve">tako </w:t>
      </w:r>
      <w:r w:rsidRPr="00975801">
        <w:rPr>
          <w:sz w:val="24"/>
          <w:szCs w:val="24"/>
        </w:rPr>
        <w:t>i zaposlenih osoba. Nezaposlenost uzrokuje izostanak tekućeg dohotka osoba koje su nezaposlene</w:t>
      </w:r>
      <w:r w:rsidR="00975801" w:rsidRPr="00975801">
        <w:rPr>
          <w:sz w:val="24"/>
          <w:szCs w:val="24"/>
        </w:rPr>
        <w:t>,</w:t>
      </w:r>
      <w:r w:rsidRPr="00975801">
        <w:rPr>
          <w:sz w:val="24"/>
          <w:szCs w:val="24"/>
        </w:rPr>
        <w:t xml:space="preserve"> nepovoljno djeluje na veličinu osobne potrošnje i nacionalni dohodak</w:t>
      </w:r>
      <w:r w:rsidR="00975801" w:rsidRPr="00975801">
        <w:rPr>
          <w:sz w:val="24"/>
          <w:szCs w:val="24"/>
        </w:rPr>
        <w:t>,</w:t>
      </w:r>
      <w:r w:rsidRPr="00975801">
        <w:rPr>
          <w:sz w:val="24"/>
          <w:szCs w:val="24"/>
        </w:rPr>
        <w:t xml:space="preserve"> degradira ljudske vještine. uzrokuje društvenu izolaciju nezaposlenih i članova njihove </w:t>
      </w:r>
      <w:r w:rsidR="001D49CA">
        <w:rPr>
          <w:sz w:val="24"/>
          <w:szCs w:val="24"/>
        </w:rPr>
        <w:t>o</w:t>
      </w:r>
      <w:r w:rsidRPr="00975801">
        <w:rPr>
          <w:sz w:val="24"/>
          <w:szCs w:val="24"/>
        </w:rPr>
        <w:t>bitelji. S druge strane u uvjetima visoke nezaposlenosti povećava se strah zaposlenih od moguće nezaposlenosti.</w:t>
      </w:r>
      <w:r w:rsidRPr="00D76837">
        <w:rPr>
          <w:sz w:val="24"/>
          <w:szCs w:val="24"/>
          <w:vertAlign w:val="superscript"/>
        </w:rPr>
        <w:footnoteReference w:id="25"/>
      </w:r>
    </w:p>
    <w:p w:rsidR="00A00C63" w:rsidRDefault="00A00C63" w:rsidP="00A00C63">
      <w:pPr>
        <w:autoSpaceDE w:val="0"/>
        <w:autoSpaceDN w:val="0"/>
        <w:adjustRightInd w:val="0"/>
        <w:jc w:val="both"/>
        <w:rPr>
          <w:sz w:val="24"/>
          <w:szCs w:val="24"/>
        </w:rPr>
      </w:pPr>
      <w:r w:rsidRPr="00975801">
        <w:rPr>
          <w:sz w:val="24"/>
          <w:szCs w:val="24"/>
        </w:rPr>
        <w:t>U usporedbi važnosti stope nezaposlenosti i važnosti stope inflacije</w:t>
      </w:r>
      <w:r w:rsidR="00975801" w:rsidRPr="00975801">
        <w:rPr>
          <w:sz w:val="24"/>
          <w:szCs w:val="24"/>
        </w:rPr>
        <w:t>,</w:t>
      </w:r>
      <w:r w:rsidRPr="00975801">
        <w:rPr>
          <w:sz w:val="24"/>
          <w:szCs w:val="24"/>
        </w:rPr>
        <w:t xml:space="preserve"> izraženiji utjecaj na subjektivno ekonomsko zadovoljstvo ima stopa nezaposlenost.</w:t>
      </w:r>
      <w:r w:rsidRPr="00D76837">
        <w:rPr>
          <w:sz w:val="24"/>
          <w:szCs w:val="24"/>
          <w:vertAlign w:val="superscript"/>
        </w:rPr>
        <w:footnoteReference w:id="26"/>
      </w:r>
      <w:r w:rsidRPr="00975801">
        <w:rPr>
          <w:sz w:val="24"/>
          <w:szCs w:val="24"/>
        </w:rPr>
        <w:t xml:space="preserve"> Izuzetak od navedenog predstavljaju situacije ekstremno visoke stope inflacije. uključujući hiperinflaciju</w:t>
      </w:r>
      <w:r w:rsidR="00975801" w:rsidRPr="00975801">
        <w:rPr>
          <w:sz w:val="24"/>
          <w:szCs w:val="24"/>
        </w:rPr>
        <w:t>,</w:t>
      </w:r>
      <w:r w:rsidRPr="00975801">
        <w:rPr>
          <w:sz w:val="24"/>
          <w:szCs w:val="24"/>
        </w:rPr>
        <w:t xml:space="preserve"> kada je nepovoljno djelovanje inflacije na ekonomsko zadovoljstvo naglašenije od utjecaja čimbenika visine stope nezaposlenosti. Uz visoku stopu inflacije dolazi do značajnog pada realne kupovne moći novca</w:t>
      </w:r>
      <w:r w:rsidR="00975801" w:rsidRPr="00975801">
        <w:rPr>
          <w:sz w:val="24"/>
          <w:szCs w:val="24"/>
        </w:rPr>
        <w:t>,</w:t>
      </w:r>
      <w:r w:rsidRPr="00975801">
        <w:rPr>
          <w:sz w:val="24"/>
          <w:szCs w:val="24"/>
        </w:rPr>
        <w:t xml:space="preserve"> pada realnih dohodaka</w:t>
      </w:r>
      <w:r w:rsidR="00975801" w:rsidRPr="00975801">
        <w:rPr>
          <w:sz w:val="24"/>
          <w:szCs w:val="24"/>
        </w:rPr>
        <w:t>,</w:t>
      </w:r>
      <w:r w:rsidRPr="00975801">
        <w:rPr>
          <w:sz w:val="24"/>
          <w:szCs w:val="24"/>
        </w:rPr>
        <w:t xml:space="preserve"> preraspodjele dohodaka od vjerovnika prema dužnicima</w:t>
      </w:r>
      <w:r w:rsidR="00975801" w:rsidRPr="00975801">
        <w:rPr>
          <w:sz w:val="24"/>
          <w:szCs w:val="24"/>
        </w:rPr>
        <w:t>,</w:t>
      </w:r>
      <w:r w:rsidRPr="00975801">
        <w:rPr>
          <w:sz w:val="24"/>
          <w:szCs w:val="24"/>
        </w:rPr>
        <w:t xml:space="preserve"> smanjenja životnog standarda te netransparentnosti cijena i drugih varijabla</w:t>
      </w:r>
      <w:r w:rsidR="00975801" w:rsidRPr="00975801">
        <w:rPr>
          <w:sz w:val="24"/>
          <w:szCs w:val="24"/>
        </w:rPr>
        <w:t>,</w:t>
      </w:r>
      <w:r w:rsidRPr="00975801">
        <w:rPr>
          <w:sz w:val="24"/>
          <w:szCs w:val="24"/>
        </w:rPr>
        <w:t xml:space="preserve"> što u uvjetima opće nestabilnosti narušava stupanj ekonomskog zadovoljstva. </w:t>
      </w:r>
    </w:p>
    <w:p w:rsidR="000109F2" w:rsidRPr="00FB6207" w:rsidRDefault="000109F2" w:rsidP="000109F2">
      <w:pPr>
        <w:autoSpaceDE w:val="0"/>
        <w:autoSpaceDN w:val="0"/>
        <w:adjustRightInd w:val="0"/>
        <w:jc w:val="both"/>
        <w:rPr>
          <w:sz w:val="24"/>
          <w:szCs w:val="24"/>
        </w:rPr>
      </w:pPr>
      <w:r>
        <w:rPr>
          <w:sz w:val="24"/>
          <w:szCs w:val="24"/>
        </w:rPr>
        <w:t>Iako se pojmovi životni standard i kvaliteta života vrlo često koriste na mikro razini - analizirajući ekonomsku, financijsku i društvenu situaciju pojedinca, radi se o makroekonomskim pojmovima koji se koriste kao pokazatelji blagostanja i ekonomskog zadovoljstva građana u određenoj zemlji.</w:t>
      </w:r>
    </w:p>
    <w:p w:rsidR="00D76837" w:rsidRPr="000109F2" w:rsidRDefault="000109F2" w:rsidP="002D1DD5">
      <w:pPr>
        <w:tabs>
          <w:tab w:val="left" w:pos="2820"/>
        </w:tabs>
        <w:spacing w:before="240"/>
        <w:jc w:val="both"/>
        <w:rPr>
          <w:b/>
          <w:sz w:val="24"/>
          <w:szCs w:val="24"/>
        </w:rPr>
      </w:pPr>
      <w:r w:rsidRPr="000109F2">
        <w:rPr>
          <w:b/>
          <w:sz w:val="24"/>
          <w:szCs w:val="24"/>
        </w:rPr>
        <w:t>1.</w:t>
      </w:r>
      <w:r w:rsidR="00881FB1">
        <w:rPr>
          <w:b/>
          <w:sz w:val="24"/>
          <w:szCs w:val="24"/>
        </w:rPr>
        <w:t>6</w:t>
      </w:r>
      <w:r w:rsidRPr="000109F2">
        <w:rPr>
          <w:b/>
          <w:sz w:val="24"/>
          <w:szCs w:val="24"/>
        </w:rPr>
        <w:t>. Životni standard i kvaliteta života</w:t>
      </w:r>
      <w:r w:rsidR="00326F60">
        <w:rPr>
          <w:b/>
          <w:sz w:val="24"/>
          <w:szCs w:val="24"/>
        </w:rPr>
        <w:t>: trendovi razvoja ekonomije sreće</w:t>
      </w:r>
    </w:p>
    <w:p w:rsidR="00F15650" w:rsidRDefault="000109F2" w:rsidP="000109F2">
      <w:pPr>
        <w:autoSpaceDE w:val="0"/>
        <w:autoSpaceDN w:val="0"/>
        <w:adjustRightInd w:val="0"/>
        <w:jc w:val="both"/>
        <w:rPr>
          <w:sz w:val="24"/>
          <w:szCs w:val="24"/>
        </w:rPr>
      </w:pPr>
      <w:r w:rsidRPr="000109F2">
        <w:rPr>
          <w:sz w:val="24"/>
          <w:szCs w:val="24"/>
        </w:rPr>
        <w:t xml:space="preserve">Životni standard i kvaliteta života </w:t>
      </w:r>
      <w:r w:rsidR="001F7463">
        <w:rPr>
          <w:sz w:val="24"/>
          <w:szCs w:val="24"/>
        </w:rPr>
        <w:t xml:space="preserve">su </w:t>
      </w:r>
      <w:r w:rsidRPr="000109F2">
        <w:rPr>
          <w:sz w:val="24"/>
          <w:szCs w:val="24"/>
        </w:rPr>
        <w:t>pojmovi koji se ponekad javljaju kao sinonimi</w:t>
      </w:r>
      <w:r w:rsidR="004439A8">
        <w:rPr>
          <w:sz w:val="24"/>
          <w:szCs w:val="24"/>
        </w:rPr>
        <w:t>,</w:t>
      </w:r>
      <w:r w:rsidRPr="000109F2">
        <w:rPr>
          <w:sz w:val="24"/>
          <w:szCs w:val="24"/>
        </w:rPr>
        <w:t xml:space="preserve"> iako u ekonomskom i društvenom smislu između njih postoje značajne razlike. </w:t>
      </w:r>
      <w:r w:rsidRPr="000109F2">
        <w:rPr>
          <w:color w:val="C00000"/>
          <w:sz w:val="24"/>
          <w:szCs w:val="24"/>
        </w:rPr>
        <w:t xml:space="preserve">Životni standard </w:t>
      </w:r>
      <w:r w:rsidRPr="000109F2">
        <w:rPr>
          <w:sz w:val="24"/>
          <w:szCs w:val="24"/>
        </w:rPr>
        <w:t xml:space="preserve">tipična je makroekonomska kategorija i ovisi o kvaliteti i količini raspoloživih dobara i usluga te načinu na koju su ta dobra i usluge distribuirane unutar populacije. </w:t>
      </w:r>
      <w:r w:rsidR="00F15650">
        <w:rPr>
          <w:sz w:val="24"/>
          <w:szCs w:val="24"/>
        </w:rPr>
        <w:t>Faktori životnog standarda su stoga visina dohotka i njegova distribucija (što manji Ginijev koeficijent).</w:t>
      </w:r>
    </w:p>
    <w:p w:rsidR="000109F2" w:rsidRDefault="00F15650" w:rsidP="000109F2">
      <w:pPr>
        <w:autoSpaceDE w:val="0"/>
        <w:autoSpaceDN w:val="0"/>
        <w:adjustRightInd w:val="0"/>
        <w:jc w:val="both"/>
        <w:rPr>
          <w:sz w:val="24"/>
          <w:szCs w:val="24"/>
        </w:rPr>
      </w:pPr>
      <w:r>
        <w:rPr>
          <w:color w:val="C00000"/>
          <w:sz w:val="24"/>
          <w:szCs w:val="24"/>
        </w:rPr>
        <w:t>R</w:t>
      </w:r>
      <w:r w:rsidR="000109F2" w:rsidRPr="00BC75CD">
        <w:rPr>
          <w:color w:val="C00000"/>
          <w:sz w:val="24"/>
          <w:szCs w:val="24"/>
        </w:rPr>
        <w:t>ealn</w:t>
      </w:r>
      <w:r>
        <w:rPr>
          <w:color w:val="C00000"/>
          <w:sz w:val="24"/>
          <w:szCs w:val="24"/>
        </w:rPr>
        <w:t>i</w:t>
      </w:r>
      <w:r w:rsidR="000109F2" w:rsidRPr="00BC75CD">
        <w:rPr>
          <w:color w:val="C00000"/>
          <w:sz w:val="24"/>
          <w:szCs w:val="24"/>
        </w:rPr>
        <w:t xml:space="preserve"> doho</w:t>
      </w:r>
      <w:r>
        <w:rPr>
          <w:color w:val="C00000"/>
          <w:sz w:val="24"/>
          <w:szCs w:val="24"/>
        </w:rPr>
        <w:t>dak</w:t>
      </w:r>
      <w:r w:rsidR="000109F2" w:rsidRPr="00BC75CD">
        <w:rPr>
          <w:color w:val="C00000"/>
          <w:sz w:val="24"/>
          <w:szCs w:val="24"/>
        </w:rPr>
        <w:t xml:space="preserve"> po glavi stanovnika </w:t>
      </w:r>
      <w:r w:rsidR="00BC75CD" w:rsidRPr="00F15650">
        <w:rPr>
          <w:color w:val="C00000"/>
          <w:sz w:val="24"/>
          <w:szCs w:val="24"/>
        </w:rPr>
        <w:t xml:space="preserve">je temeljni </w:t>
      </w:r>
      <w:r w:rsidR="000109F2" w:rsidRPr="00F15650">
        <w:rPr>
          <w:color w:val="C00000"/>
          <w:sz w:val="24"/>
          <w:szCs w:val="24"/>
        </w:rPr>
        <w:t>makroekonomski pokazatelj životnog standarda</w:t>
      </w:r>
      <w:r w:rsidRPr="00F15650">
        <w:rPr>
          <w:sz w:val="24"/>
          <w:szCs w:val="24"/>
        </w:rPr>
        <w:t xml:space="preserve">, odnosno varijabla prema kojoj se rade usporedbe </w:t>
      </w:r>
      <w:r w:rsidR="003D5F45">
        <w:rPr>
          <w:sz w:val="24"/>
          <w:szCs w:val="24"/>
        </w:rPr>
        <w:t xml:space="preserve">životnog standarda </w:t>
      </w:r>
      <w:r w:rsidRPr="00F15650">
        <w:rPr>
          <w:sz w:val="24"/>
          <w:szCs w:val="24"/>
        </w:rPr>
        <w:t>među zemljama</w:t>
      </w:r>
      <w:r w:rsidR="00BC75CD" w:rsidRPr="00F15650">
        <w:rPr>
          <w:sz w:val="24"/>
          <w:szCs w:val="24"/>
        </w:rPr>
        <w:t xml:space="preserve"> </w:t>
      </w:r>
      <w:r w:rsidR="00BC75CD">
        <w:t>(</w:t>
      </w:r>
      <w:r w:rsidR="00BC75CD" w:rsidRPr="002D1DD5">
        <w:rPr>
          <w:sz w:val="24"/>
          <w:szCs w:val="24"/>
        </w:rPr>
        <w:t xml:space="preserve">vidjeti tablicu </w:t>
      </w:r>
      <w:r w:rsidR="002D1DD5" w:rsidRPr="002D1DD5">
        <w:rPr>
          <w:sz w:val="24"/>
          <w:szCs w:val="24"/>
        </w:rPr>
        <w:t>8</w:t>
      </w:r>
      <w:r w:rsidR="00BC75CD" w:rsidRPr="002D1DD5">
        <w:rPr>
          <w:sz w:val="24"/>
          <w:szCs w:val="24"/>
        </w:rPr>
        <w:t>)</w:t>
      </w:r>
      <w:r w:rsidR="000109F2" w:rsidRPr="002D1DD5">
        <w:rPr>
          <w:sz w:val="24"/>
          <w:szCs w:val="24"/>
        </w:rPr>
        <w:t>.</w:t>
      </w:r>
      <w:r w:rsidR="000109F2" w:rsidRPr="000109F2">
        <w:rPr>
          <w:sz w:val="24"/>
          <w:szCs w:val="24"/>
        </w:rPr>
        <w:t xml:space="preserve"> Nadalje </w:t>
      </w:r>
      <w:r w:rsidR="00BC75CD">
        <w:rPr>
          <w:sz w:val="24"/>
          <w:szCs w:val="24"/>
        </w:rPr>
        <w:t>kao mjere životnog standarda koriste se sljedeći pokazatelji</w:t>
      </w:r>
      <w:r w:rsidR="000109F2" w:rsidRPr="000109F2">
        <w:rPr>
          <w:sz w:val="24"/>
          <w:szCs w:val="24"/>
        </w:rPr>
        <w:t>: nejednakost dohotka između pojedinaca unutar društva (distribucija tekućih dohodaka u društvu)</w:t>
      </w:r>
      <w:r w:rsidR="001F7463">
        <w:rPr>
          <w:sz w:val="24"/>
          <w:szCs w:val="24"/>
        </w:rPr>
        <w:t>,</w:t>
      </w:r>
      <w:r w:rsidR="000109F2" w:rsidRPr="000109F2">
        <w:rPr>
          <w:sz w:val="24"/>
          <w:szCs w:val="24"/>
        </w:rPr>
        <w:t xml:space="preserve"> distribucija kumuliranog bogatstva u društvu te visina stope </w:t>
      </w:r>
      <w:r w:rsidR="000109F2" w:rsidRPr="000109F2">
        <w:rPr>
          <w:sz w:val="24"/>
          <w:szCs w:val="24"/>
        </w:rPr>
        <w:lastRenderedPageBreak/>
        <w:t xml:space="preserve">siromaštva. U širem smislu mjere životnog standarda uključuju </w:t>
      </w:r>
      <w:r w:rsidR="00BC75CD">
        <w:rPr>
          <w:sz w:val="24"/>
          <w:szCs w:val="24"/>
        </w:rPr>
        <w:t xml:space="preserve">također </w:t>
      </w:r>
      <w:r w:rsidR="000109F2" w:rsidRPr="000109F2">
        <w:rPr>
          <w:sz w:val="24"/>
          <w:szCs w:val="24"/>
        </w:rPr>
        <w:t>pokazatelje: broja hladnjaka na 1.000 stanovnika</w:t>
      </w:r>
      <w:r w:rsidR="001F7463">
        <w:rPr>
          <w:sz w:val="24"/>
          <w:szCs w:val="24"/>
        </w:rPr>
        <w:t>,</w:t>
      </w:r>
      <w:r w:rsidR="000109F2" w:rsidRPr="000109F2">
        <w:rPr>
          <w:sz w:val="24"/>
          <w:szCs w:val="24"/>
        </w:rPr>
        <w:t xml:space="preserve"> broja televizora na 1.000 stanovnika. pristup Internetu na 1.000 stanovnika</w:t>
      </w:r>
      <w:r w:rsidR="001F7463">
        <w:rPr>
          <w:sz w:val="24"/>
          <w:szCs w:val="24"/>
        </w:rPr>
        <w:t>,</w:t>
      </w:r>
      <w:r w:rsidR="000109F2" w:rsidRPr="000109F2">
        <w:rPr>
          <w:sz w:val="24"/>
          <w:szCs w:val="24"/>
        </w:rPr>
        <w:t xml:space="preserve"> posjedovanje vlastitog stana. posjedovanje automobila i drugo. </w:t>
      </w:r>
    </w:p>
    <w:tbl>
      <w:tblPr>
        <w:tblStyle w:val="Reetkatablice"/>
        <w:tblW w:w="0" w:type="auto"/>
        <w:tblInd w:w="250" w:type="dxa"/>
        <w:tblLook w:val="04A0" w:firstRow="1" w:lastRow="0" w:firstColumn="1" w:lastColumn="0" w:noHBand="0" w:noVBand="1"/>
      </w:tblPr>
      <w:tblGrid>
        <w:gridCol w:w="8930"/>
      </w:tblGrid>
      <w:tr w:rsidR="00275973" w:rsidTr="00275973">
        <w:tc>
          <w:tcPr>
            <w:tcW w:w="8930" w:type="dxa"/>
          </w:tcPr>
          <w:p w:rsidR="00275973" w:rsidRDefault="00A92B45" w:rsidP="00275973">
            <w:pPr>
              <w:autoSpaceDE w:val="0"/>
              <w:autoSpaceDN w:val="0"/>
              <w:adjustRightInd w:val="0"/>
              <w:spacing w:before="120" w:after="12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U nastavku se nalaze izdatci </w:t>
            </w:r>
            <w:r w:rsidR="00275973" w:rsidRPr="00275973">
              <w:rPr>
                <w:rFonts w:asciiTheme="minorHAnsi" w:eastAsiaTheme="minorHAnsi" w:hAnsiTheme="minorHAnsi" w:cstheme="minorBidi"/>
                <w:sz w:val="24"/>
                <w:szCs w:val="24"/>
                <w:lang w:eastAsia="en-US"/>
              </w:rPr>
              <w:t xml:space="preserve">iz radova </w:t>
            </w:r>
            <w:r w:rsidR="008D52DF">
              <w:rPr>
                <w:rFonts w:asciiTheme="minorHAnsi" w:eastAsiaTheme="minorHAnsi" w:hAnsiTheme="minorHAnsi" w:cstheme="minorBidi"/>
                <w:sz w:val="24"/>
                <w:szCs w:val="24"/>
                <w:lang w:eastAsia="en-US"/>
              </w:rPr>
              <w:t xml:space="preserve">s osvrtom </w:t>
            </w:r>
            <w:r w:rsidR="00275973" w:rsidRPr="00275973">
              <w:rPr>
                <w:rFonts w:asciiTheme="minorHAnsi" w:eastAsiaTheme="minorHAnsi" w:hAnsiTheme="minorHAnsi" w:cstheme="minorBidi"/>
                <w:sz w:val="24"/>
                <w:szCs w:val="24"/>
                <w:lang w:eastAsia="en-US"/>
              </w:rPr>
              <w:t xml:space="preserve">na pokazatelje životnog standarda </w:t>
            </w:r>
            <w:r w:rsidR="00F9611C">
              <w:rPr>
                <w:rFonts w:asciiTheme="minorHAnsi" w:eastAsiaTheme="minorHAnsi" w:hAnsiTheme="minorHAnsi" w:cstheme="minorBidi"/>
                <w:sz w:val="24"/>
                <w:szCs w:val="24"/>
                <w:lang w:eastAsia="en-US"/>
              </w:rPr>
              <w:t xml:space="preserve">i siromaštva </w:t>
            </w:r>
            <w:r w:rsidR="00275973" w:rsidRPr="00275973">
              <w:rPr>
                <w:rFonts w:asciiTheme="minorHAnsi" w:eastAsiaTheme="minorHAnsi" w:hAnsiTheme="minorHAnsi" w:cstheme="minorBidi"/>
                <w:sz w:val="24"/>
                <w:szCs w:val="24"/>
                <w:lang w:eastAsia="en-US"/>
              </w:rPr>
              <w:t xml:space="preserve">u </w:t>
            </w:r>
            <w:r w:rsidR="008D52DF">
              <w:rPr>
                <w:rFonts w:asciiTheme="minorHAnsi" w:eastAsiaTheme="minorHAnsi" w:hAnsiTheme="minorHAnsi" w:cstheme="minorBidi"/>
                <w:sz w:val="24"/>
                <w:szCs w:val="24"/>
                <w:lang w:eastAsia="en-US"/>
              </w:rPr>
              <w:t xml:space="preserve">RH </w:t>
            </w:r>
            <w:r w:rsidR="00275973" w:rsidRPr="00275973">
              <w:rPr>
                <w:rFonts w:asciiTheme="minorHAnsi" w:eastAsiaTheme="minorHAnsi" w:hAnsiTheme="minorHAnsi" w:cstheme="minorBidi"/>
                <w:sz w:val="24"/>
                <w:szCs w:val="24"/>
                <w:lang w:eastAsia="en-US"/>
              </w:rPr>
              <w:t xml:space="preserve">u poslijeratnom i </w:t>
            </w:r>
            <w:r w:rsidR="001D49CA">
              <w:rPr>
                <w:rFonts w:asciiTheme="minorHAnsi" w:eastAsiaTheme="minorHAnsi" w:hAnsiTheme="minorHAnsi" w:cstheme="minorBidi"/>
                <w:sz w:val="24"/>
                <w:szCs w:val="24"/>
                <w:lang w:eastAsia="en-US"/>
              </w:rPr>
              <w:t>predkriz</w:t>
            </w:r>
            <w:r w:rsidR="00275973" w:rsidRPr="00275973">
              <w:rPr>
                <w:rFonts w:asciiTheme="minorHAnsi" w:eastAsiaTheme="minorHAnsi" w:hAnsiTheme="minorHAnsi" w:cstheme="minorBidi"/>
                <w:sz w:val="24"/>
                <w:szCs w:val="24"/>
                <w:lang w:eastAsia="en-US"/>
              </w:rPr>
              <w:t>nom razdoblju do 2007</w:t>
            </w:r>
            <w:r w:rsidR="005A3B64">
              <w:rPr>
                <w:rFonts w:asciiTheme="minorHAnsi" w:eastAsiaTheme="minorHAnsi" w:hAnsiTheme="minorHAnsi" w:cstheme="minorBidi"/>
                <w:sz w:val="24"/>
                <w:szCs w:val="24"/>
                <w:lang w:eastAsia="en-US"/>
              </w:rPr>
              <w:t>.</w:t>
            </w:r>
          </w:p>
          <w:p w:rsidR="00275973" w:rsidRPr="00275973" w:rsidRDefault="00275973" w:rsidP="00AD0B65">
            <w:pPr>
              <w:autoSpaceDE w:val="0"/>
              <w:autoSpaceDN w:val="0"/>
              <w:adjustRightInd w:val="0"/>
              <w:spacing w:before="120" w:after="120" w:line="276" w:lineRule="auto"/>
              <w:ind w:left="459"/>
              <w:jc w:val="both"/>
              <w:rPr>
                <w:rFonts w:asciiTheme="minorHAnsi" w:eastAsiaTheme="minorHAnsi" w:hAnsiTheme="minorHAnsi" w:cstheme="minorBidi"/>
                <w:i/>
                <w:sz w:val="22"/>
                <w:szCs w:val="22"/>
                <w:lang w:eastAsia="en-US"/>
              </w:rPr>
            </w:pPr>
            <w:r w:rsidRPr="00275973">
              <w:rPr>
                <w:rFonts w:asciiTheme="minorHAnsi" w:eastAsiaTheme="minorHAnsi" w:hAnsiTheme="minorHAnsi" w:cstheme="minorBidi"/>
                <w:i/>
                <w:sz w:val="22"/>
                <w:szCs w:val="22"/>
                <w:lang w:eastAsia="en-US"/>
              </w:rPr>
              <w:t>„Tranzicijski proces u Hrvatskoj je, između ostalog, za posljedicu imao i pad općeg životnog standarda. Došlo je do porasta siromaštva, pada prosječnog trajanja života i fertiliteta, širenja socijalnih sukoba i rasta dohodovnih nejednakosti. Hrvatska je prošla kroz rat koji je uništio veliki dio bogatstva zemlje sa štetama koje dosežu gotovo tridesetak milijardi dolara i brigom za veliki broj prognanika i izbjeglica koji su ostali bez i</w:t>
            </w:r>
            <w:r w:rsidR="002D1DD5">
              <w:rPr>
                <w:rFonts w:asciiTheme="minorHAnsi" w:eastAsiaTheme="minorHAnsi" w:hAnsiTheme="minorHAnsi" w:cstheme="minorBidi"/>
                <w:i/>
                <w:sz w:val="22"/>
                <w:szCs w:val="22"/>
                <w:lang w:eastAsia="en-US"/>
              </w:rPr>
              <w:t>kakvih egzistencijalnih izvora …</w:t>
            </w:r>
          </w:p>
          <w:p w:rsidR="00A92B45" w:rsidRDefault="00275973" w:rsidP="00AD0B65">
            <w:pPr>
              <w:autoSpaceDE w:val="0"/>
              <w:autoSpaceDN w:val="0"/>
              <w:adjustRightInd w:val="0"/>
              <w:spacing w:before="120" w:after="120" w:line="276" w:lineRule="auto"/>
              <w:ind w:left="459"/>
              <w:jc w:val="both"/>
              <w:rPr>
                <w:rFonts w:asciiTheme="minorHAnsi" w:eastAsiaTheme="minorHAnsi" w:hAnsiTheme="minorHAnsi" w:cstheme="minorBidi"/>
                <w:i/>
                <w:sz w:val="22"/>
                <w:szCs w:val="22"/>
                <w:lang w:eastAsia="en-US"/>
              </w:rPr>
            </w:pPr>
            <w:r w:rsidRPr="00275973">
              <w:rPr>
                <w:rFonts w:asciiTheme="minorHAnsi" w:eastAsiaTheme="minorHAnsi" w:hAnsiTheme="minorHAnsi" w:cstheme="minorBidi"/>
                <w:i/>
                <w:sz w:val="22"/>
                <w:szCs w:val="22"/>
                <w:lang w:eastAsia="en-US"/>
              </w:rPr>
              <w:t xml:space="preserve">… Bitno je istaći kako se učestalost siromaštva značajno razlikuje od regije do regije, isto kao i stope siromaštva, odnosno kako u Hrvatskoj postoji značajna regionalna nejednakost. Rangiranjem regija po razini učestalosti siromaštva pojavljuje se sljedeća široka tipologija. </w:t>
            </w:r>
          </w:p>
          <w:p w:rsidR="00A92B45" w:rsidRPr="002D1DD5" w:rsidRDefault="00275973" w:rsidP="00E93220">
            <w:pPr>
              <w:pStyle w:val="Odlomakpopisa"/>
              <w:numPr>
                <w:ilvl w:val="0"/>
                <w:numId w:val="7"/>
              </w:numPr>
              <w:autoSpaceDE w:val="0"/>
              <w:autoSpaceDN w:val="0"/>
              <w:adjustRightInd w:val="0"/>
              <w:spacing w:before="120" w:after="120"/>
              <w:jc w:val="both"/>
              <w:rPr>
                <w:rFonts w:asciiTheme="minorHAnsi" w:eastAsiaTheme="minorHAnsi" w:hAnsiTheme="minorHAnsi" w:cstheme="minorBidi"/>
                <w:i/>
                <w:sz w:val="22"/>
                <w:szCs w:val="22"/>
                <w:lang w:eastAsia="en-US"/>
              </w:rPr>
            </w:pPr>
            <w:r w:rsidRPr="002D1DD5">
              <w:rPr>
                <w:rFonts w:asciiTheme="minorHAnsi" w:eastAsiaTheme="minorHAnsi" w:hAnsiTheme="minorHAnsi" w:cstheme="minorBidi"/>
                <w:i/>
                <w:sz w:val="22"/>
                <w:szCs w:val="22"/>
                <w:lang w:eastAsia="en-US"/>
              </w:rPr>
              <w:t xml:space="preserve">Nisko siromaštvo: zagrebačka regija, sjeverni Jadran i urbani južni Jadran (koji zajedno čine oko polovinu stanovništva Hrvatske, a imaju samo jednu šestinu siromašnih); </w:t>
            </w:r>
          </w:p>
          <w:p w:rsidR="00A92B45" w:rsidRPr="002D1DD5" w:rsidRDefault="00275973" w:rsidP="00E93220">
            <w:pPr>
              <w:pStyle w:val="Odlomakpopisa"/>
              <w:numPr>
                <w:ilvl w:val="0"/>
                <w:numId w:val="7"/>
              </w:numPr>
              <w:autoSpaceDE w:val="0"/>
              <w:autoSpaceDN w:val="0"/>
              <w:adjustRightInd w:val="0"/>
              <w:spacing w:before="120" w:after="120"/>
              <w:jc w:val="both"/>
              <w:rPr>
                <w:rFonts w:asciiTheme="minorHAnsi" w:eastAsiaTheme="minorHAnsi" w:hAnsiTheme="minorHAnsi" w:cstheme="minorBidi"/>
                <w:i/>
                <w:sz w:val="22"/>
                <w:szCs w:val="22"/>
                <w:lang w:eastAsia="en-US"/>
              </w:rPr>
            </w:pPr>
            <w:r w:rsidRPr="002D1DD5">
              <w:rPr>
                <w:rFonts w:asciiTheme="minorHAnsi" w:eastAsiaTheme="minorHAnsi" w:hAnsiTheme="minorHAnsi" w:cstheme="minorBidi"/>
                <w:i/>
                <w:sz w:val="22"/>
                <w:szCs w:val="22"/>
                <w:lang w:eastAsia="en-US"/>
              </w:rPr>
              <w:t xml:space="preserve">Umjereno siromaštvo: ruralni južni Jadran, urbana središnja, urbana istočna regija (oko jedna četvrtina stanovništva Hrvatske i oko 30 posto siromašnih); </w:t>
            </w:r>
          </w:p>
          <w:p w:rsidR="00275973" w:rsidRPr="00F9611C" w:rsidRDefault="00275973" w:rsidP="00F9611C">
            <w:pPr>
              <w:pStyle w:val="Odlomakpopisa"/>
              <w:numPr>
                <w:ilvl w:val="0"/>
                <w:numId w:val="7"/>
              </w:numPr>
              <w:autoSpaceDE w:val="0"/>
              <w:autoSpaceDN w:val="0"/>
              <w:adjustRightInd w:val="0"/>
              <w:spacing w:before="120" w:after="120"/>
              <w:jc w:val="both"/>
              <w:rPr>
                <w:rFonts w:asciiTheme="minorHAnsi" w:eastAsiaTheme="minorHAnsi" w:hAnsiTheme="minorHAnsi" w:cstheme="minorBidi"/>
                <w:i/>
                <w:sz w:val="22"/>
                <w:szCs w:val="22"/>
                <w:lang w:eastAsia="en-US"/>
              </w:rPr>
            </w:pPr>
            <w:r w:rsidRPr="002D1DD5">
              <w:rPr>
                <w:rFonts w:asciiTheme="minorHAnsi" w:eastAsiaTheme="minorHAnsi" w:hAnsiTheme="minorHAnsi" w:cstheme="minorBidi"/>
                <w:i/>
                <w:sz w:val="22"/>
                <w:szCs w:val="22"/>
                <w:lang w:eastAsia="en-US"/>
              </w:rPr>
              <w:t xml:space="preserve">Visoko siromaštvo: ruralna središnja i ruralna istočna regija (oko jedna četvrtina stanovništva Hrvatske, ali više od polovine siromašnih). </w:t>
            </w:r>
            <w:r w:rsidRPr="00F9611C">
              <w:rPr>
                <w:rFonts w:eastAsiaTheme="minorHAnsi"/>
                <w:i/>
                <w:lang w:eastAsia="en-US"/>
              </w:rPr>
              <w:t>.“</w:t>
            </w:r>
            <w:r w:rsidR="00A92B45" w:rsidRPr="00F9611C">
              <w:rPr>
                <w:sz w:val="24"/>
                <w:szCs w:val="24"/>
                <w:vertAlign w:val="superscript"/>
              </w:rPr>
              <w:t xml:space="preserve"> </w:t>
            </w:r>
            <w:r w:rsidR="00FB6BC8" w:rsidRPr="00F9611C">
              <w:rPr>
                <w:sz w:val="24"/>
                <w:szCs w:val="24"/>
                <w:vertAlign w:val="superscript"/>
              </w:rPr>
              <w:t>*</w:t>
            </w:r>
          </w:p>
          <w:p w:rsidR="005A3B64" w:rsidRPr="008D52DF" w:rsidRDefault="005A3B64" w:rsidP="00275973">
            <w:pPr>
              <w:autoSpaceDE w:val="0"/>
              <w:autoSpaceDN w:val="0"/>
              <w:adjustRightInd w:val="0"/>
              <w:spacing w:before="120" w:after="120" w:line="276" w:lineRule="auto"/>
              <w:jc w:val="both"/>
              <w:rPr>
                <w:rFonts w:asciiTheme="minorHAnsi" w:eastAsiaTheme="minorHAnsi" w:hAnsiTheme="minorHAnsi" w:cstheme="minorBidi"/>
                <w:sz w:val="24"/>
                <w:szCs w:val="24"/>
                <w:lang w:eastAsia="en-US"/>
              </w:rPr>
            </w:pPr>
            <w:r w:rsidRPr="008D52DF">
              <w:rPr>
                <w:rFonts w:asciiTheme="minorHAnsi" w:eastAsiaTheme="minorHAnsi" w:hAnsiTheme="minorHAnsi" w:cstheme="minorBidi"/>
                <w:sz w:val="24"/>
                <w:szCs w:val="24"/>
                <w:lang w:eastAsia="en-US"/>
              </w:rPr>
              <w:t xml:space="preserve">2007. godine predstavljeno je i </w:t>
            </w:r>
            <w:r w:rsidRPr="008D52DF">
              <w:rPr>
                <w:rFonts w:asciiTheme="minorHAnsi" w:eastAsiaTheme="minorHAnsi" w:hAnsiTheme="minorHAnsi" w:cstheme="minorBidi"/>
                <w:color w:val="C00000"/>
                <w:sz w:val="24"/>
                <w:szCs w:val="24"/>
                <w:lang w:eastAsia="en-US"/>
              </w:rPr>
              <w:t>izvješće Svjetske banke:  “Hrvatska: ocjena životnog standarda - Promicanje socijalne uključenosti i regionalne jednakosti “</w:t>
            </w:r>
            <w:r w:rsidR="008D52DF" w:rsidRPr="008D52DF">
              <w:rPr>
                <w:rFonts w:asciiTheme="minorHAnsi" w:eastAsiaTheme="minorHAnsi" w:hAnsiTheme="minorHAnsi" w:cstheme="minorBidi"/>
                <w:color w:val="C00000"/>
                <w:sz w:val="24"/>
                <w:szCs w:val="24"/>
                <w:lang w:eastAsia="en-US"/>
              </w:rPr>
              <w:t xml:space="preserve">. </w:t>
            </w:r>
            <w:r w:rsidR="008D52DF" w:rsidRPr="008D52DF">
              <w:rPr>
                <w:rFonts w:asciiTheme="minorHAnsi" w:eastAsiaTheme="minorHAnsi" w:hAnsiTheme="minorHAnsi" w:cstheme="minorBidi"/>
                <w:sz w:val="24"/>
                <w:szCs w:val="24"/>
                <w:lang w:eastAsia="en-US"/>
              </w:rPr>
              <w:t xml:space="preserve">Kratak osvrt na navedeno izviješće ističe </w:t>
            </w:r>
            <w:r w:rsidRPr="008D52DF">
              <w:rPr>
                <w:rFonts w:asciiTheme="minorHAnsi" w:eastAsiaTheme="minorHAnsi" w:hAnsiTheme="minorHAnsi" w:cstheme="minorBidi"/>
                <w:sz w:val="24"/>
                <w:szCs w:val="24"/>
                <w:lang w:eastAsia="en-US"/>
              </w:rPr>
              <w:t>slijedeće:</w:t>
            </w:r>
          </w:p>
          <w:p w:rsidR="005A3B64" w:rsidRPr="008D52DF" w:rsidRDefault="005A3B64" w:rsidP="00AD0B65">
            <w:pPr>
              <w:autoSpaceDE w:val="0"/>
              <w:autoSpaceDN w:val="0"/>
              <w:adjustRightInd w:val="0"/>
              <w:spacing w:before="120" w:after="120"/>
              <w:ind w:left="459"/>
              <w:jc w:val="both"/>
              <w:rPr>
                <w:rFonts w:asciiTheme="minorHAnsi" w:eastAsiaTheme="minorHAnsi" w:hAnsiTheme="minorHAnsi" w:cstheme="minorBidi"/>
                <w:i/>
                <w:sz w:val="22"/>
                <w:szCs w:val="22"/>
                <w:lang w:eastAsia="en-US"/>
              </w:rPr>
            </w:pPr>
            <w:r w:rsidRPr="008D52DF">
              <w:rPr>
                <w:rFonts w:asciiTheme="minorHAnsi" w:eastAsiaTheme="minorHAnsi" w:hAnsiTheme="minorHAnsi" w:cstheme="minorBidi"/>
                <w:i/>
                <w:sz w:val="22"/>
                <w:szCs w:val="22"/>
                <w:lang w:eastAsia="en-US"/>
              </w:rPr>
              <w:t>„Hrvatsko gospodarstvo je u prošlom desetljeću bilo prilično uspješno, te je postupno smanjivalo jaz u dohotku prema onome u Europskoj uniji. Prosječna pojavnost siromaštva u državi prilično je niska: u 2004.godini oko 11 posto stanovništva bilo je ispod nacionalne linije siromaštva. Međutim, pomnije proučavanje strukture rasta u prošlom desetljeću otkriva da otvaranje radnih mjesta u Hrvatskoj zaostaje za rastom BDP-a i plaćama kao rezultat toga koristi od rasta nisu dopirale do velikog dijela siromašnih, od kojih su mnogi bili izvan svijeta rada ili službenog sustava mirovina. …</w:t>
            </w:r>
          </w:p>
          <w:p w:rsidR="00275973" w:rsidRDefault="005A3B64" w:rsidP="00FB6BC8">
            <w:pPr>
              <w:autoSpaceDE w:val="0"/>
              <w:autoSpaceDN w:val="0"/>
              <w:adjustRightInd w:val="0"/>
              <w:spacing w:before="120" w:after="120"/>
              <w:ind w:left="459"/>
              <w:jc w:val="both"/>
              <w:rPr>
                <w:rFonts w:asciiTheme="minorHAnsi" w:eastAsiaTheme="minorHAnsi" w:hAnsiTheme="minorHAnsi" w:cstheme="minorBidi"/>
                <w:i/>
                <w:sz w:val="22"/>
                <w:szCs w:val="22"/>
                <w:lang w:eastAsia="en-US"/>
              </w:rPr>
            </w:pPr>
            <w:r w:rsidRPr="008D52DF">
              <w:rPr>
                <w:rFonts w:asciiTheme="minorHAnsi" w:eastAsiaTheme="minorHAnsi" w:hAnsiTheme="minorHAnsi" w:cstheme="minorBidi"/>
                <w:i/>
                <w:sz w:val="22"/>
                <w:szCs w:val="22"/>
                <w:lang w:eastAsia="en-US"/>
              </w:rPr>
              <w:t>…. Stopa zaposlenosti u Hrvatskoj jedna je od najnižih u Europi (54,7 posto). Kako bi se poboljšala iskorištenost radne snage i olakšalo otvaranje radnih mjesta, trebalo bi usvojiti široku lepezu mjera politike, počevši s poboljšanjem ulagačkog okruženja, poboljšanjem učinkovitosti pravnog sustava, usklađenjem realnih plaća s produktivnošću i uvjetima na lokalnom tržištu, povećanjem ljudskog kapitala radnika (osobito u regijama koje zaostaju u razvoju), te poticanjem mobilnosti radne snage.</w:t>
            </w:r>
            <w:r w:rsidR="002D1DD5">
              <w:rPr>
                <w:rFonts w:asciiTheme="minorHAnsi" w:eastAsiaTheme="minorHAnsi" w:hAnsiTheme="minorHAnsi" w:cstheme="minorBidi"/>
                <w:i/>
                <w:sz w:val="22"/>
                <w:szCs w:val="22"/>
                <w:lang w:eastAsia="en-US"/>
              </w:rPr>
              <w:t>“</w:t>
            </w:r>
            <w:r w:rsidR="00FB6BC8">
              <w:rPr>
                <w:rFonts w:asciiTheme="minorHAnsi" w:eastAsiaTheme="minorHAnsi" w:hAnsiTheme="minorHAnsi" w:cstheme="minorBidi"/>
                <w:i/>
                <w:sz w:val="22"/>
                <w:szCs w:val="22"/>
                <w:lang w:eastAsia="en-US"/>
              </w:rPr>
              <w:t>**</w:t>
            </w:r>
          </w:p>
          <w:p w:rsidR="00FB6BC8" w:rsidRDefault="00FB6BC8" w:rsidP="00FB6BC8">
            <w:pPr>
              <w:autoSpaceDE w:val="0"/>
              <w:autoSpaceDN w:val="0"/>
              <w:adjustRightInd w:val="0"/>
              <w:spacing w:before="120" w:after="120"/>
              <w:jc w:val="both"/>
              <w:rPr>
                <w:rFonts w:asciiTheme="minorHAnsi" w:hAnsiTheme="minorHAnsi"/>
              </w:rPr>
            </w:pPr>
            <w:r>
              <w:rPr>
                <w:rFonts w:asciiTheme="minorHAnsi" w:hAnsiTheme="minorHAnsi"/>
              </w:rPr>
              <w:t>__________________</w:t>
            </w:r>
          </w:p>
          <w:p w:rsidR="00FB6BC8" w:rsidRDefault="00FB6BC8" w:rsidP="00FB6BC8">
            <w:pPr>
              <w:autoSpaceDE w:val="0"/>
              <w:autoSpaceDN w:val="0"/>
              <w:adjustRightInd w:val="0"/>
              <w:spacing w:before="120" w:after="120"/>
              <w:jc w:val="both"/>
              <w:rPr>
                <w:rFonts w:asciiTheme="minorHAnsi" w:hAnsiTheme="minorHAnsi"/>
              </w:rPr>
            </w:pPr>
            <w:r w:rsidRPr="00FB6BC8">
              <w:rPr>
                <w:rFonts w:asciiTheme="minorHAnsi" w:hAnsiTheme="minorHAnsi"/>
              </w:rPr>
              <w:t>*</w:t>
            </w:r>
            <w:r>
              <w:rPr>
                <w:rFonts w:asciiTheme="minorHAnsi" w:hAnsiTheme="minorHAnsi"/>
              </w:rPr>
              <w:t xml:space="preserve"> </w:t>
            </w:r>
            <w:r w:rsidR="00AD735A">
              <w:rPr>
                <w:rFonts w:asciiTheme="minorHAnsi" w:hAnsiTheme="minorHAnsi"/>
              </w:rPr>
              <w:t>Izvor: p</w:t>
            </w:r>
            <w:r>
              <w:rPr>
                <w:rFonts w:asciiTheme="minorHAnsi" w:hAnsiTheme="minorHAnsi"/>
              </w:rPr>
              <w:t xml:space="preserve">reuzeto iz </w:t>
            </w:r>
            <w:r w:rsidRPr="00FB6BC8">
              <w:rPr>
                <w:rFonts w:asciiTheme="minorHAnsi" w:hAnsiTheme="minorHAnsi"/>
              </w:rPr>
              <w:t>Čavrak, V.; Bilas, V.; Gelo, T., (2007) „Problemi siromaštva i subvencije troškova života u Hrvatskoj“ u Znanstveni skup: Poljoprivreda i privredni razvoj povodom 80. godišnjice rođenja Akademika Vladimira Stipetića (ur. Petar Grahovac), Ekonomski fakultet Zagreb, vol. 1, str. 175-190</w:t>
            </w:r>
          </w:p>
          <w:p w:rsidR="00FB6BC8" w:rsidRPr="00FB6BC8" w:rsidRDefault="00FB6BC8" w:rsidP="00AD735A">
            <w:pPr>
              <w:autoSpaceDE w:val="0"/>
              <w:autoSpaceDN w:val="0"/>
              <w:adjustRightInd w:val="0"/>
              <w:spacing w:before="120" w:after="120"/>
              <w:jc w:val="both"/>
              <w:rPr>
                <w:rFonts w:asciiTheme="minorHAnsi" w:hAnsiTheme="minorHAnsi"/>
                <w:sz w:val="24"/>
                <w:szCs w:val="24"/>
              </w:rPr>
            </w:pPr>
            <w:r>
              <w:rPr>
                <w:rFonts w:asciiTheme="minorHAnsi" w:hAnsiTheme="minorHAnsi"/>
              </w:rPr>
              <w:t xml:space="preserve">** </w:t>
            </w:r>
            <w:r w:rsidR="00AD735A">
              <w:rPr>
                <w:rFonts w:asciiTheme="minorHAnsi" w:hAnsiTheme="minorHAnsi"/>
              </w:rPr>
              <w:t>Izvor: p</w:t>
            </w:r>
            <w:r>
              <w:rPr>
                <w:rFonts w:asciiTheme="minorHAnsi" w:hAnsiTheme="minorHAnsi"/>
              </w:rPr>
              <w:t xml:space="preserve">reuzeto iz: Nacionalna zaklada za razvoj civilnog društva, dostupno na: </w:t>
            </w:r>
            <w:r w:rsidRPr="00FB6BC8">
              <w:rPr>
                <w:rFonts w:asciiTheme="minorHAnsi" w:hAnsiTheme="minorHAnsi"/>
              </w:rPr>
              <w:t>http://zaklada.civilnodrustvo.hr/category/102/subcategory/126/161</w:t>
            </w:r>
          </w:p>
        </w:tc>
      </w:tr>
    </w:tbl>
    <w:p w:rsidR="00F9611C" w:rsidRDefault="00F9611C" w:rsidP="00BC75CD">
      <w:pPr>
        <w:autoSpaceDE w:val="0"/>
        <w:autoSpaceDN w:val="0"/>
        <w:adjustRightInd w:val="0"/>
        <w:jc w:val="both"/>
        <w:rPr>
          <w:b/>
          <w:sz w:val="24"/>
          <w:szCs w:val="24"/>
        </w:rPr>
      </w:pPr>
    </w:p>
    <w:p w:rsidR="00BC75CD" w:rsidRPr="00A915AF" w:rsidRDefault="00BC75CD" w:rsidP="00BC75CD">
      <w:pPr>
        <w:autoSpaceDE w:val="0"/>
        <w:autoSpaceDN w:val="0"/>
        <w:adjustRightInd w:val="0"/>
        <w:jc w:val="both"/>
        <w:rPr>
          <w:rFonts w:cs="TimesNewRoman"/>
          <w:b/>
          <w:bCs/>
          <w:sz w:val="24"/>
          <w:szCs w:val="24"/>
        </w:rPr>
      </w:pPr>
      <w:r w:rsidRPr="00A915AF">
        <w:rPr>
          <w:b/>
          <w:sz w:val="24"/>
          <w:szCs w:val="24"/>
        </w:rPr>
        <w:lastRenderedPageBreak/>
        <w:t xml:space="preserve">Tablica </w:t>
      </w:r>
      <w:r w:rsidR="002D1DD5">
        <w:rPr>
          <w:b/>
          <w:sz w:val="24"/>
          <w:szCs w:val="24"/>
        </w:rPr>
        <w:t>8</w:t>
      </w:r>
      <w:r w:rsidRPr="00A915AF">
        <w:rPr>
          <w:b/>
          <w:sz w:val="24"/>
          <w:szCs w:val="24"/>
        </w:rPr>
        <w:t xml:space="preserve">: </w:t>
      </w:r>
      <w:r w:rsidRPr="00A915AF">
        <w:rPr>
          <w:rFonts w:cs="TimesNewRoman"/>
          <w:b/>
          <w:bCs/>
          <w:sz w:val="24"/>
          <w:szCs w:val="24"/>
        </w:rPr>
        <w:t>BDP po glavi stanovnika (2010. i 2014. PPP USD)</w:t>
      </w:r>
    </w:p>
    <w:tbl>
      <w:tblPr>
        <w:tblW w:w="89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0"/>
        <w:gridCol w:w="960"/>
        <w:gridCol w:w="1138"/>
        <w:gridCol w:w="567"/>
        <w:gridCol w:w="2161"/>
        <w:gridCol w:w="960"/>
        <w:gridCol w:w="960"/>
      </w:tblGrid>
      <w:tr w:rsidR="001F7463" w:rsidRPr="001F7463" w:rsidTr="006E6D1F">
        <w:trPr>
          <w:trHeight w:val="525"/>
        </w:trPr>
        <w:tc>
          <w:tcPr>
            <w:tcW w:w="2170" w:type="dxa"/>
            <w:shd w:val="clear" w:color="auto" w:fill="4F81BD" w:themeFill="accent1"/>
            <w:hideMark/>
          </w:tcPr>
          <w:p w:rsidR="001F7463" w:rsidRPr="006E6D1F" w:rsidRDefault="001F7463" w:rsidP="00D32B5C">
            <w:pPr>
              <w:spacing w:after="0" w:line="240" w:lineRule="auto"/>
              <w:rPr>
                <w:rFonts w:eastAsia="Times New Roman" w:cs="Arial"/>
                <w:b/>
                <w:bCs/>
                <w:color w:val="FFFFFF" w:themeColor="background1"/>
                <w:sz w:val="24"/>
                <w:szCs w:val="24"/>
                <w:lang w:eastAsia="hr-HR"/>
              </w:rPr>
            </w:pPr>
          </w:p>
        </w:tc>
        <w:tc>
          <w:tcPr>
            <w:tcW w:w="960" w:type="dxa"/>
            <w:shd w:val="clear" w:color="auto" w:fill="4F81BD" w:themeFill="accent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r w:rsidRPr="006E6D1F">
              <w:rPr>
                <w:rFonts w:eastAsia="Times New Roman" w:cs="Times New Roman"/>
                <w:b/>
                <w:color w:val="FFFFFF" w:themeColor="background1"/>
                <w:sz w:val="24"/>
                <w:szCs w:val="24"/>
                <w:lang w:eastAsia="hr-HR"/>
              </w:rPr>
              <w:t>2010</w:t>
            </w:r>
            <w:r w:rsidR="006E6D1F">
              <w:rPr>
                <w:rFonts w:eastAsia="Times New Roman" w:cs="Times New Roman"/>
                <w:b/>
                <w:color w:val="FFFFFF" w:themeColor="background1"/>
                <w:sz w:val="24"/>
                <w:szCs w:val="24"/>
                <w:lang w:eastAsia="hr-HR"/>
              </w:rPr>
              <w:t>.</w:t>
            </w:r>
          </w:p>
        </w:tc>
        <w:tc>
          <w:tcPr>
            <w:tcW w:w="1138" w:type="dxa"/>
            <w:tcBorders>
              <w:right w:val="single" w:sz="4" w:space="0" w:color="auto"/>
            </w:tcBorders>
            <w:shd w:val="clear" w:color="auto" w:fill="4F81BD" w:themeFill="accent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r w:rsidRPr="006E6D1F">
              <w:rPr>
                <w:rFonts w:eastAsia="Times New Roman" w:cs="Times New Roman"/>
                <w:b/>
                <w:color w:val="FFFFFF" w:themeColor="background1"/>
                <w:sz w:val="24"/>
                <w:szCs w:val="24"/>
                <w:lang w:eastAsia="hr-HR"/>
              </w:rPr>
              <w:t>2014</w:t>
            </w:r>
            <w:r w:rsidR="006E6D1F">
              <w:rPr>
                <w:rFonts w:eastAsia="Times New Roman" w:cs="Times New Roman"/>
                <w:b/>
                <w:color w:val="FFFFFF" w:themeColor="background1"/>
                <w:sz w:val="24"/>
                <w:szCs w:val="24"/>
                <w:lang w:eastAsia="hr-HR"/>
              </w:rPr>
              <w:t>.</w:t>
            </w:r>
          </w:p>
        </w:tc>
        <w:tc>
          <w:tcPr>
            <w:tcW w:w="567" w:type="dxa"/>
            <w:tcBorders>
              <w:top w:val="nil"/>
              <w:left w:val="single" w:sz="4" w:space="0" w:color="auto"/>
              <w:bottom w:val="nil"/>
              <w:right w:val="single" w:sz="4" w:space="0" w:color="auto"/>
            </w:tcBorders>
            <w:shd w:val="clear" w:color="auto" w:fill="FFFFFF" w:themeFill="background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p>
        </w:tc>
        <w:tc>
          <w:tcPr>
            <w:tcW w:w="2161" w:type="dxa"/>
            <w:tcBorders>
              <w:left w:val="single" w:sz="4" w:space="0" w:color="auto"/>
            </w:tcBorders>
            <w:shd w:val="clear" w:color="auto" w:fill="4F81BD" w:themeFill="accent1"/>
            <w:hideMark/>
          </w:tcPr>
          <w:p w:rsidR="001F7463" w:rsidRPr="006E6D1F" w:rsidRDefault="001F7463" w:rsidP="006E6D1F">
            <w:pPr>
              <w:spacing w:after="0" w:line="240" w:lineRule="auto"/>
              <w:jc w:val="center"/>
              <w:rPr>
                <w:rFonts w:eastAsia="Times New Roman" w:cs="Arial"/>
                <w:b/>
                <w:bCs/>
                <w:color w:val="FFFFFF" w:themeColor="background1"/>
                <w:sz w:val="24"/>
                <w:szCs w:val="24"/>
                <w:lang w:eastAsia="hr-HR"/>
              </w:rPr>
            </w:pPr>
          </w:p>
        </w:tc>
        <w:tc>
          <w:tcPr>
            <w:tcW w:w="960" w:type="dxa"/>
            <w:shd w:val="clear" w:color="auto" w:fill="4F81BD" w:themeFill="accent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r w:rsidRPr="006E6D1F">
              <w:rPr>
                <w:rFonts w:eastAsia="Times New Roman" w:cs="Times New Roman"/>
                <w:b/>
                <w:color w:val="FFFFFF" w:themeColor="background1"/>
                <w:sz w:val="24"/>
                <w:szCs w:val="24"/>
                <w:lang w:eastAsia="hr-HR"/>
              </w:rPr>
              <w:t>2010</w:t>
            </w:r>
            <w:r w:rsidR="006E6D1F">
              <w:rPr>
                <w:rFonts w:eastAsia="Times New Roman" w:cs="Times New Roman"/>
                <w:b/>
                <w:color w:val="FFFFFF" w:themeColor="background1"/>
                <w:sz w:val="24"/>
                <w:szCs w:val="24"/>
                <w:lang w:eastAsia="hr-HR"/>
              </w:rPr>
              <w:t>.</w:t>
            </w:r>
          </w:p>
        </w:tc>
        <w:tc>
          <w:tcPr>
            <w:tcW w:w="960" w:type="dxa"/>
            <w:shd w:val="clear" w:color="auto" w:fill="4F81BD" w:themeFill="accent1"/>
            <w:noWrap/>
            <w:vAlign w:val="bottom"/>
            <w:hideMark/>
          </w:tcPr>
          <w:p w:rsidR="001F7463" w:rsidRPr="006E6D1F" w:rsidRDefault="001F7463" w:rsidP="006E6D1F">
            <w:pPr>
              <w:spacing w:after="0" w:line="240" w:lineRule="auto"/>
              <w:jc w:val="center"/>
              <w:rPr>
                <w:rFonts w:eastAsia="Times New Roman" w:cs="Times New Roman"/>
                <w:b/>
                <w:color w:val="FFFFFF" w:themeColor="background1"/>
                <w:sz w:val="24"/>
                <w:szCs w:val="24"/>
                <w:lang w:eastAsia="hr-HR"/>
              </w:rPr>
            </w:pPr>
            <w:r w:rsidRPr="006E6D1F">
              <w:rPr>
                <w:rFonts w:eastAsia="Times New Roman" w:cs="Times New Roman"/>
                <w:b/>
                <w:color w:val="FFFFFF" w:themeColor="background1"/>
                <w:sz w:val="24"/>
                <w:szCs w:val="24"/>
                <w:lang w:eastAsia="hr-HR"/>
              </w:rPr>
              <w:t>2014</w:t>
            </w:r>
            <w:r w:rsidR="006E6D1F">
              <w:rPr>
                <w:rFonts w:eastAsia="Times New Roman" w:cs="Times New Roman"/>
                <w:b/>
                <w:color w:val="FFFFFF" w:themeColor="background1"/>
                <w:sz w:val="24"/>
                <w:szCs w:val="24"/>
                <w:lang w:eastAsia="hr-HR"/>
              </w:rPr>
              <w:t>.</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Afganistan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1,604.2</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1,967.1</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Kuba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18,103.2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Albanija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9,297.5</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10,428.5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Latvija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17,488.8</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23,337.4</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Australija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39,086.4</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43,901.6</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Libanon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15,934.0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17,603.4</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Austrija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41,804.2</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46,164.9</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Litva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20,052.2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26,642.8</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Bosna i Hercegovina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8,746.1</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9,904.2</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Luxembourg</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84,200.6</w:t>
            </w:r>
          </w:p>
        </w:tc>
        <w:tc>
          <w:tcPr>
            <w:tcW w:w="960" w:type="dxa"/>
            <w:shd w:val="clear" w:color="000000" w:fill="FFFFFF"/>
            <w:vAlign w:val="center"/>
          </w:tcPr>
          <w:p w:rsidR="00D32B5C" w:rsidRDefault="00413691" w:rsidP="00D32B5C">
            <w:pPr>
              <w:spacing w:after="0" w:line="240" w:lineRule="auto"/>
              <w:jc w:val="right"/>
              <w:rPr>
                <w:rFonts w:ascii="Calibri" w:hAnsi="Calibri"/>
                <w:color w:val="403E3C"/>
                <w:sz w:val="20"/>
                <w:szCs w:val="20"/>
              </w:rPr>
            </w:pPr>
            <w:r>
              <w:rPr>
                <w:rFonts w:ascii="Calibri" w:hAnsi="Calibri"/>
                <w:color w:val="403E3C"/>
                <w:sz w:val="20"/>
                <w:szCs w:val="20"/>
              </w:rPr>
              <w:t>-</w:t>
            </w:r>
            <w:r w:rsidR="00D32B5C">
              <w:rPr>
                <w:rFonts w:ascii="Calibri" w:hAnsi="Calibri"/>
                <w:color w:val="403E3C"/>
                <w:sz w:val="20"/>
                <w:szCs w:val="20"/>
              </w:rPr>
              <w:t> </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Brazil</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14,363.4</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16,155.1</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Mađarska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21,477.6</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24,498.5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Bugarska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14,690.5</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16,323.8</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Makedonija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11,449.5</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12,937.9</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Crna Gora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13,339.0</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14,323.3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Mexico</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14,690.0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17,167.0</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 xml:space="preserve">Češka </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27,051.0</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30,444.9</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Namibija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8,262.1</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9,963.7</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Čile</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18,111.7</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22,333.1</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Nizozemska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44,743.0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47,130.7</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Danska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41,806.9</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44,862.5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Norveška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58,772.4</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64,893.1</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Estonija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21,085.1</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26,355.4</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Novi Zeland</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31,028.1</w:t>
            </w:r>
          </w:p>
        </w:tc>
        <w:tc>
          <w:tcPr>
            <w:tcW w:w="960" w:type="dxa"/>
            <w:shd w:val="clear" w:color="000000" w:fill="FFFFFF"/>
            <w:vAlign w:val="center"/>
          </w:tcPr>
          <w:p w:rsidR="00D32B5C" w:rsidRDefault="00413691" w:rsidP="00D32B5C">
            <w:pPr>
              <w:spacing w:after="0" w:line="240" w:lineRule="auto"/>
              <w:jc w:val="right"/>
              <w:rPr>
                <w:rFonts w:ascii="Calibri" w:hAnsi="Calibri"/>
                <w:color w:val="403E3C"/>
                <w:sz w:val="20"/>
                <w:szCs w:val="20"/>
              </w:rPr>
            </w:pPr>
            <w:r>
              <w:rPr>
                <w:rFonts w:ascii="Calibri" w:hAnsi="Calibri"/>
                <w:color w:val="403E3C"/>
                <w:sz w:val="20"/>
                <w:szCs w:val="20"/>
              </w:rPr>
              <w:t>-</w:t>
            </w:r>
            <w:r w:rsidR="00D32B5C">
              <w:rPr>
                <w:rFonts w:ascii="Calibri" w:hAnsi="Calibri"/>
                <w:color w:val="403E3C"/>
                <w:sz w:val="20"/>
                <w:szCs w:val="20"/>
              </w:rPr>
              <w:t> </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Etiopija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1,059.4</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1,500.9</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Njemačka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39,553.2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45,615.8</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Filipini</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5,500.2</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6,915.6</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Pakistan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4,134.2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4,841.9</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Finska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38,296.5</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39,754.5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Poljska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20,757.4</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24,882.3</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Francuska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35,868.9</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38,850.7</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Portugal</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26,924.4</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28,326.8</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Gana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3,028.3</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4,143.1</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Ruanda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1,236.5</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1,556.5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Grčka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28,900.8</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26,098.8</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Rumunjska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16,252.2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19,401.3</w:t>
            </w:r>
          </w:p>
        </w:tc>
      </w:tr>
      <w:tr w:rsidR="00D32B5C" w:rsidRPr="001F7463" w:rsidTr="006E6D1F">
        <w:trPr>
          <w:trHeight w:val="315"/>
        </w:trPr>
        <w:tc>
          <w:tcPr>
            <w:tcW w:w="2170" w:type="dxa"/>
            <w:shd w:val="clear" w:color="auto" w:fill="auto"/>
            <w:noWrap/>
            <w:vAlign w:val="center"/>
          </w:tcPr>
          <w:p w:rsidR="00D32B5C" w:rsidRPr="009703E9" w:rsidRDefault="00D32B5C" w:rsidP="00D32B5C">
            <w:pPr>
              <w:spacing w:after="0" w:line="240" w:lineRule="auto"/>
              <w:rPr>
                <w:rFonts w:ascii="Calibri" w:hAnsi="Calibri"/>
                <w:b/>
                <w:color w:val="000000"/>
                <w:sz w:val="20"/>
                <w:szCs w:val="20"/>
              </w:rPr>
            </w:pPr>
            <w:r w:rsidRPr="009703E9">
              <w:rPr>
                <w:rFonts w:ascii="Calibri" w:hAnsi="Calibri"/>
                <w:b/>
                <w:color w:val="000000"/>
                <w:sz w:val="20"/>
                <w:szCs w:val="20"/>
              </w:rPr>
              <w:t>Hrvatska</w:t>
            </w:r>
          </w:p>
        </w:tc>
        <w:tc>
          <w:tcPr>
            <w:tcW w:w="960" w:type="dxa"/>
            <w:shd w:val="clear" w:color="000000" w:fill="FFFFFF"/>
            <w:vAlign w:val="center"/>
          </w:tcPr>
          <w:p w:rsidR="00D32B5C" w:rsidRPr="00F9611C" w:rsidRDefault="00D32B5C" w:rsidP="00D32B5C">
            <w:pPr>
              <w:spacing w:after="0" w:line="240" w:lineRule="auto"/>
              <w:jc w:val="right"/>
              <w:rPr>
                <w:rFonts w:ascii="Calibri" w:hAnsi="Calibri"/>
                <w:b/>
                <w:color w:val="403E3C"/>
                <w:sz w:val="20"/>
                <w:szCs w:val="20"/>
              </w:rPr>
            </w:pPr>
            <w:r w:rsidRPr="00F9611C">
              <w:rPr>
                <w:rFonts w:ascii="Calibri" w:hAnsi="Calibri"/>
                <w:b/>
                <w:color w:val="403E3C"/>
                <w:sz w:val="20"/>
                <w:szCs w:val="20"/>
              </w:rPr>
              <w:t>18,968.9</w:t>
            </w:r>
          </w:p>
        </w:tc>
        <w:tc>
          <w:tcPr>
            <w:tcW w:w="1138" w:type="dxa"/>
            <w:tcBorders>
              <w:right w:val="single" w:sz="4" w:space="0" w:color="auto"/>
            </w:tcBorders>
            <w:shd w:val="clear" w:color="000000" w:fill="FFFFFF"/>
            <w:vAlign w:val="center"/>
          </w:tcPr>
          <w:p w:rsidR="00D32B5C" w:rsidRPr="00F9611C" w:rsidRDefault="00D32B5C" w:rsidP="00D32B5C">
            <w:pPr>
              <w:spacing w:after="0" w:line="240" w:lineRule="auto"/>
              <w:jc w:val="right"/>
              <w:rPr>
                <w:rFonts w:ascii="Calibri" w:hAnsi="Calibri"/>
                <w:b/>
                <w:color w:val="403E3C"/>
                <w:sz w:val="20"/>
                <w:szCs w:val="20"/>
              </w:rPr>
            </w:pPr>
            <w:r w:rsidRPr="00F9611C">
              <w:rPr>
                <w:rFonts w:ascii="Calibri" w:hAnsi="Calibri"/>
                <w:b/>
                <w:color w:val="403E3C"/>
                <w:sz w:val="20"/>
                <w:szCs w:val="20"/>
              </w:rPr>
              <w:t>21,252.3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Rusija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20,498.0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25,635.9</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Indija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4,454.6</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5,833.3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SAD</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48,374.1</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54,629.5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Irak</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12,080.3</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14,694.0</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Singapur</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70,598.3</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82,763.4</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42,900.1</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47,804.0</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Slovačka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24,432.2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27,584.7</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Island</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38,659.0</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43,392.5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Slovenija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27,563.7</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29,917.0</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Italija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34,716.1</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34,757.8</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Srbija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11,805.3</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12,659.7</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Izrael</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28,762.6</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33,072.4</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Švedska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41,727.2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45,143.5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Jamajka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8,201.1</w:t>
            </w:r>
          </w:p>
        </w:tc>
        <w:tc>
          <w:tcPr>
            <w:tcW w:w="1138" w:type="dxa"/>
            <w:tcBorders>
              <w:right w:val="single" w:sz="4" w:space="0" w:color="auto"/>
            </w:tcBorders>
            <w:shd w:val="clear" w:color="000000" w:fill="FFFFFF"/>
            <w:vAlign w:val="center"/>
          </w:tcPr>
          <w:p w:rsidR="00D32B5C" w:rsidRDefault="00413691" w:rsidP="00D32B5C">
            <w:pPr>
              <w:spacing w:after="0" w:line="240" w:lineRule="auto"/>
              <w:jc w:val="right"/>
              <w:rPr>
                <w:rFonts w:ascii="Calibri" w:hAnsi="Calibri"/>
                <w:color w:val="403E3C"/>
                <w:sz w:val="20"/>
                <w:szCs w:val="20"/>
              </w:rPr>
            </w:pPr>
            <w:r>
              <w:rPr>
                <w:rFonts w:ascii="Calibri" w:hAnsi="Calibri"/>
                <w:color w:val="403E3C"/>
                <w:sz w:val="20"/>
                <w:szCs w:val="20"/>
              </w:rPr>
              <w:t>-</w:t>
            </w:r>
            <w:r w:rsidR="00D32B5C">
              <w:rPr>
                <w:rFonts w:ascii="Calibri" w:hAnsi="Calibri"/>
                <w:color w:val="403E3C"/>
                <w:sz w:val="20"/>
                <w:szCs w:val="20"/>
              </w:rPr>
              <w:t> </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Švicarska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51,321.5</w:t>
            </w:r>
          </w:p>
        </w:tc>
        <w:tc>
          <w:tcPr>
            <w:tcW w:w="960" w:type="dxa"/>
            <w:shd w:val="clear" w:color="000000" w:fill="FFFFFF"/>
            <w:vAlign w:val="center"/>
          </w:tcPr>
          <w:p w:rsidR="00D32B5C" w:rsidRDefault="00413691" w:rsidP="00D32B5C">
            <w:pPr>
              <w:spacing w:after="0" w:line="240" w:lineRule="auto"/>
              <w:jc w:val="right"/>
              <w:rPr>
                <w:rFonts w:ascii="Calibri" w:hAnsi="Calibri"/>
                <w:color w:val="403E3C"/>
                <w:sz w:val="20"/>
                <w:szCs w:val="20"/>
              </w:rPr>
            </w:pPr>
            <w:r>
              <w:rPr>
                <w:rFonts w:ascii="Calibri" w:hAnsi="Calibri"/>
                <w:color w:val="403E3C"/>
                <w:sz w:val="20"/>
                <w:szCs w:val="20"/>
              </w:rPr>
              <w:t>-</w:t>
            </w:r>
            <w:r w:rsidR="00D32B5C">
              <w:rPr>
                <w:rFonts w:ascii="Calibri" w:hAnsi="Calibri"/>
                <w:color w:val="403E3C"/>
                <w:sz w:val="20"/>
                <w:szCs w:val="20"/>
              </w:rPr>
              <w:t> </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Japan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33,740.5</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36,426.3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Turska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16,193.4</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19,250.3</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Jordan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11,028.4</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12,050.3</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Uganda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1,484.6</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1,717.4</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Kanada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40,055.3</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44,088.5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Ujedinjeni Arap. Emirati</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55,498.1</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63,497.1</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Kazahstan</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19,204.6</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24,204.7</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Ujedinjeno Kraljevstvo</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35,920.0</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39,136.8</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Kenija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2,451.9</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2,909.8</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 xml:space="preserve">Ukrajina </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7,685.6</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8,665.5</w:t>
            </w:r>
          </w:p>
        </w:tc>
      </w:tr>
      <w:tr w:rsidR="00D32B5C" w:rsidRPr="001F7463" w:rsidTr="006E6D1F">
        <w:trPr>
          <w:trHeight w:val="315"/>
        </w:trPr>
        <w:tc>
          <w:tcPr>
            <w:tcW w:w="2170" w:type="dxa"/>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Kina</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9,238.8</w:t>
            </w:r>
          </w:p>
        </w:tc>
        <w:tc>
          <w:tcPr>
            <w:tcW w:w="1138" w:type="dxa"/>
            <w:tcBorders>
              <w:right w:val="single" w:sz="4" w:space="0" w:color="auto"/>
            </w:tcBorders>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13,216.5</w:t>
            </w:r>
          </w:p>
        </w:tc>
        <w:tc>
          <w:tcPr>
            <w:tcW w:w="567" w:type="dxa"/>
            <w:tcBorders>
              <w:top w:val="nil"/>
              <w:left w:val="single" w:sz="4" w:space="0" w:color="auto"/>
              <w:bottom w:val="nil"/>
              <w:right w:val="single" w:sz="4" w:space="0" w:color="auto"/>
            </w:tcBorders>
            <w:shd w:val="clear" w:color="auto" w:fill="FFFFFF" w:themeFill="background1"/>
            <w:noWrap/>
            <w:vAlign w:val="bottom"/>
          </w:tcPr>
          <w:p w:rsidR="00D32B5C" w:rsidRPr="001F7463" w:rsidRDefault="00D32B5C" w:rsidP="00D32B5C">
            <w:pPr>
              <w:spacing w:after="0" w:line="240" w:lineRule="auto"/>
              <w:rPr>
                <w:rFonts w:eastAsia="Times New Roman" w:cs="Times New Roman"/>
                <w:color w:val="000000"/>
                <w:sz w:val="20"/>
                <w:szCs w:val="20"/>
                <w:lang w:eastAsia="hr-HR"/>
              </w:rPr>
            </w:pPr>
          </w:p>
        </w:tc>
        <w:tc>
          <w:tcPr>
            <w:tcW w:w="2161" w:type="dxa"/>
            <w:tcBorders>
              <w:left w:val="single" w:sz="4" w:space="0" w:color="auto"/>
            </w:tcBorders>
            <w:shd w:val="clear" w:color="auto" w:fill="auto"/>
            <w:noWrap/>
            <w:vAlign w:val="center"/>
          </w:tcPr>
          <w:p w:rsidR="00D32B5C" w:rsidRDefault="00D32B5C" w:rsidP="00D32B5C">
            <w:pPr>
              <w:spacing w:after="0" w:line="240" w:lineRule="auto"/>
              <w:rPr>
                <w:rFonts w:ascii="Calibri" w:hAnsi="Calibri"/>
                <w:color w:val="000000"/>
                <w:sz w:val="20"/>
                <w:szCs w:val="20"/>
              </w:rPr>
            </w:pPr>
            <w:r>
              <w:rPr>
                <w:rFonts w:ascii="Calibri" w:hAnsi="Calibri"/>
                <w:color w:val="000000"/>
                <w:sz w:val="20"/>
                <w:szCs w:val="20"/>
              </w:rPr>
              <w:t>Zimbabve</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1,454.2</w:t>
            </w:r>
          </w:p>
        </w:tc>
        <w:tc>
          <w:tcPr>
            <w:tcW w:w="960" w:type="dxa"/>
            <w:shd w:val="clear" w:color="000000" w:fill="FFFFFF"/>
            <w:vAlign w:val="center"/>
          </w:tcPr>
          <w:p w:rsidR="00D32B5C" w:rsidRDefault="00D32B5C" w:rsidP="00D32B5C">
            <w:pPr>
              <w:spacing w:after="0" w:line="240" w:lineRule="auto"/>
              <w:jc w:val="right"/>
              <w:rPr>
                <w:rFonts w:ascii="Calibri" w:hAnsi="Calibri"/>
                <w:color w:val="403E3C"/>
                <w:sz w:val="20"/>
                <w:szCs w:val="20"/>
              </w:rPr>
            </w:pPr>
            <w:r>
              <w:rPr>
                <w:rFonts w:ascii="Calibri" w:hAnsi="Calibri"/>
                <w:color w:val="403E3C"/>
                <w:sz w:val="20"/>
                <w:szCs w:val="20"/>
              </w:rPr>
              <w:t>1,858.6</w:t>
            </w:r>
          </w:p>
        </w:tc>
      </w:tr>
    </w:tbl>
    <w:p w:rsidR="000109F2" w:rsidRPr="00A915AF" w:rsidRDefault="00A915AF" w:rsidP="00D32B5C">
      <w:pPr>
        <w:autoSpaceDE w:val="0"/>
        <w:autoSpaceDN w:val="0"/>
        <w:adjustRightInd w:val="0"/>
        <w:spacing w:before="120" w:line="240" w:lineRule="auto"/>
        <w:jc w:val="both"/>
        <w:rPr>
          <w:b/>
          <w:sz w:val="20"/>
          <w:szCs w:val="20"/>
        </w:rPr>
      </w:pPr>
      <w:r w:rsidRPr="00A915AF">
        <w:rPr>
          <w:sz w:val="20"/>
          <w:szCs w:val="20"/>
        </w:rPr>
        <w:t>Izvor</w:t>
      </w:r>
      <w:r w:rsidR="00AD735A">
        <w:rPr>
          <w:sz w:val="20"/>
          <w:szCs w:val="20"/>
        </w:rPr>
        <w:t xml:space="preserve"> podataka</w:t>
      </w:r>
      <w:r w:rsidRPr="00A915AF">
        <w:rPr>
          <w:sz w:val="20"/>
          <w:szCs w:val="20"/>
        </w:rPr>
        <w:t>: Svjetska banka, dostupno na: http://data.worldbank.org/indicator/NY.GDP.PCAP.PP.CD</w:t>
      </w:r>
    </w:p>
    <w:p w:rsidR="00734FF7" w:rsidRDefault="003D5F45" w:rsidP="002D1DD5">
      <w:pPr>
        <w:autoSpaceDE w:val="0"/>
        <w:autoSpaceDN w:val="0"/>
        <w:adjustRightInd w:val="0"/>
        <w:spacing w:before="240" w:after="120"/>
        <w:jc w:val="both"/>
        <w:rPr>
          <w:sz w:val="24"/>
          <w:szCs w:val="24"/>
        </w:rPr>
      </w:pPr>
      <w:r>
        <w:rPr>
          <w:sz w:val="24"/>
          <w:szCs w:val="24"/>
        </w:rPr>
        <w:t xml:space="preserve">Korištenje pokazatelja realnog BDP-a po glavi stanovnika kao mjere životnog standarda polazi od pretpostavke da </w:t>
      </w:r>
      <w:r w:rsidR="00595462">
        <w:rPr>
          <w:sz w:val="24"/>
          <w:szCs w:val="24"/>
        </w:rPr>
        <w:t>rastom omjera</w:t>
      </w:r>
      <w:r>
        <w:rPr>
          <w:sz w:val="24"/>
          <w:szCs w:val="24"/>
        </w:rPr>
        <w:t xml:space="preserve"> više dobara i usluga </w:t>
      </w:r>
      <w:r w:rsidR="008930F8">
        <w:rPr>
          <w:sz w:val="24"/>
          <w:szCs w:val="24"/>
        </w:rPr>
        <w:t xml:space="preserve">postaje </w:t>
      </w:r>
      <w:r>
        <w:rPr>
          <w:sz w:val="24"/>
          <w:szCs w:val="24"/>
        </w:rPr>
        <w:t xml:space="preserve">dostupno potrošačima te da su potrošači u boljoj poziciji kupiti ih, tj. radi se prije svega o mjeri materijalnog standarda života, ali što nužno ne znači da su građani zbog toga zaista sretniji. </w:t>
      </w:r>
      <w:r w:rsidR="00622C45">
        <w:rPr>
          <w:sz w:val="24"/>
          <w:szCs w:val="24"/>
        </w:rPr>
        <w:t xml:space="preserve">Faktor koji posebno doprinosi rastu omjera je povećanje produktivnosti („Ključ je u produktivnosti!), što </w:t>
      </w:r>
      <w:r w:rsidR="00622C45">
        <w:rPr>
          <w:sz w:val="24"/>
          <w:szCs w:val="24"/>
        </w:rPr>
        <w:lastRenderedPageBreak/>
        <w:t xml:space="preserve">korespondira s činjenicom da </w:t>
      </w:r>
      <w:r w:rsidR="00622C45" w:rsidRPr="00DA75C8">
        <w:rPr>
          <w:color w:val="C00000"/>
          <w:sz w:val="24"/>
          <w:szCs w:val="24"/>
        </w:rPr>
        <w:t>veću razinu BDP-a per capita ostvaruju više produktivna gospodarstva</w:t>
      </w:r>
      <w:r w:rsidR="00622C45">
        <w:rPr>
          <w:sz w:val="24"/>
          <w:szCs w:val="24"/>
        </w:rPr>
        <w:t xml:space="preserve"> koja ekonomski efikasnije kombiniraju rad, kapital, resurse i ideje kao faktore rasta.</w:t>
      </w:r>
      <w:r w:rsidR="001742BB" w:rsidRPr="001742BB">
        <w:rPr>
          <w:sz w:val="24"/>
          <w:szCs w:val="24"/>
          <w:vertAlign w:val="superscript"/>
        </w:rPr>
        <w:t xml:space="preserve"> </w:t>
      </w:r>
      <w:r w:rsidR="001742BB" w:rsidRPr="00D76837">
        <w:rPr>
          <w:sz w:val="24"/>
          <w:szCs w:val="24"/>
          <w:vertAlign w:val="superscript"/>
        </w:rPr>
        <w:footnoteReference w:id="27"/>
      </w:r>
      <w:r w:rsidR="00734FF7">
        <w:rPr>
          <w:sz w:val="24"/>
          <w:szCs w:val="24"/>
        </w:rPr>
        <w:t xml:space="preserve"> </w:t>
      </w:r>
    </w:p>
    <w:p w:rsidR="00BD1DD3" w:rsidRDefault="003D5F45" w:rsidP="00275973">
      <w:pPr>
        <w:autoSpaceDE w:val="0"/>
        <w:autoSpaceDN w:val="0"/>
        <w:adjustRightInd w:val="0"/>
        <w:jc w:val="both"/>
        <w:rPr>
          <w:sz w:val="24"/>
          <w:szCs w:val="24"/>
        </w:rPr>
      </w:pPr>
      <w:r>
        <w:rPr>
          <w:sz w:val="24"/>
          <w:szCs w:val="24"/>
        </w:rPr>
        <w:t>Međutim, BDP per capita kao pokazatelj ne uzima u obzir niz drugih bitnih</w:t>
      </w:r>
      <w:r w:rsidR="00734FF7">
        <w:rPr>
          <w:sz w:val="24"/>
          <w:szCs w:val="24"/>
        </w:rPr>
        <w:t xml:space="preserve"> elemenata</w:t>
      </w:r>
      <w:r>
        <w:rPr>
          <w:sz w:val="24"/>
          <w:szCs w:val="24"/>
        </w:rPr>
        <w:t>, npr. neplaćeni rad uključujući rad kućanica, kućnu brigu o djeci te starijim i nemoćnim osobama</w:t>
      </w:r>
      <w:r w:rsidR="00734FF7">
        <w:rPr>
          <w:sz w:val="24"/>
          <w:szCs w:val="24"/>
        </w:rPr>
        <w:t xml:space="preserve">, </w:t>
      </w:r>
      <w:r>
        <w:rPr>
          <w:sz w:val="24"/>
          <w:szCs w:val="24"/>
        </w:rPr>
        <w:t>volonterski rad u društvu</w:t>
      </w:r>
      <w:r w:rsidR="005F6C62">
        <w:rPr>
          <w:sz w:val="24"/>
          <w:szCs w:val="24"/>
        </w:rPr>
        <w:t>, kao i rad u sivoj ekonomiji</w:t>
      </w:r>
      <w:r>
        <w:rPr>
          <w:sz w:val="24"/>
          <w:szCs w:val="24"/>
        </w:rPr>
        <w:t>.</w:t>
      </w:r>
      <w:r w:rsidR="008930F8" w:rsidRPr="008930F8">
        <w:rPr>
          <w:sz w:val="24"/>
          <w:szCs w:val="24"/>
          <w:vertAlign w:val="superscript"/>
        </w:rPr>
        <w:t xml:space="preserve"> </w:t>
      </w:r>
      <w:r w:rsidR="008930F8" w:rsidRPr="00D76837">
        <w:rPr>
          <w:sz w:val="24"/>
          <w:szCs w:val="24"/>
          <w:vertAlign w:val="superscript"/>
        </w:rPr>
        <w:footnoteReference w:id="28"/>
      </w:r>
      <w:r w:rsidR="008930F8">
        <w:rPr>
          <w:sz w:val="24"/>
          <w:szCs w:val="24"/>
        </w:rPr>
        <w:t xml:space="preserve">  </w:t>
      </w:r>
      <w:r>
        <w:rPr>
          <w:sz w:val="24"/>
          <w:szCs w:val="24"/>
        </w:rPr>
        <w:t xml:space="preserve">Ne uzima u obzir </w:t>
      </w:r>
      <w:r w:rsidR="00BD1DD3">
        <w:rPr>
          <w:sz w:val="24"/>
          <w:szCs w:val="24"/>
        </w:rPr>
        <w:t xml:space="preserve">stvarnu </w:t>
      </w:r>
      <w:r>
        <w:rPr>
          <w:sz w:val="24"/>
          <w:szCs w:val="24"/>
        </w:rPr>
        <w:t xml:space="preserve">distribuciju </w:t>
      </w:r>
      <w:r w:rsidR="00BD1DD3">
        <w:rPr>
          <w:sz w:val="24"/>
          <w:szCs w:val="24"/>
        </w:rPr>
        <w:t xml:space="preserve">dohotka i </w:t>
      </w:r>
      <w:r>
        <w:rPr>
          <w:sz w:val="24"/>
          <w:szCs w:val="24"/>
        </w:rPr>
        <w:t>bogatstva</w:t>
      </w:r>
      <w:r w:rsidR="00BD1DD3">
        <w:rPr>
          <w:sz w:val="24"/>
          <w:szCs w:val="24"/>
        </w:rPr>
        <w:t xml:space="preserve"> u društvu jer je moguće da značajan dio zarade je raspoređen na vrlo uzak krug populacije, ili da je distribucija različita s obzirom na dob, spol, etničku pripadnost ili druga obilježja. </w:t>
      </w:r>
      <w:r w:rsidR="00EB01F0">
        <w:rPr>
          <w:sz w:val="24"/>
          <w:szCs w:val="24"/>
        </w:rPr>
        <w:t>Dodatno orijentacijom na ekonomske koristi zanemaruje društvene troškove koji se vrlo često javljaju u snažno ekspandirajućim ekonomijama kao što su rast kriminaliteta i razvoda brakova, zagađenje i druge.</w:t>
      </w:r>
      <w:r w:rsidR="008930F8">
        <w:rPr>
          <w:sz w:val="24"/>
          <w:szCs w:val="24"/>
        </w:rPr>
        <w:t xml:space="preserve"> </w:t>
      </w:r>
    </w:p>
    <w:p w:rsidR="00275973" w:rsidRPr="00BC75CD" w:rsidRDefault="00BD1DD3" w:rsidP="00275973">
      <w:pPr>
        <w:autoSpaceDE w:val="0"/>
        <w:autoSpaceDN w:val="0"/>
        <w:adjustRightInd w:val="0"/>
        <w:jc w:val="both"/>
        <w:rPr>
          <w:sz w:val="24"/>
          <w:szCs w:val="24"/>
        </w:rPr>
      </w:pPr>
      <w:r>
        <w:rPr>
          <w:sz w:val="24"/>
          <w:szCs w:val="24"/>
        </w:rPr>
        <w:t>Tako, i</w:t>
      </w:r>
      <w:r w:rsidR="00275973" w:rsidRPr="00BC75CD">
        <w:rPr>
          <w:sz w:val="24"/>
          <w:szCs w:val="24"/>
        </w:rPr>
        <w:t>ako je BDP-a po glavi stanovnika najčešće korištena mjera dostignute razine životnog standarda, neadekvatnost ovog pokazatelja dolazi do izražaja u okolnostima velikih razlika u visini dohotka između malobrojne bogate elite i većinskog siromašnog stanovništva. Na primjer dohodak po glavi stanovnika relativno je visok u slučaju zemalja izvoznica nafte iako za iste zemlje niz drugih pokazatelja nerijetko ukazuje na relativno nisku kvalitetu života stanovništva. Budući da su BDP i BDP per capita prije svega mjera ekonomske aktivnosti</w:t>
      </w:r>
      <w:r w:rsidR="00622C45">
        <w:rPr>
          <w:sz w:val="24"/>
          <w:szCs w:val="24"/>
        </w:rPr>
        <w:t xml:space="preserve"> i polaze od temeljn</w:t>
      </w:r>
      <w:r w:rsidR="00F9611C">
        <w:rPr>
          <w:sz w:val="24"/>
          <w:szCs w:val="24"/>
        </w:rPr>
        <w:t>ih</w:t>
      </w:r>
      <w:r w:rsidR="00622C45">
        <w:rPr>
          <w:sz w:val="24"/>
          <w:szCs w:val="24"/>
        </w:rPr>
        <w:t xml:space="preserve"> ekonomsk</w:t>
      </w:r>
      <w:r w:rsidR="00F9611C">
        <w:rPr>
          <w:sz w:val="24"/>
          <w:szCs w:val="24"/>
        </w:rPr>
        <w:t>ih</w:t>
      </w:r>
      <w:r w:rsidR="00622C45">
        <w:rPr>
          <w:sz w:val="24"/>
          <w:szCs w:val="24"/>
        </w:rPr>
        <w:t xml:space="preserve"> činjenic</w:t>
      </w:r>
      <w:r w:rsidR="00F9611C">
        <w:rPr>
          <w:sz w:val="24"/>
          <w:szCs w:val="24"/>
        </w:rPr>
        <w:t>a</w:t>
      </w:r>
      <w:r w:rsidR="00275973" w:rsidRPr="00BC75CD">
        <w:rPr>
          <w:sz w:val="24"/>
          <w:szCs w:val="24"/>
        </w:rPr>
        <w:t xml:space="preserve">, kao takve zanemaruju pokazatelje kvalitete koji determiniraju život pojedinca u društvu. Stoga jasnije podatke o dostignutom standardu života daju </w:t>
      </w:r>
      <w:r w:rsidR="00275973" w:rsidRPr="00BC75CD">
        <w:rPr>
          <w:color w:val="C00000"/>
          <w:sz w:val="24"/>
          <w:szCs w:val="24"/>
        </w:rPr>
        <w:t>pokazatelji</w:t>
      </w:r>
      <w:r w:rsidR="00275973" w:rsidRPr="00BC75CD">
        <w:rPr>
          <w:sz w:val="24"/>
          <w:szCs w:val="24"/>
        </w:rPr>
        <w:t xml:space="preserve"> </w:t>
      </w:r>
      <w:r w:rsidR="00275973" w:rsidRPr="00BC75CD">
        <w:rPr>
          <w:color w:val="C00000"/>
          <w:sz w:val="24"/>
          <w:szCs w:val="24"/>
        </w:rPr>
        <w:t>kvalitete života</w:t>
      </w:r>
      <w:r w:rsidR="00275973" w:rsidRPr="00BC75CD">
        <w:rPr>
          <w:sz w:val="24"/>
          <w:szCs w:val="24"/>
        </w:rPr>
        <w:t xml:space="preserve">. Oni uključuju: </w:t>
      </w:r>
    </w:p>
    <w:p w:rsidR="00275973" w:rsidRPr="007F2BEB" w:rsidRDefault="00275973" w:rsidP="00E93220">
      <w:pPr>
        <w:numPr>
          <w:ilvl w:val="0"/>
          <w:numId w:val="6"/>
        </w:numPr>
        <w:autoSpaceDE w:val="0"/>
        <w:autoSpaceDN w:val="0"/>
        <w:adjustRightInd w:val="0"/>
        <w:spacing w:after="0" w:line="240" w:lineRule="auto"/>
        <w:jc w:val="both"/>
        <w:rPr>
          <w:sz w:val="24"/>
          <w:szCs w:val="24"/>
        </w:rPr>
      </w:pPr>
      <w:r w:rsidRPr="007F2BEB">
        <w:rPr>
          <w:sz w:val="24"/>
          <w:szCs w:val="24"/>
        </w:rPr>
        <w:t>zdravlje i kvalitetu zdravstvene zaštite</w:t>
      </w:r>
      <w:r w:rsidR="007F2BEB">
        <w:rPr>
          <w:sz w:val="24"/>
          <w:szCs w:val="24"/>
        </w:rPr>
        <w:t xml:space="preserve"> te </w:t>
      </w:r>
      <w:r w:rsidRPr="007F2BEB">
        <w:rPr>
          <w:sz w:val="24"/>
          <w:szCs w:val="24"/>
        </w:rPr>
        <w:t xml:space="preserve">broj stanovnika na jednog liječnika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navike zdrave prehrane </w:t>
      </w:r>
    </w:p>
    <w:p w:rsidR="00275973" w:rsidRPr="007F2BEB" w:rsidRDefault="00275973" w:rsidP="00E93220">
      <w:pPr>
        <w:numPr>
          <w:ilvl w:val="0"/>
          <w:numId w:val="6"/>
        </w:numPr>
        <w:autoSpaceDE w:val="0"/>
        <w:autoSpaceDN w:val="0"/>
        <w:adjustRightInd w:val="0"/>
        <w:spacing w:after="0" w:line="240" w:lineRule="auto"/>
        <w:jc w:val="both"/>
        <w:rPr>
          <w:sz w:val="24"/>
          <w:szCs w:val="24"/>
        </w:rPr>
      </w:pPr>
      <w:r w:rsidRPr="007F2BEB">
        <w:rPr>
          <w:sz w:val="24"/>
          <w:szCs w:val="24"/>
        </w:rPr>
        <w:t>stopu pismenosti stanovništva</w:t>
      </w:r>
      <w:r w:rsidR="007F2BEB">
        <w:rPr>
          <w:sz w:val="24"/>
          <w:szCs w:val="24"/>
        </w:rPr>
        <w:t xml:space="preserve"> i</w:t>
      </w:r>
      <w:r w:rsidR="007F2BEB" w:rsidRPr="007F2BEB">
        <w:rPr>
          <w:sz w:val="24"/>
          <w:szCs w:val="24"/>
        </w:rPr>
        <w:t xml:space="preserve"> </w:t>
      </w:r>
      <w:r w:rsidRPr="007F2BEB">
        <w:rPr>
          <w:sz w:val="24"/>
          <w:szCs w:val="24"/>
        </w:rPr>
        <w:t xml:space="preserve">dostignuti stupanj standarda u obrazovanju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razinu socijalnih prava i demokracije</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osobnu sigurnost i slobode</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mogućnost zadovoljenja i ispunjenja određenih životnih potreba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smrtnost dojenčadi i male djece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očekivani životni vijek pojedinca (vjerojatnost doživljena određenog broja godina)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dokolicu (slobodno vrijeme koje se može provesti s obitelju</w:t>
      </w:r>
      <w:r>
        <w:rPr>
          <w:sz w:val="24"/>
          <w:szCs w:val="24"/>
        </w:rPr>
        <w:t>,</w:t>
      </w:r>
      <w:r w:rsidRPr="00BC75CD">
        <w:rPr>
          <w:sz w:val="24"/>
          <w:szCs w:val="24"/>
        </w:rPr>
        <w:t xml:space="preserve"> </w:t>
      </w:r>
      <w:r>
        <w:rPr>
          <w:sz w:val="24"/>
          <w:szCs w:val="24"/>
        </w:rPr>
        <w:t xml:space="preserve">za </w:t>
      </w:r>
      <w:r w:rsidRPr="00BC75CD">
        <w:rPr>
          <w:sz w:val="24"/>
          <w:szCs w:val="24"/>
        </w:rPr>
        <w:t>sportske aktivnosti</w:t>
      </w:r>
      <w:r>
        <w:rPr>
          <w:sz w:val="24"/>
          <w:szCs w:val="24"/>
        </w:rPr>
        <w:t>,</w:t>
      </w:r>
      <w:r w:rsidRPr="00BC75CD">
        <w:rPr>
          <w:sz w:val="24"/>
          <w:szCs w:val="24"/>
        </w:rPr>
        <w:t xml:space="preserve"> hobij</w:t>
      </w:r>
      <w:r>
        <w:rPr>
          <w:sz w:val="24"/>
          <w:szCs w:val="24"/>
        </w:rPr>
        <w:t>e</w:t>
      </w:r>
      <w:r w:rsidRPr="00BC75CD">
        <w:rPr>
          <w:sz w:val="24"/>
          <w:szCs w:val="24"/>
        </w:rPr>
        <w:t xml:space="preserve"> i slično)</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financijsku i ekonomsku sigurnost</w:t>
      </w:r>
    </w:p>
    <w:p w:rsidR="00275973" w:rsidRPr="007F2BEB" w:rsidRDefault="00275973" w:rsidP="00E93220">
      <w:pPr>
        <w:numPr>
          <w:ilvl w:val="0"/>
          <w:numId w:val="6"/>
        </w:numPr>
        <w:autoSpaceDE w:val="0"/>
        <w:autoSpaceDN w:val="0"/>
        <w:adjustRightInd w:val="0"/>
        <w:spacing w:after="0" w:line="240" w:lineRule="auto"/>
        <w:jc w:val="both"/>
        <w:rPr>
          <w:sz w:val="24"/>
          <w:szCs w:val="24"/>
        </w:rPr>
      </w:pPr>
      <w:r w:rsidRPr="007F2BEB">
        <w:rPr>
          <w:sz w:val="24"/>
          <w:szCs w:val="24"/>
        </w:rPr>
        <w:t>mogućnost korištenja kulturnih sadržaja</w:t>
      </w:r>
      <w:r w:rsidR="007F2BEB" w:rsidRPr="007F2BEB">
        <w:rPr>
          <w:sz w:val="24"/>
          <w:szCs w:val="24"/>
        </w:rPr>
        <w:t xml:space="preserve"> i</w:t>
      </w:r>
      <w:r w:rsidR="00CA53F3">
        <w:rPr>
          <w:sz w:val="24"/>
          <w:szCs w:val="24"/>
        </w:rPr>
        <w:t xml:space="preserve"> </w:t>
      </w:r>
      <w:r w:rsidRPr="007F2BEB">
        <w:rPr>
          <w:sz w:val="24"/>
          <w:szCs w:val="24"/>
        </w:rPr>
        <w:t>društveni život</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mentalno zdravlje</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 xml:space="preserve">očuvanost okoliša i stupanj zagađenja u radnoj i privatnoj sredini </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adekvatnost funkcioniranja pravosuđa</w:t>
      </w:r>
    </w:p>
    <w:p w:rsidR="00275973" w:rsidRPr="00BC75CD" w:rsidRDefault="00275973" w:rsidP="00E93220">
      <w:pPr>
        <w:numPr>
          <w:ilvl w:val="0"/>
          <w:numId w:val="6"/>
        </w:numPr>
        <w:autoSpaceDE w:val="0"/>
        <w:autoSpaceDN w:val="0"/>
        <w:adjustRightInd w:val="0"/>
        <w:spacing w:after="0" w:line="240" w:lineRule="auto"/>
        <w:jc w:val="both"/>
        <w:rPr>
          <w:sz w:val="24"/>
          <w:szCs w:val="24"/>
        </w:rPr>
      </w:pPr>
      <w:r w:rsidRPr="00BC75CD">
        <w:rPr>
          <w:sz w:val="24"/>
          <w:szCs w:val="24"/>
        </w:rPr>
        <w:t>dostupnost financijskih usluga i uvjete njihova korištenja (visina kamatnjaka. instrumenti osiguranja)</w:t>
      </w:r>
      <w:r w:rsidR="007F2BEB">
        <w:rPr>
          <w:sz w:val="24"/>
          <w:szCs w:val="24"/>
        </w:rPr>
        <w:t xml:space="preserve"> i drugo.</w:t>
      </w:r>
    </w:p>
    <w:p w:rsidR="00A8513B" w:rsidRPr="00F64B4F" w:rsidRDefault="00F16AB8" w:rsidP="007F2BEB">
      <w:pPr>
        <w:jc w:val="both"/>
        <w:rPr>
          <w:sz w:val="24"/>
          <w:szCs w:val="24"/>
        </w:rPr>
      </w:pPr>
      <w:r>
        <w:rPr>
          <w:sz w:val="24"/>
          <w:szCs w:val="24"/>
        </w:rPr>
        <w:lastRenderedPageBreak/>
        <w:t xml:space="preserve">Jedan od indeksa koji komparira zemlje s obzirom na dostignuti stupanj kvalitete života je </w:t>
      </w:r>
      <w:r w:rsidRPr="00F64B4F">
        <w:rPr>
          <w:color w:val="C00000"/>
          <w:sz w:val="24"/>
          <w:szCs w:val="24"/>
        </w:rPr>
        <w:t>indeks ljudskog razvoja</w:t>
      </w:r>
      <w:r w:rsidR="00F64B4F" w:rsidRPr="00F64B4F">
        <w:rPr>
          <w:color w:val="C00000"/>
          <w:sz w:val="24"/>
          <w:szCs w:val="24"/>
        </w:rPr>
        <w:t xml:space="preserve"> </w:t>
      </w:r>
      <w:r w:rsidR="007F2BEB" w:rsidRPr="007F2BEB">
        <w:rPr>
          <w:color w:val="C00000"/>
          <w:sz w:val="24"/>
          <w:szCs w:val="24"/>
          <w:lang w:val="en-GB"/>
        </w:rPr>
        <w:t>(Human Development Inde</w:t>
      </w:r>
      <w:r w:rsidR="007F2BEB">
        <w:rPr>
          <w:color w:val="C00000"/>
          <w:sz w:val="24"/>
          <w:szCs w:val="24"/>
          <w:lang w:val="en-GB"/>
        </w:rPr>
        <w:t>x</w:t>
      </w:r>
      <w:r w:rsidR="007F2BEB" w:rsidRPr="007F2BEB">
        <w:rPr>
          <w:color w:val="C00000"/>
          <w:sz w:val="24"/>
          <w:szCs w:val="24"/>
          <w:lang w:val="en-GB"/>
        </w:rPr>
        <w:t xml:space="preserve"> – HDI</w:t>
      </w:r>
      <w:r w:rsidR="007F2BEB">
        <w:rPr>
          <w:color w:val="C00000"/>
          <w:sz w:val="24"/>
          <w:szCs w:val="24"/>
        </w:rPr>
        <w:t xml:space="preserve">) </w:t>
      </w:r>
      <w:r w:rsidR="00A8513B" w:rsidRPr="00F64B4F">
        <w:rPr>
          <w:sz w:val="24"/>
          <w:szCs w:val="24"/>
        </w:rPr>
        <w:t xml:space="preserve">koji dostignuti stupanj razvoja mjeri </w:t>
      </w:r>
      <w:r w:rsidR="00A8513B" w:rsidRPr="00D501BB">
        <w:rPr>
          <w:sz w:val="24"/>
          <w:szCs w:val="24"/>
        </w:rPr>
        <w:t>uzimajući u obzir očekivani životni vijek, srednju vrijednost završenih godina školovanja odraslih, očekivani broj godina školovanja djece te bruto nacionalni dohodak po glavi stanovnika</w:t>
      </w:r>
      <w:r w:rsidR="00595462" w:rsidRPr="00D501BB">
        <w:rPr>
          <w:sz w:val="24"/>
          <w:szCs w:val="24"/>
        </w:rPr>
        <w:t xml:space="preserve">. </w:t>
      </w:r>
      <w:r w:rsidR="007F2BEB" w:rsidRPr="00D501BB">
        <w:rPr>
          <w:sz w:val="24"/>
          <w:szCs w:val="24"/>
        </w:rPr>
        <w:t>Objavljuju ga Ujedinjeni narodi za 187 zemalja svijeta</w:t>
      </w:r>
      <w:r w:rsidR="00370E4C" w:rsidRPr="00D501BB">
        <w:rPr>
          <w:sz w:val="24"/>
          <w:szCs w:val="24"/>
        </w:rPr>
        <w:t xml:space="preserve">. </w:t>
      </w:r>
      <w:r w:rsidR="00595462" w:rsidRPr="00D501BB">
        <w:rPr>
          <w:sz w:val="24"/>
          <w:szCs w:val="24"/>
        </w:rPr>
        <w:t>V</w:t>
      </w:r>
      <w:r w:rsidR="00A8513B" w:rsidRPr="00F64B4F">
        <w:rPr>
          <w:sz w:val="24"/>
          <w:szCs w:val="24"/>
        </w:rPr>
        <w:t xml:space="preserve">rijednost </w:t>
      </w:r>
      <w:r w:rsidR="007F2BEB">
        <w:rPr>
          <w:sz w:val="24"/>
          <w:szCs w:val="24"/>
        </w:rPr>
        <w:t xml:space="preserve">HDI </w:t>
      </w:r>
      <w:r w:rsidR="00A8513B" w:rsidRPr="00F64B4F">
        <w:rPr>
          <w:sz w:val="24"/>
          <w:szCs w:val="24"/>
        </w:rPr>
        <w:t xml:space="preserve">indeksa kreće se od 0 do 1. </w:t>
      </w:r>
      <w:r w:rsidR="00F5036E">
        <w:rPr>
          <w:sz w:val="24"/>
          <w:szCs w:val="24"/>
        </w:rPr>
        <w:t>Vrijednost</w:t>
      </w:r>
      <w:r w:rsidR="00A8513B" w:rsidRPr="00F64B4F">
        <w:rPr>
          <w:sz w:val="24"/>
          <w:szCs w:val="24"/>
        </w:rPr>
        <w:t xml:space="preserve"> HDI</w:t>
      </w:r>
      <w:r w:rsidR="00F5036E">
        <w:rPr>
          <w:sz w:val="24"/>
          <w:szCs w:val="24"/>
        </w:rPr>
        <w:t xml:space="preserve"> indeksa</w:t>
      </w:r>
      <w:r w:rsidR="00A8513B" w:rsidRPr="00F64B4F">
        <w:rPr>
          <w:sz w:val="24"/>
          <w:szCs w:val="24"/>
        </w:rPr>
        <w:t xml:space="preserve"> izme</w:t>
      </w:r>
      <w:r w:rsidR="00F5036E">
        <w:rPr>
          <w:sz w:val="24"/>
          <w:szCs w:val="24"/>
        </w:rPr>
        <w:t>đu 1 i 0.8 se smatra vrlo visoko</w:t>
      </w:r>
      <w:r w:rsidR="00A8513B" w:rsidRPr="00F64B4F">
        <w:rPr>
          <w:sz w:val="24"/>
          <w:szCs w:val="24"/>
        </w:rPr>
        <w:t>m</w:t>
      </w:r>
      <w:r w:rsidR="00F5036E">
        <w:rPr>
          <w:sz w:val="24"/>
          <w:szCs w:val="24"/>
        </w:rPr>
        <w:t>;</w:t>
      </w:r>
      <w:r w:rsidR="00A8513B" w:rsidRPr="00F64B4F">
        <w:rPr>
          <w:sz w:val="24"/>
          <w:szCs w:val="24"/>
        </w:rPr>
        <w:t xml:space="preserve"> 0.8 do 0.6 visokim</w:t>
      </w:r>
      <w:r w:rsidR="00F5036E">
        <w:rPr>
          <w:sz w:val="24"/>
          <w:szCs w:val="24"/>
        </w:rPr>
        <w:t>;</w:t>
      </w:r>
      <w:r w:rsidR="00A8513B" w:rsidRPr="00F64B4F">
        <w:rPr>
          <w:sz w:val="24"/>
          <w:szCs w:val="24"/>
        </w:rPr>
        <w:t xml:space="preserve"> 0.6 do 0.4 srednj</w:t>
      </w:r>
      <w:r w:rsidR="00F5036E">
        <w:rPr>
          <w:sz w:val="24"/>
          <w:szCs w:val="24"/>
        </w:rPr>
        <w:t>o</w:t>
      </w:r>
      <w:r w:rsidR="00A8513B" w:rsidRPr="00F64B4F">
        <w:rPr>
          <w:sz w:val="24"/>
          <w:szCs w:val="24"/>
        </w:rPr>
        <w:t>m</w:t>
      </w:r>
      <w:r w:rsidR="00F5036E">
        <w:rPr>
          <w:sz w:val="24"/>
          <w:szCs w:val="24"/>
        </w:rPr>
        <w:t xml:space="preserve">; </w:t>
      </w:r>
      <w:r w:rsidR="00A8513B" w:rsidRPr="00F64B4F">
        <w:rPr>
          <w:sz w:val="24"/>
          <w:szCs w:val="24"/>
        </w:rPr>
        <w:t>a niže od 0.4 nisk</w:t>
      </w:r>
      <w:r w:rsidR="00F5036E">
        <w:rPr>
          <w:sz w:val="24"/>
          <w:szCs w:val="24"/>
        </w:rPr>
        <w:t>om</w:t>
      </w:r>
      <w:r w:rsidR="00595462">
        <w:rPr>
          <w:sz w:val="24"/>
          <w:szCs w:val="24"/>
        </w:rPr>
        <w:t>.</w:t>
      </w:r>
      <w:r w:rsidR="007F2BEB" w:rsidRPr="00F64B4F">
        <w:rPr>
          <w:sz w:val="24"/>
          <w:szCs w:val="24"/>
        </w:rPr>
        <w:t xml:space="preserve"> </w:t>
      </w:r>
      <w:r w:rsidR="007F2BEB">
        <w:rPr>
          <w:sz w:val="24"/>
          <w:szCs w:val="24"/>
        </w:rPr>
        <w:t>P</w:t>
      </w:r>
      <w:r w:rsidR="00A8513B" w:rsidRPr="00F64B4F">
        <w:rPr>
          <w:sz w:val="24"/>
          <w:szCs w:val="24"/>
        </w:rPr>
        <w:t xml:space="preserve">rema indeksu ljudskog razvoja za </w:t>
      </w:r>
      <w:r w:rsidR="00A8513B" w:rsidRPr="00D501BB">
        <w:rPr>
          <w:sz w:val="24"/>
          <w:szCs w:val="24"/>
        </w:rPr>
        <w:t>201</w:t>
      </w:r>
      <w:r w:rsidR="007F2BEB" w:rsidRPr="00D501BB">
        <w:rPr>
          <w:sz w:val="24"/>
          <w:szCs w:val="24"/>
        </w:rPr>
        <w:t>3</w:t>
      </w:r>
      <w:r w:rsidR="00A8513B" w:rsidRPr="00D501BB">
        <w:rPr>
          <w:sz w:val="24"/>
          <w:szCs w:val="24"/>
        </w:rPr>
        <w:t xml:space="preserve">. Hrvatska je svrstana </w:t>
      </w:r>
      <w:r w:rsidR="007F2BEB" w:rsidRPr="00D501BB">
        <w:rPr>
          <w:sz w:val="24"/>
          <w:szCs w:val="24"/>
        </w:rPr>
        <w:t xml:space="preserve">u </w:t>
      </w:r>
      <w:r w:rsidR="00A8513B" w:rsidRPr="00D501BB">
        <w:rPr>
          <w:sz w:val="24"/>
          <w:szCs w:val="24"/>
        </w:rPr>
        <w:t>na 4</w:t>
      </w:r>
      <w:r w:rsidR="007F2BEB" w:rsidRPr="00D501BB">
        <w:rPr>
          <w:sz w:val="24"/>
          <w:szCs w:val="24"/>
        </w:rPr>
        <w:t>7</w:t>
      </w:r>
      <w:r w:rsidR="00A8513B" w:rsidRPr="00D501BB">
        <w:rPr>
          <w:sz w:val="24"/>
          <w:szCs w:val="24"/>
        </w:rPr>
        <w:t xml:space="preserve"> mjestu s vrijednošću indeksa 0,</w:t>
      </w:r>
      <w:r w:rsidR="007F2BEB" w:rsidRPr="00D501BB">
        <w:rPr>
          <w:sz w:val="24"/>
          <w:szCs w:val="24"/>
        </w:rPr>
        <w:t>812, odnosno ulazi u skupinu zemalja sa vrlo visokim ljudskim razvojem.</w:t>
      </w:r>
      <w:r w:rsidR="00370E4C" w:rsidRPr="00D501BB">
        <w:rPr>
          <w:sz w:val="24"/>
          <w:szCs w:val="24"/>
        </w:rPr>
        <w:t xml:space="preserve"> Zemlje s najvećim HDI indeksom su redom Norveška, Australija, Švicarska, Nizozemska, SAD i Njemačka.</w:t>
      </w:r>
      <w:r w:rsidR="00D501BB" w:rsidRPr="00D501BB">
        <w:rPr>
          <w:sz w:val="24"/>
          <w:szCs w:val="24"/>
          <w:vertAlign w:val="superscript"/>
        </w:rPr>
        <w:t xml:space="preserve"> </w:t>
      </w:r>
      <w:r w:rsidR="00D501BB" w:rsidRPr="00D76837">
        <w:rPr>
          <w:sz w:val="24"/>
          <w:szCs w:val="24"/>
          <w:vertAlign w:val="superscript"/>
        </w:rPr>
        <w:footnoteReference w:id="29"/>
      </w:r>
    </w:p>
    <w:p w:rsidR="00595462" w:rsidRDefault="00370E4C" w:rsidP="00595462">
      <w:pPr>
        <w:autoSpaceDE w:val="0"/>
        <w:autoSpaceDN w:val="0"/>
        <w:adjustRightInd w:val="0"/>
        <w:jc w:val="both"/>
        <w:rPr>
          <w:sz w:val="24"/>
          <w:szCs w:val="24"/>
        </w:rPr>
      </w:pPr>
      <w:r>
        <w:rPr>
          <w:sz w:val="24"/>
          <w:szCs w:val="24"/>
        </w:rPr>
        <w:t>I</w:t>
      </w:r>
      <w:r w:rsidR="00595462" w:rsidRPr="00595462">
        <w:rPr>
          <w:sz w:val="24"/>
          <w:szCs w:val="24"/>
        </w:rPr>
        <w:t xml:space="preserve">z podataka u tablici </w:t>
      </w:r>
      <w:r w:rsidR="002D1DD5">
        <w:rPr>
          <w:sz w:val="24"/>
          <w:szCs w:val="24"/>
        </w:rPr>
        <w:t>8</w:t>
      </w:r>
      <w:r w:rsidR="00595462" w:rsidRPr="00595462">
        <w:rPr>
          <w:sz w:val="24"/>
          <w:szCs w:val="24"/>
        </w:rPr>
        <w:t xml:space="preserve"> vidljivo je da s obzirom na visinu BDP-a po glavi stanovnika Hrvatska značajno zaostaje za razvijenim europskim gospodarstvima, ali i za pojedinim drugim novim članicama Europske unije s izuzetkom Rumunjske i Bugarske. </w:t>
      </w:r>
      <w:r>
        <w:rPr>
          <w:sz w:val="24"/>
          <w:szCs w:val="24"/>
        </w:rPr>
        <w:t>Slična kretanj</w:t>
      </w:r>
      <w:r w:rsidR="007D312C">
        <w:rPr>
          <w:sz w:val="24"/>
          <w:szCs w:val="24"/>
        </w:rPr>
        <w:t xml:space="preserve">a bilježi i po HDI indeksu, </w:t>
      </w:r>
      <w:r>
        <w:rPr>
          <w:sz w:val="24"/>
          <w:szCs w:val="24"/>
        </w:rPr>
        <w:t xml:space="preserve">a što je u najvećoj mjeri rezultat niskog bruto nacionalnog dohotka po glavi stanovnika, a potom nižeg očekivanog životnog vijeka i </w:t>
      </w:r>
      <w:r w:rsidR="00DD0E21">
        <w:rPr>
          <w:sz w:val="24"/>
          <w:szCs w:val="24"/>
        </w:rPr>
        <w:t xml:space="preserve">nižih </w:t>
      </w:r>
      <w:r>
        <w:rPr>
          <w:sz w:val="24"/>
          <w:szCs w:val="24"/>
        </w:rPr>
        <w:t xml:space="preserve">očekivanih broja godina školovanja. </w:t>
      </w:r>
      <w:r w:rsidR="00DD0E21">
        <w:rPr>
          <w:sz w:val="24"/>
          <w:szCs w:val="24"/>
        </w:rPr>
        <w:t xml:space="preserve">S obzirom da je </w:t>
      </w:r>
      <w:r w:rsidR="00DD0E21" w:rsidRPr="00DD0E21">
        <w:rPr>
          <w:color w:val="C00000"/>
          <w:sz w:val="24"/>
          <w:szCs w:val="24"/>
        </w:rPr>
        <w:t>subjektivno poimanje kvalitete života i blagostanja određeno okolinom s kojom se običava komparirati ili kojoj se teži</w:t>
      </w:r>
      <w:r w:rsidR="00DD0E21">
        <w:rPr>
          <w:color w:val="C00000"/>
          <w:sz w:val="24"/>
          <w:szCs w:val="24"/>
        </w:rPr>
        <w:t>,</w:t>
      </w:r>
      <w:r w:rsidR="00DD0E21" w:rsidRPr="00DD0E21">
        <w:rPr>
          <w:color w:val="C00000"/>
          <w:sz w:val="24"/>
          <w:szCs w:val="24"/>
        </w:rPr>
        <w:t xml:space="preserve"> </w:t>
      </w:r>
      <w:r w:rsidR="00DD0E21">
        <w:rPr>
          <w:sz w:val="24"/>
          <w:szCs w:val="24"/>
        </w:rPr>
        <w:t xml:space="preserve">sigurno ima razloga za nezadovoljstvo takvom pozicijom. S druge strane po rangu HDI indeksa iza Hrvatske je čitav niz zemalja kod kojih je situacija daleko lošija te stoga na globalnoj razini zapravo zauzima dobru poziciju, kao i u odnosu na pojedine susjedne zemlje poput Srbije koja je na </w:t>
      </w:r>
      <w:r w:rsidR="00172B76">
        <w:rPr>
          <w:sz w:val="24"/>
          <w:szCs w:val="24"/>
        </w:rPr>
        <w:t xml:space="preserve">79 mjestu </w:t>
      </w:r>
      <w:r w:rsidR="00DD0E21">
        <w:rPr>
          <w:sz w:val="24"/>
          <w:szCs w:val="24"/>
        </w:rPr>
        <w:t>i BiH koja je na 86 mjestu</w:t>
      </w:r>
      <w:r w:rsidR="00172B76">
        <w:rPr>
          <w:sz w:val="24"/>
          <w:szCs w:val="24"/>
        </w:rPr>
        <w:t xml:space="preserve">; ili Turske i Meksika </w:t>
      </w:r>
      <w:r w:rsidR="00034AB8">
        <w:rPr>
          <w:sz w:val="24"/>
          <w:szCs w:val="24"/>
        </w:rPr>
        <w:t xml:space="preserve">na 69 i 71 mjestu </w:t>
      </w:r>
      <w:r w:rsidR="007D312C">
        <w:rPr>
          <w:sz w:val="24"/>
          <w:szCs w:val="24"/>
        </w:rPr>
        <w:t>(</w:t>
      </w:r>
      <w:r w:rsidR="00172B76">
        <w:rPr>
          <w:sz w:val="24"/>
          <w:szCs w:val="24"/>
        </w:rPr>
        <w:t xml:space="preserve">čije su TV novele </w:t>
      </w:r>
      <w:r w:rsidR="00034AB8">
        <w:rPr>
          <w:sz w:val="24"/>
          <w:szCs w:val="24"/>
        </w:rPr>
        <w:t>zbog učestalosti prikazivanja već sastavni dio života dijela hrvatskih kućanstva</w:t>
      </w:r>
      <w:r w:rsidR="007D312C">
        <w:rPr>
          <w:sz w:val="24"/>
          <w:szCs w:val="24"/>
        </w:rPr>
        <w:t>)</w:t>
      </w:r>
      <w:r w:rsidR="00034AB8">
        <w:rPr>
          <w:sz w:val="24"/>
          <w:szCs w:val="24"/>
        </w:rPr>
        <w:t>;</w:t>
      </w:r>
      <w:r w:rsidR="00DD0E21">
        <w:rPr>
          <w:sz w:val="24"/>
          <w:szCs w:val="24"/>
        </w:rPr>
        <w:t xml:space="preserve"> ili Kine kao zemlje s vrlo visokim stopama rasta </w:t>
      </w:r>
      <w:r w:rsidR="00034AB8">
        <w:rPr>
          <w:sz w:val="24"/>
          <w:szCs w:val="24"/>
        </w:rPr>
        <w:t xml:space="preserve">u kojoj se proizvodi </w:t>
      </w:r>
      <w:r w:rsidR="002D1DD5">
        <w:rPr>
          <w:sz w:val="24"/>
          <w:szCs w:val="24"/>
        </w:rPr>
        <w:t xml:space="preserve">popularni </w:t>
      </w:r>
      <w:r w:rsidR="00034AB8">
        <w:rPr>
          <w:sz w:val="24"/>
          <w:szCs w:val="24"/>
        </w:rPr>
        <w:t>iPhone i čija roba zauzima sve veći dio</w:t>
      </w:r>
      <w:r w:rsidR="00A8513B">
        <w:rPr>
          <w:sz w:val="24"/>
          <w:szCs w:val="24"/>
        </w:rPr>
        <w:t xml:space="preserve"> polica u europskim trgovinama dok se po HDI indeksu</w:t>
      </w:r>
      <w:r w:rsidR="00034AB8">
        <w:rPr>
          <w:sz w:val="24"/>
          <w:szCs w:val="24"/>
        </w:rPr>
        <w:t xml:space="preserve"> nalazi </w:t>
      </w:r>
      <w:r w:rsidR="00DD0E21">
        <w:rPr>
          <w:sz w:val="24"/>
          <w:szCs w:val="24"/>
        </w:rPr>
        <w:t>tek na 91 mjestu</w:t>
      </w:r>
      <w:r w:rsidR="00F9611C">
        <w:rPr>
          <w:sz w:val="24"/>
          <w:szCs w:val="24"/>
        </w:rPr>
        <w:t xml:space="preserve"> (no</w:t>
      </w:r>
      <w:r w:rsidR="00A8513B">
        <w:rPr>
          <w:sz w:val="24"/>
          <w:szCs w:val="24"/>
        </w:rPr>
        <w:t xml:space="preserve"> iz godine u godinu se sve brže penje po rang ljestvici)</w:t>
      </w:r>
      <w:r w:rsidR="00DD0E21">
        <w:rPr>
          <w:sz w:val="24"/>
          <w:szCs w:val="24"/>
        </w:rPr>
        <w:t>.</w:t>
      </w:r>
    </w:p>
    <w:p w:rsidR="00C22D36" w:rsidRPr="00F64B4F" w:rsidRDefault="00A8513B" w:rsidP="00C22D36">
      <w:pPr>
        <w:jc w:val="both"/>
        <w:rPr>
          <w:sz w:val="24"/>
          <w:szCs w:val="24"/>
        </w:rPr>
      </w:pPr>
      <w:r>
        <w:rPr>
          <w:sz w:val="24"/>
          <w:szCs w:val="24"/>
        </w:rPr>
        <w:t xml:space="preserve">Kada se HDI indeks kombinira s pojedinim </w:t>
      </w:r>
      <w:r w:rsidRPr="00B072CD">
        <w:rPr>
          <w:color w:val="C00000"/>
          <w:sz w:val="24"/>
          <w:szCs w:val="24"/>
        </w:rPr>
        <w:t xml:space="preserve">pokazateljima očuvanja okoliša </w:t>
      </w:r>
      <w:r>
        <w:rPr>
          <w:sz w:val="24"/>
          <w:szCs w:val="24"/>
        </w:rPr>
        <w:t>kao što su količina emisije ugljičnog dioksida po stanovniku, potrošnja električne energije po stanovniku</w:t>
      </w:r>
      <w:r w:rsidR="00B072CD">
        <w:rPr>
          <w:sz w:val="24"/>
          <w:szCs w:val="24"/>
        </w:rPr>
        <w:t>,</w:t>
      </w:r>
      <w:r>
        <w:rPr>
          <w:sz w:val="24"/>
          <w:szCs w:val="24"/>
        </w:rPr>
        <w:t xml:space="preserve"> ukupno korištenje energije po stanovniku</w:t>
      </w:r>
      <w:r w:rsidR="00B072CD">
        <w:rPr>
          <w:sz w:val="24"/>
          <w:szCs w:val="24"/>
        </w:rPr>
        <w:t xml:space="preserve"> i slično</w:t>
      </w:r>
      <w:r>
        <w:rPr>
          <w:sz w:val="24"/>
          <w:szCs w:val="24"/>
        </w:rPr>
        <w:t>, slika za Hrvatsku može bit</w:t>
      </w:r>
      <w:r w:rsidR="009C6E4E">
        <w:rPr>
          <w:sz w:val="24"/>
          <w:szCs w:val="24"/>
        </w:rPr>
        <w:t>i</w:t>
      </w:r>
      <w:r>
        <w:rPr>
          <w:sz w:val="24"/>
          <w:szCs w:val="24"/>
        </w:rPr>
        <w:t xml:space="preserve"> drugačija. </w:t>
      </w:r>
      <w:r w:rsidR="007B54D1">
        <w:rPr>
          <w:sz w:val="24"/>
          <w:szCs w:val="24"/>
        </w:rPr>
        <w:t xml:space="preserve">Naime, za razliku od Hrvatske kao deindustrijalizirane ekonomije s još uvijek visokim stupnjem očuvanja okoliša, </w:t>
      </w:r>
      <w:r w:rsidR="00B072CD" w:rsidRPr="009C6E4E">
        <w:rPr>
          <w:color w:val="C00000"/>
          <w:sz w:val="24"/>
          <w:szCs w:val="24"/>
        </w:rPr>
        <w:t>brzo rastuće zemlje koje uništavaju</w:t>
      </w:r>
      <w:r w:rsidR="007B54D1" w:rsidRPr="009C6E4E">
        <w:rPr>
          <w:color w:val="C00000"/>
          <w:sz w:val="24"/>
          <w:szCs w:val="24"/>
        </w:rPr>
        <w:t xml:space="preserve"> svoj okoliš nepovratno srozavaju mogućnost za vlastiti razvoj odnosno uništavaju dobrobit i blagostanje budućih generacija</w:t>
      </w:r>
      <w:r w:rsidR="007B54D1">
        <w:rPr>
          <w:sz w:val="24"/>
          <w:szCs w:val="24"/>
        </w:rPr>
        <w:t>.</w:t>
      </w:r>
      <w:r w:rsidR="00B072CD">
        <w:rPr>
          <w:sz w:val="24"/>
          <w:szCs w:val="24"/>
        </w:rPr>
        <w:t xml:space="preserve"> Upravo ukazujući na navedeno, </w:t>
      </w:r>
      <w:r>
        <w:rPr>
          <w:sz w:val="24"/>
          <w:szCs w:val="24"/>
        </w:rPr>
        <w:t xml:space="preserve">istraživanje </w:t>
      </w:r>
      <w:r w:rsidR="007B54D1">
        <w:rPr>
          <w:sz w:val="24"/>
          <w:szCs w:val="24"/>
        </w:rPr>
        <w:t xml:space="preserve">iz </w:t>
      </w:r>
      <w:r>
        <w:rPr>
          <w:sz w:val="24"/>
          <w:szCs w:val="24"/>
        </w:rPr>
        <w:t xml:space="preserve">2014. ističe Hrvatsku kao jednu od devet zemalja (od </w:t>
      </w:r>
      <w:r w:rsidR="00BA0270">
        <w:rPr>
          <w:sz w:val="24"/>
          <w:szCs w:val="24"/>
        </w:rPr>
        <w:t>84</w:t>
      </w:r>
      <w:r>
        <w:rPr>
          <w:sz w:val="24"/>
          <w:szCs w:val="24"/>
        </w:rPr>
        <w:t xml:space="preserve"> </w:t>
      </w:r>
      <w:r w:rsidR="007B54D1">
        <w:rPr>
          <w:sz w:val="24"/>
          <w:szCs w:val="24"/>
        </w:rPr>
        <w:t>zemalja s visokim</w:t>
      </w:r>
      <w:r w:rsidR="00BA0270">
        <w:rPr>
          <w:sz w:val="24"/>
          <w:szCs w:val="24"/>
        </w:rPr>
        <w:t xml:space="preserve"> </w:t>
      </w:r>
      <w:r w:rsidR="007B54D1">
        <w:rPr>
          <w:sz w:val="24"/>
          <w:szCs w:val="24"/>
        </w:rPr>
        <w:t xml:space="preserve">i srednjim </w:t>
      </w:r>
      <w:r w:rsidR="00BA0270">
        <w:rPr>
          <w:sz w:val="24"/>
          <w:szCs w:val="24"/>
        </w:rPr>
        <w:t xml:space="preserve">višim </w:t>
      </w:r>
      <w:r w:rsidR="007B54D1">
        <w:rPr>
          <w:sz w:val="24"/>
          <w:szCs w:val="24"/>
        </w:rPr>
        <w:t xml:space="preserve">dohotkom </w:t>
      </w:r>
      <w:r>
        <w:rPr>
          <w:sz w:val="24"/>
          <w:szCs w:val="24"/>
        </w:rPr>
        <w:t xml:space="preserve">koje su analizirane) </w:t>
      </w:r>
      <w:r w:rsidR="007B54D1">
        <w:rPr>
          <w:sz w:val="24"/>
          <w:szCs w:val="24"/>
        </w:rPr>
        <w:t xml:space="preserve">s najviše izgleda za postizanje </w:t>
      </w:r>
      <w:r w:rsidR="007B54D1" w:rsidRPr="00BA0270">
        <w:rPr>
          <w:color w:val="C00000"/>
          <w:sz w:val="24"/>
          <w:szCs w:val="24"/>
        </w:rPr>
        <w:t xml:space="preserve">održivog </w:t>
      </w:r>
      <w:r w:rsidR="00BA0270" w:rsidRPr="00BA0270">
        <w:rPr>
          <w:color w:val="C00000"/>
          <w:sz w:val="24"/>
          <w:szCs w:val="24"/>
        </w:rPr>
        <w:t xml:space="preserve">ljudskog </w:t>
      </w:r>
      <w:r w:rsidR="007B54D1" w:rsidRPr="00BA0270">
        <w:rPr>
          <w:color w:val="C00000"/>
          <w:sz w:val="24"/>
          <w:szCs w:val="24"/>
        </w:rPr>
        <w:t>razvoja</w:t>
      </w:r>
      <w:r w:rsidR="00BA0270">
        <w:rPr>
          <w:sz w:val="24"/>
          <w:szCs w:val="24"/>
        </w:rPr>
        <w:t xml:space="preserve">, odnosno postizanje tekuće razine </w:t>
      </w:r>
      <w:r w:rsidR="00BA0270">
        <w:rPr>
          <w:sz w:val="24"/>
          <w:szCs w:val="24"/>
        </w:rPr>
        <w:lastRenderedPageBreak/>
        <w:t>ljudskog razvoja s minimalno resursa</w:t>
      </w:r>
      <w:r w:rsidR="00B072CD">
        <w:rPr>
          <w:sz w:val="24"/>
          <w:szCs w:val="24"/>
        </w:rPr>
        <w:t>. Ostalih osam z</w:t>
      </w:r>
      <w:r w:rsidR="007B54D1">
        <w:rPr>
          <w:sz w:val="24"/>
          <w:szCs w:val="24"/>
        </w:rPr>
        <w:t>emalja s pozitivnim očekivanjima na održivi razvoj su Hong Kong, Mađarska, Izrael, Malta, Poljska, Portugal, Švedska i Švicarska.</w:t>
      </w:r>
      <w:r w:rsidR="00C22D36" w:rsidRPr="00C22D36">
        <w:rPr>
          <w:sz w:val="24"/>
          <w:szCs w:val="24"/>
          <w:vertAlign w:val="superscript"/>
        </w:rPr>
        <w:t xml:space="preserve"> </w:t>
      </w:r>
      <w:r w:rsidR="00C22D36" w:rsidRPr="00D76837">
        <w:rPr>
          <w:sz w:val="24"/>
          <w:szCs w:val="24"/>
          <w:vertAlign w:val="superscript"/>
        </w:rPr>
        <w:footnoteReference w:id="30"/>
      </w:r>
    </w:p>
    <w:p w:rsidR="00275973" w:rsidRPr="00BC75CD" w:rsidRDefault="00275973" w:rsidP="00275973">
      <w:pPr>
        <w:jc w:val="both"/>
        <w:rPr>
          <w:sz w:val="24"/>
          <w:szCs w:val="24"/>
        </w:rPr>
      </w:pPr>
      <w:r w:rsidRPr="00BC75CD">
        <w:rPr>
          <w:sz w:val="24"/>
          <w:szCs w:val="24"/>
        </w:rPr>
        <w:t xml:space="preserve">Za potrebe utvrđivanja dostignute razine kvalitete života u određenoj </w:t>
      </w:r>
      <w:r w:rsidR="00141670">
        <w:rPr>
          <w:sz w:val="24"/>
          <w:szCs w:val="24"/>
        </w:rPr>
        <w:t>zemlji,</w:t>
      </w:r>
      <w:r w:rsidRPr="00BC75CD">
        <w:rPr>
          <w:sz w:val="24"/>
          <w:szCs w:val="24"/>
        </w:rPr>
        <w:t xml:space="preserve"> u novije vrijeme su razvijeni različiti indeksi koji pored ekonomskih indikatora uzimaju u obzir socijalne</w:t>
      </w:r>
      <w:r>
        <w:rPr>
          <w:sz w:val="24"/>
          <w:szCs w:val="24"/>
        </w:rPr>
        <w:t>,</w:t>
      </w:r>
      <w:r w:rsidRPr="00BC75CD">
        <w:rPr>
          <w:sz w:val="24"/>
          <w:szCs w:val="24"/>
        </w:rPr>
        <w:t xml:space="preserve">  ekološke i druge pokazatelje koji djeluju na razinu zadovoljstva i sreće stanovništva. Jedan od njih je </w:t>
      </w:r>
      <w:r w:rsidRPr="00AC1734">
        <w:rPr>
          <w:color w:val="C00000"/>
          <w:sz w:val="24"/>
          <w:szCs w:val="24"/>
        </w:rPr>
        <w:t xml:space="preserve">indeks prosperiteta </w:t>
      </w:r>
      <w:r w:rsidRPr="00BC75CD">
        <w:rPr>
          <w:sz w:val="24"/>
          <w:szCs w:val="24"/>
        </w:rPr>
        <w:t xml:space="preserve">(Prosperity Index) koji mjeri i objavljuje Legatum institut. Polazeći od poznate izjave Roberta Kennedyja </w:t>
      </w:r>
      <w:r w:rsidRPr="009C6E4E">
        <w:rPr>
          <w:i/>
          <w:sz w:val="24"/>
          <w:szCs w:val="24"/>
        </w:rPr>
        <w:t>“BDP mjeri sve osim onoga što je važno u životu.“,</w:t>
      </w:r>
      <w:r w:rsidRPr="00BC75CD">
        <w:rPr>
          <w:sz w:val="24"/>
          <w:szCs w:val="24"/>
        </w:rPr>
        <w:t xml:space="preserve"> indeks prosperiteta uzima u obzir 89 različitih pokazatelja ekonomskog rasta</w:t>
      </w:r>
      <w:r w:rsidR="00141670">
        <w:rPr>
          <w:sz w:val="24"/>
          <w:szCs w:val="24"/>
        </w:rPr>
        <w:t>,</w:t>
      </w:r>
      <w:r w:rsidRPr="00BC75CD">
        <w:rPr>
          <w:sz w:val="24"/>
          <w:szCs w:val="24"/>
        </w:rPr>
        <w:t xml:space="preserve"> dobrobiti. zadovoljstva i sreće koji se odražavaju na kvalitetu života stanovništva određene </w:t>
      </w:r>
      <w:r w:rsidR="00141670">
        <w:rPr>
          <w:sz w:val="24"/>
          <w:szCs w:val="24"/>
        </w:rPr>
        <w:t>zemlje</w:t>
      </w:r>
      <w:r w:rsidRPr="00BC75CD">
        <w:rPr>
          <w:sz w:val="24"/>
          <w:szCs w:val="24"/>
        </w:rPr>
        <w:t xml:space="preserve">. </w:t>
      </w:r>
      <w:r w:rsidR="00E06F39">
        <w:rPr>
          <w:sz w:val="24"/>
          <w:szCs w:val="24"/>
        </w:rPr>
        <w:t xml:space="preserve">Iako se obuhvat pokazatelja povremeno mijenja, </w:t>
      </w:r>
      <w:r w:rsidR="00E06F39" w:rsidRPr="00DE3A5D">
        <w:rPr>
          <w:color w:val="C00000"/>
          <w:sz w:val="24"/>
          <w:szCs w:val="24"/>
        </w:rPr>
        <w:t>temeljna p</w:t>
      </w:r>
      <w:r w:rsidRPr="00DE3A5D">
        <w:rPr>
          <w:color w:val="C00000"/>
          <w:sz w:val="24"/>
          <w:szCs w:val="24"/>
        </w:rPr>
        <w:t xml:space="preserve">odručja koja se analiziraju </w:t>
      </w:r>
      <w:r w:rsidR="00E06F39">
        <w:rPr>
          <w:sz w:val="24"/>
          <w:szCs w:val="24"/>
        </w:rPr>
        <w:t xml:space="preserve">su: </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ekonomija</w:t>
      </w:r>
      <w:r w:rsidRPr="00141670">
        <w:rPr>
          <w:sz w:val="24"/>
          <w:szCs w:val="24"/>
        </w:rPr>
        <w:t xml:space="preserve"> (uključeni indi</w:t>
      </w:r>
      <w:r w:rsidR="00EA158C">
        <w:rPr>
          <w:sz w:val="24"/>
          <w:szCs w:val="24"/>
        </w:rPr>
        <w:t>katori: makroekonomsk</w:t>
      </w:r>
      <w:r w:rsidR="00960128">
        <w:rPr>
          <w:sz w:val="24"/>
          <w:szCs w:val="24"/>
        </w:rPr>
        <w:t xml:space="preserve">og okruženja, </w:t>
      </w:r>
      <w:r w:rsidR="00EA158C">
        <w:rPr>
          <w:sz w:val="24"/>
          <w:szCs w:val="24"/>
        </w:rPr>
        <w:t>veličina tržišta, udio visokotehnoloških proizvoda u izvozu, nezaposlenost, inflacija, nenaplativi krediti,</w:t>
      </w:r>
      <w:r w:rsidRPr="00141670">
        <w:rPr>
          <w:sz w:val="24"/>
          <w:szCs w:val="24"/>
        </w:rPr>
        <w:t xml:space="preserve"> </w:t>
      </w:r>
      <w:r w:rsidR="00960128">
        <w:rPr>
          <w:sz w:val="24"/>
          <w:szCs w:val="24"/>
        </w:rPr>
        <w:t>efiaksnot i povjerenje u financijske institucije itd.</w:t>
      </w:r>
      <w:r w:rsidRPr="00141670">
        <w:rPr>
          <w:sz w:val="24"/>
          <w:szCs w:val="24"/>
        </w:rPr>
        <w:t>; razlog uključivanja: stabilne i rastuće ekonomije povećavaju dohodak po glavi stanovnika te promoviraju dobrobit građana)</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 xml:space="preserve">poduzetništvo i mogućnosti </w:t>
      </w:r>
      <w:r w:rsidRPr="00141670">
        <w:rPr>
          <w:sz w:val="24"/>
          <w:szCs w:val="24"/>
        </w:rPr>
        <w:t>(uključeni indikatori: poduzetničke klime. inovativnosti i pristup novim mogućnostima</w:t>
      </w:r>
      <w:r w:rsidR="00EA158C">
        <w:rPr>
          <w:sz w:val="24"/>
          <w:szCs w:val="24"/>
        </w:rPr>
        <w:t>, izdaci za istraživanje i razvoj, mogućnosti pokretanja novog posla</w:t>
      </w:r>
      <w:r w:rsidR="00960128">
        <w:rPr>
          <w:sz w:val="24"/>
          <w:szCs w:val="24"/>
        </w:rPr>
        <w:t xml:space="preserve"> itd.</w:t>
      </w:r>
      <w:r w:rsidRPr="00141670">
        <w:rPr>
          <w:sz w:val="24"/>
          <w:szCs w:val="24"/>
        </w:rPr>
        <w:t xml:space="preserve">; razlog uključivanja: razvijena poduzetnička klima, u kojoj ljudi mogu razvijati nove ideje te koristiti mogućnosti za poboljšanje vlastitog života, pridonosi rastu nacionalnog dohotka te dobrobiti stanovništva) </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upravljanje</w:t>
      </w:r>
      <w:r w:rsidRPr="00141670">
        <w:rPr>
          <w:sz w:val="24"/>
          <w:szCs w:val="24"/>
        </w:rPr>
        <w:t xml:space="preserve"> (uključeni indikatori: </w:t>
      </w:r>
      <w:r w:rsidR="00EA158C">
        <w:rPr>
          <w:sz w:val="24"/>
          <w:szCs w:val="24"/>
        </w:rPr>
        <w:t xml:space="preserve">stabilnosti i </w:t>
      </w:r>
      <w:r w:rsidRPr="00141670">
        <w:rPr>
          <w:sz w:val="24"/>
          <w:szCs w:val="24"/>
        </w:rPr>
        <w:t xml:space="preserve">djelotvornosti upravljanja na državnoj razini, </w:t>
      </w:r>
      <w:r w:rsidR="00EA158C">
        <w:rPr>
          <w:sz w:val="24"/>
          <w:szCs w:val="24"/>
        </w:rPr>
        <w:t xml:space="preserve">pravosuđe i vladavina prava, </w:t>
      </w:r>
      <w:r w:rsidRPr="00141670">
        <w:rPr>
          <w:sz w:val="24"/>
          <w:szCs w:val="24"/>
        </w:rPr>
        <w:t>ne</w:t>
      </w:r>
      <w:r w:rsidR="00EA158C">
        <w:rPr>
          <w:sz w:val="24"/>
          <w:szCs w:val="24"/>
        </w:rPr>
        <w:t>pristranosti u izbornom procesu te</w:t>
      </w:r>
      <w:r w:rsidRPr="00141670">
        <w:rPr>
          <w:sz w:val="24"/>
          <w:szCs w:val="24"/>
        </w:rPr>
        <w:t xml:space="preserve"> mogućnost uključivanja pojedinaca u političke aktivnosti</w:t>
      </w:r>
      <w:r w:rsidR="00960128">
        <w:rPr>
          <w:sz w:val="24"/>
          <w:szCs w:val="24"/>
        </w:rPr>
        <w:t xml:space="preserve"> itd.</w:t>
      </w:r>
      <w:r w:rsidRPr="00141670">
        <w:rPr>
          <w:sz w:val="24"/>
          <w:szCs w:val="24"/>
        </w:rPr>
        <w:t>; razlog uključivanja: dobro upravljanje na državnoj razini pretpostavka je ekonomskog rasta te povećanja dobrobiti stanovništva)</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obrazovanje</w:t>
      </w:r>
      <w:r w:rsidRPr="00141670">
        <w:rPr>
          <w:sz w:val="24"/>
          <w:szCs w:val="24"/>
        </w:rPr>
        <w:t xml:space="preserve"> (uključeni indikatori: pristup</w:t>
      </w:r>
      <w:r w:rsidR="00960128">
        <w:rPr>
          <w:sz w:val="24"/>
          <w:szCs w:val="24"/>
        </w:rPr>
        <w:t>a</w:t>
      </w:r>
      <w:r w:rsidRPr="00141670">
        <w:rPr>
          <w:sz w:val="24"/>
          <w:szCs w:val="24"/>
        </w:rPr>
        <w:t xml:space="preserve"> obrazovanju, kvalitete obrazovanja i ljudskog kapitala; razlog uključivanja: obrazovanje je jedan od temeljnih elemenata izgradnje prosperitetnog društva)</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 xml:space="preserve">zdravstvo </w:t>
      </w:r>
      <w:r w:rsidRPr="00141670">
        <w:rPr>
          <w:sz w:val="24"/>
          <w:szCs w:val="24"/>
        </w:rPr>
        <w:t>(uključeni pokazatelji: razvijenosti zdravstvene infrastrukture i preventivne zaštite fizičkog i mentalnog zdravlja nacije te zadovoljstva zdravstvenom skrbi</w:t>
      </w:r>
      <w:r w:rsidR="00EA158C">
        <w:rPr>
          <w:sz w:val="24"/>
          <w:szCs w:val="24"/>
        </w:rPr>
        <w:t>, očekivani životni vijek, smrtnost dojenčadi itd.</w:t>
      </w:r>
      <w:r w:rsidRPr="00141670">
        <w:rPr>
          <w:sz w:val="24"/>
          <w:szCs w:val="24"/>
        </w:rPr>
        <w:t>; razlog uključivanja: razvijena zdravstvena infrastruktura</w:t>
      </w:r>
      <w:r w:rsidR="00EA158C">
        <w:rPr>
          <w:sz w:val="24"/>
          <w:szCs w:val="24"/>
        </w:rPr>
        <w:t>,</w:t>
      </w:r>
      <w:r w:rsidRPr="00141670">
        <w:rPr>
          <w:sz w:val="24"/>
          <w:szCs w:val="24"/>
        </w:rPr>
        <w:t xml:space="preserve"> u kojoj je osigurana zaštita fizičkog i mentalnog zdravlja svakog pojedinca pridonosi rastu nacionalnog dohotka i dobrobiti stanovništva) </w:t>
      </w:r>
    </w:p>
    <w:p w:rsidR="006D4EC0" w:rsidRPr="00141670"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sigurnost</w:t>
      </w:r>
      <w:r w:rsidRPr="00141670">
        <w:rPr>
          <w:sz w:val="24"/>
          <w:szCs w:val="24"/>
        </w:rPr>
        <w:t xml:space="preserve"> (uključeni indikatori: nacionalne sigurnosti i osobne sigurnosti; razlog uključivanja: prosperitet države je ugrožen ako ne postoje stabilni ekonomski. socijalni i politički okviri za rast investicija, zaštitu privatnog vlasništva, zaštitu dostojanstva čovjeka, zaštitu slobode govora i političke orijentacije, osobnu zaštitu pojedinca od narušavala ugleda, zaštitu od fizičkog nasilja itd. )</w:t>
      </w:r>
    </w:p>
    <w:p w:rsidR="00960128"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t xml:space="preserve">osobne slobode </w:t>
      </w:r>
      <w:r w:rsidRPr="00960128">
        <w:rPr>
          <w:sz w:val="24"/>
          <w:szCs w:val="24"/>
        </w:rPr>
        <w:t xml:space="preserve">(uključeni indikatori: slobode </w:t>
      </w:r>
      <w:r w:rsidR="00EA158C" w:rsidRPr="00960128">
        <w:rPr>
          <w:sz w:val="24"/>
          <w:szCs w:val="24"/>
        </w:rPr>
        <w:t>građana, sloboda izbora</w:t>
      </w:r>
      <w:r w:rsidR="00B141BD">
        <w:rPr>
          <w:sz w:val="24"/>
          <w:szCs w:val="24"/>
        </w:rPr>
        <w:t>,</w:t>
      </w:r>
      <w:r w:rsidRPr="00960128">
        <w:rPr>
          <w:sz w:val="24"/>
          <w:szCs w:val="24"/>
        </w:rPr>
        <w:t xml:space="preserve"> društven</w:t>
      </w:r>
      <w:r w:rsidR="00B141BD">
        <w:rPr>
          <w:sz w:val="24"/>
          <w:szCs w:val="24"/>
        </w:rPr>
        <w:t>a</w:t>
      </w:r>
      <w:r w:rsidRPr="00960128">
        <w:rPr>
          <w:sz w:val="24"/>
          <w:szCs w:val="24"/>
        </w:rPr>
        <w:t xml:space="preserve"> tolerancije</w:t>
      </w:r>
      <w:r w:rsidR="00EA158C" w:rsidRPr="00960128">
        <w:rPr>
          <w:sz w:val="24"/>
          <w:szCs w:val="24"/>
        </w:rPr>
        <w:t xml:space="preserve"> prema imigrantima i manjima</w:t>
      </w:r>
      <w:r w:rsidR="00960128" w:rsidRPr="00960128">
        <w:rPr>
          <w:sz w:val="24"/>
          <w:szCs w:val="24"/>
        </w:rPr>
        <w:t xml:space="preserve"> itd.</w:t>
      </w:r>
      <w:r w:rsidRPr="00960128">
        <w:rPr>
          <w:sz w:val="24"/>
          <w:szCs w:val="24"/>
        </w:rPr>
        <w:t xml:space="preserve">; razlog uključivanja: kada građani uživaju svoja prava izražavanja, vjerovanja, organiziranja i osobnih sloboda, tada države uživaju višu razinu dohotka i socijalne dobrobiti) </w:t>
      </w:r>
    </w:p>
    <w:p w:rsidR="006D4EC0" w:rsidRPr="00960128" w:rsidRDefault="006D4EC0" w:rsidP="00E93220">
      <w:pPr>
        <w:numPr>
          <w:ilvl w:val="0"/>
          <w:numId w:val="1"/>
        </w:numPr>
        <w:shd w:val="clear" w:color="auto" w:fill="FFFFFF"/>
        <w:spacing w:after="0" w:line="240" w:lineRule="auto"/>
        <w:ind w:left="0" w:firstLine="500"/>
        <w:jc w:val="both"/>
        <w:rPr>
          <w:sz w:val="24"/>
          <w:szCs w:val="24"/>
        </w:rPr>
      </w:pPr>
      <w:r w:rsidRPr="00DE3A5D">
        <w:rPr>
          <w:color w:val="C00000"/>
          <w:sz w:val="24"/>
          <w:szCs w:val="24"/>
        </w:rPr>
        <w:lastRenderedPageBreak/>
        <w:t xml:space="preserve">društveni kapital </w:t>
      </w:r>
      <w:r w:rsidRPr="00960128">
        <w:rPr>
          <w:sz w:val="24"/>
          <w:szCs w:val="24"/>
        </w:rPr>
        <w:t xml:space="preserve">(uključeni indikatori: društvene kohezije </w:t>
      </w:r>
      <w:r w:rsidR="00EA158C" w:rsidRPr="00960128">
        <w:rPr>
          <w:sz w:val="24"/>
          <w:szCs w:val="24"/>
        </w:rPr>
        <w:t>i angažmana, povjerenje jednih prema drugima,</w:t>
      </w:r>
      <w:r w:rsidRPr="00960128">
        <w:rPr>
          <w:sz w:val="24"/>
          <w:szCs w:val="24"/>
        </w:rPr>
        <w:t xml:space="preserve"> društveno povezivanj</w:t>
      </w:r>
      <w:r w:rsidR="00EA158C" w:rsidRPr="00960128">
        <w:rPr>
          <w:sz w:val="24"/>
          <w:szCs w:val="24"/>
        </w:rPr>
        <w:t>a, volonterski rad, donacije, spremnost na pomoć strancima;</w:t>
      </w:r>
      <w:r w:rsidRPr="00960128">
        <w:rPr>
          <w:sz w:val="24"/>
          <w:szCs w:val="24"/>
        </w:rPr>
        <w:t xml:space="preserve"> razlog uključivanja: </w:t>
      </w:r>
      <w:r w:rsidR="00EA158C" w:rsidRPr="00960128">
        <w:rPr>
          <w:sz w:val="24"/>
          <w:szCs w:val="24"/>
        </w:rPr>
        <w:t>koja postoje društvene mreže i kohezija u društvu</w:t>
      </w:r>
      <w:r w:rsidRPr="00960128">
        <w:rPr>
          <w:sz w:val="24"/>
          <w:szCs w:val="24"/>
        </w:rPr>
        <w:t xml:space="preserve"> </w:t>
      </w:r>
      <w:r w:rsidR="00EA158C" w:rsidRPr="00960128">
        <w:rPr>
          <w:sz w:val="24"/>
          <w:szCs w:val="24"/>
        </w:rPr>
        <w:t xml:space="preserve">te </w:t>
      </w:r>
      <w:r w:rsidRPr="00960128">
        <w:rPr>
          <w:sz w:val="24"/>
          <w:szCs w:val="24"/>
        </w:rPr>
        <w:t>kada ljudi vjeruju jedni drugima ostvaruju direktne pozitivne učinke na prosperitet zemlje).</w:t>
      </w:r>
      <w:r w:rsidRPr="00141670">
        <w:rPr>
          <w:sz w:val="24"/>
          <w:szCs w:val="24"/>
          <w:vertAlign w:val="superscript"/>
        </w:rPr>
        <w:footnoteReference w:id="31"/>
      </w:r>
      <w:r w:rsidRPr="00960128">
        <w:rPr>
          <w:sz w:val="24"/>
          <w:szCs w:val="24"/>
          <w:vertAlign w:val="superscript"/>
        </w:rPr>
        <w:t xml:space="preserve"> </w:t>
      </w:r>
    </w:p>
    <w:p w:rsidR="006D4EC0" w:rsidRDefault="006D4EC0" w:rsidP="00141670">
      <w:pPr>
        <w:spacing w:before="240"/>
        <w:jc w:val="both"/>
        <w:rPr>
          <w:sz w:val="24"/>
          <w:szCs w:val="24"/>
        </w:rPr>
      </w:pPr>
      <w:r w:rsidRPr="00141670">
        <w:rPr>
          <w:sz w:val="24"/>
          <w:szCs w:val="24"/>
        </w:rPr>
        <w:t xml:space="preserve">Indeks </w:t>
      </w:r>
      <w:r w:rsidR="009F5196">
        <w:rPr>
          <w:sz w:val="24"/>
          <w:szCs w:val="24"/>
        </w:rPr>
        <w:t xml:space="preserve">prosperiteta </w:t>
      </w:r>
      <w:r w:rsidRPr="00141670">
        <w:rPr>
          <w:sz w:val="24"/>
          <w:szCs w:val="24"/>
        </w:rPr>
        <w:t>se mjeri i objavljuje za 1</w:t>
      </w:r>
      <w:r w:rsidR="009F5196">
        <w:rPr>
          <w:sz w:val="24"/>
          <w:szCs w:val="24"/>
        </w:rPr>
        <w:t>42</w:t>
      </w:r>
      <w:r w:rsidRPr="00141670">
        <w:rPr>
          <w:sz w:val="24"/>
          <w:szCs w:val="24"/>
        </w:rPr>
        <w:t xml:space="preserve"> držav</w:t>
      </w:r>
      <w:r w:rsidR="009F5196">
        <w:rPr>
          <w:sz w:val="24"/>
          <w:szCs w:val="24"/>
        </w:rPr>
        <w:t>e</w:t>
      </w:r>
      <w:r w:rsidRPr="00141670">
        <w:rPr>
          <w:sz w:val="24"/>
          <w:szCs w:val="24"/>
        </w:rPr>
        <w:t xml:space="preserve"> u kojima živi </w:t>
      </w:r>
      <w:r w:rsidR="009F5196">
        <w:rPr>
          <w:sz w:val="24"/>
          <w:szCs w:val="24"/>
        </w:rPr>
        <w:t xml:space="preserve">preko </w:t>
      </w:r>
      <w:r w:rsidRPr="00141670">
        <w:rPr>
          <w:sz w:val="24"/>
          <w:szCs w:val="24"/>
        </w:rPr>
        <w:t xml:space="preserve">90% svjetskog stanovništva. Pri tome vodeća mjesta na ljestvici prosperiteta ne pripadaju nužno državama s najvećom razinom BDP-a po glavi stanovnika, nego državama koje osim ekonomskog napretka </w:t>
      </w:r>
      <w:r w:rsidRPr="009C6E4E">
        <w:rPr>
          <w:color w:val="C00000"/>
          <w:sz w:val="24"/>
          <w:szCs w:val="24"/>
        </w:rPr>
        <w:t>promoviraju i društveni napredak mjeren srećom, zdravljem i slobodom ljudi</w:t>
      </w:r>
      <w:r w:rsidRPr="00141670">
        <w:rPr>
          <w:sz w:val="24"/>
          <w:szCs w:val="24"/>
        </w:rPr>
        <w:t xml:space="preserve">, uključujući zemlje s visokim stupnjem razvoja socijalne države. Konkretno u rang prvih deset država redom ulaze: Norveška, </w:t>
      </w:r>
      <w:r w:rsidR="00141670">
        <w:rPr>
          <w:sz w:val="24"/>
          <w:szCs w:val="24"/>
        </w:rPr>
        <w:t xml:space="preserve">Švicarska, Novi Zeland, </w:t>
      </w:r>
      <w:r w:rsidRPr="00141670">
        <w:rPr>
          <w:sz w:val="24"/>
          <w:szCs w:val="24"/>
        </w:rPr>
        <w:t xml:space="preserve">Danska, </w:t>
      </w:r>
      <w:r w:rsidR="00141670">
        <w:rPr>
          <w:sz w:val="24"/>
          <w:szCs w:val="24"/>
        </w:rPr>
        <w:t xml:space="preserve">Kanada, Švedska, Australija, </w:t>
      </w:r>
      <w:r w:rsidRPr="00141670">
        <w:rPr>
          <w:sz w:val="24"/>
          <w:szCs w:val="24"/>
        </w:rPr>
        <w:t xml:space="preserve">Nizozemska i SAD. Hrvatska se nalazi na </w:t>
      </w:r>
      <w:r w:rsidR="009F5196">
        <w:rPr>
          <w:sz w:val="24"/>
          <w:szCs w:val="24"/>
        </w:rPr>
        <w:t>50</w:t>
      </w:r>
      <w:r w:rsidR="009A67C1">
        <w:rPr>
          <w:sz w:val="24"/>
          <w:szCs w:val="24"/>
        </w:rPr>
        <w:t>.</w:t>
      </w:r>
      <w:r w:rsidRPr="00141670">
        <w:rPr>
          <w:sz w:val="24"/>
          <w:szCs w:val="24"/>
        </w:rPr>
        <w:t xml:space="preserve"> mjestu ljestvice</w:t>
      </w:r>
      <w:r w:rsidR="009F5196">
        <w:rPr>
          <w:sz w:val="24"/>
          <w:szCs w:val="24"/>
        </w:rPr>
        <w:t xml:space="preserve"> (iako je do prije nekolik godina bila na 38. mjestu)</w:t>
      </w:r>
      <w:r w:rsidRPr="00141670">
        <w:rPr>
          <w:sz w:val="24"/>
          <w:szCs w:val="24"/>
        </w:rPr>
        <w:t xml:space="preserve">, odnosno po rangu je bolja od mnogih drugih zemalja u razvoju, ali lošija od </w:t>
      </w:r>
      <w:r w:rsidR="00141670">
        <w:rPr>
          <w:sz w:val="24"/>
          <w:szCs w:val="24"/>
        </w:rPr>
        <w:t xml:space="preserve">novih </w:t>
      </w:r>
      <w:r w:rsidR="009F5196">
        <w:rPr>
          <w:sz w:val="24"/>
          <w:szCs w:val="24"/>
        </w:rPr>
        <w:t xml:space="preserve">(posttranzicijskih) </w:t>
      </w:r>
      <w:r w:rsidR="00141670">
        <w:rPr>
          <w:sz w:val="24"/>
          <w:szCs w:val="24"/>
        </w:rPr>
        <w:t>članica Europske unije</w:t>
      </w:r>
      <w:r w:rsidRPr="00141670">
        <w:rPr>
          <w:sz w:val="24"/>
          <w:szCs w:val="24"/>
        </w:rPr>
        <w:t xml:space="preserve"> uključujući Sloveniju (2</w:t>
      </w:r>
      <w:r w:rsidR="00141670">
        <w:rPr>
          <w:sz w:val="24"/>
          <w:szCs w:val="24"/>
        </w:rPr>
        <w:t>4</w:t>
      </w:r>
      <w:r w:rsidR="009F5196">
        <w:rPr>
          <w:sz w:val="24"/>
          <w:szCs w:val="24"/>
        </w:rPr>
        <w:t>.</w:t>
      </w:r>
      <w:r w:rsidRPr="00141670">
        <w:rPr>
          <w:sz w:val="24"/>
          <w:szCs w:val="24"/>
        </w:rPr>
        <w:t xml:space="preserve"> mjesto), Češku (2</w:t>
      </w:r>
      <w:r w:rsidR="00141670">
        <w:rPr>
          <w:sz w:val="24"/>
          <w:szCs w:val="24"/>
        </w:rPr>
        <w:t>9</w:t>
      </w:r>
      <w:r w:rsidR="009F5196">
        <w:rPr>
          <w:sz w:val="24"/>
          <w:szCs w:val="24"/>
        </w:rPr>
        <w:t>.</w:t>
      </w:r>
      <w:r w:rsidR="00141670">
        <w:rPr>
          <w:sz w:val="24"/>
          <w:szCs w:val="24"/>
        </w:rPr>
        <w:t xml:space="preserve"> mjesto), Poljsku (31</w:t>
      </w:r>
      <w:r w:rsidR="009F5196">
        <w:rPr>
          <w:sz w:val="24"/>
          <w:szCs w:val="24"/>
        </w:rPr>
        <w:t>.</w:t>
      </w:r>
      <w:r w:rsidRPr="00141670">
        <w:rPr>
          <w:sz w:val="24"/>
          <w:szCs w:val="24"/>
        </w:rPr>
        <w:t xml:space="preserve"> mjesto), </w:t>
      </w:r>
      <w:r w:rsidR="00141670">
        <w:rPr>
          <w:sz w:val="24"/>
          <w:szCs w:val="24"/>
        </w:rPr>
        <w:t>Estoniju (32</w:t>
      </w:r>
      <w:r w:rsidR="009F5196">
        <w:rPr>
          <w:sz w:val="24"/>
          <w:szCs w:val="24"/>
        </w:rPr>
        <w:t>.</w:t>
      </w:r>
      <w:r w:rsidR="00141670">
        <w:rPr>
          <w:sz w:val="24"/>
          <w:szCs w:val="24"/>
        </w:rPr>
        <w:t>),</w:t>
      </w:r>
      <w:r w:rsidRPr="00141670">
        <w:rPr>
          <w:sz w:val="24"/>
          <w:szCs w:val="24"/>
        </w:rPr>
        <w:t xml:space="preserve"> Slovačku (3</w:t>
      </w:r>
      <w:r w:rsidR="00141670">
        <w:rPr>
          <w:sz w:val="24"/>
          <w:szCs w:val="24"/>
        </w:rPr>
        <w:t>6</w:t>
      </w:r>
      <w:r w:rsidR="009F5196">
        <w:rPr>
          <w:sz w:val="24"/>
          <w:szCs w:val="24"/>
        </w:rPr>
        <w:t>.</w:t>
      </w:r>
      <w:r w:rsidRPr="00141670">
        <w:rPr>
          <w:sz w:val="24"/>
          <w:szCs w:val="24"/>
        </w:rPr>
        <w:t xml:space="preserve"> mjesto)</w:t>
      </w:r>
      <w:r w:rsidR="009F5196">
        <w:rPr>
          <w:sz w:val="24"/>
          <w:szCs w:val="24"/>
        </w:rPr>
        <w:t>, Mađarsku (39.), Litvu (42.), Latviju (44.) i Bugarsku (48. mjesto)</w:t>
      </w:r>
      <w:r w:rsidRPr="00141670">
        <w:rPr>
          <w:sz w:val="24"/>
          <w:szCs w:val="24"/>
        </w:rPr>
        <w:t xml:space="preserve">. </w:t>
      </w:r>
      <w:r w:rsidRPr="009A67C1">
        <w:rPr>
          <w:color w:val="C00000"/>
          <w:sz w:val="24"/>
          <w:szCs w:val="24"/>
        </w:rPr>
        <w:t xml:space="preserve">Najlošije indikatore Hrvatska ima u području </w:t>
      </w:r>
      <w:r w:rsidR="009F5196" w:rsidRPr="009A67C1">
        <w:rPr>
          <w:color w:val="C00000"/>
          <w:sz w:val="24"/>
          <w:szCs w:val="24"/>
        </w:rPr>
        <w:t xml:space="preserve">društvenog kapitala </w:t>
      </w:r>
      <w:r w:rsidR="009F5196">
        <w:rPr>
          <w:sz w:val="24"/>
          <w:szCs w:val="24"/>
        </w:rPr>
        <w:t>(po kojemu je svrstana na 11</w:t>
      </w:r>
      <w:r w:rsidR="009361BB">
        <w:rPr>
          <w:sz w:val="24"/>
          <w:szCs w:val="24"/>
        </w:rPr>
        <w:t>9</w:t>
      </w:r>
      <w:r w:rsidR="009F5196">
        <w:rPr>
          <w:sz w:val="24"/>
          <w:szCs w:val="24"/>
        </w:rPr>
        <w:t xml:space="preserve">. mjesto), osobnih sloboda (koje je svrstavaju na 85. mjesto) i </w:t>
      </w:r>
      <w:r w:rsidRPr="00141670">
        <w:rPr>
          <w:sz w:val="24"/>
          <w:szCs w:val="24"/>
        </w:rPr>
        <w:t>ekonomije</w:t>
      </w:r>
      <w:r w:rsidR="009F5196">
        <w:rPr>
          <w:sz w:val="24"/>
          <w:szCs w:val="24"/>
        </w:rPr>
        <w:t xml:space="preserve"> (73. </w:t>
      </w:r>
      <w:r w:rsidR="009A67C1">
        <w:rPr>
          <w:sz w:val="24"/>
          <w:szCs w:val="24"/>
        </w:rPr>
        <w:t>m</w:t>
      </w:r>
      <w:r w:rsidR="009F5196">
        <w:rPr>
          <w:sz w:val="24"/>
          <w:szCs w:val="24"/>
        </w:rPr>
        <w:t>jesto)</w:t>
      </w:r>
      <w:r w:rsidRPr="00141670">
        <w:rPr>
          <w:sz w:val="24"/>
          <w:szCs w:val="24"/>
        </w:rPr>
        <w:t xml:space="preserve">, </w:t>
      </w:r>
      <w:r w:rsidR="009F5196">
        <w:rPr>
          <w:sz w:val="24"/>
          <w:szCs w:val="24"/>
        </w:rPr>
        <w:t xml:space="preserve">a tek potom slijedi poduzetništvo i </w:t>
      </w:r>
      <w:r w:rsidRPr="00141670">
        <w:rPr>
          <w:sz w:val="24"/>
          <w:szCs w:val="24"/>
        </w:rPr>
        <w:t>državno upravljanj</w:t>
      </w:r>
      <w:r w:rsidR="009F5196">
        <w:rPr>
          <w:sz w:val="24"/>
          <w:szCs w:val="24"/>
        </w:rPr>
        <w:t xml:space="preserve">e po kojima je svrstana na 53. i 51. </w:t>
      </w:r>
      <w:r w:rsidR="009C6E4E">
        <w:rPr>
          <w:sz w:val="24"/>
          <w:szCs w:val="24"/>
        </w:rPr>
        <w:t>m</w:t>
      </w:r>
      <w:r w:rsidR="009F5196">
        <w:rPr>
          <w:sz w:val="24"/>
          <w:szCs w:val="24"/>
        </w:rPr>
        <w:t>jesto</w:t>
      </w:r>
      <w:r w:rsidR="009C6E4E">
        <w:rPr>
          <w:sz w:val="24"/>
          <w:szCs w:val="24"/>
        </w:rPr>
        <w:t xml:space="preserve"> (problemi Hrvatske stoga očito nisu samo ekonomske prirode kao što se obično ističe</w:t>
      </w:r>
      <w:r w:rsidR="009F5196">
        <w:rPr>
          <w:sz w:val="24"/>
          <w:szCs w:val="24"/>
        </w:rPr>
        <w:t xml:space="preserve">). </w:t>
      </w:r>
      <w:r w:rsidR="009F5196" w:rsidRPr="009C6E4E">
        <w:rPr>
          <w:color w:val="C00000"/>
          <w:sz w:val="24"/>
          <w:szCs w:val="24"/>
        </w:rPr>
        <w:t>Najbolje pokazatelje ima u obrazovanju, zdravstvu i socijalnoj sigurnosti</w:t>
      </w:r>
      <w:r w:rsidR="009F5196">
        <w:rPr>
          <w:sz w:val="24"/>
          <w:szCs w:val="24"/>
        </w:rPr>
        <w:t xml:space="preserve"> po kojima se nalazi na 36 mjestu</w:t>
      </w:r>
      <w:r w:rsidRPr="00141670">
        <w:rPr>
          <w:sz w:val="24"/>
          <w:szCs w:val="24"/>
        </w:rPr>
        <w:t xml:space="preserve">.  </w:t>
      </w:r>
      <w:r w:rsidR="009361BB">
        <w:rPr>
          <w:sz w:val="24"/>
          <w:szCs w:val="24"/>
        </w:rPr>
        <w:t xml:space="preserve">Zanimljivo je </w:t>
      </w:r>
      <w:r w:rsidR="00C778A3">
        <w:rPr>
          <w:sz w:val="24"/>
          <w:szCs w:val="24"/>
        </w:rPr>
        <w:t>š</w:t>
      </w:r>
      <w:r w:rsidR="009361BB">
        <w:rPr>
          <w:sz w:val="24"/>
          <w:szCs w:val="24"/>
        </w:rPr>
        <w:t xml:space="preserve">to </w:t>
      </w:r>
      <w:r w:rsidR="009361BB" w:rsidRPr="009C6E4E">
        <w:rPr>
          <w:sz w:val="24"/>
          <w:szCs w:val="24"/>
        </w:rPr>
        <w:t xml:space="preserve">Hrvatska daleko bolje stoji upravo po pokazateljima obrazovanja, zdravstva i socijalne sigurnosti </w:t>
      </w:r>
      <w:r w:rsidR="009361BB">
        <w:rPr>
          <w:sz w:val="24"/>
          <w:szCs w:val="24"/>
        </w:rPr>
        <w:t xml:space="preserve">koji su česti razlog nezadovoljstva građana u </w:t>
      </w:r>
      <w:r w:rsidR="009C6E4E">
        <w:rPr>
          <w:sz w:val="24"/>
          <w:szCs w:val="24"/>
        </w:rPr>
        <w:t xml:space="preserve">zemlji, </w:t>
      </w:r>
      <w:r w:rsidR="009361BB">
        <w:rPr>
          <w:sz w:val="24"/>
          <w:szCs w:val="24"/>
        </w:rPr>
        <w:t>dok se o problem</w:t>
      </w:r>
      <w:r w:rsidR="009C6E4E">
        <w:rPr>
          <w:sz w:val="24"/>
          <w:szCs w:val="24"/>
        </w:rPr>
        <w:t xml:space="preserve">ima društvenog kapitala, nedostatka povjerenja i društvene kohezije </w:t>
      </w:r>
      <w:r w:rsidR="009361BB">
        <w:rPr>
          <w:sz w:val="24"/>
          <w:szCs w:val="24"/>
        </w:rPr>
        <w:t>gotovo i ne raspravlja.</w:t>
      </w:r>
    </w:p>
    <w:p w:rsidR="009C6E4E" w:rsidRPr="00FB547E" w:rsidRDefault="009F6C35" w:rsidP="009C6E4E">
      <w:pPr>
        <w:spacing w:before="240"/>
        <w:jc w:val="both"/>
        <w:rPr>
          <w:sz w:val="24"/>
          <w:szCs w:val="24"/>
        </w:rPr>
      </w:pPr>
      <w:r>
        <w:rPr>
          <w:sz w:val="24"/>
          <w:szCs w:val="24"/>
        </w:rPr>
        <w:t xml:space="preserve">Pored indeksa ljudskog razvoja i indeksa prosperiteta postoji čitav niz drugih indeksa koji mjere različite institucije naglašavajući da osim materijalnog bogatstva postoji i nematerijalno bogatstvo mjereno srećom, blagostanjem i zadovoljstvom građana. </w:t>
      </w:r>
      <w:r w:rsidR="00FB547E">
        <w:rPr>
          <w:sz w:val="24"/>
          <w:szCs w:val="24"/>
        </w:rPr>
        <w:t xml:space="preserve">U tu svrhu razvijeni su </w:t>
      </w:r>
      <w:r w:rsidR="00FB547E" w:rsidRPr="00024AD2">
        <w:rPr>
          <w:color w:val="C00000"/>
          <w:sz w:val="24"/>
          <w:szCs w:val="24"/>
        </w:rPr>
        <w:t xml:space="preserve">nacionalni indeksi sreće </w:t>
      </w:r>
      <w:r w:rsidR="00FB547E">
        <w:rPr>
          <w:sz w:val="24"/>
          <w:szCs w:val="24"/>
        </w:rPr>
        <w:t xml:space="preserve">koji se računaju </w:t>
      </w:r>
      <w:r w:rsidR="007C5184" w:rsidRPr="00FB547E">
        <w:rPr>
          <w:sz w:val="24"/>
          <w:szCs w:val="24"/>
        </w:rPr>
        <w:t xml:space="preserve">uzimajući u obzir </w:t>
      </w:r>
      <w:r w:rsidR="00FB547E">
        <w:rPr>
          <w:sz w:val="24"/>
          <w:szCs w:val="24"/>
        </w:rPr>
        <w:t xml:space="preserve">velik broj pokazatelja </w:t>
      </w:r>
      <w:r w:rsidR="00024AD2">
        <w:rPr>
          <w:sz w:val="24"/>
          <w:szCs w:val="24"/>
        </w:rPr>
        <w:t>(</w:t>
      </w:r>
      <w:r w:rsidR="009C6E4E">
        <w:rPr>
          <w:sz w:val="24"/>
          <w:szCs w:val="24"/>
        </w:rPr>
        <w:t xml:space="preserve">a </w:t>
      </w:r>
      <w:r w:rsidR="00024AD2">
        <w:rPr>
          <w:sz w:val="24"/>
          <w:szCs w:val="24"/>
        </w:rPr>
        <w:t xml:space="preserve">razlikuju od zemlje do zemlje), </w:t>
      </w:r>
      <w:r w:rsidR="00FB547E">
        <w:rPr>
          <w:sz w:val="24"/>
          <w:szCs w:val="24"/>
        </w:rPr>
        <w:t xml:space="preserve">među kojima se mogu izdvojiti: </w:t>
      </w:r>
      <w:r w:rsidR="007C5184" w:rsidRPr="00FB547E">
        <w:rPr>
          <w:sz w:val="24"/>
          <w:szCs w:val="24"/>
        </w:rPr>
        <w:t>prosječni dohodak,</w:t>
      </w:r>
      <w:r w:rsidR="00FB547E">
        <w:rPr>
          <w:sz w:val="24"/>
          <w:szCs w:val="24"/>
        </w:rPr>
        <w:t xml:space="preserve"> </w:t>
      </w:r>
      <w:r w:rsidR="007C5184" w:rsidRPr="00FB547E">
        <w:rPr>
          <w:sz w:val="24"/>
          <w:szCs w:val="24"/>
        </w:rPr>
        <w:t>stopa zaduženosti stanovništva, indeks potrošačkih cijena, stupanj onečišćen</w:t>
      </w:r>
      <w:r w:rsidR="00024AD2">
        <w:rPr>
          <w:sz w:val="24"/>
          <w:szCs w:val="24"/>
        </w:rPr>
        <w:t>j</w:t>
      </w:r>
      <w:r w:rsidR="007C5184" w:rsidRPr="00FB547E">
        <w:rPr>
          <w:sz w:val="24"/>
          <w:szCs w:val="24"/>
        </w:rPr>
        <w:t>a okoliša</w:t>
      </w:r>
      <w:r w:rsidR="00024AD2">
        <w:rPr>
          <w:sz w:val="24"/>
          <w:szCs w:val="24"/>
        </w:rPr>
        <w:t xml:space="preserve"> i odnos prema okolišu,</w:t>
      </w:r>
      <w:r w:rsidR="00FB547E">
        <w:rPr>
          <w:sz w:val="24"/>
          <w:szCs w:val="24"/>
        </w:rPr>
        <w:t xml:space="preserve"> </w:t>
      </w:r>
      <w:r w:rsidR="007C5184" w:rsidRPr="00FB547E">
        <w:rPr>
          <w:sz w:val="24"/>
          <w:szCs w:val="24"/>
        </w:rPr>
        <w:t xml:space="preserve">jačina buke i prometnih gužvi, </w:t>
      </w:r>
      <w:r w:rsidR="00024AD2">
        <w:rPr>
          <w:sz w:val="24"/>
          <w:szCs w:val="24"/>
        </w:rPr>
        <w:t xml:space="preserve">opće zadovoljstvo životnom situacijom, emotivno i tjelesno stanje nacije, </w:t>
      </w:r>
      <w:r w:rsidR="00FB547E">
        <w:rPr>
          <w:sz w:val="24"/>
          <w:szCs w:val="24"/>
        </w:rPr>
        <w:t xml:space="preserve">zdravlje nacije, </w:t>
      </w:r>
      <w:r w:rsidR="007C5184" w:rsidRPr="00FB547E">
        <w:rPr>
          <w:sz w:val="24"/>
          <w:szCs w:val="24"/>
        </w:rPr>
        <w:t xml:space="preserve">prisutnost teških bolesti, korištenje antidepresiva i broj pacijenata na psihoterapiji, prava nezaposlenih, </w:t>
      </w:r>
      <w:r w:rsidR="00024AD2">
        <w:rPr>
          <w:sz w:val="24"/>
          <w:szCs w:val="24"/>
        </w:rPr>
        <w:t xml:space="preserve">uvjeti na radnom mjestu, </w:t>
      </w:r>
      <w:r w:rsidR="007C5184" w:rsidRPr="00FB547E">
        <w:rPr>
          <w:sz w:val="24"/>
          <w:szCs w:val="24"/>
        </w:rPr>
        <w:t>mogućnost promjene posla, zaštita na radu i zaštita radnika, sigurnost, broj razvoda i konflikata u obitelji, stopa kriminaliteta, kvaliteta lokalne demokracije, individualne slobode</w:t>
      </w:r>
      <w:r w:rsidR="00FB547E">
        <w:rPr>
          <w:sz w:val="24"/>
          <w:szCs w:val="24"/>
        </w:rPr>
        <w:t>, kvaliteta upravljanja na državnoj razini (dobra vlast), kultura, obrazovanje, i drugi</w:t>
      </w:r>
      <w:r w:rsidR="007C5184" w:rsidRPr="00FB547E">
        <w:rPr>
          <w:sz w:val="24"/>
          <w:szCs w:val="24"/>
        </w:rPr>
        <w:t xml:space="preserve">. </w:t>
      </w:r>
      <w:r w:rsidR="009C6E4E">
        <w:rPr>
          <w:sz w:val="24"/>
          <w:szCs w:val="24"/>
        </w:rPr>
        <w:t xml:space="preserve">Tako se, paralelno uz konvencionalnu ekonomiju koja je orijentirana na materijalne faktore prosperiteta i stope rasta BDP-a, razvija novo znanstveno područje orijentirano na analizu kvalitete života i sreće građana - popularno zvano </w:t>
      </w:r>
      <w:r w:rsidR="009C6E4E" w:rsidRPr="00024AD2">
        <w:rPr>
          <w:color w:val="C00000"/>
          <w:sz w:val="24"/>
          <w:szCs w:val="24"/>
        </w:rPr>
        <w:t>ekonomija sreće</w:t>
      </w:r>
      <w:r w:rsidR="009C6E4E">
        <w:rPr>
          <w:sz w:val="24"/>
          <w:szCs w:val="24"/>
        </w:rPr>
        <w:t xml:space="preserve">. </w:t>
      </w:r>
      <w:r w:rsidR="000B2C4E">
        <w:rPr>
          <w:sz w:val="24"/>
          <w:szCs w:val="24"/>
        </w:rPr>
        <w:t xml:space="preserve">Podaci o promjenama </w:t>
      </w:r>
      <w:r w:rsidR="000B2C4E">
        <w:rPr>
          <w:sz w:val="24"/>
          <w:szCs w:val="24"/>
        </w:rPr>
        <w:lastRenderedPageBreak/>
        <w:t xml:space="preserve">koje bilježi </w:t>
      </w:r>
      <w:r w:rsidR="000B2C4E" w:rsidRPr="00326F60">
        <w:rPr>
          <w:color w:val="C00000"/>
          <w:sz w:val="24"/>
          <w:szCs w:val="24"/>
        </w:rPr>
        <w:t xml:space="preserve">hrvatski nacionalni indeks sreće </w:t>
      </w:r>
      <w:r w:rsidR="000B2C4E" w:rsidRPr="00A97638">
        <w:rPr>
          <w:sz w:val="24"/>
          <w:szCs w:val="24"/>
        </w:rPr>
        <w:t xml:space="preserve">objavljuju se od 2010. </w:t>
      </w:r>
      <w:r w:rsidR="000B2C4E">
        <w:rPr>
          <w:sz w:val="24"/>
          <w:szCs w:val="24"/>
        </w:rPr>
        <w:t>u časopisu Banka i na web portalu „banka.hr“. Kratak osvrt na naglaske analiza pojedinih komponenta indeksa do 2012. te kretanja indikatora u novijoj povijesti dani su u nastavku.</w:t>
      </w:r>
    </w:p>
    <w:tbl>
      <w:tblPr>
        <w:tblStyle w:val="Reetkatablice"/>
        <w:tblW w:w="0" w:type="auto"/>
        <w:tblLayout w:type="fixed"/>
        <w:tblLook w:val="04A0" w:firstRow="1" w:lastRow="0" w:firstColumn="1" w:lastColumn="0" w:noHBand="0" w:noVBand="1"/>
      </w:tblPr>
      <w:tblGrid>
        <w:gridCol w:w="4644"/>
        <w:gridCol w:w="2552"/>
        <w:gridCol w:w="1984"/>
        <w:gridCol w:w="108"/>
      </w:tblGrid>
      <w:tr w:rsidR="00D238F1" w:rsidTr="00D238F1">
        <w:tc>
          <w:tcPr>
            <w:tcW w:w="7196" w:type="dxa"/>
            <w:gridSpan w:val="2"/>
          </w:tcPr>
          <w:p w:rsidR="00D238F1" w:rsidRDefault="00D238F1" w:rsidP="000B2C4E">
            <w:pPr>
              <w:spacing w:before="240"/>
            </w:pPr>
            <w:r>
              <w:rPr>
                <w:rFonts w:asciiTheme="minorHAnsi" w:eastAsiaTheme="minorHAnsi" w:hAnsiTheme="minorHAnsi" w:cstheme="minorBidi"/>
                <w:sz w:val="22"/>
                <w:szCs w:val="22"/>
                <w:lang w:eastAsia="en-US"/>
              </w:rPr>
              <w:object w:dxaOrig="8025" w:dyaOrig="7710">
                <v:shape id="_x0000_i1027" type="#_x0000_t75" style="width:343.5pt;height:330pt" o:ole="">
                  <v:imagedata r:id="rId28" o:title=""/>
                </v:shape>
                <o:OLEObject Type="Embed" ProgID="PBrush" ShapeID="_x0000_i1027" DrawAspect="Content" ObjectID="_1505681355" r:id="rId29"/>
              </w:object>
            </w:r>
            <w:r>
              <w:t xml:space="preserve"> </w:t>
            </w:r>
            <w:r w:rsidR="000B2C4E">
              <w:rPr>
                <w:rFonts w:asciiTheme="minorHAnsi" w:eastAsiaTheme="minorHAnsi" w:hAnsiTheme="minorHAnsi" w:cstheme="minorBidi"/>
                <w:sz w:val="22"/>
                <w:szCs w:val="22"/>
                <w:lang w:eastAsia="en-US"/>
              </w:rPr>
              <w:object w:dxaOrig="7995" w:dyaOrig="5895">
                <v:shape id="_x0000_i1028" type="#_x0000_t75" style="width:348.75pt;height:257.25pt" o:ole="">
                  <v:imagedata r:id="rId30" o:title=""/>
                </v:shape>
                <o:OLEObject Type="Embed" ProgID="PBrush" ShapeID="_x0000_i1028" DrawAspect="Content" ObjectID="_1505681356" r:id="rId31"/>
              </w:object>
            </w:r>
          </w:p>
          <w:p w:rsidR="000B2C4E" w:rsidRDefault="000B2C4E" w:rsidP="000B2C4E">
            <w:pPr>
              <w:spacing w:before="240"/>
              <w:rPr>
                <w:sz w:val="24"/>
                <w:szCs w:val="24"/>
              </w:rPr>
            </w:pPr>
          </w:p>
        </w:tc>
        <w:tc>
          <w:tcPr>
            <w:tcW w:w="2092" w:type="dxa"/>
            <w:gridSpan w:val="2"/>
          </w:tcPr>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D238F1" w:rsidRDefault="00D238F1" w:rsidP="00141670">
            <w:pPr>
              <w:spacing w:before="240"/>
              <w:jc w:val="both"/>
            </w:pPr>
          </w:p>
          <w:p w:rsidR="000B2C4E" w:rsidRDefault="000B2C4E" w:rsidP="00141670">
            <w:pPr>
              <w:spacing w:before="240"/>
              <w:jc w:val="both"/>
            </w:pPr>
          </w:p>
          <w:p w:rsidR="00D238F1" w:rsidRDefault="00D238F1" w:rsidP="00141670">
            <w:pPr>
              <w:spacing w:before="240"/>
              <w:jc w:val="both"/>
            </w:pPr>
          </w:p>
          <w:p w:rsidR="00D238F1" w:rsidRDefault="00D238F1"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0B2C4E" w:rsidRDefault="000B2C4E" w:rsidP="00141670">
            <w:pPr>
              <w:spacing w:before="240"/>
              <w:jc w:val="both"/>
            </w:pPr>
          </w:p>
          <w:p w:rsidR="00D238F1" w:rsidRDefault="00D238F1" w:rsidP="00141670">
            <w:pPr>
              <w:spacing w:before="240"/>
              <w:jc w:val="both"/>
            </w:pPr>
            <w:r>
              <w:rPr>
                <w:rFonts w:asciiTheme="minorHAnsi" w:eastAsiaTheme="minorHAnsi" w:hAnsiTheme="minorHAnsi" w:cstheme="minorBidi"/>
                <w:sz w:val="22"/>
                <w:szCs w:val="22"/>
                <w:lang w:eastAsia="en-US"/>
              </w:rPr>
              <w:object w:dxaOrig="2175" w:dyaOrig="1035">
                <v:shape id="_x0000_i1029" type="#_x0000_t75" style="width:93.75pt;height:44.25pt" o:ole="">
                  <v:imagedata r:id="rId32" o:title=""/>
                </v:shape>
                <o:OLEObject Type="Embed" ProgID="PBrush" ShapeID="_x0000_i1029" DrawAspect="Content" ObjectID="_1505681357" r:id="rId33"/>
              </w:object>
            </w:r>
          </w:p>
          <w:p w:rsidR="00D238F1" w:rsidRDefault="00AD735A" w:rsidP="00141670">
            <w:pPr>
              <w:spacing w:before="240"/>
              <w:jc w:val="both"/>
            </w:pPr>
            <w:r>
              <w:t>Izvor: p</w:t>
            </w:r>
            <w:r w:rsidR="00D238F1">
              <w:t>reuzeto sa:</w:t>
            </w:r>
          </w:p>
          <w:p w:rsidR="00D238F1" w:rsidRDefault="00D238F1" w:rsidP="00141670">
            <w:pPr>
              <w:spacing w:before="240"/>
              <w:jc w:val="both"/>
            </w:pPr>
            <w:r w:rsidRPr="00D238F1">
              <w:t>http://www.banka.hr/UserDocsImages/Dokumenti/indeks_srece/index_srece_prez_10_12.pdf</w:t>
            </w:r>
          </w:p>
          <w:p w:rsidR="00D238F1" w:rsidRDefault="00D238F1" w:rsidP="00141670">
            <w:pPr>
              <w:spacing w:before="240"/>
              <w:jc w:val="both"/>
            </w:pPr>
          </w:p>
        </w:tc>
      </w:tr>
      <w:tr w:rsidR="00DE3A5D" w:rsidTr="00DE3A5D">
        <w:trPr>
          <w:gridAfter w:val="1"/>
          <w:wAfter w:w="108" w:type="dxa"/>
        </w:trPr>
        <w:tc>
          <w:tcPr>
            <w:tcW w:w="4644" w:type="dxa"/>
          </w:tcPr>
          <w:p w:rsidR="00DE3A5D" w:rsidRPr="00DE3A5D" w:rsidRDefault="00DE3A5D" w:rsidP="00DE3A5D">
            <w:pPr>
              <w:jc w:val="both"/>
              <w:rPr>
                <w:rFonts w:asciiTheme="minorHAnsi" w:hAnsiTheme="minorHAnsi"/>
                <w:b/>
                <w:noProof/>
                <w:sz w:val="24"/>
                <w:szCs w:val="24"/>
              </w:rPr>
            </w:pPr>
            <w:r w:rsidRPr="00DE3A5D">
              <w:rPr>
                <w:rFonts w:asciiTheme="minorHAnsi" w:hAnsiTheme="minorHAnsi"/>
                <w:b/>
                <w:noProof/>
                <w:sz w:val="24"/>
                <w:szCs w:val="24"/>
              </w:rPr>
              <w:lastRenderedPageBreak/>
              <w:t>Koliko je zdravlja dobro za sreću?</w:t>
            </w:r>
          </w:p>
          <w:p w:rsidR="00DE3A5D" w:rsidRDefault="00DE3A5D" w:rsidP="00DE3A5D">
            <w:pPr>
              <w:jc w:val="both"/>
            </w:pPr>
            <w:r>
              <w:rPr>
                <w:noProof/>
              </w:rPr>
              <w:drawing>
                <wp:inline distT="0" distB="0" distL="0" distR="0" wp14:anchorId="45C4995C" wp14:editId="223C2E86">
                  <wp:extent cx="2867025" cy="2482024"/>
                  <wp:effectExtent l="0" t="0" r="0" b="0"/>
                  <wp:docPr id="16" name="Slika 16" descr="http://www.banka.hr/UserDocsImages/slike/1_za_tekst/Tekstovi/NIS_2014-04-07/svi-sku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banka.hr/UserDocsImages/slike/1_za_tekst/Tekstovi/NIS_2014-04-07/svi-skup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3424" cy="2487564"/>
                          </a:xfrm>
                          <a:prstGeom prst="rect">
                            <a:avLst/>
                          </a:prstGeom>
                          <a:noFill/>
                          <a:ln>
                            <a:noFill/>
                          </a:ln>
                        </pic:spPr>
                      </pic:pic>
                    </a:graphicData>
                  </a:graphic>
                </wp:inline>
              </w:drawing>
            </w:r>
          </w:p>
        </w:tc>
        <w:tc>
          <w:tcPr>
            <w:tcW w:w="4536" w:type="dxa"/>
            <w:gridSpan w:val="2"/>
          </w:tcPr>
          <w:p w:rsidR="00DE3A5D" w:rsidRPr="00DE3A5D" w:rsidRDefault="00DE3A5D" w:rsidP="00DE3A5D">
            <w:pPr>
              <w:jc w:val="both"/>
              <w:rPr>
                <w:rFonts w:asciiTheme="minorHAnsi" w:hAnsiTheme="minorHAnsi"/>
                <w:b/>
                <w:sz w:val="24"/>
                <w:szCs w:val="24"/>
              </w:rPr>
            </w:pPr>
            <w:r w:rsidRPr="00DE3A5D">
              <w:rPr>
                <w:rFonts w:asciiTheme="minorHAnsi" w:hAnsiTheme="minorHAnsi"/>
                <w:b/>
                <w:sz w:val="24"/>
                <w:szCs w:val="24"/>
              </w:rPr>
              <w:t>Najnezdraviji na sjeveru</w:t>
            </w:r>
          </w:p>
          <w:p w:rsidR="00DE3A5D" w:rsidRPr="00DE3A5D" w:rsidRDefault="00DE3A5D" w:rsidP="00DE3A5D">
            <w:pPr>
              <w:jc w:val="both"/>
              <w:rPr>
                <w:b/>
              </w:rPr>
            </w:pPr>
            <w:r w:rsidRPr="00DE3A5D">
              <w:rPr>
                <w:b/>
                <w:noProof/>
              </w:rPr>
              <w:drawing>
                <wp:inline distT="0" distB="0" distL="0" distR="0" wp14:anchorId="79D184D2" wp14:editId="75E16AB1">
                  <wp:extent cx="2788920" cy="2324100"/>
                  <wp:effectExtent l="0" t="0" r="0" b="0"/>
                  <wp:docPr id="17" name="Slika 17" descr="http://www.banka.hr/UserDocsImages/slike/1_za_tekst/Tekstovi/NIS_2014-04-07/fizicko-zdravl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banka.hr/UserDocsImages/slike/1_za_tekst/Tekstovi/NIS_2014-04-07/fizicko-zdravlje.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88920" cy="2324100"/>
                          </a:xfrm>
                          <a:prstGeom prst="rect">
                            <a:avLst/>
                          </a:prstGeom>
                          <a:noFill/>
                          <a:ln>
                            <a:noFill/>
                          </a:ln>
                        </pic:spPr>
                      </pic:pic>
                    </a:graphicData>
                  </a:graphic>
                </wp:inline>
              </w:drawing>
            </w:r>
          </w:p>
        </w:tc>
      </w:tr>
      <w:tr w:rsidR="00DE3A5D" w:rsidTr="00DE3A5D">
        <w:trPr>
          <w:gridAfter w:val="1"/>
          <w:wAfter w:w="108" w:type="dxa"/>
        </w:trPr>
        <w:tc>
          <w:tcPr>
            <w:tcW w:w="4644" w:type="dxa"/>
          </w:tcPr>
          <w:p w:rsidR="00DE3A5D" w:rsidRPr="00DE3A5D" w:rsidRDefault="00DE3A5D" w:rsidP="00DE3A5D">
            <w:pPr>
              <w:jc w:val="both"/>
              <w:rPr>
                <w:b/>
              </w:rPr>
            </w:pPr>
          </w:p>
          <w:p w:rsidR="00DE3A5D" w:rsidRPr="00DE3A5D" w:rsidRDefault="00DE3A5D" w:rsidP="00DE3A5D">
            <w:pPr>
              <w:jc w:val="both"/>
              <w:rPr>
                <w:rFonts w:asciiTheme="minorHAnsi" w:hAnsiTheme="minorHAnsi"/>
                <w:b/>
                <w:sz w:val="24"/>
                <w:szCs w:val="24"/>
              </w:rPr>
            </w:pPr>
            <w:r w:rsidRPr="00DE3A5D">
              <w:rPr>
                <w:rFonts w:asciiTheme="minorHAnsi" w:hAnsiTheme="minorHAnsi"/>
                <w:b/>
                <w:sz w:val="24"/>
                <w:szCs w:val="24"/>
              </w:rPr>
              <w:t>Slavonci, oprez</w:t>
            </w:r>
          </w:p>
          <w:p w:rsidR="00DE3A5D" w:rsidRDefault="00DE3A5D" w:rsidP="00DE3A5D">
            <w:pPr>
              <w:jc w:val="both"/>
            </w:pPr>
            <w:r>
              <w:rPr>
                <w:noProof/>
              </w:rPr>
              <w:drawing>
                <wp:inline distT="0" distB="0" distL="0" distR="0" wp14:anchorId="63C6F29F" wp14:editId="6256B45F">
                  <wp:extent cx="2543175" cy="2119313"/>
                  <wp:effectExtent l="0" t="0" r="0" b="0"/>
                  <wp:docPr id="18" name="Slika 18" descr="http://www.banka.hr/UserDocsImages/slike/1_za_tekst/Tekstovi/NIS_2014-04-07/zdravo-ponasan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banka.hr/UserDocsImages/slike/1_za_tekst/Tekstovi/NIS_2014-04-07/zdravo-ponasanje.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3175" cy="2119313"/>
                          </a:xfrm>
                          <a:prstGeom prst="rect">
                            <a:avLst/>
                          </a:prstGeom>
                          <a:noFill/>
                          <a:ln>
                            <a:noFill/>
                          </a:ln>
                        </pic:spPr>
                      </pic:pic>
                    </a:graphicData>
                  </a:graphic>
                </wp:inline>
              </w:drawing>
            </w:r>
          </w:p>
        </w:tc>
        <w:tc>
          <w:tcPr>
            <w:tcW w:w="4536" w:type="dxa"/>
            <w:gridSpan w:val="2"/>
          </w:tcPr>
          <w:p w:rsidR="00DE3A5D" w:rsidRPr="00DE3A5D" w:rsidRDefault="00DE3A5D" w:rsidP="00DE3A5D">
            <w:pPr>
              <w:jc w:val="both"/>
              <w:rPr>
                <w:rFonts w:asciiTheme="minorHAnsi" w:hAnsiTheme="minorHAnsi"/>
                <w:b/>
                <w:sz w:val="24"/>
                <w:szCs w:val="24"/>
              </w:rPr>
            </w:pPr>
            <w:r w:rsidRPr="00DE3A5D">
              <w:rPr>
                <w:rFonts w:asciiTheme="minorHAnsi" w:hAnsiTheme="minorHAnsi"/>
                <w:b/>
                <w:sz w:val="24"/>
                <w:szCs w:val="24"/>
              </w:rPr>
              <w:t>Svi na fitness!</w:t>
            </w:r>
          </w:p>
          <w:p w:rsidR="00DE3A5D" w:rsidRPr="00DE3A5D" w:rsidRDefault="00DE3A5D" w:rsidP="00DE3A5D">
            <w:pPr>
              <w:jc w:val="both"/>
              <w:rPr>
                <w:b/>
              </w:rPr>
            </w:pPr>
            <w:r w:rsidRPr="00DE3A5D">
              <w:rPr>
                <w:b/>
                <w:noProof/>
              </w:rPr>
              <w:drawing>
                <wp:inline distT="0" distB="0" distL="0" distR="0" wp14:anchorId="33528EF5" wp14:editId="01431CCF">
                  <wp:extent cx="2857500" cy="2886075"/>
                  <wp:effectExtent l="0" t="0" r="0" b="0"/>
                  <wp:docPr id="19" name="Slika 19" descr="http://www.banka.hr/UserDocsImages/slike/1_za_tekst/Tekstovi/NIS_2014-04-07/zdravo-ponasanje_pet-odgov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banka.hr/UserDocsImages/slike/1_za_tekst/Tekstovi/NIS_2014-04-07/zdravo-ponasanje_pet-odgovor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7500" cy="2886075"/>
                          </a:xfrm>
                          <a:prstGeom prst="rect">
                            <a:avLst/>
                          </a:prstGeom>
                          <a:noFill/>
                          <a:ln>
                            <a:noFill/>
                          </a:ln>
                        </pic:spPr>
                      </pic:pic>
                    </a:graphicData>
                  </a:graphic>
                </wp:inline>
              </w:drawing>
            </w:r>
          </w:p>
        </w:tc>
      </w:tr>
      <w:tr w:rsidR="00DE3A5D" w:rsidTr="00DE3A5D">
        <w:trPr>
          <w:gridAfter w:val="1"/>
          <w:wAfter w:w="108" w:type="dxa"/>
        </w:trPr>
        <w:tc>
          <w:tcPr>
            <w:tcW w:w="4644" w:type="dxa"/>
          </w:tcPr>
          <w:p w:rsidR="00DE3A5D" w:rsidRPr="00326F60" w:rsidRDefault="00326F60" w:rsidP="00AD735A">
            <w:pPr>
              <w:spacing w:before="120"/>
              <w:jc w:val="both"/>
              <w:rPr>
                <w:rFonts w:asciiTheme="minorHAnsi" w:hAnsiTheme="minorHAnsi"/>
                <w:i/>
                <w:sz w:val="22"/>
                <w:szCs w:val="22"/>
              </w:rPr>
            </w:pPr>
            <w:r w:rsidRPr="00326F60">
              <w:rPr>
                <w:rFonts w:asciiTheme="minorHAnsi" w:hAnsiTheme="minorHAnsi" w:cs="Arial"/>
                <w:i/>
                <w:color w:val="000000"/>
                <w:sz w:val="22"/>
                <w:szCs w:val="22"/>
              </w:rPr>
              <w:t>„</w:t>
            </w:r>
            <w:r w:rsidR="00DE3A5D" w:rsidRPr="00326F60">
              <w:rPr>
                <w:rFonts w:asciiTheme="minorHAnsi" w:hAnsiTheme="minorHAnsi" w:cs="Arial"/>
                <w:i/>
                <w:color w:val="000000"/>
                <w:sz w:val="22"/>
                <w:szCs w:val="22"/>
              </w:rPr>
              <w:t>Komponenta Zdravo ponašanje unutar Nacionalnog indeksa sreće sadrži pet različitih vrsta ponašanja hrvatskog stanovništva po regijama a najlošiji su odgovori na pitanje bavljenja fizičkom aktivnošću koji je ispod 50 bodova što po metodologiji znači da spada u negativnu zonu. Hrvati jedu svježe voće i povrće, ali se ne bave fizičkom aktivnošću što  zahtijeva više vremena i novaca.</w:t>
            </w:r>
            <w:r w:rsidRPr="00326F60">
              <w:rPr>
                <w:rFonts w:asciiTheme="minorHAnsi" w:hAnsiTheme="minorHAnsi" w:cs="Arial"/>
                <w:i/>
                <w:color w:val="000000"/>
                <w:sz w:val="22"/>
                <w:szCs w:val="22"/>
              </w:rPr>
              <w:t>“</w:t>
            </w:r>
          </w:p>
        </w:tc>
        <w:tc>
          <w:tcPr>
            <w:tcW w:w="4536" w:type="dxa"/>
            <w:gridSpan w:val="2"/>
          </w:tcPr>
          <w:p w:rsidR="00DE3A5D" w:rsidRPr="00326F60" w:rsidRDefault="00326F60" w:rsidP="003E570A">
            <w:pPr>
              <w:spacing w:before="120" w:after="120"/>
              <w:jc w:val="both"/>
              <w:rPr>
                <w:rFonts w:asciiTheme="minorHAnsi" w:hAnsiTheme="minorHAnsi" w:cs="Arial"/>
                <w:i/>
                <w:color w:val="000000"/>
                <w:sz w:val="22"/>
                <w:szCs w:val="22"/>
              </w:rPr>
            </w:pPr>
            <w:r w:rsidRPr="00326F60">
              <w:rPr>
                <w:rFonts w:asciiTheme="minorHAnsi" w:hAnsiTheme="minorHAnsi" w:cs="Arial"/>
                <w:i/>
                <w:color w:val="000000"/>
                <w:sz w:val="22"/>
                <w:szCs w:val="22"/>
              </w:rPr>
              <w:t>„</w:t>
            </w:r>
            <w:r w:rsidR="00DE3A5D" w:rsidRPr="00326F60">
              <w:rPr>
                <w:rFonts w:asciiTheme="minorHAnsi" w:hAnsiTheme="minorHAnsi" w:cs="Arial"/>
                <w:i/>
                <w:color w:val="000000"/>
                <w:sz w:val="22"/>
                <w:szCs w:val="22"/>
              </w:rPr>
              <w:t xml:space="preserve">Najviše pak zabrinjava smanjeno bavljenje fizičkom aktivnošću kod građana, jer je dokazano da fizička aktivnost utječe ne samo na poboljšanje zdravlja, već i na osjećaj sreće. </w:t>
            </w:r>
          </w:p>
          <w:p w:rsidR="00DE3A5D" w:rsidRPr="00326F60" w:rsidRDefault="00DE3A5D" w:rsidP="00AD735A">
            <w:pPr>
              <w:spacing w:before="120"/>
              <w:jc w:val="both"/>
              <w:rPr>
                <w:rFonts w:asciiTheme="minorHAnsi" w:hAnsiTheme="minorHAnsi"/>
                <w:i/>
                <w:sz w:val="22"/>
                <w:szCs w:val="22"/>
              </w:rPr>
            </w:pPr>
            <w:r w:rsidRPr="00326F60">
              <w:rPr>
                <w:rFonts w:asciiTheme="minorHAnsi" w:hAnsiTheme="minorHAnsi" w:cs="Arial"/>
                <w:i/>
                <w:color w:val="000000"/>
                <w:sz w:val="22"/>
                <w:szCs w:val="22"/>
              </w:rPr>
              <w:t>Znanstvena istraživanja   pokazuju  da su najsretniji ljudi koji vježbaju 3 puta tjedno, umjereno konzumiraju alkohol (jedno alkoholno piće tjedno) i ne puše.</w:t>
            </w:r>
            <w:r w:rsidR="00326F60" w:rsidRPr="00326F60">
              <w:rPr>
                <w:rFonts w:asciiTheme="minorHAnsi" w:hAnsiTheme="minorHAnsi" w:cs="Arial"/>
                <w:i/>
                <w:color w:val="000000"/>
                <w:sz w:val="22"/>
                <w:szCs w:val="22"/>
              </w:rPr>
              <w:t>“</w:t>
            </w:r>
          </w:p>
        </w:tc>
      </w:tr>
      <w:tr w:rsidR="00DE3A5D" w:rsidTr="00DE3A5D">
        <w:tblPrEx>
          <w:tblLook w:val="0000" w:firstRow="0" w:lastRow="0" w:firstColumn="0" w:lastColumn="0" w:noHBand="0" w:noVBand="0"/>
        </w:tblPrEx>
        <w:trPr>
          <w:gridAfter w:val="1"/>
          <w:wAfter w:w="108" w:type="dxa"/>
          <w:trHeight w:val="375"/>
        </w:trPr>
        <w:tc>
          <w:tcPr>
            <w:tcW w:w="9180" w:type="dxa"/>
            <w:gridSpan w:val="3"/>
          </w:tcPr>
          <w:p w:rsidR="00DE3A5D" w:rsidRPr="00326F60" w:rsidRDefault="00AD735A" w:rsidP="00AD735A">
            <w:pPr>
              <w:spacing w:before="120"/>
              <w:ind w:left="108"/>
              <w:jc w:val="both"/>
              <w:rPr>
                <w:rFonts w:asciiTheme="minorHAnsi" w:hAnsiTheme="minorHAnsi"/>
              </w:rPr>
            </w:pPr>
            <w:r>
              <w:rPr>
                <w:rFonts w:asciiTheme="minorHAnsi" w:hAnsiTheme="minorHAnsi"/>
              </w:rPr>
              <w:t>Izvor: p</w:t>
            </w:r>
            <w:r w:rsidR="00DE3A5D" w:rsidRPr="00326F60">
              <w:rPr>
                <w:rFonts w:asciiTheme="minorHAnsi" w:hAnsiTheme="minorHAnsi"/>
              </w:rPr>
              <w:t>reuzeto sa: http://www.banka.hr/hrvatska/indeks-srece-hrvati-su-zadovoljni-svojim-fizickim-zdravljem</w:t>
            </w:r>
          </w:p>
        </w:tc>
      </w:tr>
    </w:tbl>
    <w:p w:rsidR="00A97638" w:rsidRPr="004D6AF4" w:rsidRDefault="00A97638" w:rsidP="004D6AF4">
      <w:pPr>
        <w:spacing w:before="240"/>
        <w:jc w:val="both"/>
        <w:rPr>
          <w:sz w:val="24"/>
          <w:szCs w:val="24"/>
        </w:rPr>
      </w:pPr>
      <w:r w:rsidRPr="004D6AF4">
        <w:rPr>
          <w:sz w:val="24"/>
          <w:szCs w:val="24"/>
        </w:rPr>
        <w:t xml:space="preserve">Jedna od temeljnih postavki od kojih polazi pristup ekonomije sreće je dovođenje u pitanje </w:t>
      </w:r>
      <w:r w:rsidR="00943D74">
        <w:rPr>
          <w:sz w:val="24"/>
          <w:szCs w:val="24"/>
        </w:rPr>
        <w:t xml:space="preserve">(opće zastupljenog) </w:t>
      </w:r>
      <w:r w:rsidRPr="004D6AF4">
        <w:rPr>
          <w:sz w:val="24"/>
          <w:szCs w:val="24"/>
        </w:rPr>
        <w:t xml:space="preserve">mišljenja da viši realni BDP povećava sreću i da su stoga  ljudi u bogatijim državama sretniji od onih u siromašnijima. Naime, dok u zemljama s niskim dohotkom ekonomsko zadovoljstvo i sreća uobičajeno rastu proporcionalno s rastom BDP-a, u </w:t>
      </w:r>
      <w:r w:rsidRPr="004D6AF4">
        <w:rPr>
          <w:sz w:val="24"/>
          <w:szCs w:val="24"/>
        </w:rPr>
        <w:lastRenderedPageBreak/>
        <w:t xml:space="preserve">zemljama s višim dohotkom dodatni porat BDP-a ne dovodi nužno do porasta ekonomskog zadovoljstva i sreće. Navedeno se dalje nadovezuje na tvrdnju da „bogati pojedinci nisu nužno sretniji od njihovih siromašnih sunarodnjaka“. Sa stajališta </w:t>
      </w:r>
      <w:r w:rsidRPr="00BB31E0">
        <w:rPr>
          <w:sz w:val="24"/>
          <w:szCs w:val="24"/>
        </w:rPr>
        <w:t xml:space="preserve">svake pojedinačne osobe ekonomsko zadovoljstvo definirano je njegovim relativnim dohodovnim položajem u društvu, a posebice u odnosu na druge njemu referente pojedince ili grupe </w:t>
      </w:r>
      <w:r w:rsidRPr="004D6AF4">
        <w:rPr>
          <w:sz w:val="24"/>
          <w:szCs w:val="24"/>
        </w:rPr>
        <w:t xml:space="preserve">(susjedi, prijatelji, kolege s posla). Zbog toga </w:t>
      </w:r>
      <w:r w:rsidRPr="00BB31E0">
        <w:rPr>
          <w:sz w:val="24"/>
          <w:szCs w:val="24"/>
        </w:rPr>
        <w:t>uspješnost ostvarivanja financijskih ciljeva i zadovoljstvo vlastitim postignućima predstavlja relativnu kategorija specifičnu i svojstvenu svakom pojedincu</w:t>
      </w:r>
      <w:r w:rsidR="00BB31E0" w:rsidRPr="00BB31E0">
        <w:rPr>
          <w:sz w:val="24"/>
          <w:szCs w:val="24"/>
        </w:rPr>
        <w:t xml:space="preserve">, a </w:t>
      </w:r>
      <w:r w:rsidR="00BB31E0" w:rsidRPr="00BB31E0">
        <w:rPr>
          <w:color w:val="C00000"/>
          <w:sz w:val="24"/>
          <w:szCs w:val="24"/>
        </w:rPr>
        <w:t xml:space="preserve">mjera dostignutog materijalnog bogatstva </w:t>
      </w:r>
      <w:r w:rsidR="00BB31E0">
        <w:rPr>
          <w:color w:val="C00000"/>
          <w:sz w:val="24"/>
          <w:szCs w:val="24"/>
        </w:rPr>
        <w:t>nije pokazatelj veće ili manje uspješnosti upravljanja osobnim financijama – „važnije je kao se upravlja onim što se ima“</w:t>
      </w:r>
      <w:r w:rsidRPr="00BB31E0">
        <w:rPr>
          <w:sz w:val="24"/>
          <w:szCs w:val="24"/>
        </w:rPr>
        <w:t xml:space="preserve">. </w:t>
      </w:r>
    </w:p>
    <w:p w:rsidR="00A97638" w:rsidRPr="004D6AF4" w:rsidRDefault="00A97638" w:rsidP="00A97638">
      <w:pPr>
        <w:jc w:val="both"/>
        <w:rPr>
          <w:sz w:val="24"/>
          <w:szCs w:val="24"/>
        </w:rPr>
      </w:pPr>
      <w:r w:rsidRPr="004D6AF4">
        <w:rPr>
          <w:sz w:val="24"/>
          <w:szCs w:val="24"/>
        </w:rPr>
        <w:t>Tipičan razlog zašto se ekonomsko zadovoljstvo i sreća smanjuju u uvjetima rasta ekonomske aktivnosti na nacionalnoj razini i povećanja osobnog bogatstva g</w:t>
      </w:r>
      <w:r w:rsidR="00BB31E0">
        <w:rPr>
          <w:sz w:val="24"/>
          <w:szCs w:val="24"/>
        </w:rPr>
        <w:t xml:space="preserve">rađana jest pad kvalitete život, </w:t>
      </w:r>
      <w:r w:rsidRPr="004D6AF4">
        <w:rPr>
          <w:sz w:val="24"/>
          <w:szCs w:val="24"/>
        </w:rPr>
        <w:t>na primjer zbog porasta onečišćenja u visoko industrijaliziranim zemljama i velikim gradovima</w:t>
      </w:r>
      <w:r w:rsidR="00BB31E0">
        <w:rPr>
          <w:sz w:val="24"/>
          <w:szCs w:val="24"/>
        </w:rPr>
        <w:t>,</w:t>
      </w:r>
      <w:r w:rsidRPr="004D6AF4">
        <w:rPr>
          <w:sz w:val="24"/>
          <w:szCs w:val="24"/>
        </w:rPr>
        <w:t xml:space="preserve"> otuđenja od obitelji i prijatelja </w:t>
      </w:r>
      <w:r w:rsidR="004D6AF4">
        <w:rPr>
          <w:sz w:val="24"/>
          <w:szCs w:val="24"/>
        </w:rPr>
        <w:t xml:space="preserve">zbog </w:t>
      </w:r>
      <w:r w:rsidRPr="004D6AF4">
        <w:rPr>
          <w:sz w:val="24"/>
          <w:szCs w:val="24"/>
        </w:rPr>
        <w:t>prekovremen</w:t>
      </w:r>
      <w:r w:rsidR="004D6AF4">
        <w:rPr>
          <w:sz w:val="24"/>
          <w:szCs w:val="24"/>
        </w:rPr>
        <w:t>og</w:t>
      </w:r>
      <w:r w:rsidRPr="004D6AF4">
        <w:rPr>
          <w:sz w:val="24"/>
          <w:szCs w:val="24"/>
        </w:rPr>
        <w:t xml:space="preserve"> rad</w:t>
      </w:r>
      <w:r w:rsidR="004D6AF4">
        <w:rPr>
          <w:sz w:val="24"/>
          <w:szCs w:val="24"/>
        </w:rPr>
        <w:t>a itd.</w:t>
      </w:r>
      <w:r w:rsidR="0097725B">
        <w:rPr>
          <w:sz w:val="24"/>
          <w:szCs w:val="24"/>
        </w:rPr>
        <w:t>, ali isto tako i padajuća granična korisnost bogatstva</w:t>
      </w:r>
      <w:r w:rsidRPr="004D6AF4">
        <w:rPr>
          <w:sz w:val="24"/>
          <w:szCs w:val="24"/>
        </w:rPr>
        <w:t xml:space="preserve">. </w:t>
      </w:r>
      <w:r w:rsidRPr="004D6AF4">
        <w:rPr>
          <w:color w:val="C00000"/>
          <w:sz w:val="24"/>
          <w:szCs w:val="24"/>
        </w:rPr>
        <w:t xml:space="preserve">Korisnost bogatstva </w:t>
      </w:r>
      <w:r w:rsidRPr="004D6AF4">
        <w:rPr>
          <w:sz w:val="24"/>
          <w:szCs w:val="24"/>
        </w:rPr>
        <w:t>označava zadovoljenje, subjektivni užitak ili korist koju osoba ima konzumirajući bogatstvo</w:t>
      </w:r>
      <w:r w:rsidR="0097725B">
        <w:rPr>
          <w:sz w:val="24"/>
          <w:szCs w:val="24"/>
        </w:rPr>
        <w:t>. P</w:t>
      </w:r>
      <w:r w:rsidR="00FD42D2">
        <w:rPr>
          <w:sz w:val="24"/>
          <w:szCs w:val="24"/>
        </w:rPr>
        <w:t xml:space="preserve">ri tome vrijede relacije da je više bogatstva uvijek bolje od manje bogatstva; da pojedinac nikada ne dostiže „točku“ u kojoj ima dovoljno bogatstva; te da je </w:t>
      </w:r>
      <w:r w:rsidR="00F558A3">
        <w:rPr>
          <w:sz w:val="24"/>
          <w:szCs w:val="24"/>
        </w:rPr>
        <w:t xml:space="preserve">stopa </w:t>
      </w:r>
      <w:r w:rsidR="00FD42D2">
        <w:rPr>
          <w:sz w:val="24"/>
          <w:szCs w:val="24"/>
        </w:rPr>
        <w:t>graničn</w:t>
      </w:r>
      <w:r w:rsidR="00F558A3">
        <w:rPr>
          <w:sz w:val="24"/>
          <w:szCs w:val="24"/>
        </w:rPr>
        <w:t>e</w:t>
      </w:r>
      <w:r w:rsidR="00FD42D2">
        <w:rPr>
          <w:sz w:val="24"/>
          <w:szCs w:val="24"/>
        </w:rPr>
        <w:t xml:space="preserve"> korisnost</w:t>
      </w:r>
      <w:r w:rsidR="00F558A3">
        <w:rPr>
          <w:sz w:val="24"/>
          <w:szCs w:val="24"/>
        </w:rPr>
        <w:t>i</w:t>
      </w:r>
      <w:r w:rsidR="00FD42D2">
        <w:rPr>
          <w:sz w:val="24"/>
          <w:szCs w:val="24"/>
        </w:rPr>
        <w:t xml:space="preserve"> bogatstva </w:t>
      </w:r>
      <w:r w:rsidR="00F558A3">
        <w:rPr>
          <w:sz w:val="24"/>
          <w:szCs w:val="24"/>
        </w:rPr>
        <w:t xml:space="preserve">padajuća. </w:t>
      </w:r>
      <w:r w:rsidR="00F558A3">
        <w:rPr>
          <w:color w:val="C00000"/>
          <w:sz w:val="24"/>
          <w:szCs w:val="24"/>
        </w:rPr>
        <w:t>G</w:t>
      </w:r>
      <w:r w:rsidRPr="004D6AF4">
        <w:rPr>
          <w:color w:val="C00000"/>
          <w:sz w:val="24"/>
          <w:szCs w:val="24"/>
        </w:rPr>
        <w:t xml:space="preserve">ranična korisnost bogatstva </w:t>
      </w:r>
      <w:r w:rsidRPr="004D6AF4">
        <w:rPr>
          <w:sz w:val="24"/>
          <w:szCs w:val="24"/>
        </w:rPr>
        <w:t>predstavlja dodatno ili pridodano zadovoljstvo (korist) koje osoba ostvaruje uživanjem jedne dodatne jedinice bogatstva</w:t>
      </w:r>
      <w:r w:rsidR="00D7054B">
        <w:rPr>
          <w:sz w:val="24"/>
          <w:szCs w:val="24"/>
        </w:rPr>
        <w:t xml:space="preserve"> (vidjeti sliku 10)</w:t>
      </w:r>
      <w:r w:rsidRPr="004D6AF4">
        <w:rPr>
          <w:sz w:val="24"/>
          <w:szCs w:val="24"/>
        </w:rPr>
        <w:t xml:space="preserve">. Slično kao što se granična korisnost svake dodatne konzumirane jabuke smanjuje, tako se i granična korisnost bogatstva smanjuje sa porastom količine bogatstva koju konzumiramo. </w:t>
      </w:r>
    </w:p>
    <w:p w:rsidR="00A97638" w:rsidRPr="004D6AF4" w:rsidRDefault="00A97638" w:rsidP="00BB31E0">
      <w:pPr>
        <w:spacing w:after="0" w:line="240" w:lineRule="auto"/>
        <w:jc w:val="both"/>
        <w:rPr>
          <w:b/>
          <w:sz w:val="24"/>
          <w:szCs w:val="24"/>
        </w:rPr>
      </w:pPr>
      <w:r w:rsidRPr="004D6AF4">
        <w:rPr>
          <w:b/>
          <w:sz w:val="24"/>
          <w:szCs w:val="24"/>
        </w:rPr>
        <w:t>Slika 1</w:t>
      </w:r>
      <w:r w:rsidR="00D7054B">
        <w:rPr>
          <w:b/>
          <w:sz w:val="24"/>
          <w:szCs w:val="24"/>
        </w:rPr>
        <w:t>0</w:t>
      </w:r>
      <w:r w:rsidRPr="004D6AF4">
        <w:rPr>
          <w:b/>
          <w:sz w:val="24"/>
          <w:szCs w:val="24"/>
        </w:rPr>
        <w:t>: Padajuća granična korisnost u ovisnosti o bogatstvu</w:t>
      </w:r>
    </w:p>
    <w:tbl>
      <w:tblPr>
        <w:tblStyle w:val="Reetkatablice"/>
        <w:tblW w:w="9072" w:type="dxa"/>
        <w:tblInd w:w="108" w:type="dxa"/>
        <w:tblLayout w:type="fixed"/>
        <w:tblLook w:val="01E0" w:firstRow="1" w:lastRow="1" w:firstColumn="1" w:lastColumn="1" w:noHBand="0" w:noVBand="0"/>
      </w:tblPr>
      <w:tblGrid>
        <w:gridCol w:w="9072"/>
      </w:tblGrid>
      <w:tr w:rsidR="00A97638" w:rsidRPr="004D6AF4" w:rsidTr="00BB31E0">
        <w:tc>
          <w:tcPr>
            <w:tcW w:w="9072" w:type="dxa"/>
            <w:tcBorders>
              <w:top w:val="nil"/>
              <w:left w:val="nil"/>
              <w:bottom w:val="nil"/>
              <w:right w:val="nil"/>
            </w:tcBorders>
            <w:shd w:val="clear" w:color="auto" w:fill="FFFFFF" w:themeFill="background1"/>
          </w:tcPr>
          <w:p w:rsidR="00A97638" w:rsidRPr="004D6AF4" w:rsidRDefault="00A97638" w:rsidP="00F558A3">
            <w:pPr>
              <w:spacing w:before="120" w:after="120"/>
              <w:jc w:val="both"/>
              <w:rPr>
                <w:rFonts w:asciiTheme="minorHAnsi" w:eastAsiaTheme="minorHAnsi" w:hAnsiTheme="minorHAnsi" w:cstheme="minorBidi"/>
                <w:sz w:val="24"/>
                <w:szCs w:val="24"/>
                <w:lang w:eastAsia="en-US"/>
              </w:rPr>
            </w:pPr>
            <w:r w:rsidRPr="004D6AF4">
              <w:rPr>
                <w:noProof/>
                <w:sz w:val="24"/>
                <w:szCs w:val="24"/>
              </w:rPr>
              <mc:AlternateContent>
                <mc:Choice Requires="wpc">
                  <w:drawing>
                    <wp:inline distT="0" distB="0" distL="0" distR="0" wp14:anchorId="06B4CF79" wp14:editId="6188171E">
                      <wp:extent cx="5715000" cy="2667000"/>
                      <wp:effectExtent l="0" t="0" r="0" b="0"/>
                      <wp:docPr id="24" name="Područje crtanja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 name="Line 9"/>
                              <wps:cNvCnPr/>
                              <wps:spPr bwMode="auto">
                                <a:xfrm flipV="1">
                                  <a:off x="646108" y="341696"/>
                                  <a:ext cx="803" cy="198580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Line 10"/>
                              <wps:cNvCnPr/>
                              <wps:spPr bwMode="auto">
                                <a:xfrm>
                                  <a:off x="624152" y="2326594"/>
                                  <a:ext cx="4699044" cy="9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rc 11"/>
                              <wps:cNvSpPr>
                                <a:spLocks/>
                              </wps:cNvSpPr>
                              <wps:spPr bwMode="auto">
                                <a:xfrm rot="10800000" flipV="1">
                                  <a:off x="678027" y="1096858"/>
                                  <a:ext cx="4254422" cy="1230638"/>
                                </a:xfrm>
                                <a:custGeom>
                                  <a:avLst/>
                                  <a:gdLst>
                                    <a:gd name="G0" fmla="+- 0 0 0"/>
                                    <a:gd name="G1" fmla="+- 21600 0 0"/>
                                    <a:gd name="G2" fmla="+- 21600 0 0"/>
                                    <a:gd name="T0" fmla="*/ 127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26" y="0"/>
                                      </a:moveTo>
                                      <a:cubicBezTo>
                                        <a:pt x="12006" y="70"/>
                                        <a:pt x="21600" y="9720"/>
                                        <a:pt x="21600" y="21600"/>
                                      </a:cubicBezTo>
                                    </a:path>
                                    <a:path w="21600" h="21600" stroke="0" extrusionOk="0">
                                      <a:moveTo>
                                        <a:pt x="126" y="0"/>
                                      </a:moveTo>
                                      <a:cubicBezTo>
                                        <a:pt x="12006" y="70"/>
                                        <a:pt x="21600" y="972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Text Box 12"/>
                              <wps:cNvSpPr txBox="1">
                                <a:spLocks noChangeArrowheads="1"/>
                              </wps:cNvSpPr>
                              <wps:spPr bwMode="auto">
                                <a:xfrm>
                                  <a:off x="174714" y="13698"/>
                                  <a:ext cx="787321" cy="230068"/>
                                </a:xfrm>
                                <a:prstGeom prst="rect">
                                  <a:avLst/>
                                </a:prstGeom>
                                <a:noFill/>
                                <a:ln>
                                  <a:noFill/>
                                </a:ln>
                                <a:extLst>
                                  <a:ext uri="{909E8E84-426E-40DD-AFC4-6F175D3DCCD1}">
                                    <a14:hiddenFill xmlns:a14="http://schemas.microsoft.com/office/drawing/2010/main">
                                      <a:solidFill>
                                        <a:srgbClr val="CCEC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BD2553" w:rsidRDefault="00BD2553" w:rsidP="00A97638">
                                    <w:r>
                                      <w:t>korisnost</w:t>
                                    </w:r>
                                  </w:p>
                                </w:txbxContent>
                              </wps:txbx>
                              <wps:bodyPr rot="0" vert="horz" wrap="square" lIns="91440" tIns="45720" rIns="91440" bIns="45720" anchor="t" anchorCtr="0" upright="1">
                                <a:noAutofit/>
                              </wps:bodyPr>
                            </wps:wsp>
                            <wps:wsp>
                              <wps:cNvPr id="26" name="Text Box 12"/>
                              <wps:cNvSpPr txBox="1">
                                <a:spLocks noChangeArrowheads="1"/>
                              </wps:cNvSpPr>
                              <wps:spPr bwMode="auto">
                                <a:xfrm>
                                  <a:off x="4313670" y="2327156"/>
                                  <a:ext cx="786765" cy="315057"/>
                                </a:xfrm>
                                <a:prstGeom prst="rect">
                                  <a:avLst/>
                                </a:prstGeom>
                                <a:noFill/>
                                <a:ln>
                                  <a:noFill/>
                                </a:ln>
                                <a:extLst>
                                  <a:ext uri="{909E8E84-426E-40DD-AFC4-6F175D3DCCD1}">
                                    <a14:hiddenFill xmlns:a14="http://schemas.microsoft.com/office/drawing/2010/main">
                                      <a:solidFill>
                                        <a:srgbClr val="CCEC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BD2553" w:rsidRDefault="00BD2553" w:rsidP="00A97638">
                                    <w:pPr>
                                      <w:pStyle w:val="StandardWeb"/>
                                      <w:spacing w:before="0" w:beforeAutospacing="0" w:after="200" w:afterAutospacing="0" w:line="276" w:lineRule="auto"/>
                                    </w:pPr>
                                    <w:r>
                                      <w:rPr>
                                        <w:rFonts w:ascii="Calibri" w:eastAsia="Calibri" w:hAnsi="Calibri"/>
                                        <w:sz w:val="22"/>
                                        <w:szCs w:val="22"/>
                                      </w:rPr>
                                      <w:t>bogatstvo</w:t>
                                    </w:r>
                                  </w:p>
                                </w:txbxContent>
                              </wps:txbx>
                              <wps:bodyPr rot="0" vert="horz" wrap="square" lIns="91440" tIns="45720" rIns="91440" bIns="45720" anchor="t" anchorCtr="0" upright="1">
                                <a:noAutofit/>
                              </wps:bodyPr>
                            </wps:wsp>
                          </wpc:wpc>
                        </a:graphicData>
                      </a:graphic>
                    </wp:inline>
                  </w:drawing>
                </mc:Choice>
                <mc:Fallback>
                  <w:pict>
                    <v:group id="Područje crtanja 24" o:spid="_x0000_s1026" editas="canvas" style="width:450pt;height:210pt;mso-position-horizontal-relative:char;mso-position-vertical-relative:line" coordsize="57150,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">
                      <v:shape id="_x0000_s1027" type="#_x0000_t75" style="position:absolute;width:57150;height:26670;visibility:visible;mso-wrap-style:square">
                        <v:fill o:detectmouseclick="t"/>
                        <v:path o:connecttype="none"/>
                      </v:shape>
                      <v:line id="Line 9" o:spid="_x0000_s1028" style="position:absolute;flip:y;visibility:visible;mso-wrap-style:square" from="6461,3416" to="6469,23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SOccQAAADbAAAADwAAAGRycy9kb3ducmV2LnhtbESPQWvCQBCF70L/wzIFL6FurFLa1FVq&#10;VSiIh0YPPQ7ZaRKanQ3ZUeO/dwuCtxne+968mS1616gTdaH2bGA8SkERF97WXBo47DdPr6CCIFts&#10;PJOBCwVYzB8GM8ysP/M3nXIpVQzhkKGBSqTNtA5FRQ7DyLfEUfv1nUOJa1dq2+E5hrtGP6fpi3ZY&#10;c7xQYUufFRV/+dHFGpsdryaTZOl0krzR+ke2qRZjho/9xzsooV7u5hv9ZSM3hf9f4gB6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JI5xxAAAANsAAAAPAAAAAAAAAAAA&#10;AAAAAKECAABkcnMvZG93bnJldi54bWxQSwUGAAAAAAQABAD5AAAAkgMAAAAA&#10;">
                        <v:stroke endarrow="block"/>
                      </v:line>
                      <v:line id="Line 10" o:spid="_x0000_s1029" style="position:absolute;visibility:visible;mso-wrap-style:square" from="6241,23265" to="53231,23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lnGsQAAADbAAAADwAAAGRycy9kb3ducmV2LnhtbESPQWsCMRSE7wX/Q3iCt5pdD1pXo4hL&#10;wYMtqKXn5+a5Wdy8LJt0Tf99Uyj0OMzMN8x6G20rBup941hBPs1AEFdON1wr+Li8Pr+A8AFZY+uY&#10;FHyTh+1m9LTGQrsHn2g4h1okCPsCFZgQukJKXxmy6KeuI07ezfUWQ5J9LXWPjwS3rZxl2VxabDgt&#10;GOxob6i6n7+sgoUpT3Ihy+PlvRyafBnf4ud1qdRkHHcrEIFi+A//tQ9awS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mWcaxAAAANsAAAAPAAAAAAAAAAAA&#10;AAAAAKECAABkcnMvZG93bnJldi54bWxQSwUGAAAAAAQABAD5AAAAkgMAAAAA&#10;">
                        <v:stroke endarrow="block"/>
                      </v:line>
                      <v:shape id="Arc 11" o:spid="_x0000_s1030" style="position:absolute;left:6780;top:10968;width:42544;height:12306;rotation: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xYMQA&#10;AADbAAAADwAAAGRycy9kb3ducmV2LnhtbESPzWrDMBCE74G+g9hCb4lcG0pwowTTElJ6KfnpfWtt&#10;LVNrZSTFdvP0VSGQ4zAz3zCrzWQ7MZAPrWMFj4sMBHHtdMuNgtNxO1+CCBFZY+eYFPxSgM36brbC&#10;UruR9zQcYiMShEOJCkyMfSllqA1ZDAvXEyfv23mLMUnfSO1xTHDbyTzLnqTFltOCwZ5eDNU/h7NV&#10;8Dnsoi8af6ped8X7R2UuY/F1UerhfqqeQUSa4i18bb9pBXkO/1/SD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ssWDEAAAA2wAAAA8AAAAAAAAAAAAAAAAAmAIAAGRycy9k&#10;b3ducmV2LnhtbFBLBQYAAAAABAAEAPUAAACJAwAAAAA=&#10;" path="m126,nfc12006,70,21600,9720,21600,21600em126,nsc12006,70,21600,9720,21600,21600l,21600,126,xe" filled="f">
                        <v:path arrowok="t" o:extrusionok="f" o:connecttype="custom" o:connectlocs="25014,0;4254422,1230638;0,1230638" o:connectangles="0,0,0"/>
                      </v:shape>
                      <v:shapetype id="_x0000_t202" coordsize="21600,21600" o:spt="202" path="m,l,21600r21600,l21600,xe">
                        <v:stroke joinstyle="miter"/>
                        <v:path gradientshapeok="t" o:connecttype="rect"/>
                      </v:shapetype>
                      <v:shape id="Text Box 12" o:spid="_x0000_s1031" type="#_x0000_t202" style="position:absolute;left:1747;top:136;width:7873;height:2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CCJcQA&#10;AADbAAAADwAAAGRycy9kb3ducmV2LnhtbESPQWvCQBSE7wX/w/KE3urGCFKiq4gQsCiFqojeHtln&#10;Nph9G7JbTfPru4WCx2FmvmHmy87W4k6trxwrGI8SEMSF0xWXCo6H/O0dhA/IGmvHpOCHPCwXg5c5&#10;Zto9+Ivu+1CKCGGfoQITQpNJ6QtDFv3INcTRu7rWYoiyLaVu8RHhtpZpkkylxYrjgsGG1oaK2/7b&#10;Kjifpnm3u2xN/mko3/Uf/TjtD0q9DrvVDESgLjzD/+2NVpBO4O9L/A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wgiXEAAAA2wAAAA8AAAAAAAAAAAAAAAAAmAIAAGRycy9k&#10;b3ducmV2LnhtbFBLBQYAAAAABAAEAPUAAACJAwAAAAA=&#10;" filled="f" fillcolor="#ccecff" stroked="f" strokecolor="blue">
                        <v:textbox>
                          <w:txbxContent>
                            <w:p w:rsidR="00BD2553" w:rsidRDefault="00BD2553" w:rsidP="00A97638">
                              <w:r>
                                <w:t>korisnost</w:t>
                              </w:r>
                            </w:p>
                          </w:txbxContent>
                        </v:textbox>
                      </v:shape>
                      <v:shape id="Text Box 12" o:spid="_x0000_s1032" type="#_x0000_t202" style="position:absolute;left:43136;top:23271;width:7868;height:3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chvcQA&#10;AADbAAAADwAAAGRycy9kb3ducmV2LnhtbESPQWvCQBSE7wX/w/IEb3VjDqFEVxEhYFGEail6e2Sf&#10;2WD2bchuNebXdwuFHoeZ+YZZrHrbiDt1vnasYDZNQBCXTtdcKfg8Fa9vIHxA1tg4JgVP8rBajl4W&#10;mGv34A+6H0MlIoR9jgpMCG0upS8NWfRT1xJH7+o6iyHKrpK6w0eE20amSZJJizXHBYMtbQyVt+O3&#10;VXD+yop+f9mZ4mCo2A/vwywdTkpNxv16DiJQH/7Df+2tVpBm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HIb3EAAAA2wAAAA8AAAAAAAAAAAAAAAAAmAIAAGRycy9k&#10;b3ducmV2LnhtbFBLBQYAAAAABAAEAPUAAACJAwAAAAA=&#10;" filled="f" fillcolor="#ccecff" stroked="f" strokecolor="blue">
                        <v:textbox>
                          <w:txbxContent>
                            <w:p w:rsidR="00BD2553" w:rsidRDefault="00BD2553" w:rsidP="00A97638">
                              <w:pPr>
                                <w:pStyle w:val="StandardWeb"/>
                                <w:spacing w:before="0" w:beforeAutospacing="0" w:after="200" w:afterAutospacing="0" w:line="276" w:lineRule="auto"/>
                              </w:pPr>
                              <w:r>
                                <w:rPr>
                                  <w:rFonts w:ascii="Calibri" w:eastAsia="Calibri" w:hAnsi="Calibri"/>
                                  <w:sz w:val="22"/>
                                  <w:szCs w:val="22"/>
                                </w:rPr>
                                <w:t>bogatstvo</w:t>
                              </w:r>
                            </w:p>
                          </w:txbxContent>
                        </v:textbox>
                      </v:shape>
                      <w10:anchorlock/>
                    </v:group>
                  </w:pict>
                </mc:Fallback>
              </mc:AlternateContent>
            </w:r>
            <w:r w:rsidRPr="004D6AF4">
              <w:rPr>
                <w:rFonts w:asciiTheme="minorHAnsi" w:eastAsiaTheme="minorHAnsi" w:hAnsiTheme="minorHAnsi" w:cstheme="minorBidi"/>
                <w:sz w:val="24"/>
                <w:szCs w:val="24"/>
                <w:lang w:eastAsia="en-US"/>
              </w:rPr>
              <w:t xml:space="preserve">Na „hedonističkoj skali za trčanje“ svaka dostignuta stepenica izgleda kao dno s kojeg se pokušavamo </w:t>
            </w:r>
            <w:r w:rsidR="00BB31E0" w:rsidRPr="004D6AF4">
              <w:rPr>
                <w:rFonts w:asciiTheme="minorHAnsi" w:eastAsiaTheme="minorHAnsi" w:hAnsiTheme="minorHAnsi" w:cstheme="minorBidi"/>
                <w:sz w:val="24"/>
                <w:szCs w:val="24"/>
                <w:lang w:eastAsia="en-US"/>
              </w:rPr>
              <w:t>pope</w:t>
            </w:r>
            <w:r w:rsidR="00BB31E0">
              <w:rPr>
                <w:rFonts w:asciiTheme="minorHAnsi" w:eastAsiaTheme="minorHAnsi" w:hAnsiTheme="minorHAnsi" w:cstheme="minorBidi"/>
                <w:sz w:val="24"/>
                <w:szCs w:val="24"/>
                <w:lang w:eastAsia="en-US"/>
              </w:rPr>
              <w:t>t</w:t>
            </w:r>
            <w:r w:rsidR="00BB31E0" w:rsidRPr="004D6AF4">
              <w:rPr>
                <w:rFonts w:asciiTheme="minorHAnsi" w:eastAsiaTheme="minorHAnsi" w:hAnsiTheme="minorHAnsi" w:cstheme="minorBidi"/>
                <w:sz w:val="24"/>
                <w:szCs w:val="24"/>
                <w:lang w:eastAsia="en-US"/>
              </w:rPr>
              <w:t>i</w:t>
            </w:r>
            <w:r w:rsidRPr="004D6AF4">
              <w:rPr>
                <w:rFonts w:asciiTheme="minorHAnsi" w:eastAsiaTheme="minorHAnsi" w:hAnsiTheme="minorHAnsi" w:cstheme="minorBidi"/>
                <w:sz w:val="24"/>
                <w:szCs w:val="24"/>
                <w:lang w:eastAsia="en-US"/>
              </w:rPr>
              <w:t xml:space="preserve"> više na novu stepenicu. S porastom materijalnog bogatstva naša sreća najprije raste</w:t>
            </w:r>
            <w:r w:rsidR="002E288C">
              <w:rPr>
                <w:rFonts w:asciiTheme="minorHAnsi" w:eastAsiaTheme="minorHAnsi" w:hAnsiTheme="minorHAnsi" w:cstheme="minorBidi"/>
                <w:sz w:val="24"/>
                <w:szCs w:val="24"/>
                <w:lang w:eastAsia="en-US"/>
              </w:rPr>
              <w:t>. a zatim se na nju navikavamo,</w:t>
            </w:r>
            <w:r w:rsidRPr="004D6AF4">
              <w:rPr>
                <w:rFonts w:asciiTheme="minorHAnsi" w:eastAsiaTheme="minorHAnsi" w:hAnsiTheme="minorHAnsi" w:cstheme="minorBidi"/>
                <w:sz w:val="24"/>
                <w:szCs w:val="24"/>
                <w:lang w:eastAsia="en-US"/>
              </w:rPr>
              <w:t xml:space="preserve"> nakon čega svaka dodatna jedinica bogatstva i rast životnog standarda imaju sve manji učinak na promjenu stanja ekonomskog zadovoljstva i sreće. U skladu sa djelovanjem zakona padajuće granične korisnosti</w:t>
            </w:r>
            <w:r w:rsidR="004D6AF4" w:rsidRPr="004D6AF4">
              <w:rPr>
                <w:rFonts w:asciiTheme="minorHAnsi" w:eastAsiaTheme="minorHAnsi" w:hAnsiTheme="minorHAnsi" w:cstheme="minorBidi"/>
                <w:sz w:val="24"/>
                <w:szCs w:val="24"/>
                <w:lang w:eastAsia="en-US"/>
              </w:rPr>
              <w:t>,</w:t>
            </w:r>
            <w:r w:rsidRPr="004D6AF4">
              <w:rPr>
                <w:rFonts w:asciiTheme="minorHAnsi" w:eastAsiaTheme="minorHAnsi" w:hAnsiTheme="minorHAnsi" w:cstheme="minorBidi"/>
                <w:sz w:val="24"/>
                <w:szCs w:val="24"/>
                <w:lang w:eastAsia="en-US"/>
              </w:rPr>
              <w:t xml:space="preserve"> </w:t>
            </w:r>
            <w:r w:rsidRPr="002E288C">
              <w:rPr>
                <w:rFonts w:asciiTheme="minorHAnsi" w:eastAsiaTheme="minorHAnsi" w:hAnsiTheme="minorHAnsi" w:cstheme="minorBidi"/>
                <w:color w:val="C00000"/>
                <w:sz w:val="24"/>
                <w:szCs w:val="24"/>
                <w:lang w:eastAsia="en-US"/>
              </w:rPr>
              <w:t>dodatna ili graničn</w:t>
            </w:r>
            <w:r w:rsidR="00F558A3" w:rsidRPr="002E288C">
              <w:rPr>
                <w:rFonts w:asciiTheme="minorHAnsi" w:eastAsiaTheme="minorHAnsi" w:hAnsiTheme="minorHAnsi" w:cstheme="minorBidi"/>
                <w:color w:val="C00000"/>
                <w:sz w:val="24"/>
                <w:szCs w:val="24"/>
                <w:lang w:eastAsia="en-US"/>
              </w:rPr>
              <w:t>a</w:t>
            </w:r>
            <w:r w:rsidRPr="002E288C">
              <w:rPr>
                <w:rFonts w:asciiTheme="minorHAnsi" w:eastAsiaTheme="minorHAnsi" w:hAnsiTheme="minorHAnsi" w:cstheme="minorBidi"/>
                <w:color w:val="C00000"/>
                <w:sz w:val="24"/>
                <w:szCs w:val="24"/>
                <w:lang w:eastAsia="en-US"/>
              </w:rPr>
              <w:t xml:space="preserve"> korisnost smanjuje se kada osoba konzumira sve više i više bogatstva</w:t>
            </w:r>
            <w:r w:rsidRPr="004D6AF4">
              <w:rPr>
                <w:rFonts w:asciiTheme="minorHAnsi" w:eastAsiaTheme="minorHAnsi" w:hAnsiTheme="minorHAnsi" w:cstheme="minorBidi"/>
                <w:sz w:val="24"/>
                <w:szCs w:val="24"/>
                <w:lang w:eastAsia="en-US"/>
              </w:rPr>
              <w:t xml:space="preserve">. </w:t>
            </w:r>
          </w:p>
        </w:tc>
      </w:tr>
    </w:tbl>
    <w:p w:rsidR="00225CCC" w:rsidRPr="00225CCC" w:rsidRDefault="00225CCC" w:rsidP="00225CCC">
      <w:pPr>
        <w:autoSpaceDE w:val="0"/>
        <w:autoSpaceDN w:val="0"/>
        <w:adjustRightInd w:val="0"/>
        <w:jc w:val="both"/>
        <w:rPr>
          <w:b/>
          <w:sz w:val="24"/>
          <w:szCs w:val="24"/>
        </w:rPr>
      </w:pPr>
      <w:r w:rsidRPr="00225CCC">
        <w:rPr>
          <w:b/>
          <w:sz w:val="24"/>
          <w:szCs w:val="24"/>
        </w:rPr>
        <w:lastRenderedPageBreak/>
        <w:t>1.7. Utjecaj čimbenika interne okoline na ekonomsku i financijsku poziciju pojedinca</w:t>
      </w:r>
    </w:p>
    <w:p w:rsidR="00225CCC" w:rsidRPr="00225CCC" w:rsidRDefault="00225CCC" w:rsidP="00225CCC">
      <w:pPr>
        <w:autoSpaceDE w:val="0"/>
        <w:autoSpaceDN w:val="0"/>
        <w:adjustRightInd w:val="0"/>
        <w:jc w:val="both"/>
        <w:rPr>
          <w:sz w:val="24"/>
          <w:szCs w:val="24"/>
        </w:rPr>
      </w:pPr>
      <w:r w:rsidRPr="00225CCC">
        <w:rPr>
          <w:sz w:val="24"/>
          <w:szCs w:val="24"/>
        </w:rPr>
        <w:t xml:space="preserve">Za razliku od makroekonomskog okruženja i drugih faktora eksterne okoline na koje pojedinca ne može djelovati, interna okolina je pod osobnim utjecajem. </w:t>
      </w:r>
      <w:r w:rsidRPr="00EE213A">
        <w:rPr>
          <w:color w:val="C00000"/>
          <w:sz w:val="24"/>
          <w:szCs w:val="24"/>
        </w:rPr>
        <w:t xml:space="preserve">Snaga kao čimbenik interne okoline </w:t>
      </w:r>
      <w:r w:rsidRPr="00225CCC">
        <w:rPr>
          <w:sz w:val="24"/>
          <w:szCs w:val="24"/>
        </w:rPr>
        <w:t xml:space="preserve">uključuje osobne kompetencije i konkurentske prednosti u odnosu na ostale sudionike na tržištu rada. Osim što utječe na visinu dohotka koji osoba može ostvarivati iz redovnog radnog odnosa, vezana je uz korištenje prilika za </w:t>
      </w:r>
      <w:r w:rsidRPr="00D6115B">
        <w:rPr>
          <w:color w:val="C00000"/>
          <w:sz w:val="24"/>
          <w:szCs w:val="24"/>
        </w:rPr>
        <w:t xml:space="preserve">dodatne izvore zarade </w:t>
      </w:r>
      <w:r w:rsidRPr="00225CCC">
        <w:rPr>
          <w:sz w:val="24"/>
          <w:szCs w:val="24"/>
        </w:rPr>
        <w:t xml:space="preserve">(honorarni rad) </w:t>
      </w:r>
      <w:r w:rsidRPr="00D6115B">
        <w:rPr>
          <w:color w:val="C00000"/>
          <w:sz w:val="24"/>
          <w:szCs w:val="24"/>
        </w:rPr>
        <w:t>ili započinjanje samostalne poduzetničke aktivnosti</w:t>
      </w:r>
      <w:r w:rsidRPr="00225CCC">
        <w:rPr>
          <w:sz w:val="24"/>
          <w:szCs w:val="24"/>
        </w:rPr>
        <w:t>. Pored znanja, vještina i stručnosti ona uključuje sposobnost brzog prilagođavanja promijenjenim okolnostima, osobnu spremnost za kontinuirano ulaganje u samog sebe (dodatno usavršavanje, učenje stranih jezika), sposobnost samodiscipline, kao i raspoloživost financijskih sredstava za ulaganje na tržištu kapitala ili pokretanje vlastitog posla.</w:t>
      </w:r>
    </w:p>
    <w:p w:rsidR="00225CCC" w:rsidRPr="00225CCC" w:rsidRDefault="00225CCC" w:rsidP="00225CCC">
      <w:pPr>
        <w:autoSpaceDE w:val="0"/>
        <w:autoSpaceDN w:val="0"/>
        <w:adjustRightInd w:val="0"/>
        <w:jc w:val="both"/>
        <w:rPr>
          <w:sz w:val="24"/>
          <w:szCs w:val="24"/>
        </w:rPr>
      </w:pPr>
      <w:r w:rsidRPr="00EE213A">
        <w:rPr>
          <w:color w:val="C00000"/>
          <w:sz w:val="24"/>
          <w:szCs w:val="24"/>
        </w:rPr>
        <w:t>Slabosti</w:t>
      </w:r>
      <w:r w:rsidRPr="00225CCC">
        <w:rPr>
          <w:sz w:val="24"/>
          <w:szCs w:val="24"/>
        </w:rPr>
        <w:t xml:space="preserve"> predstavljaju negativnu stranu unutarnje okoline, a podrazumijevaju čimbenike koji ometaju ostvarivanje utvrđenih ciljeva, uključujući nesposobnosti i ograničenja u korištenju vlastitih resursa, vještina i mogućnosti. Slabosti se javljaju uslijed nedostatka odgovarajuće vizije (predodžbe mogućeg budućeg financijskog stanja),  neadekvatne stručne spreme za obavljanje više plaćenih poslova i preuzimanje rukovodećih pozicija itd.. Javljaju se npr. uslijed nedovoljnog znanja i iskustva za ulaganje na tržištu dionica, nesposobnosti prilagođavanja ili iracionalnog otpora prema promjenama i novim proizvodima, nedostatka financijskih sredstava, pretjerane averzije prema riziku i drugih razloga.</w:t>
      </w:r>
    </w:p>
    <w:tbl>
      <w:tblPr>
        <w:tblStyle w:val="Reetkatablice"/>
        <w:tblW w:w="0" w:type="auto"/>
        <w:tblInd w:w="108" w:type="dxa"/>
        <w:tblLook w:val="01E0" w:firstRow="1" w:lastRow="1" w:firstColumn="1" w:lastColumn="1" w:noHBand="0" w:noVBand="0"/>
      </w:tblPr>
      <w:tblGrid>
        <w:gridCol w:w="9000"/>
      </w:tblGrid>
      <w:tr w:rsidR="00225CCC" w:rsidRPr="00225CCC" w:rsidTr="00225CCC">
        <w:tc>
          <w:tcPr>
            <w:tcW w:w="9000" w:type="dxa"/>
            <w:shd w:val="clear" w:color="auto" w:fill="F2F2F2" w:themeFill="background1" w:themeFillShade="F2"/>
          </w:tcPr>
          <w:p w:rsidR="00225CCC" w:rsidRPr="00D1637C" w:rsidRDefault="00225CCC" w:rsidP="00225CCC">
            <w:pPr>
              <w:autoSpaceDE w:val="0"/>
              <w:autoSpaceDN w:val="0"/>
              <w:adjustRightInd w:val="0"/>
              <w:spacing w:before="120"/>
              <w:jc w:val="both"/>
              <w:rPr>
                <w:rFonts w:asciiTheme="minorHAnsi" w:eastAsiaTheme="minorHAnsi" w:hAnsiTheme="minorHAnsi" w:cstheme="minorBidi"/>
                <w:b/>
                <w:sz w:val="24"/>
                <w:szCs w:val="24"/>
                <w:lang w:eastAsia="en-US"/>
              </w:rPr>
            </w:pPr>
            <w:r w:rsidRPr="00D1637C">
              <w:rPr>
                <w:rFonts w:asciiTheme="minorHAnsi" w:eastAsiaTheme="minorHAnsi" w:hAnsiTheme="minorHAnsi" w:cstheme="minorBidi"/>
                <w:b/>
                <w:sz w:val="24"/>
                <w:szCs w:val="24"/>
                <w:lang w:eastAsia="en-US"/>
              </w:rPr>
              <w:t>Osobni čimbenici uspješnosti</w:t>
            </w:r>
          </w:p>
          <w:p w:rsidR="00225CCC" w:rsidRPr="00225CCC" w:rsidRDefault="00225CCC" w:rsidP="006E6D1F">
            <w:pPr>
              <w:numPr>
                <w:ilvl w:val="0"/>
                <w:numId w:val="10"/>
              </w:numPr>
              <w:autoSpaceDE w:val="0"/>
              <w:autoSpaceDN w:val="0"/>
              <w:adjustRightInd w:val="0"/>
              <w:spacing w:before="120"/>
              <w:ind w:left="714" w:hanging="357"/>
              <w:jc w:val="both"/>
              <w:rPr>
                <w:rFonts w:asciiTheme="minorHAnsi" w:eastAsiaTheme="minorHAnsi" w:hAnsiTheme="minorHAnsi" w:cstheme="minorBidi"/>
                <w:sz w:val="24"/>
                <w:szCs w:val="24"/>
                <w:lang w:eastAsia="en-US"/>
              </w:rPr>
            </w:pPr>
            <w:r w:rsidRPr="00225CCC">
              <w:rPr>
                <w:rFonts w:asciiTheme="minorHAnsi" w:eastAsiaTheme="minorHAnsi" w:hAnsiTheme="minorHAnsi" w:cstheme="minorBidi"/>
                <w:sz w:val="24"/>
                <w:szCs w:val="24"/>
                <w:lang w:eastAsia="en-US"/>
              </w:rPr>
              <w:t>Postoje pojedinci koji imaju izvrsne ideje</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ali ih nikada ne realiziraju</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jer osim promišljanja o ideji</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nikada ne ulaze u fazu </w:t>
            </w:r>
            <w:r w:rsidRPr="00EE213A">
              <w:rPr>
                <w:rFonts w:asciiTheme="minorHAnsi" w:eastAsiaTheme="minorHAnsi" w:hAnsiTheme="minorHAnsi" w:cstheme="minorBidi"/>
                <w:color w:val="C00000"/>
                <w:sz w:val="24"/>
                <w:szCs w:val="24"/>
                <w:lang w:eastAsia="en-US"/>
              </w:rPr>
              <w:t>konkretizacije ciljeva i definiranja strategije za njihovo ostvarivanje.</w:t>
            </w:r>
            <w:r w:rsidRPr="00225CCC">
              <w:rPr>
                <w:rFonts w:asciiTheme="minorHAnsi" w:eastAsiaTheme="minorHAnsi" w:hAnsiTheme="minorHAnsi" w:cstheme="minorBidi"/>
                <w:sz w:val="24"/>
                <w:szCs w:val="24"/>
                <w:lang w:eastAsia="en-US"/>
              </w:rPr>
              <w:t xml:space="preserve"> Za realizaciju ideja potrebni su hrabrost</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odlučnost i upornost</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ali i osobni entuzijazam i motiviranost za obavljanje aktivnosti koje će dovesti do postavljenog cilja. Postavljanje ciljeva je izazov</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a njihova realizacija avantura u kojoj treba uživati kako bi dostigli najveću moguću razinu subjektivne korisnosti postignutog cilja.   </w:t>
            </w:r>
          </w:p>
          <w:p w:rsidR="00225CCC" w:rsidRPr="00225CCC" w:rsidRDefault="00225CCC" w:rsidP="00E93220">
            <w:pPr>
              <w:numPr>
                <w:ilvl w:val="0"/>
                <w:numId w:val="10"/>
              </w:numPr>
              <w:autoSpaceDE w:val="0"/>
              <w:autoSpaceDN w:val="0"/>
              <w:adjustRightInd w:val="0"/>
              <w:jc w:val="both"/>
              <w:rPr>
                <w:rFonts w:asciiTheme="minorHAnsi" w:eastAsiaTheme="minorHAnsi" w:hAnsiTheme="minorHAnsi" w:cstheme="minorBidi"/>
                <w:sz w:val="24"/>
                <w:szCs w:val="24"/>
                <w:lang w:eastAsia="en-US"/>
              </w:rPr>
            </w:pPr>
            <w:r w:rsidRPr="00EE213A">
              <w:rPr>
                <w:rFonts w:asciiTheme="minorHAnsi" w:eastAsiaTheme="minorHAnsi" w:hAnsiTheme="minorHAnsi" w:cstheme="minorBidi"/>
                <w:color w:val="C00000"/>
                <w:sz w:val="24"/>
                <w:szCs w:val="24"/>
                <w:lang w:eastAsia="en-US"/>
              </w:rPr>
              <w:t xml:space="preserve">Otvorenost prema promjenama </w:t>
            </w:r>
            <w:r w:rsidRPr="00225CCC">
              <w:rPr>
                <w:rFonts w:asciiTheme="minorHAnsi" w:eastAsiaTheme="minorHAnsi" w:hAnsiTheme="minorHAnsi" w:cstheme="minorBidi"/>
                <w:sz w:val="24"/>
                <w:szCs w:val="24"/>
                <w:lang w:eastAsia="en-US"/>
              </w:rPr>
              <w:t>dokaz je intelektualnog napretka pojedinca. Promjene su prijeko potrebne kako ne bi postali žrtve inercije i nedovoljno iskoristili vlastite potencijale. Promjene proširuju vidike i nadograđuju stečeno znanje novim spoznajama i iskustvima. Dodatno</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pomažu razvoj kreativnosti za snalaženje u novim situacijama.</w:t>
            </w:r>
          </w:p>
          <w:p w:rsidR="00225CCC" w:rsidRPr="00225CCC" w:rsidRDefault="00225CCC" w:rsidP="00E93220">
            <w:pPr>
              <w:numPr>
                <w:ilvl w:val="0"/>
                <w:numId w:val="10"/>
              </w:numPr>
              <w:autoSpaceDE w:val="0"/>
              <w:autoSpaceDN w:val="0"/>
              <w:adjustRightInd w:val="0"/>
              <w:jc w:val="both"/>
              <w:rPr>
                <w:rFonts w:asciiTheme="minorHAnsi" w:eastAsiaTheme="minorHAnsi" w:hAnsiTheme="minorHAnsi" w:cstheme="minorBidi"/>
                <w:sz w:val="24"/>
                <w:szCs w:val="24"/>
                <w:lang w:eastAsia="en-US"/>
              </w:rPr>
            </w:pPr>
            <w:r w:rsidRPr="00EE213A">
              <w:rPr>
                <w:rFonts w:asciiTheme="minorHAnsi" w:eastAsiaTheme="minorHAnsi" w:hAnsiTheme="minorHAnsi" w:cstheme="minorBidi"/>
                <w:color w:val="C00000"/>
                <w:sz w:val="24"/>
                <w:szCs w:val="24"/>
                <w:lang w:eastAsia="en-US"/>
              </w:rPr>
              <w:t xml:space="preserve">Pozitivne emocije, optimističan pristup i vjerovanje u „samog sebe“ </w:t>
            </w:r>
            <w:r w:rsidRPr="00225CCC">
              <w:rPr>
                <w:rFonts w:asciiTheme="minorHAnsi" w:eastAsiaTheme="minorHAnsi" w:hAnsiTheme="minorHAnsi" w:cstheme="minorBidi"/>
                <w:sz w:val="24"/>
                <w:szCs w:val="24"/>
                <w:lang w:eastAsia="en-US"/>
              </w:rPr>
              <w:t xml:space="preserve">predstavljaju unutarnje pokretače osobnog napretka. One su poput energije koja pokreće i daje </w:t>
            </w:r>
            <w:r>
              <w:rPr>
                <w:rFonts w:asciiTheme="minorHAnsi" w:eastAsiaTheme="minorHAnsi" w:hAnsiTheme="minorHAnsi" w:cstheme="minorBidi"/>
                <w:sz w:val="24"/>
                <w:szCs w:val="24"/>
                <w:lang w:eastAsia="en-US"/>
              </w:rPr>
              <w:t xml:space="preserve">pojedincu </w:t>
            </w:r>
            <w:r w:rsidRPr="00225CCC">
              <w:rPr>
                <w:rFonts w:asciiTheme="minorHAnsi" w:eastAsiaTheme="minorHAnsi" w:hAnsiTheme="minorHAnsi" w:cstheme="minorBidi"/>
                <w:sz w:val="24"/>
                <w:szCs w:val="24"/>
                <w:lang w:eastAsia="en-US"/>
              </w:rPr>
              <w:t>dodatnu snagu za prevladavanje različitih prepreka u osobnom i profesionalnom životu. Pozitivne emocije imaju pozitivne učinke na mentalno i fizičko zdravlje te osjećaj osobnog zadovoljstva i sreće. Pozitivna klima povećava produktivnost na poslu</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doprinosi boljim odnosima u obitelji te promovira konstruktivnu suradnju i prijateljske odnose s ljudima. S druge strane. pozitivne emocije mogu biti i zamka zbog koje </w:t>
            </w:r>
            <w:r>
              <w:rPr>
                <w:rFonts w:asciiTheme="minorHAnsi" w:eastAsiaTheme="minorHAnsi" w:hAnsiTheme="minorHAnsi" w:cstheme="minorBidi"/>
                <w:sz w:val="24"/>
                <w:szCs w:val="24"/>
                <w:lang w:eastAsia="en-US"/>
              </w:rPr>
              <w:t xml:space="preserve">osoba </w:t>
            </w:r>
            <w:r w:rsidRPr="00225CCC">
              <w:rPr>
                <w:rFonts w:asciiTheme="minorHAnsi" w:eastAsiaTheme="minorHAnsi" w:hAnsiTheme="minorHAnsi" w:cstheme="minorBidi"/>
                <w:sz w:val="24"/>
                <w:szCs w:val="24"/>
                <w:lang w:eastAsia="en-US"/>
              </w:rPr>
              <w:t>može postati previše samouvjeren</w:t>
            </w:r>
            <w:r>
              <w:rPr>
                <w:rFonts w:asciiTheme="minorHAnsi" w:eastAsiaTheme="minorHAnsi" w:hAnsiTheme="minorHAnsi" w:cstheme="minorBidi"/>
                <w:sz w:val="24"/>
                <w:szCs w:val="24"/>
                <w:lang w:eastAsia="en-US"/>
              </w:rPr>
              <w:t>a</w:t>
            </w:r>
            <w:r w:rsidRPr="00225CCC">
              <w:rPr>
                <w:rFonts w:asciiTheme="minorHAnsi" w:eastAsiaTheme="minorHAnsi" w:hAnsiTheme="minorHAnsi" w:cstheme="minorBidi"/>
                <w:sz w:val="24"/>
                <w:szCs w:val="24"/>
                <w:lang w:eastAsia="en-US"/>
              </w:rPr>
              <w:t xml:space="preserve"> i samodopadn</w:t>
            </w:r>
            <w:r>
              <w:rPr>
                <w:rFonts w:asciiTheme="minorHAnsi" w:eastAsiaTheme="minorHAnsi" w:hAnsiTheme="minorHAnsi" w:cstheme="minorBidi"/>
                <w:sz w:val="24"/>
                <w:szCs w:val="24"/>
                <w:lang w:eastAsia="en-US"/>
              </w:rPr>
              <w:t>a</w:t>
            </w:r>
            <w:r w:rsidRPr="00225CCC">
              <w:rPr>
                <w:rFonts w:asciiTheme="minorHAnsi" w:eastAsiaTheme="minorHAnsi" w:hAnsiTheme="minorHAnsi" w:cstheme="minorBidi"/>
                <w:sz w:val="24"/>
                <w:szCs w:val="24"/>
                <w:lang w:eastAsia="en-US"/>
              </w:rPr>
              <w:t xml:space="preserve">. Ambicioznost pridonosi poslovnom uspjehu te u kombinaciji s </w:t>
            </w:r>
            <w:r w:rsidRPr="00225CCC">
              <w:rPr>
                <w:rFonts w:asciiTheme="minorHAnsi" w:eastAsiaTheme="minorHAnsi" w:hAnsiTheme="minorHAnsi" w:cstheme="minorBidi"/>
                <w:sz w:val="24"/>
                <w:szCs w:val="24"/>
                <w:lang w:eastAsia="en-US"/>
              </w:rPr>
              <w:lastRenderedPageBreak/>
              <w:t xml:space="preserve">učincima na porast prihoda djeluje i na povećanje bogatstva pojedinca. Međutim. s protekom vremena. zbog padajuće granične korisnosti ambicioznost i bogaćenje imaju sve manje učinke na osjećaj subjektivnog zadovoljstva i sreće. </w:t>
            </w:r>
          </w:p>
          <w:p w:rsidR="00225CCC" w:rsidRPr="00225CCC" w:rsidRDefault="00225CCC" w:rsidP="00E93220">
            <w:pPr>
              <w:numPr>
                <w:ilvl w:val="0"/>
                <w:numId w:val="10"/>
              </w:numPr>
              <w:autoSpaceDE w:val="0"/>
              <w:autoSpaceDN w:val="0"/>
              <w:adjustRightInd w:val="0"/>
              <w:jc w:val="both"/>
              <w:rPr>
                <w:rFonts w:asciiTheme="minorHAnsi" w:eastAsiaTheme="minorHAnsi" w:hAnsiTheme="minorHAnsi" w:cstheme="minorBidi"/>
                <w:sz w:val="24"/>
                <w:szCs w:val="24"/>
                <w:lang w:eastAsia="en-US"/>
              </w:rPr>
            </w:pPr>
            <w:r w:rsidRPr="00EE213A">
              <w:rPr>
                <w:rFonts w:asciiTheme="minorHAnsi" w:eastAsiaTheme="minorHAnsi" w:hAnsiTheme="minorHAnsi" w:cstheme="minorBidi"/>
                <w:color w:val="C00000"/>
                <w:sz w:val="24"/>
                <w:szCs w:val="24"/>
                <w:lang w:eastAsia="en-US"/>
              </w:rPr>
              <w:t>Negativne emocije koče osobnu kreativnost, sposobnost učenja, pamćenja i racionalnog prosuđivanja</w:t>
            </w:r>
            <w:r w:rsidR="00EE213A">
              <w:rPr>
                <w:rFonts w:asciiTheme="minorHAnsi" w:eastAsiaTheme="minorHAnsi" w:hAnsiTheme="minorHAnsi" w:cstheme="minorBidi"/>
                <w:sz w:val="24"/>
                <w:szCs w:val="24"/>
                <w:lang w:eastAsia="en-US"/>
              </w:rPr>
              <w:t>, v</w:t>
            </w:r>
            <w:r>
              <w:rPr>
                <w:rFonts w:asciiTheme="minorHAnsi" w:eastAsiaTheme="minorHAnsi" w:hAnsiTheme="minorHAnsi" w:cstheme="minorBidi"/>
                <w:sz w:val="24"/>
                <w:szCs w:val="24"/>
                <w:lang w:eastAsia="en-US"/>
              </w:rPr>
              <w:t>raćajući ljude</w:t>
            </w:r>
            <w:r w:rsidRPr="00225CCC">
              <w:rPr>
                <w:rFonts w:asciiTheme="minorHAnsi" w:eastAsiaTheme="minorHAnsi" w:hAnsiTheme="minorHAnsi" w:cstheme="minorBidi"/>
                <w:sz w:val="24"/>
                <w:szCs w:val="24"/>
                <w:lang w:eastAsia="en-US"/>
              </w:rPr>
              <w:t xml:space="preserve"> u prošlost i na „stare probleme“. One </w:t>
            </w:r>
            <w:r>
              <w:rPr>
                <w:rFonts w:asciiTheme="minorHAnsi" w:eastAsiaTheme="minorHAnsi" w:hAnsiTheme="minorHAnsi" w:cstheme="minorBidi"/>
                <w:sz w:val="24"/>
                <w:szCs w:val="24"/>
                <w:lang w:eastAsia="en-US"/>
              </w:rPr>
              <w:t xml:space="preserve">ih </w:t>
            </w:r>
            <w:r w:rsidRPr="00225CCC">
              <w:rPr>
                <w:rFonts w:asciiTheme="minorHAnsi" w:eastAsiaTheme="minorHAnsi" w:hAnsiTheme="minorHAnsi" w:cstheme="minorBidi"/>
                <w:sz w:val="24"/>
                <w:szCs w:val="24"/>
                <w:lang w:eastAsia="en-US"/>
              </w:rPr>
              <w:t>sputavaju u pronalaženju novih rješenja i ostvarivanju trenutnih i budućih ciljeva.</w:t>
            </w:r>
          </w:p>
          <w:p w:rsidR="00225CCC" w:rsidRPr="00225CCC" w:rsidRDefault="00225CCC" w:rsidP="00E93220">
            <w:pPr>
              <w:numPr>
                <w:ilvl w:val="0"/>
                <w:numId w:val="10"/>
              </w:numPr>
              <w:autoSpaceDE w:val="0"/>
              <w:autoSpaceDN w:val="0"/>
              <w:adjustRightInd w:val="0"/>
              <w:jc w:val="both"/>
              <w:rPr>
                <w:rFonts w:asciiTheme="minorHAnsi" w:eastAsiaTheme="minorHAnsi" w:hAnsiTheme="minorHAnsi" w:cstheme="minorBidi"/>
                <w:sz w:val="24"/>
                <w:szCs w:val="24"/>
                <w:lang w:eastAsia="en-US"/>
              </w:rPr>
            </w:pPr>
            <w:r w:rsidRPr="00225CCC">
              <w:rPr>
                <w:rFonts w:asciiTheme="minorHAnsi" w:eastAsiaTheme="minorHAnsi" w:hAnsiTheme="minorHAnsi" w:cstheme="minorBidi"/>
                <w:sz w:val="24"/>
                <w:szCs w:val="24"/>
                <w:lang w:eastAsia="en-US"/>
              </w:rPr>
              <w:t>Gotovo sve aktivnosti zahtijevaju određeno znanje</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vještine i sposobnosti. </w:t>
            </w:r>
            <w:r w:rsidRPr="00EE213A">
              <w:rPr>
                <w:rFonts w:asciiTheme="minorHAnsi" w:eastAsiaTheme="minorHAnsi" w:hAnsiTheme="minorHAnsi" w:cstheme="minorBidi"/>
                <w:color w:val="C00000"/>
                <w:sz w:val="24"/>
                <w:szCs w:val="24"/>
                <w:lang w:eastAsia="en-US"/>
              </w:rPr>
              <w:t>Racionalno biće ponaša se u skladu s raspoloživim informacijama</w:t>
            </w:r>
            <w:r>
              <w:rPr>
                <w:rFonts w:asciiTheme="minorHAnsi" w:eastAsiaTheme="minorHAnsi" w:hAnsiTheme="minorHAnsi" w:cstheme="minorBidi"/>
                <w:sz w:val="24"/>
                <w:szCs w:val="24"/>
                <w:lang w:eastAsia="en-US"/>
              </w:rPr>
              <w:t>,</w:t>
            </w:r>
            <w:r w:rsidRPr="00225CCC">
              <w:rPr>
                <w:rFonts w:asciiTheme="minorHAnsi" w:eastAsiaTheme="minorHAnsi" w:hAnsiTheme="minorHAnsi" w:cstheme="minorBidi"/>
                <w:sz w:val="24"/>
                <w:szCs w:val="24"/>
                <w:lang w:eastAsia="en-US"/>
              </w:rPr>
              <w:t xml:space="preserve"> a u svom djelovanju nastoji maksimalizirati subjektivnu korisnost.</w:t>
            </w:r>
          </w:p>
          <w:p w:rsidR="00225CCC" w:rsidRPr="00225CCC" w:rsidRDefault="00225CCC" w:rsidP="00FF4725">
            <w:pPr>
              <w:autoSpaceDE w:val="0"/>
              <w:autoSpaceDN w:val="0"/>
              <w:adjustRightInd w:val="0"/>
              <w:jc w:val="both"/>
              <w:rPr>
                <w:rFonts w:asciiTheme="minorHAnsi" w:eastAsiaTheme="minorHAnsi" w:hAnsiTheme="minorHAnsi" w:cstheme="minorBidi"/>
                <w:sz w:val="24"/>
                <w:szCs w:val="24"/>
                <w:lang w:eastAsia="en-US"/>
              </w:rPr>
            </w:pPr>
          </w:p>
        </w:tc>
      </w:tr>
    </w:tbl>
    <w:p w:rsidR="00EE213A" w:rsidRPr="00EE213A" w:rsidRDefault="00EE213A" w:rsidP="00BB31E0">
      <w:pPr>
        <w:spacing w:before="240"/>
        <w:jc w:val="both"/>
        <w:rPr>
          <w:b/>
          <w:sz w:val="24"/>
          <w:szCs w:val="24"/>
        </w:rPr>
      </w:pPr>
      <w:r w:rsidRPr="00EE213A">
        <w:rPr>
          <w:b/>
          <w:sz w:val="24"/>
          <w:szCs w:val="24"/>
        </w:rPr>
        <w:lastRenderedPageBreak/>
        <w:t>1.8. Ulaganje u ljudski kapital i budući prihodi pojedinca</w:t>
      </w:r>
    </w:p>
    <w:p w:rsidR="002C239A" w:rsidRDefault="00EE213A" w:rsidP="00EE213A">
      <w:pPr>
        <w:autoSpaceDE w:val="0"/>
        <w:autoSpaceDN w:val="0"/>
        <w:adjustRightInd w:val="0"/>
        <w:jc w:val="both"/>
        <w:rPr>
          <w:sz w:val="24"/>
          <w:szCs w:val="24"/>
        </w:rPr>
      </w:pPr>
      <w:r w:rsidRPr="00EE213A">
        <w:rPr>
          <w:sz w:val="24"/>
          <w:szCs w:val="24"/>
        </w:rPr>
        <w:t>Korištenje pojma „ljudski kapital“ (human capital) uvriježilo se u ekonomskoj literaturi od 50-ih godina dvadesetog stoljeća do danas</w:t>
      </w:r>
      <w:r>
        <w:rPr>
          <w:sz w:val="24"/>
          <w:szCs w:val="24"/>
        </w:rPr>
        <w:t>,</w:t>
      </w:r>
      <w:r w:rsidRPr="00EE213A">
        <w:rPr>
          <w:sz w:val="24"/>
          <w:szCs w:val="24"/>
        </w:rPr>
        <w:t xml:space="preserve"> a izvorno se veže uz imena ekonomista Theodora W. Schultza i Garya Beckera</w:t>
      </w:r>
      <w:r>
        <w:rPr>
          <w:sz w:val="24"/>
          <w:szCs w:val="24"/>
        </w:rPr>
        <w:t>,</w:t>
      </w:r>
      <w:r w:rsidRPr="00EE213A">
        <w:rPr>
          <w:sz w:val="24"/>
          <w:szCs w:val="24"/>
        </w:rPr>
        <w:t xml:space="preserve"> autora brojnih djela iz područja ekonomije rada. Pojam </w:t>
      </w:r>
      <w:r w:rsidRPr="00EE213A">
        <w:rPr>
          <w:color w:val="C00000"/>
          <w:sz w:val="24"/>
          <w:szCs w:val="24"/>
        </w:rPr>
        <w:t>ljudski kapital</w:t>
      </w:r>
      <w:r w:rsidRPr="00EE213A">
        <w:rPr>
          <w:sz w:val="24"/>
          <w:szCs w:val="24"/>
        </w:rPr>
        <w:t xml:space="preserve"> označava skup znanja</w:t>
      </w:r>
      <w:r>
        <w:rPr>
          <w:sz w:val="24"/>
          <w:szCs w:val="24"/>
        </w:rPr>
        <w:t>,</w:t>
      </w:r>
      <w:r w:rsidRPr="00EE213A">
        <w:rPr>
          <w:sz w:val="24"/>
          <w:szCs w:val="24"/>
        </w:rPr>
        <w:t xml:space="preserve"> sposobnosti i vještina pojedinca</w:t>
      </w:r>
      <w:r>
        <w:rPr>
          <w:sz w:val="24"/>
          <w:szCs w:val="24"/>
        </w:rPr>
        <w:t>,</w:t>
      </w:r>
      <w:r w:rsidRPr="00EE213A">
        <w:rPr>
          <w:sz w:val="24"/>
          <w:szCs w:val="24"/>
        </w:rPr>
        <w:t xml:space="preserve"> koje se prodaju na tržištu rada</w:t>
      </w:r>
      <w:r w:rsidR="002C239A">
        <w:rPr>
          <w:sz w:val="24"/>
          <w:szCs w:val="24"/>
        </w:rPr>
        <w:t>. Praktično predstavlja osobni oblik imovine, dok se ulaganje u ljudski kapital (obrazovanje, zdravlje, vještine) tretira kao oblik investicije</w:t>
      </w:r>
      <w:r w:rsidRPr="00EE213A">
        <w:rPr>
          <w:sz w:val="24"/>
          <w:szCs w:val="24"/>
        </w:rPr>
        <w:t xml:space="preserve">. </w:t>
      </w:r>
    </w:p>
    <w:p w:rsidR="00EE213A" w:rsidRPr="00EE213A" w:rsidRDefault="00EE213A" w:rsidP="002C239A">
      <w:pPr>
        <w:autoSpaceDE w:val="0"/>
        <w:autoSpaceDN w:val="0"/>
        <w:adjustRightInd w:val="0"/>
        <w:spacing w:after="0"/>
        <w:jc w:val="both"/>
        <w:rPr>
          <w:sz w:val="24"/>
          <w:szCs w:val="24"/>
        </w:rPr>
      </w:pPr>
      <w:r w:rsidRPr="00EE213A">
        <w:rPr>
          <w:sz w:val="24"/>
          <w:szCs w:val="24"/>
        </w:rPr>
        <w:t>Tržišna vrijednost radne snage izražava se visinom plaća</w:t>
      </w:r>
      <w:r>
        <w:rPr>
          <w:sz w:val="24"/>
          <w:szCs w:val="24"/>
        </w:rPr>
        <w:t>,</w:t>
      </w:r>
      <w:r w:rsidRPr="00EE213A">
        <w:rPr>
          <w:sz w:val="24"/>
          <w:szCs w:val="24"/>
        </w:rPr>
        <w:t xml:space="preserve"> nadnica ili drugih oblika (bruto) dohotka od rada</w:t>
      </w:r>
      <w:r>
        <w:rPr>
          <w:sz w:val="24"/>
          <w:szCs w:val="24"/>
        </w:rPr>
        <w:t>,</w:t>
      </w:r>
      <w:r w:rsidRPr="00EE213A">
        <w:rPr>
          <w:sz w:val="24"/>
          <w:szCs w:val="24"/>
        </w:rPr>
        <w:t xml:space="preserve"> a određena je odnosom ponude i potražnje rada.</w:t>
      </w:r>
      <w:r w:rsidRPr="00EE213A">
        <w:rPr>
          <w:sz w:val="24"/>
          <w:szCs w:val="24"/>
          <w:vertAlign w:val="superscript"/>
        </w:rPr>
        <w:footnoteReference w:id="32"/>
      </w:r>
      <w:r w:rsidRPr="00EE213A">
        <w:rPr>
          <w:sz w:val="24"/>
          <w:szCs w:val="24"/>
        </w:rPr>
        <w:t xml:space="preserve"> Funkcija potražnje za radom determinirana je obilježjima poslovnih procesa</w:t>
      </w:r>
      <w:r>
        <w:rPr>
          <w:sz w:val="24"/>
          <w:szCs w:val="24"/>
        </w:rPr>
        <w:t>,</w:t>
      </w:r>
      <w:r w:rsidRPr="00EE213A">
        <w:rPr>
          <w:sz w:val="24"/>
          <w:szCs w:val="24"/>
        </w:rPr>
        <w:t xml:space="preserve"> dok je funkcija ponude rada određena obilježjima radne snage</w:t>
      </w:r>
      <w:r>
        <w:rPr>
          <w:sz w:val="24"/>
          <w:szCs w:val="24"/>
        </w:rPr>
        <w:t>,</w:t>
      </w:r>
      <w:r w:rsidRPr="00EE213A">
        <w:rPr>
          <w:sz w:val="24"/>
          <w:szCs w:val="24"/>
        </w:rPr>
        <w:t xml:space="preserve"> uključujući i različite </w:t>
      </w:r>
      <w:r w:rsidRPr="00EE213A">
        <w:rPr>
          <w:color w:val="C00000"/>
          <w:sz w:val="24"/>
          <w:szCs w:val="24"/>
        </w:rPr>
        <w:t>sposobnosti koje su ugrađene u pojedinca</w:t>
      </w:r>
      <w:r w:rsidRPr="00EE213A">
        <w:rPr>
          <w:sz w:val="24"/>
          <w:szCs w:val="24"/>
        </w:rPr>
        <w:t>. Navedeno uključuje:</w:t>
      </w:r>
    </w:p>
    <w:p w:rsidR="00EE213A" w:rsidRPr="00EE213A" w:rsidRDefault="00EE213A" w:rsidP="00E93220">
      <w:pPr>
        <w:numPr>
          <w:ilvl w:val="0"/>
          <w:numId w:val="11"/>
        </w:numPr>
        <w:autoSpaceDE w:val="0"/>
        <w:autoSpaceDN w:val="0"/>
        <w:adjustRightInd w:val="0"/>
        <w:spacing w:after="0" w:line="240" w:lineRule="auto"/>
        <w:jc w:val="both"/>
        <w:rPr>
          <w:sz w:val="24"/>
          <w:szCs w:val="24"/>
        </w:rPr>
      </w:pPr>
      <w:r w:rsidRPr="00EE213A">
        <w:rPr>
          <w:sz w:val="24"/>
          <w:szCs w:val="24"/>
        </w:rPr>
        <w:t>fizičke sposobnosti (snaga</w:t>
      </w:r>
      <w:r w:rsidR="00943D74">
        <w:rPr>
          <w:sz w:val="24"/>
          <w:szCs w:val="24"/>
        </w:rPr>
        <w:t>,</w:t>
      </w:r>
      <w:r w:rsidRPr="00EE213A">
        <w:rPr>
          <w:sz w:val="24"/>
          <w:szCs w:val="24"/>
        </w:rPr>
        <w:t xml:space="preserve"> izdržljivost</w:t>
      </w:r>
      <w:r w:rsidR="00943D74">
        <w:rPr>
          <w:sz w:val="24"/>
          <w:szCs w:val="24"/>
        </w:rPr>
        <w:t>,</w:t>
      </w:r>
      <w:r w:rsidRPr="00EE213A">
        <w:rPr>
          <w:sz w:val="24"/>
          <w:szCs w:val="24"/>
        </w:rPr>
        <w:t xml:space="preserve"> spretnost</w:t>
      </w:r>
      <w:r w:rsidR="00943D74">
        <w:rPr>
          <w:sz w:val="24"/>
          <w:szCs w:val="24"/>
        </w:rPr>
        <w:t>,</w:t>
      </w:r>
      <w:r w:rsidRPr="00EE213A">
        <w:rPr>
          <w:sz w:val="24"/>
          <w:szCs w:val="24"/>
        </w:rPr>
        <w:t xml:space="preserve"> umješnost)</w:t>
      </w:r>
    </w:p>
    <w:p w:rsidR="00EE213A" w:rsidRPr="00EE213A" w:rsidRDefault="00EE213A" w:rsidP="00E93220">
      <w:pPr>
        <w:numPr>
          <w:ilvl w:val="0"/>
          <w:numId w:val="11"/>
        </w:numPr>
        <w:autoSpaceDE w:val="0"/>
        <w:autoSpaceDN w:val="0"/>
        <w:adjustRightInd w:val="0"/>
        <w:spacing w:after="0" w:line="240" w:lineRule="auto"/>
        <w:jc w:val="both"/>
        <w:rPr>
          <w:sz w:val="24"/>
          <w:szCs w:val="24"/>
        </w:rPr>
      </w:pPr>
      <w:r w:rsidRPr="00EE213A">
        <w:rPr>
          <w:sz w:val="24"/>
          <w:szCs w:val="24"/>
        </w:rPr>
        <w:t>intelektualne sposobnosti (opća i specijalizirana znanja</w:t>
      </w:r>
      <w:r w:rsidR="00943D74">
        <w:rPr>
          <w:sz w:val="24"/>
          <w:szCs w:val="24"/>
        </w:rPr>
        <w:t>,</w:t>
      </w:r>
      <w:r w:rsidRPr="00EE213A">
        <w:rPr>
          <w:sz w:val="24"/>
          <w:szCs w:val="24"/>
        </w:rPr>
        <w:t xml:space="preserve"> tehnička znanja i vještine</w:t>
      </w:r>
      <w:r w:rsidR="00943D74">
        <w:rPr>
          <w:sz w:val="24"/>
          <w:szCs w:val="24"/>
        </w:rPr>
        <w:t>,</w:t>
      </w:r>
      <w:r w:rsidRPr="00EE213A">
        <w:rPr>
          <w:sz w:val="24"/>
          <w:szCs w:val="24"/>
        </w:rPr>
        <w:t xml:space="preserve"> imaginacija</w:t>
      </w:r>
      <w:r w:rsidR="00943D74">
        <w:rPr>
          <w:sz w:val="24"/>
          <w:szCs w:val="24"/>
        </w:rPr>
        <w:t>,</w:t>
      </w:r>
      <w:r w:rsidRPr="00EE213A">
        <w:rPr>
          <w:sz w:val="24"/>
          <w:szCs w:val="24"/>
        </w:rPr>
        <w:t xml:space="preserve"> inteligencija</w:t>
      </w:r>
      <w:r w:rsidR="00943D74">
        <w:rPr>
          <w:sz w:val="24"/>
          <w:szCs w:val="24"/>
        </w:rPr>
        <w:t>,</w:t>
      </w:r>
      <w:r w:rsidRPr="00EE213A">
        <w:rPr>
          <w:sz w:val="24"/>
          <w:szCs w:val="24"/>
        </w:rPr>
        <w:t xml:space="preserve"> talent)</w:t>
      </w:r>
    </w:p>
    <w:p w:rsidR="00EE213A" w:rsidRPr="00EE213A" w:rsidRDefault="00EE213A" w:rsidP="00E93220">
      <w:pPr>
        <w:numPr>
          <w:ilvl w:val="0"/>
          <w:numId w:val="11"/>
        </w:numPr>
        <w:autoSpaceDE w:val="0"/>
        <w:autoSpaceDN w:val="0"/>
        <w:adjustRightInd w:val="0"/>
        <w:spacing w:after="0" w:line="240" w:lineRule="auto"/>
        <w:jc w:val="both"/>
        <w:rPr>
          <w:sz w:val="24"/>
          <w:szCs w:val="24"/>
        </w:rPr>
      </w:pPr>
      <w:r w:rsidRPr="00EE213A">
        <w:rPr>
          <w:sz w:val="24"/>
          <w:szCs w:val="24"/>
        </w:rPr>
        <w:t>moralne sposobnosti (odvažnost</w:t>
      </w:r>
      <w:r w:rsidR="00943D74">
        <w:rPr>
          <w:sz w:val="24"/>
          <w:szCs w:val="24"/>
        </w:rPr>
        <w:t>,</w:t>
      </w:r>
      <w:r w:rsidRPr="00EE213A">
        <w:rPr>
          <w:sz w:val="24"/>
          <w:szCs w:val="24"/>
        </w:rPr>
        <w:t xml:space="preserve"> ustrajnost</w:t>
      </w:r>
      <w:r w:rsidR="00943D74">
        <w:rPr>
          <w:sz w:val="24"/>
          <w:szCs w:val="24"/>
        </w:rPr>
        <w:t>,</w:t>
      </w:r>
      <w:r w:rsidRPr="00EE213A">
        <w:rPr>
          <w:sz w:val="24"/>
          <w:szCs w:val="24"/>
        </w:rPr>
        <w:t xml:space="preserve"> moralna i poslovna savjesnost)</w:t>
      </w:r>
    </w:p>
    <w:p w:rsidR="00EE213A" w:rsidRPr="00EE213A" w:rsidRDefault="00EE213A" w:rsidP="00E93220">
      <w:pPr>
        <w:numPr>
          <w:ilvl w:val="0"/>
          <w:numId w:val="11"/>
        </w:numPr>
        <w:autoSpaceDE w:val="0"/>
        <w:autoSpaceDN w:val="0"/>
        <w:adjustRightInd w:val="0"/>
        <w:spacing w:after="0" w:line="240" w:lineRule="auto"/>
        <w:jc w:val="both"/>
        <w:rPr>
          <w:sz w:val="24"/>
          <w:szCs w:val="24"/>
        </w:rPr>
      </w:pPr>
      <w:r w:rsidRPr="00EE213A">
        <w:rPr>
          <w:sz w:val="24"/>
          <w:szCs w:val="24"/>
        </w:rPr>
        <w:t>relacijske sposobnosti (sposobnost empatije</w:t>
      </w:r>
      <w:r w:rsidR="00943D74">
        <w:rPr>
          <w:sz w:val="24"/>
          <w:szCs w:val="24"/>
        </w:rPr>
        <w:t>,</w:t>
      </w:r>
      <w:r w:rsidRPr="00EE213A">
        <w:rPr>
          <w:sz w:val="24"/>
          <w:szCs w:val="24"/>
        </w:rPr>
        <w:t xml:space="preserve"> osjećaj za odnose i pregovaranja) itd.</w:t>
      </w:r>
    </w:p>
    <w:p w:rsidR="00EE213A" w:rsidRPr="00EE213A" w:rsidRDefault="00EE213A" w:rsidP="00EE213A">
      <w:pPr>
        <w:autoSpaceDE w:val="0"/>
        <w:autoSpaceDN w:val="0"/>
        <w:adjustRightInd w:val="0"/>
        <w:spacing w:before="240"/>
        <w:jc w:val="both"/>
        <w:rPr>
          <w:sz w:val="24"/>
          <w:szCs w:val="24"/>
        </w:rPr>
      </w:pPr>
      <w:r w:rsidRPr="00EE213A">
        <w:rPr>
          <w:sz w:val="24"/>
          <w:szCs w:val="24"/>
        </w:rPr>
        <w:t>Obilježja poslovnih procesa uvelike se razlikuju u predindustrijskoj</w:t>
      </w:r>
      <w:r>
        <w:rPr>
          <w:sz w:val="24"/>
          <w:szCs w:val="24"/>
        </w:rPr>
        <w:t>,</w:t>
      </w:r>
      <w:r w:rsidRPr="00EE213A">
        <w:rPr>
          <w:sz w:val="24"/>
          <w:szCs w:val="24"/>
        </w:rPr>
        <w:t xml:space="preserve"> industrijskoj i postindustrijskoj ekonomiji. Dok je u predindustrijskoj ekonomiji ključan faktor proizvodnje predstavljala zemlja</w:t>
      </w:r>
      <w:r>
        <w:rPr>
          <w:sz w:val="24"/>
          <w:szCs w:val="24"/>
        </w:rPr>
        <w:t>,</w:t>
      </w:r>
      <w:r w:rsidRPr="00EE213A">
        <w:rPr>
          <w:sz w:val="24"/>
          <w:szCs w:val="24"/>
        </w:rPr>
        <w:t xml:space="preserve"> a u industrijskoj ekonomiji financijski kapital</w:t>
      </w:r>
      <w:r>
        <w:rPr>
          <w:sz w:val="24"/>
          <w:szCs w:val="24"/>
        </w:rPr>
        <w:t>,</w:t>
      </w:r>
      <w:r w:rsidRPr="00EE213A">
        <w:rPr>
          <w:sz w:val="24"/>
          <w:szCs w:val="24"/>
        </w:rPr>
        <w:t xml:space="preserve"> u postindustrijskoj ekonomiji temeljni proizvodni čimbenik je </w:t>
      </w:r>
      <w:r w:rsidRPr="00EE213A">
        <w:rPr>
          <w:color w:val="C00000"/>
          <w:sz w:val="24"/>
          <w:szCs w:val="24"/>
        </w:rPr>
        <w:t>intelektualni kapital</w:t>
      </w:r>
      <w:r w:rsidRPr="00EE213A">
        <w:rPr>
          <w:sz w:val="24"/>
          <w:szCs w:val="24"/>
        </w:rPr>
        <w:t xml:space="preserve">. U Novoj ekonomiji 21. </w:t>
      </w:r>
      <w:r w:rsidR="004752EB">
        <w:rPr>
          <w:sz w:val="24"/>
          <w:szCs w:val="24"/>
        </w:rPr>
        <w:t>s</w:t>
      </w:r>
      <w:r w:rsidRPr="00EE213A">
        <w:rPr>
          <w:sz w:val="24"/>
          <w:szCs w:val="24"/>
        </w:rPr>
        <w:t>toljeća</w:t>
      </w:r>
      <w:r>
        <w:rPr>
          <w:sz w:val="24"/>
          <w:szCs w:val="24"/>
        </w:rPr>
        <w:t>,</w:t>
      </w:r>
      <w:r w:rsidRPr="00EE213A">
        <w:rPr>
          <w:sz w:val="24"/>
          <w:szCs w:val="24"/>
        </w:rPr>
        <w:t xml:space="preserve"> intelektualni kapital predstavlja osnovnu konkurentsku prednost poduzeća i to</w:t>
      </w:r>
      <w:r w:rsidR="004752EB">
        <w:rPr>
          <w:sz w:val="24"/>
          <w:szCs w:val="24"/>
        </w:rPr>
        <w:t>,</w:t>
      </w:r>
      <w:r w:rsidRPr="00EE213A">
        <w:rPr>
          <w:sz w:val="24"/>
          <w:szCs w:val="24"/>
        </w:rPr>
        <w:t xml:space="preserve"> kako u materijalnom obliku (patenti</w:t>
      </w:r>
      <w:r>
        <w:rPr>
          <w:sz w:val="24"/>
          <w:szCs w:val="24"/>
        </w:rPr>
        <w:t>,</w:t>
      </w:r>
      <w:r w:rsidRPr="00EE213A">
        <w:rPr>
          <w:sz w:val="24"/>
          <w:szCs w:val="24"/>
        </w:rPr>
        <w:t xml:space="preserve"> licence</w:t>
      </w:r>
      <w:r>
        <w:rPr>
          <w:sz w:val="24"/>
          <w:szCs w:val="24"/>
        </w:rPr>
        <w:t>,</w:t>
      </w:r>
      <w:r w:rsidRPr="00EE213A">
        <w:rPr>
          <w:sz w:val="24"/>
          <w:szCs w:val="24"/>
        </w:rPr>
        <w:t xml:space="preserve"> baze podatka</w:t>
      </w:r>
      <w:r>
        <w:rPr>
          <w:sz w:val="24"/>
          <w:szCs w:val="24"/>
        </w:rPr>
        <w:t>,</w:t>
      </w:r>
      <w:r w:rsidRPr="00EE213A">
        <w:rPr>
          <w:sz w:val="24"/>
          <w:szCs w:val="24"/>
        </w:rPr>
        <w:t xml:space="preserve"> korporacijski standardi</w:t>
      </w:r>
      <w:r>
        <w:rPr>
          <w:sz w:val="24"/>
          <w:szCs w:val="24"/>
        </w:rPr>
        <w:t>,</w:t>
      </w:r>
      <w:r w:rsidRPr="00EE213A">
        <w:rPr>
          <w:sz w:val="24"/>
          <w:szCs w:val="24"/>
        </w:rPr>
        <w:t xml:space="preserve"> planovi poduzeća</w:t>
      </w:r>
      <w:r>
        <w:rPr>
          <w:sz w:val="24"/>
          <w:szCs w:val="24"/>
        </w:rPr>
        <w:t>,</w:t>
      </w:r>
      <w:r w:rsidRPr="00EE213A">
        <w:rPr>
          <w:sz w:val="24"/>
          <w:szCs w:val="24"/>
        </w:rPr>
        <w:t xml:space="preserve"> nacrti poduzeća i slično)</w:t>
      </w:r>
      <w:r w:rsidR="004752EB">
        <w:rPr>
          <w:sz w:val="24"/>
          <w:szCs w:val="24"/>
        </w:rPr>
        <w:t>,</w:t>
      </w:r>
      <w:r w:rsidRPr="00EE213A">
        <w:rPr>
          <w:sz w:val="24"/>
          <w:szCs w:val="24"/>
        </w:rPr>
        <w:t xml:space="preserve"> tako i u nematerijalnom obliku koji čini upravo ljudski kapital u formi znanja</w:t>
      </w:r>
      <w:r>
        <w:rPr>
          <w:sz w:val="24"/>
          <w:szCs w:val="24"/>
        </w:rPr>
        <w:t>,</w:t>
      </w:r>
      <w:r w:rsidRPr="00EE213A">
        <w:rPr>
          <w:sz w:val="24"/>
          <w:szCs w:val="24"/>
        </w:rPr>
        <w:t xml:space="preserve"> vještina</w:t>
      </w:r>
      <w:r w:rsidR="004752EB">
        <w:rPr>
          <w:sz w:val="24"/>
          <w:szCs w:val="24"/>
        </w:rPr>
        <w:t>,</w:t>
      </w:r>
      <w:r w:rsidRPr="00EE213A">
        <w:rPr>
          <w:sz w:val="24"/>
          <w:szCs w:val="24"/>
        </w:rPr>
        <w:t xml:space="preserve"> iskustva</w:t>
      </w:r>
      <w:r>
        <w:rPr>
          <w:sz w:val="24"/>
          <w:szCs w:val="24"/>
        </w:rPr>
        <w:t>,</w:t>
      </w:r>
      <w:r w:rsidRPr="00EE213A">
        <w:rPr>
          <w:sz w:val="24"/>
          <w:szCs w:val="24"/>
        </w:rPr>
        <w:t xml:space="preserve"> sposobnosti</w:t>
      </w:r>
      <w:r>
        <w:rPr>
          <w:sz w:val="24"/>
          <w:szCs w:val="24"/>
        </w:rPr>
        <w:t>,</w:t>
      </w:r>
      <w:r w:rsidRPr="00EE213A">
        <w:rPr>
          <w:sz w:val="24"/>
          <w:szCs w:val="24"/>
        </w:rPr>
        <w:t xml:space="preserve"> umijeća</w:t>
      </w:r>
      <w:r>
        <w:rPr>
          <w:sz w:val="24"/>
          <w:szCs w:val="24"/>
        </w:rPr>
        <w:t>,</w:t>
      </w:r>
      <w:r w:rsidRPr="00EE213A">
        <w:rPr>
          <w:sz w:val="24"/>
          <w:szCs w:val="24"/>
        </w:rPr>
        <w:t xml:space="preserve"> kreativnosti i inovativnost zaposlenih pojedinaca. </w:t>
      </w:r>
    </w:p>
    <w:p w:rsidR="00EE213A" w:rsidRPr="00EE213A" w:rsidRDefault="00EE213A" w:rsidP="00EE213A">
      <w:pPr>
        <w:autoSpaceDE w:val="0"/>
        <w:autoSpaceDN w:val="0"/>
        <w:adjustRightInd w:val="0"/>
        <w:jc w:val="both"/>
        <w:rPr>
          <w:sz w:val="24"/>
          <w:szCs w:val="24"/>
        </w:rPr>
      </w:pPr>
      <w:r w:rsidRPr="00EE213A">
        <w:rPr>
          <w:sz w:val="24"/>
          <w:szCs w:val="24"/>
        </w:rPr>
        <w:lastRenderedPageBreak/>
        <w:t>Industrijski razvitak</w:t>
      </w:r>
      <w:r>
        <w:rPr>
          <w:sz w:val="24"/>
          <w:szCs w:val="24"/>
        </w:rPr>
        <w:t>,</w:t>
      </w:r>
      <w:r w:rsidRPr="00EE213A">
        <w:rPr>
          <w:sz w:val="24"/>
          <w:szCs w:val="24"/>
        </w:rPr>
        <w:t xml:space="preserve"> a posebice postindustrijska ekonomija naglašavaju potrebu za sve kvalificiranijom radnom snagom</w:t>
      </w:r>
      <w:r>
        <w:rPr>
          <w:sz w:val="24"/>
          <w:szCs w:val="24"/>
        </w:rPr>
        <w:t>,</w:t>
      </w:r>
      <w:r w:rsidRPr="00EE213A">
        <w:rPr>
          <w:sz w:val="24"/>
          <w:szCs w:val="24"/>
        </w:rPr>
        <w:t xml:space="preserve"> zbog čega se </w:t>
      </w:r>
      <w:r w:rsidRPr="004752EB">
        <w:rPr>
          <w:color w:val="C00000"/>
          <w:sz w:val="24"/>
          <w:szCs w:val="24"/>
        </w:rPr>
        <w:t>produljuje vrijeme školovanja</w:t>
      </w:r>
      <w:r>
        <w:rPr>
          <w:sz w:val="24"/>
          <w:szCs w:val="24"/>
        </w:rPr>
        <w:t>,</w:t>
      </w:r>
      <w:r w:rsidRPr="00EE213A">
        <w:rPr>
          <w:sz w:val="24"/>
          <w:szCs w:val="24"/>
        </w:rPr>
        <w:t xml:space="preserve"> odnosno stjecanja specijaliziranih znanja i vještina potrebnih za obavljanja sve više stručnih poslova. Pri tome proces učenja ne prestaje završetkom srednje škole i</w:t>
      </w:r>
      <w:r>
        <w:rPr>
          <w:sz w:val="24"/>
          <w:szCs w:val="24"/>
        </w:rPr>
        <w:t>/ ili</w:t>
      </w:r>
      <w:r w:rsidRPr="00EE213A">
        <w:rPr>
          <w:sz w:val="24"/>
          <w:szCs w:val="24"/>
        </w:rPr>
        <w:t>i fakulteta</w:t>
      </w:r>
      <w:r>
        <w:rPr>
          <w:sz w:val="24"/>
          <w:szCs w:val="24"/>
        </w:rPr>
        <w:t>,</w:t>
      </w:r>
      <w:r w:rsidRPr="00EE213A">
        <w:rPr>
          <w:sz w:val="24"/>
          <w:szCs w:val="24"/>
        </w:rPr>
        <w:t xml:space="preserve"> nego se nastavlja kroz </w:t>
      </w:r>
      <w:r w:rsidRPr="00EE213A">
        <w:rPr>
          <w:color w:val="C00000"/>
          <w:sz w:val="24"/>
          <w:szCs w:val="24"/>
        </w:rPr>
        <w:t xml:space="preserve">cijelo-životno učenje </w:t>
      </w:r>
      <w:r w:rsidRPr="00EE213A">
        <w:rPr>
          <w:sz w:val="24"/>
          <w:szCs w:val="24"/>
        </w:rPr>
        <w:t>na radnom mjestu (learning-by-doing) te stručno usavršavanje kroz različite programe edukacija (učenje stranih jezika</w:t>
      </w:r>
      <w:r>
        <w:rPr>
          <w:sz w:val="24"/>
          <w:szCs w:val="24"/>
        </w:rPr>
        <w:t>,</w:t>
      </w:r>
      <w:r w:rsidRPr="00EE213A">
        <w:rPr>
          <w:sz w:val="24"/>
          <w:szCs w:val="24"/>
        </w:rPr>
        <w:t xml:space="preserve"> rad na računalu. stjecanje dodatnih novih znanja iz užeg područja specijalizacije itd.)</w:t>
      </w:r>
      <w:r>
        <w:rPr>
          <w:sz w:val="24"/>
          <w:szCs w:val="24"/>
        </w:rPr>
        <w:t>,</w:t>
      </w:r>
      <w:r w:rsidRPr="00EE213A">
        <w:rPr>
          <w:sz w:val="24"/>
          <w:szCs w:val="24"/>
        </w:rPr>
        <w:t xml:space="preserve"> a koji pridonose ugrađivanju dodatne vrijednosti u ljudski kapital. </w:t>
      </w:r>
    </w:p>
    <w:p w:rsidR="00EE213A" w:rsidRPr="00EE213A" w:rsidRDefault="00EE213A" w:rsidP="00EE213A">
      <w:pPr>
        <w:autoSpaceDE w:val="0"/>
        <w:autoSpaceDN w:val="0"/>
        <w:adjustRightInd w:val="0"/>
        <w:jc w:val="both"/>
        <w:rPr>
          <w:sz w:val="24"/>
          <w:szCs w:val="24"/>
        </w:rPr>
      </w:pPr>
      <w:r w:rsidRPr="00EE213A">
        <w:rPr>
          <w:sz w:val="24"/>
          <w:szCs w:val="24"/>
        </w:rPr>
        <w:t>Dodatna znanja i vještine daju učinke samo ako se koriste</w:t>
      </w:r>
      <w:r>
        <w:rPr>
          <w:sz w:val="24"/>
          <w:szCs w:val="24"/>
        </w:rPr>
        <w:t>,</w:t>
      </w:r>
      <w:r w:rsidRPr="00EE213A">
        <w:rPr>
          <w:sz w:val="24"/>
          <w:szCs w:val="24"/>
        </w:rPr>
        <w:t xml:space="preserve"> što znači da </w:t>
      </w:r>
      <w:r w:rsidRPr="00EE213A">
        <w:rPr>
          <w:color w:val="C00000"/>
          <w:sz w:val="24"/>
          <w:szCs w:val="24"/>
        </w:rPr>
        <w:t>ljudski kapital gubi vrijednosti kada se ne koristi</w:t>
      </w:r>
      <w:r>
        <w:rPr>
          <w:sz w:val="24"/>
          <w:szCs w:val="24"/>
        </w:rPr>
        <w:t>,</w:t>
      </w:r>
      <w:r w:rsidRPr="00EE213A">
        <w:rPr>
          <w:sz w:val="24"/>
          <w:szCs w:val="24"/>
        </w:rPr>
        <w:t xml:space="preserve"> na primjer u slučaju dugotrajne nezaposlenosti i drugim razlozima uzrokovanog napuštanja ili uopće neuključivanja u radnu aktivnost za koju je pojedinac osposobljen. Vijek korištenja ljudskog kapitala ograničen je razdobljem trajanja radne aktivnosti. </w:t>
      </w:r>
      <w:r w:rsidRPr="002C239A">
        <w:rPr>
          <w:color w:val="C00000"/>
          <w:sz w:val="24"/>
          <w:szCs w:val="24"/>
        </w:rPr>
        <w:t>Mladi ljudi imaju dulji vijek korištenja stečenog znanja i vještina</w:t>
      </w:r>
      <w:r w:rsidRPr="00EE213A">
        <w:rPr>
          <w:sz w:val="24"/>
          <w:szCs w:val="24"/>
        </w:rPr>
        <w:t>. Navedeno je razlog zašto obrazovanje daje najveće učinke na porast vrijednosti ljudskog kapitala ako se obrazovni proces veže za razdoblje mladosti</w:t>
      </w:r>
      <w:r>
        <w:rPr>
          <w:sz w:val="24"/>
          <w:szCs w:val="24"/>
        </w:rPr>
        <w:t>,</w:t>
      </w:r>
      <w:r w:rsidRPr="00EE213A">
        <w:rPr>
          <w:sz w:val="24"/>
          <w:szCs w:val="24"/>
        </w:rPr>
        <w:t xml:space="preserve"> odnosno razdoblje mlađe odrasle dobi. U srednjoj odrasloj dobi vrijednost novih ulaganja u ljudski kapital se smanjuje</w:t>
      </w:r>
      <w:r>
        <w:rPr>
          <w:sz w:val="24"/>
          <w:szCs w:val="24"/>
        </w:rPr>
        <w:t>,</w:t>
      </w:r>
      <w:r w:rsidRPr="00EE213A">
        <w:rPr>
          <w:sz w:val="24"/>
          <w:szCs w:val="24"/>
        </w:rPr>
        <w:t xml:space="preserve"> jer se s porastom godina života pojedinca (odnosno približavanjem životnoj fazi umirovljenja) skraćuje moguće razdoblje korištenja ljudskog kapitala</w:t>
      </w:r>
      <w:r>
        <w:rPr>
          <w:sz w:val="24"/>
          <w:szCs w:val="24"/>
        </w:rPr>
        <w:t>,</w:t>
      </w:r>
      <w:r w:rsidRPr="00EE213A">
        <w:rPr>
          <w:sz w:val="24"/>
          <w:szCs w:val="24"/>
        </w:rPr>
        <w:t xml:space="preserve"> odnosno razdoblje ostvarivanja dohotka od rada. Međutim i u toj fazi života</w:t>
      </w:r>
      <w:r>
        <w:rPr>
          <w:sz w:val="24"/>
          <w:szCs w:val="24"/>
        </w:rPr>
        <w:t>,</w:t>
      </w:r>
      <w:r w:rsidRPr="00EE213A">
        <w:rPr>
          <w:sz w:val="24"/>
          <w:szCs w:val="24"/>
        </w:rPr>
        <w:t xml:space="preserve"> kao i u starosti</w:t>
      </w:r>
      <w:r>
        <w:rPr>
          <w:sz w:val="24"/>
          <w:szCs w:val="24"/>
        </w:rPr>
        <w:t>,</w:t>
      </w:r>
      <w:r w:rsidRPr="00EE213A">
        <w:rPr>
          <w:sz w:val="24"/>
          <w:szCs w:val="24"/>
        </w:rPr>
        <w:t xml:space="preserve"> obrazovanje donosi niz subjektivnih koristi koje ne moraju nužno biti tržišno vrednovane i razmjenjive za određeni fond novčanih jedinica dohotka od rada. </w:t>
      </w:r>
    </w:p>
    <w:p w:rsidR="001E467D" w:rsidRDefault="00EE213A" w:rsidP="00EE213A">
      <w:pPr>
        <w:autoSpaceDE w:val="0"/>
        <w:autoSpaceDN w:val="0"/>
        <w:adjustRightInd w:val="0"/>
        <w:jc w:val="both"/>
        <w:rPr>
          <w:sz w:val="24"/>
          <w:szCs w:val="24"/>
        </w:rPr>
      </w:pPr>
      <w:r w:rsidRPr="00EE213A">
        <w:rPr>
          <w:sz w:val="24"/>
          <w:szCs w:val="24"/>
        </w:rPr>
        <w:t xml:space="preserve">Općenito govoreći </w:t>
      </w:r>
      <w:r w:rsidRPr="00EE213A">
        <w:rPr>
          <w:color w:val="C00000"/>
          <w:sz w:val="24"/>
          <w:szCs w:val="24"/>
        </w:rPr>
        <w:t>obrazovanje pruža mogućnosti vlastitog razvitka i većeg zadovoljstva u životu</w:t>
      </w:r>
      <w:r w:rsidRPr="00EE213A">
        <w:rPr>
          <w:sz w:val="24"/>
          <w:szCs w:val="24"/>
        </w:rPr>
        <w:t>. Na navedeno ukazuju brojna istraživanja koja dokazuju postojanje pozitivne i signifikantne korelaciju između stupnja obrazovanja i zadovoljstva pojedinca vlastitom ekonomskom situacijom.</w:t>
      </w:r>
      <w:r w:rsidRPr="00EE213A">
        <w:rPr>
          <w:sz w:val="24"/>
          <w:szCs w:val="24"/>
          <w:vertAlign w:val="superscript"/>
        </w:rPr>
        <w:footnoteReference w:id="33"/>
      </w:r>
      <w:r w:rsidRPr="00EE213A">
        <w:rPr>
          <w:sz w:val="24"/>
          <w:szCs w:val="24"/>
          <w:vertAlign w:val="superscript"/>
        </w:rPr>
        <w:t xml:space="preserve"> </w:t>
      </w:r>
      <w:r w:rsidR="003121D3">
        <w:rPr>
          <w:sz w:val="24"/>
          <w:szCs w:val="24"/>
        </w:rPr>
        <w:t xml:space="preserve">Istodobno, </w:t>
      </w:r>
      <w:r w:rsidR="003121D3" w:rsidRPr="000B3355">
        <w:rPr>
          <w:color w:val="C00000"/>
          <w:sz w:val="24"/>
          <w:szCs w:val="24"/>
        </w:rPr>
        <w:t>r</w:t>
      </w:r>
      <w:r w:rsidRPr="000B3355">
        <w:rPr>
          <w:color w:val="C00000"/>
          <w:sz w:val="24"/>
          <w:szCs w:val="24"/>
        </w:rPr>
        <w:t>azlike u obrazovanju i drugim elementima formiranog ljudskog kapitala jedan su od ključnih razloga nejednakosti u veličini dohotka od rada</w:t>
      </w:r>
      <w:r w:rsidR="00666BF2" w:rsidRPr="001E467D">
        <w:rPr>
          <w:sz w:val="24"/>
          <w:szCs w:val="24"/>
        </w:rPr>
        <w:t xml:space="preserve">, što na primjeru SAD-a i Hrvatske </w:t>
      </w:r>
      <w:r w:rsidR="001E467D" w:rsidRPr="001E467D">
        <w:rPr>
          <w:sz w:val="24"/>
          <w:szCs w:val="24"/>
        </w:rPr>
        <w:t>pokazuju tablice 9 i 10</w:t>
      </w:r>
      <w:r w:rsidRPr="001E467D">
        <w:rPr>
          <w:sz w:val="24"/>
          <w:szCs w:val="24"/>
        </w:rPr>
        <w:t xml:space="preserve">. </w:t>
      </w:r>
    </w:p>
    <w:p w:rsidR="00EE213A" w:rsidRPr="00EE213A" w:rsidRDefault="00EE213A" w:rsidP="00EE213A">
      <w:pPr>
        <w:autoSpaceDE w:val="0"/>
        <w:autoSpaceDN w:val="0"/>
        <w:adjustRightInd w:val="0"/>
        <w:jc w:val="both"/>
        <w:rPr>
          <w:sz w:val="24"/>
          <w:szCs w:val="24"/>
        </w:rPr>
      </w:pPr>
      <w:r w:rsidRPr="001E467D">
        <w:rPr>
          <w:sz w:val="24"/>
          <w:szCs w:val="24"/>
        </w:rPr>
        <w:t>Dohodak od rada u pravilu je veći za poslove</w:t>
      </w:r>
      <w:r w:rsidRPr="00EE213A">
        <w:rPr>
          <w:sz w:val="24"/>
          <w:szCs w:val="24"/>
        </w:rPr>
        <w:t xml:space="preserve"> većeg stupnja složenosti koji zahtijevaju veći stupanj kvalifikacije</w:t>
      </w:r>
      <w:r>
        <w:rPr>
          <w:sz w:val="24"/>
          <w:szCs w:val="24"/>
        </w:rPr>
        <w:t>,</w:t>
      </w:r>
      <w:r w:rsidRPr="00EE213A">
        <w:rPr>
          <w:sz w:val="24"/>
          <w:szCs w:val="24"/>
        </w:rPr>
        <w:t xml:space="preserve"> odnosno širi spektar znanja</w:t>
      </w:r>
      <w:r>
        <w:rPr>
          <w:sz w:val="24"/>
          <w:szCs w:val="24"/>
        </w:rPr>
        <w:t>,</w:t>
      </w:r>
      <w:r w:rsidRPr="00EE213A">
        <w:rPr>
          <w:sz w:val="24"/>
          <w:szCs w:val="24"/>
        </w:rPr>
        <w:t xml:space="preserve"> sposobnosti i vještina. Rast zarada tijekom godina r</w:t>
      </w:r>
      <w:r w:rsidR="003121D3">
        <w:rPr>
          <w:sz w:val="24"/>
          <w:szCs w:val="24"/>
        </w:rPr>
        <w:t>adne aktivnosti ostvaruje se dulje</w:t>
      </w:r>
      <w:r w:rsidRPr="00EE213A">
        <w:rPr>
          <w:sz w:val="24"/>
          <w:szCs w:val="24"/>
        </w:rPr>
        <w:t xml:space="preserve"> kod više obrazovanih zaposlenika. Oni su rjeđe nezaposleni</w:t>
      </w:r>
      <w:r>
        <w:rPr>
          <w:sz w:val="24"/>
          <w:szCs w:val="24"/>
        </w:rPr>
        <w:t>,</w:t>
      </w:r>
      <w:r w:rsidRPr="00EE213A">
        <w:rPr>
          <w:sz w:val="24"/>
          <w:szCs w:val="24"/>
        </w:rPr>
        <w:t xml:space="preserve"> a u svom životnom vijeku ostaju dulje uključeni u radne aktivnosti nego osobe s nižim kvalifikacijama. Upravo u kontekstu navedenog</w:t>
      </w:r>
      <w:r>
        <w:rPr>
          <w:sz w:val="24"/>
          <w:szCs w:val="24"/>
        </w:rPr>
        <w:t>,</w:t>
      </w:r>
      <w:r w:rsidRPr="00EE213A">
        <w:rPr>
          <w:sz w:val="24"/>
          <w:szCs w:val="24"/>
        </w:rPr>
        <w:t xml:space="preserve"> </w:t>
      </w:r>
      <w:r w:rsidRPr="00EE213A">
        <w:rPr>
          <w:color w:val="C00000"/>
          <w:sz w:val="24"/>
          <w:szCs w:val="24"/>
        </w:rPr>
        <w:t>ulaganje u obrazovanje, vlastito zdravlje i općenito ulaganje u samog sebe predstavlja preduvjet za  nošenje s izazovima novog doba</w:t>
      </w:r>
      <w:r w:rsidRPr="00EE213A">
        <w:rPr>
          <w:sz w:val="24"/>
          <w:szCs w:val="24"/>
        </w:rPr>
        <w:t xml:space="preserve">. </w:t>
      </w:r>
      <w:r w:rsidR="00666BF2">
        <w:rPr>
          <w:sz w:val="24"/>
          <w:szCs w:val="24"/>
        </w:rPr>
        <w:t>Tim više što procjene govore da će u razvijenim zemljama do 2018. čak 60% radnih mjesta zahtijevati fakultetsko obrazovanje.</w:t>
      </w:r>
    </w:p>
    <w:p w:rsidR="00666BF2" w:rsidRPr="00666BF2" w:rsidRDefault="00666BF2" w:rsidP="00666BF2">
      <w:pPr>
        <w:shd w:val="clear" w:color="auto" w:fill="FFFFFF"/>
        <w:spacing w:before="100" w:beforeAutospacing="1" w:after="100" w:afterAutospacing="1" w:line="240" w:lineRule="atLeast"/>
        <w:rPr>
          <w:rFonts w:eastAsia="Times New Roman" w:cs="Arial"/>
          <w:b/>
          <w:bCs/>
          <w:color w:val="000000"/>
          <w:sz w:val="24"/>
          <w:szCs w:val="24"/>
          <w:lang w:eastAsia="hr-HR"/>
        </w:rPr>
      </w:pPr>
      <w:r w:rsidRPr="00666BF2">
        <w:rPr>
          <w:rFonts w:eastAsia="Times New Roman" w:cs="Arial"/>
          <w:b/>
          <w:bCs/>
          <w:color w:val="000000"/>
          <w:sz w:val="24"/>
          <w:szCs w:val="24"/>
          <w:lang w:eastAsia="hr-HR"/>
        </w:rPr>
        <w:lastRenderedPageBreak/>
        <w:t xml:space="preserve">Tablica 9: Zarade i stope nezaposlenosti u SAD-u s obzirom na postignutu obrazovnu razinu </w:t>
      </w:r>
    </w:p>
    <w:tbl>
      <w:tblPr>
        <w:tblW w:w="7950" w:type="dxa"/>
        <w:tblCellSpacing w:w="0"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3000"/>
        <w:gridCol w:w="2505"/>
        <w:gridCol w:w="2445"/>
      </w:tblGrid>
      <w:tr w:rsidR="00666BF2" w:rsidRPr="00666BF2" w:rsidTr="00666BF2">
        <w:trPr>
          <w:tblHeader/>
          <w:tblCellSpacing w:w="0" w:type="dxa"/>
        </w:trPr>
        <w:tc>
          <w:tcPr>
            <w:tcW w:w="3000" w:type="dxa"/>
            <w:tcBorders>
              <w:top w:val="single" w:sz="4" w:space="0" w:color="auto"/>
              <w:bottom w:val="single" w:sz="4" w:space="0" w:color="auto"/>
              <w:right w:val="single" w:sz="4" w:space="0" w:color="auto"/>
            </w:tcBorders>
            <w:shd w:val="clear" w:color="auto" w:fill="auto"/>
            <w:tcMar>
              <w:top w:w="30" w:type="dxa"/>
              <w:left w:w="30" w:type="dxa"/>
              <w:bottom w:w="30" w:type="dxa"/>
              <w:right w:w="30" w:type="dxa"/>
            </w:tcMar>
            <w:hideMark/>
          </w:tcPr>
          <w:p w:rsidR="00666BF2" w:rsidRPr="00666BF2" w:rsidRDefault="00666BF2" w:rsidP="00315E0D">
            <w:pPr>
              <w:spacing w:after="0" w:line="240" w:lineRule="auto"/>
              <w:jc w:val="center"/>
              <w:rPr>
                <w:rFonts w:eastAsia="Times New Roman" w:cs="Arial"/>
                <w:bCs/>
                <w:color w:val="333333"/>
                <w:sz w:val="24"/>
                <w:szCs w:val="24"/>
                <w:lang w:eastAsia="hr-HR"/>
              </w:rPr>
            </w:pPr>
            <w:r w:rsidRPr="00666BF2">
              <w:rPr>
                <w:rFonts w:eastAsia="Times New Roman" w:cs="Arial"/>
                <w:bCs/>
                <w:color w:val="333333"/>
                <w:sz w:val="24"/>
                <w:szCs w:val="24"/>
                <w:lang w:eastAsia="hr-HR"/>
              </w:rPr>
              <w:t>Postignuta obrazovna</w:t>
            </w:r>
          </w:p>
          <w:p w:rsidR="00666BF2" w:rsidRPr="00666BF2" w:rsidRDefault="00666BF2" w:rsidP="00315E0D">
            <w:pPr>
              <w:spacing w:after="0" w:line="240" w:lineRule="auto"/>
              <w:jc w:val="center"/>
              <w:rPr>
                <w:rFonts w:eastAsia="Times New Roman" w:cs="Arial"/>
                <w:bCs/>
                <w:color w:val="333333"/>
                <w:sz w:val="24"/>
                <w:szCs w:val="24"/>
                <w:lang w:eastAsia="hr-HR"/>
              </w:rPr>
            </w:pPr>
            <w:r w:rsidRPr="00666BF2">
              <w:rPr>
                <w:rFonts w:eastAsia="Times New Roman" w:cs="Arial"/>
                <w:bCs/>
                <w:color w:val="333333"/>
                <w:sz w:val="24"/>
                <w:szCs w:val="24"/>
                <w:lang w:eastAsia="hr-HR"/>
              </w:rPr>
              <w:t xml:space="preserve"> razina</w:t>
            </w:r>
          </w:p>
        </w:tc>
        <w:tc>
          <w:tcPr>
            <w:tcW w:w="2505" w:type="dxa"/>
            <w:tcBorders>
              <w:top w:val="single" w:sz="4" w:space="0" w:color="auto"/>
              <w:bottom w:val="single" w:sz="4" w:space="0" w:color="auto"/>
              <w:right w:val="single" w:sz="4" w:space="0" w:color="auto"/>
            </w:tcBorders>
            <w:shd w:val="clear" w:color="auto" w:fill="auto"/>
            <w:tcMar>
              <w:top w:w="30" w:type="dxa"/>
              <w:left w:w="30" w:type="dxa"/>
              <w:bottom w:w="30" w:type="dxa"/>
              <w:right w:w="30" w:type="dxa"/>
            </w:tcMar>
            <w:hideMark/>
          </w:tcPr>
          <w:p w:rsidR="00666BF2" w:rsidRPr="00666BF2" w:rsidRDefault="00666BF2" w:rsidP="00315E0D">
            <w:pPr>
              <w:spacing w:after="0" w:line="240" w:lineRule="auto"/>
              <w:jc w:val="center"/>
              <w:rPr>
                <w:rFonts w:eastAsia="Times New Roman" w:cs="Arial"/>
                <w:bCs/>
                <w:color w:val="333333"/>
                <w:sz w:val="24"/>
                <w:szCs w:val="24"/>
                <w:lang w:eastAsia="hr-HR"/>
              </w:rPr>
            </w:pPr>
            <w:r w:rsidRPr="00666BF2">
              <w:rPr>
                <w:rFonts w:eastAsia="Times New Roman" w:cs="Arial"/>
                <w:bCs/>
                <w:color w:val="333333"/>
                <w:sz w:val="24"/>
                <w:szCs w:val="24"/>
                <w:lang w:eastAsia="hr-HR"/>
              </w:rPr>
              <w:t>Postotak nezaposlenih  (2014)</w:t>
            </w:r>
          </w:p>
        </w:tc>
        <w:tc>
          <w:tcPr>
            <w:tcW w:w="2445" w:type="dxa"/>
            <w:tcBorders>
              <w:top w:val="single" w:sz="4" w:space="0" w:color="auto"/>
              <w:bottom w:val="single" w:sz="4" w:space="0" w:color="auto"/>
            </w:tcBorders>
            <w:shd w:val="clear" w:color="auto" w:fill="auto"/>
            <w:tcMar>
              <w:top w:w="30" w:type="dxa"/>
              <w:left w:w="30" w:type="dxa"/>
              <w:bottom w:w="30" w:type="dxa"/>
              <w:right w:w="30" w:type="dxa"/>
            </w:tcMar>
            <w:hideMark/>
          </w:tcPr>
          <w:p w:rsidR="00666BF2" w:rsidRPr="00666BF2" w:rsidRDefault="00666BF2" w:rsidP="00315E0D">
            <w:pPr>
              <w:spacing w:after="0" w:line="240" w:lineRule="auto"/>
              <w:jc w:val="center"/>
              <w:rPr>
                <w:rFonts w:eastAsia="Times New Roman" w:cs="Arial"/>
                <w:bCs/>
                <w:color w:val="333333"/>
                <w:sz w:val="24"/>
                <w:szCs w:val="24"/>
                <w:lang w:eastAsia="hr-HR"/>
              </w:rPr>
            </w:pPr>
            <w:r w:rsidRPr="00666BF2">
              <w:rPr>
                <w:rFonts w:eastAsia="Times New Roman" w:cs="Arial"/>
                <w:bCs/>
                <w:color w:val="333333"/>
                <w:sz w:val="24"/>
                <w:szCs w:val="24"/>
                <w:lang w:eastAsia="hr-HR"/>
              </w:rPr>
              <w:t>Medijan tjedne zarade (2014)</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Doktor znanosti</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2.1%</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$1,591</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Profesionalni doktorat</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1.9%</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$1,639</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Magistar</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2.8%</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$1,326</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Prvostupnik</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3.5%</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$1,101</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Suradnik</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4.5%</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$792</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Koledž (bez stečenog stupnja)</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6.0%</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$741</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Srednja škola</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6.0%</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$668</w:t>
            </w:r>
          </w:p>
        </w:tc>
      </w:tr>
      <w:tr w:rsidR="00666BF2" w:rsidRPr="00666BF2" w:rsidTr="00666BF2">
        <w:trPr>
          <w:tblCellSpacing w:w="0" w:type="dxa"/>
        </w:trPr>
        <w:tc>
          <w:tcPr>
            <w:tcW w:w="3000" w:type="dxa"/>
            <w:tcBorders>
              <w:right w:val="single" w:sz="4" w:space="0" w:color="auto"/>
            </w:tcBorders>
            <w:shd w:val="clear" w:color="auto" w:fill="auto"/>
            <w:vAlign w:val="center"/>
            <w:hideMark/>
          </w:tcPr>
          <w:p w:rsidR="00666BF2" w:rsidRPr="00666BF2" w:rsidRDefault="00666BF2" w:rsidP="00315E0D">
            <w:pPr>
              <w:spacing w:after="0" w:line="240" w:lineRule="auto"/>
              <w:ind w:left="74" w:right="74"/>
              <w:rPr>
                <w:rFonts w:eastAsia="Times New Roman" w:cs="Arial"/>
                <w:bCs/>
                <w:color w:val="000000"/>
                <w:lang w:eastAsia="hr-HR"/>
              </w:rPr>
            </w:pPr>
            <w:r w:rsidRPr="00666BF2">
              <w:rPr>
                <w:rFonts w:eastAsia="Times New Roman" w:cs="Arial"/>
                <w:bCs/>
                <w:color w:val="000000"/>
                <w:lang w:eastAsia="hr-HR"/>
              </w:rPr>
              <w:t>Niže od srednje škole</w:t>
            </w:r>
          </w:p>
        </w:tc>
        <w:tc>
          <w:tcPr>
            <w:tcW w:w="0" w:type="auto"/>
            <w:tcBorders>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9.0%</w:t>
            </w:r>
          </w:p>
        </w:tc>
        <w:tc>
          <w:tcPr>
            <w:tcW w:w="2445" w:type="dxa"/>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$488</w:t>
            </w:r>
          </w:p>
        </w:tc>
      </w:tr>
      <w:tr w:rsidR="00666BF2" w:rsidRPr="00666BF2" w:rsidTr="00893658">
        <w:trPr>
          <w:tblCellSpacing w:w="0" w:type="dxa"/>
        </w:trPr>
        <w:tc>
          <w:tcPr>
            <w:tcW w:w="3000" w:type="dxa"/>
            <w:tcBorders>
              <w:top w:val="single" w:sz="4" w:space="0" w:color="auto"/>
              <w:bottom w:val="single" w:sz="4" w:space="0" w:color="auto"/>
              <w:right w:val="single" w:sz="4" w:space="0" w:color="auto"/>
            </w:tcBorders>
            <w:shd w:val="clear" w:color="auto" w:fill="auto"/>
            <w:vAlign w:val="center"/>
            <w:hideMark/>
          </w:tcPr>
          <w:p w:rsidR="00666BF2" w:rsidRPr="00666BF2" w:rsidRDefault="00893658" w:rsidP="00315E0D">
            <w:pPr>
              <w:spacing w:after="0" w:line="240" w:lineRule="auto"/>
              <w:ind w:left="74" w:right="74"/>
              <w:rPr>
                <w:rFonts w:eastAsia="Times New Roman" w:cs="Arial"/>
                <w:bCs/>
                <w:color w:val="000000"/>
                <w:lang w:eastAsia="hr-HR"/>
              </w:rPr>
            </w:pPr>
            <w:r>
              <w:rPr>
                <w:rFonts w:eastAsia="Times New Roman" w:cs="Arial"/>
                <w:bCs/>
                <w:color w:val="000000"/>
                <w:lang w:eastAsia="hr-HR"/>
              </w:rPr>
              <w:t>Svi zaposleni</w:t>
            </w:r>
          </w:p>
        </w:tc>
        <w:tc>
          <w:tcPr>
            <w:tcW w:w="0" w:type="auto"/>
            <w:tcBorders>
              <w:top w:val="single" w:sz="4" w:space="0" w:color="auto"/>
              <w:bottom w:val="single" w:sz="4" w:space="0" w:color="auto"/>
              <w:right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5.0%</w:t>
            </w:r>
          </w:p>
        </w:tc>
        <w:tc>
          <w:tcPr>
            <w:tcW w:w="2445" w:type="dxa"/>
            <w:tcBorders>
              <w:top w:val="single" w:sz="4" w:space="0" w:color="auto"/>
              <w:bottom w:val="single" w:sz="4" w:space="0" w:color="auto"/>
            </w:tcBorders>
            <w:shd w:val="clear" w:color="auto" w:fill="auto"/>
            <w:vAlign w:val="center"/>
            <w:hideMark/>
          </w:tcPr>
          <w:p w:rsidR="00666BF2" w:rsidRPr="00666BF2" w:rsidRDefault="00666BF2" w:rsidP="00315E0D">
            <w:pPr>
              <w:spacing w:after="0" w:line="240" w:lineRule="auto"/>
              <w:ind w:left="74" w:right="74"/>
              <w:jc w:val="right"/>
              <w:rPr>
                <w:rFonts w:eastAsia="Times New Roman" w:cs="Arial"/>
                <w:bCs/>
                <w:color w:val="000000"/>
                <w:lang w:eastAsia="hr-HR"/>
              </w:rPr>
            </w:pPr>
            <w:r w:rsidRPr="00666BF2">
              <w:rPr>
                <w:rFonts w:eastAsia="Times New Roman" w:cs="Arial"/>
                <w:bCs/>
                <w:color w:val="000000"/>
                <w:lang w:eastAsia="hr-HR"/>
              </w:rPr>
              <w:t>$839</w:t>
            </w:r>
          </w:p>
        </w:tc>
      </w:tr>
    </w:tbl>
    <w:p w:rsidR="00666BF2" w:rsidRPr="005B0B3F" w:rsidRDefault="005B0B3F" w:rsidP="005B0B3F">
      <w:pPr>
        <w:shd w:val="clear" w:color="auto" w:fill="FFFFFF"/>
        <w:spacing w:after="0" w:line="240" w:lineRule="auto"/>
        <w:rPr>
          <w:sz w:val="20"/>
          <w:szCs w:val="20"/>
        </w:rPr>
      </w:pPr>
      <w:r>
        <w:rPr>
          <w:rFonts w:eastAsia="Times New Roman" w:cs="Arial"/>
          <w:sz w:val="20"/>
          <w:szCs w:val="20"/>
          <w:lang w:eastAsia="hr-HR"/>
        </w:rPr>
        <w:t xml:space="preserve">* </w:t>
      </w:r>
      <w:r w:rsidR="00666BF2" w:rsidRPr="005B0B3F">
        <w:rPr>
          <w:rFonts w:eastAsia="Times New Roman" w:cs="Arial"/>
          <w:sz w:val="20"/>
          <w:szCs w:val="20"/>
          <w:lang w:eastAsia="hr-HR"/>
        </w:rPr>
        <w:t>Odnosi se na osobe starije od 25 godina.</w:t>
      </w:r>
      <w:r w:rsidR="00666BF2" w:rsidRPr="005B0B3F">
        <w:rPr>
          <w:rFonts w:eastAsia="Times New Roman" w:cs="Arial"/>
          <w:sz w:val="20"/>
          <w:szCs w:val="20"/>
          <w:lang w:eastAsia="hr-HR"/>
        </w:rPr>
        <w:br/>
        <w:t>Izvor</w:t>
      </w:r>
      <w:r w:rsidR="00AD735A">
        <w:rPr>
          <w:rFonts w:eastAsia="Times New Roman" w:cs="Arial"/>
          <w:sz w:val="20"/>
          <w:szCs w:val="20"/>
          <w:lang w:eastAsia="hr-HR"/>
        </w:rPr>
        <w:t xml:space="preserve"> podataka</w:t>
      </w:r>
      <w:r w:rsidR="00666BF2" w:rsidRPr="005B0B3F">
        <w:rPr>
          <w:rFonts w:eastAsia="Times New Roman" w:cs="Arial"/>
          <w:sz w:val="20"/>
          <w:szCs w:val="20"/>
          <w:lang w:eastAsia="hr-HR"/>
        </w:rPr>
        <w:t xml:space="preserve">:  U.S. Department of Labor, Bureau of Labor Statistics, Current Population Survey, 2014, </w:t>
      </w:r>
      <w:r w:rsidR="00666BF2" w:rsidRPr="005B0B3F">
        <w:rPr>
          <w:sz w:val="20"/>
          <w:szCs w:val="20"/>
        </w:rPr>
        <w:t>http://bostonfed.org/commdev/community-outlook-survey/2015/aug-2015/index.htm?wt.source=bfo_cos_nn</w:t>
      </w:r>
    </w:p>
    <w:p w:rsidR="00C7744F" w:rsidRPr="00C7744F" w:rsidRDefault="00C7744F" w:rsidP="00AD735A">
      <w:pPr>
        <w:spacing w:before="240"/>
        <w:jc w:val="both"/>
        <w:rPr>
          <w:b/>
          <w:sz w:val="24"/>
          <w:szCs w:val="24"/>
        </w:rPr>
      </w:pPr>
      <w:r w:rsidRPr="00C7744F">
        <w:rPr>
          <w:b/>
          <w:sz w:val="24"/>
          <w:szCs w:val="24"/>
        </w:rPr>
        <w:t>Tablica</w:t>
      </w:r>
      <w:r w:rsidR="00315E0D">
        <w:rPr>
          <w:b/>
          <w:sz w:val="24"/>
          <w:szCs w:val="24"/>
        </w:rPr>
        <w:t xml:space="preserve"> 10</w:t>
      </w:r>
      <w:r w:rsidRPr="00C7744F">
        <w:rPr>
          <w:b/>
          <w:sz w:val="24"/>
          <w:szCs w:val="24"/>
        </w:rPr>
        <w:t>: Prosječne mjesečne isplaćene</w:t>
      </w:r>
      <w:r w:rsidR="00B518A5">
        <w:rPr>
          <w:b/>
          <w:sz w:val="24"/>
          <w:szCs w:val="24"/>
        </w:rPr>
        <w:t xml:space="preserve"> neto</w:t>
      </w:r>
      <w:r w:rsidRPr="00C7744F">
        <w:rPr>
          <w:b/>
          <w:sz w:val="24"/>
          <w:szCs w:val="24"/>
        </w:rPr>
        <w:t xml:space="preserve"> plaće </w:t>
      </w:r>
      <w:r w:rsidR="00315E0D">
        <w:rPr>
          <w:b/>
          <w:sz w:val="24"/>
          <w:szCs w:val="24"/>
        </w:rPr>
        <w:t xml:space="preserve">u Hrvatskoj </w:t>
      </w:r>
      <w:r w:rsidRPr="00C7744F">
        <w:rPr>
          <w:b/>
          <w:sz w:val="24"/>
          <w:szCs w:val="24"/>
        </w:rPr>
        <w:t>prema stupnju stručne spreme u 2012.</w:t>
      </w:r>
      <w:r w:rsidR="00315E0D">
        <w:rPr>
          <w:b/>
          <w:sz w:val="24"/>
          <w:szCs w:val="24"/>
        </w:rPr>
        <w:t xml:space="preserve"> </w:t>
      </w:r>
    </w:p>
    <w:p w:rsidR="00A94513" w:rsidRDefault="008418E7" w:rsidP="00A94513">
      <w:pPr>
        <w:spacing w:after="0" w:line="240" w:lineRule="auto"/>
        <w:jc w:val="both"/>
        <w:rPr>
          <w:sz w:val="20"/>
          <w:szCs w:val="20"/>
        </w:rPr>
      </w:pPr>
      <w:r>
        <w:rPr>
          <w:noProof/>
          <w:sz w:val="24"/>
          <w:szCs w:val="24"/>
          <w:lang w:eastAsia="hr-HR"/>
        </w:rPr>
        <w:drawing>
          <wp:inline distT="0" distB="0" distL="0" distR="0" wp14:anchorId="0CBC7282" wp14:editId="34819C73">
            <wp:extent cx="5524500" cy="1710400"/>
            <wp:effectExtent l="0" t="0" r="0" b="444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24500" cy="1710400"/>
                    </a:xfrm>
                    <a:prstGeom prst="rect">
                      <a:avLst/>
                    </a:prstGeom>
                    <a:noFill/>
                    <a:ln>
                      <a:noFill/>
                    </a:ln>
                  </pic:spPr>
                </pic:pic>
              </a:graphicData>
            </a:graphic>
          </wp:inline>
        </w:drawing>
      </w:r>
      <w:r w:rsidR="00AD735A">
        <w:rPr>
          <w:sz w:val="20"/>
          <w:szCs w:val="20"/>
        </w:rPr>
        <w:t>Izvor: p</w:t>
      </w:r>
      <w:r w:rsidR="002A63C6">
        <w:rPr>
          <w:sz w:val="20"/>
          <w:szCs w:val="20"/>
        </w:rPr>
        <w:t>reuzeto iz:</w:t>
      </w:r>
      <w:r w:rsidR="00315E0D" w:rsidRPr="00A94513">
        <w:rPr>
          <w:sz w:val="20"/>
          <w:szCs w:val="20"/>
        </w:rPr>
        <w:t xml:space="preserve"> </w:t>
      </w:r>
      <w:r w:rsidR="00A94513" w:rsidRPr="00A94513">
        <w:rPr>
          <w:sz w:val="20"/>
          <w:szCs w:val="20"/>
        </w:rPr>
        <w:t xml:space="preserve">DZS (2014.), „Zaposlenost i plaće u 2013.“, </w:t>
      </w:r>
    </w:p>
    <w:p w:rsidR="00315E0D" w:rsidRPr="00315E0D" w:rsidRDefault="00A94513" w:rsidP="00A94513">
      <w:pPr>
        <w:spacing w:after="0" w:line="240" w:lineRule="auto"/>
        <w:jc w:val="both"/>
        <w:rPr>
          <w:b/>
          <w:sz w:val="20"/>
          <w:szCs w:val="20"/>
        </w:rPr>
      </w:pPr>
      <w:r w:rsidRPr="00A94513">
        <w:rPr>
          <w:sz w:val="20"/>
          <w:szCs w:val="20"/>
        </w:rPr>
        <w:t>dostupno na: http://www.dzs.hr/Hrv_Eng/publication/2014/SI-1526.pdf</w:t>
      </w:r>
    </w:p>
    <w:p w:rsidR="00315E0D" w:rsidRDefault="00315E0D" w:rsidP="00A94513">
      <w:pPr>
        <w:spacing w:before="240"/>
        <w:jc w:val="both"/>
        <w:rPr>
          <w:b/>
          <w:sz w:val="24"/>
          <w:szCs w:val="24"/>
        </w:rPr>
      </w:pPr>
      <w:r>
        <w:rPr>
          <w:b/>
          <w:sz w:val="24"/>
          <w:szCs w:val="24"/>
        </w:rPr>
        <w:t>Slika</w:t>
      </w:r>
      <w:r w:rsidR="00A94513">
        <w:rPr>
          <w:b/>
          <w:sz w:val="24"/>
          <w:szCs w:val="24"/>
        </w:rPr>
        <w:t xml:space="preserve"> 1</w:t>
      </w:r>
      <w:r w:rsidR="00D7054B">
        <w:rPr>
          <w:b/>
          <w:sz w:val="24"/>
          <w:szCs w:val="24"/>
        </w:rPr>
        <w:t>1</w:t>
      </w:r>
      <w:r>
        <w:rPr>
          <w:b/>
          <w:sz w:val="24"/>
          <w:szCs w:val="24"/>
        </w:rPr>
        <w:t>: Zaposleni u pravnim osobama prema stupnju stručne spreme i spolu*</w:t>
      </w:r>
    </w:p>
    <w:p w:rsidR="00315E0D" w:rsidRDefault="00315E0D" w:rsidP="00315E0D">
      <w:pPr>
        <w:jc w:val="both"/>
        <w:rPr>
          <w:b/>
          <w:sz w:val="24"/>
          <w:szCs w:val="24"/>
        </w:rPr>
      </w:pPr>
      <w:r>
        <w:rPr>
          <w:b/>
          <w:noProof/>
          <w:sz w:val="24"/>
          <w:szCs w:val="24"/>
          <w:lang w:eastAsia="hr-HR"/>
        </w:rPr>
        <w:drawing>
          <wp:inline distT="0" distB="0" distL="0" distR="0" wp14:anchorId="6B5BBC98" wp14:editId="395F04BC">
            <wp:extent cx="5762625" cy="2162175"/>
            <wp:effectExtent l="0" t="0" r="9525" b="952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2625" cy="2162175"/>
                    </a:xfrm>
                    <a:prstGeom prst="rect">
                      <a:avLst/>
                    </a:prstGeom>
                    <a:noFill/>
                    <a:ln>
                      <a:noFill/>
                    </a:ln>
                  </pic:spPr>
                </pic:pic>
              </a:graphicData>
            </a:graphic>
          </wp:inline>
        </w:drawing>
      </w:r>
    </w:p>
    <w:p w:rsidR="00315E0D" w:rsidRDefault="00315E0D" w:rsidP="00315E0D">
      <w:pPr>
        <w:spacing w:after="0" w:line="240" w:lineRule="auto"/>
        <w:jc w:val="both"/>
        <w:rPr>
          <w:sz w:val="20"/>
          <w:szCs w:val="20"/>
        </w:rPr>
      </w:pPr>
      <w:r w:rsidRPr="00315E0D">
        <w:rPr>
          <w:sz w:val="20"/>
          <w:szCs w:val="20"/>
        </w:rPr>
        <w:t>* stanje 31.3.201</w:t>
      </w:r>
      <w:r w:rsidR="00A94513">
        <w:rPr>
          <w:sz w:val="20"/>
          <w:szCs w:val="20"/>
        </w:rPr>
        <w:t>3</w:t>
      </w:r>
      <w:r w:rsidRPr="00315E0D">
        <w:rPr>
          <w:sz w:val="20"/>
          <w:szCs w:val="20"/>
        </w:rPr>
        <w:t>. u tisućama</w:t>
      </w:r>
    </w:p>
    <w:p w:rsidR="00A94513" w:rsidRDefault="00AD735A" w:rsidP="00A94513">
      <w:pPr>
        <w:spacing w:after="0" w:line="240" w:lineRule="auto"/>
        <w:jc w:val="both"/>
        <w:rPr>
          <w:sz w:val="20"/>
          <w:szCs w:val="20"/>
        </w:rPr>
      </w:pPr>
      <w:r>
        <w:rPr>
          <w:sz w:val="20"/>
          <w:szCs w:val="20"/>
        </w:rPr>
        <w:t>Izvor: p</w:t>
      </w:r>
      <w:r w:rsidR="002A63C6">
        <w:rPr>
          <w:sz w:val="20"/>
          <w:szCs w:val="20"/>
        </w:rPr>
        <w:t>reuzeto iz:</w:t>
      </w:r>
      <w:r w:rsidR="002A63C6" w:rsidRPr="00A94513">
        <w:rPr>
          <w:sz w:val="20"/>
          <w:szCs w:val="20"/>
        </w:rPr>
        <w:t xml:space="preserve"> </w:t>
      </w:r>
      <w:r w:rsidR="00A94513">
        <w:rPr>
          <w:sz w:val="20"/>
          <w:szCs w:val="20"/>
        </w:rPr>
        <w:t xml:space="preserve">DZS, dostupno na: </w:t>
      </w:r>
      <w:r w:rsidR="00A94513" w:rsidRPr="00A94513">
        <w:rPr>
          <w:sz w:val="20"/>
          <w:szCs w:val="20"/>
        </w:rPr>
        <w:t>http://www.dzs.hr/Hrv_Eng/publication/2014/SI-1526.pdf</w:t>
      </w:r>
    </w:p>
    <w:p w:rsidR="00315E0D" w:rsidRPr="00315E0D" w:rsidRDefault="00315E0D" w:rsidP="00315E0D">
      <w:pPr>
        <w:jc w:val="both"/>
        <w:rPr>
          <w:b/>
          <w:sz w:val="24"/>
          <w:szCs w:val="24"/>
        </w:rPr>
      </w:pPr>
      <w:r w:rsidRPr="00315E0D">
        <w:rPr>
          <w:rFonts w:cs="Arial"/>
          <w:b/>
          <w:color w:val="000000"/>
          <w:sz w:val="24"/>
          <w:szCs w:val="24"/>
        </w:rPr>
        <w:lastRenderedPageBreak/>
        <w:t>Slika</w:t>
      </w:r>
      <w:r w:rsidR="00A94513">
        <w:rPr>
          <w:rFonts w:cs="Arial"/>
          <w:b/>
          <w:color w:val="000000"/>
          <w:sz w:val="24"/>
          <w:szCs w:val="24"/>
        </w:rPr>
        <w:t xml:space="preserve"> 1</w:t>
      </w:r>
      <w:r w:rsidR="00D7054B">
        <w:rPr>
          <w:rFonts w:cs="Arial"/>
          <w:b/>
          <w:color w:val="000000"/>
          <w:sz w:val="24"/>
          <w:szCs w:val="24"/>
        </w:rPr>
        <w:t>2</w:t>
      </w:r>
      <w:r w:rsidRPr="00315E0D">
        <w:rPr>
          <w:rFonts w:cs="Arial"/>
          <w:b/>
          <w:color w:val="000000"/>
          <w:sz w:val="24"/>
          <w:szCs w:val="24"/>
        </w:rPr>
        <w:t>: Prosječna mjesečna isplaćena plaća prema NKD-u 2007. i spolu za 2012.</w:t>
      </w:r>
    </w:p>
    <w:p w:rsidR="00A94513" w:rsidRDefault="00315E0D" w:rsidP="00A94513">
      <w:pPr>
        <w:spacing w:after="0" w:line="240" w:lineRule="auto"/>
        <w:jc w:val="both"/>
        <w:rPr>
          <w:sz w:val="20"/>
          <w:szCs w:val="20"/>
        </w:rPr>
      </w:pPr>
      <w:r>
        <w:rPr>
          <w:noProof/>
          <w:sz w:val="24"/>
          <w:szCs w:val="24"/>
          <w:lang w:eastAsia="hr-HR"/>
        </w:rPr>
        <w:drawing>
          <wp:inline distT="0" distB="0" distL="0" distR="0" wp14:anchorId="0D458155" wp14:editId="3E7F55F9">
            <wp:extent cx="5753100" cy="342900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3429000"/>
                    </a:xfrm>
                    <a:prstGeom prst="rect">
                      <a:avLst/>
                    </a:prstGeom>
                    <a:noFill/>
                    <a:ln>
                      <a:noFill/>
                    </a:ln>
                  </pic:spPr>
                </pic:pic>
              </a:graphicData>
            </a:graphic>
          </wp:inline>
        </w:drawing>
      </w:r>
      <w:r w:rsidR="002A63C6" w:rsidRPr="002A63C6">
        <w:rPr>
          <w:sz w:val="20"/>
          <w:szCs w:val="20"/>
        </w:rPr>
        <w:t xml:space="preserve"> </w:t>
      </w:r>
      <w:r w:rsidR="00AD735A">
        <w:rPr>
          <w:sz w:val="20"/>
          <w:szCs w:val="20"/>
        </w:rPr>
        <w:t>Izvor: p</w:t>
      </w:r>
      <w:r w:rsidR="002A63C6">
        <w:rPr>
          <w:sz w:val="20"/>
          <w:szCs w:val="20"/>
        </w:rPr>
        <w:t>reuzeto iz:</w:t>
      </w:r>
      <w:r w:rsidRPr="00315E0D">
        <w:rPr>
          <w:sz w:val="20"/>
          <w:szCs w:val="20"/>
        </w:rPr>
        <w:t xml:space="preserve"> </w:t>
      </w:r>
      <w:r w:rsidR="00A94513">
        <w:rPr>
          <w:sz w:val="20"/>
          <w:szCs w:val="20"/>
        </w:rPr>
        <w:t xml:space="preserve">DZS, dostupno na: </w:t>
      </w:r>
      <w:r w:rsidR="00A94513" w:rsidRPr="00A94513">
        <w:rPr>
          <w:sz w:val="20"/>
          <w:szCs w:val="20"/>
        </w:rPr>
        <w:t>http://www.dzs.hr/Hrv_Eng/publication/2014/SI-1526.pdf</w:t>
      </w:r>
    </w:p>
    <w:p w:rsidR="005B0B3F" w:rsidRPr="005B0B3F" w:rsidRDefault="005B0B3F" w:rsidP="00A94513">
      <w:pPr>
        <w:spacing w:before="240"/>
        <w:jc w:val="both"/>
        <w:rPr>
          <w:b/>
          <w:sz w:val="24"/>
          <w:szCs w:val="24"/>
        </w:rPr>
      </w:pPr>
      <w:r w:rsidRPr="005B0B3F">
        <w:rPr>
          <w:b/>
          <w:sz w:val="24"/>
          <w:szCs w:val="24"/>
        </w:rPr>
        <w:t>Slika</w:t>
      </w:r>
      <w:r w:rsidR="00A94513">
        <w:rPr>
          <w:b/>
          <w:sz w:val="24"/>
          <w:szCs w:val="24"/>
        </w:rPr>
        <w:t xml:space="preserve"> 1</w:t>
      </w:r>
      <w:r w:rsidR="00D7054B">
        <w:rPr>
          <w:b/>
          <w:sz w:val="24"/>
          <w:szCs w:val="24"/>
        </w:rPr>
        <w:t>3</w:t>
      </w:r>
      <w:r w:rsidRPr="005B0B3F">
        <w:rPr>
          <w:b/>
          <w:sz w:val="24"/>
          <w:szCs w:val="24"/>
        </w:rPr>
        <w:t>: Prosječne mjesečne neto plaće u Hrvatskoj prema NKD-u 2007</w:t>
      </w:r>
      <w:r w:rsidR="00315E0D">
        <w:rPr>
          <w:b/>
          <w:sz w:val="24"/>
          <w:szCs w:val="24"/>
        </w:rPr>
        <w:t xml:space="preserve">. </w:t>
      </w:r>
      <w:r w:rsidR="00315E0D" w:rsidRPr="005B0B3F">
        <w:rPr>
          <w:b/>
          <w:sz w:val="24"/>
          <w:szCs w:val="24"/>
        </w:rPr>
        <w:t>za ožujak 2015</w:t>
      </w:r>
      <w:r w:rsidR="00315E0D">
        <w:rPr>
          <w:b/>
          <w:sz w:val="24"/>
          <w:szCs w:val="24"/>
        </w:rPr>
        <w:t>.</w:t>
      </w:r>
    </w:p>
    <w:p w:rsidR="00893658" w:rsidRDefault="00893658" w:rsidP="00225CCC">
      <w:pPr>
        <w:jc w:val="both"/>
        <w:rPr>
          <w:sz w:val="24"/>
          <w:szCs w:val="24"/>
        </w:rPr>
      </w:pPr>
      <w:r>
        <w:rPr>
          <w:noProof/>
          <w:sz w:val="24"/>
          <w:szCs w:val="24"/>
          <w:lang w:eastAsia="hr-HR"/>
        </w:rPr>
        <w:drawing>
          <wp:inline distT="0" distB="0" distL="0" distR="0" wp14:anchorId="3611FEDC" wp14:editId="6B6B09BF">
            <wp:extent cx="5619750" cy="2258307"/>
            <wp:effectExtent l="0" t="0" r="0" b="889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2687" cy="2259487"/>
                    </a:xfrm>
                    <a:prstGeom prst="rect">
                      <a:avLst/>
                    </a:prstGeom>
                    <a:noFill/>
                    <a:ln>
                      <a:noFill/>
                    </a:ln>
                  </pic:spPr>
                </pic:pic>
              </a:graphicData>
            </a:graphic>
          </wp:inline>
        </w:drawing>
      </w:r>
    </w:p>
    <w:p w:rsidR="00A94513" w:rsidRPr="00315E0D" w:rsidRDefault="005B0B3F" w:rsidP="00D3384A">
      <w:pPr>
        <w:jc w:val="both"/>
        <w:rPr>
          <w:sz w:val="20"/>
          <w:szCs w:val="20"/>
        </w:rPr>
      </w:pPr>
      <w:r>
        <w:rPr>
          <w:noProof/>
          <w:sz w:val="24"/>
          <w:szCs w:val="24"/>
          <w:lang w:eastAsia="hr-HR"/>
        </w:rPr>
        <w:drawing>
          <wp:inline distT="0" distB="0" distL="0" distR="0" wp14:anchorId="0461DDB3" wp14:editId="3982D280">
            <wp:extent cx="5762625" cy="1819275"/>
            <wp:effectExtent l="0" t="0" r="9525" b="952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625" cy="1819275"/>
                    </a:xfrm>
                    <a:prstGeom prst="rect">
                      <a:avLst/>
                    </a:prstGeom>
                    <a:noFill/>
                    <a:ln>
                      <a:noFill/>
                    </a:ln>
                  </pic:spPr>
                </pic:pic>
              </a:graphicData>
            </a:graphic>
          </wp:inline>
        </w:drawing>
      </w:r>
      <w:r w:rsidR="002A63C6" w:rsidRPr="002A63C6">
        <w:rPr>
          <w:sz w:val="20"/>
          <w:szCs w:val="20"/>
        </w:rPr>
        <w:t xml:space="preserve"> </w:t>
      </w:r>
      <w:r w:rsidR="00AD735A">
        <w:rPr>
          <w:sz w:val="20"/>
          <w:szCs w:val="20"/>
        </w:rPr>
        <w:t>Izvor: p</w:t>
      </w:r>
      <w:r w:rsidR="002A63C6">
        <w:rPr>
          <w:sz w:val="20"/>
          <w:szCs w:val="20"/>
        </w:rPr>
        <w:t>reuzeto iz:</w:t>
      </w:r>
      <w:r w:rsidR="002A63C6" w:rsidRPr="00A94513">
        <w:rPr>
          <w:sz w:val="20"/>
          <w:szCs w:val="20"/>
        </w:rPr>
        <w:t xml:space="preserve"> </w:t>
      </w:r>
      <w:r w:rsidR="00315E0D" w:rsidRPr="00315E0D">
        <w:rPr>
          <w:sz w:val="20"/>
          <w:szCs w:val="20"/>
        </w:rPr>
        <w:t xml:space="preserve"> </w:t>
      </w:r>
      <w:r w:rsidR="00A94513">
        <w:rPr>
          <w:sz w:val="20"/>
          <w:szCs w:val="20"/>
        </w:rPr>
        <w:t>DZS, Priopćenje „Prosječne mjesečne isplaćene plaće zaposlenih za ožujak 2015.“</w:t>
      </w:r>
    </w:p>
    <w:p w:rsidR="002C239A" w:rsidRDefault="005F21FC" w:rsidP="00A94513">
      <w:pPr>
        <w:jc w:val="both"/>
        <w:rPr>
          <w:color w:val="000000"/>
          <w:sz w:val="24"/>
          <w:szCs w:val="24"/>
        </w:rPr>
      </w:pPr>
      <w:r w:rsidRPr="00086C6D">
        <w:rPr>
          <w:rFonts w:cs="Arial"/>
          <w:bCs/>
          <w:sz w:val="24"/>
          <w:szCs w:val="24"/>
        </w:rPr>
        <w:lastRenderedPageBreak/>
        <w:t xml:space="preserve">Prema metodologiji korištenoj u publikacijama DZS-a za Hrvatsku, </w:t>
      </w:r>
      <w:r w:rsidRPr="00086C6D">
        <w:rPr>
          <w:rFonts w:cs="Arial"/>
          <w:bCs/>
          <w:color w:val="C00000"/>
          <w:sz w:val="24"/>
          <w:szCs w:val="24"/>
        </w:rPr>
        <w:t>p</w:t>
      </w:r>
      <w:r w:rsidR="00A94513" w:rsidRPr="00086C6D">
        <w:rPr>
          <w:rFonts w:cs="Arial"/>
          <w:bCs/>
          <w:color w:val="C00000"/>
          <w:sz w:val="24"/>
          <w:szCs w:val="24"/>
        </w:rPr>
        <w:t>rosječna mjesečna isplaćena neto plaća</w:t>
      </w:r>
      <w:r w:rsidR="00A94513" w:rsidRPr="00086C6D">
        <w:rPr>
          <w:rStyle w:val="apple-converted-space"/>
          <w:rFonts w:cs="Arial"/>
          <w:color w:val="C00000"/>
          <w:sz w:val="24"/>
          <w:szCs w:val="24"/>
        </w:rPr>
        <w:t xml:space="preserve">  </w:t>
      </w:r>
      <w:r w:rsidR="00A94513" w:rsidRPr="00086C6D">
        <w:rPr>
          <w:rStyle w:val="apple-converted-space"/>
          <w:rFonts w:cs="Arial"/>
          <w:i/>
          <w:sz w:val="24"/>
          <w:szCs w:val="24"/>
        </w:rPr>
        <w:t>„</w:t>
      </w:r>
      <w:r w:rsidR="00A94513" w:rsidRPr="00086C6D">
        <w:rPr>
          <w:rFonts w:cs="Arial"/>
          <w:i/>
          <w:sz w:val="24"/>
          <w:szCs w:val="24"/>
        </w:rPr>
        <w:t>obuhvaća plaće zaposlenih za obavljene poslove prema osnovi radnog odnosa i naknade za godišnji odmor, plaćeni dopust, blagdane i neradne dane određene zakonom, bolovanja do 42 dana, odsutnost za vrijeme stručnog obrazovanja, zastoje na poslu bez krivnje zaposlenoga, naknadu za topli obrok i primitke prema osnovi naknada, potpora i nagrada u iznosima na koje se plaćaju doprinosi, porezi i prirezi.“</w:t>
      </w:r>
      <w:r w:rsidR="00D3384A" w:rsidRPr="00086C6D">
        <w:rPr>
          <w:sz w:val="24"/>
          <w:szCs w:val="24"/>
          <w:vertAlign w:val="superscript"/>
        </w:rPr>
        <w:t xml:space="preserve"> </w:t>
      </w:r>
      <w:r w:rsidR="00D3384A" w:rsidRPr="00086C6D">
        <w:rPr>
          <w:sz w:val="24"/>
          <w:szCs w:val="24"/>
          <w:vertAlign w:val="superscript"/>
        </w:rPr>
        <w:footnoteReference w:id="34"/>
      </w:r>
      <w:r w:rsidR="00D3384A" w:rsidRPr="00086C6D">
        <w:rPr>
          <w:sz w:val="24"/>
          <w:szCs w:val="24"/>
          <w:vertAlign w:val="superscript"/>
        </w:rPr>
        <w:t xml:space="preserve"> </w:t>
      </w:r>
      <w:r w:rsidR="00A94513" w:rsidRPr="00086C6D">
        <w:rPr>
          <w:rFonts w:cs="Arial"/>
          <w:i/>
          <w:sz w:val="24"/>
          <w:szCs w:val="24"/>
        </w:rPr>
        <w:t xml:space="preserve"> </w:t>
      </w:r>
      <w:r w:rsidRPr="00086C6D">
        <w:rPr>
          <w:rFonts w:cs="Arial"/>
          <w:i/>
          <w:sz w:val="24"/>
          <w:szCs w:val="24"/>
        </w:rPr>
        <w:t xml:space="preserve">Iz podataka u </w:t>
      </w:r>
      <w:r w:rsidRPr="00086C6D">
        <w:rPr>
          <w:color w:val="000000"/>
          <w:sz w:val="24"/>
          <w:szCs w:val="24"/>
        </w:rPr>
        <w:t xml:space="preserve"> tablici 10 i slikama 1</w:t>
      </w:r>
      <w:r w:rsidR="00D7054B">
        <w:rPr>
          <w:color w:val="000000"/>
          <w:sz w:val="24"/>
          <w:szCs w:val="24"/>
        </w:rPr>
        <w:t>2</w:t>
      </w:r>
      <w:r w:rsidRPr="00086C6D">
        <w:rPr>
          <w:color w:val="000000"/>
          <w:sz w:val="24"/>
          <w:szCs w:val="24"/>
        </w:rPr>
        <w:t xml:space="preserve"> i 1</w:t>
      </w:r>
      <w:r w:rsidR="00D7054B">
        <w:rPr>
          <w:color w:val="000000"/>
          <w:sz w:val="24"/>
          <w:szCs w:val="24"/>
        </w:rPr>
        <w:t>3</w:t>
      </w:r>
      <w:r w:rsidRPr="00086C6D">
        <w:rPr>
          <w:color w:val="000000"/>
          <w:sz w:val="24"/>
          <w:szCs w:val="24"/>
        </w:rPr>
        <w:t xml:space="preserve"> vidljive su </w:t>
      </w:r>
      <w:r w:rsidRPr="002C239A">
        <w:rPr>
          <w:sz w:val="24"/>
          <w:szCs w:val="24"/>
        </w:rPr>
        <w:t xml:space="preserve">značajne razlike u visini neto plaća s obzirom na stupanj stručne spreme, a u pojedinim djelatnostima </w:t>
      </w:r>
      <w:r w:rsidR="00086C6D" w:rsidRPr="002C239A">
        <w:rPr>
          <w:sz w:val="24"/>
          <w:szCs w:val="24"/>
        </w:rPr>
        <w:t xml:space="preserve">također i određene razlike </w:t>
      </w:r>
      <w:r w:rsidRPr="002C239A">
        <w:rPr>
          <w:sz w:val="24"/>
          <w:szCs w:val="24"/>
        </w:rPr>
        <w:t>s obzirom na spol</w:t>
      </w:r>
      <w:r w:rsidR="002C239A" w:rsidRPr="002C239A">
        <w:rPr>
          <w:sz w:val="24"/>
          <w:szCs w:val="24"/>
        </w:rPr>
        <w:t>, što zajedno sa svim drugim navedenim podacima predstavlja</w:t>
      </w:r>
      <w:r w:rsidR="002C239A">
        <w:rPr>
          <w:color w:val="C00000"/>
          <w:sz w:val="24"/>
          <w:szCs w:val="24"/>
        </w:rPr>
        <w:t xml:space="preserve"> bitne pokazatelje koje treba analizirati pri izboru osobne karijere</w:t>
      </w:r>
      <w:r w:rsidRPr="00086C6D">
        <w:rPr>
          <w:color w:val="000000"/>
          <w:sz w:val="24"/>
          <w:szCs w:val="24"/>
        </w:rPr>
        <w:t xml:space="preserve">. </w:t>
      </w:r>
    </w:p>
    <w:p w:rsidR="00B01138" w:rsidRPr="00086C6D" w:rsidRDefault="00B01138" w:rsidP="00B01138">
      <w:pPr>
        <w:jc w:val="both"/>
        <w:rPr>
          <w:rFonts w:cs="Arial"/>
          <w:sz w:val="24"/>
          <w:szCs w:val="24"/>
        </w:rPr>
      </w:pPr>
      <w:r>
        <w:rPr>
          <w:color w:val="000000"/>
          <w:sz w:val="24"/>
          <w:szCs w:val="24"/>
        </w:rPr>
        <w:t>Dok je 2012. prosječna isplaćene neto mjesečna plaća za muškarca u RH iznosila 5.719 kuna, za žene se kretala na prosječnoj razini 5.172 kune.</w:t>
      </w:r>
      <w:r w:rsidR="002C239A">
        <w:rPr>
          <w:color w:val="000000"/>
          <w:sz w:val="24"/>
          <w:szCs w:val="24"/>
        </w:rPr>
        <w:t xml:space="preserve"> </w:t>
      </w:r>
      <w:r w:rsidR="00086C6D" w:rsidRPr="00086C6D">
        <w:rPr>
          <w:color w:val="000000"/>
          <w:sz w:val="24"/>
          <w:szCs w:val="24"/>
        </w:rPr>
        <w:t>Financije, zdravstvo i socijalna skrb te javna uprava ističu se kao djelatnosti u kojima su isplaćene veće plaće muškarcima</w:t>
      </w:r>
      <w:r w:rsidR="000666C0">
        <w:rPr>
          <w:color w:val="000000"/>
          <w:sz w:val="24"/>
          <w:szCs w:val="24"/>
        </w:rPr>
        <w:t xml:space="preserve"> (</w:t>
      </w:r>
      <w:r w:rsidR="00086C6D">
        <w:rPr>
          <w:color w:val="000000"/>
          <w:sz w:val="24"/>
          <w:szCs w:val="24"/>
        </w:rPr>
        <w:t>pri tome financije i zdravstvo zapošljavaju znatno veći broj žena nego muškaraca</w:t>
      </w:r>
      <w:r w:rsidR="009F16BC">
        <w:rPr>
          <w:color w:val="000000"/>
          <w:sz w:val="24"/>
          <w:szCs w:val="24"/>
        </w:rPr>
        <w:t xml:space="preserve">, dok financije </w:t>
      </w:r>
      <w:r w:rsidR="00FD530F">
        <w:rPr>
          <w:color w:val="000000"/>
          <w:sz w:val="24"/>
          <w:szCs w:val="24"/>
        </w:rPr>
        <w:t xml:space="preserve">ujedno </w:t>
      </w:r>
      <w:r w:rsidR="009F16BC">
        <w:rPr>
          <w:color w:val="000000"/>
          <w:sz w:val="24"/>
          <w:szCs w:val="24"/>
        </w:rPr>
        <w:t>predstavljaju jednu od dvije djelatnosti s najvišim prosječnim neto plaćama - znatno iznad prosjeka RH</w:t>
      </w:r>
      <w:r w:rsidR="000666C0">
        <w:rPr>
          <w:color w:val="000000"/>
          <w:sz w:val="24"/>
          <w:szCs w:val="24"/>
        </w:rPr>
        <w:t>)</w:t>
      </w:r>
      <w:r w:rsidR="00086C6D">
        <w:rPr>
          <w:color w:val="000000"/>
          <w:sz w:val="24"/>
          <w:szCs w:val="24"/>
        </w:rPr>
        <w:t>. Nasuprot tome, žene su ostvarile prosječno veću isplaćenu plaću u djelatnostima</w:t>
      </w:r>
      <w:r w:rsidR="00086C6D" w:rsidRPr="00086C6D">
        <w:rPr>
          <w:color w:val="000000"/>
          <w:sz w:val="24"/>
          <w:szCs w:val="24"/>
        </w:rPr>
        <w:t xml:space="preserve"> rudarstv</w:t>
      </w:r>
      <w:r w:rsidR="00086C6D">
        <w:rPr>
          <w:color w:val="000000"/>
          <w:sz w:val="24"/>
          <w:szCs w:val="24"/>
        </w:rPr>
        <w:t>a i vađenja, građevinarstva</w:t>
      </w:r>
      <w:r w:rsidR="00086C6D" w:rsidRPr="00086C6D">
        <w:rPr>
          <w:color w:val="000000"/>
          <w:sz w:val="24"/>
          <w:szCs w:val="24"/>
        </w:rPr>
        <w:t xml:space="preserve"> i administrativno-</w:t>
      </w:r>
      <w:r w:rsidR="009F16BC">
        <w:rPr>
          <w:color w:val="000000"/>
          <w:sz w:val="24"/>
          <w:szCs w:val="24"/>
        </w:rPr>
        <w:t xml:space="preserve">pomoćno </w:t>
      </w:r>
      <w:r w:rsidR="00086C6D" w:rsidRPr="00086C6D">
        <w:rPr>
          <w:color w:val="000000"/>
          <w:sz w:val="24"/>
          <w:szCs w:val="24"/>
        </w:rPr>
        <w:t>uslužn</w:t>
      </w:r>
      <w:r w:rsidR="00086C6D">
        <w:rPr>
          <w:color w:val="000000"/>
          <w:sz w:val="24"/>
          <w:szCs w:val="24"/>
        </w:rPr>
        <w:t>ih aktivnosti</w:t>
      </w:r>
      <w:r w:rsidR="000666C0">
        <w:rPr>
          <w:color w:val="000000"/>
          <w:sz w:val="24"/>
          <w:szCs w:val="24"/>
        </w:rPr>
        <w:t xml:space="preserve"> (</w:t>
      </w:r>
      <w:r w:rsidR="00086C6D">
        <w:rPr>
          <w:color w:val="000000"/>
          <w:sz w:val="24"/>
          <w:szCs w:val="24"/>
        </w:rPr>
        <w:t>ali je udio zaposlenih žena u rudarstvu i vađenju te djelatnosti građevinarstva vrlo nizak</w:t>
      </w:r>
      <w:r w:rsidR="009F16BC">
        <w:rPr>
          <w:color w:val="000000"/>
          <w:sz w:val="24"/>
          <w:szCs w:val="24"/>
        </w:rPr>
        <w:t>).</w:t>
      </w:r>
      <w:r w:rsidR="00150C4C">
        <w:rPr>
          <w:color w:val="000000"/>
          <w:sz w:val="24"/>
          <w:szCs w:val="24"/>
        </w:rPr>
        <w:t xml:space="preserve"> </w:t>
      </w:r>
      <w:r w:rsidR="00FD530F">
        <w:rPr>
          <w:color w:val="000000"/>
          <w:sz w:val="24"/>
          <w:szCs w:val="24"/>
        </w:rPr>
        <w:t>Djelatnosti u kojima su s većim</w:t>
      </w:r>
      <w:r>
        <w:rPr>
          <w:color w:val="000000"/>
          <w:sz w:val="24"/>
          <w:szCs w:val="24"/>
        </w:rPr>
        <w:t xml:space="preserve"> udjelom zaposlene žene (u odnosu na muškarce) su obrazovanje, zdravstvo i socijalna skrb i trgovina. Dodatno velik broj žena zaposlen je u prerađivačkoj industriji (vidjeti sliku 1</w:t>
      </w:r>
      <w:r w:rsidR="00D7054B">
        <w:rPr>
          <w:color w:val="000000"/>
          <w:sz w:val="24"/>
          <w:szCs w:val="24"/>
        </w:rPr>
        <w:t>4</w:t>
      </w:r>
      <w:r>
        <w:rPr>
          <w:color w:val="000000"/>
          <w:sz w:val="24"/>
          <w:szCs w:val="24"/>
        </w:rPr>
        <w:t>) kao aktivnosti izložen</w:t>
      </w:r>
      <w:r w:rsidR="00FD530F">
        <w:rPr>
          <w:color w:val="000000"/>
          <w:sz w:val="24"/>
          <w:szCs w:val="24"/>
        </w:rPr>
        <w:t>oj</w:t>
      </w:r>
      <w:r>
        <w:rPr>
          <w:color w:val="000000"/>
          <w:sz w:val="24"/>
          <w:szCs w:val="24"/>
        </w:rPr>
        <w:t xml:space="preserve"> značajnom pritisku na smanjenje troškova proizvodnje radi postizanja veće konkurentnosti na domaćem i izvoznim tržištima</w:t>
      </w:r>
      <w:r w:rsidR="00FD530F">
        <w:rPr>
          <w:color w:val="000000"/>
          <w:sz w:val="24"/>
          <w:szCs w:val="24"/>
        </w:rPr>
        <w:t xml:space="preserve"> te stoga uglavnom uključuje zaposlene uz plaću nižu od prosjeka RH</w:t>
      </w:r>
      <w:r>
        <w:rPr>
          <w:color w:val="000000"/>
          <w:sz w:val="24"/>
          <w:szCs w:val="24"/>
        </w:rPr>
        <w:t xml:space="preserve">. </w:t>
      </w:r>
    </w:p>
    <w:p w:rsidR="00B01138" w:rsidRDefault="00FD530F" w:rsidP="00B01138">
      <w:pPr>
        <w:jc w:val="both"/>
        <w:rPr>
          <w:color w:val="000000" w:themeColor="text1"/>
          <w:sz w:val="24"/>
          <w:szCs w:val="24"/>
        </w:rPr>
      </w:pPr>
      <w:r>
        <w:rPr>
          <w:color w:val="000000" w:themeColor="text1"/>
          <w:sz w:val="24"/>
          <w:szCs w:val="24"/>
        </w:rPr>
        <w:t xml:space="preserve">Kako </w:t>
      </w:r>
      <w:r w:rsidR="00B01138" w:rsidRPr="00386B3A">
        <w:rPr>
          <w:color w:val="000000" w:themeColor="text1"/>
          <w:sz w:val="24"/>
          <w:szCs w:val="24"/>
        </w:rPr>
        <w:t>je među zaposlenima najveći broj onih sa srednjom stručnom spremom (vidjeti sliku 1</w:t>
      </w:r>
      <w:r w:rsidR="00D7054B">
        <w:rPr>
          <w:color w:val="000000" w:themeColor="text1"/>
          <w:sz w:val="24"/>
          <w:szCs w:val="24"/>
        </w:rPr>
        <w:t>1</w:t>
      </w:r>
      <w:r w:rsidR="00B01138" w:rsidRPr="00386B3A">
        <w:rPr>
          <w:color w:val="000000" w:themeColor="text1"/>
          <w:sz w:val="24"/>
          <w:szCs w:val="24"/>
        </w:rPr>
        <w:t xml:space="preserve">) prosječna isplaćena neto plaća u Hrvatskoj znatno je niža od one koju prosječno ostvaruju osobe sa završenim fakultetom, a posebno u </w:t>
      </w:r>
      <w:r w:rsidR="00B01138" w:rsidRPr="00BA54CE">
        <w:rPr>
          <w:color w:val="C00000"/>
          <w:sz w:val="24"/>
          <w:szCs w:val="24"/>
        </w:rPr>
        <w:t>djelatnostima financija te informacija i komunikacija koje se uobičajeno ističu znatno višim neto plaćama od ostalih djelatnosti</w:t>
      </w:r>
      <w:r w:rsidR="00B01138" w:rsidRPr="00386B3A">
        <w:rPr>
          <w:color w:val="000000" w:themeColor="text1"/>
          <w:sz w:val="24"/>
          <w:szCs w:val="24"/>
        </w:rPr>
        <w:t>. (slik</w:t>
      </w:r>
      <w:r w:rsidR="00747122">
        <w:rPr>
          <w:color w:val="000000" w:themeColor="text1"/>
          <w:sz w:val="24"/>
          <w:szCs w:val="24"/>
        </w:rPr>
        <w:t>e</w:t>
      </w:r>
      <w:r w:rsidR="00B01138" w:rsidRPr="00386B3A">
        <w:rPr>
          <w:color w:val="000000" w:themeColor="text1"/>
          <w:sz w:val="24"/>
          <w:szCs w:val="24"/>
        </w:rPr>
        <w:t xml:space="preserve"> 1</w:t>
      </w:r>
      <w:r w:rsidR="00747122">
        <w:rPr>
          <w:color w:val="000000" w:themeColor="text1"/>
          <w:sz w:val="24"/>
          <w:szCs w:val="24"/>
        </w:rPr>
        <w:t>2 i1</w:t>
      </w:r>
      <w:r w:rsidR="00D7054B">
        <w:rPr>
          <w:color w:val="000000" w:themeColor="text1"/>
          <w:sz w:val="24"/>
          <w:szCs w:val="24"/>
        </w:rPr>
        <w:t>3</w:t>
      </w:r>
      <w:r w:rsidR="00B01138" w:rsidRPr="00386B3A">
        <w:rPr>
          <w:color w:val="000000" w:themeColor="text1"/>
          <w:sz w:val="24"/>
          <w:szCs w:val="24"/>
        </w:rPr>
        <w:t>). U ostale djelatnosti s plaćama višim od prosjeka RH (ali ipak znatn</w:t>
      </w:r>
      <w:r w:rsidR="00B01138">
        <w:rPr>
          <w:color w:val="000000" w:themeColor="text1"/>
          <w:sz w:val="24"/>
          <w:szCs w:val="24"/>
        </w:rPr>
        <w:t>o</w:t>
      </w:r>
      <w:r w:rsidR="00B01138" w:rsidRPr="00386B3A">
        <w:rPr>
          <w:color w:val="000000" w:themeColor="text1"/>
          <w:sz w:val="24"/>
          <w:szCs w:val="24"/>
        </w:rPr>
        <w:t xml:space="preserve"> nižim od informacija i komunikacija te financija) ulaze opskrba električnom energijom, rudarstvo i vađenje te stručne i znanstvene djelatnosti. Sve navedeno se nadovezuje na činjenicu da su </w:t>
      </w:r>
      <w:r w:rsidR="00B01138" w:rsidRPr="00CD2952">
        <w:rPr>
          <w:color w:val="C00000"/>
          <w:sz w:val="24"/>
          <w:szCs w:val="24"/>
        </w:rPr>
        <w:t>najveće plaće u sektoru međunarodno ne</w:t>
      </w:r>
      <w:r w:rsidR="001C59BE" w:rsidRPr="00CD2952">
        <w:rPr>
          <w:color w:val="C00000"/>
          <w:sz w:val="24"/>
          <w:szCs w:val="24"/>
        </w:rPr>
        <w:t>razmjenjivih</w:t>
      </w:r>
      <w:r w:rsidR="00B01138" w:rsidRPr="00CD2952">
        <w:rPr>
          <w:color w:val="C00000"/>
          <w:sz w:val="24"/>
          <w:szCs w:val="24"/>
        </w:rPr>
        <w:t xml:space="preserve"> dobara </w:t>
      </w:r>
      <w:r w:rsidR="00B01138" w:rsidRPr="00386B3A">
        <w:rPr>
          <w:color w:val="000000" w:themeColor="text1"/>
          <w:sz w:val="24"/>
          <w:szCs w:val="24"/>
        </w:rPr>
        <w:t xml:space="preserve">odnosno </w:t>
      </w:r>
      <w:r w:rsidR="00BA4C2B">
        <w:rPr>
          <w:color w:val="000000" w:themeColor="text1"/>
          <w:sz w:val="24"/>
          <w:szCs w:val="24"/>
        </w:rPr>
        <w:t>u aktivnostima koje</w:t>
      </w:r>
      <w:r w:rsidR="00B01138" w:rsidRPr="00386B3A">
        <w:rPr>
          <w:color w:val="000000" w:themeColor="text1"/>
          <w:sz w:val="24"/>
          <w:szCs w:val="24"/>
        </w:rPr>
        <w:t xml:space="preserve"> nisu orijentiran</w:t>
      </w:r>
      <w:r w:rsidR="00905ECC">
        <w:rPr>
          <w:color w:val="000000" w:themeColor="text1"/>
          <w:sz w:val="24"/>
          <w:szCs w:val="24"/>
        </w:rPr>
        <w:t>e</w:t>
      </w:r>
      <w:r w:rsidR="00B01138" w:rsidRPr="00386B3A">
        <w:rPr>
          <w:color w:val="000000" w:themeColor="text1"/>
          <w:sz w:val="24"/>
          <w:szCs w:val="24"/>
        </w:rPr>
        <w:t xml:space="preserve"> na izvoz i/ili pod značajnim pritiskom konkurencije </w:t>
      </w:r>
      <w:r w:rsidR="00BA54CE">
        <w:rPr>
          <w:color w:val="000000" w:themeColor="text1"/>
          <w:sz w:val="24"/>
          <w:szCs w:val="24"/>
        </w:rPr>
        <w:t xml:space="preserve">(uvoza) </w:t>
      </w:r>
      <w:r w:rsidR="00B01138" w:rsidRPr="00386B3A">
        <w:rPr>
          <w:color w:val="000000" w:themeColor="text1"/>
          <w:sz w:val="24"/>
          <w:szCs w:val="24"/>
        </w:rPr>
        <w:t>iz inozemstva</w:t>
      </w:r>
      <w:r w:rsidR="00BA4C2B">
        <w:rPr>
          <w:color w:val="000000" w:themeColor="text1"/>
          <w:sz w:val="24"/>
          <w:szCs w:val="24"/>
        </w:rPr>
        <w:t>.</w:t>
      </w:r>
      <w:r w:rsidR="00B01138">
        <w:rPr>
          <w:color w:val="000000" w:themeColor="text1"/>
          <w:sz w:val="24"/>
          <w:szCs w:val="24"/>
        </w:rPr>
        <w:t xml:space="preserve"> </w:t>
      </w:r>
      <w:r w:rsidR="00905ECC">
        <w:rPr>
          <w:color w:val="000000" w:themeColor="text1"/>
          <w:sz w:val="24"/>
          <w:szCs w:val="24"/>
        </w:rPr>
        <w:t>Pozitivni i</w:t>
      </w:r>
      <w:r w:rsidR="00B01138">
        <w:rPr>
          <w:color w:val="000000" w:themeColor="text1"/>
          <w:sz w:val="24"/>
          <w:szCs w:val="24"/>
        </w:rPr>
        <w:t>zuzetak predstavlja</w:t>
      </w:r>
      <w:r w:rsidR="004E01C4">
        <w:rPr>
          <w:color w:val="000000" w:themeColor="text1"/>
          <w:sz w:val="24"/>
          <w:szCs w:val="24"/>
        </w:rPr>
        <w:t>ju</w:t>
      </w:r>
      <w:r w:rsidR="00B01138">
        <w:rPr>
          <w:color w:val="000000" w:themeColor="text1"/>
          <w:sz w:val="24"/>
          <w:szCs w:val="24"/>
        </w:rPr>
        <w:t xml:space="preserve"> djelatnost informacija i komunikacija koja je sve više izvozno orijentirana</w:t>
      </w:r>
      <w:r w:rsidR="00BA4C2B">
        <w:rPr>
          <w:color w:val="000000" w:themeColor="text1"/>
          <w:sz w:val="24"/>
          <w:szCs w:val="24"/>
        </w:rPr>
        <w:t xml:space="preserve"> te pojedine aktivnosti orijentirane na izvoz tehnološko-inovativnih dobara</w:t>
      </w:r>
      <w:r w:rsidR="00B01138" w:rsidRPr="00386B3A">
        <w:rPr>
          <w:color w:val="000000" w:themeColor="text1"/>
          <w:sz w:val="24"/>
          <w:szCs w:val="24"/>
        </w:rPr>
        <w:t>.</w:t>
      </w:r>
      <w:r w:rsidR="00B01138">
        <w:rPr>
          <w:color w:val="000000" w:themeColor="text1"/>
          <w:sz w:val="24"/>
          <w:szCs w:val="24"/>
        </w:rPr>
        <w:t xml:space="preserve"> </w:t>
      </w:r>
    </w:p>
    <w:p w:rsidR="00CD2952" w:rsidRPr="00386B3A" w:rsidRDefault="00CD2952" w:rsidP="00CD2952">
      <w:pPr>
        <w:jc w:val="both"/>
        <w:rPr>
          <w:rFonts w:cs="Arial"/>
          <w:color w:val="000000" w:themeColor="text1"/>
          <w:sz w:val="24"/>
          <w:szCs w:val="24"/>
        </w:rPr>
      </w:pPr>
      <w:r w:rsidRPr="00BA54CE">
        <w:rPr>
          <w:color w:val="C00000"/>
          <w:sz w:val="24"/>
          <w:szCs w:val="24"/>
        </w:rPr>
        <w:t>Djelatnosti koje zapošljavaju najviše osoba su prerađivačka industrija i trgovina</w:t>
      </w:r>
      <w:r>
        <w:rPr>
          <w:color w:val="000000" w:themeColor="text1"/>
          <w:sz w:val="24"/>
          <w:szCs w:val="24"/>
        </w:rPr>
        <w:t xml:space="preserve">. Pri tome je 57% svih zaposlenih u privatnom sektoru, a oko 37% u javnom sektoru. Prema podacima za 2013. između 5 i 6 posto zaposlenih ostvarivalo je mjesečnu plaću veću od 10.000 kn te oko </w:t>
      </w:r>
      <w:r>
        <w:rPr>
          <w:color w:val="000000" w:themeColor="text1"/>
          <w:sz w:val="24"/>
          <w:szCs w:val="24"/>
        </w:rPr>
        <w:lastRenderedPageBreak/>
        <w:t>6% plaću između 8.000 i 10.000 kuna</w:t>
      </w:r>
      <w:r w:rsidR="000F463A">
        <w:rPr>
          <w:color w:val="000000" w:themeColor="text1"/>
          <w:sz w:val="24"/>
          <w:szCs w:val="24"/>
        </w:rPr>
        <w:t xml:space="preserve"> (slika 1</w:t>
      </w:r>
      <w:r w:rsidR="00D7054B">
        <w:rPr>
          <w:color w:val="000000" w:themeColor="text1"/>
          <w:sz w:val="24"/>
          <w:szCs w:val="24"/>
        </w:rPr>
        <w:t>4</w:t>
      </w:r>
      <w:r w:rsidR="000F463A">
        <w:rPr>
          <w:color w:val="000000" w:themeColor="text1"/>
          <w:sz w:val="24"/>
          <w:szCs w:val="24"/>
        </w:rPr>
        <w:t>)</w:t>
      </w:r>
      <w:r>
        <w:rPr>
          <w:color w:val="000000" w:themeColor="text1"/>
          <w:sz w:val="24"/>
          <w:szCs w:val="24"/>
        </w:rPr>
        <w:t xml:space="preserve">. Preko 17% zaposlenih ostvarivalo je plaću između 6.000 i 8.000 kuna te oko 16% plaću između 5.000 i 6.000 kuna (blizu prosjeka RH). </w:t>
      </w:r>
    </w:p>
    <w:p w:rsidR="005B0B3F" w:rsidRPr="006F35C5" w:rsidRDefault="005B0B3F" w:rsidP="00225CCC">
      <w:pPr>
        <w:jc w:val="both"/>
        <w:rPr>
          <w:b/>
          <w:sz w:val="24"/>
          <w:szCs w:val="24"/>
        </w:rPr>
      </w:pPr>
      <w:r w:rsidRPr="006F35C5">
        <w:rPr>
          <w:b/>
          <w:sz w:val="24"/>
          <w:szCs w:val="24"/>
        </w:rPr>
        <w:t>Slika</w:t>
      </w:r>
      <w:r w:rsidR="00A94513">
        <w:rPr>
          <w:b/>
          <w:sz w:val="24"/>
          <w:szCs w:val="24"/>
        </w:rPr>
        <w:t xml:space="preserve"> 1</w:t>
      </w:r>
      <w:r w:rsidR="00D7054B">
        <w:rPr>
          <w:b/>
          <w:sz w:val="24"/>
          <w:szCs w:val="24"/>
        </w:rPr>
        <w:t>4</w:t>
      </w:r>
      <w:r w:rsidRPr="006F35C5">
        <w:rPr>
          <w:b/>
          <w:sz w:val="24"/>
          <w:szCs w:val="24"/>
        </w:rPr>
        <w:t>: Broj zaposlenih u pravnim osobama prema NKD-u 2007. i spolu, stanje 31.3.2013.</w:t>
      </w:r>
      <w:r w:rsidR="009F16BC">
        <w:rPr>
          <w:b/>
          <w:sz w:val="24"/>
          <w:szCs w:val="24"/>
        </w:rPr>
        <w:t xml:space="preserve"> u tisućama</w:t>
      </w:r>
    </w:p>
    <w:p w:rsidR="005B0B3F" w:rsidRPr="00225CCC" w:rsidRDefault="006F35C5" w:rsidP="00225CCC">
      <w:pPr>
        <w:jc w:val="both"/>
        <w:rPr>
          <w:sz w:val="24"/>
          <w:szCs w:val="24"/>
        </w:rPr>
      </w:pPr>
      <w:r>
        <w:rPr>
          <w:noProof/>
          <w:sz w:val="24"/>
          <w:szCs w:val="24"/>
          <w:lang w:eastAsia="hr-HR"/>
        </w:rPr>
        <w:drawing>
          <wp:inline distT="0" distB="0" distL="0" distR="0" wp14:anchorId="6AD2545C" wp14:editId="21FB41CA">
            <wp:extent cx="5372558" cy="2962022"/>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3000" cy="2962266"/>
                    </a:xfrm>
                    <a:prstGeom prst="rect">
                      <a:avLst/>
                    </a:prstGeom>
                    <a:noFill/>
                    <a:ln>
                      <a:noFill/>
                    </a:ln>
                  </pic:spPr>
                </pic:pic>
              </a:graphicData>
            </a:graphic>
          </wp:inline>
        </w:drawing>
      </w:r>
    </w:p>
    <w:p w:rsidR="00A94513" w:rsidRPr="00A94513" w:rsidRDefault="00AD735A" w:rsidP="00A94513">
      <w:pPr>
        <w:spacing w:after="0" w:line="240" w:lineRule="auto"/>
        <w:jc w:val="both"/>
        <w:rPr>
          <w:sz w:val="20"/>
          <w:szCs w:val="20"/>
        </w:rPr>
      </w:pPr>
      <w:r>
        <w:rPr>
          <w:sz w:val="20"/>
          <w:szCs w:val="20"/>
        </w:rPr>
        <w:t>Izvor: p</w:t>
      </w:r>
      <w:r w:rsidR="002A63C6">
        <w:rPr>
          <w:sz w:val="20"/>
          <w:szCs w:val="20"/>
        </w:rPr>
        <w:t>reuzeto iz</w:t>
      </w:r>
      <w:r w:rsidR="006F35C5" w:rsidRPr="00A94513">
        <w:rPr>
          <w:sz w:val="20"/>
          <w:szCs w:val="20"/>
        </w:rPr>
        <w:t xml:space="preserve">: </w:t>
      </w:r>
      <w:r w:rsidR="00A94513" w:rsidRPr="00A94513">
        <w:rPr>
          <w:sz w:val="20"/>
          <w:szCs w:val="20"/>
        </w:rPr>
        <w:t>DZS, dostupno na: http://www.dzs.hr/Hrv_Eng/publication/2014/SI-1526.pdf</w:t>
      </w:r>
    </w:p>
    <w:p w:rsidR="006F35C5" w:rsidRDefault="00CD2952" w:rsidP="00CD2952">
      <w:pPr>
        <w:spacing w:before="240"/>
        <w:jc w:val="both"/>
        <w:rPr>
          <w:b/>
          <w:sz w:val="24"/>
          <w:szCs w:val="24"/>
        </w:rPr>
      </w:pPr>
      <w:r>
        <w:rPr>
          <w:b/>
          <w:sz w:val="24"/>
          <w:szCs w:val="24"/>
        </w:rPr>
        <w:t>Slika 1</w:t>
      </w:r>
      <w:r w:rsidR="00D7054B">
        <w:rPr>
          <w:b/>
          <w:sz w:val="24"/>
          <w:szCs w:val="24"/>
        </w:rPr>
        <w:t>5</w:t>
      </w:r>
      <w:r>
        <w:rPr>
          <w:b/>
          <w:sz w:val="24"/>
          <w:szCs w:val="24"/>
        </w:rPr>
        <w:t xml:space="preserve">: </w:t>
      </w:r>
      <w:r w:rsidR="006F35C5">
        <w:rPr>
          <w:b/>
          <w:sz w:val="24"/>
          <w:szCs w:val="24"/>
        </w:rPr>
        <w:t xml:space="preserve">Struktura zaposlenih u pravnim osobama prema visini </w:t>
      </w:r>
      <w:r w:rsidR="008418E7">
        <w:rPr>
          <w:b/>
          <w:sz w:val="24"/>
          <w:szCs w:val="24"/>
        </w:rPr>
        <w:t xml:space="preserve">prosječne </w:t>
      </w:r>
      <w:r w:rsidR="006F35C5">
        <w:rPr>
          <w:b/>
          <w:sz w:val="24"/>
          <w:szCs w:val="24"/>
        </w:rPr>
        <w:t xml:space="preserve">neto </w:t>
      </w:r>
      <w:r w:rsidR="008418E7">
        <w:rPr>
          <w:b/>
          <w:sz w:val="24"/>
          <w:szCs w:val="24"/>
        </w:rPr>
        <w:t>isplaćene plaće</w:t>
      </w:r>
      <w:r>
        <w:rPr>
          <w:b/>
          <w:sz w:val="24"/>
          <w:szCs w:val="24"/>
        </w:rPr>
        <w:t xml:space="preserve"> (u tisućama)</w:t>
      </w:r>
    </w:p>
    <w:p w:rsidR="006F35C5" w:rsidRPr="006F35C5" w:rsidRDefault="006F35C5" w:rsidP="006F35C5">
      <w:pPr>
        <w:jc w:val="both"/>
        <w:rPr>
          <w:b/>
          <w:sz w:val="24"/>
          <w:szCs w:val="24"/>
        </w:rPr>
      </w:pPr>
      <w:r>
        <w:rPr>
          <w:b/>
          <w:noProof/>
          <w:sz w:val="24"/>
          <w:szCs w:val="24"/>
          <w:lang w:eastAsia="hr-HR"/>
        </w:rPr>
        <w:drawing>
          <wp:inline distT="0" distB="0" distL="0" distR="0" wp14:anchorId="3F17994E" wp14:editId="076124A6">
            <wp:extent cx="5516753" cy="3419475"/>
            <wp:effectExtent l="0" t="0" r="8255"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16753" cy="3419475"/>
                    </a:xfrm>
                    <a:prstGeom prst="rect">
                      <a:avLst/>
                    </a:prstGeom>
                    <a:noFill/>
                    <a:ln>
                      <a:noFill/>
                    </a:ln>
                  </pic:spPr>
                </pic:pic>
              </a:graphicData>
            </a:graphic>
          </wp:inline>
        </w:drawing>
      </w:r>
    </w:p>
    <w:p w:rsidR="00A94513" w:rsidRDefault="00AD735A" w:rsidP="00A94513">
      <w:pPr>
        <w:spacing w:after="0" w:line="240" w:lineRule="auto"/>
        <w:jc w:val="both"/>
        <w:rPr>
          <w:sz w:val="20"/>
          <w:szCs w:val="20"/>
        </w:rPr>
      </w:pPr>
      <w:r>
        <w:rPr>
          <w:sz w:val="20"/>
          <w:szCs w:val="20"/>
        </w:rPr>
        <w:t>Izvor: p</w:t>
      </w:r>
      <w:r w:rsidR="002A63C6">
        <w:rPr>
          <w:sz w:val="20"/>
          <w:szCs w:val="20"/>
        </w:rPr>
        <w:t>reuzeto iz:</w:t>
      </w:r>
      <w:r w:rsidR="00A94513">
        <w:rPr>
          <w:sz w:val="20"/>
          <w:szCs w:val="20"/>
        </w:rPr>
        <w:t xml:space="preserve"> DZS, dostupno na: </w:t>
      </w:r>
      <w:r w:rsidR="00A94513" w:rsidRPr="00A94513">
        <w:rPr>
          <w:sz w:val="20"/>
          <w:szCs w:val="20"/>
        </w:rPr>
        <w:t>http://www.dzs.hr/Hrv_Eng/publication/2014/SI-1526.pdf</w:t>
      </w:r>
    </w:p>
    <w:p w:rsidR="00C066B0" w:rsidRDefault="00D7054B" w:rsidP="009D0B6E">
      <w:pPr>
        <w:jc w:val="both"/>
        <w:rPr>
          <w:sz w:val="24"/>
          <w:szCs w:val="24"/>
        </w:rPr>
      </w:pPr>
      <w:r>
        <w:rPr>
          <w:sz w:val="24"/>
          <w:szCs w:val="24"/>
        </w:rPr>
        <w:lastRenderedPageBreak/>
        <w:t>Na slici 16</w:t>
      </w:r>
      <w:r w:rsidR="00C066B0">
        <w:rPr>
          <w:sz w:val="24"/>
          <w:szCs w:val="24"/>
        </w:rPr>
        <w:t xml:space="preserve"> je vidljivo da se prosječna neto plaća u Hrvatskoj </w:t>
      </w:r>
      <w:r w:rsidR="00522C19">
        <w:rPr>
          <w:sz w:val="24"/>
          <w:szCs w:val="24"/>
        </w:rPr>
        <w:t>(izražena u eurima</w:t>
      </w:r>
      <w:r w:rsidR="0091623D">
        <w:rPr>
          <w:sz w:val="24"/>
          <w:szCs w:val="24"/>
        </w:rPr>
        <w:t xml:space="preserve"> zbog visoke uvozne zavisnosti zemlje i ovisnosti o tečaju kuna-euro</w:t>
      </w:r>
      <w:r w:rsidR="00522C19">
        <w:rPr>
          <w:sz w:val="24"/>
          <w:szCs w:val="24"/>
        </w:rPr>
        <w:t xml:space="preserve">) </w:t>
      </w:r>
      <w:r w:rsidR="00C066B0">
        <w:rPr>
          <w:sz w:val="24"/>
          <w:szCs w:val="24"/>
        </w:rPr>
        <w:t xml:space="preserve">nije bitno mijenjala </w:t>
      </w:r>
      <w:r w:rsidR="0091623D">
        <w:rPr>
          <w:sz w:val="24"/>
          <w:szCs w:val="24"/>
        </w:rPr>
        <w:t xml:space="preserve">nakon 2008.  </w:t>
      </w:r>
      <w:r w:rsidR="00BA54CE">
        <w:rPr>
          <w:sz w:val="24"/>
          <w:szCs w:val="24"/>
        </w:rPr>
        <w:t>Međutim,</w:t>
      </w:r>
      <w:r w:rsidR="0091623D">
        <w:rPr>
          <w:sz w:val="24"/>
          <w:szCs w:val="24"/>
        </w:rPr>
        <w:t xml:space="preserve"> zb</w:t>
      </w:r>
      <w:r w:rsidR="00C066B0">
        <w:rPr>
          <w:sz w:val="24"/>
          <w:szCs w:val="24"/>
        </w:rPr>
        <w:t xml:space="preserve">og </w:t>
      </w:r>
      <w:r w:rsidR="0091623D">
        <w:rPr>
          <w:sz w:val="24"/>
          <w:szCs w:val="24"/>
        </w:rPr>
        <w:t xml:space="preserve">izraženijeg </w:t>
      </w:r>
      <w:r w:rsidR="00C066B0">
        <w:rPr>
          <w:sz w:val="24"/>
          <w:szCs w:val="24"/>
        </w:rPr>
        <w:t>inf</w:t>
      </w:r>
      <w:r w:rsidR="0091623D">
        <w:rPr>
          <w:sz w:val="24"/>
          <w:szCs w:val="24"/>
        </w:rPr>
        <w:t>lacijskog pritiska</w:t>
      </w:r>
      <w:r w:rsidR="005C37DA">
        <w:rPr>
          <w:sz w:val="24"/>
          <w:szCs w:val="24"/>
        </w:rPr>
        <w:t>,</w:t>
      </w:r>
      <w:r w:rsidR="0091623D">
        <w:rPr>
          <w:sz w:val="24"/>
          <w:szCs w:val="24"/>
        </w:rPr>
        <w:t xml:space="preserve"> u pojedinim godinama su </w:t>
      </w:r>
      <w:r w:rsidR="005C37DA">
        <w:rPr>
          <w:sz w:val="24"/>
          <w:szCs w:val="24"/>
        </w:rPr>
        <w:t>z</w:t>
      </w:r>
      <w:r w:rsidR="00C066B0">
        <w:rPr>
          <w:sz w:val="24"/>
          <w:szCs w:val="24"/>
        </w:rPr>
        <w:t>abilježen</w:t>
      </w:r>
      <w:r w:rsidR="0091623D">
        <w:rPr>
          <w:sz w:val="24"/>
          <w:szCs w:val="24"/>
        </w:rPr>
        <w:t>e</w:t>
      </w:r>
      <w:r w:rsidR="00C066B0">
        <w:rPr>
          <w:sz w:val="24"/>
          <w:szCs w:val="24"/>
        </w:rPr>
        <w:t xml:space="preserve"> negativna stopa rasta plaća, što znači da isti nominalni iznos plaće iz 2008. danas vrijedi znatno manje. </w:t>
      </w:r>
    </w:p>
    <w:p w:rsidR="00C066B0" w:rsidRPr="009D0B6E" w:rsidRDefault="00C066B0" w:rsidP="00C066B0">
      <w:pPr>
        <w:jc w:val="both"/>
        <w:rPr>
          <w:b/>
          <w:sz w:val="24"/>
          <w:szCs w:val="24"/>
        </w:rPr>
      </w:pPr>
      <w:r w:rsidRPr="009D0B6E">
        <w:rPr>
          <w:b/>
          <w:sz w:val="24"/>
          <w:szCs w:val="24"/>
        </w:rPr>
        <w:t>Slika</w:t>
      </w:r>
      <w:r>
        <w:rPr>
          <w:b/>
          <w:sz w:val="24"/>
          <w:szCs w:val="24"/>
        </w:rPr>
        <w:t xml:space="preserve"> 1</w:t>
      </w:r>
      <w:r w:rsidR="00D7054B">
        <w:rPr>
          <w:b/>
          <w:sz w:val="24"/>
          <w:szCs w:val="24"/>
        </w:rPr>
        <w:t>6</w:t>
      </w:r>
      <w:r w:rsidRPr="009D0B6E">
        <w:rPr>
          <w:b/>
          <w:sz w:val="24"/>
          <w:szCs w:val="24"/>
        </w:rPr>
        <w:t>: Nominalna neto plaća i realna stopa rasta plaća u Hrvatskoj</w:t>
      </w:r>
    </w:p>
    <w:p w:rsidR="00C066B0" w:rsidRDefault="00C066B0" w:rsidP="00C066B0">
      <w:pPr>
        <w:jc w:val="both"/>
        <w:rPr>
          <w:sz w:val="24"/>
          <w:szCs w:val="24"/>
        </w:rPr>
      </w:pPr>
      <w:r>
        <w:rPr>
          <w:noProof/>
          <w:lang w:eastAsia="hr-HR"/>
        </w:rPr>
        <w:drawing>
          <wp:inline distT="0" distB="0" distL="0" distR="0" wp14:anchorId="34C7A994" wp14:editId="6AC17239">
            <wp:extent cx="4572000" cy="2743200"/>
            <wp:effectExtent l="0" t="0" r="19050" b="19050"/>
            <wp:docPr id="8" name="Grafikon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C37DA" w:rsidRPr="00EC19B6" w:rsidRDefault="005C37DA" w:rsidP="00EC19B6">
      <w:pPr>
        <w:spacing w:line="240" w:lineRule="auto"/>
        <w:jc w:val="both"/>
        <w:rPr>
          <w:sz w:val="20"/>
          <w:szCs w:val="20"/>
        </w:rPr>
      </w:pPr>
      <w:r w:rsidRPr="00EC19B6">
        <w:rPr>
          <w:sz w:val="20"/>
          <w:szCs w:val="20"/>
        </w:rPr>
        <w:t>Izvor</w:t>
      </w:r>
      <w:r w:rsidR="00AD735A">
        <w:rPr>
          <w:sz w:val="20"/>
          <w:szCs w:val="20"/>
        </w:rPr>
        <w:t xml:space="preserve"> podataka</w:t>
      </w:r>
      <w:r w:rsidRPr="00EC19B6">
        <w:rPr>
          <w:sz w:val="20"/>
          <w:szCs w:val="20"/>
        </w:rPr>
        <w:t>: HNB</w:t>
      </w:r>
    </w:p>
    <w:p w:rsidR="00454C8D" w:rsidRDefault="0053638E" w:rsidP="00EC19B6">
      <w:pPr>
        <w:spacing w:before="240"/>
        <w:jc w:val="both"/>
        <w:rPr>
          <w:sz w:val="24"/>
          <w:szCs w:val="24"/>
        </w:rPr>
      </w:pPr>
      <w:r w:rsidRPr="00BA54CE">
        <w:rPr>
          <w:color w:val="C00000"/>
          <w:sz w:val="24"/>
          <w:szCs w:val="24"/>
        </w:rPr>
        <w:t xml:space="preserve">Prosječnu neto plaću iznad državnog prosjeka </w:t>
      </w:r>
      <w:r w:rsidR="005C37DA" w:rsidRPr="00BA54CE">
        <w:rPr>
          <w:color w:val="C00000"/>
          <w:sz w:val="24"/>
          <w:szCs w:val="24"/>
        </w:rPr>
        <w:t xml:space="preserve">tipično </w:t>
      </w:r>
      <w:r w:rsidRPr="00BA54CE">
        <w:rPr>
          <w:color w:val="C00000"/>
          <w:sz w:val="24"/>
          <w:szCs w:val="24"/>
        </w:rPr>
        <w:t xml:space="preserve">bilježi županija Grad Zagreb </w:t>
      </w:r>
      <w:r w:rsidRPr="0059158C">
        <w:rPr>
          <w:sz w:val="24"/>
          <w:szCs w:val="24"/>
        </w:rPr>
        <w:t>u kojoj su koncentrirane brojne aktivnosti (poduzeća i institucije) koje zapošljavaju visoko obrazovane osobe, odnosno aktivnosti koje se ističu značajnim poslovnim prihodima te vi</w:t>
      </w:r>
      <w:r w:rsidR="0059158C" w:rsidRPr="0059158C">
        <w:rPr>
          <w:sz w:val="24"/>
          <w:szCs w:val="24"/>
        </w:rPr>
        <w:t>šim</w:t>
      </w:r>
      <w:r w:rsidRPr="0059158C">
        <w:rPr>
          <w:sz w:val="24"/>
          <w:szCs w:val="24"/>
        </w:rPr>
        <w:t xml:space="preserve"> plaćama, bonusima itd.</w:t>
      </w:r>
      <w:r w:rsidR="00C32BDE">
        <w:rPr>
          <w:sz w:val="24"/>
          <w:szCs w:val="24"/>
        </w:rPr>
        <w:t xml:space="preserve"> (dok su, dok su općenito prosječna primanja građana oko 25% veća u velikim gradovima nego u manjim, odnosno gledano kao medijan 40% veća nego na selu). </w:t>
      </w:r>
      <w:r w:rsidRPr="0059158C">
        <w:rPr>
          <w:sz w:val="24"/>
          <w:szCs w:val="24"/>
        </w:rPr>
        <w:t xml:space="preserve"> Najniže plaće su u Varaždinskoj županiji i Međimurskoj županiji koje su po plaćama značajno ispod prosjeka RH, a potom slijede (također ispod prosjeka) Krapinsko-zagorska</w:t>
      </w:r>
      <w:r w:rsidR="0059158C" w:rsidRPr="0059158C">
        <w:rPr>
          <w:sz w:val="24"/>
          <w:szCs w:val="24"/>
        </w:rPr>
        <w:t xml:space="preserve"> ž.</w:t>
      </w:r>
      <w:r w:rsidRPr="0059158C">
        <w:rPr>
          <w:sz w:val="24"/>
          <w:szCs w:val="24"/>
        </w:rPr>
        <w:t>, Požeško-slavonska</w:t>
      </w:r>
      <w:r w:rsidR="0059158C" w:rsidRPr="0059158C">
        <w:rPr>
          <w:sz w:val="24"/>
          <w:szCs w:val="24"/>
        </w:rPr>
        <w:t xml:space="preserve"> ž.</w:t>
      </w:r>
      <w:r w:rsidRPr="0059158C">
        <w:rPr>
          <w:sz w:val="24"/>
          <w:szCs w:val="24"/>
        </w:rPr>
        <w:t xml:space="preserve"> i Ličko-senjska</w:t>
      </w:r>
      <w:r w:rsidR="0059158C" w:rsidRPr="0059158C">
        <w:rPr>
          <w:sz w:val="24"/>
          <w:szCs w:val="24"/>
        </w:rPr>
        <w:t xml:space="preserve"> županija. Prosječna plaća u Varaždinskoj županiji čini tek 69% prosječne plaće u Gradu Zagrebu.</w:t>
      </w:r>
      <w:r w:rsidR="00BF7308">
        <w:rPr>
          <w:sz w:val="24"/>
          <w:szCs w:val="24"/>
        </w:rPr>
        <w:t xml:space="preserve"> </w:t>
      </w:r>
    </w:p>
    <w:p w:rsidR="00752303" w:rsidRPr="0097725B" w:rsidRDefault="00BF7308" w:rsidP="009D0B6E">
      <w:pPr>
        <w:jc w:val="both"/>
        <w:rPr>
          <w:sz w:val="24"/>
          <w:szCs w:val="24"/>
        </w:rPr>
      </w:pPr>
      <w:r>
        <w:rPr>
          <w:sz w:val="24"/>
          <w:szCs w:val="24"/>
        </w:rPr>
        <w:t xml:space="preserve">No, </w:t>
      </w:r>
      <w:r w:rsidRPr="00BA54CE">
        <w:rPr>
          <w:color w:val="C00000"/>
          <w:sz w:val="24"/>
          <w:szCs w:val="24"/>
        </w:rPr>
        <w:t xml:space="preserve">Grad Zagreb je ujedno i županija s </w:t>
      </w:r>
      <w:r w:rsidR="00522C19" w:rsidRPr="00BA54CE">
        <w:rPr>
          <w:color w:val="C00000"/>
          <w:sz w:val="24"/>
          <w:szCs w:val="24"/>
        </w:rPr>
        <w:t xml:space="preserve">visokim </w:t>
      </w:r>
      <w:r w:rsidRPr="00BA54CE">
        <w:rPr>
          <w:color w:val="C00000"/>
          <w:sz w:val="24"/>
          <w:szCs w:val="24"/>
        </w:rPr>
        <w:t>troškovima života</w:t>
      </w:r>
      <w:r w:rsidR="00522C19">
        <w:rPr>
          <w:sz w:val="24"/>
          <w:szCs w:val="24"/>
        </w:rPr>
        <w:t>,</w:t>
      </w:r>
      <w:r>
        <w:rPr>
          <w:sz w:val="24"/>
          <w:szCs w:val="24"/>
        </w:rPr>
        <w:t xml:space="preserve"> dok se visoka </w:t>
      </w:r>
      <w:r w:rsidR="00522C19">
        <w:rPr>
          <w:sz w:val="24"/>
          <w:szCs w:val="24"/>
        </w:rPr>
        <w:t>kupovna moć dijela građana s višim</w:t>
      </w:r>
      <w:r>
        <w:rPr>
          <w:sz w:val="24"/>
          <w:szCs w:val="24"/>
        </w:rPr>
        <w:t xml:space="preserve"> i visokim dohocima</w:t>
      </w:r>
      <w:r w:rsidR="00BA54CE">
        <w:rPr>
          <w:sz w:val="24"/>
          <w:szCs w:val="24"/>
        </w:rPr>
        <w:t xml:space="preserve">, </w:t>
      </w:r>
      <w:r>
        <w:rPr>
          <w:sz w:val="24"/>
          <w:szCs w:val="24"/>
        </w:rPr>
        <w:t>odražava n</w:t>
      </w:r>
      <w:r w:rsidR="00522C19">
        <w:rPr>
          <w:sz w:val="24"/>
          <w:szCs w:val="24"/>
        </w:rPr>
        <w:t>a veću razinu cijena prehrambenih</w:t>
      </w:r>
      <w:r>
        <w:rPr>
          <w:sz w:val="24"/>
          <w:szCs w:val="24"/>
        </w:rPr>
        <w:t xml:space="preserve"> i brojnih drugih proizvoda, </w:t>
      </w:r>
      <w:r w:rsidR="00BA54CE">
        <w:rPr>
          <w:sz w:val="24"/>
          <w:szCs w:val="24"/>
        </w:rPr>
        <w:t xml:space="preserve">cijena stanova itd., </w:t>
      </w:r>
      <w:r w:rsidRPr="00430AB8">
        <w:rPr>
          <w:color w:val="C00000"/>
          <w:sz w:val="24"/>
          <w:szCs w:val="24"/>
        </w:rPr>
        <w:t xml:space="preserve">što znači da je realna kupovna moć </w:t>
      </w:r>
      <w:r w:rsidR="00BA54CE" w:rsidRPr="00430AB8">
        <w:rPr>
          <w:color w:val="C00000"/>
          <w:sz w:val="24"/>
          <w:szCs w:val="24"/>
        </w:rPr>
        <w:t xml:space="preserve">iste nominalne razine </w:t>
      </w:r>
      <w:r w:rsidRPr="00430AB8">
        <w:rPr>
          <w:color w:val="C00000"/>
          <w:sz w:val="24"/>
          <w:szCs w:val="24"/>
        </w:rPr>
        <w:t xml:space="preserve">plaća </w:t>
      </w:r>
      <w:r w:rsidR="00522C19" w:rsidRPr="00430AB8">
        <w:rPr>
          <w:color w:val="C00000"/>
          <w:sz w:val="24"/>
          <w:szCs w:val="24"/>
        </w:rPr>
        <w:t xml:space="preserve">i mirovina </w:t>
      </w:r>
      <w:r w:rsidRPr="00430AB8">
        <w:rPr>
          <w:color w:val="C00000"/>
          <w:sz w:val="24"/>
          <w:szCs w:val="24"/>
        </w:rPr>
        <w:t>niža nego u pojedinim drugim regijama RH</w:t>
      </w:r>
      <w:r w:rsidR="00522C19">
        <w:rPr>
          <w:sz w:val="24"/>
          <w:szCs w:val="24"/>
        </w:rPr>
        <w:t>. To se posebno negativno odražava na život velikog broja umirovljenika i građana s nižim i vrlo niskim dohocima koji nisu dostatni za podmirenje osnovnih životnih potreba</w:t>
      </w:r>
      <w:r>
        <w:rPr>
          <w:sz w:val="24"/>
          <w:szCs w:val="24"/>
        </w:rPr>
        <w:t>. Osim toga život u velikom gradu daje manje prilika za proizvodnju u vlastitom domaćinstvu i okućnici</w:t>
      </w:r>
      <w:r w:rsidR="00752303">
        <w:rPr>
          <w:sz w:val="24"/>
          <w:szCs w:val="24"/>
        </w:rPr>
        <w:t>,</w:t>
      </w:r>
      <w:r>
        <w:rPr>
          <w:sz w:val="24"/>
          <w:szCs w:val="24"/>
        </w:rPr>
        <w:t xml:space="preserve"> odnosno naturalnu potrošnju. </w:t>
      </w:r>
      <w:r w:rsidR="00BA54CE">
        <w:rPr>
          <w:sz w:val="24"/>
          <w:szCs w:val="24"/>
        </w:rPr>
        <w:t xml:space="preserve">Slične situacije postoje i u turističkim i atraktivnim priobalnim dijelovima Hrvatske s izraženim problemom visokih troškova života i cijena nabavke </w:t>
      </w:r>
      <w:r w:rsidR="00BA54CE">
        <w:rPr>
          <w:sz w:val="24"/>
          <w:szCs w:val="24"/>
        </w:rPr>
        <w:lastRenderedPageBreak/>
        <w:t xml:space="preserve">nekretnina. </w:t>
      </w:r>
      <w:r w:rsidR="00BA54CE" w:rsidRPr="0097725B">
        <w:rPr>
          <w:sz w:val="24"/>
          <w:szCs w:val="24"/>
        </w:rPr>
        <w:t xml:space="preserve">Sve navedeno su bitni faktori koje treba uzeti u obzir pri </w:t>
      </w:r>
      <w:r w:rsidR="00BA54CE" w:rsidRPr="00430AB8">
        <w:rPr>
          <w:color w:val="C00000"/>
          <w:sz w:val="24"/>
          <w:szCs w:val="24"/>
        </w:rPr>
        <w:t xml:space="preserve">izboru lokacije zaposlenja i stanovanja </w:t>
      </w:r>
      <w:r w:rsidR="00BA54CE" w:rsidRPr="0097725B">
        <w:rPr>
          <w:sz w:val="24"/>
          <w:szCs w:val="24"/>
        </w:rPr>
        <w:t xml:space="preserve">kako bi se ostvarili pozitivni efekti na upravljanje osobnim financijama. </w:t>
      </w:r>
    </w:p>
    <w:p w:rsidR="006714BB" w:rsidRPr="00C668EE" w:rsidRDefault="00C668EE" w:rsidP="00C668EE">
      <w:pPr>
        <w:jc w:val="both"/>
        <w:rPr>
          <w:b/>
          <w:sz w:val="24"/>
          <w:szCs w:val="24"/>
        </w:rPr>
      </w:pPr>
      <w:r>
        <w:rPr>
          <w:b/>
          <w:sz w:val="24"/>
          <w:szCs w:val="24"/>
        </w:rPr>
        <w:t xml:space="preserve">1.9. </w:t>
      </w:r>
      <w:r w:rsidRPr="00C668EE">
        <w:rPr>
          <w:b/>
          <w:sz w:val="24"/>
          <w:szCs w:val="24"/>
        </w:rPr>
        <w:t>Porezna presija, blagostanje i socijalna država</w:t>
      </w:r>
    </w:p>
    <w:p w:rsidR="00752303" w:rsidRDefault="00053227" w:rsidP="00053227">
      <w:pPr>
        <w:jc w:val="both"/>
        <w:rPr>
          <w:sz w:val="24"/>
          <w:szCs w:val="24"/>
        </w:rPr>
      </w:pPr>
      <w:r w:rsidRPr="00EC19B6">
        <w:rPr>
          <w:sz w:val="24"/>
          <w:szCs w:val="24"/>
        </w:rPr>
        <w:t xml:space="preserve">Uzimajući u obzir socijalne elemente ugrađene u porezni sustav, opću strukturu javnih prihoda i </w:t>
      </w:r>
      <w:r w:rsidR="001760AA">
        <w:rPr>
          <w:sz w:val="24"/>
          <w:szCs w:val="24"/>
        </w:rPr>
        <w:t>rashoda te organizirani sustav</w:t>
      </w:r>
      <w:r w:rsidRPr="00EC19B6">
        <w:rPr>
          <w:sz w:val="24"/>
          <w:szCs w:val="24"/>
        </w:rPr>
        <w:t xml:space="preserve"> socijalnog osiguranja koje pruža država </w:t>
      </w:r>
      <w:r w:rsidR="001760AA">
        <w:rPr>
          <w:sz w:val="24"/>
          <w:szCs w:val="24"/>
        </w:rPr>
        <w:t>(</w:t>
      </w:r>
      <w:r w:rsidR="00430AB8">
        <w:rPr>
          <w:sz w:val="24"/>
          <w:szCs w:val="24"/>
        </w:rPr>
        <w:t xml:space="preserve">štiteći </w:t>
      </w:r>
      <w:r w:rsidRPr="00EC19B6">
        <w:rPr>
          <w:sz w:val="24"/>
          <w:szCs w:val="24"/>
        </w:rPr>
        <w:t>stanovništvo od rizika kao što su starost, invalidnost, bolest i nezaposlenost</w:t>
      </w:r>
      <w:r w:rsidR="001760AA">
        <w:rPr>
          <w:sz w:val="24"/>
          <w:szCs w:val="24"/>
        </w:rPr>
        <w:t>)</w:t>
      </w:r>
      <w:r w:rsidRPr="00EC19B6">
        <w:rPr>
          <w:sz w:val="24"/>
          <w:szCs w:val="24"/>
        </w:rPr>
        <w:t xml:space="preserve">, Hrvatska je zemlja s visoko zastupljenim elementima </w:t>
      </w:r>
      <w:r w:rsidRPr="007947FF">
        <w:rPr>
          <w:color w:val="C00000"/>
          <w:sz w:val="24"/>
          <w:szCs w:val="24"/>
        </w:rPr>
        <w:t>socijalne države</w:t>
      </w:r>
      <w:r w:rsidRPr="00EC19B6">
        <w:rPr>
          <w:sz w:val="24"/>
          <w:szCs w:val="24"/>
        </w:rPr>
        <w:t xml:space="preserve">. Osim organiziranog sustava mirovinskog i zdravstvenog osiguranja te zaštite nezaposlenih, država organizira i financira obrazovanje, znanstveno-istraživački rad, nacionalnu sigurnost, kulturu, sport, regionalni razvitak i drugo te, kroz različite oblike </w:t>
      </w:r>
      <w:r w:rsidR="00430AB8">
        <w:rPr>
          <w:sz w:val="24"/>
          <w:szCs w:val="24"/>
        </w:rPr>
        <w:t xml:space="preserve">socijalnih transfera </w:t>
      </w:r>
      <w:r w:rsidRPr="00EC19B6">
        <w:rPr>
          <w:sz w:val="24"/>
          <w:szCs w:val="24"/>
        </w:rPr>
        <w:t xml:space="preserve">podržava ekonomski opstanak </w:t>
      </w:r>
      <w:r w:rsidR="00430AB8">
        <w:rPr>
          <w:sz w:val="24"/>
          <w:szCs w:val="24"/>
        </w:rPr>
        <w:t xml:space="preserve">osoba </w:t>
      </w:r>
      <w:r w:rsidRPr="00EC19B6">
        <w:rPr>
          <w:sz w:val="24"/>
          <w:szCs w:val="24"/>
        </w:rPr>
        <w:t xml:space="preserve">koji ne mogu konkurirati </w:t>
      </w:r>
      <w:r w:rsidR="00430AB8">
        <w:rPr>
          <w:sz w:val="24"/>
          <w:szCs w:val="24"/>
        </w:rPr>
        <w:t xml:space="preserve">na </w:t>
      </w:r>
      <w:r w:rsidRPr="00EC19B6">
        <w:rPr>
          <w:sz w:val="24"/>
          <w:szCs w:val="24"/>
        </w:rPr>
        <w:t>tržišt</w:t>
      </w:r>
      <w:r w:rsidR="00430AB8">
        <w:rPr>
          <w:sz w:val="24"/>
          <w:szCs w:val="24"/>
        </w:rPr>
        <w:t>u</w:t>
      </w:r>
      <w:r w:rsidR="007947FF">
        <w:rPr>
          <w:sz w:val="24"/>
          <w:szCs w:val="24"/>
        </w:rPr>
        <w:t xml:space="preserve">. Međutim, iako je to nužno u </w:t>
      </w:r>
      <w:r w:rsidR="00D00EFE">
        <w:rPr>
          <w:sz w:val="24"/>
          <w:szCs w:val="24"/>
        </w:rPr>
        <w:t xml:space="preserve">određenim </w:t>
      </w:r>
      <w:r w:rsidR="007947FF">
        <w:rPr>
          <w:sz w:val="24"/>
          <w:szCs w:val="24"/>
        </w:rPr>
        <w:t>slučajevima</w:t>
      </w:r>
      <w:r w:rsidR="00430AB8">
        <w:rPr>
          <w:sz w:val="24"/>
          <w:szCs w:val="24"/>
        </w:rPr>
        <w:t xml:space="preserve"> (konkretno osoba s bitno smanjenom ili izgubljenom radnom sposobnosti)</w:t>
      </w:r>
      <w:r w:rsidR="007947FF">
        <w:rPr>
          <w:sz w:val="24"/>
          <w:szCs w:val="24"/>
        </w:rPr>
        <w:t xml:space="preserve">, </w:t>
      </w:r>
      <w:r w:rsidR="00D00EFE">
        <w:rPr>
          <w:sz w:val="24"/>
          <w:szCs w:val="24"/>
        </w:rPr>
        <w:t xml:space="preserve">s druge strane </w:t>
      </w:r>
      <w:r w:rsidR="007947FF">
        <w:rPr>
          <w:sz w:val="24"/>
          <w:szCs w:val="24"/>
        </w:rPr>
        <w:t xml:space="preserve">ima i </w:t>
      </w:r>
      <w:r w:rsidR="007947FF" w:rsidRPr="007947FF">
        <w:rPr>
          <w:color w:val="C00000"/>
          <w:sz w:val="24"/>
          <w:szCs w:val="24"/>
        </w:rPr>
        <w:t>niz nepovoljnih učinaka u smislu manje motiviranosti pojedinaca za osobnim angažmanom i zalaganjem</w:t>
      </w:r>
      <w:r w:rsidRPr="00EC19B6">
        <w:rPr>
          <w:sz w:val="24"/>
          <w:szCs w:val="24"/>
        </w:rPr>
        <w:t>.</w:t>
      </w:r>
      <w:r w:rsidR="007947FF">
        <w:rPr>
          <w:sz w:val="24"/>
          <w:szCs w:val="24"/>
        </w:rPr>
        <w:t xml:space="preserve"> Dodatno</w:t>
      </w:r>
      <w:r w:rsidRPr="00EC19B6">
        <w:rPr>
          <w:sz w:val="24"/>
          <w:szCs w:val="24"/>
        </w:rPr>
        <w:t xml:space="preserve">, dok su ekonomski subjekti svjesni visine poreznih i drugih tereta koje </w:t>
      </w:r>
      <w:r w:rsidR="007947FF">
        <w:rPr>
          <w:sz w:val="24"/>
          <w:szCs w:val="24"/>
        </w:rPr>
        <w:t>snose</w:t>
      </w:r>
      <w:r w:rsidRPr="00EC19B6">
        <w:rPr>
          <w:sz w:val="24"/>
          <w:szCs w:val="24"/>
        </w:rPr>
        <w:t>, svijest je daleko manje prisutna u shvaćanju razmjera javnih dobara i usluga koje država pruža.</w:t>
      </w:r>
      <w:r w:rsidR="003B70A7" w:rsidRPr="003B70A7">
        <w:rPr>
          <w:sz w:val="24"/>
          <w:szCs w:val="24"/>
          <w:vertAlign w:val="superscript"/>
        </w:rPr>
        <w:t xml:space="preserve"> </w:t>
      </w:r>
      <w:r w:rsidR="003B70A7" w:rsidRPr="00086C6D">
        <w:rPr>
          <w:sz w:val="24"/>
          <w:szCs w:val="24"/>
          <w:vertAlign w:val="superscript"/>
        </w:rPr>
        <w:footnoteReference w:id="35"/>
      </w:r>
      <w:r w:rsidRPr="00EC19B6">
        <w:rPr>
          <w:sz w:val="24"/>
          <w:szCs w:val="24"/>
        </w:rPr>
        <w:t xml:space="preserve"> </w:t>
      </w:r>
    </w:p>
    <w:p w:rsidR="00053227" w:rsidRPr="00EC19B6" w:rsidRDefault="00053227" w:rsidP="00053227">
      <w:pPr>
        <w:jc w:val="both"/>
        <w:rPr>
          <w:sz w:val="24"/>
          <w:szCs w:val="24"/>
        </w:rPr>
      </w:pPr>
      <w:r w:rsidRPr="00EC19B6">
        <w:rPr>
          <w:sz w:val="24"/>
          <w:szCs w:val="24"/>
        </w:rPr>
        <w:t xml:space="preserve">Konzumiranje koristi javnih dobara i usluga te ostvarivanje prava iz socijalnog osiguranja </w:t>
      </w:r>
      <w:r w:rsidR="007947FF">
        <w:rPr>
          <w:sz w:val="24"/>
          <w:szCs w:val="24"/>
        </w:rPr>
        <w:t xml:space="preserve">često se </w:t>
      </w:r>
      <w:r w:rsidRPr="00EC19B6">
        <w:rPr>
          <w:sz w:val="24"/>
          <w:szCs w:val="24"/>
        </w:rPr>
        <w:t xml:space="preserve">tretira kao </w:t>
      </w:r>
      <w:r w:rsidR="00E35B22" w:rsidRPr="00EC19B6">
        <w:rPr>
          <w:sz w:val="24"/>
          <w:szCs w:val="24"/>
        </w:rPr>
        <w:t>„</w:t>
      </w:r>
      <w:r w:rsidRPr="00EC19B6">
        <w:rPr>
          <w:sz w:val="24"/>
          <w:szCs w:val="24"/>
        </w:rPr>
        <w:t>nešto normalno</w:t>
      </w:r>
      <w:r w:rsidR="00E35B22" w:rsidRPr="00EC19B6">
        <w:rPr>
          <w:sz w:val="24"/>
          <w:szCs w:val="24"/>
        </w:rPr>
        <w:t>“</w:t>
      </w:r>
      <w:r w:rsidRPr="00EC19B6">
        <w:rPr>
          <w:sz w:val="24"/>
          <w:szCs w:val="24"/>
        </w:rPr>
        <w:t xml:space="preserve">, a od države se očekuje financijska podrška u nizu opravdanih, ali i neopravdanih situacija. S druge strane </w:t>
      </w:r>
      <w:r w:rsidRPr="00430AB8">
        <w:rPr>
          <w:color w:val="C00000"/>
          <w:sz w:val="24"/>
          <w:szCs w:val="24"/>
        </w:rPr>
        <w:t xml:space="preserve">porezni moral </w:t>
      </w:r>
      <w:r w:rsidR="00430AB8" w:rsidRPr="00430AB8">
        <w:rPr>
          <w:color w:val="C00000"/>
          <w:sz w:val="24"/>
          <w:szCs w:val="24"/>
        </w:rPr>
        <w:t xml:space="preserve">u hrvatskom društvu i ekonomiji </w:t>
      </w:r>
      <w:r w:rsidRPr="00430AB8">
        <w:rPr>
          <w:color w:val="C00000"/>
          <w:sz w:val="24"/>
          <w:szCs w:val="24"/>
        </w:rPr>
        <w:t>je nizak, a porezna evazija široko rasprostranjena</w:t>
      </w:r>
      <w:r w:rsidR="007947FF">
        <w:rPr>
          <w:sz w:val="24"/>
          <w:szCs w:val="24"/>
        </w:rPr>
        <w:t>. P</w:t>
      </w:r>
      <w:r w:rsidRPr="00EC19B6">
        <w:rPr>
          <w:sz w:val="24"/>
          <w:szCs w:val="24"/>
        </w:rPr>
        <w:t xml:space="preserve">ostoji velik razmjer sive ekonomije, čije nepovoljne učinke na javne prihode tek djelom ispravlja oporezivanje kroz porez na dodanu vrijednost </w:t>
      </w:r>
      <w:r w:rsidR="00752303">
        <w:rPr>
          <w:sz w:val="24"/>
          <w:szCs w:val="24"/>
        </w:rPr>
        <w:t>(</w:t>
      </w:r>
      <w:r w:rsidR="00D00EFE">
        <w:rPr>
          <w:sz w:val="24"/>
          <w:szCs w:val="24"/>
        </w:rPr>
        <w:t xml:space="preserve">ali </w:t>
      </w:r>
      <w:r w:rsidR="00752303">
        <w:rPr>
          <w:sz w:val="24"/>
          <w:szCs w:val="24"/>
        </w:rPr>
        <w:t xml:space="preserve">s gotovo najvećom </w:t>
      </w:r>
      <w:r w:rsidR="00430AB8">
        <w:rPr>
          <w:sz w:val="24"/>
          <w:szCs w:val="24"/>
        </w:rPr>
        <w:t xml:space="preserve">općom </w:t>
      </w:r>
      <w:r w:rsidR="00752303">
        <w:rPr>
          <w:sz w:val="24"/>
          <w:szCs w:val="24"/>
        </w:rPr>
        <w:t>stopom PDV-a u EU)</w:t>
      </w:r>
      <w:r w:rsidRPr="00EC19B6">
        <w:rPr>
          <w:sz w:val="24"/>
          <w:szCs w:val="24"/>
        </w:rPr>
        <w:t xml:space="preserve">. </w:t>
      </w:r>
    </w:p>
    <w:p w:rsidR="003B70A7" w:rsidRDefault="00053227" w:rsidP="00053227">
      <w:pPr>
        <w:jc w:val="both"/>
        <w:rPr>
          <w:sz w:val="24"/>
          <w:szCs w:val="24"/>
        </w:rPr>
      </w:pPr>
      <w:r w:rsidRPr="00EC19B6">
        <w:rPr>
          <w:sz w:val="24"/>
          <w:szCs w:val="24"/>
        </w:rPr>
        <w:t xml:space="preserve">Porezna presija i blagostanje u socijalnoj državi </w:t>
      </w:r>
      <w:r w:rsidR="00430AB8">
        <w:rPr>
          <w:sz w:val="24"/>
          <w:szCs w:val="24"/>
        </w:rPr>
        <w:t xml:space="preserve">stoga </w:t>
      </w:r>
      <w:r w:rsidRPr="00EC19B6">
        <w:rPr>
          <w:sz w:val="24"/>
          <w:szCs w:val="24"/>
        </w:rPr>
        <w:t xml:space="preserve">imaju specifičnu konotaciju. Poreznom presijom </w:t>
      </w:r>
      <w:r w:rsidR="00CC422A">
        <w:rPr>
          <w:sz w:val="24"/>
          <w:szCs w:val="24"/>
        </w:rPr>
        <w:t xml:space="preserve">npr. pri oporezivanju visokih dohodaka vrlo često se demotivira dodatni </w:t>
      </w:r>
      <w:r w:rsidR="0079651C">
        <w:rPr>
          <w:sz w:val="24"/>
          <w:szCs w:val="24"/>
        </w:rPr>
        <w:t xml:space="preserve">poslovni </w:t>
      </w:r>
      <w:r w:rsidR="00CC422A">
        <w:rPr>
          <w:sz w:val="24"/>
          <w:szCs w:val="24"/>
        </w:rPr>
        <w:t xml:space="preserve">angažman pojedinca. S obzirom na opću stopu PDV-a od 25% </w:t>
      </w:r>
      <w:r w:rsidR="0079651C">
        <w:rPr>
          <w:sz w:val="24"/>
          <w:szCs w:val="24"/>
        </w:rPr>
        <w:t xml:space="preserve">čak </w:t>
      </w:r>
      <w:r w:rsidR="00CC422A">
        <w:rPr>
          <w:sz w:val="24"/>
          <w:szCs w:val="24"/>
        </w:rPr>
        <w:t xml:space="preserve">jedna petina izdataka kućanstva </w:t>
      </w:r>
      <w:r w:rsidR="0079651C">
        <w:rPr>
          <w:sz w:val="24"/>
          <w:szCs w:val="24"/>
        </w:rPr>
        <w:t xml:space="preserve">odlazi na plaćanje poreza. S druge strane porezima, prirezom, obveznim doprinosima i drugim fiskalnim nametima </w:t>
      </w:r>
      <w:r w:rsidRPr="00EC19B6">
        <w:rPr>
          <w:sz w:val="24"/>
          <w:szCs w:val="24"/>
        </w:rPr>
        <w:t xml:space="preserve">financira </w:t>
      </w:r>
      <w:r w:rsidR="0079651C">
        <w:rPr>
          <w:sz w:val="24"/>
          <w:szCs w:val="24"/>
        </w:rPr>
        <w:t xml:space="preserve">se </w:t>
      </w:r>
      <w:r w:rsidRPr="00EC19B6">
        <w:rPr>
          <w:sz w:val="24"/>
          <w:szCs w:val="24"/>
        </w:rPr>
        <w:t xml:space="preserve">socijalna država i </w:t>
      </w:r>
      <w:r w:rsidR="001760AA">
        <w:rPr>
          <w:sz w:val="24"/>
          <w:szCs w:val="24"/>
        </w:rPr>
        <w:t>p</w:t>
      </w:r>
      <w:r w:rsidRPr="00EC19B6">
        <w:rPr>
          <w:sz w:val="24"/>
          <w:szCs w:val="24"/>
        </w:rPr>
        <w:t xml:space="preserve">ostiže ravnomjernost raspodjele dohodaka i bogatstva između članova društva. Socijalna država pridonosi povećanju životnog standarda najugroženijih kategorija stanovništva te općenito pridonosi porastu kvalitete života svih članova društva. Zdravstvena skrb i obrazovanje </w:t>
      </w:r>
      <w:r w:rsidR="007947FF">
        <w:rPr>
          <w:sz w:val="24"/>
          <w:szCs w:val="24"/>
        </w:rPr>
        <w:t xml:space="preserve">zbog toga nisu </w:t>
      </w:r>
      <w:r w:rsidRPr="00EC19B6">
        <w:rPr>
          <w:sz w:val="24"/>
          <w:szCs w:val="24"/>
        </w:rPr>
        <w:t xml:space="preserve">privilegija </w:t>
      </w:r>
      <w:r w:rsidR="007947FF">
        <w:rPr>
          <w:sz w:val="24"/>
          <w:szCs w:val="24"/>
        </w:rPr>
        <w:t xml:space="preserve">nego </w:t>
      </w:r>
      <w:r w:rsidRPr="00EC19B6">
        <w:rPr>
          <w:sz w:val="24"/>
          <w:szCs w:val="24"/>
        </w:rPr>
        <w:t xml:space="preserve">pravo dostupno svima. </w:t>
      </w:r>
    </w:p>
    <w:p w:rsidR="0007183D" w:rsidRDefault="00053227" w:rsidP="00053227">
      <w:pPr>
        <w:jc w:val="both"/>
        <w:rPr>
          <w:sz w:val="24"/>
          <w:szCs w:val="24"/>
        </w:rPr>
      </w:pPr>
      <w:r w:rsidRPr="00EC19B6">
        <w:rPr>
          <w:sz w:val="24"/>
          <w:szCs w:val="24"/>
        </w:rPr>
        <w:t xml:space="preserve">Socijalna država promovira </w:t>
      </w:r>
      <w:r w:rsidR="003B70A7">
        <w:rPr>
          <w:sz w:val="24"/>
          <w:szCs w:val="24"/>
        </w:rPr>
        <w:t xml:space="preserve">društveno </w:t>
      </w:r>
      <w:r w:rsidRPr="00EC19B6">
        <w:rPr>
          <w:sz w:val="24"/>
          <w:szCs w:val="24"/>
        </w:rPr>
        <w:t xml:space="preserve">odgovorno ponašanje </w:t>
      </w:r>
      <w:r w:rsidR="003B70A7">
        <w:rPr>
          <w:sz w:val="24"/>
          <w:szCs w:val="24"/>
        </w:rPr>
        <w:t>prema siromašnima i nemoćnima te</w:t>
      </w:r>
      <w:r w:rsidRPr="00EC19B6">
        <w:rPr>
          <w:sz w:val="24"/>
          <w:szCs w:val="24"/>
        </w:rPr>
        <w:t xml:space="preserve"> umanjuje razmjer socijalne isključenosti. Međutim, iako je koncepcija socijalne države dokaz humanosti, društvene odgovornosti i općenito ljudskog razvoja, </w:t>
      </w:r>
      <w:r w:rsidRPr="003B70A7">
        <w:rPr>
          <w:color w:val="C00000"/>
          <w:sz w:val="24"/>
          <w:szCs w:val="24"/>
        </w:rPr>
        <w:t xml:space="preserve">utopistički koncipirani sustavi javnih rashoda, kao i neefikasno upravljanje javnim prihodima </w:t>
      </w:r>
      <w:r w:rsidRPr="003B70A7">
        <w:rPr>
          <w:color w:val="C00000"/>
          <w:sz w:val="24"/>
          <w:szCs w:val="24"/>
        </w:rPr>
        <w:lastRenderedPageBreak/>
        <w:t xml:space="preserve">dovode u pitanje održivost postojanje visokih socijalnih </w:t>
      </w:r>
      <w:r w:rsidR="001760AA">
        <w:rPr>
          <w:color w:val="C00000"/>
          <w:sz w:val="24"/>
          <w:szCs w:val="24"/>
        </w:rPr>
        <w:t xml:space="preserve">i drugih javnih </w:t>
      </w:r>
      <w:r w:rsidR="003B70A7" w:rsidRPr="003B70A7">
        <w:rPr>
          <w:color w:val="C00000"/>
          <w:sz w:val="24"/>
          <w:szCs w:val="24"/>
        </w:rPr>
        <w:t>rashoda države</w:t>
      </w:r>
      <w:r w:rsidR="003B70A7">
        <w:rPr>
          <w:sz w:val="24"/>
          <w:szCs w:val="24"/>
        </w:rPr>
        <w:t>.</w:t>
      </w:r>
      <w:r w:rsidR="001760AA" w:rsidRPr="00086C6D">
        <w:rPr>
          <w:sz w:val="24"/>
          <w:szCs w:val="24"/>
          <w:vertAlign w:val="superscript"/>
        </w:rPr>
        <w:footnoteReference w:id="36"/>
      </w:r>
      <w:r w:rsidR="003B70A7">
        <w:rPr>
          <w:sz w:val="24"/>
          <w:szCs w:val="24"/>
        </w:rPr>
        <w:t xml:space="preserve"> Stoga je </w:t>
      </w:r>
      <w:r w:rsidR="007947FF">
        <w:rPr>
          <w:sz w:val="24"/>
          <w:szCs w:val="24"/>
        </w:rPr>
        <w:t xml:space="preserve">izgledno da će se razmjer javnih rashoda i socijalne države u budućnosti smanjivati što </w:t>
      </w:r>
      <w:r w:rsidR="007947FF" w:rsidRPr="00430AB8">
        <w:rPr>
          <w:color w:val="C00000"/>
          <w:sz w:val="24"/>
          <w:szCs w:val="24"/>
        </w:rPr>
        <w:t>pred pojedinca stavlja dodatne zahtjeve formiranja štednje za starost, bolest, nezaposlenost</w:t>
      </w:r>
      <w:r w:rsidR="003B70A7" w:rsidRPr="00430AB8">
        <w:rPr>
          <w:color w:val="C00000"/>
          <w:sz w:val="24"/>
          <w:szCs w:val="24"/>
        </w:rPr>
        <w:t xml:space="preserve"> i druge financijsko-socijalne svrhe</w:t>
      </w:r>
      <w:r w:rsidR="00EA789A">
        <w:rPr>
          <w:sz w:val="24"/>
          <w:szCs w:val="24"/>
        </w:rPr>
        <w:t xml:space="preserve">. Kako se rizici sve više individualiziraju </w:t>
      </w:r>
      <w:r w:rsidR="001760AA">
        <w:rPr>
          <w:sz w:val="24"/>
          <w:szCs w:val="24"/>
        </w:rPr>
        <w:t>odgovorno upravljanje osobnim financijama</w:t>
      </w:r>
      <w:r w:rsidR="00EA789A">
        <w:rPr>
          <w:sz w:val="24"/>
          <w:szCs w:val="24"/>
        </w:rPr>
        <w:t xml:space="preserve"> postaje sve više važno</w:t>
      </w:r>
      <w:r w:rsidR="001760AA">
        <w:rPr>
          <w:sz w:val="24"/>
          <w:szCs w:val="24"/>
        </w:rPr>
        <w:t>.</w:t>
      </w:r>
    </w:p>
    <w:p w:rsidR="00F23EF0" w:rsidRDefault="00053227" w:rsidP="00053227">
      <w:pPr>
        <w:jc w:val="both"/>
        <w:rPr>
          <w:sz w:val="24"/>
          <w:szCs w:val="24"/>
        </w:rPr>
      </w:pPr>
      <w:r w:rsidRPr="00EC19B6">
        <w:rPr>
          <w:sz w:val="24"/>
          <w:szCs w:val="24"/>
        </w:rPr>
        <w:t>Iako definicija poreza podrazumijeva da se radi o nenamjenskim davanjima koja država ubire u općem interesu (za razliku od socijalnih doprinosa koji se namjenski ubiru), porezni obveznici trebaju biti svjesni koristi javnih dobara i usluga koje država pruža.</w:t>
      </w:r>
      <w:r w:rsidR="00D542C0" w:rsidRPr="00D542C0">
        <w:rPr>
          <w:sz w:val="24"/>
          <w:szCs w:val="24"/>
        </w:rPr>
        <w:t xml:space="preserve"> </w:t>
      </w:r>
      <w:r w:rsidRPr="00EC19B6">
        <w:rPr>
          <w:sz w:val="24"/>
          <w:szCs w:val="24"/>
        </w:rPr>
        <w:t xml:space="preserve">Ukoliko ta svijest nije razvijena povećava se otpor prema plaćanju poreza, </w:t>
      </w:r>
      <w:r w:rsidR="00D542C0" w:rsidRPr="00EC19B6">
        <w:rPr>
          <w:sz w:val="24"/>
          <w:szCs w:val="24"/>
        </w:rPr>
        <w:t>pojedinci</w:t>
      </w:r>
      <w:r w:rsidRPr="00EC19B6">
        <w:rPr>
          <w:sz w:val="24"/>
          <w:szCs w:val="24"/>
        </w:rPr>
        <w:t xml:space="preserve"> korist</w:t>
      </w:r>
      <w:r w:rsidR="00D542C0">
        <w:rPr>
          <w:sz w:val="24"/>
          <w:szCs w:val="24"/>
        </w:rPr>
        <w:t>e</w:t>
      </w:r>
      <w:r w:rsidRPr="00EC19B6">
        <w:rPr>
          <w:sz w:val="24"/>
          <w:szCs w:val="24"/>
        </w:rPr>
        <w:t xml:space="preserve"> mogućnosti rada „na crno“, a poslodavci smišljaju načine kako umanjiti troškove za svoje zaposlenike, odnosno kako kroz isplatu minimalnih plaća smanjiti osnovicu za oporezivanje dohotka</w:t>
      </w:r>
      <w:r w:rsidR="00D542C0">
        <w:rPr>
          <w:sz w:val="24"/>
          <w:szCs w:val="24"/>
        </w:rPr>
        <w:t xml:space="preserve"> i plaćanje </w:t>
      </w:r>
      <w:r w:rsidR="0007183D">
        <w:rPr>
          <w:sz w:val="24"/>
          <w:szCs w:val="24"/>
        </w:rPr>
        <w:t>socijalnih doprinosa</w:t>
      </w:r>
      <w:r w:rsidR="00D542C0">
        <w:rPr>
          <w:sz w:val="24"/>
          <w:szCs w:val="24"/>
        </w:rPr>
        <w:t xml:space="preserve"> - čime dovode u pitanje buduće prihode od mirovina postojećih  zaposlenika, funkcioniranje zdravstvenog sustava</w:t>
      </w:r>
      <w:r w:rsidR="001760AA">
        <w:rPr>
          <w:sz w:val="24"/>
          <w:szCs w:val="24"/>
        </w:rPr>
        <w:t xml:space="preserve"> zemlje te isplatu mirovina postojećim umirovljenicima</w:t>
      </w:r>
      <w:r w:rsidR="00D542C0">
        <w:rPr>
          <w:sz w:val="24"/>
          <w:szCs w:val="24"/>
        </w:rPr>
        <w:t>.</w:t>
      </w:r>
      <w:r w:rsidR="00D00EFE">
        <w:rPr>
          <w:sz w:val="24"/>
          <w:szCs w:val="24"/>
        </w:rPr>
        <w:t xml:space="preserve"> Rezultat opisanih </w:t>
      </w:r>
      <w:r w:rsidR="00B21208">
        <w:rPr>
          <w:sz w:val="24"/>
          <w:szCs w:val="24"/>
        </w:rPr>
        <w:t xml:space="preserve">i drugih nepovoljnih </w:t>
      </w:r>
      <w:r w:rsidR="00D00EFE">
        <w:rPr>
          <w:sz w:val="24"/>
          <w:szCs w:val="24"/>
        </w:rPr>
        <w:t xml:space="preserve">kretanja i ponašanja je </w:t>
      </w:r>
      <w:r w:rsidR="00D00EFE" w:rsidRPr="00430AB8">
        <w:rPr>
          <w:color w:val="C00000"/>
          <w:sz w:val="24"/>
          <w:szCs w:val="24"/>
        </w:rPr>
        <w:t>stanje dubokih strukturnih i makroekonomskih neravnoteža kojima je zahvaćeno gospodarstvo RH</w:t>
      </w:r>
      <w:r w:rsidR="00D00EFE">
        <w:rPr>
          <w:sz w:val="24"/>
          <w:szCs w:val="24"/>
        </w:rPr>
        <w:t>, gdje se na prvom mjestu ističu fiskalne neravnoteže vezane uz visok budže</w:t>
      </w:r>
      <w:r w:rsidR="00D542C0">
        <w:rPr>
          <w:sz w:val="24"/>
          <w:szCs w:val="24"/>
        </w:rPr>
        <w:t>tski deficit i visok javni dug</w:t>
      </w:r>
      <w:r w:rsidR="001760AA">
        <w:rPr>
          <w:sz w:val="24"/>
          <w:szCs w:val="24"/>
        </w:rPr>
        <w:t>.</w:t>
      </w:r>
    </w:p>
    <w:p w:rsidR="00C32BDE" w:rsidRDefault="00D00EFE" w:rsidP="00D542C0">
      <w:pPr>
        <w:jc w:val="both"/>
        <w:rPr>
          <w:sz w:val="24"/>
          <w:szCs w:val="24"/>
        </w:rPr>
      </w:pPr>
      <w:r>
        <w:rPr>
          <w:sz w:val="24"/>
          <w:szCs w:val="24"/>
        </w:rPr>
        <w:t xml:space="preserve">Daljnji problemi su visok vanjski dug </w:t>
      </w:r>
      <w:r w:rsidR="00430AB8">
        <w:rPr>
          <w:sz w:val="24"/>
          <w:szCs w:val="24"/>
        </w:rPr>
        <w:t xml:space="preserve">(uključujući </w:t>
      </w:r>
      <w:r w:rsidR="00E01B9F">
        <w:rPr>
          <w:sz w:val="24"/>
          <w:szCs w:val="24"/>
        </w:rPr>
        <w:t xml:space="preserve">vanjski dug </w:t>
      </w:r>
      <w:r w:rsidR="00430AB8">
        <w:rPr>
          <w:sz w:val="24"/>
          <w:szCs w:val="24"/>
        </w:rPr>
        <w:t>držav</w:t>
      </w:r>
      <w:r w:rsidR="00E01B9F">
        <w:rPr>
          <w:sz w:val="24"/>
          <w:szCs w:val="24"/>
        </w:rPr>
        <w:t xml:space="preserve">e, </w:t>
      </w:r>
      <w:r w:rsidR="00430AB8">
        <w:rPr>
          <w:sz w:val="24"/>
          <w:szCs w:val="24"/>
        </w:rPr>
        <w:t>poduzeća</w:t>
      </w:r>
      <w:r w:rsidR="00E01B9F">
        <w:rPr>
          <w:sz w:val="24"/>
          <w:szCs w:val="24"/>
        </w:rPr>
        <w:t xml:space="preserve"> i</w:t>
      </w:r>
      <w:r w:rsidR="00430AB8">
        <w:rPr>
          <w:sz w:val="24"/>
          <w:szCs w:val="24"/>
        </w:rPr>
        <w:t xml:space="preserve"> bank</w:t>
      </w:r>
      <w:r w:rsidR="00E01B9F">
        <w:rPr>
          <w:sz w:val="24"/>
          <w:szCs w:val="24"/>
        </w:rPr>
        <w:t>a</w:t>
      </w:r>
      <w:r w:rsidR="00430AB8">
        <w:rPr>
          <w:sz w:val="24"/>
          <w:szCs w:val="24"/>
        </w:rPr>
        <w:t>) te</w:t>
      </w:r>
      <w:r>
        <w:rPr>
          <w:sz w:val="24"/>
          <w:szCs w:val="24"/>
        </w:rPr>
        <w:t xml:space="preserve"> visok unutarnji dug</w:t>
      </w:r>
      <w:r w:rsidR="00430AB8">
        <w:rPr>
          <w:sz w:val="24"/>
          <w:szCs w:val="24"/>
        </w:rPr>
        <w:t>,</w:t>
      </w:r>
      <w:r>
        <w:rPr>
          <w:sz w:val="24"/>
          <w:szCs w:val="24"/>
        </w:rPr>
        <w:t xml:space="preserve"> koji s</w:t>
      </w:r>
      <w:r w:rsidR="00E01B9F">
        <w:rPr>
          <w:sz w:val="24"/>
          <w:szCs w:val="24"/>
        </w:rPr>
        <w:t xml:space="preserve">u posljedica ranije prilično izražene </w:t>
      </w:r>
      <w:r w:rsidRPr="00430AB8">
        <w:rPr>
          <w:color w:val="C00000"/>
          <w:sz w:val="24"/>
          <w:szCs w:val="24"/>
        </w:rPr>
        <w:t>sklonosti trošenju više od realnih mogućnosti</w:t>
      </w:r>
      <w:r>
        <w:rPr>
          <w:sz w:val="24"/>
          <w:szCs w:val="24"/>
        </w:rPr>
        <w:t xml:space="preserve">. </w:t>
      </w:r>
      <w:r w:rsidR="00F23EF0">
        <w:rPr>
          <w:sz w:val="24"/>
          <w:szCs w:val="24"/>
        </w:rPr>
        <w:t xml:space="preserve">Nadalje, to je visoka uvozna zavisnost zemlje </w:t>
      </w:r>
      <w:r w:rsidR="00D542C0">
        <w:rPr>
          <w:sz w:val="24"/>
          <w:szCs w:val="24"/>
        </w:rPr>
        <w:t>(</w:t>
      </w:r>
      <w:r w:rsidR="00F23EF0">
        <w:rPr>
          <w:sz w:val="24"/>
          <w:szCs w:val="24"/>
        </w:rPr>
        <w:t xml:space="preserve">kojoj pridonose navike potrošnje </w:t>
      </w:r>
      <w:r w:rsidR="00D542C0">
        <w:rPr>
          <w:sz w:val="24"/>
          <w:szCs w:val="24"/>
        </w:rPr>
        <w:t xml:space="preserve">s preferencijom uvoznih dobara) </w:t>
      </w:r>
      <w:r w:rsidR="00F23EF0">
        <w:rPr>
          <w:sz w:val="24"/>
          <w:szCs w:val="24"/>
        </w:rPr>
        <w:t xml:space="preserve">te nekonkurentan izvoz u kojem su nedovoljno zastupljene robe i usluge s većom dodanom vrijednošću. Tijekom recesije posebno je došao do izražaja problem nezaposlenosti, kojim su najviše pogođeni mladi i osobe s niskim kvalifikacijama, dok još od 90-ih je izražen problem dugotrajne nezaposlenosti radno aktivnog stanovništva u dobi preko 50 godina te problem strukturne nezaposlenosti vezan uz razlike u </w:t>
      </w:r>
      <w:r w:rsidR="00D542C0">
        <w:rPr>
          <w:sz w:val="24"/>
          <w:szCs w:val="24"/>
        </w:rPr>
        <w:t>zahtjevima potražnje</w:t>
      </w:r>
      <w:r w:rsidR="001760AA">
        <w:rPr>
          <w:sz w:val="24"/>
          <w:szCs w:val="24"/>
        </w:rPr>
        <w:t xml:space="preserve"> rada</w:t>
      </w:r>
      <w:r w:rsidR="00D542C0">
        <w:rPr>
          <w:sz w:val="24"/>
          <w:szCs w:val="24"/>
        </w:rPr>
        <w:t xml:space="preserve"> i obilježj</w:t>
      </w:r>
      <w:r w:rsidR="00B21208">
        <w:rPr>
          <w:sz w:val="24"/>
          <w:szCs w:val="24"/>
        </w:rPr>
        <w:t>a</w:t>
      </w:r>
      <w:r w:rsidR="00D542C0">
        <w:rPr>
          <w:sz w:val="24"/>
          <w:szCs w:val="24"/>
        </w:rPr>
        <w:t xml:space="preserve"> </w:t>
      </w:r>
      <w:r w:rsidR="00F23EF0">
        <w:rPr>
          <w:sz w:val="24"/>
          <w:szCs w:val="24"/>
        </w:rPr>
        <w:t>ponud</w:t>
      </w:r>
      <w:r w:rsidR="00D542C0">
        <w:rPr>
          <w:sz w:val="24"/>
          <w:szCs w:val="24"/>
        </w:rPr>
        <w:t>e</w:t>
      </w:r>
      <w:r w:rsidR="00F23EF0">
        <w:rPr>
          <w:sz w:val="24"/>
          <w:szCs w:val="24"/>
        </w:rPr>
        <w:t xml:space="preserve"> </w:t>
      </w:r>
      <w:r w:rsidR="00D542C0">
        <w:rPr>
          <w:sz w:val="24"/>
          <w:szCs w:val="24"/>
        </w:rPr>
        <w:t xml:space="preserve">rada </w:t>
      </w:r>
      <w:r w:rsidR="00F23EF0">
        <w:rPr>
          <w:sz w:val="24"/>
          <w:szCs w:val="24"/>
        </w:rPr>
        <w:t>s obzirom na znanja, kvalifikacije i stručnu spremu.</w:t>
      </w:r>
    </w:p>
    <w:p w:rsidR="006714BB" w:rsidRDefault="00F23EF0" w:rsidP="00D542C0">
      <w:pPr>
        <w:jc w:val="both"/>
        <w:rPr>
          <w:sz w:val="24"/>
          <w:szCs w:val="24"/>
        </w:rPr>
      </w:pPr>
      <w:r>
        <w:rPr>
          <w:sz w:val="24"/>
          <w:szCs w:val="24"/>
        </w:rPr>
        <w:t xml:space="preserve">Navedeni problemi se odražavaju na kvalitetu života </w:t>
      </w:r>
      <w:r w:rsidR="00E01B9F">
        <w:rPr>
          <w:sz w:val="24"/>
          <w:szCs w:val="24"/>
        </w:rPr>
        <w:t xml:space="preserve">brojnih </w:t>
      </w:r>
      <w:r>
        <w:rPr>
          <w:sz w:val="24"/>
          <w:szCs w:val="24"/>
        </w:rPr>
        <w:t>pojedinaca i kućanstva u RH, na njihovo subjektivno ekonomsko zadovoljstvo i emotivno stanje</w:t>
      </w:r>
      <w:r w:rsidR="00D542C0">
        <w:rPr>
          <w:sz w:val="24"/>
          <w:szCs w:val="24"/>
        </w:rPr>
        <w:t>. S</w:t>
      </w:r>
      <w:r>
        <w:rPr>
          <w:sz w:val="24"/>
          <w:szCs w:val="24"/>
        </w:rPr>
        <w:t xml:space="preserve"> druge strane </w:t>
      </w:r>
      <w:r w:rsidRPr="00430AB8">
        <w:rPr>
          <w:color w:val="C00000"/>
          <w:sz w:val="24"/>
          <w:szCs w:val="24"/>
        </w:rPr>
        <w:t xml:space="preserve">Hrvatska </w:t>
      </w:r>
      <w:r w:rsidR="00D542C0" w:rsidRPr="00430AB8">
        <w:rPr>
          <w:color w:val="C00000"/>
          <w:sz w:val="24"/>
          <w:szCs w:val="24"/>
        </w:rPr>
        <w:t xml:space="preserve">je </w:t>
      </w:r>
      <w:r w:rsidRPr="00430AB8">
        <w:rPr>
          <w:color w:val="C00000"/>
          <w:sz w:val="24"/>
          <w:szCs w:val="24"/>
        </w:rPr>
        <w:t>perspektivna zemlja u kojoj bi optimalna alokacija oskudnih resursa mogla pridonijeti značajnom poboljšanju ekonomskih pokazatelja</w:t>
      </w:r>
      <w:r>
        <w:rPr>
          <w:sz w:val="24"/>
          <w:szCs w:val="24"/>
        </w:rPr>
        <w:t xml:space="preserve">. Koliko će zemlja u tome uspjeti </w:t>
      </w:r>
      <w:r w:rsidR="001760AA">
        <w:rPr>
          <w:sz w:val="24"/>
          <w:szCs w:val="24"/>
        </w:rPr>
        <w:t xml:space="preserve">ne ovisi samo o političarima i nositeljima makroekonomskih politika, nego </w:t>
      </w:r>
      <w:r w:rsidRPr="00430AB8">
        <w:rPr>
          <w:color w:val="C00000"/>
          <w:sz w:val="24"/>
          <w:szCs w:val="24"/>
        </w:rPr>
        <w:t xml:space="preserve">ovisi o svakom pojedincu koji u </w:t>
      </w:r>
      <w:r w:rsidR="001760AA" w:rsidRPr="00430AB8">
        <w:rPr>
          <w:color w:val="C00000"/>
          <w:sz w:val="24"/>
          <w:szCs w:val="24"/>
        </w:rPr>
        <w:t xml:space="preserve">Hrvatskoj </w:t>
      </w:r>
      <w:r w:rsidRPr="00430AB8">
        <w:rPr>
          <w:color w:val="C00000"/>
          <w:sz w:val="24"/>
          <w:szCs w:val="24"/>
        </w:rPr>
        <w:t>živi i radi</w:t>
      </w:r>
      <w:r w:rsidR="001760AA">
        <w:rPr>
          <w:sz w:val="24"/>
          <w:szCs w:val="24"/>
        </w:rPr>
        <w:t>. S</w:t>
      </w:r>
      <w:r>
        <w:rPr>
          <w:sz w:val="24"/>
          <w:szCs w:val="24"/>
        </w:rPr>
        <w:t xml:space="preserve"> druge strane na pojedincu </w:t>
      </w:r>
      <w:r w:rsidR="001760AA">
        <w:rPr>
          <w:sz w:val="24"/>
          <w:szCs w:val="24"/>
        </w:rPr>
        <w:t xml:space="preserve">je </w:t>
      </w:r>
      <w:r>
        <w:rPr>
          <w:sz w:val="24"/>
          <w:szCs w:val="24"/>
        </w:rPr>
        <w:t xml:space="preserve">da </w:t>
      </w:r>
      <w:r w:rsidR="00B21208">
        <w:rPr>
          <w:sz w:val="24"/>
          <w:szCs w:val="24"/>
        </w:rPr>
        <w:t xml:space="preserve">isto tako izbor da </w:t>
      </w:r>
      <w:r w:rsidR="001760AA">
        <w:rPr>
          <w:sz w:val="24"/>
          <w:szCs w:val="24"/>
        </w:rPr>
        <w:t xml:space="preserve">legalne </w:t>
      </w:r>
      <w:r>
        <w:rPr>
          <w:sz w:val="24"/>
          <w:szCs w:val="24"/>
        </w:rPr>
        <w:t>prilike i mogućnosti iskoristi na najbolji mogući način. Jed</w:t>
      </w:r>
      <w:r w:rsidR="001760AA">
        <w:rPr>
          <w:sz w:val="24"/>
          <w:szCs w:val="24"/>
        </w:rPr>
        <w:t>ni</w:t>
      </w:r>
      <w:r>
        <w:rPr>
          <w:sz w:val="24"/>
          <w:szCs w:val="24"/>
        </w:rPr>
        <w:t xml:space="preserve"> od pravaca na tom putu </w:t>
      </w:r>
      <w:r w:rsidR="001760AA">
        <w:rPr>
          <w:sz w:val="24"/>
          <w:szCs w:val="24"/>
        </w:rPr>
        <w:t>su</w:t>
      </w:r>
      <w:r>
        <w:rPr>
          <w:sz w:val="24"/>
          <w:szCs w:val="24"/>
        </w:rPr>
        <w:t xml:space="preserve"> </w:t>
      </w:r>
      <w:r w:rsidR="001760AA">
        <w:rPr>
          <w:sz w:val="24"/>
          <w:szCs w:val="24"/>
        </w:rPr>
        <w:t>ulaganje u osobni ljudski kapital radi ostvarivanja prilika za veću zaradu</w:t>
      </w:r>
      <w:r w:rsidR="00B21208">
        <w:rPr>
          <w:sz w:val="24"/>
          <w:szCs w:val="24"/>
        </w:rPr>
        <w:t>, kao i</w:t>
      </w:r>
      <w:r w:rsidR="001760AA">
        <w:rPr>
          <w:sz w:val="24"/>
          <w:szCs w:val="24"/>
        </w:rPr>
        <w:t xml:space="preserve"> </w:t>
      </w:r>
      <w:r>
        <w:rPr>
          <w:sz w:val="24"/>
          <w:szCs w:val="24"/>
        </w:rPr>
        <w:t>učinkovit</w:t>
      </w:r>
      <w:r w:rsidR="001760AA">
        <w:rPr>
          <w:sz w:val="24"/>
          <w:szCs w:val="24"/>
        </w:rPr>
        <w:t>o</w:t>
      </w:r>
      <w:r>
        <w:rPr>
          <w:sz w:val="24"/>
          <w:szCs w:val="24"/>
        </w:rPr>
        <w:t xml:space="preserve"> upravljanje osobnim financijama</w:t>
      </w:r>
      <w:r w:rsidR="004A5A6A">
        <w:rPr>
          <w:sz w:val="24"/>
          <w:szCs w:val="24"/>
        </w:rPr>
        <w:t xml:space="preserve"> uz puni angažman </w:t>
      </w:r>
      <w:r w:rsidR="00B21208">
        <w:rPr>
          <w:sz w:val="24"/>
          <w:szCs w:val="24"/>
        </w:rPr>
        <w:t>te</w:t>
      </w:r>
      <w:r w:rsidR="004A5A6A">
        <w:rPr>
          <w:sz w:val="24"/>
          <w:szCs w:val="24"/>
        </w:rPr>
        <w:t xml:space="preserve"> </w:t>
      </w:r>
      <w:r w:rsidR="00B21208" w:rsidRPr="00430AB8">
        <w:rPr>
          <w:color w:val="C00000"/>
          <w:sz w:val="24"/>
          <w:szCs w:val="24"/>
        </w:rPr>
        <w:t xml:space="preserve">racionalno i </w:t>
      </w:r>
      <w:r w:rsidR="004A5A6A" w:rsidRPr="00430AB8">
        <w:rPr>
          <w:color w:val="C00000"/>
          <w:sz w:val="24"/>
          <w:szCs w:val="24"/>
        </w:rPr>
        <w:t>odgovorno ponašanje</w:t>
      </w:r>
      <w:r w:rsidR="004A5A6A">
        <w:rPr>
          <w:sz w:val="24"/>
          <w:szCs w:val="24"/>
        </w:rPr>
        <w:t>.</w:t>
      </w:r>
    </w:p>
    <w:p w:rsidR="0010689B" w:rsidRPr="0010689B" w:rsidRDefault="0010689B" w:rsidP="0010689B">
      <w:pPr>
        <w:jc w:val="both"/>
        <w:rPr>
          <w:b/>
          <w:sz w:val="24"/>
          <w:szCs w:val="24"/>
        </w:rPr>
      </w:pPr>
      <w:r w:rsidRPr="0010689B">
        <w:rPr>
          <w:b/>
          <w:sz w:val="24"/>
          <w:szCs w:val="24"/>
        </w:rPr>
        <w:lastRenderedPageBreak/>
        <w:t>2.</w:t>
      </w:r>
      <w:r>
        <w:rPr>
          <w:b/>
          <w:sz w:val="24"/>
          <w:szCs w:val="24"/>
        </w:rPr>
        <w:t xml:space="preserve"> </w:t>
      </w:r>
      <w:r w:rsidRPr="0010689B">
        <w:rPr>
          <w:b/>
          <w:sz w:val="24"/>
          <w:szCs w:val="24"/>
        </w:rPr>
        <w:t>PLANIRANJE OSOBNE FINANCIJSKE POZICIJE</w:t>
      </w:r>
    </w:p>
    <w:p w:rsidR="005F2471" w:rsidRDefault="0010689B" w:rsidP="0010689B">
      <w:pPr>
        <w:jc w:val="both"/>
        <w:rPr>
          <w:sz w:val="24"/>
          <w:szCs w:val="24"/>
        </w:rPr>
      </w:pPr>
      <w:r w:rsidRPr="00BA5245">
        <w:rPr>
          <w:color w:val="C00000"/>
          <w:sz w:val="24"/>
          <w:szCs w:val="24"/>
        </w:rPr>
        <w:t xml:space="preserve">Upravljanje osobnim financijama </w:t>
      </w:r>
      <w:r w:rsidRPr="0010689B">
        <w:rPr>
          <w:sz w:val="24"/>
          <w:szCs w:val="24"/>
        </w:rPr>
        <w:t>predstavlja sustav upravljanja imovinom i obvezama</w:t>
      </w:r>
      <w:r w:rsidR="00BA5245">
        <w:rPr>
          <w:sz w:val="24"/>
          <w:szCs w:val="24"/>
        </w:rPr>
        <w:t>,</w:t>
      </w:r>
      <w:r w:rsidR="00BF5F92">
        <w:rPr>
          <w:sz w:val="24"/>
          <w:szCs w:val="24"/>
        </w:rPr>
        <w:t xml:space="preserve"> prihodima i rashodima</w:t>
      </w:r>
      <w:r w:rsidR="00BA5245">
        <w:rPr>
          <w:sz w:val="24"/>
          <w:szCs w:val="24"/>
        </w:rPr>
        <w:t xml:space="preserve">, odnosno primicima i izdacima </w:t>
      </w:r>
      <w:r w:rsidRPr="0010689B">
        <w:rPr>
          <w:sz w:val="24"/>
          <w:szCs w:val="24"/>
        </w:rPr>
        <w:t xml:space="preserve">sa svrhom dostizanja maksimalne razine ekonomskog zadovoljstva. </w:t>
      </w:r>
      <w:r w:rsidR="00BF5F92">
        <w:rPr>
          <w:sz w:val="24"/>
          <w:szCs w:val="24"/>
        </w:rPr>
        <w:t>M</w:t>
      </w:r>
      <w:r w:rsidRPr="0010689B">
        <w:rPr>
          <w:sz w:val="24"/>
          <w:szCs w:val="24"/>
        </w:rPr>
        <w:t>aksimalna razine ekonomskog zadovoljstva razlikuje se od osobe do osobe</w:t>
      </w:r>
      <w:r w:rsidR="00BE7ED1">
        <w:rPr>
          <w:sz w:val="24"/>
          <w:szCs w:val="24"/>
        </w:rPr>
        <w:t xml:space="preserve"> i</w:t>
      </w:r>
      <w:r w:rsidRPr="0010689B">
        <w:rPr>
          <w:sz w:val="24"/>
          <w:szCs w:val="24"/>
        </w:rPr>
        <w:t xml:space="preserve"> predstavlja subjektivnu ocjenu zadovoljstva „u životu“. </w:t>
      </w:r>
      <w:r w:rsidR="005F2471">
        <w:rPr>
          <w:sz w:val="24"/>
          <w:szCs w:val="24"/>
        </w:rPr>
        <w:t>K</w:t>
      </w:r>
      <w:r w:rsidRPr="0010689B">
        <w:rPr>
          <w:sz w:val="24"/>
          <w:szCs w:val="24"/>
        </w:rPr>
        <w:t xml:space="preserve">ao takva podložna je </w:t>
      </w:r>
      <w:r w:rsidRPr="005F2471">
        <w:rPr>
          <w:color w:val="C00000"/>
          <w:sz w:val="24"/>
          <w:szCs w:val="24"/>
        </w:rPr>
        <w:t>neobjektivnosti u procjeni potreba i ciljeva koj</w:t>
      </w:r>
      <w:r w:rsidR="0042012F" w:rsidRPr="005F2471">
        <w:rPr>
          <w:color w:val="C00000"/>
          <w:sz w:val="24"/>
          <w:szCs w:val="24"/>
        </w:rPr>
        <w:t>i se</w:t>
      </w:r>
      <w:r w:rsidRPr="005F2471">
        <w:rPr>
          <w:color w:val="C00000"/>
          <w:sz w:val="24"/>
          <w:szCs w:val="24"/>
        </w:rPr>
        <w:t xml:space="preserve"> žel</w:t>
      </w:r>
      <w:r w:rsidR="0042012F" w:rsidRPr="005F2471">
        <w:rPr>
          <w:color w:val="C00000"/>
          <w:sz w:val="24"/>
          <w:szCs w:val="24"/>
        </w:rPr>
        <w:t>e</w:t>
      </w:r>
      <w:r w:rsidRPr="005F2471">
        <w:rPr>
          <w:color w:val="C00000"/>
          <w:sz w:val="24"/>
          <w:szCs w:val="24"/>
        </w:rPr>
        <w:t xml:space="preserve"> zadovoljiti i postići u od</w:t>
      </w:r>
      <w:r w:rsidR="0042012F" w:rsidRPr="005F2471">
        <w:rPr>
          <w:color w:val="C00000"/>
          <w:sz w:val="24"/>
          <w:szCs w:val="24"/>
        </w:rPr>
        <w:t>nosu na realne mogućnosti</w:t>
      </w:r>
      <w:r w:rsidRPr="0010689B">
        <w:rPr>
          <w:sz w:val="24"/>
          <w:szCs w:val="24"/>
        </w:rPr>
        <w:t xml:space="preserve">. Ljudi </w:t>
      </w:r>
      <w:r w:rsidR="0042012F">
        <w:rPr>
          <w:sz w:val="24"/>
          <w:szCs w:val="24"/>
        </w:rPr>
        <w:t>„</w:t>
      </w:r>
      <w:r w:rsidRPr="0010689B">
        <w:rPr>
          <w:sz w:val="24"/>
          <w:szCs w:val="24"/>
        </w:rPr>
        <w:t>sanjaju da postanu bogati</w:t>
      </w:r>
      <w:r w:rsidR="0042012F">
        <w:rPr>
          <w:sz w:val="24"/>
          <w:szCs w:val="24"/>
        </w:rPr>
        <w:t>“</w:t>
      </w:r>
      <w:r w:rsidRPr="0010689B">
        <w:rPr>
          <w:sz w:val="24"/>
          <w:szCs w:val="24"/>
        </w:rPr>
        <w:t>, da dob</w:t>
      </w:r>
      <w:r w:rsidR="00BF5F92">
        <w:rPr>
          <w:sz w:val="24"/>
          <w:szCs w:val="24"/>
        </w:rPr>
        <w:t>e</w:t>
      </w:r>
      <w:r w:rsidR="00BA5245">
        <w:rPr>
          <w:sz w:val="24"/>
          <w:szCs w:val="24"/>
        </w:rPr>
        <w:t xml:space="preserve"> na lutriji </w:t>
      </w:r>
      <w:r w:rsidR="00DC25DF">
        <w:rPr>
          <w:sz w:val="24"/>
          <w:szCs w:val="24"/>
        </w:rPr>
        <w:t>i slično</w:t>
      </w:r>
      <w:r w:rsidR="00BA5245">
        <w:rPr>
          <w:sz w:val="24"/>
          <w:szCs w:val="24"/>
        </w:rPr>
        <w:t xml:space="preserve">. </w:t>
      </w:r>
      <w:r w:rsidR="00DC25DF">
        <w:rPr>
          <w:sz w:val="24"/>
          <w:szCs w:val="24"/>
        </w:rPr>
        <w:t>Međutim, i</w:t>
      </w:r>
      <w:r w:rsidRPr="0010689B">
        <w:rPr>
          <w:sz w:val="24"/>
          <w:szCs w:val="24"/>
        </w:rPr>
        <w:t>ako je sve navedeno moguće, rijetki su pojedinci kojima navedeno „polazi za rukom“. Neki se doista r</w:t>
      </w:r>
      <w:r w:rsidR="00BE7ED1">
        <w:rPr>
          <w:sz w:val="24"/>
          <w:szCs w:val="24"/>
        </w:rPr>
        <w:t>ode</w:t>
      </w:r>
      <w:r w:rsidRPr="0010689B">
        <w:rPr>
          <w:sz w:val="24"/>
          <w:szCs w:val="24"/>
        </w:rPr>
        <w:t xml:space="preserve"> pod </w:t>
      </w:r>
      <w:r w:rsidR="00BF5F92">
        <w:rPr>
          <w:sz w:val="24"/>
          <w:szCs w:val="24"/>
        </w:rPr>
        <w:t>„</w:t>
      </w:r>
      <w:r w:rsidRPr="0010689B">
        <w:rPr>
          <w:sz w:val="24"/>
          <w:szCs w:val="24"/>
        </w:rPr>
        <w:t>sretnom zvijezdom</w:t>
      </w:r>
      <w:r w:rsidR="00BF5F92">
        <w:rPr>
          <w:sz w:val="24"/>
          <w:szCs w:val="24"/>
        </w:rPr>
        <w:t>“</w:t>
      </w:r>
      <w:r w:rsidRPr="0010689B">
        <w:rPr>
          <w:sz w:val="24"/>
          <w:szCs w:val="24"/>
        </w:rPr>
        <w:t>, ali većina do većeg materijalnog bogatstva dolazi teškim i mukotrpnim radom</w:t>
      </w:r>
      <w:r w:rsidR="003F69B4">
        <w:rPr>
          <w:sz w:val="24"/>
          <w:szCs w:val="24"/>
        </w:rPr>
        <w:t>, racionalizacijom troškova te dugotrajnom štednjom</w:t>
      </w:r>
      <w:r w:rsidRPr="0010689B">
        <w:rPr>
          <w:sz w:val="24"/>
          <w:szCs w:val="24"/>
        </w:rPr>
        <w:t xml:space="preserve">. </w:t>
      </w:r>
    </w:p>
    <w:p w:rsidR="005F2471" w:rsidRDefault="005F2471" w:rsidP="005F2471">
      <w:pPr>
        <w:jc w:val="both"/>
        <w:rPr>
          <w:sz w:val="24"/>
          <w:szCs w:val="24"/>
        </w:rPr>
      </w:pPr>
      <w:r w:rsidRPr="0010689B">
        <w:rPr>
          <w:sz w:val="24"/>
          <w:szCs w:val="24"/>
        </w:rPr>
        <w:t xml:space="preserve">Za efikasno planiranje i upravljanje osobnim financijama treba </w:t>
      </w:r>
      <w:r w:rsidRPr="005F2471">
        <w:rPr>
          <w:color w:val="C00000"/>
          <w:sz w:val="24"/>
          <w:szCs w:val="24"/>
        </w:rPr>
        <w:t>zaboraviti na faktor sreće</w:t>
      </w:r>
      <w:r w:rsidRPr="0010689B">
        <w:rPr>
          <w:sz w:val="24"/>
          <w:szCs w:val="24"/>
        </w:rPr>
        <w:t>, sjetit</w:t>
      </w:r>
      <w:r>
        <w:rPr>
          <w:sz w:val="24"/>
          <w:szCs w:val="24"/>
        </w:rPr>
        <w:t>i</w:t>
      </w:r>
      <w:r w:rsidRPr="0010689B">
        <w:rPr>
          <w:sz w:val="24"/>
          <w:szCs w:val="24"/>
        </w:rPr>
        <w:t xml:space="preserve"> se da lako zarađeni novac ne postoji </w:t>
      </w:r>
      <w:r w:rsidR="00BE7ED1">
        <w:rPr>
          <w:sz w:val="24"/>
          <w:szCs w:val="24"/>
        </w:rPr>
        <w:t>i</w:t>
      </w:r>
      <w:r w:rsidRPr="0010689B">
        <w:rPr>
          <w:sz w:val="24"/>
          <w:szCs w:val="24"/>
        </w:rPr>
        <w:t xml:space="preserve"> </w:t>
      </w:r>
      <w:r>
        <w:rPr>
          <w:sz w:val="24"/>
          <w:szCs w:val="24"/>
        </w:rPr>
        <w:t xml:space="preserve">izbjegavati psihološki efekt „zaštite vlastitog ega“ </w:t>
      </w:r>
      <w:r w:rsidR="00BE7ED1">
        <w:rPr>
          <w:sz w:val="24"/>
          <w:szCs w:val="24"/>
        </w:rPr>
        <w:t xml:space="preserve">ili </w:t>
      </w:r>
      <w:r>
        <w:rPr>
          <w:sz w:val="24"/>
          <w:szCs w:val="24"/>
        </w:rPr>
        <w:t xml:space="preserve">kroz </w:t>
      </w:r>
      <w:r w:rsidRPr="0010689B">
        <w:rPr>
          <w:sz w:val="24"/>
          <w:szCs w:val="24"/>
        </w:rPr>
        <w:t>optuživa</w:t>
      </w:r>
      <w:r>
        <w:rPr>
          <w:sz w:val="24"/>
          <w:szCs w:val="24"/>
        </w:rPr>
        <w:t>nje drugih za vlastite loše okolnosti</w:t>
      </w:r>
      <w:r w:rsidRPr="0010689B">
        <w:rPr>
          <w:sz w:val="24"/>
          <w:szCs w:val="24"/>
        </w:rPr>
        <w:t xml:space="preserve">. </w:t>
      </w:r>
      <w:r w:rsidR="00BE7ED1">
        <w:rPr>
          <w:sz w:val="24"/>
          <w:szCs w:val="24"/>
        </w:rPr>
        <w:t>S</w:t>
      </w:r>
      <w:r w:rsidRPr="005F2471">
        <w:rPr>
          <w:sz w:val="24"/>
          <w:szCs w:val="24"/>
        </w:rPr>
        <w:t xml:space="preserve">vaki pojedinac treba biti svjestan da nigdje </w:t>
      </w:r>
      <w:r w:rsidRPr="005F2471">
        <w:rPr>
          <w:color w:val="C00000"/>
          <w:sz w:val="24"/>
          <w:szCs w:val="24"/>
        </w:rPr>
        <w:t>neće naći gotove recepte i rješenja za vlastitu financijsku uspješnost i povećanje</w:t>
      </w:r>
      <w:r>
        <w:rPr>
          <w:color w:val="C00000"/>
          <w:sz w:val="24"/>
          <w:szCs w:val="24"/>
        </w:rPr>
        <w:t xml:space="preserve"> blagostanja</w:t>
      </w:r>
      <w:r w:rsidRPr="005F2471">
        <w:rPr>
          <w:sz w:val="24"/>
          <w:szCs w:val="24"/>
        </w:rPr>
        <w:t>. Unapređenje postojeće financijske situacije moguće je kroz korištenje potencijalnih prilika za efikasnije upravljanje prihodima</w:t>
      </w:r>
      <w:r w:rsidR="00BE7ED1">
        <w:rPr>
          <w:sz w:val="24"/>
          <w:szCs w:val="24"/>
        </w:rPr>
        <w:t>, rashodima, imovinom i obvezama.</w:t>
      </w:r>
      <w:r w:rsidRPr="005F2471">
        <w:rPr>
          <w:sz w:val="24"/>
          <w:szCs w:val="24"/>
        </w:rPr>
        <w:t xml:space="preserve"> Koliko će osoba u tome uspjeti prvenstveno ovisi o njemu samom, konkretno o  spremnosti da stihiju u odnosu prema vlastitim financijama zamijeni sustavnim financijskim planiranjem. Ovisi o spremnosti ulaganja u samog sebe, ulaganja u vlastita znanja i vještine koje omoguć</w:t>
      </w:r>
      <w:r w:rsidR="00BE7ED1">
        <w:rPr>
          <w:sz w:val="24"/>
          <w:szCs w:val="24"/>
        </w:rPr>
        <w:t>avaju</w:t>
      </w:r>
      <w:r w:rsidRPr="005F2471">
        <w:rPr>
          <w:sz w:val="24"/>
          <w:szCs w:val="24"/>
        </w:rPr>
        <w:t xml:space="preserve"> ostvarivanje većeg dohotka od rada, kao i </w:t>
      </w:r>
      <w:r w:rsidR="00BE7ED1">
        <w:rPr>
          <w:sz w:val="24"/>
          <w:szCs w:val="24"/>
        </w:rPr>
        <w:t>razvoj znanja i vještine potrebnih</w:t>
      </w:r>
      <w:r w:rsidRPr="005F2471">
        <w:rPr>
          <w:sz w:val="24"/>
          <w:szCs w:val="24"/>
        </w:rPr>
        <w:t xml:space="preserve"> za ulaganje na financijskim tržištima. Isto tako ovisi o sposobnosti realnog sagledavanja tekuće financijske pozicije i postavljanja realnih financijskih ciljeva koje je moguće ostvariti u kratkom, srednjem i dugom roku</w:t>
      </w:r>
      <w:r w:rsidR="00041715">
        <w:rPr>
          <w:sz w:val="24"/>
          <w:szCs w:val="24"/>
        </w:rPr>
        <w:t xml:space="preserve"> s obzirom na budžetska ograničenja s kojima je osoba suočena</w:t>
      </w:r>
      <w:r w:rsidRPr="005F2471">
        <w:rPr>
          <w:sz w:val="24"/>
          <w:szCs w:val="24"/>
        </w:rPr>
        <w:t>.</w:t>
      </w:r>
    </w:p>
    <w:p w:rsidR="00992562" w:rsidRDefault="00992562" w:rsidP="00F84E6A">
      <w:pPr>
        <w:autoSpaceDE w:val="0"/>
        <w:autoSpaceDN w:val="0"/>
        <w:adjustRightInd w:val="0"/>
        <w:spacing w:before="240"/>
        <w:jc w:val="both"/>
        <w:rPr>
          <w:b/>
          <w:sz w:val="24"/>
          <w:szCs w:val="24"/>
        </w:rPr>
      </w:pPr>
      <w:r w:rsidRPr="00992562">
        <w:rPr>
          <w:b/>
          <w:sz w:val="24"/>
          <w:szCs w:val="24"/>
        </w:rPr>
        <w:t>2.1. Budžet kućanstva</w:t>
      </w:r>
    </w:p>
    <w:p w:rsidR="00352A6B" w:rsidRDefault="00992562" w:rsidP="005864F4">
      <w:pPr>
        <w:autoSpaceDE w:val="0"/>
        <w:autoSpaceDN w:val="0"/>
        <w:adjustRightInd w:val="0"/>
        <w:jc w:val="both"/>
        <w:rPr>
          <w:sz w:val="24"/>
          <w:szCs w:val="24"/>
        </w:rPr>
      </w:pPr>
      <w:r w:rsidRPr="00041715">
        <w:rPr>
          <w:color w:val="C00000"/>
          <w:sz w:val="24"/>
          <w:szCs w:val="24"/>
        </w:rPr>
        <w:t>Budžet</w:t>
      </w:r>
      <w:r w:rsidR="00352A6B">
        <w:rPr>
          <w:color w:val="C00000"/>
          <w:sz w:val="24"/>
          <w:szCs w:val="24"/>
        </w:rPr>
        <w:t xml:space="preserve"> </w:t>
      </w:r>
      <w:r w:rsidR="00332FAA" w:rsidRPr="00332FAA">
        <w:rPr>
          <w:sz w:val="24"/>
          <w:szCs w:val="24"/>
        </w:rPr>
        <w:t>predstavlja</w:t>
      </w:r>
      <w:r w:rsidR="00332FAA">
        <w:rPr>
          <w:color w:val="C00000"/>
          <w:sz w:val="24"/>
          <w:szCs w:val="24"/>
        </w:rPr>
        <w:t xml:space="preserve"> </w:t>
      </w:r>
      <w:r>
        <w:rPr>
          <w:sz w:val="24"/>
          <w:szCs w:val="24"/>
        </w:rPr>
        <w:t xml:space="preserve">plan </w:t>
      </w:r>
      <w:r w:rsidR="00606B95">
        <w:rPr>
          <w:sz w:val="24"/>
          <w:szCs w:val="24"/>
        </w:rPr>
        <w:t xml:space="preserve">prihoda i rashoda </w:t>
      </w:r>
      <w:r w:rsidR="003B4FFF">
        <w:rPr>
          <w:sz w:val="24"/>
          <w:szCs w:val="24"/>
        </w:rPr>
        <w:t>za</w:t>
      </w:r>
      <w:r w:rsidR="00606B95">
        <w:rPr>
          <w:sz w:val="24"/>
          <w:szCs w:val="24"/>
        </w:rPr>
        <w:t xml:space="preserve"> </w:t>
      </w:r>
      <w:r w:rsidR="00C92473">
        <w:rPr>
          <w:sz w:val="24"/>
          <w:szCs w:val="24"/>
        </w:rPr>
        <w:t>određeno vremensko razdoblj</w:t>
      </w:r>
      <w:r w:rsidR="003B4FFF">
        <w:rPr>
          <w:sz w:val="24"/>
          <w:szCs w:val="24"/>
        </w:rPr>
        <w:t>e</w:t>
      </w:r>
      <w:r w:rsidR="00606B95">
        <w:rPr>
          <w:sz w:val="24"/>
          <w:szCs w:val="24"/>
        </w:rPr>
        <w:t xml:space="preserve"> (</w:t>
      </w:r>
      <w:r w:rsidR="00C92473">
        <w:rPr>
          <w:sz w:val="24"/>
          <w:szCs w:val="24"/>
        </w:rPr>
        <w:t xml:space="preserve">npr. </w:t>
      </w:r>
      <w:r w:rsidR="00332FAA">
        <w:rPr>
          <w:sz w:val="24"/>
          <w:szCs w:val="24"/>
        </w:rPr>
        <w:t xml:space="preserve">u </w:t>
      </w:r>
      <w:r w:rsidR="00C92473">
        <w:rPr>
          <w:sz w:val="24"/>
          <w:szCs w:val="24"/>
        </w:rPr>
        <w:t>jednoj godini ili jednom mjesecu</w:t>
      </w:r>
      <w:r w:rsidR="00606B95">
        <w:rPr>
          <w:sz w:val="24"/>
          <w:szCs w:val="24"/>
        </w:rPr>
        <w:t>)</w:t>
      </w:r>
      <w:r w:rsidR="00352A6B">
        <w:rPr>
          <w:sz w:val="24"/>
          <w:szCs w:val="24"/>
        </w:rPr>
        <w:t xml:space="preserve">. Njegovo osnovno obilježje je postojanje </w:t>
      </w:r>
      <w:r w:rsidR="00352A6B" w:rsidRPr="00E85B3D">
        <w:rPr>
          <w:color w:val="C00000"/>
          <w:sz w:val="24"/>
          <w:szCs w:val="24"/>
        </w:rPr>
        <w:t xml:space="preserve">budžetskog ograničenja </w:t>
      </w:r>
      <w:r w:rsidR="00352A6B">
        <w:rPr>
          <w:sz w:val="24"/>
          <w:szCs w:val="24"/>
        </w:rPr>
        <w:t>što znači da rashodi trebaju biti manji ili jednaki prihodima. U širem smislu</w:t>
      </w:r>
      <w:r w:rsidR="00DC25DF">
        <w:rPr>
          <w:sz w:val="24"/>
          <w:szCs w:val="24"/>
        </w:rPr>
        <w:t>,</w:t>
      </w:r>
      <w:r w:rsidR="00352A6B">
        <w:rPr>
          <w:sz w:val="24"/>
          <w:szCs w:val="24"/>
        </w:rPr>
        <w:t xml:space="preserve"> budžet se katkada </w:t>
      </w:r>
      <w:r w:rsidR="00606B95">
        <w:rPr>
          <w:sz w:val="24"/>
          <w:szCs w:val="24"/>
        </w:rPr>
        <w:t xml:space="preserve">definira kao plan prihoda i primitaka </w:t>
      </w:r>
      <w:r w:rsidR="00233E06">
        <w:rPr>
          <w:sz w:val="24"/>
          <w:szCs w:val="24"/>
        </w:rPr>
        <w:t xml:space="preserve">te </w:t>
      </w:r>
      <w:r w:rsidR="00606B95">
        <w:rPr>
          <w:sz w:val="24"/>
          <w:szCs w:val="24"/>
        </w:rPr>
        <w:t xml:space="preserve">rashoda i izdataka </w:t>
      </w:r>
      <w:r w:rsidR="003B4FFF">
        <w:rPr>
          <w:sz w:val="24"/>
          <w:szCs w:val="24"/>
        </w:rPr>
        <w:t>za</w:t>
      </w:r>
      <w:r w:rsidR="00606B95">
        <w:rPr>
          <w:sz w:val="24"/>
          <w:szCs w:val="24"/>
        </w:rPr>
        <w:t xml:space="preserve"> određeno vremensko razdoblj</w:t>
      </w:r>
      <w:r w:rsidR="003B4FFF">
        <w:rPr>
          <w:sz w:val="24"/>
          <w:szCs w:val="24"/>
        </w:rPr>
        <w:t>e</w:t>
      </w:r>
      <w:r w:rsidR="00BE7ED1" w:rsidRPr="00086C6D">
        <w:rPr>
          <w:sz w:val="24"/>
          <w:szCs w:val="24"/>
          <w:vertAlign w:val="superscript"/>
        </w:rPr>
        <w:footnoteReference w:id="37"/>
      </w:r>
      <w:r w:rsidR="00233E06">
        <w:rPr>
          <w:sz w:val="24"/>
          <w:szCs w:val="24"/>
        </w:rPr>
        <w:t xml:space="preserve"> </w:t>
      </w:r>
      <w:r w:rsidR="00352A6B">
        <w:rPr>
          <w:sz w:val="24"/>
          <w:szCs w:val="24"/>
        </w:rPr>
        <w:t xml:space="preserve">- </w:t>
      </w:r>
      <w:r w:rsidR="00233E06">
        <w:rPr>
          <w:sz w:val="24"/>
          <w:szCs w:val="24"/>
        </w:rPr>
        <w:t xml:space="preserve">iako bi </w:t>
      </w:r>
      <w:r w:rsidR="00352A6B">
        <w:rPr>
          <w:sz w:val="24"/>
          <w:szCs w:val="24"/>
        </w:rPr>
        <w:t xml:space="preserve">ta definicija više odgovarala </w:t>
      </w:r>
      <w:r w:rsidR="00606B95">
        <w:rPr>
          <w:sz w:val="24"/>
          <w:szCs w:val="24"/>
        </w:rPr>
        <w:t xml:space="preserve">pojmu </w:t>
      </w:r>
      <w:r w:rsidR="00606B95" w:rsidRPr="00352A6B">
        <w:rPr>
          <w:color w:val="C00000"/>
          <w:sz w:val="24"/>
          <w:szCs w:val="24"/>
        </w:rPr>
        <w:t>financijsk</w:t>
      </w:r>
      <w:r w:rsidR="00352A6B" w:rsidRPr="00352A6B">
        <w:rPr>
          <w:color w:val="C00000"/>
          <w:sz w:val="24"/>
          <w:szCs w:val="24"/>
        </w:rPr>
        <w:t>og plana</w:t>
      </w:r>
      <w:r w:rsidR="00606B95">
        <w:rPr>
          <w:sz w:val="24"/>
          <w:szCs w:val="24"/>
        </w:rPr>
        <w:t xml:space="preserve">. </w:t>
      </w:r>
      <w:r w:rsidR="003B4FFF">
        <w:rPr>
          <w:sz w:val="24"/>
          <w:szCs w:val="24"/>
        </w:rPr>
        <w:t xml:space="preserve">Razlika između užeg i šireg pristupa je u uključivanju kategorija primitaka i izdataka. Primici </w:t>
      </w:r>
      <w:r w:rsidR="00352A6B">
        <w:rPr>
          <w:sz w:val="24"/>
          <w:szCs w:val="24"/>
        </w:rPr>
        <w:t>označava</w:t>
      </w:r>
      <w:r w:rsidR="003B4FFF">
        <w:rPr>
          <w:sz w:val="24"/>
          <w:szCs w:val="24"/>
        </w:rPr>
        <w:t>ju</w:t>
      </w:r>
      <w:r w:rsidR="00352A6B">
        <w:rPr>
          <w:sz w:val="24"/>
          <w:szCs w:val="24"/>
        </w:rPr>
        <w:t xml:space="preserve"> različite oblike ulaska novca u poslovni proces (</w:t>
      </w:r>
      <w:r w:rsidR="00BE7ED1">
        <w:rPr>
          <w:sz w:val="24"/>
          <w:szCs w:val="24"/>
        </w:rPr>
        <w:t xml:space="preserve">ekonomske i </w:t>
      </w:r>
      <w:r w:rsidR="003B4FFF">
        <w:rPr>
          <w:sz w:val="24"/>
          <w:szCs w:val="24"/>
        </w:rPr>
        <w:t>financij</w:t>
      </w:r>
      <w:r w:rsidR="00BE7ED1">
        <w:rPr>
          <w:sz w:val="24"/>
          <w:szCs w:val="24"/>
        </w:rPr>
        <w:t>ske aktivnosti</w:t>
      </w:r>
      <w:r w:rsidR="00D3499C">
        <w:rPr>
          <w:sz w:val="24"/>
          <w:szCs w:val="24"/>
        </w:rPr>
        <w:t xml:space="preserve"> </w:t>
      </w:r>
      <w:r w:rsidR="00D3499C">
        <w:rPr>
          <w:sz w:val="24"/>
          <w:szCs w:val="24"/>
        </w:rPr>
        <w:lastRenderedPageBreak/>
        <w:t>kućanstva</w:t>
      </w:r>
      <w:r w:rsidR="00352A6B">
        <w:rPr>
          <w:sz w:val="24"/>
          <w:szCs w:val="24"/>
        </w:rPr>
        <w:t>)</w:t>
      </w:r>
      <w:r w:rsidR="00597910">
        <w:rPr>
          <w:sz w:val="24"/>
          <w:szCs w:val="24"/>
        </w:rPr>
        <w:t>, ali koji mogu i ne moraju biti prihod</w:t>
      </w:r>
      <w:r w:rsidR="00BE7ED1">
        <w:rPr>
          <w:sz w:val="24"/>
          <w:szCs w:val="24"/>
        </w:rPr>
        <w:t>. Na primjer</w:t>
      </w:r>
      <w:r w:rsidR="00597910">
        <w:rPr>
          <w:sz w:val="24"/>
          <w:szCs w:val="24"/>
        </w:rPr>
        <w:t xml:space="preserve"> zaduživanje u novcu rezultira primicima</w:t>
      </w:r>
      <w:r w:rsidR="00BE7ED1">
        <w:rPr>
          <w:sz w:val="24"/>
          <w:szCs w:val="24"/>
        </w:rPr>
        <w:t>,</w:t>
      </w:r>
      <w:r w:rsidR="00597910">
        <w:rPr>
          <w:sz w:val="24"/>
          <w:szCs w:val="24"/>
        </w:rPr>
        <w:t xml:space="preserve"> ali oni nisu prihod </w:t>
      </w:r>
      <w:r w:rsidR="003B4FFF">
        <w:rPr>
          <w:sz w:val="24"/>
          <w:szCs w:val="24"/>
        </w:rPr>
        <w:t xml:space="preserve">kućanstva </w:t>
      </w:r>
      <w:r w:rsidR="00597910">
        <w:rPr>
          <w:sz w:val="24"/>
          <w:szCs w:val="24"/>
        </w:rPr>
        <w:t>jer postoji obveza njihovog vraćanja. Izdaci predstavljaju izlaz novca iz poslovnog procesa</w:t>
      </w:r>
      <w:r w:rsidR="00D3499C">
        <w:rPr>
          <w:sz w:val="24"/>
          <w:szCs w:val="24"/>
        </w:rPr>
        <w:t xml:space="preserve"> (financija kućanstva)</w:t>
      </w:r>
      <w:r w:rsidR="00597910">
        <w:rPr>
          <w:sz w:val="24"/>
          <w:szCs w:val="24"/>
        </w:rPr>
        <w:t>, a mogu i ne moraju biti vezani uz rashode</w:t>
      </w:r>
      <w:r w:rsidR="00DC25DF">
        <w:rPr>
          <w:sz w:val="24"/>
          <w:szCs w:val="24"/>
        </w:rPr>
        <w:t xml:space="preserve">/ </w:t>
      </w:r>
      <w:r w:rsidR="00597910">
        <w:rPr>
          <w:sz w:val="24"/>
          <w:szCs w:val="24"/>
        </w:rPr>
        <w:t>troškove života</w:t>
      </w:r>
      <w:r w:rsidR="00D3499C">
        <w:rPr>
          <w:sz w:val="24"/>
          <w:szCs w:val="24"/>
        </w:rPr>
        <w:t xml:space="preserve"> (npr. izdatak koji nije prihod je otplata glavnice duga)</w:t>
      </w:r>
      <w:r w:rsidR="00597910">
        <w:rPr>
          <w:sz w:val="24"/>
          <w:szCs w:val="24"/>
        </w:rPr>
        <w:t>.</w:t>
      </w:r>
    </w:p>
    <w:p w:rsidR="003B4FFF" w:rsidRPr="003B4FFF" w:rsidRDefault="0071796A" w:rsidP="005864F4">
      <w:pPr>
        <w:autoSpaceDE w:val="0"/>
        <w:autoSpaceDN w:val="0"/>
        <w:adjustRightInd w:val="0"/>
        <w:jc w:val="both"/>
        <w:rPr>
          <w:sz w:val="24"/>
          <w:szCs w:val="24"/>
        </w:rPr>
      </w:pPr>
      <w:r>
        <w:rPr>
          <w:sz w:val="24"/>
          <w:szCs w:val="24"/>
        </w:rPr>
        <w:t>O</w:t>
      </w:r>
      <w:r w:rsidR="00233E06">
        <w:rPr>
          <w:sz w:val="24"/>
          <w:szCs w:val="24"/>
        </w:rPr>
        <w:t xml:space="preserve">ba pristupa </w:t>
      </w:r>
      <w:r w:rsidR="00D3499C">
        <w:rPr>
          <w:sz w:val="24"/>
          <w:szCs w:val="24"/>
        </w:rPr>
        <w:t xml:space="preserve">definiciji budžeta </w:t>
      </w:r>
      <w:r w:rsidR="00233E06">
        <w:rPr>
          <w:sz w:val="24"/>
          <w:szCs w:val="24"/>
        </w:rPr>
        <w:t xml:space="preserve">naglašavaju važnost financijskog planiranja s aspekta </w:t>
      </w:r>
      <w:r w:rsidR="00233E06" w:rsidRPr="00332FAA">
        <w:rPr>
          <w:color w:val="C00000"/>
          <w:sz w:val="24"/>
          <w:szCs w:val="24"/>
        </w:rPr>
        <w:t>anticipiranja budućih prihoda i rashoda</w:t>
      </w:r>
      <w:r w:rsidR="00332FAA" w:rsidRPr="003221B1">
        <w:rPr>
          <w:sz w:val="24"/>
          <w:szCs w:val="24"/>
        </w:rPr>
        <w:t xml:space="preserve">, odnosno budžet se </w:t>
      </w:r>
      <w:r w:rsidR="00332FAA">
        <w:rPr>
          <w:color w:val="C00000"/>
          <w:sz w:val="24"/>
          <w:szCs w:val="24"/>
        </w:rPr>
        <w:t>sastavlja za definirano buduće razdoblje</w:t>
      </w:r>
      <w:r w:rsidR="00332FAA" w:rsidRPr="003221B1">
        <w:rPr>
          <w:sz w:val="24"/>
          <w:szCs w:val="24"/>
        </w:rPr>
        <w:t xml:space="preserve">, naredni mjesec/mjesece, narednu godinu. </w:t>
      </w:r>
      <w:r w:rsidR="003221B1">
        <w:rPr>
          <w:sz w:val="24"/>
          <w:szCs w:val="24"/>
        </w:rPr>
        <w:t>Financijsko planiranje se temelji</w:t>
      </w:r>
      <w:r w:rsidR="003221B1" w:rsidRPr="003221B1">
        <w:rPr>
          <w:sz w:val="24"/>
          <w:szCs w:val="24"/>
        </w:rPr>
        <w:t xml:space="preserve"> na p</w:t>
      </w:r>
      <w:r w:rsidR="003B4FFF" w:rsidRPr="003221B1">
        <w:rPr>
          <w:sz w:val="24"/>
          <w:szCs w:val="24"/>
        </w:rPr>
        <w:t>oštivanj</w:t>
      </w:r>
      <w:r w:rsidR="003221B1" w:rsidRPr="003221B1">
        <w:rPr>
          <w:sz w:val="24"/>
          <w:szCs w:val="24"/>
        </w:rPr>
        <w:t>u</w:t>
      </w:r>
      <w:r w:rsidR="003B4FFF" w:rsidRPr="003221B1">
        <w:rPr>
          <w:sz w:val="24"/>
          <w:szCs w:val="24"/>
        </w:rPr>
        <w:t xml:space="preserve"> budžetsk</w:t>
      </w:r>
      <w:r w:rsidR="00BE7ED1">
        <w:rPr>
          <w:sz w:val="24"/>
          <w:szCs w:val="24"/>
        </w:rPr>
        <w:t>og</w:t>
      </w:r>
      <w:r w:rsidR="003B4FFF" w:rsidRPr="003221B1">
        <w:rPr>
          <w:sz w:val="24"/>
          <w:szCs w:val="24"/>
        </w:rPr>
        <w:t xml:space="preserve"> ograničenja, ali uključuj</w:t>
      </w:r>
      <w:r w:rsidR="003221B1" w:rsidRPr="003221B1">
        <w:rPr>
          <w:sz w:val="24"/>
          <w:szCs w:val="24"/>
        </w:rPr>
        <w:t>e</w:t>
      </w:r>
      <w:r w:rsidR="003B4FFF" w:rsidRPr="003221B1">
        <w:rPr>
          <w:sz w:val="24"/>
          <w:szCs w:val="24"/>
        </w:rPr>
        <w:t xml:space="preserve"> i </w:t>
      </w:r>
      <w:r w:rsidR="00233E06" w:rsidRPr="003221B1">
        <w:rPr>
          <w:sz w:val="24"/>
          <w:szCs w:val="24"/>
        </w:rPr>
        <w:t xml:space="preserve">mogućnosti da </w:t>
      </w:r>
      <w:r w:rsidR="003221B1" w:rsidRPr="003221B1">
        <w:rPr>
          <w:sz w:val="24"/>
          <w:szCs w:val="24"/>
        </w:rPr>
        <w:t>prihodi i rashodi n</w:t>
      </w:r>
      <w:r w:rsidR="003B4FFF" w:rsidRPr="003221B1">
        <w:rPr>
          <w:sz w:val="24"/>
          <w:szCs w:val="24"/>
        </w:rPr>
        <w:t>eće biti</w:t>
      </w:r>
      <w:r w:rsidR="00233E06" w:rsidRPr="003221B1">
        <w:rPr>
          <w:sz w:val="24"/>
          <w:szCs w:val="24"/>
        </w:rPr>
        <w:t xml:space="preserve"> </w:t>
      </w:r>
      <w:r w:rsidR="00233E06">
        <w:rPr>
          <w:sz w:val="24"/>
          <w:szCs w:val="24"/>
        </w:rPr>
        <w:t>uravnoteženi</w:t>
      </w:r>
      <w:r w:rsidR="003B4FFF">
        <w:rPr>
          <w:sz w:val="24"/>
          <w:szCs w:val="24"/>
        </w:rPr>
        <w:t>, odnosno da će postojati</w:t>
      </w:r>
      <w:r w:rsidR="00233E06">
        <w:rPr>
          <w:sz w:val="24"/>
          <w:szCs w:val="24"/>
        </w:rPr>
        <w:t xml:space="preserve"> deficit </w:t>
      </w:r>
      <w:r w:rsidR="003B4FFF">
        <w:rPr>
          <w:sz w:val="24"/>
          <w:szCs w:val="24"/>
        </w:rPr>
        <w:t xml:space="preserve">– višak rashoda nad prihodima </w:t>
      </w:r>
      <w:r>
        <w:rPr>
          <w:sz w:val="24"/>
          <w:szCs w:val="24"/>
        </w:rPr>
        <w:t xml:space="preserve">(loša opcija) </w:t>
      </w:r>
      <w:r w:rsidR="00233E06">
        <w:rPr>
          <w:sz w:val="24"/>
          <w:szCs w:val="24"/>
        </w:rPr>
        <w:t>ili suficit</w:t>
      </w:r>
      <w:r>
        <w:rPr>
          <w:sz w:val="24"/>
          <w:szCs w:val="24"/>
        </w:rPr>
        <w:t xml:space="preserve"> </w:t>
      </w:r>
      <w:r w:rsidR="003B4FFF">
        <w:rPr>
          <w:sz w:val="24"/>
          <w:szCs w:val="24"/>
        </w:rPr>
        <w:t xml:space="preserve">– višak prihoda nad rashodima </w:t>
      </w:r>
      <w:r>
        <w:rPr>
          <w:sz w:val="24"/>
          <w:szCs w:val="24"/>
        </w:rPr>
        <w:t>(</w:t>
      </w:r>
      <w:r w:rsidR="003B4FFF">
        <w:rPr>
          <w:sz w:val="24"/>
          <w:szCs w:val="24"/>
        </w:rPr>
        <w:t xml:space="preserve">dobra </w:t>
      </w:r>
      <w:r>
        <w:rPr>
          <w:sz w:val="24"/>
          <w:szCs w:val="24"/>
        </w:rPr>
        <w:t>opcija)</w:t>
      </w:r>
      <w:r w:rsidR="00233E06">
        <w:rPr>
          <w:sz w:val="24"/>
          <w:szCs w:val="24"/>
        </w:rPr>
        <w:t xml:space="preserve">. U tom smislu proračun </w:t>
      </w:r>
      <w:r w:rsidR="00C13767">
        <w:rPr>
          <w:sz w:val="24"/>
          <w:szCs w:val="24"/>
        </w:rPr>
        <w:t xml:space="preserve">(i financijski plan) </w:t>
      </w:r>
      <w:r>
        <w:rPr>
          <w:sz w:val="24"/>
          <w:szCs w:val="24"/>
        </w:rPr>
        <w:t xml:space="preserve">može </w:t>
      </w:r>
      <w:r w:rsidR="003221B1">
        <w:rPr>
          <w:sz w:val="24"/>
          <w:szCs w:val="24"/>
        </w:rPr>
        <w:t xml:space="preserve">se </w:t>
      </w:r>
      <w:r>
        <w:rPr>
          <w:sz w:val="24"/>
          <w:szCs w:val="24"/>
        </w:rPr>
        <w:t xml:space="preserve">promatrati </w:t>
      </w:r>
      <w:r w:rsidR="00233E06">
        <w:rPr>
          <w:sz w:val="24"/>
          <w:szCs w:val="24"/>
        </w:rPr>
        <w:t>kroz dva podračuna, o</w:t>
      </w:r>
      <w:r>
        <w:rPr>
          <w:sz w:val="24"/>
          <w:szCs w:val="24"/>
        </w:rPr>
        <w:t>d</w:t>
      </w:r>
      <w:r w:rsidR="00233E06">
        <w:rPr>
          <w:sz w:val="24"/>
          <w:szCs w:val="24"/>
        </w:rPr>
        <w:t xml:space="preserve"> kojih je prvi </w:t>
      </w:r>
      <w:r w:rsidR="00233E06" w:rsidRPr="00D3499C">
        <w:rPr>
          <w:color w:val="C00000"/>
          <w:sz w:val="24"/>
          <w:szCs w:val="24"/>
        </w:rPr>
        <w:t>račun prihoda i rashoda</w:t>
      </w:r>
      <w:r w:rsidR="00233E06">
        <w:rPr>
          <w:sz w:val="24"/>
          <w:szCs w:val="24"/>
        </w:rPr>
        <w:t xml:space="preserve">, a drugi </w:t>
      </w:r>
      <w:r w:rsidR="00233E06" w:rsidRPr="00D3499C">
        <w:rPr>
          <w:color w:val="C00000"/>
          <w:sz w:val="24"/>
          <w:szCs w:val="24"/>
        </w:rPr>
        <w:t>račun financiranja</w:t>
      </w:r>
      <w:r w:rsidR="00233E06">
        <w:rPr>
          <w:sz w:val="24"/>
          <w:szCs w:val="24"/>
        </w:rPr>
        <w:t xml:space="preserve"> (npr. financiranja deficita kroz dodatne primitke od zaduživanja ili korištenja suficita za povrat dijela ranije kumuliranog duga ili ulaganje u različite oblike financijske ili realne imovine</w:t>
      </w:r>
      <w:r>
        <w:rPr>
          <w:sz w:val="24"/>
          <w:szCs w:val="24"/>
        </w:rPr>
        <w:t xml:space="preserve">, odnosno </w:t>
      </w:r>
      <w:r w:rsidR="00BE7ED1">
        <w:rPr>
          <w:sz w:val="24"/>
          <w:szCs w:val="24"/>
        </w:rPr>
        <w:t>štedno-ulagačke instrumente</w:t>
      </w:r>
      <w:r>
        <w:rPr>
          <w:sz w:val="24"/>
          <w:szCs w:val="24"/>
        </w:rPr>
        <w:t xml:space="preserve"> </w:t>
      </w:r>
      <w:r w:rsidR="00BE7ED1">
        <w:rPr>
          <w:sz w:val="24"/>
          <w:szCs w:val="24"/>
        </w:rPr>
        <w:t>s ciljem</w:t>
      </w:r>
      <w:r>
        <w:rPr>
          <w:sz w:val="24"/>
          <w:szCs w:val="24"/>
        </w:rPr>
        <w:t xml:space="preserve"> povećanj</w:t>
      </w:r>
      <w:r w:rsidR="00BE7ED1">
        <w:rPr>
          <w:sz w:val="24"/>
          <w:szCs w:val="24"/>
        </w:rPr>
        <w:t>a</w:t>
      </w:r>
      <w:r>
        <w:rPr>
          <w:sz w:val="24"/>
          <w:szCs w:val="24"/>
        </w:rPr>
        <w:t xml:space="preserve"> kumuliranog bogatstva</w:t>
      </w:r>
      <w:r w:rsidR="00233E06" w:rsidRPr="00BF5F92">
        <w:rPr>
          <w:sz w:val="24"/>
          <w:szCs w:val="24"/>
        </w:rPr>
        <w:t>).</w:t>
      </w:r>
      <w:r w:rsidR="003B4FFF" w:rsidRPr="00BF5F92">
        <w:rPr>
          <w:sz w:val="24"/>
          <w:szCs w:val="24"/>
          <w:vertAlign w:val="superscript"/>
        </w:rPr>
        <w:footnoteReference w:id="38"/>
      </w:r>
      <w:r w:rsidR="003B4FFF" w:rsidRPr="00BF5F92">
        <w:rPr>
          <w:sz w:val="24"/>
          <w:szCs w:val="24"/>
        </w:rPr>
        <w:t xml:space="preserve"> </w:t>
      </w:r>
      <w:r w:rsidR="00233E06" w:rsidRPr="00BF5F92">
        <w:rPr>
          <w:sz w:val="24"/>
          <w:szCs w:val="24"/>
        </w:rPr>
        <w:t xml:space="preserve"> </w:t>
      </w:r>
      <w:r w:rsidR="003B4FFF" w:rsidRPr="00BF5F92">
        <w:rPr>
          <w:sz w:val="24"/>
          <w:szCs w:val="24"/>
        </w:rPr>
        <w:t xml:space="preserve">Za kućanstvo je </w:t>
      </w:r>
      <w:r w:rsidR="0057393E" w:rsidRPr="0057393E">
        <w:rPr>
          <w:sz w:val="24"/>
          <w:szCs w:val="24"/>
        </w:rPr>
        <w:t xml:space="preserve">važno </w:t>
      </w:r>
      <w:r w:rsidR="003B4FFF" w:rsidRPr="0057393E">
        <w:rPr>
          <w:sz w:val="24"/>
          <w:szCs w:val="24"/>
        </w:rPr>
        <w:t xml:space="preserve">da </w:t>
      </w:r>
      <w:r w:rsidR="003B4FFF" w:rsidRPr="003B4FFF">
        <w:rPr>
          <w:color w:val="C00000"/>
          <w:sz w:val="24"/>
          <w:szCs w:val="24"/>
        </w:rPr>
        <w:t xml:space="preserve">u financijama planira suficit </w:t>
      </w:r>
      <w:r w:rsidR="003B4FFF" w:rsidRPr="003B4FFF">
        <w:rPr>
          <w:sz w:val="24"/>
          <w:szCs w:val="24"/>
        </w:rPr>
        <w:t>ili barem uravnotežene prihode i rashode.</w:t>
      </w:r>
    </w:p>
    <w:p w:rsidR="007B3309" w:rsidRDefault="005F4626" w:rsidP="005864F4">
      <w:pPr>
        <w:autoSpaceDE w:val="0"/>
        <w:autoSpaceDN w:val="0"/>
        <w:adjustRightInd w:val="0"/>
        <w:jc w:val="both"/>
        <w:rPr>
          <w:sz w:val="24"/>
          <w:szCs w:val="24"/>
        </w:rPr>
      </w:pPr>
      <w:r>
        <w:rPr>
          <w:sz w:val="24"/>
          <w:szCs w:val="24"/>
        </w:rPr>
        <w:t xml:space="preserve">U slučaju deficita uzrokovanog viškom </w:t>
      </w:r>
      <w:r w:rsidR="0071796A">
        <w:rPr>
          <w:sz w:val="24"/>
          <w:szCs w:val="24"/>
        </w:rPr>
        <w:t xml:space="preserve">tekućih rashoda </w:t>
      </w:r>
      <w:r>
        <w:rPr>
          <w:sz w:val="24"/>
          <w:szCs w:val="24"/>
        </w:rPr>
        <w:t xml:space="preserve">nad </w:t>
      </w:r>
      <w:r w:rsidR="0071796A">
        <w:rPr>
          <w:sz w:val="24"/>
          <w:szCs w:val="24"/>
        </w:rPr>
        <w:t xml:space="preserve">tekućim </w:t>
      </w:r>
      <w:r>
        <w:rPr>
          <w:sz w:val="24"/>
          <w:szCs w:val="24"/>
        </w:rPr>
        <w:t xml:space="preserve">prihodima, budžet </w:t>
      </w:r>
      <w:r w:rsidR="00BE7ED1">
        <w:rPr>
          <w:sz w:val="24"/>
          <w:szCs w:val="24"/>
        </w:rPr>
        <w:t xml:space="preserve">brojnih </w:t>
      </w:r>
      <w:r w:rsidR="00EB573A">
        <w:rPr>
          <w:sz w:val="24"/>
          <w:szCs w:val="24"/>
        </w:rPr>
        <w:t xml:space="preserve">kućanstva </w:t>
      </w:r>
      <w:r w:rsidR="00BE7ED1">
        <w:rPr>
          <w:sz w:val="24"/>
          <w:szCs w:val="24"/>
        </w:rPr>
        <w:t xml:space="preserve">u Hrvatskoj </w:t>
      </w:r>
      <w:r>
        <w:rPr>
          <w:sz w:val="24"/>
          <w:szCs w:val="24"/>
        </w:rPr>
        <w:t xml:space="preserve">se </w:t>
      </w:r>
      <w:r w:rsidR="0071796A">
        <w:rPr>
          <w:sz w:val="24"/>
          <w:szCs w:val="24"/>
        </w:rPr>
        <w:t>često u</w:t>
      </w:r>
      <w:r>
        <w:rPr>
          <w:sz w:val="24"/>
          <w:szCs w:val="24"/>
        </w:rPr>
        <w:t>ravnotež</w:t>
      </w:r>
      <w:r w:rsidR="0071796A">
        <w:rPr>
          <w:sz w:val="24"/>
          <w:szCs w:val="24"/>
        </w:rPr>
        <w:t>uje</w:t>
      </w:r>
      <w:r>
        <w:rPr>
          <w:sz w:val="24"/>
          <w:szCs w:val="24"/>
        </w:rPr>
        <w:t xml:space="preserve"> zaduživanjem</w:t>
      </w:r>
      <w:r w:rsidR="007B3309">
        <w:rPr>
          <w:sz w:val="24"/>
          <w:szCs w:val="24"/>
        </w:rPr>
        <w:t xml:space="preserve"> (dopuštenim prekoračenjem po tekućem računu, gotovinskim kreditom, pozajmicama rodbine i prijatelja</w:t>
      </w:r>
      <w:r w:rsidR="00BE7ED1">
        <w:rPr>
          <w:sz w:val="24"/>
          <w:szCs w:val="24"/>
        </w:rPr>
        <w:t xml:space="preserve"> itd.</w:t>
      </w:r>
      <w:r w:rsidR="007B3309">
        <w:rPr>
          <w:sz w:val="24"/>
          <w:szCs w:val="24"/>
        </w:rPr>
        <w:t>)</w:t>
      </w:r>
      <w:r w:rsidR="00910887">
        <w:rPr>
          <w:sz w:val="24"/>
          <w:szCs w:val="24"/>
        </w:rPr>
        <w:t xml:space="preserve">, čime se </w:t>
      </w:r>
      <w:r w:rsidR="00BE7ED1">
        <w:rPr>
          <w:sz w:val="24"/>
          <w:szCs w:val="24"/>
        </w:rPr>
        <w:t xml:space="preserve">uglavnom </w:t>
      </w:r>
      <w:r w:rsidR="00910887">
        <w:rPr>
          <w:sz w:val="24"/>
          <w:szCs w:val="24"/>
        </w:rPr>
        <w:t>stvaraju dodatni rashodi za kamate</w:t>
      </w:r>
      <w:r w:rsidR="00D3499C">
        <w:rPr>
          <w:sz w:val="24"/>
          <w:szCs w:val="24"/>
        </w:rPr>
        <w:t>.</w:t>
      </w:r>
      <w:r>
        <w:rPr>
          <w:sz w:val="24"/>
          <w:szCs w:val="24"/>
        </w:rPr>
        <w:t xml:space="preserve"> </w:t>
      </w:r>
      <w:r w:rsidR="007B3309">
        <w:rPr>
          <w:sz w:val="24"/>
          <w:szCs w:val="24"/>
        </w:rPr>
        <w:t>To</w:t>
      </w:r>
      <w:r>
        <w:rPr>
          <w:sz w:val="24"/>
          <w:szCs w:val="24"/>
        </w:rPr>
        <w:t xml:space="preserve"> je najčešće vezano uz neuspješno upravljanje </w:t>
      </w:r>
      <w:r w:rsidR="007B3309">
        <w:rPr>
          <w:sz w:val="24"/>
          <w:szCs w:val="24"/>
        </w:rPr>
        <w:t xml:space="preserve">osobnim </w:t>
      </w:r>
      <w:r>
        <w:rPr>
          <w:sz w:val="24"/>
          <w:szCs w:val="24"/>
        </w:rPr>
        <w:t xml:space="preserve">financijama, posebice ako se zaduživanjem financira tekuća potrošnja a ne investicije koje bi u budućnosti pridonijele većim prihodima. </w:t>
      </w:r>
      <w:r w:rsidR="0071796A">
        <w:rPr>
          <w:sz w:val="24"/>
          <w:szCs w:val="24"/>
        </w:rPr>
        <w:t>Alternativno tekući deficit može se financirati iz štednje</w:t>
      </w:r>
      <w:r w:rsidR="00D3499C">
        <w:rPr>
          <w:sz w:val="24"/>
          <w:szCs w:val="24"/>
        </w:rPr>
        <w:t xml:space="preserve"> kumulirane kroz ranija vremenska razdoblja</w:t>
      </w:r>
      <w:r w:rsidR="0071796A">
        <w:rPr>
          <w:sz w:val="24"/>
          <w:szCs w:val="24"/>
        </w:rPr>
        <w:t xml:space="preserve">. </w:t>
      </w:r>
      <w:r w:rsidR="00BE7ED1">
        <w:rPr>
          <w:sz w:val="24"/>
          <w:szCs w:val="24"/>
        </w:rPr>
        <w:t>Međutim, u</w:t>
      </w:r>
      <w:r w:rsidR="0071796A">
        <w:rPr>
          <w:sz w:val="24"/>
          <w:szCs w:val="24"/>
        </w:rPr>
        <w:t xml:space="preserve"> oba slučaja stvaraju</w:t>
      </w:r>
      <w:r w:rsidR="00D3499C">
        <w:rPr>
          <w:sz w:val="24"/>
          <w:szCs w:val="24"/>
        </w:rPr>
        <w:t xml:space="preserve"> </w:t>
      </w:r>
      <w:r w:rsidR="00BE7ED1">
        <w:rPr>
          <w:sz w:val="24"/>
          <w:szCs w:val="24"/>
        </w:rPr>
        <w:t xml:space="preserve">se </w:t>
      </w:r>
      <w:r w:rsidR="0071796A">
        <w:rPr>
          <w:sz w:val="24"/>
          <w:szCs w:val="24"/>
        </w:rPr>
        <w:t>nepovoljni učinci na bogatstvo kućanstva</w:t>
      </w:r>
      <w:r w:rsidR="007B3309">
        <w:rPr>
          <w:sz w:val="24"/>
          <w:szCs w:val="24"/>
        </w:rPr>
        <w:t xml:space="preserve"> (neto-vrijednost imovine) – dug uobičajeno donosi dodatne rashode za kamate na zaduživanje, dok iscrpljivanje ranije kumulirane štednje </w:t>
      </w:r>
      <w:r w:rsidR="00BE7ED1">
        <w:rPr>
          <w:sz w:val="24"/>
          <w:szCs w:val="24"/>
        </w:rPr>
        <w:t xml:space="preserve">znači </w:t>
      </w:r>
      <w:r w:rsidR="007B3309">
        <w:rPr>
          <w:sz w:val="24"/>
          <w:szCs w:val="24"/>
        </w:rPr>
        <w:t>izostanak mogućih prihoda od kamata na štednju</w:t>
      </w:r>
      <w:r w:rsidR="0071796A">
        <w:rPr>
          <w:sz w:val="24"/>
          <w:szCs w:val="24"/>
        </w:rPr>
        <w:t xml:space="preserve">. </w:t>
      </w:r>
    </w:p>
    <w:p w:rsidR="00992562" w:rsidRDefault="0071796A" w:rsidP="005864F4">
      <w:pPr>
        <w:autoSpaceDE w:val="0"/>
        <w:autoSpaceDN w:val="0"/>
        <w:adjustRightInd w:val="0"/>
        <w:jc w:val="both"/>
        <w:rPr>
          <w:sz w:val="24"/>
          <w:szCs w:val="24"/>
        </w:rPr>
      </w:pPr>
      <w:r w:rsidRPr="00E85B3D">
        <w:rPr>
          <w:sz w:val="24"/>
          <w:szCs w:val="24"/>
        </w:rPr>
        <w:t xml:space="preserve">U financijama kućanstva </w:t>
      </w:r>
      <w:r w:rsidR="007B3309" w:rsidRPr="00E85B3D">
        <w:rPr>
          <w:color w:val="C00000"/>
          <w:sz w:val="24"/>
          <w:szCs w:val="24"/>
        </w:rPr>
        <w:t xml:space="preserve">poželjno je da </w:t>
      </w:r>
      <w:r w:rsidR="005F4626" w:rsidRPr="00E85B3D">
        <w:rPr>
          <w:color w:val="C00000"/>
          <w:sz w:val="24"/>
          <w:szCs w:val="24"/>
        </w:rPr>
        <w:t xml:space="preserve">postoji </w:t>
      </w:r>
      <w:r w:rsidRPr="00E85B3D">
        <w:rPr>
          <w:color w:val="C00000"/>
          <w:sz w:val="24"/>
          <w:szCs w:val="24"/>
        </w:rPr>
        <w:t xml:space="preserve">tekući </w:t>
      </w:r>
      <w:r w:rsidR="005F4626" w:rsidRPr="00E85B3D">
        <w:rPr>
          <w:color w:val="C00000"/>
          <w:sz w:val="24"/>
          <w:szCs w:val="24"/>
        </w:rPr>
        <w:t>suficit</w:t>
      </w:r>
      <w:r w:rsidR="00EB573A" w:rsidRPr="00E85B3D">
        <w:rPr>
          <w:color w:val="C00000"/>
          <w:sz w:val="24"/>
          <w:szCs w:val="24"/>
        </w:rPr>
        <w:t xml:space="preserve"> </w:t>
      </w:r>
      <w:r w:rsidR="00EB573A">
        <w:rPr>
          <w:sz w:val="24"/>
          <w:szCs w:val="24"/>
        </w:rPr>
        <w:t>(višak prihoda nad</w:t>
      </w:r>
      <w:r>
        <w:rPr>
          <w:sz w:val="24"/>
          <w:szCs w:val="24"/>
        </w:rPr>
        <w:t xml:space="preserve"> rashodima</w:t>
      </w:r>
      <w:r w:rsidR="00EB573A">
        <w:rPr>
          <w:sz w:val="24"/>
          <w:szCs w:val="24"/>
        </w:rPr>
        <w:t>)</w:t>
      </w:r>
      <w:r w:rsidR="005F4626">
        <w:rPr>
          <w:sz w:val="24"/>
          <w:szCs w:val="24"/>
        </w:rPr>
        <w:t xml:space="preserve">, jer se </w:t>
      </w:r>
      <w:r w:rsidR="007B3309">
        <w:rPr>
          <w:sz w:val="24"/>
          <w:szCs w:val="24"/>
        </w:rPr>
        <w:t xml:space="preserve">time </w:t>
      </w:r>
      <w:r w:rsidR="00FE5570">
        <w:rPr>
          <w:sz w:val="24"/>
          <w:szCs w:val="24"/>
        </w:rPr>
        <w:t xml:space="preserve">otvara prostor za </w:t>
      </w:r>
      <w:r w:rsidR="00A923EA">
        <w:rPr>
          <w:sz w:val="24"/>
          <w:szCs w:val="24"/>
        </w:rPr>
        <w:t>štednj</w:t>
      </w:r>
      <w:r>
        <w:rPr>
          <w:sz w:val="24"/>
          <w:szCs w:val="24"/>
        </w:rPr>
        <w:t>u i to</w:t>
      </w:r>
      <w:r w:rsidR="007B3309">
        <w:rPr>
          <w:sz w:val="24"/>
          <w:szCs w:val="24"/>
        </w:rPr>
        <w:t>,</w:t>
      </w:r>
      <w:r>
        <w:rPr>
          <w:sz w:val="24"/>
          <w:szCs w:val="24"/>
        </w:rPr>
        <w:t xml:space="preserve"> kako </w:t>
      </w:r>
      <w:r w:rsidR="007B3309">
        <w:rPr>
          <w:sz w:val="24"/>
          <w:szCs w:val="24"/>
        </w:rPr>
        <w:t xml:space="preserve">„opipljivu štednju“ </w:t>
      </w:r>
      <w:r>
        <w:rPr>
          <w:sz w:val="24"/>
          <w:szCs w:val="24"/>
        </w:rPr>
        <w:t xml:space="preserve">koja se odnosi na formiranje rezervi </w:t>
      </w:r>
      <w:r w:rsidR="007B3309">
        <w:rPr>
          <w:sz w:val="24"/>
          <w:szCs w:val="24"/>
        </w:rPr>
        <w:t xml:space="preserve">sredstava koja se prenose u buduće razdoblje, </w:t>
      </w:r>
      <w:r>
        <w:rPr>
          <w:sz w:val="24"/>
          <w:szCs w:val="24"/>
        </w:rPr>
        <w:t xml:space="preserve">tako i </w:t>
      </w:r>
      <w:r w:rsidR="007B3309">
        <w:rPr>
          <w:sz w:val="24"/>
          <w:szCs w:val="24"/>
        </w:rPr>
        <w:t xml:space="preserve">tzv. </w:t>
      </w:r>
      <w:r w:rsidRPr="00BE7ED1">
        <w:rPr>
          <w:color w:val="C00000"/>
          <w:sz w:val="24"/>
          <w:szCs w:val="24"/>
        </w:rPr>
        <w:t xml:space="preserve">prisilnu štednju </w:t>
      </w:r>
      <w:r>
        <w:rPr>
          <w:sz w:val="24"/>
          <w:szCs w:val="24"/>
        </w:rPr>
        <w:t xml:space="preserve">kakvu predstavlja otplata glavnica postojećih dugova (otplata kredita). </w:t>
      </w:r>
    </w:p>
    <w:p w:rsidR="00041715" w:rsidRDefault="00041715" w:rsidP="00041715">
      <w:pPr>
        <w:tabs>
          <w:tab w:val="left" w:pos="1300"/>
        </w:tabs>
        <w:jc w:val="both"/>
        <w:rPr>
          <w:rFonts w:cs="TimesNewRoman"/>
          <w:sz w:val="24"/>
          <w:szCs w:val="24"/>
        </w:rPr>
      </w:pPr>
      <w:r w:rsidRPr="007B3309">
        <w:rPr>
          <w:rFonts w:cs="TimesNewRoman"/>
          <w:color w:val="C00000"/>
          <w:sz w:val="24"/>
          <w:szCs w:val="24"/>
        </w:rPr>
        <w:t>Prihodi kućanstva</w:t>
      </w:r>
      <w:r w:rsidRPr="005864F4">
        <w:rPr>
          <w:rFonts w:cs="TimesNewRoman"/>
          <w:sz w:val="24"/>
          <w:szCs w:val="24"/>
        </w:rPr>
        <w:t xml:space="preserve"> predstavljaju povećanje ekonomske koristi tijekom obračunskog razdoblja u obliku priljeva ili povećanja sredstava ili smanjenja obveza“, koja imaju za posljedicu povećanje</w:t>
      </w:r>
      <w:r w:rsidR="00F3274C">
        <w:rPr>
          <w:rFonts w:cs="TimesNewRoman"/>
          <w:sz w:val="24"/>
          <w:szCs w:val="24"/>
        </w:rPr>
        <w:t xml:space="preserve"> neto vrijednosti imovine (bogatstva, kapitala)</w:t>
      </w:r>
      <w:r w:rsidRPr="005864F4">
        <w:rPr>
          <w:rFonts w:cs="TimesNewRoman"/>
          <w:sz w:val="24"/>
          <w:szCs w:val="24"/>
        </w:rPr>
        <w:t xml:space="preserve">. S druge strane </w:t>
      </w:r>
      <w:r w:rsidRPr="007B3309">
        <w:rPr>
          <w:rFonts w:cs="TimesNewRoman"/>
          <w:color w:val="C00000"/>
          <w:sz w:val="24"/>
          <w:szCs w:val="24"/>
        </w:rPr>
        <w:t xml:space="preserve">rashodi </w:t>
      </w:r>
      <w:r w:rsidRPr="005864F4">
        <w:rPr>
          <w:rFonts w:cs="TimesNewRoman"/>
          <w:sz w:val="24"/>
          <w:szCs w:val="24"/>
        </w:rPr>
        <w:t xml:space="preserve">predstavljaju „smanjenja ekonomske koristi kroz obračunsko razdoblje u obliku odljeva ili </w:t>
      </w:r>
      <w:r w:rsidRPr="005864F4">
        <w:rPr>
          <w:rFonts w:cs="TimesNewRoman"/>
          <w:sz w:val="24"/>
          <w:szCs w:val="24"/>
        </w:rPr>
        <w:lastRenderedPageBreak/>
        <w:t>iscrpljenja sredstava“, koja imaju za posljedicu smanjenje</w:t>
      </w:r>
      <w:r w:rsidR="00F3274C">
        <w:rPr>
          <w:rFonts w:cs="TimesNewRoman"/>
          <w:sz w:val="24"/>
          <w:szCs w:val="24"/>
        </w:rPr>
        <w:t xml:space="preserve"> neto vrijednosti imovine (bogatstva, kapitala)</w:t>
      </w:r>
      <w:r w:rsidRPr="005864F4">
        <w:rPr>
          <w:rFonts w:cs="TimesNewRoman"/>
          <w:sz w:val="24"/>
          <w:szCs w:val="24"/>
        </w:rPr>
        <w:t xml:space="preserve">. </w:t>
      </w:r>
    </w:p>
    <w:p w:rsidR="00F84E6A" w:rsidRDefault="00F84E6A" w:rsidP="00C17BD3">
      <w:pPr>
        <w:tabs>
          <w:tab w:val="left" w:pos="1300"/>
        </w:tabs>
        <w:spacing w:after="0"/>
        <w:jc w:val="both"/>
        <w:rPr>
          <w:rFonts w:cs="TimesNewRoman"/>
          <w:sz w:val="24"/>
          <w:szCs w:val="24"/>
        </w:rPr>
      </w:pPr>
      <w:r>
        <w:rPr>
          <w:rFonts w:cs="TimesNewRoman"/>
          <w:sz w:val="24"/>
          <w:szCs w:val="24"/>
        </w:rPr>
        <w:t>Slično kao u slučaju poduzeća, prihodi kućanstva se mogu podijeliti u nekoliko grupa sa specifičnim obilježjima.</w:t>
      </w:r>
    </w:p>
    <w:p w:rsidR="00F84E6A" w:rsidRPr="00F84E6A" w:rsidRDefault="00041715" w:rsidP="006F1C04">
      <w:pPr>
        <w:pStyle w:val="Odlomakpopisa"/>
        <w:numPr>
          <w:ilvl w:val="0"/>
          <w:numId w:val="20"/>
        </w:numPr>
        <w:tabs>
          <w:tab w:val="left" w:pos="1300"/>
        </w:tabs>
        <w:spacing w:line="264" w:lineRule="auto"/>
        <w:ind w:left="714" w:hanging="357"/>
        <w:jc w:val="both"/>
        <w:rPr>
          <w:rFonts w:cs="TimesNewRoman"/>
          <w:sz w:val="24"/>
          <w:szCs w:val="24"/>
        </w:rPr>
      </w:pPr>
      <w:r w:rsidRPr="00F84E6A">
        <w:rPr>
          <w:rFonts w:cs="TimesNewRoman"/>
          <w:sz w:val="24"/>
          <w:szCs w:val="24"/>
        </w:rPr>
        <w:t xml:space="preserve">Tipičan oblik </w:t>
      </w:r>
      <w:r w:rsidRPr="00F84E6A">
        <w:rPr>
          <w:rFonts w:cs="TimesNewRoman"/>
          <w:color w:val="C00000"/>
          <w:sz w:val="24"/>
          <w:szCs w:val="24"/>
        </w:rPr>
        <w:t>redov</w:t>
      </w:r>
      <w:r w:rsidR="007D619B" w:rsidRPr="00F84E6A">
        <w:rPr>
          <w:rFonts w:cs="TimesNewRoman"/>
          <w:color w:val="C00000"/>
          <w:sz w:val="24"/>
          <w:szCs w:val="24"/>
        </w:rPr>
        <w:t>itih</w:t>
      </w:r>
      <w:r w:rsidRPr="00F84E6A">
        <w:rPr>
          <w:rFonts w:cs="TimesNewRoman"/>
          <w:color w:val="C00000"/>
          <w:sz w:val="24"/>
          <w:szCs w:val="24"/>
        </w:rPr>
        <w:t xml:space="preserve"> prihoda kućanstva </w:t>
      </w:r>
      <w:r w:rsidRPr="00F84E6A">
        <w:rPr>
          <w:rFonts w:cs="TimesNewRoman"/>
          <w:sz w:val="24"/>
          <w:szCs w:val="24"/>
        </w:rPr>
        <w:t>predstavlja</w:t>
      </w:r>
      <w:r w:rsidR="009755D7" w:rsidRPr="00F84E6A">
        <w:rPr>
          <w:rFonts w:cs="TimesNewRoman"/>
          <w:sz w:val="24"/>
          <w:szCs w:val="24"/>
        </w:rPr>
        <w:t>ju neto plaće</w:t>
      </w:r>
      <w:r w:rsidRPr="00F84E6A">
        <w:rPr>
          <w:rFonts w:cs="TimesNewRoman"/>
          <w:sz w:val="24"/>
          <w:szCs w:val="24"/>
        </w:rPr>
        <w:t xml:space="preserve"> iz radnog odnosa</w:t>
      </w:r>
      <w:r w:rsidR="007B3309" w:rsidRPr="00F84E6A">
        <w:rPr>
          <w:rFonts w:cs="TimesNewRoman"/>
          <w:sz w:val="24"/>
          <w:szCs w:val="24"/>
        </w:rPr>
        <w:t xml:space="preserve"> </w:t>
      </w:r>
      <w:r w:rsidR="009755D7" w:rsidRPr="00F84E6A">
        <w:rPr>
          <w:rFonts w:cs="TimesNewRoman"/>
          <w:sz w:val="24"/>
          <w:szCs w:val="24"/>
        </w:rPr>
        <w:t xml:space="preserve">i mirovine </w:t>
      </w:r>
      <w:r w:rsidR="007B3309" w:rsidRPr="00F84E6A">
        <w:rPr>
          <w:rFonts w:cs="TimesNewRoman"/>
          <w:sz w:val="24"/>
          <w:szCs w:val="24"/>
        </w:rPr>
        <w:t>– tzv. redovita primanja</w:t>
      </w:r>
      <w:r w:rsidR="009755D7" w:rsidRPr="00F84E6A">
        <w:rPr>
          <w:rFonts w:cs="TimesNewRoman"/>
          <w:sz w:val="24"/>
          <w:szCs w:val="24"/>
        </w:rPr>
        <w:t>, a upravo ona predstavljaju izvjesn</w:t>
      </w:r>
      <w:r w:rsidR="001552D8" w:rsidRPr="00F84E6A">
        <w:rPr>
          <w:rFonts w:cs="TimesNewRoman"/>
          <w:sz w:val="24"/>
          <w:szCs w:val="24"/>
        </w:rPr>
        <w:t>e kategorije</w:t>
      </w:r>
      <w:r w:rsidR="009755D7" w:rsidRPr="00F84E6A">
        <w:rPr>
          <w:rFonts w:cs="TimesNewRoman"/>
          <w:sz w:val="24"/>
          <w:szCs w:val="24"/>
        </w:rPr>
        <w:t xml:space="preserve"> prihoda koje treba uključiti u financijski plan, odnosno plan budžeta za naredno razdoblje</w:t>
      </w:r>
      <w:r w:rsidRPr="00F84E6A">
        <w:rPr>
          <w:rFonts w:cs="TimesNewRoman"/>
          <w:sz w:val="24"/>
          <w:szCs w:val="24"/>
        </w:rPr>
        <w:t>.</w:t>
      </w:r>
      <w:r w:rsidR="009755D7" w:rsidRPr="00086C6D">
        <w:rPr>
          <w:vertAlign w:val="superscript"/>
        </w:rPr>
        <w:footnoteReference w:id="39"/>
      </w:r>
      <w:r w:rsidRPr="00F84E6A">
        <w:rPr>
          <w:rFonts w:cs="TimesNewRoman"/>
          <w:sz w:val="24"/>
          <w:szCs w:val="24"/>
        </w:rPr>
        <w:t xml:space="preserve"> </w:t>
      </w:r>
    </w:p>
    <w:p w:rsidR="00F84E6A" w:rsidRPr="00F84E6A" w:rsidRDefault="00041715" w:rsidP="006F1C04">
      <w:pPr>
        <w:pStyle w:val="Odlomakpopisa"/>
        <w:numPr>
          <w:ilvl w:val="0"/>
          <w:numId w:val="20"/>
        </w:numPr>
        <w:tabs>
          <w:tab w:val="left" w:pos="1300"/>
        </w:tabs>
        <w:spacing w:line="264" w:lineRule="auto"/>
        <w:jc w:val="both"/>
        <w:rPr>
          <w:rFonts w:cs="TimesNewRoman"/>
          <w:sz w:val="24"/>
          <w:szCs w:val="24"/>
        </w:rPr>
      </w:pPr>
      <w:r w:rsidRPr="00F84E6A">
        <w:rPr>
          <w:rFonts w:cs="TimesNewRoman"/>
          <w:sz w:val="24"/>
          <w:szCs w:val="24"/>
        </w:rPr>
        <w:t xml:space="preserve">U kategoriju </w:t>
      </w:r>
      <w:r w:rsidRPr="00F84E6A">
        <w:rPr>
          <w:rFonts w:cs="TimesNewRoman"/>
          <w:color w:val="C00000"/>
          <w:sz w:val="24"/>
          <w:szCs w:val="24"/>
        </w:rPr>
        <w:t xml:space="preserve">financijskih prihoda kućanstva </w:t>
      </w:r>
      <w:r w:rsidRPr="00F84E6A">
        <w:rPr>
          <w:rFonts w:cs="TimesNewRoman"/>
          <w:sz w:val="24"/>
          <w:szCs w:val="24"/>
        </w:rPr>
        <w:t>ulaze kamate</w:t>
      </w:r>
      <w:r w:rsidR="009755D7" w:rsidRPr="00F84E6A">
        <w:rPr>
          <w:rFonts w:cs="TimesNewRoman"/>
          <w:sz w:val="24"/>
          <w:szCs w:val="24"/>
        </w:rPr>
        <w:t xml:space="preserve"> na štednju (ili pozajmljivanje drugima)</w:t>
      </w:r>
      <w:r w:rsidRPr="00F84E6A">
        <w:rPr>
          <w:rFonts w:cs="TimesNewRoman"/>
          <w:sz w:val="24"/>
          <w:szCs w:val="24"/>
        </w:rPr>
        <w:t xml:space="preserve">, dividende, prihodi od iznajmljivanja nekretnina u stambene svrhe, ostvarene pozitivne tečajne razlike te kapitalni dobici ostvareni prodajom financijske ili druge imovine (po cijeni većoj o nabavne vrijednosti). </w:t>
      </w:r>
    </w:p>
    <w:p w:rsidR="003B0254" w:rsidRPr="00F84E6A" w:rsidRDefault="00041715" w:rsidP="006F1C04">
      <w:pPr>
        <w:pStyle w:val="Odlomakpopisa"/>
        <w:numPr>
          <w:ilvl w:val="0"/>
          <w:numId w:val="20"/>
        </w:numPr>
        <w:tabs>
          <w:tab w:val="left" w:pos="1300"/>
        </w:tabs>
        <w:spacing w:line="264" w:lineRule="auto"/>
        <w:ind w:left="714" w:hanging="357"/>
        <w:jc w:val="both"/>
        <w:rPr>
          <w:rFonts w:cs="TimesNewRoman"/>
          <w:sz w:val="24"/>
          <w:szCs w:val="24"/>
        </w:rPr>
      </w:pPr>
      <w:r w:rsidRPr="00F84E6A">
        <w:rPr>
          <w:rFonts w:cs="TimesNewRoman"/>
          <w:color w:val="C00000"/>
          <w:sz w:val="24"/>
          <w:szCs w:val="24"/>
        </w:rPr>
        <w:t xml:space="preserve">Izvanredne prihode kućanstva </w:t>
      </w:r>
      <w:r w:rsidRPr="00F84E6A">
        <w:rPr>
          <w:rFonts w:cs="TimesNewRoman"/>
          <w:sz w:val="24"/>
          <w:szCs w:val="24"/>
        </w:rPr>
        <w:t xml:space="preserve">čine: nasljedstvo, darovi, dobici na nagradim igrama, prihodi od prodaje imovine, otpis obveza te </w:t>
      </w:r>
      <w:r w:rsidR="009755D7" w:rsidRPr="00F84E6A">
        <w:rPr>
          <w:rFonts w:cs="TimesNewRoman"/>
          <w:sz w:val="24"/>
          <w:szCs w:val="24"/>
        </w:rPr>
        <w:t xml:space="preserve">drugi povremeni oblici prihoda, uključujući autorske honorare. </w:t>
      </w:r>
    </w:p>
    <w:p w:rsidR="00041715" w:rsidRPr="005864F4" w:rsidRDefault="009755D7" w:rsidP="00041715">
      <w:pPr>
        <w:tabs>
          <w:tab w:val="left" w:pos="1300"/>
        </w:tabs>
        <w:jc w:val="both"/>
        <w:rPr>
          <w:rFonts w:cs="TimesNewRoman"/>
          <w:sz w:val="24"/>
          <w:szCs w:val="24"/>
        </w:rPr>
      </w:pPr>
      <w:r>
        <w:rPr>
          <w:rFonts w:cs="TimesNewRoman"/>
          <w:sz w:val="24"/>
          <w:szCs w:val="24"/>
        </w:rPr>
        <w:t xml:space="preserve">Izvanredni prihodi </w:t>
      </w:r>
      <w:r w:rsidR="002211FD">
        <w:rPr>
          <w:rFonts w:cs="TimesNewRoman"/>
          <w:sz w:val="24"/>
          <w:szCs w:val="24"/>
        </w:rPr>
        <w:t xml:space="preserve">se </w:t>
      </w:r>
      <w:r>
        <w:rPr>
          <w:rFonts w:cs="TimesNewRoman"/>
          <w:sz w:val="24"/>
          <w:szCs w:val="24"/>
        </w:rPr>
        <w:t xml:space="preserve">ne mogu predvidjeti </w:t>
      </w:r>
      <w:r w:rsidR="002211FD">
        <w:rPr>
          <w:rFonts w:cs="TimesNewRoman"/>
          <w:sz w:val="24"/>
          <w:szCs w:val="24"/>
        </w:rPr>
        <w:t>pa</w:t>
      </w:r>
      <w:r>
        <w:rPr>
          <w:rFonts w:cs="TimesNewRoman"/>
          <w:sz w:val="24"/>
          <w:szCs w:val="24"/>
        </w:rPr>
        <w:t xml:space="preserve"> ih stoga ne treba uključivati u financijsko planiranje</w:t>
      </w:r>
      <w:r w:rsidR="001C69AE">
        <w:rPr>
          <w:rFonts w:cs="TimesNewRoman"/>
          <w:sz w:val="24"/>
          <w:szCs w:val="24"/>
        </w:rPr>
        <w:t>. S</w:t>
      </w:r>
      <w:r>
        <w:rPr>
          <w:rFonts w:cs="TimesNewRoman"/>
          <w:sz w:val="24"/>
          <w:szCs w:val="24"/>
        </w:rPr>
        <w:t xml:space="preserve">lična </w:t>
      </w:r>
      <w:r w:rsidR="001C69AE">
        <w:rPr>
          <w:rFonts w:cs="TimesNewRoman"/>
          <w:sz w:val="24"/>
          <w:szCs w:val="24"/>
        </w:rPr>
        <w:t xml:space="preserve">je </w:t>
      </w:r>
      <w:r>
        <w:rPr>
          <w:rFonts w:cs="TimesNewRoman"/>
          <w:sz w:val="24"/>
          <w:szCs w:val="24"/>
        </w:rPr>
        <w:t>situacija</w:t>
      </w:r>
      <w:r w:rsidR="001C69AE">
        <w:rPr>
          <w:rFonts w:cs="TimesNewRoman"/>
          <w:sz w:val="24"/>
          <w:szCs w:val="24"/>
        </w:rPr>
        <w:t xml:space="preserve"> </w:t>
      </w:r>
      <w:r>
        <w:rPr>
          <w:rFonts w:cs="TimesNewRoman"/>
          <w:sz w:val="24"/>
          <w:szCs w:val="24"/>
        </w:rPr>
        <w:t xml:space="preserve">kod brojnih financijskih prihoda </w:t>
      </w:r>
      <w:r w:rsidR="001552D8">
        <w:rPr>
          <w:rFonts w:cs="TimesNewRoman"/>
          <w:sz w:val="24"/>
          <w:szCs w:val="24"/>
        </w:rPr>
        <w:t>za koje je upitno da li će se doista realizirati u budućem vremenskom razdoblju (npr. ne postoji obveza isplate</w:t>
      </w:r>
      <w:r w:rsidR="003B0254">
        <w:rPr>
          <w:rFonts w:cs="TimesNewRoman"/>
          <w:sz w:val="24"/>
          <w:szCs w:val="24"/>
        </w:rPr>
        <w:t xml:space="preserve"> dividenda</w:t>
      </w:r>
      <w:r w:rsidR="001552D8">
        <w:rPr>
          <w:rFonts w:cs="TimesNewRoman"/>
          <w:sz w:val="24"/>
          <w:szCs w:val="24"/>
        </w:rPr>
        <w:t>)</w:t>
      </w:r>
      <w:r w:rsidR="003B0254">
        <w:rPr>
          <w:rFonts w:cs="TimesNewRoman"/>
          <w:sz w:val="24"/>
          <w:szCs w:val="24"/>
        </w:rPr>
        <w:t>. T</w:t>
      </w:r>
      <w:r w:rsidR="001C69AE">
        <w:rPr>
          <w:rFonts w:cs="TimesNewRoman"/>
          <w:sz w:val="24"/>
          <w:szCs w:val="24"/>
        </w:rPr>
        <w:t xml:space="preserve">akve financijske prihode nije poželjno uključivati u financijske planove </w:t>
      </w:r>
      <w:r w:rsidR="003B0254">
        <w:rPr>
          <w:rFonts w:cs="TimesNewRoman"/>
          <w:sz w:val="24"/>
          <w:szCs w:val="24"/>
        </w:rPr>
        <w:t xml:space="preserve">za budućnost </w:t>
      </w:r>
      <w:r w:rsidR="001C69AE">
        <w:rPr>
          <w:rFonts w:cs="TimesNewRoman"/>
          <w:sz w:val="24"/>
          <w:szCs w:val="24"/>
        </w:rPr>
        <w:t>nego samo one koji su zaista izvjesni i koji se m</w:t>
      </w:r>
      <w:r>
        <w:rPr>
          <w:rFonts w:cs="TimesNewRoman"/>
          <w:sz w:val="24"/>
          <w:szCs w:val="24"/>
        </w:rPr>
        <w:t xml:space="preserve">ogu procijeniti </w:t>
      </w:r>
      <w:r w:rsidR="001C69AE">
        <w:rPr>
          <w:rFonts w:cs="TimesNewRoman"/>
          <w:sz w:val="24"/>
          <w:szCs w:val="24"/>
        </w:rPr>
        <w:t xml:space="preserve">- </w:t>
      </w:r>
      <w:r>
        <w:rPr>
          <w:rFonts w:cs="TimesNewRoman"/>
          <w:sz w:val="24"/>
          <w:szCs w:val="24"/>
        </w:rPr>
        <w:t xml:space="preserve">ali poštujući </w:t>
      </w:r>
      <w:r w:rsidRPr="003B0254">
        <w:rPr>
          <w:rFonts w:cs="TimesNewRoman"/>
          <w:color w:val="C00000"/>
          <w:sz w:val="24"/>
          <w:szCs w:val="24"/>
        </w:rPr>
        <w:t xml:space="preserve">načelo konzervativnosti </w:t>
      </w:r>
      <w:r>
        <w:rPr>
          <w:rFonts w:cs="TimesNewRoman"/>
          <w:sz w:val="24"/>
          <w:szCs w:val="24"/>
        </w:rPr>
        <w:t xml:space="preserve">što znači da ih je bolje podcijeniti nego precijeniti. </w:t>
      </w:r>
      <w:r w:rsidR="00041715" w:rsidRPr="005864F4">
        <w:rPr>
          <w:rFonts w:cs="TimesNewRoman"/>
          <w:sz w:val="24"/>
          <w:szCs w:val="24"/>
        </w:rPr>
        <w:t xml:space="preserve">Ukoliko za nabrojene oblike </w:t>
      </w:r>
      <w:r>
        <w:rPr>
          <w:rFonts w:cs="TimesNewRoman"/>
          <w:sz w:val="24"/>
          <w:szCs w:val="24"/>
        </w:rPr>
        <w:t>redovitih, financijskih ili izvanrednih prihoda</w:t>
      </w:r>
      <w:r w:rsidR="00041715" w:rsidRPr="005864F4">
        <w:rPr>
          <w:rFonts w:cs="TimesNewRoman"/>
          <w:sz w:val="24"/>
          <w:szCs w:val="24"/>
        </w:rPr>
        <w:t xml:space="preserve"> nije obračuna</w:t>
      </w:r>
      <w:r w:rsidR="008032ED">
        <w:rPr>
          <w:rFonts w:cs="TimesNewRoman"/>
          <w:sz w:val="24"/>
          <w:szCs w:val="24"/>
        </w:rPr>
        <w:t>t</w:t>
      </w:r>
      <w:r w:rsidR="00041715" w:rsidRPr="005864F4">
        <w:rPr>
          <w:rFonts w:cs="TimesNewRoman"/>
          <w:sz w:val="24"/>
          <w:szCs w:val="24"/>
        </w:rPr>
        <w:t xml:space="preserve"> i plaćen </w:t>
      </w:r>
      <w:r w:rsidR="002211FD">
        <w:rPr>
          <w:rFonts w:cs="TimesNewRoman"/>
          <w:sz w:val="24"/>
          <w:szCs w:val="24"/>
        </w:rPr>
        <w:t>predujam</w:t>
      </w:r>
      <w:r w:rsidR="00041715" w:rsidRPr="005864F4">
        <w:rPr>
          <w:rFonts w:cs="TimesNewRoman"/>
          <w:sz w:val="24"/>
          <w:szCs w:val="24"/>
        </w:rPr>
        <w:t xml:space="preserve"> </w:t>
      </w:r>
      <w:r w:rsidR="008032ED" w:rsidRPr="005864F4">
        <w:rPr>
          <w:rFonts w:cs="TimesNewRoman"/>
          <w:sz w:val="24"/>
          <w:szCs w:val="24"/>
        </w:rPr>
        <w:t>porez</w:t>
      </w:r>
      <w:r w:rsidR="002211FD">
        <w:rPr>
          <w:rFonts w:cs="TimesNewRoman"/>
          <w:sz w:val="24"/>
          <w:szCs w:val="24"/>
        </w:rPr>
        <w:t>a</w:t>
      </w:r>
      <w:r w:rsidR="008032ED">
        <w:rPr>
          <w:rFonts w:cs="TimesNewRoman"/>
          <w:sz w:val="24"/>
          <w:szCs w:val="24"/>
        </w:rPr>
        <w:t xml:space="preserve"> (odnosno pripadajući obvezni doprinosi) pa </w:t>
      </w:r>
      <w:r w:rsidR="00041715" w:rsidRPr="005864F4">
        <w:rPr>
          <w:rFonts w:cs="TimesNewRoman"/>
          <w:sz w:val="24"/>
          <w:szCs w:val="24"/>
        </w:rPr>
        <w:t>postoj</w:t>
      </w:r>
      <w:r w:rsidR="008032ED">
        <w:rPr>
          <w:rFonts w:cs="TimesNewRoman"/>
          <w:sz w:val="24"/>
          <w:szCs w:val="24"/>
        </w:rPr>
        <w:t xml:space="preserve">e </w:t>
      </w:r>
      <w:r w:rsidR="002211FD">
        <w:rPr>
          <w:rFonts w:cs="TimesNewRoman"/>
          <w:sz w:val="24"/>
          <w:szCs w:val="24"/>
        </w:rPr>
        <w:t xml:space="preserve">dodatni </w:t>
      </w:r>
      <w:r w:rsidR="008032ED">
        <w:rPr>
          <w:rFonts w:cs="TimesNewRoman"/>
          <w:sz w:val="24"/>
          <w:szCs w:val="24"/>
        </w:rPr>
        <w:t>fiskaln</w:t>
      </w:r>
      <w:r w:rsidR="002211FD">
        <w:rPr>
          <w:rFonts w:cs="TimesNewRoman"/>
          <w:sz w:val="24"/>
          <w:szCs w:val="24"/>
        </w:rPr>
        <w:t>i rashodi</w:t>
      </w:r>
      <w:r w:rsidR="00041715" w:rsidRPr="005864F4">
        <w:rPr>
          <w:rFonts w:cs="TimesNewRoman"/>
          <w:sz w:val="24"/>
          <w:szCs w:val="24"/>
        </w:rPr>
        <w:t xml:space="preserve">, u </w:t>
      </w:r>
      <w:r w:rsidR="00A923EA">
        <w:rPr>
          <w:rFonts w:cs="TimesNewRoman"/>
          <w:sz w:val="24"/>
          <w:szCs w:val="24"/>
        </w:rPr>
        <w:t>budžetu kućanstva će os</w:t>
      </w:r>
      <w:r w:rsidR="00041715" w:rsidRPr="005864F4">
        <w:rPr>
          <w:rFonts w:cs="TimesNewRoman"/>
          <w:sz w:val="24"/>
          <w:szCs w:val="24"/>
        </w:rPr>
        <w:t xml:space="preserve">im prihoda </w:t>
      </w:r>
      <w:r w:rsidR="008032ED">
        <w:rPr>
          <w:rFonts w:cs="TimesNewRoman"/>
          <w:sz w:val="24"/>
          <w:szCs w:val="24"/>
        </w:rPr>
        <w:t xml:space="preserve">za pojedine izvore </w:t>
      </w:r>
      <w:r w:rsidR="00041715" w:rsidRPr="005864F4">
        <w:rPr>
          <w:rFonts w:cs="TimesNewRoman"/>
          <w:sz w:val="24"/>
          <w:szCs w:val="24"/>
        </w:rPr>
        <w:t>postojat</w:t>
      </w:r>
      <w:r w:rsidR="00A923EA">
        <w:rPr>
          <w:rFonts w:cs="TimesNewRoman"/>
          <w:sz w:val="24"/>
          <w:szCs w:val="24"/>
        </w:rPr>
        <w:t>i</w:t>
      </w:r>
      <w:r w:rsidR="00041715" w:rsidRPr="005864F4">
        <w:rPr>
          <w:rFonts w:cs="TimesNewRoman"/>
          <w:sz w:val="24"/>
          <w:szCs w:val="24"/>
        </w:rPr>
        <w:t xml:space="preserve"> i rashodi za podmirenje </w:t>
      </w:r>
      <w:r w:rsidR="008032ED">
        <w:rPr>
          <w:rFonts w:cs="TimesNewRoman"/>
          <w:sz w:val="24"/>
          <w:szCs w:val="24"/>
        </w:rPr>
        <w:t xml:space="preserve">fiskalnih </w:t>
      </w:r>
      <w:r w:rsidR="00041715" w:rsidRPr="005864F4">
        <w:rPr>
          <w:rFonts w:cs="TimesNewRoman"/>
          <w:sz w:val="24"/>
          <w:szCs w:val="24"/>
        </w:rPr>
        <w:t xml:space="preserve">obveza. </w:t>
      </w:r>
    </w:p>
    <w:p w:rsidR="00F84E6A" w:rsidRDefault="00F84E6A" w:rsidP="00F04443">
      <w:pPr>
        <w:pStyle w:val="Tekstfusnote"/>
        <w:spacing w:line="276" w:lineRule="auto"/>
        <w:jc w:val="both"/>
        <w:rPr>
          <w:rFonts w:asciiTheme="minorHAnsi" w:eastAsiaTheme="minorHAnsi" w:hAnsiTheme="minorHAnsi" w:cs="TimesNewRoman"/>
          <w:sz w:val="24"/>
          <w:szCs w:val="24"/>
          <w:lang w:eastAsia="en-US"/>
        </w:rPr>
      </w:pPr>
      <w:r>
        <w:rPr>
          <w:rFonts w:asciiTheme="minorHAnsi" w:eastAsiaTheme="minorHAnsi" w:hAnsiTheme="minorHAnsi" w:cs="TimesNewRoman"/>
          <w:sz w:val="24"/>
          <w:szCs w:val="24"/>
          <w:lang w:eastAsia="en-US"/>
        </w:rPr>
        <w:t>Rashodi kućanstva dijele se također u tri grupe.</w:t>
      </w:r>
    </w:p>
    <w:p w:rsidR="00F84E6A" w:rsidRDefault="00041715" w:rsidP="00C17BD3">
      <w:pPr>
        <w:pStyle w:val="Tekstfusnote"/>
        <w:numPr>
          <w:ilvl w:val="0"/>
          <w:numId w:val="21"/>
        </w:numPr>
        <w:spacing w:after="60" w:line="22" w:lineRule="atLeast"/>
        <w:ind w:left="714" w:hanging="357"/>
        <w:jc w:val="both"/>
        <w:rPr>
          <w:rFonts w:asciiTheme="minorHAnsi" w:eastAsiaTheme="minorHAnsi" w:hAnsiTheme="minorHAnsi" w:cs="TimesNewRoman"/>
          <w:sz w:val="24"/>
          <w:szCs w:val="24"/>
          <w:lang w:eastAsia="en-US"/>
        </w:rPr>
      </w:pPr>
      <w:r w:rsidRPr="0021257B">
        <w:rPr>
          <w:rFonts w:asciiTheme="minorHAnsi" w:eastAsiaTheme="minorHAnsi" w:hAnsiTheme="minorHAnsi" w:cs="TimesNewRoman"/>
          <w:sz w:val="24"/>
          <w:szCs w:val="24"/>
          <w:lang w:eastAsia="en-US"/>
        </w:rPr>
        <w:t xml:space="preserve">Tipične kategorije </w:t>
      </w:r>
      <w:r w:rsidR="007D619B" w:rsidRPr="007D619B">
        <w:rPr>
          <w:rFonts w:asciiTheme="minorHAnsi" w:eastAsiaTheme="minorHAnsi" w:hAnsiTheme="minorHAnsi" w:cs="TimesNewRoman"/>
          <w:color w:val="C00000"/>
          <w:sz w:val="24"/>
          <w:szCs w:val="24"/>
          <w:lang w:eastAsia="en-US"/>
        </w:rPr>
        <w:t>redov</w:t>
      </w:r>
      <w:r w:rsidR="007D619B">
        <w:rPr>
          <w:rFonts w:asciiTheme="minorHAnsi" w:eastAsiaTheme="minorHAnsi" w:hAnsiTheme="minorHAnsi" w:cs="TimesNewRoman"/>
          <w:color w:val="C00000"/>
          <w:sz w:val="24"/>
          <w:szCs w:val="24"/>
          <w:lang w:eastAsia="en-US"/>
        </w:rPr>
        <w:t>itih</w:t>
      </w:r>
      <w:r w:rsidR="007D619B">
        <w:rPr>
          <w:rFonts w:asciiTheme="minorHAnsi" w:eastAsiaTheme="minorHAnsi" w:hAnsiTheme="minorHAnsi" w:cs="TimesNewRoman"/>
          <w:sz w:val="24"/>
          <w:szCs w:val="24"/>
          <w:lang w:eastAsia="en-US"/>
        </w:rPr>
        <w:t xml:space="preserve"> </w:t>
      </w:r>
      <w:r w:rsidRPr="007D619B">
        <w:rPr>
          <w:rFonts w:asciiTheme="minorHAnsi" w:eastAsiaTheme="minorHAnsi" w:hAnsiTheme="minorHAnsi" w:cs="TimesNewRoman"/>
          <w:color w:val="C00000"/>
          <w:sz w:val="24"/>
          <w:szCs w:val="24"/>
          <w:lang w:eastAsia="en-US"/>
        </w:rPr>
        <w:t xml:space="preserve">rashoda kućanstva </w:t>
      </w:r>
      <w:r w:rsidR="008032ED">
        <w:rPr>
          <w:rFonts w:asciiTheme="minorHAnsi" w:eastAsiaTheme="minorHAnsi" w:hAnsiTheme="minorHAnsi" w:cs="TimesNewRoman"/>
          <w:sz w:val="24"/>
          <w:szCs w:val="24"/>
          <w:lang w:eastAsia="en-US"/>
        </w:rPr>
        <w:t xml:space="preserve">čine troškovi života - </w:t>
      </w:r>
      <w:r w:rsidRPr="0021257B">
        <w:rPr>
          <w:rFonts w:asciiTheme="minorHAnsi" w:eastAsiaTheme="minorHAnsi" w:hAnsiTheme="minorHAnsi" w:cs="TimesNewRoman"/>
          <w:sz w:val="24"/>
          <w:szCs w:val="24"/>
          <w:lang w:eastAsia="en-US"/>
        </w:rPr>
        <w:t>izdaci za osobnu potrošnju koji uključuju izdatke za nabavku potrošnih d</w:t>
      </w:r>
      <w:r w:rsidR="007D619B">
        <w:rPr>
          <w:rFonts w:asciiTheme="minorHAnsi" w:eastAsiaTheme="minorHAnsi" w:hAnsiTheme="minorHAnsi" w:cs="TimesNewRoman"/>
          <w:sz w:val="24"/>
          <w:szCs w:val="24"/>
          <w:lang w:eastAsia="en-US"/>
        </w:rPr>
        <w:t xml:space="preserve">obara (hrana, odjeća, </w:t>
      </w:r>
      <w:r w:rsidR="007D619B">
        <w:rPr>
          <w:rFonts w:asciiTheme="minorHAnsi" w:eastAsiaTheme="minorHAnsi" w:hAnsiTheme="minorHAnsi" w:cs="TimesNewRoman"/>
          <w:sz w:val="24"/>
          <w:szCs w:val="24"/>
          <w:lang w:eastAsia="en-US"/>
        </w:rPr>
        <w:lastRenderedPageBreak/>
        <w:t xml:space="preserve">energija), </w:t>
      </w:r>
      <w:r w:rsidRPr="0021257B">
        <w:rPr>
          <w:rFonts w:asciiTheme="minorHAnsi" w:eastAsiaTheme="minorHAnsi" w:hAnsiTheme="minorHAnsi" w:cs="TimesNewRoman"/>
          <w:sz w:val="24"/>
          <w:szCs w:val="24"/>
          <w:lang w:eastAsia="en-US"/>
        </w:rPr>
        <w:t>usluga (stanovanja, prijevoza, zdravstvene zaštite)</w:t>
      </w:r>
      <w:r w:rsidR="007D619B">
        <w:rPr>
          <w:rFonts w:asciiTheme="minorHAnsi" w:eastAsiaTheme="minorHAnsi" w:hAnsiTheme="minorHAnsi" w:cs="TimesNewRoman"/>
          <w:sz w:val="24"/>
          <w:szCs w:val="24"/>
          <w:lang w:eastAsia="en-US"/>
        </w:rPr>
        <w:t xml:space="preserve"> i </w:t>
      </w:r>
      <w:r w:rsidR="007D619B" w:rsidRPr="0021257B">
        <w:rPr>
          <w:rFonts w:asciiTheme="minorHAnsi" w:eastAsiaTheme="minorHAnsi" w:hAnsiTheme="minorHAnsi" w:cs="TimesNewRoman"/>
          <w:sz w:val="24"/>
          <w:szCs w:val="24"/>
          <w:lang w:eastAsia="en-US"/>
        </w:rPr>
        <w:t xml:space="preserve">trajnih </w:t>
      </w:r>
      <w:r w:rsidR="008032ED">
        <w:rPr>
          <w:rFonts w:asciiTheme="minorHAnsi" w:eastAsiaTheme="minorHAnsi" w:hAnsiTheme="minorHAnsi" w:cs="TimesNewRoman"/>
          <w:sz w:val="24"/>
          <w:szCs w:val="24"/>
          <w:lang w:eastAsia="en-US"/>
        </w:rPr>
        <w:t xml:space="preserve">potrošnih </w:t>
      </w:r>
      <w:r w:rsidR="007D619B" w:rsidRPr="0021257B">
        <w:rPr>
          <w:rFonts w:asciiTheme="minorHAnsi" w:eastAsiaTheme="minorHAnsi" w:hAnsiTheme="minorHAnsi" w:cs="TimesNewRoman"/>
          <w:sz w:val="24"/>
          <w:szCs w:val="24"/>
          <w:lang w:eastAsia="en-US"/>
        </w:rPr>
        <w:t>dobar</w:t>
      </w:r>
      <w:r w:rsidR="007D619B">
        <w:rPr>
          <w:rFonts w:asciiTheme="minorHAnsi" w:eastAsiaTheme="minorHAnsi" w:hAnsiTheme="minorHAnsi" w:cs="TimesNewRoman"/>
          <w:sz w:val="24"/>
          <w:szCs w:val="24"/>
          <w:lang w:eastAsia="en-US"/>
        </w:rPr>
        <w:t>a (kućanski aparati)</w:t>
      </w:r>
      <w:r w:rsidRPr="0021257B">
        <w:rPr>
          <w:rFonts w:asciiTheme="minorHAnsi" w:eastAsiaTheme="minorHAnsi" w:hAnsiTheme="minorHAnsi" w:cs="TimesNewRoman"/>
          <w:sz w:val="24"/>
          <w:szCs w:val="24"/>
          <w:lang w:eastAsia="en-US"/>
        </w:rPr>
        <w:t>.</w:t>
      </w:r>
      <w:r w:rsidR="008032ED" w:rsidRPr="00086C6D">
        <w:rPr>
          <w:sz w:val="24"/>
          <w:szCs w:val="24"/>
          <w:vertAlign w:val="superscript"/>
        </w:rPr>
        <w:footnoteReference w:id="40"/>
      </w:r>
      <w:r w:rsidRPr="0021257B">
        <w:rPr>
          <w:rFonts w:asciiTheme="minorHAnsi" w:eastAsiaTheme="minorHAnsi" w:hAnsiTheme="minorHAnsi" w:cs="TimesNewRoman"/>
          <w:sz w:val="24"/>
          <w:szCs w:val="24"/>
          <w:lang w:eastAsia="en-US"/>
        </w:rPr>
        <w:t xml:space="preserve"> </w:t>
      </w:r>
    </w:p>
    <w:p w:rsidR="00F84E6A" w:rsidRDefault="00041715" w:rsidP="00C17BD3">
      <w:pPr>
        <w:pStyle w:val="Tekstfusnote"/>
        <w:numPr>
          <w:ilvl w:val="0"/>
          <w:numId w:val="21"/>
        </w:numPr>
        <w:spacing w:after="60" w:line="22" w:lineRule="atLeast"/>
        <w:jc w:val="both"/>
        <w:rPr>
          <w:rFonts w:asciiTheme="minorHAnsi" w:eastAsiaTheme="minorHAnsi" w:hAnsiTheme="minorHAnsi" w:cs="TimesNewRoman"/>
          <w:sz w:val="24"/>
          <w:szCs w:val="24"/>
          <w:lang w:eastAsia="en-US"/>
        </w:rPr>
      </w:pPr>
      <w:r w:rsidRPr="007D619B">
        <w:rPr>
          <w:rFonts w:asciiTheme="minorHAnsi" w:eastAsiaTheme="minorHAnsi" w:hAnsiTheme="minorHAnsi" w:cs="TimesNewRoman"/>
          <w:color w:val="C00000"/>
          <w:sz w:val="24"/>
          <w:szCs w:val="24"/>
          <w:lang w:eastAsia="en-US"/>
        </w:rPr>
        <w:t xml:space="preserve">Financijski rashodi kućanstva </w:t>
      </w:r>
      <w:r w:rsidRPr="0021257B">
        <w:rPr>
          <w:rFonts w:asciiTheme="minorHAnsi" w:eastAsiaTheme="minorHAnsi" w:hAnsiTheme="minorHAnsi" w:cs="TimesNewRoman"/>
          <w:sz w:val="24"/>
          <w:szCs w:val="24"/>
          <w:lang w:eastAsia="en-US"/>
        </w:rPr>
        <w:t>(</w:t>
      </w:r>
      <w:r w:rsidR="008032ED">
        <w:rPr>
          <w:rFonts w:asciiTheme="minorHAnsi" w:eastAsiaTheme="minorHAnsi" w:hAnsiTheme="minorHAnsi" w:cs="TimesNewRoman"/>
          <w:sz w:val="24"/>
          <w:szCs w:val="24"/>
          <w:lang w:eastAsia="en-US"/>
        </w:rPr>
        <w:t xml:space="preserve">tzv. </w:t>
      </w:r>
      <w:r w:rsidRPr="0021257B">
        <w:rPr>
          <w:rFonts w:asciiTheme="minorHAnsi" w:eastAsiaTheme="minorHAnsi" w:hAnsiTheme="minorHAnsi" w:cs="TimesNewRoman"/>
          <w:sz w:val="24"/>
          <w:szCs w:val="24"/>
          <w:lang w:eastAsia="en-US"/>
        </w:rPr>
        <w:t xml:space="preserve">rashodi financiranja) nastaju uglavnom kao posljedica </w:t>
      </w:r>
      <w:r>
        <w:rPr>
          <w:rFonts w:asciiTheme="minorHAnsi" w:eastAsiaTheme="minorHAnsi" w:hAnsiTheme="minorHAnsi" w:cs="TimesNewRoman"/>
          <w:sz w:val="24"/>
          <w:szCs w:val="24"/>
          <w:lang w:eastAsia="en-US"/>
        </w:rPr>
        <w:t>zaduživanja</w:t>
      </w:r>
      <w:r w:rsidR="008032ED">
        <w:rPr>
          <w:rFonts w:asciiTheme="minorHAnsi" w:eastAsiaTheme="minorHAnsi" w:hAnsiTheme="minorHAnsi" w:cs="TimesNewRoman"/>
          <w:sz w:val="24"/>
          <w:szCs w:val="24"/>
          <w:lang w:eastAsia="en-US"/>
        </w:rPr>
        <w:t>, ali i iz drugih razloga</w:t>
      </w:r>
      <w:r w:rsidRPr="0021257B">
        <w:rPr>
          <w:rFonts w:asciiTheme="minorHAnsi" w:eastAsiaTheme="minorHAnsi" w:hAnsiTheme="minorHAnsi" w:cs="TimesNewRoman"/>
          <w:sz w:val="24"/>
          <w:szCs w:val="24"/>
          <w:lang w:eastAsia="en-US"/>
        </w:rPr>
        <w:t>. Oni uključuju kamate kao naknadu za korištenje tuđih sredstva, negativne tečajne razlike te kapitalne gubitke ostvarene prodajom financijske ili druge imovine (po cijeni nižoj o nabavne vrijednosti).</w:t>
      </w:r>
      <w:r w:rsidR="008032ED">
        <w:rPr>
          <w:rFonts w:asciiTheme="minorHAnsi" w:eastAsiaTheme="minorHAnsi" w:hAnsiTheme="minorHAnsi" w:cs="TimesNewRoman"/>
          <w:sz w:val="24"/>
          <w:szCs w:val="24"/>
          <w:lang w:eastAsia="en-US"/>
        </w:rPr>
        <w:t xml:space="preserve"> Dodatno mogu uključiti i različita fiskalna davanja za poreze i slično. </w:t>
      </w:r>
    </w:p>
    <w:p w:rsidR="008032ED" w:rsidRDefault="00041715" w:rsidP="00C17BD3">
      <w:pPr>
        <w:pStyle w:val="Tekstfusnote"/>
        <w:numPr>
          <w:ilvl w:val="0"/>
          <w:numId w:val="21"/>
        </w:numPr>
        <w:spacing w:after="60" w:line="22" w:lineRule="atLeast"/>
        <w:jc w:val="both"/>
        <w:rPr>
          <w:rFonts w:asciiTheme="minorHAnsi" w:eastAsiaTheme="minorHAnsi" w:hAnsiTheme="minorHAnsi" w:cs="TimesNewRoman"/>
          <w:sz w:val="24"/>
          <w:szCs w:val="24"/>
          <w:lang w:eastAsia="en-US"/>
        </w:rPr>
      </w:pPr>
      <w:r w:rsidRPr="007D619B">
        <w:rPr>
          <w:rFonts w:asciiTheme="minorHAnsi" w:eastAsiaTheme="minorHAnsi" w:hAnsiTheme="minorHAnsi" w:cs="TimesNewRoman"/>
          <w:color w:val="C00000"/>
          <w:sz w:val="24"/>
          <w:szCs w:val="24"/>
          <w:lang w:eastAsia="en-US"/>
        </w:rPr>
        <w:t xml:space="preserve">Izvanredni rashodi </w:t>
      </w:r>
      <w:r w:rsidRPr="0021257B">
        <w:rPr>
          <w:rFonts w:asciiTheme="minorHAnsi" w:eastAsiaTheme="minorHAnsi" w:hAnsiTheme="minorHAnsi" w:cs="TimesNewRoman"/>
          <w:sz w:val="24"/>
          <w:szCs w:val="24"/>
          <w:lang w:eastAsia="en-US"/>
        </w:rPr>
        <w:t xml:space="preserve">kućanstva su </w:t>
      </w:r>
      <w:r w:rsidR="007D619B">
        <w:rPr>
          <w:rFonts w:asciiTheme="minorHAnsi" w:eastAsiaTheme="minorHAnsi" w:hAnsiTheme="minorHAnsi" w:cs="TimesNewRoman"/>
          <w:sz w:val="24"/>
          <w:szCs w:val="24"/>
          <w:lang w:eastAsia="en-US"/>
        </w:rPr>
        <w:t xml:space="preserve">različiti neplanirani rashodi uključujući </w:t>
      </w:r>
      <w:r w:rsidR="008032ED">
        <w:rPr>
          <w:rFonts w:asciiTheme="minorHAnsi" w:eastAsiaTheme="minorHAnsi" w:hAnsiTheme="minorHAnsi" w:cs="TimesNewRoman"/>
          <w:sz w:val="24"/>
          <w:szCs w:val="24"/>
          <w:lang w:eastAsia="en-US"/>
        </w:rPr>
        <w:t xml:space="preserve">kazne, štete i drugo. </w:t>
      </w:r>
    </w:p>
    <w:p w:rsidR="00F84E6A" w:rsidRDefault="008032ED" w:rsidP="00C17BD3">
      <w:pPr>
        <w:tabs>
          <w:tab w:val="left" w:pos="1300"/>
        </w:tabs>
        <w:spacing w:before="240"/>
        <w:jc w:val="both"/>
        <w:rPr>
          <w:rFonts w:cs="TimesNewRoman"/>
          <w:sz w:val="24"/>
          <w:szCs w:val="24"/>
        </w:rPr>
      </w:pPr>
      <w:r w:rsidRPr="005864F4">
        <w:rPr>
          <w:rFonts w:cs="TimesNewRoman"/>
          <w:sz w:val="24"/>
          <w:szCs w:val="24"/>
        </w:rPr>
        <w:t xml:space="preserve">Karakteristika svih nabrojenih oblika prihoda kućanstva jest da su oni </w:t>
      </w:r>
      <w:r>
        <w:rPr>
          <w:rFonts w:cs="TimesNewRoman"/>
          <w:color w:val="C00000"/>
          <w:sz w:val="24"/>
          <w:szCs w:val="24"/>
        </w:rPr>
        <w:t xml:space="preserve">istodobno i primici, </w:t>
      </w:r>
      <w:r w:rsidRPr="00A923EA">
        <w:rPr>
          <w:rFonts w:cs="TimesNewRoman"/>
          <w:sz w:val="24"/>
          <w:szCs w:val="24"/>
        </w:rPr>
        <w:t xml:space="preserve">odnosno novčani </w:t>
      </w:r>
      <w:r>
        <w:rPr>
          <w:rFonts w:cs="TimesNewRoman"/>
          <w:sz w:val="24"/>
          <w:szCs w:val="24"/>
        </w:rPr>
        <w:t xml:space="preserve">priljevi i evidentiraju se primjenom </w:t>
      </w:r>
      <w:r w:rsidRPr="002211FD">
        <w:rPr>
          <w:rFonts w:cs="TimesNewRoman"/>
          <w:color w:val="C00000"/>
          <w:sz w:val="24"/>
          <w:szCs w:val="24"/>
        </w:rPr>
        <w:t>načela blagajne</w:t>
      </w:r>
      <w:r w:rsidRPr="005864F4">
        <w:rPr>
          <w:rFonts w:cs="TimesNewRoman"/>
          <w:sz w:val="24"/>
          <w:szCs w:val="24"/>
        </w:rPr>
        <w:t xml:space="preserve">. </w:t>
      </w:r>
      <w:r>
        <w:rPr>
          <w:rFonts w:cs="TimesNewRoman"/>
          <w:sz w:val="24"/>
          <w:szCs w:val="24"/>
        </w:rPr>
        <w:t xml:space="preserve">(Zanemarit ćemo prihode i rashode u naturi!) </w:t>
      </w:r>
      <w:r w:rsidRPr="005864F4">
        <w:rPr>
          <w:rFonts w:cs="TimesNewRoman"/>
          <w:sz w:val="24"/>
          <w:szCs w:val="24"/>
        </w:rPr>
        <w:t xml:space="preserve">Međutim, </w:t>
      </w:r>
      <w:r w:rsidR="002211FD">
        <w:rPr>
          <w:rFonts w:cs="TimesNewRoman"/>
          <w:sz w:val="24"/>
          <w:szCs w:val="24"/>
        </w:rPr>
        <w:t>(</w:t>
      </w:r>
      <w:r w:rsidR="003B0254">
        <w:rPr>
          <w:rFonts w:cs="TimesNewRoman"/>
          <w:sz w:val="24"/>
          <w:szCs w:val="24"/>
        </w:rPr>
        <w:t xml:space="preserve">kao što je već istaknuto) </w:t>
      </w:r>
      <w:r w:rsidRPr="005864F4">
        <w:rPr>
          <w:rFonts w:cs="TimesNewRoman"/>
          <w:sz w:val="24"/>
          <w:szCs w:val="24"/>
        </w:rPr>
        <w:t xml:space="preserve">treba voditi računa da </w:t>
      </w:r>
      <w:r w:rsidRPr="00880362">
        <w:rPr>
          <w:rFonts w:cs="TimesNewRoman"/>
          <w:color w:val="C00000"/>
          <w:sz w:val="24"/>
          <w:szCs w:val="24"/>
        </w:rPr>
        <w:t xml:space="preserve">prihodi i primici </w:t>
      </w:r>
      <w:r w:rsidR="003B0254">
        <w:rPr>
          <w:rFonts w:cs="TimesNewRoman"/>
          <w:color w:val="C00000"/>
          <w:sz w:val="24"/>
          <w:szCs w:val="24"/>
        </w:rPr>
        <w:t xml:space="preserve">(odnosno novčani priljevi) </w:t>
      </w:r>
      <w:r w:rsidRPr="00880362">
        <w:rPr>
          <w:rFonts w:cs="TimesNewRoman"/>
          <w:color w:val="C00000"/>
          <w:sz w:val="24"/>
          <w:szCs w:val="24"/>
        </w:rPr>
        <w:t xml:space="preserve">nisu </w:t>
      </w:r>
      <w:r>
        <w:rPr>
          <w:rFonts w:cs="TimesNewRoman"/>
          <w:color w:val="C00000"/>
          <w:sz w:val="24"/>
          <w:szCs w:val="24"/>
        </w:rPr>
        <w:t xml:space="preserve">uvijek </w:t>
      </w:r>
      <w:r w:rsidRPr="00880362">
        <w:rPr>
          <w:rFonts w:cs="TimesNewRoman"/>
          <w:color w:val="C00000"/>
          <w:sz w:val="24"/>
          <w:szCs w:val="24"/>
        </w:rPr>
        <w:t>istovjetne kategorije</w:t>
      </w:r>
      <w:r w:rsidRPr="005864F4">
        <w:rPr>
          <w:rFonts w:cs="TimesNewRoman"/>
          <w:sz w:val="24"/>
          <w:szCs w:val="24"/>
        </w:rPr>
        <w:t xml:space="preserve">. Novčani primitak kućanstva predstavljaju </w:t>
      </w:r>
      <w:r>
        <w:rPr>
          <w:rFonts w:cs="TimesNewRoman"/>
          <w:sz w:val="24"/>
          <w:szCs w:val="24"/>
        </w:rPr>
        <w:t xml:space="preserve">i </w:t>
      </w:r>
      <w:r w:rsidRPr="005864F4">
        <w:rPr>
          <w:rFonts w:cs="TimesNewRoman"/>
          <w:sz w:val="24"/>
          <w:szCs w:val="24"/>
        </w:rPr>
        <w:t xml:space="preserve">sredstava pribavljena </w:t>
      </w:r>
      <w:r>
        <w:rPr>
          <w:rFonts w:cs="TimesNewRoman"/>
          <w:sz w:val="24"/>
          <w:szCs w:val="24"/>
        </w:rPr>
        <w:t>zaduživanjem (npr. glavnica duga gotovinskog kredita banke ili kredita po tekućem računu</w:t>
      </w:r>
      <w:r w:rsidRPr="005864F4">
        <w:rPr>
          <w:rFonts w:cs="TimesNewRoman"/>
          <w:sz w:val="24"/>
          <w:szCs w:val="24"/>
        </w:rPr>
        <w:t>), ali ona nisu prihod, nego samo primitak u formi privremenog izvora sredstava (</w:t>
      </w:r>
      <w:r>
        <w:rPr>
          <w:rFonts w:cs="TimesNewRoman"/>
          <w:sz w:val="24"/>
          <w:szCs w:val="24"/>
        </w:rPr>
        <w:t>koji ujedno povećava obveze u bilanci kućanstva</w:t>
      </w:r>
      <w:r w:rsidRPr="005864F4">
        <w:rPr>
          <w:rFonts w:cs="TimesNewRoman"/>
          <w:sz w:val="24"/>
          <w:szCs w:val="24"/>
        </w:rPr>
        <w:t xml:space="preserve">). </w:t>
      </w:r>
    </w:p>
    <w:p w:rsidR="008032ED" w:rsidRDefault="008032ED" w:rsidP="008032ED">
      <w:pPr>
        <w:tabs>
          <w:tab w:val="left" w:pos="1300"/>
        </w:tabs>
        <w:jc w:val="both"/>
        <w:rPr>
          <w:rFonts w:cs="TimesNewRoman"/>
          <w:sz w:val="24"/>
          <w:szCs w:val="24"/>
        </w:rPr>
      </w:pPr>
      <w:r w:rsidRPr="005864F4">
        <w:rPr>
          <w:rFonts w:cs="TimesNewRoman"/>
          <w:sz w:val="24"/>
          <w:szCs w:val="24"/>
        </w:rPr>
        <w:t xml:space="preserve">Na sličan način valja praviti </w:t>
      </w:r>
      <w:r w:rsidRPr="007D619B">
        <w:rPr>
          <w:rFonts w:cs="TimesNewRoman"/>
          <w:color w:val="C00000"/>
          <w:sz w:val="24"/>
          <w:szCs w:val="24"/>
        </w:rPr>
        <w:t xml:space="preserve">razliku </w:t>
      </w:r>
      <w:r w:rsidR="00FD03A9">
        <w:rPr>
          <w:rFonts w:cs="TimesNewRoman"/>
          <w:color w:val="C00000"/>
          <w:sz w:val="24"/>
          <w:szCs w:val="24"/>
        </w:rPr>
        <w:t>u</w:t>
      </w:r>
      <w:r w:rsidRPr="007D619B">
        <w:rPr>
          <w:rFonts w:cs="TimesNewRoman"/>
          <w:color w:val="C00000"/>
          <w:sz w:val="24"/>
          <w:szCs w:val="24"/>
        </w:rPr>
        <w:t xml:space="preserve"> </w:t>
      </w:r>
      <w:r w:rsidR="00FD03A9">
        <w:rPr>
          <w:rFonts w:cs="TimesNewRoman"/>
          <w:color w:val="C00000"/>
          <w:sz w:val="24"/>
          <w:szCs w:val="24"/>
        </w:rPr>
        <w:t xml:space="preserve">korištenju pojmova </w:t>
      </w:r>
      <w:r w:rsidRPr="007D619B">
        <w:rPr>
          <w:rFonts w:cs="TimesNewRoman"/>
          <w:color w:val="C00000"/>
          <w:sz w:val="24"/>
          <w:szCs w:val="24"/>
        </w:rPr>
        <w:t>rashod</w:t>
      </w:r>
      <w:r w:rsidR="00FD03A9">
        <w:rPr>
          <w:rFonts w:cs="TimesNewRoman"/>
          <w:color w:val="C00000"/>
          <w:sz w:val="24"/>
          <w:szCs w:val="24"/>
        </w:rPr>
        <w:t>i</w:t>
      </w:r>
      <w:r w:rsidRPr="007D619B">
        <w:rPr>
          <w:rFonts w:cs="TimesNewRoman"/>
          <w:color w:val="C00000"/>
          <w:sz w:val="24"/>
          <w:szCs w:val="24"/>
        </w:rPr>
        <w:t xml:space="preserve"> i izda</w:t>
      </w:r>
      <w:r w:rsidR="00FD03A9">
        <w:rPr>
          <w:rFonts w:cs="TimesNewRoman"/>
          <w:color w:val="C00000"/>
          <w:sz w:val="24"/>
          <w:szCs w:val="24"/>
        </w:rPr>
        <w:t>ci</w:t>
      </w:r>
      <w:r w:rsidRPr="007D619B">
        <w:rPr>
          <w:rFonts w:cs="TimesNewRoman"/>
          <w:color w:val="C00000"/>
          <w:sz w:val="24"/>
          <w:szCs w:val="24"/>
        </w:rPr>
        <w:t xml:space="preserve"> kućanstva</w:t>
      </w:r>
      <w:r w:rsidRPr="005864F4">
        <w:rPr>
          <w:rFonts w:cs="TimesNewRoman"/>
          <w:sz w:val="24"/>
          <w:szCs w:val="24"/>
        </w:rPr>
        <w:t xml:space="preserve">. </w:t>
      </w:r>
      <w:r>
        <w:rPr>
          <w:rFonts w:cs="TimesNewRoman"/>
          <w:sz w:val="24"/>
          <w:szCs w:val="24"/>
        </w:rPr>
        <w:t xml:space="preserve">S obzirom na primjenu načela blagajne </w:t>
      </w:r>
      <w:r w:rsidRPr="006119BE">
        <w:rPr>
          <w:rFonts w:cs="TimesNewRoman"/>
          <w:color w:val="C00000"/>
          <w:sz w:val="24"/>
          <w:szCs w:val="24"/>
        </w:rPr>
        <w:t>svi rashodi kućanstva su ujedno izdaci</w:t>
      </w:r>
      <w:r>
        <w:rPr>
          <w:rFonts w:cs="TimesNewRoman"/>
          <w:color w:val="C00000"/>
          <w:sz w:val="24"/>
          <w:szCs w:val="24"/>
        </w:rPr>
        <w:t xml:space="preserve"> (novčani odljev)</w:t>
      </w:r>
      <w:r>
        <w:rPr>
          <w:rFonts w:cs="TimesNewRoman"/>
          <w:sz w:val="24"/>
          <w:szCs w:val="24"/>
        </w:rPr>
        <w:t>. Međutim, i</w:t>
      </w:r>
      <w:r w:rsidRPr="005864F4">
        <w:rPr>
          <w:rFonts w:cs="TimesNewRoman"/>
          <w:sz w:val="24"/>
          <w:szCs w:val="24"/>
        </w:rPr>
        <w:t xml:space="preserve">znos otplate glavnice kredita </w:t>
      </w:r>
      <w:r>
        <w:rPr>
          <w:rFonts w:cs="TimesNewRoman"/>
          <w:sz w:val="24"/>
          <w:szCs w:val="24"/>
        </w:rPr>
        <w:t xml:space="preserve">(duga) </w:t>
      </w:r>
      <w:r w:rsidRPr="005864F4">
        <w:rPr>
          <w:rFonts w:cs="TimesNewRoman"/>
          <w:sz w:val="24"/>
          <w:szCs w:val="24"/>
        </w:rPr>
        <w:t>ne predstavlja rashod nego izdatak koji ima za posljedicu smanjenje obveza u bilanci pojedinca/kućanstva.</w:t>
      </w:r>
      <w:r>
        <w:rPr>
          <w:rFonts w:cs="TimesNewRoman"/>
          <w:sz w:val="24"/>
          <w:szCs w:val="24"/>
        </w:rPr>
        <w:t xml:space="preserve"> S druge strane kamate </w:t>
      </w:r>
      <w:r w:rsidR="00456873">
        <w:rPr>
          <w:rFonts w:cs="TimesNewRoman"/>
          <w:sz w:val="24"/>
          <w:szCs w:val="24"/>
        </w:rPr>
        <w:t xml:space="preserve">na kredit </w:t>
      </w:r>
      <w:r>
        <w:rPr>
          <w:rFonts w:cs="TimesNewRoman"/>
          <w:sz w:val="24"/>
          <w:szCs w:val="24"/>
        </w:rPr>
        <w:t xml:space="preserve">su financijski rashod </w:t>
      </w:r>
      <w:r w:rsidR="00456873">
        <w:rPr>
          <w:rFonts w:cs="TimesNewRoman"/>
          <w:sz w:val="24"/>
          <w:szCs w:val="24"/>
        </w:rPr>
        <w:t xml:space="preserve">(trošak) </w:t>
      </w:r>
      <w:r>
        <w:rPr>
          <w:rFonts w:cs="TimesNewRoman"/>
          <w:sz w:val="24"/>
          <w:szCs w:val="24"/>
        </w:rPr>
        <w:t xml:space="preserve">koji je istodobno i novčani </w:t>
      </w:r>
      <w:r w:rsidR="00FD03A9">
        <w:rPr>
          <w:rFonts w:cs="TimesNewRoman"/>
          <w:sz w:val="24"/>
          <w:szCs w:val="24"/>
        </w:rPr>
        <w:t>izdatak (</w:t>
      </w:r>
      <w:r>
        <w:rPr>
          <w:rFonts w:cs="TimesNewRoman"/>
          <w:sz w:val="24"/>
          <w:szCs w:val="24"/>
        </w:rPr>
        <w:t>odljev</w:t>
      </w:r>
      <w:r w:rsidR="00FD03A9">
        <w:rPr>
          <w:rFonts w:cs="TimesNewRoman"/>
          <w:sz w:val="24"/>
          <w:szCs w:val="24"/>
        </w:rPr>
        <w:t>)</w:t>
      </w:r>
      <w:r>
        <w:rPr>
          <w:rFonts w:cs="TimesNewRoman"/>
          <w:sz w:val="24"/>
          <w:szCs w:val="24"/>
        </w:rPr>
        <w:t>.</w:t>
      </w:r>
      <w:r w:rsidR="003B0254">
        <w:rPr>
          <w:rFonts w:cs="TimesNewRoman"/>
          <w:sz w:val="24"/>
          <w:szCs w:val="24"/>
        </w:rPr>
        <w:t xml:space="preserve"> Primjer izdataka (odnosno novčanog odljeva kućanstva) koji nije rashod su i investicije u različite oblike financijske i realne imovine čija namjena nije (tekuća) potrošnja (npr. u kupovina stana, zlata, ulaganje u dionice itd.)</w:t>
      </w:r>
    </w:p>
    <w:tbl>
      <w:tblPr>
        <w:tblStyle w:val="Reetkatablice"/>
        <w:tblW w:w="0" w:type="auto"/>
        <w:tblInd w:w="108" w:type="dxa"/>
        <w:tblLook w:val="04A0" w:firstRow="1" w:lastRow="0" w:firstColumn="1" w:lastColumn="0" w:noHBand="0" w:noVBand="1"/>
      </w:tblPr>
      <w:tblGrid>
        <w:gridCol w:w="9072"/>
      </w:tblGrid>
      <w:tr w:rsidR="00C17BD3" w:rsidTr="00C17BD3">
        <w:tc>
          <w:tcPr>
            <w:tcW w:w="9072" w:type="dxa"/>
            <w:shd w:val="clear" w:color="auto" w:fill="F2F2F2" w:themeFill="background1" w:themeFillShade="F2"/>
          </w:tcPr>
          <w:p w:rsidR="00C17BD3" w:rsidRPr="00C17BD3" w:rsidRDefault="00C17BD3" w:rsidP="00C17BD3">
            <w:pPr>
              <w:tabs>
                <w:tab w:val="left" w:pos="1300"/>
              </w:tabs>
              <w:spacing w:before="120"/>
              <w:jc w:val="both"/>
              <w:rPr>
                <w:rFonts w:asciiTheme="minorHAnsi" w:hAnsiTheme="minorHAnsi" w:cs="TimesNewRoman"/>
                <w:sz w:val="24"/>
                <w:szCs w:val="24"/>
              </w:rPr>
            </w:pPr>
            <w:r w:rsidRPr="00C17BD3">
              <w:rPr>
                <w:rFonts w:asciiTheme="minorHAnsi" w:hAnsiTheme="minorHAnsi" w:cs="TimesNewRoman"/>
                <w:sz w:val="24"/>
                <w:szCs w:val="24"/>
              </w:rPr>
              <w:t xml:space="preserve">S obzirom da u financijama brojnih kućanstva postoje obveze vezane otplatu stambenog ili drugog kredita, u sastavljanju budžeta (financijskog plana) i njegovom izvršenju treba voditi računa </w:t>
            </w:r>
            <w:r w:rsidRPr="00C17BD3">
              <w:rPr>
                <w:rFonts w:asciiTheme="minorHAnsi" w:hAnsiTheme="minorHAnsi" w:cs="TimesNewRoman"/>
                <w:color w:val="C00000"/>
                <w:sz w:val="24"/>
                <w:szCs w:val="24"/>
              </w:rPr>
              <w:t>o dostatnosti prihoda</w:t>
            </w:r>
            <w:r w:rsidRPr="00C17BD3">
              <w:rPr>
                <w:rFonts w:asciiTheme="minorHAnsi" w:hAnsiTheme="minorHAnsi" w:cs="TimesNewRoman"/>
                <w:sz w:val="24"/>
                <w:szCs w:val="24"/>
              </w:rPr>
              <w:t>:</w:t>
            </w:r>
          </w:p>
          <w:p w:rsidR="00C17BD3" w:rsidRPr="00C17BD3" w:rsidRDefault="00C17BD3" w:rsidP="00C17BD3">
            <w:pPr>
              <w:pStyle w:val="Odlomakpopisa"/>
              <w:numPr>
                <w:ilvl w:val="0"/>
                <w:numId w:val="19"/>
              </w:numPr>
              <w:tabs>
                <w:tab w:val="left" w:pos="1300"/>
              </w:tabs>
              <w:jc w:val="both"/>
              <w:rPr>
                <w:rFonts w:asciiTheme="minorHAnsi" w:hAnsiTheme="minorHAnsi" w:cs="TimesNewRoman"/>
                <w:sz w:val="24"/>
                <w:szCs w:val="24"/>
              </w:rPr>
            </w:pPr>
            <w:r w:rsidRPr="00C17BD3">
              <w:rPr>
                <w:rFonts w:asciiTheme="minorHAnsi" w:hAnsiTheme="minorHAnsi" w:cs="TimesNewRoman"/>
                <w:sz w:val="24"/>
                <w:szCs w:val="24"/>
              </w:rPr>
              <w:t>kako za pokriće rashoda (i poželjno formiranje štednje),</w:t>
            </w:r>
          </w:p>
          <w:p w:rsidR="00C17BD3" w:rsidRPr="00C17BD3" w:rsidRDefault="00C17BD3" w:rsidP="00C17BD3">
            <w:pPr>
              <w:pStyle w:val="Odlomakpopisa"/>
              <w:numPr>
                <w:ilvl w:val="0"/>
                <w:numId w:val="19"/>
              </w:numPr>
              <w:tabs>
                <w:tab w:val="left" w:pos="1300"/>
              </w:tabs>
              <w:jc w:val="both"/>
              <w:rPr>
                <w:rFonts w:asciiTheme="minorHAnsi" w:hAnsiTheme="minorHAnsi" w:cs="TimesNewRoman"/>
                <w:sz w:val="24"/>
                <w:szCs w:val="24"/>
              </w:rPr>
            </w:pPr>
            <w:r w:rsidRPr="00C17BD3">
              <w:rPr>
                <w:rFonts w:asciiTheme="minorHAnsi" w:hAnsiTheme="minorHAnsi" w:cs="TimesNewRoman"/>
                <w:sz w:val="24"/>
                <w:szCs w:val="24"/>
              </w:rPr>
              <w:t xml:space="preserve">tako i za pokriće izdataka za otplatu dospjelog duga. </w:t>
            </w:r>
          </w:p>
          <w:p w:rsidR="00C17BD3" w:rsidRDefault="00C17BD3" w:rsidP="00C17BD3">
            <w:pPr>
              <w:tabs>
                <w:tab w:val="left" w:pos="1300"/>
              </w:tabs>
              <w:spacing w:before="120" w:after="120"/>
              <w:jc w:val="both"/>
              <w:rPr>
                <w:rFonts w:cs="TimesNewRoman"/>
                <w:sz w:val="24"/>
                <w:szCs w:val="24"/>
              </w:rPr>
            </w:pPr>
            <w:r w:rsidRPr="00C17BD3">
              <w:rPr>
                <w:rFonts w:asciiTheme="minorHAnsi" w:hAnsiTheme="minorHAnsi" w:cs="TimesNewRoman"/>
                <w:color w:val="C00000"/>
                <w:sz w:val="24"/>
                <w:szCs w:val="24"/>
              </w:rPr>
              <w:t>Odgovorno upravljanje osobnim financijama stoga primarno znači život u skladu sa svojim mogućnostima</w:t>
            </w:r>
            <w:r w:rsidRPr="00C17BD3">
              <w:rPr>
                <w:rFonts w:asciiTheme="minorHAnsi" w:hAnsiTheme="minorHAnsi" w:cs="TimesNewRoman"/>
                <w:sz w:val="24"/>
                <w:szCs w:val="24"/>
              </w:rPr>
              <w:t>, dok zbog individualizacije rizika dugovječnosti, bolesti, siromaštva i drugih - dodatno postavlja zahtjev formiranja rezervi štednje za nepredviđene situacije i crne dane, štednje za starost, za obrazovanje djece, kupovinu novog automobila i televizora (jer će stari prije ili kasnije trebat biti zamijenjen) itd. Financijski uspješno kućanstvo stoga vodi računa o racionalizaciji troškova života i formiranju rezervi štednje koja se prenosi u buduća razdoblja, a navedeno vrijedi čak i u razdobljima otplate stambenih i drugih kredita (tzv. prisilne štednje).</w:t>
            </w:r>
            <w:r>
              <w:rPr>
                <w:rFonts w:cs="TimesNewRoman"/>
                <w:sz w:val="24"/>
                <w:szCs w:val="24"/>
              </w:rPr>
              <w:t xml:space="preserve"> </w:t>
            </w:r>
            <w:r w:rsidRPr="00C17BD3">
              <w:rPr>
                <w:rFonts w:asciiTheme="minorHAnsi" w:hAnsiTheme="minorHAnsi" w:cs="TimesNewRoman"/>
                <w:sz w:val="24"/>
                <w:szCs w:val="24"/>
              </w:rPr>
              <w:t xml:space="preserve">Sve navedeno čini tzv. </w:t>
            </w:r>
            <w:r w:rsidRPr="00C17BD3">
              <w:rPr>
                <w:rFonts w:asciiTheme="minorHAnsi" w:hAnsiTheme="minorHAnsi" w:cs="TimesNewRoman"/>
                <w:color w:val="C00000"/>
                <w:sz w:val="24"/>
                <w:szCs w:val="24"/>
              </w:rPr>
              <w:t>dobre financijske navike</w:t>
            </w:r>
            <w:r w:rsidRPr="00C17BD3">
              <w:rPr>
                <w:rFonts w:asciiTheme="minorHAnsi" w:hAnsiTheme="minorHAnsi" w:cs="TimesNewRoman"/>
                <w:sz w:val="24"/>
                <w:szCs w:val="24"/>
              </w:rPr>
              <w:t>.</w:t>
            </w:r>
          </w:p>
        </w:tc>
      </w:tr>
    </w:tbl>
    <w:p w:rsidR="00772AAF" w:rsidRDefault="008032ED" w:rsidP="00C17BD3">
      <w:pPr>
        <w:pStyle w:val="Tekstfusnote"/>
        <w:spacing w:before="240" w:after="200" w:line="276" w:lineRule="auto"/>
        <w:jc w:val="both"/>
        <w:rPr>
          <w:rFonts w:asciiTheme="minorHAnsi" w:eastAsiaTheme="minorHAnsi" w:hAnsiTheme="minorHAnsi" w:cs="TimesNewRoman"/>
          <w:sz w:val="24"/>
          <w:szCs w:val="24"/>
          <w:lang w:eastAsia="en-US"/>
        </w:rPr>
      </w:pPr>
      <w:r>
        <w:rPr>
          <w:rFonts w:asciiTheme="minorHAnsi" w:eastAsiaTheme="minorHAnsi" w:hAnsiTheme="minorHAnsi" w:cs="TimesNewRoman"/>
          <w:sz w:val="24"/>
          <w:szCs w:val="24"/>
          <w:lang w:eastAsia="en-US"/>
        </w:rPr>
        <w:lastRenderedPageBreak/>
        <w:t>K</w:t>
      </w:r>
      <w:r w:rsidR="006119BE">
        <w:rPr>
          <w:rFonts w:asciiTheme="minorHAnsi" w:eastAsiaTheme="minorHAnsi" w:hAnsiTheme="minorHAnsi" w:cs="TimesNewRoman"/>
          <w:sz w:val="24"/>
          <w:szCs w:val="24"/>
          <w:lang w:eastAsia="en-US"/>
        </w:rPr>
        <w:t xml:space="preserve">retanje </w:t>
      </w:r>
      <w:r w:rsidR="00EE2723">
        <w:rPr>
          <w:rFonts w:asciiTheme="minorHAnsi" w:eastAsiaTheme="minorHAnsi" w:hAnsiTheme="minorHAnsi" w:cs="TimesNewRoman"/>
          <w:sz w:val="24"/>
          <w:szCs w:val="24"/>
          <w:lang w:eastAsia="en-US"/>
        </w:rPr>
        <w:t xml:space="preserve">ukupnih </w:t>
      </w:r>
      <w:r w:rsidR="006119BE">
        <w:rPr>
          <w:rFonts w:asciiTheme="minorHAnsi" w:eastAsiaTheme="minorHAnsi" w:hAnsiTheme="minorHAnsi" w:cs="TimesNewRoman"/>
          <w:sz w:val="24"/>
          <w:szCs w:val="24"/>
          <w:lang w:eastAsia="en-US"/>
        </w:rPr>
        <w:t xml:space="preserve">novčanih primitaka </w:t>
      </w:r>
      <w:r w:rsidR="00EE2723">
        <w:rPr>
          <w:rFonts w:asciiTheme="minorHAnsi" w:eastAsiaTheme="minorHAnsi" w:hAnsiTheme="minorHAnsi" w:cs="TimesNewRoman"/>
          <w:sz w:val="24"/>
          <w:szCs w:val="24"/>
          <w:lang w:eastAsia="en-US"/>
        </w:rPr>
        <w:t xml:space="preserve">(novčanih priljeva) </w:t>
      </w:r>
      <w:r w:rsidR="006119BE">
        <w:rPr>
          <w:rFonts w:asciiTheme="minorHAnsi" w:eastAsiaTheme="minorHAnsi" w:hAnsiTheme="minorHAnsi" w:cs="TimesNewRoman"/>
          <w:sz w:val="24"/>
          <w:szCs w:val="24"/>
          <w:lang w:eastAsia="en-US"/>
        </w:rPr>
        <w:t xml:space="preserve">i </w:t>
      </w:r>
      <w:r w:rsidR="00EE2723">
        <w:rPr>
          <w:rFonts w:asciiTheme="minorHAnsi" w:eastAsiaTheme="minorHAnsi" w:hAnsiTheme="minorHAnsi" w:cs="TimesNewRoman"/>
          <w:sz w:val="24"/>
          <w:szCs w:val="24"/>
          <w:lang w:eastAsia="en-US"/>
        </w:rPr>
        <w:t xml:space="preserve">ukupnih novčanih </w:t>
      </w:r>
      <w:r w:rsidR="006119BE">
        <w:rPr>
          <w:rFonts w:asciiTheme="minorHAnsi" w:eastAsiaTheme="minorHAnsi" w:hAnsiTheme="minorHAnsi" w:cs="TimesNewRoman"/>
          <w:sz w:val="24"/>
          <w:szCs w:val="24"/>
          <w:lang w:eastAsia="en-US"/>
        </w:rPr>
        <w:t xml:space="preserve">izdataka </w:t>
      </w:r>
      <w:r w:rsidR="00EE2723">
        <w:rPr>
          <w:rFonts w:asciiTheme="minorHAnsi" w:eastAsiaTheme="minorHAnsi" w:hAnsiTheme="minorHAnsi" w:cs="TimesNewRoman"/>
          <w:sz w:val="24"/>
          <w:szCs w:val="24"/>
          <w:lang w:eastAsia="en-US"/>
        </w:rPr>
        <w:t>(novčan</w:t>
      </w:r>
      <w:r w:rsidR="00FE5570">
        <w:rPr>
          <w:rFonts w:asciiTheme="minorHAnsi" w:eastAsiaTheme="minorHAnsi" w:hAnsiTheme="minorHAnsi" w:cs="TimesNewRoman"/>
          <w:sz w:val="24"/>
          <w:szCs w:val="24"/>
          <w:lang w:eastAsia="en-US"/>
        </w:rPr>
        <w:t>i</w:t>
      </w:r>
      <w:r w:rsidR="00EE2723">
        <w:rPr>
          <w:rFonts w:asciiTheme="minorHAnsi" w:eastAsiaTheme="minorHAnsi" w:hAnsiTheme="minorHAnsi" w:cs="TimesNewRoman"/>
          <w:sz w:val="24"/>
          <w:szCs w:val="24"/>
          <w:lang w:eastAsia="en-US"/>
        </w:rPr>
        <w:t>h odljeva)</w:t>
      </w:r>
      <w:r w:rsidR="00196695">
        <w:rPr>
          <w:rFonts w:asciiTheme="minorHAnsi" w:eastAsiaTheme="minorHAnsi" w:hAnsiTheme="minorHAnsi" w:cs="TimesNewRoman"/>
          <w:sz w:val="24"/>
          <w:szCs w:val="24"/>
          <w:lang w:eastAsia="en-US"/>
        </w:rPr>
        <w:t xml:space="preserve"> </w:t>
      </w:r>
      <w:r w:rsidR="006119BE">
        <w:rPr>
          <w:rFonts w:asciiTheme="minorHAnsi" w:eastAsiaTheme="minorHAnsi" w:hAnsiTheme="minorHAnsi" w:cs="TimesNewRoman"/>
          <w:sz w:val="24"/>
          <w:szCs w:val="24"/>
          <w:lang w:eastAsia="en-US"/>
        </w:rPr>
        <w:t xml:space="preserve">predstavlja </w:t>
      </w:r>
      <w:r w:rsidR="006119BE" w:rsidRPr="00585518">
        <w:rPr>
          <w:rFonts w:asciiTheme="minorHAnsi" w:eastAsiaTheme="minorHAnsi" w:hAnsiTheme="minorHAnsi" w:cs="TimesNewRoman"/>
          <w:color w:val="C00000"/>
          <w:sz w:val="24"/>
          <w:szCs w:val="24"/>
          <w:lang w:eastAsia="en-US"/>
        </w:rPr>
        <w:t>novčani tok</w:t>
      </w:r>
      <w:r w:rsidR="006119BE">
        <w:rPr>
          <w:rFonts w:asciiTheme="minorHAnsi" w:eastAsiaTheme="minorHAnsi" w:hAnsiTheme="minorHAnsi" w:cs="TimesNewRoman"/>
          <w:sz w:val="24"/>
          <w:szCs w:val="24"/>
          <w:lang w:eastAsia="en-US"/>
        </w:rPr>
        <w:t xml:space="preserve">, a upravo to je </w:t>
      </w:r>
      <w:r w:rsidR="006119BE" w:rsidRPr="00C17BD3">
        <w:rPr>
          <w:rFonts w:asciiTheme="minorHAnsi" w:eastAsiaTheme="minorHAnsi" w:hAnsiTheme="minorHAnsi" w:cs="TimesNewRoman"/>
          <w:color w:val="C00000"/>
          <w:sz w:val="24"/>
          <w:szCs w:val="24"/>
          <w:lang w:eastAsia="en-US"/>
        </w:rPr>
        <w:t>jedna od najvažnijih stavki osobnih financija kojom treba upravljati</w:t>
      </w:r>
      <w:r w:rsidR="00EE2723">
        <w:rPr>
          <w:rFonts w:asciiTheme="minorHAnsi" w:eastAsiaTheme="minorHAnsi" w:hAnsiTheme="minorHAnsi" w:cs="TimesNewRoman"/>
          <w:sz w:val="24"/>
          <w:szCs w:val="24"/>
          <w:lang w:eastAsia="en-US"/>
        </w:rPr>
        <w:t xml:space="preserve"> - vodeći računa </w:t>
      </w:r>
      <w:r w:rsidR="00A132D7">
        <w:rPr>
          <w:rFonts w:asciiTheme="minorHAnsi" w:eastAsiaTheme="minorHAnsi" w:hAnsiTheme="minorHAnsi" w:cs="TimesNewRoman"/>
          <w:sz w:val="24"/>
          <w:szCs w:val="24"/>
          <w:lang w:eastAsia="en-US"/>
        </w:rPr>
        <w:t xml:space="preserve">realnoj procjeni primitaka i izdataka, kao i </w:t>
      </w:r>
      <w:r w:rsidR="00EE2723">
        <w:rPr>
          <w:rFonts w:asciiTheme="minorHAnsi" w:eastAsiaTheme="minorHAnsi" w:hAnsiTheme="minorHAnsi" w:cs="TimesNewRoman"/>
          <w:sz w:val="24"/>
          <w:szCs w:val="24"/>
          <w:lang w:eastAsia="en-US"/>
        </w:rPr>
        <w:t>o datumima priljeva pri</w:t>
      </w:r>
      <w:r w:rsidR="006119BE">
        <w:rPr>
          <w:rFonts w:asciiTheme="minorHAnsi" w:eastAsiaTheme="minorHAnsi" w:hAnsiTheme="minorHAnsi" w:cs="TimesNewRoman"/>
          <w:sz w:val="24"/>
          <w:szCs w:val="24"/>
          <w:lang w:eastAsia="en-US"/>
        </w:rPr>
        <w:t>mitaka</w:t>
      </w:r>
      <w:r w:rsidR="00FD03A9">
        <w:rPr>
          <w:rFonts w:asciiTheme="minorHAnsi" w:eastAsiaTheme="minorHAnsi" w:hAnsiTheme="minorHAnsi" w:cs="TimesNewRoman"/>
          <w:sz w:val="24"/>
          <w:szCs w:val="24"/>
          <w:lang w:eastAsia="en-US"/>
        </w:rPr>
        <w:t xml:space="preserve"> te njihovoj dostatnosti s obzirom na iznose i </w:t>
      </w:r>
      <w:r w:rsidR="006119BE">
        <w:rPr>
          <w:rFonts w:asciiTheme="minorHAnsi" w:eastAsiaTheme="minorHAnsi" w:hAnsiTheme="minorHAnsi" w:cs="TimesNewRoman"/>
          <w:sz w:val="24"/>
          <w:szCs w:val="24"/>
          <w:lang w:eastAsia="en-US"/>
        </w:rPr>
        <w:t>rokov</w:t>
      </w:r>
      <w:r w:rsidR="00FD03A9">
        <w:rPr>
          <w:rFonts w:asciiTheme="minorHAnsi" w:eastAsiaTheme="minorHAnsi" w:hAnsiTheme="minorHAnsi" w:cs="TimesNewRoman"/>
          <w:sz w:val="24"/>
          <w:szCs w:val="24"/>
          <w:lang w:eastAsia="en-US"/>
        </w:rPr>
        <w:t>e</w:t>
      </w:r>
      <w:r w:rsidR="006119BE">
        <w:rPr>
          <w:rFonts w:asciiTheme="minorHAnsi" w:eastAsiaTheme="minorHAnsi" w:hAnsiTheme="minorHAnsi" w:cs="TimesNewRoman"/>
          <w:sz w:val="24"/>
          <w:szCs w:val="24"/>
          <w:lang w:eastAsia="en-US"/>
        </w:rPr>
        <w:t xml:space="preserve"> </w:t>
      </w:r>
      <w:r w:rsidR="00EE2723">
        <w:rPr>
          <w:rFonts w:asciiTheme="minorHAnsi" w:eastAsiaTheme="minorHAnsi" w:hAnsiTheme="minorHAnsi" w:cs="TimesNewRoman"/>
          <w:sz w:val="24"/>
          <w:szCs w:val="24"/>
          <w:lang w:eastAsia="en-US"/>
        </w:rPr>
        <w:t xml:space="preserve">izvršenja izdataka, npr. rokova dospijeća </w:t>
      </w:r>
      <w:r w:rsidR="006119BE">
        <w:rPr>
          <w:rFonts w:asciiTheme="minorHAnsi" w:eastAsiaTheme="minorHAnsi" w:hAnsiTheme="minorHAnsi" w:cs="TimesNewRoman"/>
          <w:sz w:val="24"/>
          <w:szCs w:val="24"/>
          <w:lang w:eastAsia="en-US"/>
        </w:rPr>
        <w:t xml:space="preserve">plaćanja računa za potrošnju struje, plina, telefonskih usluga, datumu dospijeća troškova po kreditnim karticama, </w:t>
      </w:r>
      <w:r w:rsidR="003E1CA3">
        <w:rPr>
          <w:rFonts w:asciiTheme="minorHAnsi" w:eastAsiaTheme="minorHAnsi" w:hAnsiTheme="minorHAnsi" w:cs="TimesNewRoman"/>
          <w:sz w:val="24"/>
          <w:szCs w:val="24"/>
          <w:lang w:eastAsia="en-US"/>
        </w:rPr>
        <w:t xml:space="preserve">datumu kada će se izvršiti trajni nalog po tekućem računu za </w:t>
      </w:r>
      <w:r w:rsidR="006119BE">
        <w:rPr>
          <w:rFonts w:asciiTheme="minorHAnsi" w:eastAsiaTheme="minorHAnsi" w:hAnsiTheme="minorHAnsi" w:cs="TimesNewRoman"/>
          <w:sz w:val="24"/>
          <w:szCs w:val="24"/>
          <w:lang w:eastAsia="en-US"/>
        </w:rPr>
        <w:t>otplat</w:t>
      </w:r>
      <w:r w:rsidR="003E1CA3">
        <w:rPr>
          <w:rFonts w:asciiTheme="minorHAnsi" w:eastAsiaTheme="minorHAnsi" w:hAnsiTheme="minorHAnsi" w:cs="TimesNewRoman"/>
          <w:sz w:val="24"/>
          <w:szCs w:val="24"/>
          <w:lang w:eastAsia="en-US"/>
        </w:rPr>
        <w:t>u</w:t>
      </w:r>
      <w:r w:rsidR="006119BE">
        <w:rPr>
          <w:rFonts w:asciiTheme="minorHAnsi" w:eastAsiaTheme="minorHAnsi" w:hAnsiTheme="minorHAnsi" w:cs="TimesNewRoman"/>
          <w:sz w:val="24"/>
          <w:szCs w:val="24"/>
          <w:lang w:eastAsia="en-US"/>
        </w:rPr>
        <w:t xml:space="preserve"> </w:t>
      </w:r>
      <w:r w:rsidR="003E1CA3">
        <w:rPr>
          <w:rFonts w:asciiTheme="minorHAnsi" w:eastAsiaTheme="minorHAnsi" w:hAnsiTheme="minorHAnsi" w:cs="TimesNewRoman"/>
          <w:sz w:val="24"/>
          <w:szCs w:val="24"/>
          <w:lang w:eastAsia="en-US"/>
        </w:rPr>
        <w:t xml:space="preserve">stambenog ili auto </w:t>
      </w:r>
      <w:r w:rsidR="006119BE">
        <w:rPr>
          <w:rFonts w:asciiTheme="minorHAnsi" w:eastAsiaTheme="minorHAnsi" w:hAnsiTheme="minorHAnsi" w:cs="TimesNewRoman"/>
          <w:sz w:val="24"/>
          <w:szCs w:val="24"/>
          <w:lang w:eastAsia="en-US"/>
        </w:rPr>
        <w:t>kredita</w:t>
      </w:r>
      <w:r w:rsidR="00B8618A">
        <w:rPr>
          <w:rFonts w:asciiTheme="minorHAnsi" w:eastAsiaTheme="minorHAnsi" w:hAnsiTheme="minorHAnsi" w:cs="TimesNewRoman"/>
          <w:sz w:val="24"/>
          <w:szCs w:val="24"/>
          <w:lang w:eastAsia="en-US"/>
        </w:rPr>
        <w:t xml:space="preserve"> (vodeći brigu da se pravovremeno osiguraju sredstva na tekućem računu za tu namjenu) </w:t>
      </w:r>
      <w:r w:rsidR="006119BE">
        <w:rPr>
          <w:rFonts w:asciiTheme="minorHAnsi" w:eastAsiaTheme="minorHAnsi" w:hAnsiTheme="minorHAnsi" w:cs="TimesNewRoman"/>
          <w:sz w:val="24"/>
          <w:szCs w:val="24"/>
          <w:lang w:eastAsia="en-US"/>
        </w:rPr>
        <w:t xml:space="preserve">itd. </w:t>
      </w:r>
      <w:r w:rsidR="003E1CA3">
        <w:rPr>
          <w:rFonts w:asciiTheme="minorHAnsi" w:eastAsiaTheme="minorHAnsi" w:hAnsiTheme="minorHAnsi" w:cs="TimesNewRoman"/>
          <w:sz w:val="24"/>
          <w:szCs w:val="24"/>
          <w:lang w:eastAsia="en-US"/>
        </w:rPr>
        <w:t xml:space="preserve">U protivnom </w:t>
      </w:r>
      <w:r w:rsidR="00FD03A9" w:rsidRPr="00C17BD3">
        <w:rPr>
          <w:rFonts w:asciiTheme="minorHAnsi" w:eastAsiaTheme="minorHAnsi" w:hAnsiTheme="minorHAnsi" w:cs="TimesNewRoman"/>
          <w:color w:val="C00000"/>
          <w:sz w:val="24"/>
          <w:szCs w:val="24"/>
          <w:lang w:eastAsia="en-US"/>
        </w:rPr>
        <w:t xml:space="preserve">zanemarivanja načela likvidnosti i </w:t>
      </w:r>
      <w:r w:rsidR="003E1CA3" w:rsidRPr="00C17BD3">
        <w:rPr>
          <w:rFonts w:asciiTheme="minorHAnsi" w:eastAsiaTheme="minorHAnsi" w:hAnsiTheme="minorHAnsi" w:cs="TimesNewRoman"/>
          <w:color w:val="C00000"/>
          <w:sz w:val="24"/>
          <w:szCs w:val="24"/>
          <w:lang w:eastAsia="en-US"/>
        </w:rPr>
        <w:t xml:space="preserve">kašnjenja u plaćanjima mogu uzrokovati dodatne </w:t>
      </w:r>
      <w:r w:rsidR="00FD03A9" w:rsidRPr="00C17BD3">
        <w:rPr>
          <w:rFonts w:asciiTheme="minorHAnsi" w:eastAsiaTheme="minorHAnsi" w:hAnsiTheme="minorHAnsi" w:cs="TimesNewRoman"/>
          <w:color w:val="C00000"/>
          <w:sz w:val="24"/>
          <w:szCs w:val="24"/>
          <w:lang w:eastAsia="en-US"/>
        </w:rPr>
        <w:t xml:space="preserve">(i izvanredne) </w:t>
      </w:r>
      <w:r w:rsidR="00B8618A" w:rsidRPr="00C17BD3">
        <w:rPr>
          <w:rFonts w:asciiTheme="minorHAnsi" w:eastAsiaTheme="minorHAnsi" w:hAnsiTheme="minorHAnsi" w:cs="TimesNewRoman"/>
          <w:color w:val="C00000"/>
          <w:sz w:val="24"/>
          <w:szCs w:val="24"/>
          <w:lang w:eastAsia="en-US"/>
        </w:rPr>
        <w:t xml:space="preserve">rashode </w:t>
      </w:r>
      <w:r w:rsidR="006119BE" w:rsidRPr="00C17BD3">
        <w:rPr>
          <w:rFonts w:asciiTheme="minorHAnsi" w:eastAsiaTheme="minorHAnsi" w:hAnsiTheme="minorHAnsi" w:cs="TimesNewRoman"/>
          <w:color w:val="C00000"/>
          <w:sz w:val="24"/>
          <w:szCs w:val="24"/>
          <w:lang w:eastAsia="en-US"/>
        </w:rPr>
        <w:t>z</w:t>
      </w:r>
      <w:r w:rsidR="003E1CA3" w:rsidRPr="00C17BD3">
        <w:rPr>
          <w:rFonts w:asciiTheme="minorHAnsi" w:eastAsiaTheme="minorHAnsi" w:hAnsiTheme="minorHAnsi" w:cs="TimesNewRoman"/>
          <w:color w:val="C00000"/>
          <w:sz w:val="24"/>
          <w:szCs w:val="24"/>
          <w:lang w:eastAsia="en-US"/>
        </w:rPr>
        <w:t>ateznih</w:t>
      </w:r>
      <w:r w:rsidR="006119BE" w:rsidRPr="00C17BD3">
        <w:rPr>
          <w:rFonts w:asciiTheme="minorHAnsi" w:eastAsiaTheme="minorHAnsi" w:hAnsiTheme="minorHAnsi" w:cs="TimesNewRoman"/>
          <w:color w:val="C00000"/>
          <w:sz w:val="24"/>
          <w:szCs w:val="24"/>
          <w:lang w:eastAsia="en-US"/>
        </w:rPr>
        <w:t xml:space="preserve"> ka</w:t>
      </w:r>
      <w:r w:rsidR="003E1CA3" w:rsidRPr="00C17BD3">
        <w:rPr>
          <w:rFonts w:asciiTheme="minorHAnsi" w:eastAsiaTheme="minorHAnsi" w:hAnsiTheme="minorHAnsi" w:cs="TimesNewRoman"/>
          <w:color w:val="C00000"/>
          <w:sz w:val="24"/>
          <w:szCs w:val="24"/>
          <w:lang w:eastAsia="en-US"/>
        </w:rPr>
        <w:t>mata</w:t>
      </w:r>
      <w:r w:rsidR="003E1CA3">
        <w:rPr>
          <w:rFonts w:asciiTheme="minorHAnsi" w:eastAsiaTheme="minorHAnsi" w:hAnsiTheme="minorHAnsi" w:cs="TimesNewRoman"/>
          <w:sz w:val="24"/>
          <w:szCs w:val="24"/>
          <w:lang w:eastAsia="en-US"/>
        </w:rPr>
        <w:t xml:space="preserve">, a uz dugotrajno nepodmirivanje dospjelih obveza </w:t>
      </w:r>
      <w:r w:rsidR="00B8618A">
        <w:rPr>
          <w:rFonts w:asciiTheme="minorHAnsi" w:eastAsiaTheme="minorHAnsi" w:hAnsiTheme="minorHAnsi" w:cs="TimesNewRoman"/>
          <w:sz w:val="24"/>
          <w:szCs w:val="24"/>
          <w:lang w:eastAsia="en-US"/>
        </w:rPr>
        <w:t>mo</w:t>
      </w:r>
      <w:r w:rsidR="0040501F">
        <w:rPr>
          <w:rFonts w:asciiTheme="minorHAnsi" w:eastAsiaTheme="minorHAnsi" w:hAnsiTheme="minorHAnsi" w:cs="TimesNewRoman"/>
          <w:sz w:val="24"/>
          <w:szCs w:val="24"/>
          <w:lang w:eastAsia="en-US"/>
        </w:rPr>
        <w:t>že</w:t>
      </w:r>
      <w:r w:rsidR="00B8618A">
        <w:rPr>
          <w:rFonts w:asciiTheme="minorHAnsi" w:eastAsiaTheme="minorHAnsi" w:hAnsiTheme="minorHAnsi" w:cs="TimesNewRoman"/>
          <w:sz w:val="24"/>
          <w:szCs w:val="24"/>
          <w:lang w:eastAsia="en-US"/>
        </w:rPr>
        <w:t xml:space="preserve"> </w:t>
      </w:r>
      <w:r w:rsidR="003E1CA3">
        <w:rPr>
          <w:rFonts w:asciiTheme="minorHAnsi" w:eastAsiaTheme="minorHAnsi" w:hAnsiTheme="minorHAnsi" w:cs="TimesNewRoman"/>
          <w:sz w:val="24"/>
          <w:szCs w:val="24"/>
          <w:lang w:eastAsia="en-US"/>
        </w:rPr>
        <w:t>završiti postupkom ovrhe i pljenidbom sredstava po bankovnim računima</w:t>
      </w:r>
      <w:r w:rsidR="00C92473">
        <w:rPr>
          <w:rFonts w:asciiTheme="minorHAnsi" w:eastAsiaTheme="minorHAnsi" w:hAnsiTheme="minorHAnsi" w:cs="TimesNewRoman"/>
          <w:sz w:val="24"/>
          <w:szCs w:val="24"/>
          <w:lang w:eastAsia="en-US"/>
        </w:rPr>
        <w:t xml:space="preserve">. </w:t>
      </w:r>
      <w:r w:rsidR="003E1CA3">
        <w:rPr>
          <w:rFonts w:asciiTheme="minorHAnsi" w:eastAsiaTheme="minorHAnsi" w:hAnsiTheme="minorHAnsi" w:cs="TimesNewRoman"/>
          <w:sz w:val="24"/>
          <w:szCs w:val="24"/>
          <w:lang w:eastAsia="en-US"/>
        </w:rPr>
        <w:t xml:space="preserve">Upravljanje osobnim financijama stoga je </w:t>
      </w:r>
      <w:r w:rsidR="003E1CA3" w:rsidRPr="002211FD">
        <w:rPr>
          <w:rFonts w:asciiTheme="minorHAnsi" w:eastAsiaTheme="minorHAnsi" w:hAnsiTheme="minorHAnsi" w:cs="TimesNewRoman"/>
          <w:color w:val="C00000"/>
          <w:sz w:val="24"/>
          <w:szCs w:val="24"/>
          <w:lang w:eastAsia="en-US"/>
        </w:rPr>
        <w:t>dinamički proces koji se odvija u vremenu</w:t>
      </w:r>
      <w:r w:rsidR="003E1CA3">
        <w:rPr>
          <w:rFonts w:asciiTheme="minorHAnsi" w:eastAsiaTheme="minorHAnsi" w:hAnsiTheme="minorHAnsi" w:cs="TimesNewRoman"/>
          <w:sz w:val="24"/>
          <w:szCs w:val="24"/>
          <w:lang w:eastAsia="en-US"/>
        </w:rPr>
        <w:t xml:space="preserve">, kako na razini mjeseca i godine </w:t>
      </w:r>
      <w:r w:rsidR="00B8618A">
        <w:rPr>
          <w:rFonts w:asciiTheme="minorHAnsi" w:eastAsiaTheme="minorHAnsi" w:hAnsiTheme="minorHAnsi" w:cs="TimesNewRoman"/>
          <w:sz w:val="24"/>
          <w:szCs w:val="24"/>
          <w:lang w:eastAsia="en-US"/>
        </w:rPr>
        <w:t>kroz financijski plan i izvršenje budžeta (odnosno</w:t>
      </w:r>
      <w:r w:rsidR="003E1CA3">
        <w:rPr>
          <w:rFonts w:asciiTheme="minorHAnsi" w:eastAsiaTheme="minorHAnsi" w:hAnsiTheme="minorHAnsi" w:cs="TimesNewRoman"/>
          <w:sz w:val="24"/>
          <w:szCs w:val="24"/>
          <w:lang w:eastAsia="en-US"/>
        </w:rPr>
        <w:t xml:space="preserve"> analizu očekivanih </w:t>
      </w:r>
      <w:r w:rsidR="00B8618A">
        <w:rPr>
          <w:rFonts w:asciiTheme="minorHAnsi" w:eastAsiaTheme="minorHAnsi" w:hAnsiTheme="minorHAnsi" w:cs="TimesNewRoman"/>
          <w:sz w:val="24"/>
          <w:szCs w:val="24"/>
          <w:lang w:eastAsia="en-US"/>
        </w:rPr>
        <w:t xml:space="preserve">ali i neočekivanih </w:t>
      </w:r>
      <w:r w:rsidR="00FD03A9">
        <w:rPr>
          <w:rFonts w:asciiTheme="minorHAnsi" w:eastAsiaTheme="minorHAnsi" w:hAnsiTheme="minorHAnsi" w:cs="TimesNewRoman"/>
          <w:sz w:val="24"/>
          <w:szCs w:val="24"/>
          <w:lang w:eastAsia="en-US"/>
        </w:rPr>
        <w:t>rashoda</w:t>
      </w:r>
      <w:r w:rsidR="003E1CA3">
        <w:rPr>
          <w:rFonts w:asciiTheme="minorHAnsi" w:eastAsiaTheme="minorHAnsi" w:hAnsiTheme="minorHAnsi" w:cs="TimesNewRoman"/>
          <w:sz w:val="24"/>
          <w:szCs w:val="24"/>
          <w:lang w:eastAsia="en-US"/>
        </w:rPr>
        <w:t xml:space="preserve"> i izdataka</w:t>
      </w:r>
      <w:r w:rsidR="00B8618A">
        <w:rPr>
          <w:rFonts w:asciiTheme="minorHAnsi" w:eastAsiaTheme="minorHAnsi" w:hAnsiTheme="minorHAnsi" w:cs="TimesNewRoman"/>
          <w:sz w:val="24"/>
          <w:szCs w:val="24"/>
          <w:lang w:eastAsia="en-US"/>
        </w:rPr>
        <w:t>)</w:t>
      </w:r>
      <w:r w:rsidR="003E1CA3">
        <w:rPr>
          <w:rFonts w:asciiTheme="minorHAnsi" w:eastAsiaTheme="minorHAnsi" w:hAnsiTheme="minorHAnsi" w:cs="TimesNewRoman"/>
          <w:sz w:val="24"/>
          <w:szCs w:val="24"/>
          <w:lang w:eastAsia="en-US"/>
        </w:rPr>
        <w:t xml:space="preserve">, tako za i na dnevnoj razini </w:t>
      </w:r>
      <w:r w:rsidR="003E1CA3" w:rsidRPr="00C17BD3">
        <w:rPr>
          <w:rFonts w:asciiTheme="minorHAnsi" w:eastAsiaTheme="minorHAnsi" w:hAnsiTheme="minorHAnsi" w:cs="TimesNewRoman"/>
          <w:color w:val="C00000"/>
          <w:sz w:val="24"/>
          <w:szCs w:val="24"/>
          <w:lang w:eastAsia="en-US"/>
        </w:rPr>
        <w:t>radi optimalnog upravljanja likvidnošću i novčanim tokom</w:t>
      </w:r>
      <w:r w:rsidR="00B8618A">
        <w:rPr>
          <w:rFonts w:asciiTheme="minorHAnsi" w:eastAsiaTheme="minorHAnsi" w:hAnsiTheme="minorHAnsi" w:cs="TimesNewRoman"/>
          <w:sz w:val="24"/>
          <w:szCs w:val="24"/>
          <w:lang w:eastAsia="en-US"/>
        </w:rPr>
        <w:t>.</w:t>
      </w:r>
      <w:r w:rsidR="003E1CA3">
        <w:rPr>
          <w:rFonts w:asciiTheme="minorHAnsi" w:eastAsiaTheme="minorHAnsi" w:hAnsiTheme="minorHAnsi" w:cs="TimesNewRoman"/>
          <w:sz w:val="24"/>
          <w:szCs w:val="24"/>
          <w:lang w:eastAsia="en-US"/>
        </w:rPr>
        <w:t xml:space="preserve"> </w:t>
      </w:r>
    </w:p>
    <w:tbl>
      <w:tblPr>
        <w:tblStyle w:val="Reetkatablice"/>
        <w:tblW w:w="0" w:type="auto"/>
        <w:tblInd w:w="108" w:type="dxa"/>
        <w:tblLook w:val="04A0" w:firstRow="1" w:lastRow="0" w:firstColumn="1" w:lastColumn="0" w:noHBand="0" w:noVBand="1"/>
      </w:tblPr>
      <w:tblGrid>
        <w:gridCol w:w="9180"/>
      </w:tblGrid>
      <w:tr w:rsidR="00F95669" w:rsidTr="00C17BD3">
        <w:tc>
          <w:tcPr>
            <w:tcW w:w="9180" w:type="dxa"/>
          </w:tcPr>
          <w:p w:rsidR="00F95669" w:rsidRDefault="00F95669" w:rsidP="00F95669">
            <w:pPr>
              <w:pStyle w:val="Tekstfusnote"/>
              <w:spacing w:before="240" w:after="200" w:line="276" w:lineRule="auto"/>
              <w:jc w:val="both"/>
              <w:rPr>
                <w:rFonts w:asciiTheme="minorHAnsi" w:eastAsiaTheme="minorHAnsi" w:hAnsiTheme="minorHAnsi" w:cs="TimesNewRoman"/>
                <w:sz w:val="24"/>
                <w:szCs w:val="24"/>
                <w:lang w:eastAsia="en-US"/>
              </w:rPr>
            </w:pPr>
            <w:r>
              <w:object w:dxaOrig="13455" w:dyaOrig="5925">
                <v:shape id="_x0000_i1030" type="#_x0000_t75" style="width:453.75pt;height:199.5pt" o:ole="">
                  <v:imagedata r:id="rId46" o:title=""/>
                </v:shape>
                <o:OLEObject Type="Embed" ProgID="PBrush" ShapeID="_x0000_i1030" DrawAspect="Content" ObjectID="_1505681358" r:id="rId47"/>
              </w:object>
            </w:r>
          </w:p>
        </w:tc>
      </w:tr>
    </w:tbl>
    <w:p w:rsidR="009B3618" w:rsidRDefault="00772AAF" w:rsidP="001110D8">
      <w:pPr>
        <w:pStyle w:val="Tekstfusnote"/>
        <w:spacing w:before="240" w:after="200" w:line="276" w:lineRule="auto"/>
        <w:jc w:val="both"/>
        <w:rPr>
          <w:rFonts w:asciiTheme="minorHAnsi" w:eastAsiaTheme="minorHAnsi" w:hAnsiTheme="minorHAnsi" w:cs="TimesNewRoman"/>
          <w:sz w:val="24"/>
          <w:szCs w:val="24"/>
          <w:lang w:eastAsia="en-US"/>
        </w:rPr>
      </w:pPr>
      <w:r>
        <w:rPr>
          <w:rFonts w:asciiTheme="minorHAnsi" w:eastAsiaTheme="minorHAnsi" w:hAnsiTheme="minorHAnsi" w:cs="TimesNewRoman"/>
          <w:sz w:val="24"/>
          <w:szCs w:val="24"/>
          <w:lang w:eastAsia="en-US"/>
        </w:rPr>
        <w:t xml:space="preserve">S aspekta teorije koja izučava financijsko planiranje </w:t>
      </w:r>
      <w:r w:rsidR="00F95669">
        <w:rPr>
          <w:rFonts w:asciiTheme="minorHAnsi" w:eastAsiaTheme="minorHAnsi" w:hAnsiTheme="minorHAnsi" w:cs="TimesNewRoman"/>
          <w:sz w:val="24"/>
          <w:szCs w:val="24"/>
          <w:lang w:eastAsia="en-US"/>
        </w:rPr>
        <w:t xml:space="preserve">i važnost analize novčanog toka </w:t>
      </w:r>
      <w:r>
        <w:rPr>
          <w:rFonts w:asciiTheme="minorHAnsi" w:eastAsiaTheme="minorHAnsi" w:hAnsiTheme="minorHAnsi" w:cs="TimesNewRoman"/>
          <w:sz w:val="24"/>
          <w:szCs w:val="24"/>
          <w:lang w:eastAsia="en-US"/>
        </w:rPr>
        <w:t>čest</w:t>
      </w:r>
      <w:r w:rsidR="00FD03A9">
        <w:rPr>
          <w:rFonts w:asciiTheme="minorHAnsi" w:eastAsiaTheme="minorHAnsi" w:hAnsiTheme="minorHAnsi" w:cs="TimesNewRoman"/>
          <w:sz w:val="24"/>
          <w:szCs w:val="24"/>
          <w:lang w:eastAsia="en-US"/>
        </w:rPr>
        <w:t>o</w:t>
      </w:r>
      <w:r>
        <w:rPr>
          <w:rFonts w:asciiTheme="minorHAnsi" w:eastAsiaTheme="minorHAnsi" w:hAnsiTheme="minorHAnsi" w:cs="TimesNewRoman"/>
          <w:sz w:val="24"/>
          <w:szCs w:val="24"/>
          <w:lang w:eastAsia="en-US"/>
        </w:rPr>
        <w:t xml:space="preserve"> se koristi pojam </w:t>
      </w:r>
      <w:r w:rsidRPr="00001A7D">
        <w:rPr>
          <w:rFonts w:asciiTheme="minorHAnsi" w:eastAsiaTheme="minorHAnsi" w:hAnsiTheme="minorHAnsi" w:cs="TimesNewRoman"/>
          <w:color w:val="C00000"/>
          <w:sz w:val="24"/>
          <w:szCs w:val="24"/>
          <w:lang w:eastAsia="en-US"/>
        </w:rPr>
        <w:t>novčani budžet ili novčani proračun</w:t>
      </w:r>
      <w:r>
        <w:rPr>
          <w:rFonts w:asciiTheme="minorHAnsi" w:eastAsiaTheme="minorHAnsi" w:hAnsiTheme="minorHAnsi" w:cs="TimesNewRoman"/>
          <w:sz w:val="24"/>
          <w:szCs w:val="24"/>
          <w:lang w:eastAsia="en-US"/>
        </w:rPr>
        <w:t xml:space="preserve"> kao plan novčanih primitaka i novčanih izdataka koji se očekuju u određenom budućem vremenskom razdoblju (sljedeći tjedan, mjesec, tromjesečje, polugodište ili godinu dana). S obzirom da je u financijama kućanstva zastupljeno načelo blagajne, pojam novčani budžet sadržajno se preklapa s pojmovima plan budućeg novčanog toka, odnosno </w:t>
      </w:r>
      <w:r w:rsidR="009B3618">
        <w:rPr>
          <w:rFonts w:asciiTheme="minorHAnsi" w:eastAsiaTheme="minorHAnsi" w:hAnsiTheme="minorHAnsi" w:cs="TimesNewRoman"/>
          <w:sz w:val="24"/>
          <w:szCs w:val="24"/>
          <w:lang w:eastAsia="en-US"/>
        </w:rPr>
        <w:t xml:space="preserve">definicijom </w:t>
      </w:r>
      <w:r>
        <w:rPr>
          <w:rFonts w:asciiTheme="minorHAnsi" w:eastAsiaTheme="minorHAnsi" w:hAnsiTheme="minorHAnsi" w:cs="TimesNewRoman"/>
          <w:sz w:val="24"/>
          <w:szCs w:val="24"/>
          <w:lang w:eastAsia="en-US"/>
        </w:rPr>
        <w:t>kućn</w:t>
      </w:r>
      <w:r w:rsidR="009B3618">
        <w:rPr>
          <w:rFonts w:asciiTheme="minorHAnsi" w:eastAsiaTheme="minorHAnsi" w:hAnsiTheme="minorHAnsi" w:cs="TimesNewRoman"/>
          <w:sz w:val="24"/>
          <w:szCs w:val="24"/>
          <w:lang w:eastAsia="en-US"/>
        </w:rPr>
        <w:t>og budžeta u širem smislu (uključujući sve primitke i izdatke).</w:t>
      </w:r>
    </w:p>
    <w:p w:rsidR="00C17BD3" w:rsidRDefault="009252D0" w:rsidP="001110D8">
      <w:pPr>
        <w:pStyle w:val="Tekstfusnote"/>
        <w:spacing w:before="240" w:after="200" w:line="276" w:lineRule="auto"/>
        <w:jc w:val="both"/>
        <w:rPr>
          <w:rFonts w:asciiTheme="minorHAnsi" w:eastAsiaTheme="minorHAnsi" w:hAnsiTheme="minorHAnsi" w:cs="TimesNewRoman"/>
          <w:sz w:val="24"/>
          <w:szCs w:val="24"/>
          <w:lang w:eastAsia="en-US"/>
        </w:rPr>
      </w:pPr>
      <w:r>
        <w:rPr>
          <w:rFonts w:asciiTheme="minorHAnsi" w:eastAsiaTheme="minorHAnsi" w:hAnsiTheme="minorHAnsi" w:cs="TimesNewRoman"/>
          <w:sz w:val="24"/>
          <w:szCs w:val="24"/>
          <w:lang w:eastAsia="en-US"/>
        </w:rPr>
        <w:t>Uz budžet</w:t>
      </w:r>
      <w:r w:rsidR="00B56F4C">
        <w:rPr>
          <w:rFonts w:asciiTheme="minorHAnsi" w:eastAsiaTheme="minorHAnsi" w:hAnsiTheme="minorHAnsi" w:cs="TimesNewRoman"/>
          <w:sz w:val="24"/>
          <w:szCs w:val="24"/>
          <w:lang w:eastAsia="en-US"/>
        </w:rPr>
        <w:t xml:space="preserve"> kućanstva</w:t>
      </w:r>
      <w:r w:rsidR="00F45EC7">
        <w:rPr>
          <w:rFonts w:asciiTheme="minorHAnsi" w:eastAsiaTheme="minorHAnsi" w:hAnsiTheme="minorHAnsi" w:cs="TimesNewRoman"/>
          <w:sz w:val="24"/>
          <w:szCs w:val="24"/>
          <w:lang w:eastAsia="en-US"/>
        </w:rPr>
        <w:t xml:space="preserve"> (odnosno novčani tok)</w:t>
      </w:r>
      <w:r>
        <w:rPr>
          <w:rFonts w:asciiTheme="minorHAnsi" w:eastAsiaTheme="minorHAnsi" w:hAnsiTheme="minorHAnsi" w:cs="TimesNewRoman"/>
          <w:sz w:val="24"/>
          <w:szCs w:val="24"/>
          <w:lang w:eastAsia="en-US"/>
        </w:rPr>
        <w:t xml:space="preserve"> vežu se dva pokazatelja napretka u osobnim financijama. To su koeficijent štednje i koeficijent otplate duga. </w:t>
      </w:r>
      <w:r w:rsidRPr="009252D0">
        <w:rPr>
          <w:rFonts w:asciiTheme="minorHAnsi" w:eastAsiaTheme="minorHAnsi" w:hAnsiTheme="minorHAnsi" w:cs="TimesNewRoman"/>
          <w:color w:val="C00000"/>
          <w:sz w:val="24"/>
          <w:szCs w:val="24"/>
          <w:lang w:eastAsia="en-US"/>
        </w:rPr>
        <w:t xml:space="preserve">Koeficijent štednje </w:t>
      </w:r>
      <w:r>
        <w:rPr>
          <w:rFonts w:asciiTheme="minorHAnsi" w:eastAsiaTheme="minorHAnsi" w:hAnsiTheme="minorHAnsi" w:cs="TimesNewRoman"/>
          <w:sz w:val="24"/>
          <w:szCs w:val="24"/>
          <w:lang w:eastAsia="en-US"/>
        </w:rPr>
        <w:t xml:space="preserve">jednak je omjeru ušteđenog iznosa tijekom određenog razdoblja u odnosu na neto plaću (prihode) istog razdoblja. Poželjno je da iznosi </w:t>
      </w:r>
      <w:r w:rsidR="00C17BD3">
        <w:rPr>
          <w:rFonts w:asciiTheme="minorHAnsi" w:eastAsiaTheme="minorHAnsi" w:hAnsiTheme="minorHAnsi" w:cs="TimesNewRoman"/>
          <w:sz w:val="24"/>
          <w:szCs w:val="24"/>
          <w:lang w:eastAsia="en-US"/>
        </w:rPr>
        <w:t>barem</w:t>
      </w:r>
      <w:r>
        <w:rPr>
          <w:rFonts w:asciiTheme="minorHAnsi" w:eastAsiaTheme="minorHAnsi" w:hAnsiTheme="minorHAnsi" w:cs="TimesNewRoman"/>
          <w:sz w:val="24"/>
          <w:szCs w:val="24"/>
          <w:lang w:eastAsia="en-US"/>
        </w:rPr>
        <w:t xml:space="preserve"> 0,1 odnosno 10%. </w:t>
      </w:r>
      <w:r w:rsidRPr="009252D0">
        <w:rPr>
          <w:rFonts w:asciiTheme="minorHAnsi" w:eastAsiaTheme="minorHAnsi" w:hAnsiTheme="minorHAnsi" w:cs="TimesNewRoman"/>
          <w:color w:val="C00000"/>
          <w:sz w:val="24"/>
          <w:szCs w:val="24"/>
          <w:lang w:eastAsia="en-US"/>
        </w:rPr>
        <w:t xml:space="preserve">Koeficijent otplate duga </w:t>
      </w:r>
      <w:r>
        <w:rPr>
          <w:rFonts w:asciiTheme="minorHAnsi" w:eastAsiaTheme="minorHAnsi" w:hAnsiTheme="minorHAnsi" w:cs="TimesNewRoman"/>
          <w:sz w:val="24"/>
          <w:szCs w:val="24"/>
          <w:lang w:eastAsia="en-US"/>
        </w:rPr>
        <w:lastRenderedPageBreak/>
        <w:t>jednak je omjeru mjesečnih izdataka za otplatu kredita i ukupnih prihoda u istom razdoblju. Poželjno je da iznosi manje od 0,2 odnosno manje od 20%</w:t>
      </w:r>
      <w:r w:rsidR="00F45EC7">
        <w:rPr>
          <w:rFonts w:asciiTheme="minorHAnsi" w:eastAsiaTheme="minorHAnsi" w:hAnsiTheme="minorHAnsi" w:cs="TimesNewRoman"/>
          <w:sz w:val="24"/>
          <w:szCs w:val="24"/>
          <w:lang w:eastAsia="en-US"/>
        </w:rPr>
        <w:t>.</w:t>
      </w:r>
      <w:r w:rsidR="00243C27">
        <w:rPr>
          <w:rStyle w:val="Referencafusnote"/>
          <w:rFonts w:asciiTheme="minorHAnsi" w:eastAsiaTheme="minorHAnsi" w:hAnsiTheme="minorHAnsi" w:cs="TimesNewRoman"/>
          <w:sz w:val="24"/>
          <w:szCs w:val="24"/>
          <w:lang w:eastAsia="en-US"/>
        </w:rPr>
        <w:footnoteReference w:id="41"/>
      </w:r>
    </w:p>
    <w:p w:rsidR="00740202" w:rsidRDefault="00740202" w:rsidP="001110D8">
      <w:pPr>
        <w:pStyle w:val="Tekstfusnote"/>
        <w:spacing w:before="240" w:after="200" w:line="276" w:lineRule="auto"/>
        <w:jc w:val="both"/>
        <w:rPr>
          <w:rFonts w:asciiTheme="minorHAnsi" w:eastAsiaTheme="minorHAnsi" w:hAnsiTheme="minorHAnsi" w:cs="TimesNewRoman"/>
          <w:sz w:val="24"/>
          <w:szCs w:val="24"/>
          <w:lang w:eastAsia="en-US"/>
        </w:rPr>
      </w:pPr>
      <w:r w:rsidRPr="00740202">
        <w:rPr>
          <w:rFonts w:asciiTheme="minorHAnsi" w:eastAsiaTheme="minorHAnsi" w:hAnsiTheme="minorHAnsi" w:cs="TimesNewRoman"/>
          <w:i/>
          <w:color w:val="C00000"/>
          <w:sz w:val="24"/>
          <w:szCs w:val="24"/>
          <w:lang w:eastAsia="en-US"/>
        </w:rPr>
        <w:t>Primjer:</w:t>
      </w:r>
      <w:r w:rsidRPr="00740202">
        <w:rPr>
          <w:rFonts w:asciiTheme="minorHAnsi" w:eastAsiaTheme="minorHAnsi" w:hAnsiTheme="minorHAnsi" w:cs="TimesNewRoman"/>
          <w:color w:val="C00000"/>
          <w:sz w:val="24"/>
          <w:szCs w:val="24"/>
          <w:lang w:eastAsia="en-US"/>
        </w:rPr>
        <w:t xml:space="preserve"> </w:t>
      </w:r>
      <w:r>
        <w:rPr>
          <w:rFonts w:asciiTheme="minorHAnsi" w:eastAsiaTheme="minorHAnsi" w:hAnsiTheme="minorHAnsi" w:cs="TimesNewRoman"/>
          <w:sz w:val="24"/>
          <w:szCs w:val="24"/>
          <w:lang w:eastAsia="en-US"/>
        </w:rPr>
        <w:t>Mjesečni novčani tok / budžet kućanstva (novčani proračun)</w:t>
      </w:r>
    </w:p>
    <w:tbl>
      <w:tblPr>
        <w:tblW w:w="8946" w:type="dxa"/>
        <w:tblCellMar>
          <w:left w:w="0" w:type="dxa"/>
          <w:right w:w="0" w:type="dxa"/>
        </w:tblCellMar>
        <w:tblLook w:val="04A0" w:firstRow="1" w:lastRow="0" w:firstColumn="1" w:lastColumn="0" w:noHBand="0" w:noVBand="1"/>
      </w:tblPr>
      <w:tblGrid>
        <w:gridCol w:w="4556"/>
        <w:gridCol w:w="1413"/>
        <w:gridCol w:w="1417"/>
        <w:gridCol w:w="1560"/>
      </w:tblGrid>
      <w:tr w:rsidR="00740202" w:rsidTr="0020068D">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 xml:space="preserve"> PRIHODI I PRIMICI KUĆANSTVA</w:t>
            </w:r>
          </w:p>
        </w:tc>
        <w:tc>
          <w:tcPr>
            <w:tcW w:w="1413"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PLANIRANO</w:t>
            </w:r>
          </w:p>
        </w:tc>
        <w:tc>
          <w:tcPr>
            <w:tcW w:w="1417"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OSTVARENO</w:t>
            </w:r>
          </w:p>
        </w:tc>
        <w:tc>
          <w:tcPr>
            <w:tcW w:w="1560"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RAZLIKA</w:t>
            </w:r>
            <w:r w:rsidR="0020068D">
              <w:rPr>
                <w:rFonts w:ascii="Calibri" w:hAnsi="Calibri"/>
                <w:b/>
                <w:bCs/>
                <w:color w:val="FFFFFF"/>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Plaća 1</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7.100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7.100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Plaća 2</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5.700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5.700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Honorarni posao</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1.200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Kamate na štednju</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60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Dividende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Prihodi od najma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Primljeni darovi</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color w:val="000000"/>
              </w:rPr>
            </w:pPr>
            <w:r>
              <w:rPr>
                <w:rFonts w:ascii="Calibri" w:hAnsi="Calibri"/>
                <w:color w:val="000000"/>
              </w:rPr>
              <w:t>(</w:t>
            </w:r>
            <w:r w:rsidR="00740202">
              <w:rPr>
                <w:rFonts w:ascii="Calibri" w:hAnsi="Calibri"/>
                <w:color w:val="000000"/>
              </w:rPr>
              <w:t>300</w:t>
            </w:r>
            <w:r>
              <w:rPr>
                <w:rFonts w:ascii="Calibri" w:hAnsi="Calibri"/>
                <w:color w:val="000000"/>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Prihodi od prodaje imovine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Transfer iz sredstava ranije kumulirane štednje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Ostalo</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Ukupno</w:t>
            </w:r>
          </w:p>
        </w:tc>
        <w:tc>
          <w:tcPr>
            <w:tcW w:w="1413" w:type="dxa"/>
            <w:tcBorders>
              <w:top w:val="nil"/>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15.850</w:t>
            </w:r>
          </w:p>
        </w:tc>
        <w:tc>
          <w:tcPr>
            <w:tcW w:w="1417" w:type="dxa"/>
            <w:tcBorders>
              <w:top w:val="nil"/>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15.260</w:t>
            </w:r>
          </w:p>
        </w:tc>
        <w:tc>
          <w:tcPr>
            <w:tcW w:w="1560" w:type="dxa"/>
            <w:tcBorders>
              <w:top w:val="nil"/>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20068D" w:rsidP="0020068D">
            <w:pPr>
              <w:spacing w:after="0" w:line="240" w:lineRule="auto"/>
              <w:jc w:val="right"/>
              <w:rPr>
                <w:rFonts w:ascii="Calibri" w:hAnsi="Calibri"/>
                <w:b/>
                <w:bCs/>
                <w:color w:val="FFFFFF"/>
              </w:rPr>
            </w:pPr>
            <w:r>
              <w:rPr>
                <w:rFonts w:ascii="Calibri" w:hAnsi="Calibri"/>
                <w:b/>
                <w:bCs/>
                <w:color w:val="FFFFFF"/>
              </w:rPr>
              <w:t>(</w:t>
            </w:r>
            <w:r w:rsidR="00740202">
              <w:rPr>
                <w:rFonts w:ascii="Calibri" w:hAnsi="Calibri"/>
                <w:b/>
                <w:bCs/>
                <w:color w:val="FFFFFF"/>
              </w:rPr>
              <w:t>590</w:t>
            </w:r>
            <w:r>
              <w:rPr>
                <w:rFonts w:ascii="Calibri" w:hAnsi="Calibri"/>
                <w:b/>
                <w:bCs/>
                <w:color w:val="FFFFFF"/>
              </w:rPr>
              <w:t>)</w:t>
            </w:r>
          </w:p>
        </w:tc>
      </w:tr>
      <w:tr w:rsidR="00740202" w:rsidTr="0020068D">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pPr>
              <w:rPr>
                <w:rFonts w:ascii="Calibri" w:hAnsi="Calibri"/>
                <w:color w:val="000000"/>
              </w:rPr>
            </w:pPr>
          </w:p>
        </w:tc>
        <w:tc>
          <w:tcPr>
            <w:tcW w:w="1413"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pPr>
              <w:rPr>
                <w:rFonts w:ascii="Calibri" w:hAnsi="Calibri"/>
                <w:color w:val="00000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pPr>
              <w:rPr>
                <w:rFonts w:ascii="Calibri" w:hAnsi="Calibri"/>
                <w:color w:val="000000"/>
              </w:rPr>
            </w:pPr>
          </w:p>
        </w:tc>
        <w:tc>
          <w:tcPr>
            <w:tcW w:w="1560"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pPr>
              <w:rPr>
                <w:rFonts w:ascii="Calibri" w:hAnsi="Calibri"/>
                <w:color w:val="000000"/>
              </w:rPr>
            </w:pPr>
          </w:p>
        </w:tc>
      </w:tr>
      <w:tr w:rsidR="00740202" w:rsidTr="0020068D">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UKUPNI RASHODI I IZDACI</w:t>
            </w:r>
          </w:p>
        </w:tc>
        <w:tc>
          <w:tcPr>
            <w:tcW w:w="1413" w:type="dxa"/>
            <w:tcBorders>
              <w:top w:val="single" w:sz="4" w:space="0" w:color="auto"/>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PLANIRANO</w:t>
            </w:r>
          </w:p>
        </w:tc>
        <w:tc>
          <w:tcPr>
            <w:tcW w:w="1417" w:type="dxa"/>
            <w:tcBorders>
              <w:top w:val="single" w:sz="4" w:space="0" w:color="auto"/>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OSTVARENO</w:t>
            </w:r>
          </w:p>
        </w:tc>
        <w:tc>
          <w:tcPr>
            <w:tcW w:w="1560" w:type="dxa"/>
            <w:tcBorders>
              <w:top w:val="single" w:sz="4" w:space="0" w:color="auto"/>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20068D">
            <w:pPr>
              <w:spacing w:after="0" w:line="240" w:lineRule="auto"/>
              <w:jc w:val="center"/>
              <w:rPr>
                <w:rFonts w:ascii="Calibri" w:hAnsi="Calibri"/>
                <w:b/>
                <w:bCs/>
                <w:color w:val="FFFFFF"/>
              </w:rPr>
            </w:pPr>
            <w:r>
              <w:rPr>
                <w:rFonts w:ascii="Calibri" w:hAnsi="Calibri"/>
                <w:b/>
                <w:bCs/>
                <w:color w:val="FFFFFF"/>
              </w:rPr>
              <w:t>RAZLIKA</w:t>
            </w:r>
            <w:r w:rsidR="0020068D">
              <w:rPr>
                <w:rFonts w:ascii="Calibri" w:hAnsi="Calibri"/>
                <w:b/>
                <w:bCs/>
                <w:color w:val="FFFFFF"/>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Otplata stambenog kredita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2.400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2.400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Otplata auto-kredita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Plaćeni troškovi po kreditnim karticama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Račun za potrošnju električne energije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310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330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color w:val="000000"/>
              </w:rPr>
            </w:pPr>
            <w:r>
              <w:rPr>
                <w:rFonts w:ascii="Calibri" w:hAnsi="Calibri"/>
                <w:color w:val="000000"/>
              </w:rPr>
              <w:t>(</w:t>
            </w:r>
            <w:r w:rsidR="00740202">
              <w:rPr>
                <w:rFonts w:ascii="Calibri" w:hAnsi="Calibri"/>
                <w:color w:val="000000"/>
              </w:rPr>
              <w:t>20</w:t>
            </w:r>
            <w:r>
              <w:rPr>
                <w:rFonts w:ascii="Calibri" w:hAnsi="Calibri"/>
                <w:color w:val="000000"/>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Račun za potrošnju plina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230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230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Račun za potrošnju vode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180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180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Telekomunikacijske usluge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280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280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Odvoz smeća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HRT pretplata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80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80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Troškovi vrtića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Mliječni obrok u školi</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120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120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Izdaci za hranu domaćinstva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7.150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6.950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200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Najam stana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Higijena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850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20068D">
            <w:pPr>
              <w:spacing w:after="0" w:line="240" w:lineRule="auto"/>
              <w:jc w:val="right"/>
              <w:rPr>
                <w:rFonts w:ascii="Calibri" w:hAnsi="Calibri"/>
                <w:color w:val="000000"/>
              </w:rPr>
            </w:pPr>
            <w:r>
              <w:rPr>
                <w:rFonts w:ascii="Calibri" w:hAnsi="Calibri"/>
                <w:color w:val="000000"/>
              </w:rPr>
              <w:t>50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Nabavka knjiga i bilježnica za školu</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90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Odjeća i obuća</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Rekreacija i sport</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Osobne potrebe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Kazne i pristojbe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Džeparac za starije djete</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 </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Ostalo</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200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50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Ukupno</w:t>
            </w:r>
          </w:p>
        </w:tc>
        <w:tc>
          <w:tcPr>
            <w:tcW w:w="1413" w:type="dxa"/>
            <w:tcBorders>
              <w:top w:val="nil"/>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14</w:t>
            </w:r>
            <w:r w:rsidR="0020068D">
              <w:rPr>
                <w:rFonts w:ascii="Calibri" w:hAnsi="Calibri"/>
                <w:b/>
                <w:bCs/>
                <w:color w:val="FFFFFF"/>
              </w:rPr>
              <w:t>.</w:t>
            </w:r>
            <w:r>
              <w:rPr>
                <w:rFonts w:ascii="Calibri" w:hAnsi="Calibri"/>
                <w:b/>
                <w:bCs/>
                <w:color w:val="FFFFFF"/>
              </w:rPr>
              <w:t>290</w:t>
            </w:r>
          </w:p>
        </w:tc>
        <w:tc>
          <w:tcPr>
            <w:tcW w:w="1417" w:type="dxa"/>
            <w:tcBorders>
              <w:top w:val="nil"/>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13</w:t>
            </w:r>
            <w:r w:rsidR="0020068D">
              <w:rPr>
                <w:rFonts w:ascii="Calibri" w:hAnsi="Calibri"/>
                <w:b/>
                <w:bCs/>
                <w:color w:val="FFFFFF"/>
              </w:rPr>
              <w:t>.</w:t>
            </w:r>
            <w:r>
              <w:rPr>
                <w:rFonts w:ascii="Calibri" w:hAnsi="Calibri"/>
                <w:b/>
                <w:bCs/>
                <w:color w:val="FFFFFF"/>
              </w:rPr>
              <w:t>960</w:t>
            </w:r>
          </w:p>
        </w:tc>
        <w:tc>
          <w:tcPr>
            <w:tcW w:w="1560" w:type="dxa"/>
            <w:tcBorders>
              <w:top w:val="nil"/>
              <w:left w:val="nil"/>
              <w:bottom w:val="single" w:sz="4" w:space="0" w:color="auto"/>
              <w:right w:val="single" w:sz="4" w:space="0" w:color="auto"/>
            </w:tcBorders>
            <w:shd w:val="clear" w:color="000000" w:fill="16365C"/>
            <w:noWrap/>
            <w:tcMar>
              <w:top w:w="15" w:type="dxa"/>
              <w:left w:w="15" w:type="dxa"/>
              <w:bottom w:w="0" w:type="dxa"/>
              <w:right w:w="15" w:type="dxa"/>
            </w:tcMar>
            <w:vAlign w:val="bottom"/>
            <w:hideMark/>
          </w:tcPr>
          <w:p w:rsidR="00740202" w:rsidRDefault="00740202" w:rsidP="0020068D">
            <w:pPr>
              <w:spacing w:after="0" w:line="240" w:lineRule="auto"/>
              <w:jc w:val="right"/>
              <w:rPr>
                <w:rFonts w:ascii="Calibri" w:hAnsi="Calibri"/>
                <w:b/>
                <w:bCs/>
                <w:color w:val="FFFFFF"/>
              </w:rPr>
            </w:pPr>
            <w:r>
              <w:rPr>
                <w:rFonts w:ascii="Calibri" w:hAnsi="Calibri"/>
                <w:b/>
                <w:bCs/>
                <w:color w:val="FFFFFF"/>
              </w:rPr>
              <w:t>330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lastRenderedPageBreak/>
              <w:t>MJESEČNI KRATAK PREGLED</w:t>
            </w:r>
          </w:p>
        </w:tc>
        <w:tc>
          <w:tcPr>
            <w:tcW w:w="1413"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PLANIRANO</w:t>
            </w:r>
          </w:p>
        </w:tc>
        <w:tc>
          <w:tcPr>
            <w:tcW w:w="1417"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OSTVARENO</w:t>
            </w:r>
          </w:p>
        </w:tc>
        <w:tc>
          <w:tcPr>
            <w:tcW w:w="1560"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RAZLIKA</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Ukupni primici</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15.850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15.260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color w:val="000000"/>
              </w:rPr>
            </w:pPr>
            <w:r>
              <w:rPr>
                <w:rFonts w:ascii="Calibri" w:hAnsi="Calibri"/>
                <w:color w:val="000000"/>
              </w:rPr>
              <w:t>(</w:t>
            </w:r>
            <w:r w:rsidR="00740202">
              <w:rPr>
                <w:rFonts w:ascii="Calibri" w:hAnsi="Calibri"/>
                <w:color w:val="000000"/>
              </w:rPr>
              <w:t>590</w:t>
            </w:r>
            <w:r>
              <w:rPr>
                <w:rFonts w:ascii="Calibri" w:hAnsi="Calibri"/>
                <w:color w:val="000000"/>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Ukupni izdaci</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14.290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13.960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330</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Neto novčani tok</w:t>
            </w:r>
          </w:p>
        </w:tc>
        <w:tc>
          <w:tcPr>
            <w:tcW w:w="1413"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w:t>
            </w:r>
            <w:r w:rsidR="0020068D">
              <w:rPr>
                <w:rFonts w:ascii="Calibri" w:hAnsi="Calibri"/>
                <w:b/>
                <w:bCs/>
                <w:color w:val="FFFFFF"/>
              </w:rPr>
              <w:t>.</w:t>
            </w:r>
            <w:r>
              <w:rPr>
                <w:rFonts w:ascii="Calibri" w:hAnsi="Calibri"/>
                <w:b/>
                <w:bCs/>
                <w:color w:val="FFFFFF"/>
              </w:rPr>
              <w:t>560</w:t>
            </w:r>
          </w:p>
        </w:tc>
        <w:tc>
          <w:tcPr>
            <w:tcW w:w="1417"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w:t>
            </w:r>
            <w:r w:rsidR="0020068D">
              <w:rPr>
                <w:rFonts w:ascii="Calibri" w:hAnsi="Calibri"/>
                <w:b/>
                <w:bCs/>
                <w:color w:val="FFFFFF"/>
              </w:rPr>
              <w:t>.</w:t>
            </w:r>
            <w:r>
              <w:rPr>
                <w:rFonts w:ascii="Calibri" w:hAnsi="Calibri"/>
                <w:b/>
                <w:bCs/>
                <w:color w:val="FFFFFF"/>
              </w:rPr>
              <w:t>300</w:t>
            </w:r>
          </w:p>
        </w:tc>
        <w:tc>
          <w:tcPr>
            <w:tcW w:w="1560" w:type="dxa"/>
            <w:tcBorders>
              <w:top w:val="nil"/>
              <w:left w:val="nil"/>
              <w:bottom w:val="single" w:sz="4" w:space="0" w:color="auto"/>
              <w:right w:val="single" w:sz="4" w:space="0" w:color="auto"/>
            </w:tcBorders>
            <w:shd w:val="clear" w:color="000000" w:fill="996600"/>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b/>
                <w:bCs/>
                <w:color w:val="FFFFFF"/>
              </w:rPr>
            </w:pPr>
            <w:r>
              <w:rPr>
                <w:rFonts w:ascii="Calibri" w:hAnsi="Calibri"/>
                <w:b/>
                <w:bCs/>
                <w:color w:val="FFFFFF"/>
              </w:rPr>
              <w:t>(</w:t>
            </w:r>
            <w:r w:rsidR="00740202">
              <w:rPr>
                <w:rFonts w:ascii="Calibri" w:hAnsi="Calibri"/>
                <w:b/>
                <w:bCs/>
                <w:color w:val="FFFFFF"/>
              </w:rPr>
              <w:t>260</w:t>
            </w:r>
            <w:r>
              <w:rPr>
                <w:rFonts w:ascii="Calibri" w:hAnsi="Calibri"/>
                <w:b/>
                <w:bCs/>
                <w:color w:val="FFFFFF"/>
              </w:rPr>
              <w:t>)</w:t>
            </w:r>
          </w:p>
        </w:tc>
      </w:tr>
      <w:tr w:rsidR="00740202" w:rsidTr="0020068D">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p>
        </w:tc>
        <w:tc>
          <w:tcPr>
            <w:tcW w:w="1413"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p>
        </w:tc>
        <w:tc>
          <w:tcPr>
            <w:tcW w:w="1417"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p>
        </w:tc>
        <w:tc>
          <w:tcPr>
            <w:tcW w:w="1560" w:type="dxa"/>
            <w:tcBorders>
              <w:top w:val="nil"/>
              <w:left w:val="nil"/>
              <w:bottom w:val="nil"/>
              <w:right w:val="nil"/>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p>
        </w:tc>
      </w:tr>
      <w:tr w:rsidR="00740202" w:rsidTr="0020068D">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b/>
                <w:bCs/>
                <w:color w:val="FFFFFF"/>
              </w:rPr>
            </w:pPr>
            <w:r>
              <w:rPr>
                <w:rFonts w:ascii="Calibri" w:hAnsi="Calibri"/>
                <w:b/>
                <w:bCs/>
                <w:color w:val="FFFFFF"/>
              </w:rPr>
              <w:t>Mogućnost štednje</w:t>
            </w:r>
          </w:p>
        </w:tc>
        <w:tc>
          <w:tcPr>
            <w:tcW w:w="1413"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1.560</w:t>
            </w:r>
          </w:p>
        </w:tc>
        <w:tc>
          <w:tcPr>
            <w:tcW w:w="1417"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b/>
                <w:bCs/>
                <w:color w:val="FFFFFF"/>
              </w:rPr>
            </w:pPr>
            <w:r>
              <w:rPr>
                <w:rFonts w:ascii="Calibri" w:hAnsi="Calibri"/>
                <w:b/>
                <w:bCs/>
                <w:color w:val="FFFFFF"/>
              </w:rPr>
              <w:t>1.300</w:t>
            </w:r>
          </w:p>
        </w:tc>
        <w:tc>
          <w:tcPr>
            <w:tcW w:w="1560" w:type="dxa"/>
            <w:tcBorders>
              <w:top w:val="single" w:sz="4" w:space="0" w:color="auto"/>
              <w:left w:val="nil"/>
              <w:bottom w:val="single" w:sz="4" w:space="0" w:color="auto"/>
              <w:right w:val="single" w:sz="4" w:space="0" w:color="auto"/>
            </w:tcBorders>
            <w:shd w:val="clear" w:color="000000" w:fill="00B050"/>
            <w:noWrap/>
            <w:tcMar>
              <w:top w:w="15" w:type="dxa"/>
              <w:left w:w="15" w:type="dxa"/>
              <w:bottom w:w="0" w:type="dxa"/>
              <w:right w:w="15" w:type="dxa"/>
            </w:tcMar>
            <w:vAlign w:val="bottom"/>
            <w:hideMark/>
          </w:tcPr>
          <w:p w:rsidR="00740202" w:rsidRDefault="0020068D" w:rsidP="00740202">
            <w:pPr>
              <w:spacing w:after="0" w:line="240" w:lineRule="auto"/>
              <w:jc w:val="right"/>
              <w:rPr>
                <w:rFonts w:ascii="Calibri" w:hAnsi="Calibri"/>
                <w:b/>
                <w:bCs/>
                <w:color w:val="FFFFFF"/>
              </w:rPr>
            </w:pPr>
            <w:r>
              <w:rPr>
                <w:rFonts w:ascii="Calibri" w:hAnsi="Calibri"/>
                <w:b/>
                <w:bCs/>
                <w:color w:val="FFFFFF"/>
              </w:rPr>
              <w:t>(</w:t>
            </w:r>
            <w:r w:rsidR="00740202">
              <w:rPr>
                <w:rFonts w:ascii="Calibri" w:hAnsi="Calibri"/>
                <w:b/>
                <w:bCs/>
                <w:color w:val="FFFFFF"/>
              </w:rPr>
              <w:t>260</w:t>
            </w:r>
            <w:r>
              <w:rPr>
                <w:rFonts w:ascii="Calibri" w:hAnsi="Calibri"/>
                <w:b/>
                <w:bCs/>
                <w:color w:val="FFFFFF"/>
              </w:rPr>
              <w:t>)</w:t>
            </w:r>
          </w:p>
        </w:tc>
      </w:tr>
      <w:tr w:rsidR="00740202" w:rsidTr="0020068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rPr>
                <w:rFonts w:ascii="Calibri" w:hAnsi="Calibri"/>
                <w:color w:val="000000"/>
              </w:rPr>
            </w:pPr>
            <w:r>
              <w:rPr>
                <w:rFonts w:ascii="Calibri" w:hAnsi="Calibri"/>
                <w:color w:val="000000"/>
              </w:rPr>
              <w:t>Potreba za zaduživanjem</w:t>
            </w:r>
          </w:p>
        </w:tc>
        <w:tc>
          <w:tcPr>
            <w:tcW w:w="14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0</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0</w:t>
            </w:r>
          </w:p>
        </w:tc>
        <w:tc>
          <w:tcPr>
            <w:tcW w:w="1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40202" w:rsidRDefault="00740202" w:rsidP="00740202">
            <w:pPr>
              <w:spacing w:after="0" w:line="240" w:lineRule="auto"/>
              <w:jc w:val="right"/>
              <w:rPr>
                <w:rFonts w:ascii="Calibri" w:hAnsi="Calibri"/>
                <w:color w:val="000000"/>
              </w:rPr>
            </w:pPr>
            <w:r>
              <w:rPr>
                <w:rFonts w:ascii="Calibri" w:hAnsi="Calibri"/>
                <w:color w:val="000000"/>
              </w:rPr>
              <w:t>0</w:t>
            </w:r>
          </w:p>
        </w:tc>
      </w:tr>
    </w:tbl>
    <w:p w:rsidR="0020068D" w:rsidRPr="0020068D" w:rsidRDefault="0020068D" w:rsidP="0020068D">
      <w:pPr>
        <w:pStyle w:val="Tekstfusnote"/>
        <w:spacing w:before="120" w:after="200" w:line="276" w:lineRule="auto"/>
        <w:jc w:val="both"/>
        <w:rPr>
          <w:rFonts w:asciiTheme="minorHAnsi" w:eastAsiaTheme="minorHAnsi" w:hAnsiTheme="minorHAnsi" w:cs="TimesNewRoman"/>
          <w:lang w:eastAsia="en-US"/>
        </w:rPr>
      </w:pPr>
      <w:r w:rsidRPr="0020068D">
        <w:rPr>
          <w:rFonts w:asciiTheme="minorHAnsi" w:eastAsiaTheme="minorHAnsi" w:hAnsiTheme="minorHAnsi" w:cs="TimesNewRoman"/>
          <w:lang w:eastAsia="en-US"/>
        </w:rPr>
        <w:t>Napomena: Vrijednosti u zagradama označavaju nepovoljne učinke na neto novčani tok i mogućnost štednje.</w:t>
      </w:r>
    </w:p>
    <w:p w:rsidR="006119BE" w:rsidRDefault="00B9059F" w:rsidP="00740202">
      <w:pPr>
        <w:pStyle w:val="Tekstfusnote"/>
        <w:spacing w:before="240" w:after="200" w:line="276" w:lineRule="auto"/>
        <w:jc w:val="both"/>
        <w:rPr>
          <w:rFonts w:asciiTheme="minorHAnsi" w:eastAsiaTheme="minorHAnsi" w:hAnsiTheme="minorHAnsi" w:cs="TimesNewRoman"/>
          <w:sz w:val="24"/>
          <w:szCs w:val="24"/>
          <w:lang w:eastAsia="en-US"/>
        </w:rPr>
      </w:pPr>
      <w:r w:rsidRPr="009252D0">
        <w:rPr>
          <w:rFonts w:asciiTheme="minorHAnsi" w:eastAsiaTheme="minorHAnsi" w:hAnsiTheme="minorHAnsi" w:cs="TimesNewRoman"/>
          <w:sz w:val="24"/>
          <w:szCs w:val="24"/>
          <w:lang w:eastAsia="en-US"/>
        </w:rPr>
        <w:t xml:space="preserve">Iako se budžet kućanstva tipično promatra </w:t>
      </w:r>
      <w:r w:rsidRPr="00196695">
        <w:rPr>
          <w:rFonts w:asciiTheme="minorHAnsi" w:eastAsiaTheme="minorHAnsi" w:hAnsiTheme="minorHAnsi" w:cs="TimesNewRoman"/>
          <w:color w:val="C00000"/>
          <w:sz w:val="24"/>
          <w:szCs w:val="24"/>
          <w:lang w:eastAsia="en-US"/>
        </w:rPr>
        <w:t xml:space="preserve">na mjesečnoj razini, potrebno ga je </w:t>
      </w:r>
      <w:r w:rsidR="00B8618A">
        <w:rPr>
          <w:rFonts w:asciiTheme="minorHAnsi" w:eastAsiaTheme="minorHAnsi" w:hAnsiTheme="minorHAnsi" w:cs="TimesNewRoman"/>
          <w:color w:val="C00000"/>
          <w:sz w:val="24"/>
          <w:szCs w:val="24"/>
          <w:lang w:eastAsia="en-US"/>
        </w:rPr>
        <w:t xml:space="preserve">svakako </w:t>
      </w:r>
      <w:r w:rsidRPr="00196695">
        <w:rPr>
          <w:rFonts w:asciiTheme="minorHAnsi" w:eastAsiaTheme="minorHAnsi" w:hAnsiTheme="minorHAnsi" w:cs="TimesNewRoman"/>
          <w:color w:val="C00000"/>
          <w:sz w:val="24"/>
          <w:szCs w:val="24"/>
          <w:lang w:eastAsia="en-US"/>
        </w:rPr>
        <w:t xml:space="preserve">promatrati i na godišnjoj razini. </w:t>
      </w:r>
      <w:r>
        <w:rPr>
          <w:rFonts w:asciiTheme="minorHAnsi" w:eastAsiaTheme="minorHAnsi" w:hAnsiTheme="minorHAnsi" w:cs="TimesNewRoman"/>
          <w:sz w:val="24"/>
          <w:szCs w:val="24"/>
          <w:lang w:eastAsia="en-US"/>
        </w:rPr>
        <w:t>Naime tijekom kalendarske godine vrlo često postoje određene razlike u visini troškova života, kao i mogućnosti</w:t>
      </w:r>
      <w:r w:rsidR="00B8618A">
        <w:rPr>
          <w:rFonts w:asciiTheme="minorHAnsi" w:eastAsiaTheme="minorHAnsi" w:hAnsiTheme="minorHAnsi" w:cs="TimesNewRoman"/>
          <w:sz w:val="24"/>
          <w:szCs w:val="24"/>
          <w:lang w:eastAsia="en-US"/>
        </w:rPr>
        <w:t>ma</w:t>
      </w:r>
      <w:r>
        <w:rPr>
          <w:rFonts w:asciiTheme="minorHAnsi" w:eastAsiaTheme="minorHAnsi" w:hAnsiTheme="minorHAnsi" w:cs="TimesNewRoman"/>
          <w:sz w:val="24"/>
          <w:szCs w:val="24"/>
          <w:lang w:eastAsia="en-US"/>
        </w:rPr>
        <w:t xml:space="preserve"> ostvarivanja prihoda. Na primjer troškovi grijanja su veći u zimskim mjesecima</w:t>
      </w:r>
      <w:r w:rsidR="00EF5BA8">
        <w:rPr>
          <w:rFonts w:asciiTheme="minorHAnsi" w:eastAsiaTheme="minorHAnsi" w:hAnsiTheme="minorHAnsi" w:cs="TimesNewRoman"/>
          <w:sz w:val="24"/>
          <w:szCs w:val="24"/>
          <w:lang w:eastAsia="en-US"/>
        </w:rPr>
        <w:t>,</w:t>
      </w:r>
      <w:r>
        <w:rPr>
          <w:rFonts w:asciiTheme="minorHAnsi" w:eastAsiaTheme="minorHAnsi" w:hAnsiTheme="minorHAnsi" w:cs="TimesNewRoman"/>
          <w:sz w:val="24"/>
          <w:szCs w:val="24"/>
          <w:lang w:eastAsia="en-US"/>
        </w:rPr>
        <w:t xml:space="preserve"> dok su ljetni mjeseci vezani uz </w:t>
      </w:r>
      <w:r w:rsidR="00196695">
        <w:rPr>
          <w:rFonts w:asciiTheme="minorHAnsi" w:eastAsiaTheme="minorHAnsi" w:hAnsiTheme="minorHAnsi" w:cs="TimesNewRoman"/>
          <w:sz w:val="24"/>
          <w:szCs w:val="24"/>
          <w:lang w:eastAsia="en-US"/>
        </w:rPr>
        <w:t xml:space="preserve">dodatne </w:t>
      </w:r>
      <w:r>
        <w:rPr>
          <w:rFonts w:asciiTheme="minorHAnsi" w:eastAsiaTheme="minorHAnsi" w:hAnsiTheme="minorHAnsi" w:cs="TimesNewRoman"/>
          <w:sz w:val="24"/>
          <w:szCs w:val="24"/>
          <w:lang w:eastAsia="en-US"/>
        </w:rPr>
        <w:t>rashode tijekom godišnjeg odmora. Stoga se od mjeseca do mjeseca mogu razlikovati mogućnosti racionaliza</w:t>
      </w:r>
      <w:r w:rsidR="00EF5BA8">
        <w:rPr>
          <w:rFonts w:asciiTheme="minorHAnsi" w:eastAsiaTheme="minorHAnsi" w:hAnsiTheme="minorHAnsi" w:cs="TimesNewRoman"/>
          <w:sz w:val="24"/>
          <w:szCs w:val="24"/>
          <w:lang w:eastAsia="en-US"/>
        </w:rPr>
        <w:t xml:space="preserve">cije troškova, odnosno </w:t>
      </w:r>
      <w:r w:rsidR="00196695">
        <w:rPr>
          <w:rFonts w:asciiTheme="minorHAnsi" w:eastAsiaTheme="minorHAnsi" w:hAnsiTheme="minorHAnsi" w:cs="TimesNewRoman"/>
          <w:sz w:val="24"/>
          <w:szCs w:val="24"/>
          <w:lang w:eastAsia="en-US"/>
        </w:rPr>
        <w:t xml:space="preserve">mogućnosti </w:t>
      </w:r>
      <w:r w:rsidR="00EF5BA8">
        <w:rPr>
          <w:rFonts w:asciiTheme="minorHAnsi" w:eastAsiaTheme="minorHAnsi" w:hAnsiTheme="minorHAnsi" w:cs="TimesNewRoman"/>
          <w:sz w:val="24"/>
          <w:szCs w:val="24"/>
          <w:lang w:eastAsia="en-US"/>
        </w:rPr>
        <w:t>štednje</w:t>
      </w:r>
      <w:r w:rsidR="00B8618A">
        <w:rPr>
          <w:rFonts w:asciiTheme="minorHAnsi" w:eastAsiaTheme="minorHAnsi" w:hAnsiTheme="minorHAnsi" w:cs="TimesNewRoman"/>
          <w:sz w:val="24"/>
          <w:szCs w:val="24"/>
          <w:lang w:eastAsia="en-US"/>
        </w:rPr>
        <w:t xml:space="preserve"> te se povremeno štednja iz jednog mjeseca treba vremenski rasporediti za potrošnju u drugom mjesecu</w:t>
      </w:r>
      <w:r w:rsidR="00EF5BA8">
        <w:rPr>
          <w:rFonts w:asciiTheme="minorHAnsi" w:eastAsiaTheme="minorHAnsi" w:hAnsiTheme="minorHAnsi" w:cs="TimesNewRoman"/>
          <w:sz w:val="24"/>
          <w:szCs w:val="24"/>
          <w:lang w:eastAsia="en-US"/>
        </w:rPr>
        <w:t>.</w:t>
      </w:r>
    </w:p>
    <w:p w:rsidR="009B4972" w:rsidRDefault="009B4972" w:rsidP="009B4972">
      <w:pPr>
        <w:jc w:val="both"/>
        <w:rPr>
          <w:sz w:val="24"/>
          <w:szCs w:val="24"/>
        </w:rPr>
      </w:pPr>
      <w:r w:rsidRPr="000B2598">
        <w:rPr>
          <w:color w:val="C00000"/>
          <w:sz w:val="24"/>
          <w:szCs w:val="24"/>
        </w:rPr>
        <w:t xml:space="preserve">Financijsko planiranje </w:t>
      </w:r>
      <w:r w:rsidRPr="00BA661B">
        <w:rPr>
          <w:sz w:val="24"/>
          <w:szCs w:val="24"/>
        </w:rPr>
        <w:t xml:space="preserve">naglašava orijentaciju prema budućnosti sa svrhom anticipiranja budućih prihoda i rashoda </w:t>
      </w:r>
      <w:r w:rsidR="00256B0D">
        <w:rPr>
          <w:sz w:val="24"/>
          <w:szCs w:val="24"/>
        </w:rPr>
        <w:t xml:space="preserve">(sastavljanja budžeta za naredno vremensko razdoblje) </w:t>
      </w:r>
      <w:r w:rsidRPr="00BA661B">
        <w:rPr>
          <w:sz w:val="24"/>
          <w:szCs w:val="24"/>
        </w:rPr>
        <w:t>te ostvarivanja postavljenih ekonomskih i financijskih ciljeva</w:t>
      </w:r>
      <w:r>
        <w:rPr>
          <w:sz w:val="24"/>
          <w:szCs w:val="24"/>
        </w:rPr>
        <w:t>, npr. racionalizaciju izdataka za potrošnju</w:t>
      </w:r>
      <w:r w:rsidR="00256B0D">
        <w:rPr>
          <w:sz w:val="24"/>
          <w:szCs w:val="24"/>
        </w:rPr>
        <w:t xml:space="preserve"> odnosno smanjenje rashoda koji nisu neophodni;</w:t>
      </w:r>
      <w:r>
        <w:rPr>
          <w:sz w:val="24"/>
          <w:szCs w:val="24"/>
        </w:rPr>
        <w:t xml:space="preserve"> formiranje određenog iznosa štednje kroz određene vrijeme</w:t>
      </w:r>
      <w:r w:rsidR="00B8618A">
        <w:rPr>
          <w:sz w:val="24"/>
          <w:szCs w:val="24"/>
        </w:rPr>
        <w:t xml:space="preserve"> sa određenom svrhom</w:t>
      </w:r>
      <w:r w:rsidR="00256B0D">
        <w:rPr>
          <w:sz w:val="24"/>
          <w:szCs w:val="24"/>
        </w:rPr>
        <w:t>;</w:t>
      </w:r>
      <w:r>
        <w:rPr>
          <w:sz w:val="24"/>
          <w:szCs w:val="24"/>
        </w:rPr>
        <w:t xml:space="preserve"> buduće korištenje ušteđenog iznosa itd.</w:t>
      </w:r>
      <w:r w:rsidRPr="00BA661B">
        <w:rPr>
          <w:sz w:val="24"/>
          <w:szCs w:val="24"/>
        </w:rPr>
        <w:t xml:space="preserve">. </w:t>
      </w:r>
      <w:r>
        <w:rPr>
          <w:sz w:val="24"/>
          <w:szCs w:val="24"/>
        </w:rPr>
        <w:t xml:space="preserve">U tom smislu </w:t>
      </w:r>
      <w:r w:rsidRPr="002211FD">
        <w:rPr>
          <w:color w:val="C00000"/>
          <w:sz w:val="24"/>
          <w:szCs w:val="24"/>
        </w:rPr>
        <w:t>nikada nije kasno započeti s aktivnostima financijskog planiranja i izvršenja financijskog plana</w:t>
      </w:r>
      <w:r>
        <w:rPr>
          <w:sz w:val="24"/>
          <w:szCs w:val="24"/>
        </w:rPr>
        <w:t xml:space="preserve">. U protivnom </w:t>
      </w:r>
      <w:r w:rsidRPr="000B2598">
        <w:rPr>
          <w:i/>
          <w:sz w:val="24"/>
          <w:szCs w:val="24"/>
        </w:rPr>
        <w:t>„ne planirati, znači planirati neuspjeh“</w:t>
      </w:r>
      <w:r>
        <w:rPr>
          <w:sz w:val="24"/>
          <w:szCs w:val="24"/>
        </w:rPr>
        <w:t xml:space="preserve"> </w:t>
      </w:r>
      <w:r w:rsidRPr="00714ECB">
        <w:rPr>
          <w:i/>
          <w:sz w:val="24"/>
          <w:szCs w:val="24"/>
        </w:rPr>
        <w:t>(B. Franklin).</w:t>
      </w:r>
      <w:r>
        <w:rPr>
          <w:sz w:val="24"/>
          <w:szCs w:val="24"/>
        </w:rPr>
        <w:t xml:space="preserve"> </w:t>
      </w:r>
    </w:p>
    <w:p w:rsidR="00256B0D" w:rsidRDefault="00256B0D" w:rsidP="009B4972">
      <w:pPr>
        <w:jc w:val="both"/>
        <w:rPr>
          <w:sz w:val="24"/>
          <w:szCs w:val="24"/>
        </w:rPr>
      </w:pPr>
      <w:r>
        <w:rPr>
          <w:sz w:val="24"/>
          <w:szCs w:val="24"/>
        </w:rPr>
        <w:t xml:space="preserve">Financijsko planiranje veže se uz skora vremenska razdoblja narednog mjeseca i naredne godine na koje se odnosi sastavljanje budžeta kućanstva, ali isto tako i uz razdoblja </w:t>
      </w:r>
      <w:r w:rsidR="00D42B15">
        <w:rPr>
          <w:sz w:val="24"/>
          <w:szCs w:val="24"/>
        </w:rPr>
        <w:t xml:space="preserve">vremenski znatno udaljenija </w:t>
      </w:r>
      <w:r w:rsidR="00F2737B">
        <w:rPr>
          <w:sz w:val="24"/>
          <w:szCs w:val="24"/>
        </w:rPr>
        <w:t xml:space="preserve">npr. </w:t>
      </w:r>
      <w:r>
        <w:rPr>
          <w:sz w:val="24"/>
          <w:szCs w:val="24"/>
        </w:rPr>
        <w:t xml:space="preserve">do pet godina, narednih deset godina i duže. </w:t>
      </w:r>
      <w:r w:rsidR="00F2737B">
        <w:rPr>
          <w:sz w:val="24"/>
          <w:szCs w:val="24"/>
        </w:rPr>
        <w:t xml:space="preserve">Pri tome su aktivnosti u kratkom roku najčešće </w:t>
      </w:r>
      <w:r w:rsidR="00B8618A">
        <w:rPr>
          <w:sz w:val="24"/>
          <w:szCs w:val="24"/>
        </w:rPr>
        <w:t xml:space="preserve">istodobno </w:t>
      </w:r>
      <w:r w:rsidR="00F2737B">
        <w:rPr>
          <w:sz w:val="24"/>
          <w:szCs w:val="24"/>
        </w:rPr>
        <w:t>povezane s ostvarivanje</w:t>
      </w:r>
      <w:r w:rsidR="00196695">
        <w:rPr>
          <w:sz w:val="24"/>
          <w:szCs w:val="24"/>
        </w:rPr>
        <w:t>m</w:t>
      </w:r>
      <w:r w:rsidR="00F2737B">
        <w:rPr>
          <w:sz w:val="24"/>
          <w:szCs w:val="24"/>
        </w:rPr>
        <w:t xml:space="preserve"> financijskih ciljeva </w:t>
      </w:r>
      <w:r w:rsidR="00D42B15">
        <w:rPr>
          <w:sz w:val="24"/>
          <w:szCs w:val="24"/>
        </w:rPr>
        <w:t xml:space="preserve">i </w:t>
      </w:r>
      <w:r w:rsidR="00F2737B">
        <w:rPr>
          <w:sz w:val="24"/>
          <w:szCs w:val="24"/>
        </w:rPr>
        <w:t xml:space="preserve">u kratkom </w:t>
      </w:r>
      <w:r w:rsidR="00D42B15">
        <w:rPr>
          <w:sz w:val="24"/>
          <w:szCs w:val="24"/>
        </w:rPr>
        <w:t xml:space="preserve">i u </w:t>
      </w:r>
      <w:r w:rsidR="00F2737B">
        <w:rPr>
          <w:sz w:val="24"/>
          <w:szCs w:val="24"/>
        </w:rPr>
        <w:t>i dugom roku.</w:t>
      </w:r>
    </w:p>
    <w:p w:rsidR="00196695" w:rsidRDefault="00D42B15" w:rsidP="009B4972">
      <w:pPr>
        <w:jc w:val="both"/>
        <w:rPr>
          <w:sz w:val="24"/>
          <w:szCs w:val="24"/>
        </w:rPr>
      </w:pPr>
      <w:r>
        <w:rPr>
          <w:sz w:val="24"/>
          <w:szCs w:val="24"/>
        </w:rPr>
        <w:t xml:space="preserve">Kako bi </w:t>
      </w:r>
      <w:r w:rsidRPr="00B8618A">
        <w:rPr>
          <w:sz w:val="24"/>
          <w:szCs w:val="24"/>
        </w:rPr>
        <w:t xml:space="preserve">sastavili budžet za naredno vremensko razdoblje valja se služiti </w:t>
      </w:r>
      <w:r w:rsidR="00EF5BA8" w:rsidRPr="00B8618A">
        <w:rPr>
          <w:color w:val="C00000"/>
          <w:sz w:val="24"/>
          <w:szCs w:val="24"/>
        </w:rPr>
        <w:t xml:space="preserve">detaljnim </w:t>
      </w:r>
      <w:r w:rsidR="00935D73" w:rsidRPr="00B8618A">
        <w:rPr>
          <w:color w:val="C00000"/>
          <w:sz w:val="24"/>
          <w:szCs w:val="24"/>
        </w:rPr>
        <w:t xml:space="preserve">evidencijama podataka o </w:t>
      </w:r>
      <w:r w:rsidR="00EF5BA8" w:rsidRPr="00B8618A">
        <w:rPr>
          <w:color w:val="C00000"/>
          <w:sz w:val="24"/>
          <w:szCs w:val="24"/>
        </w:rPr>
        <w:t xml:space="preserve">strukturi </w:t>
      </w:r>
      <w:r w:rsidR="00FE5570" w:rsidRPr="00B8618A">
        <w:rPr>
          <w:color w:val="C00000"/>
          <w:sz w:val="24"/>
          <w:szCs w:val="24"/>
        </w:rPr>
        <w:t xml:space="preserve">svih </w:t>
      </w:r>
      <w:r w:rsidR="00196695" w:rsidRPr="00B8618A">
        <w:rPr>
          <w:color w:val="C00000"/>
          <w:sz w:val="24"/>
          <w:szCs w:val="24"/>
        </w:rPr>
        <w:t>prihoda i rashoda</w:t>
      </w:r>
      <w:r w:rsidR="00196695" w:rsidRPr="00B8618A">
        <w:rPr>
          <w:sz w:val="24"/>
          <w:szCs w:val="24"/>
        </w:rPr>
        <w:t xml:space="preserve">, odnosno </w:t>
      </w:r>
      <w:r w:rsidR="00FE5570" w:rsidRPr="00B8618A">
        <w:rPr>
          <w:sz w:val="24"/>
          <w:szCs w:val="24"/>
        </w:rPr>
        <w:t xml:space="preserve">primitaka i izdataka </w:t>
      </w:r>
      <w:r w:rsidR="00EF5BA8" w:rsidRPr="00B8618A">
        <w:rPr>
          <w:color w:val="C00000"/>
          <w:sz w:val="24"/>
          <w:szCs w:val="24"/>
        </w:rPr>
        <w:t xml:space="preserve">iz </w:t>
      </w:r>
      <w:r w:rsidRPr="00B8618A">
        <w:rPr>
          <w:color w:val="C00000"/>
          <w:sz w:val="24"/>
          <w:szCs w:val="24"/>
        </w:rPr>
        <w:t>prethodnog razdoblja</w:t>
      </w:r>
      <w:r>
        <w:rPr>
          <w:sz w:val="24"/>
          <w:szCs w:val="24"/>
        </w:rPr>
        <w:t>, npr. prethodnog mjeseca ili prethodne godine, uvažavajući sezonske oscilacije i razlike od mjeseca do mjeseca tijekom kalendarske godine</w:t>
      </w:r>
      <w:r w:rsidR="00EF5BA8">
        <w:rPr>
          <w:sz w:val="24"/>
          <w:szCs w:val="24"/>
        </w:rPr>
        <w:t>.</w:t>
      </w:r>
      <w:r w:rsidR="00B13432">
        <w:rPr>
          <w:sz w:val="24"/>
          <w:szCs w:val="24"/>
        </w:rPr>
        <w:t xml:space="preserve"> (Izrada budžeta kućanstva za naredno vremensko razdoblje time dolazi u vezu sa podacima iz temeljnih financijskih izvještaja kućanstva, odnosno bilance i račune financijske uspješnosti koji su objašnjeni u nastavku.)</w:t>
      </w:r>
      <w:r w:rsidR="00EF5BA8">
        <w:rPr>
          <w:sz w:val="24"/>
          <w:szCs w:val="24"/>
        </w:rPr>
        <w:t xml:space="preserve"> </w:t>
      </w:r>
    </w:p>
    <w:p w:rsidR="000A11CF" w:rsidRDefault="00EF5BA8" w:rsidP="009B4972">
      <w:pPr>
        <w:jc w:val="both"/>
        <w:rPr>
          <w:sz w:val="24"/>
          <w:szCs w:val="24"/>
        </w:rPr>
      </w:pPr>
      <w:r w:rsidRPr="00E86CB5">
        <w:rPr>
          <w:color w:val="C00000"/>
          <w:sz w:val="24"/>
          <w:szCs w:val="24"/>
        </w:rPr>
        <w:t>Podaci o iznosima i strukturi prošlih primitaka i izdataka važni su s aspekta planiranja u budućem vremenskom razdoblju</w:t>
      </w:r>
      <w:r>
        <w:rPr>
          <w:sz w:val="24"/>
          <w:szCs w:val="24"/>
        </w:rPr>
        <w:t xml:space="preserve">, jer će se većina istih stavaka naći i u budžetu za sljedeće razdoblje. </w:t>
      </w:r>
      <w:r w:rsidR="00B8618A">
        <w:rPr>
          <w:sz w:val="24"/>
          <w:szCs w:val="24"/>
        </w:rPr>
        <w:t xml:space="preserve">Ili možda neće?! </w:t>
      </w:r>
      <w:r>
        <w:rPr>
          <w:sz w:val="24"/>
          <w:szCs w:val="24"/>
        </w:rPr>
        <w:t xml:space="preserve">Nadalje, kroz detaljan uvid u prošle podatke moguće  je pronaći </w:t>
      </w:r>
      <w:r>
        <w:rPr>
          <w:sz w:val="24"/>
          <w:szCs w:val="24"/>
        </w:rPr>
        <w:lastRenderedPageBreak/>
        <w:t xml:space="preserve">stavke za buduće uspješnije upravljanje osobnim financijama, npr. pronaći </w:t>
      </w:r>
      <w:r w:rsidR="002211FD">
        <w:rPr>
          <w:sz w:val="24"/>
          <w:szCs w:val="24"/>
        </w:rPr>
        <w:t>„</w:t>
      </w:r>
      <w:r>
        <w:rPr>
          <w:sz w:val="24"/>
          <w:szCs w:val="24"/>
        </w:rPr>
        <w:t>prostora</w:t>
      </w:r>
      <w:r w:rsidR="002211FD">
        <w:rPr>
          <w:sz w:val="24"/>
          <w:szCs w:val="24"/>
        </w:rPr>
        <w:t>“</w:t>
      </w:r>
      <w:r w:rsidR="002F626A">
        <w:rPr>
          <w:sz w:val="24"/>
          <w:szCs w:val="24"/>
        </w:rPr>
        <w:t xml:space="preserve"> za smanjenje rashoda potrošnje</w:t>
      </w:r>
      <w:r>
        <w:rPr>
          <w:sz w:val="24"/>
          <w:szCs w:val="24"/>
        </w:rPr>
        <w:t xml:space="preserve"> ili </w:t>
      </w:r>
      <w:r w:rsidR="00046291">
        <w:rPr>
          <w:sz w:val="24"/>
          <w:szCs w:val="24"/>
        </w:rPr>
        <w:t xml:space="preserve">izbjegavanje situacija </w:t>
      </w:r>
      <w:r>
        <w:rPr>
          <w:sz w:val="24"/>
          <w:szCs w:val="24"/>
        </w:rPr>
        <w:t>zaduživanja k</w:t>
      </w:r>
      <w:r w:rsidR="00046291">
        <w:rPr>
          <w:sz w:val="24"/>
          <w:szCs w:val="24"/>
        </w:rPr>
        <w:t>oje</w:t>
      </w:r>
      <w:r>
        <w:rPr>
          <w:sz w:val="24"/>
          <w:szCs w:val="24"/>
        </w:rPr>
        <w:t xml:space="preserve"> uzrokuju </w:t>
      </w:r>
      <w:r w:rsidR="00B8618A">
        <w:rPr>
          <w:sz w:val="24"/>
          <w:szCs w:val="24"/>
        </w:rPr>
        <w:t xml:space="preserve">dodatne </w:t>
      </w:r>
      <w:r>
        <w:rPr>
          <w:sz w:val="24"/>
          <w:szCs w:val="24"/>
        </w:rPr>
        <w:t xml:space="preserve">rashode za kamate itd. </w:t>
      </w:r>
      <w:r w:rsidR="00046291">
        <w:rPr>
          <w:sz w:val="24"/>
          <w:szCs w:val="24"/>
        </w:rPr>
        <w:t xml:space="preserve">Pri tome </w:t>
      </w:r>
      <w:r>
        <w:rPr>
          <w:sz w:val="24"/>
          <w:szCs w:val="24"/>
        </w:rPr>
        <w:t>ukupni iznos rashoda potrošnj</w:t>
      </w:r>
      <w:r w:rsidR="00B8618A">
        <w:rPr>
          <w:sz w:val="24"/>
          <w:szCs w:val="24"/>
        </w:rPr>
        <w:t>e</w:t>
      </w:r>
      <w:r>
        <w:rPr>
          <w:sz w:val="24"/>
          <w:szCs w:val="24"/>
        </w:rPr>
        <w:t xml:space="preserve"> za buduće </w:t>
      </w:r>
      <w:r w:rsidR="00B8618A">
        <w:rPr>
          <w:sz w:val="24"/>
          <w:szCs w:val="24"/>
        </w:rPr>
        <w:t xml:space="preserve">jednogodišnje </w:t>
      </w:r>
      <w:r>
        <w:rPr>
          <w:sz w:val="24"/>
          <w:szCs w:val="24"/>
        </w:rPr>
        <w:t>razdoblje treba uvećati barem za 2% koliko uobičajeno iznosi godišnja stopa inflacije u normalnim okolnostima</w:t>
      </w:r>
      <w:r w:rsidR="002F626A">
        <w:rPr>
          <w:sz w:val="24"/>
          <w:szCs w:val="24"/>
        </w:rPr>
        <w:t xml:space="preserve"> (</w:t>
      </w:r>
      <w:r>
        <w:rPr>
          <w:sz w:val="24"/>
          <w:szCs w:val="24"/>
        </w:rPr>
        <w:t xml:space="preserve">jer je prilično vjerojatno da budući rast rashoda za potrošnju neće biti popraćen </w:t>
      </w:r>
      <w:r w:rsidR="00C23E48">
        <w:rPr>
          <w:sz w:val="24"/>
          <w:szCs w:val="24"/>
        </w:rPr>
        <w:t xml:space="preserve">istom dinamikom rasta </w:t>
      </w:r>
      <w:r w:rsidR="00D42B15">
        <w:rPr>
          <w:sz w:val="24"/>
          <w:szCs w:val="24"/>
        </w:rPr>
        <w:t>pri</w:t>
      </w:r>
      <w:r>
        <w:rPr>
          <w:sz w:val="24"/>
          <w:szCs w:val="24"/>
        </w:rPr>
        <w:t>hoda</w:t>
      </w:r>
      <w:r w:rsidR="002211FD">
        <w:rPr>
          <w:sz w:val="24"/>
          <w:szCs w:val="24"/>
        </w:rPr>
        <w:t>. Katkada taj postotak uvećanja treba biti i veći jer se očekuje veća stopa inflacije u narednom razdoblju, tako npr. u</w:t>
      </w:r>
      <w:r w:rsidR="00C23E48">
        <w:rPr>
          <w:sz w:val="24"/>
          <w:szCs w:val="24"/>
        </w:rPr>
        <w:t xml:space="preserve"> posljednjih 20 godina prosječna stopa </w:t>
      </w:r>
      <w:r w:rsidR="002211FD">
        <w:rPr>
          <w:sz w:val="24"/>
          <w:szCs w:val="24"/>
        </w:rPr>
        <w:t>inflacije u Hrvatskoj iznosi 3%</w:t>
      </w:r>
      <w:r w:rsidR="00D42B15">
        <w:rPr>
          <w:sz w:val="24"/>
          <w:szCs w:val="24"/>
        </w:rPr>
        <w:t>.</w:t>
      </w:r>
    </w:p>
    <w:tbl>
      <w:tblPr>
        <w:tblStyle w:val="Reetkatablice"/>
        <w:tblW w:w="0" w:type="auto"/>
        <w:tblInd w:w="108" w:type="dxa"/>
        <w:tblLook w:val="04A0" w:firstRow="1" w:lastRow="0" w:firstColumn="1" w:lastColumn="0" w:noHBand="0" w:noVBand="1"/>
      </w:tblPr>
      <w:tblGrid>
        <w:gridCol w:w="9072"/>
      </w:tblGrid>
      <w:tr w:rsidR="00C23E48" w:rsidTr="0020068D">
        <w:tc>
          <w:tcPr>
            <w:tcW w:w="9072" w:type="dxa"/>
            <w:shd w:val="clear" w:color="auto" w:fill="F2F2F2" w:themeFill="background1" w:themeFillShade="F2"/>
          </w:tcPr>
          <w:p w:rsidR="00C23E48" w:rsidRPr="00D1637C" w:rsidRDefault="00C23E48" w:rsidP="00C23E48">
            <w:pPr>
              <w:spacing w:before="120" w:after="120"/>
              <w:jc w:val="both"/>
              <w:rPr>
                <w:rFonts w:asciiTheme="minorHAnsi" w:eastAsiaTheme="minorHAnsi" w:hAnsiTheme="minorHAnsi" w:cstheme="minorBidi"/>
                <w:b/>
                <w:sz w:val="24"/>
                <w:szCs w:val="24"/>
                <w:lang w:eastAsia="en-US"/>
              </w:rPr>
            </w:pPr>
            <w:r w:rsidRPr="00D1637C">
              <w:rPr>
                <w:rFonts w:asciiTheme="minorHAnsi" w:eastAsiaTheme="minorHAnsi" w:hAnsiTheme="minorHAnsi" w:cstheme="minorBidi"/>
                <w:b/>
                <w:sz w:val="24"/>
                <w:szCs w:val="24"/>
                <w:lang w:eastAsia="en-US"/>
              </w:rPr>
              <w:t>Nominalna i realna vrijednost novca</w:t>
            </w:r>
          </w:p>
          <w:p w:rsidR="00C23E48" w:rsidRPr="00C23E48" w:rsidRDefault="00C23E48" w:rsidP="00C23E48">
            <w:pPr>
              <w:spacing w:before="240" w:after="120"/>
              <w:jc w:val="both"/>
              <w:rPr>
                <w:rFonts w:asciiTheme="minorHAnsi" w:eastAsiaTheme="minorHAnsi" w:hAnsiTheme="minorHAnsi" w:cstheme="minorBidi"/>
                <w:sz w:val="24"/>
                <w:szCs w:val="24"/>
                <w:lang w:eastAsia="en-US"/>
              </w:rPr>
            </w:pPr>
            <w:r w:rsidRPr="00C23E48">
              <w:rPr>
                <w:rFonts w:asciiTheme="minorHAnsi" w:eastAsiaTheme="minorHAnsi" w:hAnsiTheme="minorHAnsi" w:cstheme="minorBidi"/>
                <w:sz w:val="24"/>
                <w:szCs w:val="24"/>
                <w:lang w:eastAsia="en-US"/>
              </w:rPr>
              <w:t xml:space="preserve">Kada se govori o vrijednosti novca treba praviti razliku između nominalne i realne vrijednosti novca. Nominalna vrijednost novca je definirana iznosom koji je naznačen (napisan) na kovanici ili novčanici. Realna vrijednost novca pokazuje realnu kupovnu moć novca u razmjeni za robe i usluge. Utvrđuje se korekcijom (umanjenjem) nominalne vrijednosti novca (naznačene na kovanici ili novčanici) za porast opće razine cijena roba i usluga.  </w:t>
            </w:r>
          </w:p>
          <w:p w:rsidR="00C23E48" w:rsidRDefault="00160E03" w:rsidP="00C23E48">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Pojam inflacija označava rast</w:t>
            </w:r>
            <w:r w:rsidR="00C23E48" w:rsidRPr="00C23E48">
              <w:rPr>
                <w:rFonts w:asciiTheme="minorHAnsi" w:eastAsiaTheme="minorHAnsi" w:hAnsiTheme="minorHAnsi" w:cstheme="minorBidi"/>
                <w:sz w:val="24"/>
                <w:szCs w:val="24"/>
                <w:lang w:eastAsia="en-US"/>
              </w:rPr>
              <w:t xml:space="preserve"> opće razine cijena roba i usluga</w:t>
            </w:r>
            <w:r>
              <w:rPr>
                <w:rFonts w:asciiTheme="minorHAnsi" w:eastAsiaTheme="minorHAnsi" w:hAnsiTheme="minorHAnsi" w:cstheme="minorBidi"/>
                <w:sz w:val="24"/>
                <w:szCs w:val="24"/>
                <w:lang w:eastAsia="en-US"/>
              </w:rPr>
              <w:t>. I</w:t>
            </w:r>
            <w:r w:rsidR="00C23E48" w:rsidRPr="00C23E48">
              <w:rPr>
                <w:rFonts w:asciiTheme="minorHAnsi" w:eastAsiaTheme="minorHAnsi" w:hAnsiTheme="minorHAnsi" w:cstheme="minorBidi"/>
                <w:sz w:val="24"/>
                <w:szCs w:val="24"/>
                <w:lang w:eastAsia="en-US"/>
              </w:rPr>
              <w:t xml:space="preserve">zražava </w:t>
            </w:r>
            <w:r>
              <w:rPr>
                <w:rFonts w:asciiTheme="minorHAnsi" w:eastAsiaTheme="minorHAnsi" w:hAnsiTheme="minorHAnsi" w:cstheme="minorBidi"/>
                <w:sz w:val="24"/>
                <w:szCs w:val="24"/>
                <w:lang w:eastAsia="en-US"/>
              </w:rPr>
              <w:t xml:space="preserve">se </w:t>
            </w:r>
            <w:r w:rsidR="00C23E48" w:rsidRPr="00C23E48">
              <w:rPr>
                <w:rFonts w:asciiTheme="minorHAnsi" w:eastAsiaTheme="minorHAnsi" w:hAnsiTheme="minorHAnsi" w:cstheme="minorBidi"/>
                <w:sz w:val="24"/>
                <w:szCs w:val="24"/>
                <w:lang w:eastAsia="en-US"/>
              </w:rPr>
              <w:t>stopom inflacije (</w:t>
            </w:r>
            <w:r>
              <w:rPr>
                <w:rFonts w:asciiTheme="minorHAnsi" w:eastAsiaTheme="minorHAnsi" w:hAnsiTheme="minorHAnsi" w:cstheme="minorBidi"/>
                <w:sz w:val="24"/>
                <w:szCs w:val="24"/>
                <w:lang w:eastAsia="en-US"/>
              </w:rPr>
              <w:t>a tipično mjeri indeksom potrošačkih cijena</w:t>
            </w:r>
            <w:r w:rsidR="00C23E48" w:rsidRPr="00C23E48">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Uz</w:t>
            </w:r>
            <w:r w:rsidR="00C23E48" w:rsidRPr="00C23E48">
              <w:rPr>
                <w:rFonts w:asciiTheme="minorHAnsi" w:eastAsiaTheme="minorHAnsi" w:hAnsiTheme="minorHAnsi" w:cstheme="minorBidi"/>
                <w:sz w:val="24"/>
                <w:szCs w:val="24"/>
                <w:lang w:eastAsia="en-US"/>
              </w:rPr>
              <w:t xml:space="preserve"> stop</w:t>
            </w:r>
            <w:r>
              <w:rPr>
                <w:rFonts w:asciiTheme="minorHAnsi" w:eastAsiaTheme="minorHAnsi" w:hAnsiTheme="minorHAnsi" w:cstheme="minorBidi"/>
                <w:sz w:val="24"/>
                <w:szCs w:val="24"/>
                <w:lang w:eastAsia="en-US"/>
              </w:rPr>
              <w:t>u</w:t>
            </w:r>
            <w:r w:rsidR="00C23E48" w:rsidRPr="00C23E48">
              <w:rPr>
                <w:rFonts w:asciiTheme="minorHAnsi" w:eastAsiaTheme="minorHAnsi" w:hAnsiTheme="minorHAnsi" w:cstheme="minorBidi"/>
                <w:sz w:val="24"/>
                <w:szCs w:val="24"/>
                <w:lang w:eastAsia="en-US"/>
              </w:rPr>
              <w:t xml:space="preserve"> inflacije 3% godišnje, 100 novčanih jedinica na početku godine vrijedit će približno 3% manje na kraju godine. </w:t>
            </w:r>
            <w:r>
              <w:rPr>
                <w:rFonts w:asciiTheme="minorHAnsi" w:eastAsiaTheme="minorHAnsi" w:hAnsiTheme="minorHAnsi" w:cstheme="minorBidi"/>
                <w:sz w:val="24"/>
                <w:szCs w:val="24"/>
                <w:lang w:eastAsia="en-US"/>
              </w:rPr>
              <w:t>Z</w:t>
            </w:r>
            <w:r w:rsidR="00C23E48" w:rsidRPr="00C23E48">
              <w:rPr>
                <w:rFonts w:asciiTheme="minorHAnsi" w:eastAsiaTheme="minorHAnsi" w:hAnsiTheme="minorHAnsi" w:cstheme="minorBidi"/>
                <w:sz w:val="24"/>
                <w:szCs w:val="24"/>
                <w:lang w:eastAsia="en-US"/>
              </w:rPr>
              <w:t xml:space="preserve">a godinu dana nominalnim iznosom od 100 kuna </w:t>
            </w:r>
            <w:r>
              <w:rPr>
                <w:rFonts w:asciiTheme="minorHAnsi" w:eastAsiaTheme="minorHAnsi" w:hAnsiTheme="minorHAnsi" w:cstheme="minorBidi"/>
                <w:sz w:val="24"/>
                <w:szCs w:val="24"/>
                <w:lang w:eastAsia="en-US"/>
              </w:rPr>
              <w:t>se stoga može</w:t>
            </w:r>
            <w:r w:rsidR="00C23E48" w:rsidRPr="00C23E48">
              <w:rPr>
                <w:rFonts w:asciiTheme="minorHAnsi" w:eastAsiaTheme="minorHAnsi" w:hAnsiTheme="minorHAnsi" w:cstheme="minorBidi"/>
                <w:sz w:val="24"/>
                <w:szCs w:val="24"/>
                <w:lang w:eastAsia="en-US"/>
              </w:rPr>
              <w:t xml:space="preserve"> kupiti onoliko roba i usluga koliko </w:t>
            </w:r>
            <w:r w:rsidR="00C23E48">
              <w:rPr>
                <w:rFonts w:asciiTheme="minorHAnsi" w:eastAsiaTheme="minorHAnsi" w:hAnsiTheme="minorHAnsi" w:cstheme="minorBidi"/>
                <w:sz w:val="24"/>
                <w:szCs w:val="24"/>
                <w:lang w:eastAsia="en-US"/>
              </w:rPr>
              <w:t xml:space="preserve">se </w:t>
            </w:r>
            <w:r w:rsidR="00C23E48" w:rsidRPr="00C23E48">
              <w:rPr>
                <w:rFonts w:asciiTheme="minorHAnsi" w:eastAsiaTheme="minorHAnsi" w:hAnsiTheme="minorHAnsi" w:cstheme="minorBidi"/>
                <w:sz w:val="24"/>
                <w:szCs w:val="24"/>
                <w:lang w:eastAsia="en-US"/>
              </w:rPr>
              <w:t>danas može kupiti s približno 97 kuna (točnije 97,09 kuna).</w:t>
            </w:r>
          </w:p>
          <w:p w:rsidR="00C23E48" w:rsidRPr="00C23E48" w:rsidRDefault="00C23E48" w:rsidP="00160E03">
            <w:pPr>
              <w:spacing w:before="240" w:after="240"/>
              <w:jc w:val="both"/>
              <w:rPr>
                <w:rFonts w:asciiTheme="minorHAnsi" w:eastAsiaTheme="minorHAnsi" w:hAnsiTheme="minorHAnsi" w:cstheme="minorBidi"/>
                <w:sz w:val="24"/>
                <w:szCs w:val="24"/>
                <w:lang w:eastAsia="en-US"/>
              </w:rPr>
            </w:pPr>
            <w:r w:rsidRPr="00160E03">
              <w:rPr>
                <w:rFonts w:asciiTheme="minorHAnsi" w:eastAsiaTheme="minorHAnsi" w:hAnsiTheme="minorHAnsi" w:cstheme="minorBidi"/>
                <w:sz w:val="24"/>
                <w:szCs w:val="24"/>
                <w:lang w:eastAsia="en-US"/>
              </w:rPr>
              <w:t xml:space="preserve">Izračun </w:t>
            </w:r>
            <w:r w:rsidRPr="00C23E48">
              <w:rPr>
                <w:rFonts w:asciiTheme="minorHAnsi" w:eastAsiaTheme="minorHAnsi" w:hAnsiTheme="minorHAnsi" w:cstheme="minorBidi"/>
                <w:color w:val="C00000"/>
                <w:sz w:val="24"/>
                <w:szCs w:val="24"/>
                <w:lang w:eastAsia="en-US"/>
              </w:rPr>
              <w:t>realne vrijednosti novca putem diskontiranja budućih nominalnih novčanih t</w:t>
            </w:r>
            <w:r w:rsidR="00160E03">
              <w:rPr>
                <w:rFonts w:asciiTheme="minorHAnsi" w:eastAsiaTheme="minorHAnsi" w:hAnsiTheme="minorHAnsi" w:cstheme="minorBidi"/>
                <w:color w:val="C00000"/>
                <w:sz w:val="24"/>
                <w:szCs w:val="24"/>
                <w:lang w:eastAsia="en-US"/>
              </w:rPr>
              <w:t>okova</w:t>
            </w:r>
            <w:r w:rsidRPr="00C23E48">
              <w:rPr>
                <w:rFonts w:asciiTheme="minorHAnsi" w:eastAsiaTheme="minorHAnsi" w:hAnsiTheme="minorHAnsi" w:cstheme="minorBidi"/>
                <w:color w:val="C00000"/>
                <w:sz w:val="24"/>
                <w:szCs w:val="24"/>
                <w:lang w:eastAsia="en-US"/>
              </w:rPr>
              <w:t xml:space="preserve"> na realnu sadašnju vrijednost</w:t>
            </w:r>
            <w:r w:rsidR="00160E03">
              <w:rPr>
                <w:rFonts w:asciiTheme="minorHAnsi" w:eastAsiaTheme="minorHAnsi" w:hAnsiTheme="minorHAnsi" w:cstheme="minorBidi"/>
                <w:color w:val="C00000"/>
                <w:sz w:val="24"/>
                <w:szCs w:val="24"/>
                <w:lang w:eastAsia="en-US"/>
              </w:rPr>
              <w:t xml:space="preserve"> </w:t>
            </w:r>
            <w:r w:rsidR="00160E03" w:rsidRPr="00160E03">
              <w:rPr>
                <w:rFonts w:asciiTheme="minorHAnsi" w:eastAsiaTheme="minorHAnsi" w:hAnsiTheme="minorHAnsi" w:cstheme="minorBidi"/>
                <w:sz w:val="24"/>
                <w:szCs w:val="24"/>
                <w:lang w:eastAsia="en-US"/>
              </w:rPr>
              <w:t xml:space="preserve">provodi se korištenjem </w:t>
            </w:r>
            <w:r w:rsidRPr="00C23E48">
              <w:rPr>
                <w:rFonts w:asciiTheme="minorHAnsi" w:eastAsiaTheme="minorHAnsi" w:hAnsiTheme="minorHAnsi" w:cstheme="minorBidi"/>
                <w:sz w:val="24"/>
                <w:szCs w:val="24"/>
                <w:lang w:eastAsia="en-US"/>
              </w:rPr>
              <w:t>formul</w:t>
            </w:r>
            <w:r w:rsidR="002F626A">
              <w:rPr>
                <w:rFonts w:asciiTheme="minorHAnsi" w:eastAsiaTheme="minorHAnsi" w:hAnsiTheme="minorHAnsi" w:cstheme="minorBidi"/>
                <w:sz w:val="24"/>
                <w:szCs w:val="24"/>
                <w:lang w:eastAsia="en-US"/>
              </w:rPr>
              <w:t xml:space="preserve">e </w:t>
            </w:r>
            <w:r w:rsidRPr="00C23E48">
              <w:rPr>
                <w:rFonts w:asciiTheme="minorHAnsi" w:eastAsiaTheme="minorHAnsi" w:hAnsiTheme="minorHAnsi" w:cstheme="minorBidi"/>
                <w:sz w:val="24"/>
                <w:szCs w:val="24"/>
                <w:lang w:eastAsia="en-US"/>
              </w:rPr>
              <w:t xml:space="preserve">za diskontiranje: </w:t>
            </w:r>
          </w:p>
          <w:p w:rsidR="00C23E48" w:rsidRPr="00C23E48" w:rsidRDefault="00C23E48" w:rsidP="00C23E48">
            <w:pPr>
              <w:spacing w:before="120" w:after="120"/>
              <w:jc w:val="center"/>
              <w:rPr>
                <w:rFonts w:asciiTheme="minorHAnsi" w:eastAsiaTheme="minorHAnsi" w:hAnsiTheme="minorHAnsi" w:cstheme="minorBidi"/>
                <w:sz w:val="24"/>
                <w:szCs w:val="24"/>
                <w:lang w:eastAsia="en-US"/>
              </w:rPr>
            </w:pPr>
            <w:r w:rsidRPr="00C23E48">
              <w:rPr>
                <w:rFonts w:asciiTheme="minorHAnsi" w:eastAsiaTheme="minorHAnsi" w:hAnsiTheme="minorHAnsi" w:cstheme="minorBidi"/>
                <w:sz w:val="24"/>
                <w:szCs w:val="24"/>
                <w:lang w:eastAsia="en-US"/>
              </w:rPr>
              <w:object w:dxaOrig="1520" w:dyaOrig="700">
                <v:shape id="_x0000_i1031" type="#_x0000_t75" style="width:72.75pt;height:34.5pt" o:ole="">
                  <v:imagedata r:id="rId48" o:title=""/>
                </v:shape>
                <o:OLEObject Type="Embed" ProgID="Equation.3" ShapeID="_x0000_i1031" DrawAspect="Content" ObjectID="_1505681359" r:id="rId49"/>
              </w:object>
            </w:r>
          </w:p>
          <w:p w:rsidR="00C23E48" w:rsidRPr="00C23E48" w:rsidRDefault="00C23E48" w:rsidP="00C23E48">
            <w:pPr>
              <w:spacing w:before="120" w:after="120"/>
              <w:jc w:val="both"/>
              <w:rPr>
                <w:rFonts w:asciiTheme="minorHAnsi" w:eastAsiaTheme="minorHAnsi" w:hAnsiTheme="minorHAnsi" w:cstheme="minorBidi"/>
                <w:sz w:val="24"/>
                <w:szCs w:val="24"/>
                <w:lang w:eastAsia="en-US"/>
              </w:rPr>
            </w:pPr>
            <w:r w:rsidRPr="00C23E48">
              <w:rPr>
                <w:rFonts w:asciiTheme="minorHAnsi" w:eastAsiaTheme="minorHAnsi" w:hAnsiTheme="minorHAnsi" w:cstheme="minorBidi"/>
                <w:sz w:val="24"/>
                <w:szCs w:val="24"/>
                <w:lang w:eastAsia="en-US"/>
              </w:rPr>
              <w:t>gdje RBV označava realnu sadašnju vrijednost, NBV označava nominalnu iznos budućeg novčanog t</w:t>
            </w:r>
            <w:r w:rsidR="00160E03">
              <w:rPr>
                <w:rFonts w:asciiTheme="minorHAnsi" w:eastAsiaTheme="minorHAnsi" w:hAnsiTheme="minorHAnsi" w:cstheme="minorBidi"/>
                <w:sz w:val="24"/>
                <w:szCs w:val="24"/>
                <w:lang w:eastAsia="en-US"/>
              </w:rPr>
              <w:t>oka</w:t>
            </w:r>
            <w:r w:rsidRPr="00C23E48">
              <w:rPr>
                <w:rFonts w:asciiTheme="minorHAnsi" w:eastAsiaTheme="minorHAnsi" w:hAnsiTheme="minorHAnsi" w:cstheme="minorBidi"/>
                <w:sz w:val="24"/>
                <w:szCs w:val="24"/>
                <w:lang w:eastAsia="en-US"/>
              </w:rPr>
              <w:t xml:space="preserve"> (na primjer</w:t>
            </w:r>
            <w:r w:rsidR="00160E03">
              <w:rPr>
                <w:rFonts w:asciiTheme="minorHAnsi" w:eastAsiaTheme="minorHAnsi" w:hAnsiTheme="minorHAnsi" w:cstheme="minorBidi"/>
                <w:sz w:val="24"/>
                <w:szCs w:val="24"/>
                <w:lang w:eastAsia="en-US"/>
              </w:rPr>
              <w:t xml:space="preserve"> primitka </w:t>
            </w:r>
            <w:r w:rsidRPr="00C23E48">
              <w:rPr>
                <w:rFonts w:asciiTheme="minorHAnsi" w:eastAsiaTheme="minorHAnsi" w:hAnsiTheme="minorHAnsi" w:cstheme="minorBidi"/>
                <w:sz w:val="24"/>
                <w:szCs w:val="24"/>
                <w:lang w:eastAsia="en-US"/>
              </w:rPr>
              <w:t xml:space="preserve">100 kuna), a veličina </w:t>
            </w:r>
            <w:r w:rsidR="003859D8" w:rsidRPr="003859D8">
              <w:rPr>
                <w:rFonts w:asciiTheme="minorHAnsi" w:eastAsiaTheme="minorHAnsi" w:hAnsiTheme="minorHAnsi" w:cstheme="minorBidi"/>
                <w:i/>
                <w:sz w:val="24"/>
                <w:szCs w:val="24"/>
                <w:lang w:eastAsia="en-US"/>
              </w:rPr>
              <w:t>„</w:t>
            </w:r>
            <w:r w:rsidRPr="003859D8">
              <w:rPr>
                <w:rFonts w:asciiTheme="minorHAnsi" w:eastAsiaTheme="minorHAnsi" w:hAnsiTheme="minorHAnsi" w:cstheme="minorBidi"/>
                <w:i/>
                <w:sz w:val="24"/>
                <w:szCs w:val="24"/>
                <w:lang w:eastAsia="en-US"/>
              </w:rPr>
              <w:t>i</w:t>
            </w:r>
            <w:r w:rsidR="003859D8" w:rsidRPr="003859D8">
              <w:rPr>
                <w:rFonts w:asciiTheme="minorHAnsi" w:eastAsiaTheme="minorHAnsi" w:hAnsiTheme="minorHAnsi" w:cstheme="minorBidi"/>
                <w:i/>
                <w:sz w:val="24"/>
                <w:szCs w:val="24"/>
                <w:lang w:eastAsia="en-US"/>
              </w:rPr>
              <w:t>“</w:t>
            </w:r>
            <w:r w:rsidRPr="00C23E48">
              <w:rPr>
                <w:rFonts w:asciiTheme="minorHAnsi" w:eastAsiaTheme="minorHAnsi" w:hAnsiTheme="minorHAnsi" w:cstheme="minorBidi"/>
                <w:sz w:val="24"/>
                <w:szCs w:val="24"/>
                <w:lang w:eastAsia="en-US"/>
              </w:rPr>
              <w:t xml:space="preserve"> stopu inflacije izraženu u decimalnom zapisu  (na primjer kao 0,03</w:t>
            </w:r>
            <w:r w:rsidR="002F626A">
              <w:rPr>
                <w:rFonts w:asciiTheme="minorHAnsi" w:eastAsiaTheme="minorHAnsi" w:hAnsiTheme="minorHAnsi" w:cstheme="minorBidi"/>
                <w:sz w:val="24"/>
                <w:szCs w:val="24"/>
                <w:lang w:eastAsia="en-US"/>
              </w:rPr>
              <w:t xml:space="preserve"> ili 3%</w:t>
            </w:r>
            <w:r w:rsidRPr="00C23E48">
              <w:rPr>
                <w:rFonts w:asciiTheme="minorHAnsi" w:eastAsiaTheme="minorHAnsi" w:hAnsiTheme="minorHAnsi" w:cstheme="minorBidi"/>
                <w:sz w:val="24"/>
                <w:szCs w:val="24"/>
                <w:lang w:eastAsia="en-US"/>
              </w:rPr>
              <w:t xml:space="preserve">). </w:t>
            </w:r>
            <w:r w:rsidR="002F626A">
              <w:rPr>
                <w:rFonts w:asciiTheme="minorHAnsi" w:eastAsiaTheme="minorHAnsi" w:hAnsiTheme="minorHAnsi" w:cstheme="minorBidi"/>
                <w:sz w:val="24"/>
                <w:szCs w:val="24"/>
                <w:lang w:eastAsia="en-US"/>
              </w:rPr>
              <w:t>Za t=1, slijedi da je:</w:t>
            </w:r>
          </w:p>
          <w:p w:rsidR="00C23E48" w:rsidRPr="00C23E48" w:rsidRDefault="003B34FA" w:rsidP="00C23E48">
            <w:pPr>
              <w:spacing w:before="120" w:after="120"/>
              <w:jc w:val="center"/>
              <w:rPr>
                <w:rFonts w:asciiTheme="minorHAnsi" w:eastAsiaTheme="minorHAnsi" w:hAnsiTheme="minorHAnsi" w:cstheme="minorBidi"/>
                <w:sz w:val="24"/>
                <w:szCs w:val="24"/>
                <w:lang w:eastAsia="en-US"/>
              </w:rPr>
            </w:pPr>
            <w:r w:rsidRPr="00160E03">
              <w:rPr>
                <w:rFonts w:asciiTheme="minorHAnsi" w:eastAsiaTheme="minorHAnsi" w:hAnsiTheme="minorHAnsi" w:cstheme="minorBidi"/>
                <w:position w:val="-32"/>
                <w:sz w:val="24"/>
                <w:szCs w:val="24"/>
                <w:lang w:eastAsia="en-US"/>
              </w:rPr>
              <w:object w:dxaOrig="3140" w:dyaOrig="700">
                <v:shape id="_x0000_i1032" type="#_x0000_t75" style="width:150.75pt;height:34.5pt" o:ole="">
                  <v:imagedata r:id="rId50" o:title=""/>
                </v:shape>
                <o:OLEObject Type="Embed" ProgID="Equation.3" ShapeID="_x0000_i1032" DrawAspect="Content" ObjectID="_1505681360" r:id="rId51"/>
              </w:object>
            </w:r>
          </w:p>
          <w:p w:rsidR="00C23E48" w:rsidRPr="00C23E48" w:rsidRDefault="003B34FA" w:rsidP="00C23E48">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Na isti način</w:t>
            </w:r>
            <w:r w:rsidR="00C23E48" w:rsidRPr="00C23E48">
              <w:rPr>
                <w:rFonts w:asciiTheme="minorHAnsi" w:eastAsiaTheme="minorHAnsi" w:hAnsiTheme="minorHAnsi" w:cstheme="minorBidi"/>
                <w:sz w:val="24"/>
                <w:szCs w:val="24"/>
                <w:lang w:eastAsia="en-US"/>
              </w:rPr>
              <w:t xml:space="preserve"> korištenjem </w:t>
            </w:r>
            <w:r>
              <w:rPr>
                <w:rFonts w:asciiTheme="minorHAnsi" w:eastAsiaTheme="minorHAnsi" w:hAnsiTheme="minorHAnsi" w:cstheme="minorBidi"/>
                <w:sz w:val="24"/>
                <w:szCs w:val="24"/>
                <w:lang w:eastAsia="en-US"/>
              </w:rPr>
              <w:t xml:space="preserve">početne </w:t>
            </w:r>
            <w:r w:rsidR="00C23E48" w:rsidRPr="00C23E48">
              <w:rPr>
                <w:rFonts w:asciiTheme="minorHAnsi" w:eastAsiaTheme="minorHAnsi" w:hAnsiTheme="minorHAnsi" w:cstheme="minorBidi"/>
                <w:sz w:val="24"/>
                <w:szCs w:val="24"/>
                <w:lang w:eastAsia="en-US"/>
              </w:rPr>
              <w:t>formule može</w:t>
            </w:r>
            <w:r w:rsidR="002F626A">
              <w:rPr>
                <w:rFonts w:asciiTheme="minorHAnsi" w:eastAsiaTheme="minorHAnsi" w:hAnsiTheme="minorHAnsi" w:cstheme="minorBidi"/>
                <w:sz w:val="24"/>
                <w:szCs w:val="24"/>
                <w:lang w:eastAsia="en-US"/>
              </w:rPr>
              <w:t xml:space="preserve"> se</w:t>
            </w:r>
            <w:r w:rsidR="00C23E48" w:rsidRPr="00C23E48">
              <w:rPr>
                <w:rFonts w:asciiTheme="minorHAnsi" w:eastAsiaTheme="minorHAnsi" w:hAnsiTheme="minorHAnsi" w:cstheme="minorBidi"/>
                <w:sz w:val="24"/>
                <w:szCs w:val="24"/>
                <w:lang w:eastAsia="en-US"/>
              </w:rPr>
              <w:t xml:space="preserve"> izračunati realn</w:t>
            </w:r>
            <w:r w:rsidR="002F626A">
              <w:rPr>
                <w:rFonts w:asciiTheme="minorHAnsi" w:eastAsiaTheme="minorHAnsi" w:hAnsiTheme="minorHAnsi" w:cstheme="minorBidi"/>
                <w:sz w:val="24"/>
                <w:szCs w:val="24"/>
                <w:lang w:eastAsia="en-US"/>
              </w:rPr>
              <w:t>a</w:t>
            </w:r>
            <w:r w:rsidR="00C23E48" w:rsidRPr="00C23E48">
              <w:rPr>
                <w:rFonts w:asciiTheme="minorHAnsi" w:eastAsiaTheme="minorHAnsi" w:hAnsiTheme="minorHAnsi" w:cstheme="minorBidi"/>
                <w:sz w:val="24"/>
                <w:szCs w:val="24"/>
                <w:lang w:eastAsia="en-US"/>
              </w:rPr>
              <w:t xml:space="preserve"> sadašnj</w:t>
            </w:r>
            <w:r w:rsidR="002F626A">
              <w:rPr>
                <w:rFonts w:asciiTheme="minorHAnsi" w:eastAsiaTheme="minorHAnsi" w:hAnsiTheme="minorHAnsi" w:cstheme="minorBidi"/>
                <w:sz w:val="24"/>
                <w:szCs w:val="24"/>
                <w:lang w:eastAsia="en-US"/>
              </w:rPr>
              <w:t>a</w:t>
            </w:r>
            <w:r w:rsidR="00C23E48" w:rsidRPr="00C23E48">
              <w:rPr>
                <w:rFonts w:asciiTheme="minorHAnsi" w:eastAsiaTheme="minorHAnsi" w:hAnsiTheme="minorHAnsi" w:cstheme="minorBidi"/>
                <w:sz w:val="24"/>
                <w:szCs w:val="24"/>
                <w:lang w:eastAsia="en-US"/>
              </w:rPr>
              <w:t xml:space="preserve"> vrijednost budućeg nominalnog iznosa od 100 kuna nakon dvije godine, odnosno uz t =2.</w:t>
            </w:r>
          </w:p>
          <w:p w:rsidR="00C23E48" w:rsidRPr="00C23E48" w:rsidRDefault="00C23E48" w:rsidP="00C23E48">
            <w:pPr>
              <w:spacing w:before="120" w:after="120"/>
              <w:jc w:val="center"/>
              <w:rPr>
                <w:rFonts w:asciiTheme="minorHAnsi" w:eastAsiaTheme="minorHAnsi" w:hAnsiTheme="minorHAnsi" w:cstheme="minorBidi"/>
                <w:sz w:val="24"/>
                <w:szCs w:val="24"/>
                <w:lang w:eastAsia="en-US"/>
              </w:rPr>
            </w:pPr>
            <w:r w:rsidRPr="00C23E48">
              <w:rPr>
                <w:rFonts w:asciiTheme="minorHAnsi" w:eastAsiaTheme="minorHAnsi" w:hAnsiTheme="minorHAnsi" w:cstheme="minorBidi"/>
                <w:sz w:val="24"/>
                <w:szCs w:val="24"/>
                <w:lang w:eastAsia="en-US"/>
              </w:rPr>
              <w:object w:dxaOrig="4020" w:dyaOrig="700">
                <v:shape id="_x0000_i1033" type="#_x0000_t75" style="width:188.25pt;height:33pt" o:ole="">
                  <v:imagedata r:id="rId52" o:title=""/>
                </v:shape>
                <o:OLEObject Type="Embed" ProgID="Equation.3" ShapeID="_x0000_i1033" DrawAspect="Content" ObjectID="_1505681361" r:id="rId53"/>
              </w:object>
            </w:r>
          </w:p>
          <w:p w:rsidR="00C23E48" w:rsidRDefault="003B34FA" w:rsidP="003B34FA">
            <w:pPr>
              <w:pStyle w:val="Tijeloteksta"/>
              <w:spacing w:before="120"/>
              <w:jc w:val="both"/>
              <w:rPr>
                <w:sz w:val="24"/>
                <w:szCs w:val="24"/>
              </w:rPr>
            </w:pPr>
            <w:r>
              <w:rPr>
                <w:rFonts w:asciiTheme="minorHAnsi" w:eastAsiaTheme="minorHAnsi" w:hAnsiTheme="minorHAnsi" w:cstheme="minorBidi"/>
                <w:sz w:val="24"/>
                <w:szCs w:val="24"/>
                <w:lang w:eastAsia="en-US"/>
              </w:rPr>
              <w:t xml:space="preserve">Pri upravljanju osobnim financijama vrlo je važno vodit računa o ovim relacijama i činjenici da </w:t>
            </w:r>
            <w:r w:rsidR="00C23E48" w:rsidRPr="00C23E48">
              <w:rPr>
                <w:rFonts w:asciiTheme="minorHAnsi" w:eastAsiaTheme="minorHAnsi" w:hAnsiTheme="minorHAnsi" w:cstheme="minorBidi"/>
                <w:sz w:val="24"/>
                <w:szCs w:val="24"/>
                <w:lang w:eastAsia="en-US"/>
              </w:rPr>
              <w:t>inflacija uzrokuje pad realne vrijednosti novca</w:t>
            </w:r>
            <w:r>
              <w:rPr>
                <w:rFonts w:asciiTheme="minorHAnsi" w:eastAsiaTheme="minorHAnsi" w:hAnsiTheme="minorHAnsi" w:cstheme="minorBidi"/>
                <w:sz w:val="24"/>
                <w:szCs w:val="24"/>
                <w:lang w:eastAsia="en-US"/>
              </w:rPr>
              <w:t xml:space="preserve"> pa</w:t>
            </w:r>
            <w:r w:rsidR="00C23E48" w:rsidRPr="00C23E48">
              <w:rPr>
                <w:rFonts w:asciiTheme="minorHAnsi" w:eastAsiaTheme="minorHAnsi" w:hAnsiTheme="minorHAnsi" w:cstheme="minorBidi"/>
                <w:sz w:val="24"/>
                <w:szCs w:val="24"/>
                <w:lang w:eastAsia="en-US"/>
              </w:rPr>
              <w:t xml:space="preserve"> </w:t>
            </w:r>
            <w:r w:rsidR="002F626A">
              <w:rPr>
                <w:rFonts w:asciiTheme="minorHAnsi" w:eastAsiaTheme="minorHAnsi" w:hAnsiTheme="minorHAnsi" w:cstheme="minorBidi"/>
                <w:sz w:val="24"/>
                <w:szCs w:val="24"/>
                <w:lang w:eastAsia="en-US"/>
              </w:rPr>
              <w:t xml:space="preserve">se </w:t>
            </w:r>
            <w:r w:rsidR="00C23E48" w:rsidRPr="00C23E48">
              <w:rPr>
                <w:rFonts w:asciiTheme="minorHAnsi" w:eastAsiaTheme="minorHAnsi" w:hAnsiTheme="minorHAnsi" w:cstheme="minorBidi"/>
                <w:sz w:val="24"/>
                <w:szCs w:val="24"/>
                <w:lang w:eastAsia="en-US"/>
              </w:rPr>
              <w:t>istom nominalnom količinom novca može</w:t>
            </w:r>
            <w:r w:rsidR="002F626A">
              <w:rPr>
                <w:rFonts w:asciiTheme="minorHAnsi" w:eastAsiaTheme="minorHAnsi" w:hAnsiTheme="minorHAnsi" w:cstheme="minorBidi"/>
                <w:sz w:val="24"/>
                <w:szCs w:val="24"/>
                <w:lang w:eastAsia="en-US"/>
              </w:rPr>
              <w:t xml:space="preserve"> </w:t>
            </w:r>
            <w:r w:rsidR="003859D8">
              <w:rPr>
                <w:rFonts w:asciiTheme="minorHAnsi" w:eastAsiaTheme="minorHAnsi" w:hAnsiTheme="minorHAnsi" w:cstheme="minorBidi"/>
                <w:sz w:val="24"/>
                <w:szCs w:val="24"/>
                <w:lang w:eastAsia="en-US"/>
              </w:rPr>
              <w:t>kupiti sve manje roba i usluga</w:t>
            </w:r>
            <w:r w:rsidR="00C23E48" w:rsidRPr="00C23E48">
              <w:rPr>
                <w:rFonts w:asciiTheme="minorHAnsi" w:eastAsiaTheme="minorHAnsi" w:hAnsiTheme="minorHAnsi" w:cstheme="minorBidi"/>
                <w:sz w:val="24"/>
                <w:szCs w:val="24"/>
                <w:lang w:eastAsia="en-US"/>
              </w:rPr>
              <w:t xml:space="preserve"> (realnih vrijednosti).</w:t>
            </w:r>
            <w:r w:rsidR="00D81053" w:rsidRPr="000910F5">
              <w:rPr>
                <w:noProof/>
              </w:rPr>
              <w:t xml:space="preserve"> </w:t>
            </w:r>
          </w:p>
        </w:tc>
      </w:tr>
    </w:tbl>
    <w:p w:rsidR="00B165A1" w:rsidRDefault="00046291" w:rsidP="002F626A">
      <w:pPr>
        <w:spacing w:before="280"/>
        <w:jc w:val="both"/>
        <w:rPr>
          <w:sz w:val="24"/>
          <w:szCs w:val="24"/>
        </w:rPr>
      </w:pPr>
      <w:r>
        <w:rPr>
          <w:sz w:val="24"/>
          <w:szCs w:val="24"/>
        </w:rPr>
        <w:lastRenderedPageBreak/>
        <w:t>U</w:t>
      </w:r>
      <w:r w:rsidR="008D1D8E">
        <w:rPr>
          <w:sz w:val="24"/>
          <w:szCs w:val="24"/>
        </w:rPr>
        <w:t xml:space="preserve"> slučaju kućanstva koja otplaćuju stambeni </w:t>
      </w:r>
      <w:r w:rsidR="000A11CF">
        <w:rPr>
          <w:sz w:val="24"/>
          <w:szCs w:val="24"/>
        </w:rPr>
        <w:t xml:space="preserve">ili drugi </w:t>
      </w:r>
      <w:r w:rsidR="008D1D8E">
        <w:rPr>
          <w:sz w:val="24"/>
          <w:szCs w:val="24"/>
        </w:rPr>
        <w:t>kredit</w:t>
      </w:r>
      <w:r w:rsidR="008969ED">
        <w:rPr>
          <w:sz w:val="24"/>
          <w:szCs w:val="24"/>
        </w:rPr>
        <w:t xml:space="preserve"> (</w:t>
      </w:r>
      <w:r w:rsidR="008D1D8E">
        <w:rPr>
          <w:sz w:val="24"/>
          <w:szCs w:val="24"/>
        </w:rPr>
        <w:t xml:space="preserve">radi izbjegavanja neugodnih iznenađenja u razdobljima izvršenja budžeta i </w:t>
      </w:r>
      <w:r w:rsidR="008969ED">
        <w:rPr>
          <w:sz w:val="24"/>
          <w:szCs w:val="24"/>
        </w:rPr>
        <w:t xml:space="preserve">namjere ostvarivanja </w:t>
      </w:r>
      <w:r w:rsidR="008D1D8E">
        <w:rPr>
          <w:sz w:val="24"/>
          <w:szCs w:val="24"/>
        </w:rPr>
        <w:t>postavljenih financijskih ciljeva</w:t>
      </w:r>
      <w:r w:rsidR="008969ED">
        <w:rPr>
          <w:sz w:val="24"/>
          <w:szCs w:val="24"/>
        </w:rPr>
        <w:t>)</w:t>
      </w:r>
      <w:r w:rsidR="008D1D8E">
        <w:rPr>
          <w:sz w:val="24"/>
          <w:szCs w:val="24"/>
        </w:rPr>
        <w:t xml:space="preserve">, poželjno je </w:t>
      </w:r>
      <w:r w:rsidR="00AD4820">
        <w:rPr>
          <w:sz w:val="24"/>
          <w:szCs w:val="24"/>
        </w:rPr>
        <w:t xml:space="preserve">buduće </w:t>
      </w:r>
      <w:r w:rsidR="00B165A1">
        <w:rPr>
          <w:sz w:val="24"/>
          <w:szCs w:val="24"/>
        </w:rPr>
        <w:t xml:space="preserve">izdatke za </w:t>
      </w:r>
      <w:r w:rsidR="00AD4820">
        <w:rPr>
          <w:sz w:val="24"/>
          <w:szCs w:val="24"/>
        </w:rPr>
        <w:t>mjesečne otplate kredita uvećati za mogući rast kamat</w:t>
      </w:r>
      <w:r w:rsidR="00B80B54">
        <w:rPr>
          <w:sz w:val="24"/>
          <w:szCs w:val="24"/>
        </w:rPr>
        <w:t>a</w:t>
      </w:r>
      <w:r w:rsidR="00AD4820">
        <w:rPr>
          <w:sz w:val="24"/>
          <w:szCs w:val="24"/>
        </w:rPr>
        <w:t xml:space="preserve"> </w:t>
      </w:r>
      <w:r w:rsidR="00B80B54">
        <w:rPr>
          <w:sz w:val="24"/>
          <w:szCs w:val="24"/>
        </w:rPr>
        <w:t>(</w:t>
      </w:r>
      <w:r w:rsidR="00B165A1">
        <w:rPr>
          <w:sz w:val="24"/>
          <w:szCs w:val="24"/>
        </w:rPr>
        <w:t>ako je izvjestan</w:t>
      </w:r>
      <w:r w:rsidR="00B80B54">
        <w:rPr>
          <w:sz w:val="24"/>
          <w:szCs w:val="24"/>
        </w:rPr>
        <w:t xml:space="preserve"> rast kamatnih stopa</w:t>
      </w:r>
      <w:r w:rsidR="002F626A">
        <w:rPr>
          <w:sz w:val="24"/>
          <w:szCs w:val="24"/>
        </w:rPr>
        <w:t xml:space="preserve"> npr. zato što su veća inflacijska očekivanja</w:t>
      </w:r>
      <w:r w:rsidR="00B80B54">
        <w:rPr>
          <w:sz w:val="24"/>
          <w:szCs w:val="24"/>
        </w:rPr>
        <w:t>)</w:t>
      </w:r>
      <w:r w:rsidR="00B165A1">
        <w:rPr>
          <w:sz w:val="24"/>
          <w:szCs w:val="24"/>
        </w:rPr>
        <w:t xml:space="preserve">, </w:t>
      </w:r>
      <w:r w:rsidR="00AD4820">
        <w:rPr>
          <w:sz w:val="24"/>
          <w:szCs w:val="24"/>
        </w:rPr>
        <w:t xml:space="preserve">kao i za moguće </w:t>
      </w:r>
      <w:r w:rsidR="00B80B54">
        <w:rPr>
          <w:sz w:val="24"/>
          <w:szCs w:val="24"/>
        </w:rPr>
        <w:t xml:space="preserve">negativne tečajne razlike (ako su izvjesne </w:t>
      </w:r>
      <w:r w:rsidR="00AD4820">
        <w:rPr>
          <w:sz w:val="24"/>
          <w:szCs w:val="24"/>
        </w:rPr>
        <w:t>tečajne promjene u smislu slabljenja domaće valute</w:t>
      </w:r>
      <w:r w:rsidR="002F626A">
        <w:rPr>
          <w:sz w:val="24"/>
          <w:szCs w:val="24"/>
        </w:rPr>
        <w:t xml:space="preserve"> – npr. </w:t>
      </w:r>
      <w:r w:rsidR="003859D8">
        <w:rPr>
          <w:sz w:val="24"/>
          <w:szCs w:val="24"/>
        </w:rPr>
        <w:t xml:space="preserve">u slučaju </w:t>
      </w:r>
      <w:r w:rsidR="002F626A">
        <w:rPr>
          <w:sz w:val="24"/>
          <w:szCs w:val="24"/>
        </w:rPr>
        <w:t>manjeg priljeva deviza u Hrvatsku ili većeg odljeva deviza u inozemstvo</w:t>
      </w:r>
      <w:r w:rsidR="00B80B54">
        <w:rPr>
          <w:sz w:val="24"/>
          <w:szCs w:val="24"/>
        </w:rPr>
        <w:t>)</w:t>
      </w:r>
      <w:r w:rsidR="00B165A1">
        <w:rPr>
          <w:sz w:val="24"/>
          <w:szCs w:val="24"/>
        </w:rPr>
        <w:t xml:space="preserve">. Naime većina </w:t>
      </w:r>
      <w:r w:rsidR="00AD4820">
        <w:rPr>
          <w:sz w:val="24"/>
          <w:szCs w:val="24"/>
        </w:rPr>
        <w:t xml:space="preserve">dugoročnih kredita u RH odobrena </w:t>
      </w:r>
      <w:r w:rsidR="000A11CF">
        <w:rPr>
          <w:sz w:val="24"/>
          <w:szCs w:val="24"/>
        </w:rPr>
        <w:t xml:space="preserve">je </w:t>
      </w:r>
      <w:r w:rsidR="00AD4820">
        <w:rPr>
          <w:sz w:val="24"/>
          <w:szCs w:val="24"/>
        </w:rPr>
        <w:t>s valutnom klauzulom</w:t>
      </w:r>
      <w:r w:rsidR="00B165A1">
        <w:rPr>
          <w:sz w:val="24"/>
          <w:szCs w:val="24"/>
        </w:rPr>
        <w:t xml:space="preserve"> i uz promjenjivu kamatnu stopu</w:t>
      </w:r>
      <w:r w:rsidR="000A11CF">
        <w:rPr>
          <w:sz w:val="24"/>
          <w:szCs w:val="24"/>
        </w:rPr>
        <w:t xml:space="preserve"> (</w:t>
      </w:r>
      <w:r w:rsidR="00B165A1">
        <w:rPr>
          <w:sz w:val="24"/>
          <w:szCs w:val="24"/>
        </w:rPr>
        <w:t xml:space="preserve">pri čemu dok je kretanje tečaja kuna euro relativno stabilno, situacija je </w:t>
      </w:r>
      <w:r w:rsidR="0057393E">
        <w:rPr>
          <w:sz w:val="24"/>
          <w:szCs w:val="24"/>
        </w:rPr>
        <w:t xml:space="preserve">drugačija </w:t>
      </w:r>
      <w:r w:rsidR="00B165A1">
        <w:rPr>
          <w:sz w:val="24"/>
          <w:szCs w:val="24"/>
        </w:rPr>
        <w:t>kod kredita s valutnom klauzulom u CHF</w:t>
      </w:r>
      <w:r w:rsidR="000A11CF">
        <w:rPr>
          <w:sz w:val="24"/>
          <w:szCs w:val="24"/>
        </w:rPr>
        <w:t>)</w:t>
      </w:r>
      <w:r w:rsidR="00B165A1">
        <w:rPr>
          <w:sz w:val="24"/>
          <w:szCs w:val="24"/>
        </w:rPr>
        <w:t>.</w:t>
      </w:r>
      <w:r w:rsidR="008969ED" w:rsidRPr="008969ED">
        <w:rPr>
          <w:sz w:val="24"/>
          <w:szCs w:val="24"/>
          <w:vertAlign w:val="superscript"/>
        </w:rPr>
        <w:t xml:space="preserve"> </w:t>
      </w:r>
      <w:r w:rsidR="008969ED" w:rsidRPr="00086C6D">
        <w:rPr>
          <w:sz w:val="24"/>
          <w:szCs w:val="24"/>
          <w:vertAlign w:val="superscript"/>
        </w:rPr>
        <w:footnoteReference w:id="42"/>
      </w:r>
      <w:r w:rsidR="00B165A1">
        <w:rPr>
          <w:sz w:val="24"/>
          <w:szCs w:val="24"/>
        </w:rPr>
        <w:t xml:space="preserve"> </w:t>
      </w:r>
    </w:p>
    <w:p w:rsidR="00D42B15" w:rsidRDefault="00D42B15" w:rsidP="009B4972">
      <w:pPr>
        <w:jc w:val="both"/>
        <w:rPr>
          <w:sz w:val="24"/>
          <w:szCs w:val="24"/>
        </w:rPr>
      </w:pPr>
      <w:r>
        <w:rPr>
          <w:sz w:val="24"/>
          <w:szCs w:val="24"/>
        </w:rPr>
        <w:t xml:space="preserve">U planiranju budžeta </w:t>
      </w:r>
      <w:r w:rsidR="005F43EB">
        <w:rPr>
          <w:sz w:val="24"/>
          <w:szCs w:val="24"/>
        </w:rPr>
        <w:t>za naredno razdoblje potrebni</w:t>
      </w:r>
      <w:r w:rsidR="009B52BF">
        <w:rPr>
          <w:sz w:val="24"/>
          <w:szCs w:val="24"/>
        </w:rPr>
        <w:t xml:space="preserve"> su</w:t>
      </w:r>
      <w:r w:rsidR="005F43EB">
        <w:rPr>
          <w:sz w:val="24"/>
          <w:szCs w:val="24"/>
        </w:rPr>
        <w:t xml:space="preserve"> podaci o </w:t>
      </w:r>
      <w:r w:rsidR="00B165A1">
        <w:rPr>
          <w:sz w:val="24"/>
          <w:szCs w:val="24"/>
        </w:rPr>
        <w:t>mnogobrojn</w:t>
      </w:r>
      <w:r w:rsidR="005F43EB">
        <w:rPr>
          <w:sz w:val="24"/>
          <w:szCs w:val="24"/>
        </w:rPr>
        <w:t>im</w:t>
      </w:r>
      <w:r w:rsidR="00B165A1">
        <w:rPr>
          <w:sz w:val="24"/>
          <w:szCs w:val="24"/>
        </w:rPr>
        <w:t xml:space="preserve"> rashod</w:t>
      </w:r>
      <w:r w:rsidR="005F43EB">
        <w:rPr>
          <w:sz w:val="24"/>
          <w:szCs w:val="24"/>
        </w:rPr>
        <w:t>ima</w:t>
      </w:r>
      <w:r w:rsidR="00B165A1">
        <w:rPr>
          <w:sz w:val="24"/>
          <w:szCs w:val="24"/>
        </w:rPr>
        <w:t xml:space="preserve"> i izda</w:t>
      </w:r>
      <w:r w:rsidR="005F43EB">
        <w:rPr>
          <w:sz w:val="24"/>
          <w:szCs w:val="24"/>
        </w:rPr>
        <w:t>cima</w:t>
      </w:r>
      <w:r w:rsidR="00B165A1">
        <w:rPr>
          <w:sz w:val="24"/>
          <w:szCs w:val="24"/>
        </w:rPr>
        <w:t xml:space="preserve"> tijekom prošlog mjeseca i prošle godine</w:t>
      </w:r>
      <w:r w:rsidR="009B52BF">
        <w:rPr>
          <w:sz w:val="24"/>
          <w:szCs w:val="24"/>
        </w:rPr>
        <w:t xml:space="preserve"> te je stoga važno čuvati račune o podmirenim plaćanjima. U slučaju njihove nedostupnosti</w:t>
      </w:r>
      <w:r w:rsidR="00B165A1">
        <w:rPr>
          <w:sz w:val="24"/>
          <w:szCs w:val="24"/>
        </w:rPr>
        <w:t xml:space="preserve">, </w:t>
      </w:r>
      <w:r w:rsidR="005F43EB">
        <w:rPr>
          <w:sz w:val="24"/>
          <w:szCs w:val="24"/>
        </w:rPr>
        <w:t xml:space="preserve">djelomično </w:t>
      </w:r>
      <w:r>
        <w:rPr>
          <w:sz w:val="24"/>
          <w:szCs w:val="24"/>
        </w:rPr>
        <w:t xml:space="preserve">mogu pomoći izvadci prometa po tekućem računu koji evidentiraju </w:t>
      </w:r>
      <w:r w:rsidR="000A11CF">
        <w:rPr>
          <w:sz w:val="24"/>
          <w:szCs w:val="24"/>
        </w:rPr>
        <w:t xml:space="preserve">priljeve i odljeve s računa u </w:t>
      </w:r>
      <w:r w:rsidR="00981981">
        <w:rPr>
          <w:sz w:val="24"/>
          <w:szCs w:val="24"/>
        </w:rPr>
        <w:t>određenog razdoblja</w:t>
      </w:r>
      <w:r>
        <w:rPr>
          <w:sz w:val="24"/>
          <w:szCs w:val="24"/>
        </w:rPr>
        <w:t xml:space="preserve">, kao i različite aplikacije koje banke nude svojim </w:t>
      </w:r>
      <w:r w:rsidR="00B80B54">
        <w:rPr>
          <w:sz w:val="24"/>
          <w:szCs w:val="24"/>
        </w:rPr>
        <w:t>klijentima radi boljeg praćenja namjenske strukture izdataka</w:t>
      </w:r>
      <w:r>
        <w:rPr>
          <w:sz w:val="24"/>
          <w:szCs w:val="24"/>
        </w:rPr>
        <w:t xml:space="preserve">. </w:t>
      </w:r>
      <w:r w:rsidR="009C0230">
        <w:rPr>
          <w:sz w:val="24"/>
          <w:szCs w:val="24"/>
        </w:rPr>
        <w:t xml:space="preserve">Također mogu pomoći i izvadci učinjenih troškova po karticama s odgodom plaćanja i kreditnim karticama. </w:t>
      </w:r>
      <w:r w:rsidR="00981981">
        <w:rPr>
          <w:sz w:val="24"/>
          <w:szCs w:val="24"/>
        </w:rPr>
        <w:t>No</w:t>
      </w:r>
      <w:r w:rsidR="005F43EB">
        <w:rPr>
          <w:sz w:val="24"/>
          <w:szCs w:val="24"/>
        </w:rPr>
        <w:t xml:space="preserve">, </w:t>
      </w:r>
      <w:r w:rsidR="009C0230">
        <w:rPr>
          <w:sz w:val="24"/>
          <w:szCs w:val="24"/>
        </w:rPr>
        <w:t xml:space="preserve">u </w:t>
      </w:r>
      <w:r w:rsidR="004C7737">
        <w:rPr>
          <w:sz w:val="24"/>
          <w:szCs w:val="24"/>
        </w:rPr>
        <w:t xml:space="preserve">svakom slučaju </w:t>
      </w:r>
      <w:r w:rsidR="00981981">
        <w:rPr>
          <w:sz w:val="24"/>
          <w:szCs w:val="24"/>
        </w:rPr>
        <w:t xml:space="preserve">čak i uz dostupnost </w:t>
      </w:r>
      <w:r w:rsidR="005F43EB">
        <w:rPr>
          <w:sz w:val="24"/>
          <w:szCs w:val="24"/>
        </w:rPr>
        <w:t xml:space="preserve">cjelovitih </w:t>
      </w:r>
      <w:r w:rsidR="004C7737">
        <w:rPr>
          <w:sz w:val="24"/>
          <w:szCs w:val="24"/>
        </w:rPr>
        <w:t>prošlih financijskih podataka,</w:t>
      </w:r>
      <w:r w:rsidR="000A11CF">
        <w:rPr>
          <w:sz w:val="24"/>
          <w:szCs w:val="24"/>
        </w:rPr>
        <w:t xml:space="preserve"> </w:t>
      </w:r>
      <w:r w:rsidR="00981981" w:rsidRPr="009C0230">
        <w:rPr>
          <w:color w:val="C00000"/>
          <w:sz w:val="24"/>
          <w:szCs w:val="24"/>
        </w:rPr>
        <w:t xml:space="preserve">poželjno je određeno vrijeme voditi detaljnu </w:t>
      </w:r>
      <w:r w:rsidR="004C7737">
        <w:rPr>
          <w:color w:val="C00000"/>
          <w:sz w:val="24"/>
          <w:szCs w:val="24"/>
        </w:rPr>
        <w:t xml:space="preserve">pisanu </w:t>
      </w:r>
      <w:r w:rsidR="00981981" w:rsidRPr="009C0230">
        <w:rPr>
          <w:color w:val="C00000"/>
          <w:sz w:val="24"/>
          <w:szCs w:val="24"/>
        </w:rPr>
        <w:t xml:space="preserve">evidenciju o svim </w:t>
      </w:r>
      <w:r w:rsidR="00046291" w:rsidRPr="009C0230">
        <w:rPr>
          <w:color w:val="C00000"/>
          <w:sz w:val="24"/>
          <w:szCs w:val="24"/>
        </w:rPr>
        <w:t>prihodima i rashodima</w:t>
      </w:r>
      <w:r w:rsidR="00046291" w:rsidRPr="009C0230">
        <w:rPr>
          <w:sz w:val="24"/>
          <w:szCs w:val="24"/>
        </w:rPr>
        <w:t xml:space="preserve">, odnosno </w:t>
      </w:r>
      <w:r w:rsidR="00981981" w:rsidRPr="009C0230">
        <w:rPr>
          <w:sz w:val="24"/>
          <w:szCs w:val="24"/>
        </w:rPr>
        <w:t>primicima i izdacima</w:t>
      </w:r>
      <w:r w:rsidR="003859D8">
        <w:rPr>
          <w:sz w:val="24"/>
          <w:szCs w:val="24"/>
        </w:rPr>
        <w:t xml:space="preserve"> kućanstva</w:t>
      </w:r>
      <w:r w:rsidR="004C7737">
        <w:rPr>
          <w:sz w:val="24"/>
          <w:szCs w:val="24"/>
        </w:rPr>
        <w:t xml:space="preserve">. Konkretno jer je to najbolji put za </w:t>
      </w:r>
      <w:r w:rsidR="00981981" w:rsidRPr="009C0230">
        <w:rPr>
          <w:sz w:val="24"/>
          <w:szCs w:val="24"/>
        </w:rPr>
        <w:t>precizn</w:t>
      </w:r>
      <w:r w:rsidR="004C7737">
        <w:rPr>
          <w:sz w:val="24"/>
          <w:szCs w:val="24"/>
        </w:rPr>
        <w:t>o</w:t>
      </w:r>
      <w:r w:rsidR="00981981" w:rsidRPr="009C0230">
        <w:rPr>
          <w:sz w:val="24"/>
          <w:szCs w:val="24"/>
        </w:rPr>
        <w:t xml:space="preserve"> sagleda</w:t>
      </w:r>
      <w:r w:rsidR="004C7737">
        <w:rPr>
          <w:sz w:val="24"/>
          <w:szCs w:val="24"/>
        </w:rPr>
        <w:t>vanje</w:t>
      </w:r>
      <w:r w:rsidR="00981981" w:rsidRPr="009C0230">
        <w:rPr>
          <w:sz w:val="24"/>
          <w:szCs w:val="24"/>
        </w:rPr>
        <w:t xml:space="preserve"> mogućnosti određenih </w:t>
      </w:r>
      <w:r w:rsidR="00046291" w:rsidRPr="009C0230">
        <w:rPr>
          <w:sz w:val="24"/>
          <w:szCs w:val="24"/>
        </w:rPr>
        <w:t xml:space="preserve">pozitivnih </w:t>
      </w:r>
      <w:r w:rsidR="00981981" w:rsidRPr="009C0230">
        <w:rPr>
          <w:sz w:val="24"/>
          <w:szCs w:val="24"/>
        </w:rPr>
        <w:t>promjena</w:t>
      </w:r>
      <w:r w:rsidR="004C7737">
        <w:rPr>
          <w:sz w:val="24"/>
          <w:szCs w:val="24"/>
        </w:rPr>
        <w:t xml:space="preserve"> i ušteda</w:t>
      </w:r>
      <w:r w:rsidR="00981981" w:rsidRPr="009C0230">
        <w:rPr>
          <w:sz w:val="24"/>
          <w:szCs w:val="24"/>
        </w:rPr>
        <w:t xml:space="preserve"> u budućnosti.</w:t>
      </w:r>
      <w:r w:rsidR="005F43EB">
        <w:rPr>
          <w:sz w:val="24"/>
          <w:szCs w:val="24"/>
        </w:rPr>
        <w:t xml:space="preserve"> Odnosno još važnije</w:t>
      </w:r>
      <w:r w:rsidR="003859D8">
        <w:rPr>
          <w:sz w:val="24"/>
          <w:szCs w:val="24"/>
        </w:rPr>
        <w:t xml:space="preserve"> -</w:t>
      </w:r>
      <w:r w:rsidR="009C0230">
        <w:rPr>
          <w:sz w:val="24"/>
          <w:szCs w:val="24"/>
        </w:rPr>
        <w:t xml:space="preserve"> </w:t>
      </w:r>
      <w:r w:rsidR="005F43EB">
        <w:rPr>
          <w:sz w:val="24"/>
          <w:szCs w:val="24"/>
        </w:rPr>
        <w:t xml:space="preserve">da bi </w:t>
      </w:r>
      <w:r w:rsidR="005F43EB" w:rsidRPr="009C0230">
        <w:rPr>
          <w:color w:val="C00000"/>
          <w:sz w:val="24"/>
          <w:szCs w:val="24"/>
        </w:rPr>
        <w:t>ojačali svijest o svim rashodima (troškovima) gdje neki od njih možda nisu nužni ili se mogu smanjiti</w:t>
      </w:r>
      <w:r w:rsidR="005F43EB">
        <w:rPr>
          <w:sz w:val="24"/>
          <w:szCs w:val="24"/>
        </w:rPr>
        <w:t>.</w:t>
      </w:r>
    </w:p>
    <w:p w:rsidR="00315077" w:rsidRDefault="00F44C0C" w:rsidP="000A11CF">
      <w:pPr>
        <w:jc w:val="both"/>
        <w:rPr>
          <w:sz w:val="24"/>
          <w:szCs w:val="24"/>
        </w:rPr>
      </w:pPr>
      <w:r>
        <w:rPr>
          <w:sz w:val="24"/>
          <w:szCs w:val="24"/>
        </w:rPr>
        <w:t xml:space="preserve">Poznata je izreka da ne postoji podjela na male i velike troškove, nego samo </w:t>
      </w:r>
      <w:r w:rsidRPr="00E86CB5">
        <w:rPr>
          <w:sz w:val="24"/>
          <w:szCs w:val="24"/>
        </w:rPr>
        <w:t xml:space="preserve">podjela na </w:t>
      </w:r>
      <w:r w:rsidRPr="00E86CB5">
        <w:rPr>
          <w:color w:val="C00000"/>
          <w:sz w:val="24"/>
          <w:szCs w:val="24"/>
        </w:rPr>
        <w:t>potrebne i nepo</w:t>
      </w:r>
      <w:r w:rsidR="00046291" w:rsidRPr="00E86CB5">
        <w:rPr>
          <w:color w:val="C00000"/>
          <w:sz w:val="24"/>
          <w:szCs w:val="24"/>
        </w:rPr>
        <w:t>trebne troškove</w:t>
      </w:r>
      <w:r w:rsidR="007335EF" w:rsidRPr="00086C6D">
        <w:rPr>
          <w:sz w:val="24"/>
          <w:szCs w:val="24"/>
          <w:vertAlign w:val="superscript"/>
        </w:rPr>
        <w:footnoteReference w:id="43"/>
      </w:r>
      <w:r w:rsidR="00046291" w:rsidRPr="00E86CB5">
        <w:rPr>
          <w:color w:val="C00000"/>
          <w:sz w:val="24"/>
          <w:szCs w:val="24"/>
        </w:rPr>
        <w:t xml:space="preserve"> </w:t>
      </w:r>
      <w:r w:rsidR="00046291">
        <w:rPr>
          <w:sz w:val="24"/>
          <w:szCs w:val="24"/>
        </w:rPr>
        <w:t>pa upravo s tim</w:t>
      </w:r>
      <w:r>
        <w:rPr>
          <w:sz w:val="24"/>
          <w:szCs w:val="24"/>
        </w:rPr>
        <w:t xml:space="preserve"> na umu treba započeti proces racionalizacije</w:t>
      </w:r>
      <w:r w:rsidR="00046291">
        <w:rPr>
          <w:sz w:val="24"/>
          <w:szCs w:val="24"/>
        </w:rPr>
        <w:t xml:space="preserve"> potrošnje</w:t>
      </w:r>
      <w:r w:rsidR="0020068D">
        <w:rPr>
          <w:sz w:val="24"/>
          <w:szCs w:val="24"/>
        </w:rPr>
        <w:t>:</w:t>
      </w:r>
      <w:r w:rsidR="000A11CF">
        <w:rPr>
          <w:sz w:val="24"/>
          <w:szCs w:val="24"/>
        </w:rPr>
        <w:t xml:space="preserve"> izbjegavanje troškova koji nisu nužni</w:t>
      </w:r>
      <w:r>
        <w:rPr>
          <w:sz w:val="24"/>
          <w:szCs w:val="24"/>
        </w:rPr>
        <w:t xml:space="preserve">, kako bi kućanstvo </w:t>
      </w:r>
      <w:r w:rsidR="005F43EB">
        <w:rPr>
          <w:sz w:val="24"/>
          <w:szCs w:val="24"/>
        </w:rPr>
        <w:t xml:space="preserve">akumuliralo </w:t>
      </w:r>
      <w:r w:rsidR="00046291">
        <w:rPr>
          <w:sz w:val="24"/>
          <w:szCs w:val="24"/>
        </w:rPr>
        <w:t xml:space="preserve">rezerve </w:t>
      </w:r>
      <w:r w:rsidRPr="005F43EB">
        <w:rPr>
          <w:sz w:val="24"/>
          <w:szCs w:val="24"/>
        </w:rPr>
        <w:t>štednj</w:t>
      </w:r>
      <w:r w:rsidR="00046291" w:rsidRPr="005F43EB">
        <w:rPr>
          <w:sz w:val="24"/>
          <w:szCs w:val="24"/>
        </w:rPr>
        <w:t>e</w:t>
      </w:r>
      <w:r w:rsidR="0020068D">
        <w:rPr>
          <w:sz w:val="24"/>
          <w:szCs w:val="24"/>
        </w:rPr>
        <w:t xml:space="preserve"> /</w:t>
      </w:r>
      <w:r w:rsidR="000A11CF" w:rsidRPr="005F43EB">
        <w:rPr>
          <w:sz w:val="24"/>
          <w:szCs w:val="24"/>
        </w:rPr>
        <w:t xml:space="preserve"> smanjilo deficit</w:t>
      </w:r>
      <w:r w:rsidR="00046291" w:rsidRPr="005F43EB">
        <w:rPr>
          <w:sz w:val="24"/>
          <w:szCs w:val="24"/>
        </w:rPr>
        <w:t xml:space="preserve"> koji </w:t>
      </w:r>
      <w:r w:rsidR="003859D8">
        <w:rPr>
          <w:sz w:val="24"/>
          <w:szCs w:val="24"/>
        </w:rPr>
        <w:t>ga</w:t>
      </w:r>
      <w:r w:rsidR="00046291" w:rsidRPr="005F43EB">
        <w:rPr>
          <w:sz w:val="24"/>
          <w:szCs w:val="24"/>
        </w:rPr>
        <w:t xml:space="preserve"> primorava na povremeno</w:t>
      </w:r>
      <w:r w:rsidR="000A11CF" w:rsidRPr="005F43EB">
        <w:rPr>
          <w:sz w:val="24"/>
          <w:szCs w:val="24"/>
        </w:rPr>
        <w:t xml:space="preserve"> zaduživanj</w:t>
      </w:r>
      <w:r w:rsidR="00046291" w:rsidRPr="005F43EB">
        <w:rPr>
          <w:sz w:val="24"/>
          <w:szCs w:val="24"/>
        </w:rPr>
        <w:t>e</w:t>
      </w:r>
      <w:r w:rsidR="008D3CDA" w:rsidRPr="005F43EB">
        <w:rPr>
          <w:sz w:val="24"/>
          <w:szCs w:val="24"/>
        </w:rPr>
        <w:t>.</w:t>
      </w:r>
      <w:r w:rsidR="00315077">
        <w:rPr>
          <w:sz w:val="24"/>
          <w:szCs w:val="24"/>
        </w:rPr>
        <w:t xml:space="preserve"> </w:t>
      </w:r>
    </w:p>
    <w:p w:rsidR="00AC7B7D" w:rsidRDefault="00315077" w:rsidP="000A11CF">
      <w:pPr>
        <w:jc w:val="both"/>
        <w:rPr>
          <w:sz w:val="24"/>
          <w:szCs w:val="24"/>
        </w:rPr>
      </w:pPr>
      <w:r>
        <w:rPr>
          <w:sz w:val="24"/>
          <w:szCs w:val="24"/>
        </w:rPr>
        <w:t xml:space="preserve">Osnovni cilj upravljanja osobnim financijama je </w:t>
      </w:r>
      <w:r w:rsidR="00001A7D">
        <w:rPr>
          <w:sz w:val="24"/>
          <w:szCs w:val="24"/>
        </w:rPr>
        <w:t xml:space="preserve">postići situaciju u kojoj su </w:t>
      </w:r>
      <w:r>
        <w:rPr>
          <w:sz w:val="24"/>
          <w:szCs w:val="24"/>
        </w:rPr>
        <w:t xml:space="preserve">primanja </w:t>
      </w:r>
      <w:r w:rsidR="00001A7D">
        <w:rPr>
          <w:sz w:val="24"/>
          <w:szCs w:val="24"/>
        </w:rPr>
        <w:t>(zarađeni vlastiti prihodi) veći</w:t>
      </w:r>
      <w:r>
        <w:rPr>
          <w:sz w:val="24"/>
          <w:szCs w:val="24"/>
        </w:rPr>
        <w:t xml:space="preserve"> od troškova i izdataka. Način da se to ostvari je povećati prihode (naći dodatni izvor zarade</w:t>
      </w:r>
      <w:r w:rsidR="00041BC2">
        <w:rPr>
          <w:sz w:val="24"/>
          <w:szCs w:val="24"/>
        </w:rPr>
        <w:t>, npr. honorarni posao</w:t>
      </w:r>
      <w:r>
        <w:rPr>
          <w:sz w:val="24"/>
          <w:szCs w:val="24"/>
        </w:rPr>
        <w:t xml:space="preserve">), smanjiti rashode (troškove života) te eventualno prodati </w:t>
      </w:r>
      <w:r w:rsidR="00F040F6">
        <w:rPr>
          <w:sz w:val="24"/>
          <w:szCs w:val="24"/>
        </w:rPr>
        <w:t xml:space="preserve">ili iznajmiti </w:t>
      </w:r>
      <w:r>
        <w:rPr>
          <w:sz w:val="24"/>
          <w:szCs w:val="24"/>
        </w:rPr>
        <w:t>određenu imovinu koja nije potrebna jer ne donosi prihode a stvara rashode</w:t>
      </w:r>
      <w:r w:rsidR="00F040F6">
        <w:rPr>
          <w:sz w:val="24"/>
          <w:szCs w:val="24"/>
        </w:rPr>
        <w:t xml:space="preserve"> (restrukturiranje imovine). </w:t>
      </w:r>
      <w:r w:rsidR="00AC7B7D">
        <w:rPr>
          <w:sz w:val="24"/>
          <w:szCs w:val="24"/>
        </w:rPr>
        <w:t xml:space="preserve">Kako bi se povećala uspješnost djelovanja u tom pravcu važno je planiranje (sastavljanje budžeta i financijskog plana za buduća razdoblja), ali i svakodnevno praćenje da li se sve aktivnosti odvijaju kao što su planirane. Važna je i </w:t>
      </w:r>
      <w:r w:rsidR="00AC7B7D" w:rsidRPr="009C0230">
        <w:rPr>
          <w:color w:val="C00000"/>
          <w:sz w:val="24"/>
          <w:szCs w:val="24"/>
        </w:rPr>
        <w:t>samodisciplina</w:t>
      </w:r>
      <w:r w:rsidR="00C75C6E" w:rsidRPr="009C0230">
        <w:rPr>
          <w:color w:val="C00000"/>
          <w:sz w:val="24"/>
          <w:szCs w:val="24"/>
        </w:rPr>
        <w:t xml:space="preserve"> pojedinca te</w:t>
      </w:r>
      <w:r w:rsidR="00AC7B7D" w:rsidRPr="009C0230">
        <w:rPr>
          <w:color w:val="C00000"/>
          <w:sz w:val="24"/>
          <w:szCs w:val="24"/>
        </w:rPr>
        <w:t xml:space="preserve"> spremnost na povremeno odricanje</w:t>
      </w:r>
      <w:r w:rsidR="00C75C6E">
        <w:rPr>
          <w:sz w:val="24"/>
          <w:szCs w:val="24"/>
        </w:rPr>
        <w:t xml:space="preserve"> -</w:t>
      </w:r>
      <w:r w:rsidR="00AC7B7D">
        <w:rPr>
          <w:sz w:val="24"/>
          <w:szCs w:val="24"/>
        </w:rPr>
        <w:t xml:space="preserve"> imajući cijelo vrijeme na umu postavljene ekonomske i financijske ciljeve koji motiviraju pojedinca u upravljanju samim sobom. </w:t>
      </w:r>
      <w:r w:rsidR="00C75C6E">
        <w:rPr>
          <w:sz w:val="24"/>
          <w:szCs w:val="24"/>
        </w:rPr>
        <w:t>U kućanstvu koje uključuje veći broj osoba važna</w:t>
      </w:r>
      <w:r w:rsidR="00041BC2">
        <w:rPr>
          <w:sz w:val="24"/>
          <w:szCs w:val="24"/>
        </w:rPr>
        <w:t xml:space="preserve"> je</w:t>
      </w:r>
      <w:r w:rsidR="00C75C6E">
        <w:rPr>
          <w:sz w:val="24"/>
          <w:szCs w:val="24"/>
        </w:rPr>
        <w:t xml:space="preserve"> financijska disciplina svih članova, stoga postavljeni ciljevi </w:t>
      </w:r>
      <w:r w:rsidR="0020068D">
        <w:rPr>
          <w:sz w:val="24"/>
          <w:szCs w:val="24"/>
        </w:rPr>
        <w:t xml:space="preserve">trebaju biti svima </w:t>
      </w:r>
      <w:r w:rsidR="00C75C6E">
        <w:rPr>
          <w:sz w:val="24"/>
          <w:szCs w:val="24"/>
        </w:rPr>
        <w:t>poznati.</w:t>
      </w:r>
    </w:p>
    <w:p w:rsidR="00EC4F8C" w:rsidRDefault="00AC7B7D" w:rsidP="000A11CF">
      <w:pPr>
        <w:jc w:val="both"/>
        <w:rPr>
          <w:sz w:val="24"/>
          <w:szCs w:val="24"/>
        </w:rPr>
      </w:pPr>
      <w:r>
        <w:rPr>
          <w:sz w:val="24"/>
          <w:szCs w:val="24"/>
        </w:rPr>
        <w:lastRenderedPageBreak/>
        <w:t>Kako su izdaci za otplate kredita uglavnom dani i ne mogu se mijenjati, a slično vrijedi i kod brojnih rashoda koji se jednostavno ne mogu izbjeći</w:t>
      </w:r>
      <w:r w:rsidR="009C0230">
        <w:rPr>
          <w:sz w:val="24"/>
          <w:szCs w:val="24"/>
        </w:rPr>
        <w:t xml:space="preserve"> </w:t>
      </w:r>
      <w:r w:rsidR="009C0230" w:rsidRPr="009C0230">
        <w:rPr>
          <w:color w:val="C00000"/>
          <w:sz w:val="24"/>
          <w:szCs w:val="24"/>
        </w:rPr>
        <w:t>- fiksni troškovi i izdaci</w:t>
      </w:r>
      <w:r>
        <w:rPr>
          <w:sz w:val="24"/>
          <w:szCs w:val="24"/>
        </w:rPr>
        <w:t>, važno je promaći stavke na kojima je moguća ušteda</w:t>
      </w:r>
      <w:r w:rsidR="009C0230">
        <w:rPr>
          <w:sz w:val="24"/>
          <w:szCs w:val="24"/>
        </w:rPr>
        <w:t xml:space="preserve"> (varijabilni/ fleksibilni troškovi života). </w:t>
      </w:r>
      <w:r w:rsidR="00EC4F8C">
        <w:rPr>
          <w:sz w:val="24"/>
          <w:szCs w:val="24"/>
        </w:rPr>
        <w:t>To može uključiti: smanjenje izdataka za slatkiše</w:t>
      </w:r>
      <w:r w:rsidR="00041BC2">
        <w:rPr>
          <w:sz w:val="24"/>
          <w:szCs w:val="24"/>
        </w:rPr>
        <w:t>, cigarete i alkohol</w:t>
      </w:r>
      <w:r w:rsidR="00EC4F8C">
        <w:rPr>
          <w:sz w:val="24"/>
          <w:szCs w:val="24"/>
        </w:rPr>
        <w:t xml:space="preserve">, korištenje štednih žarulja radi smanjenja potrošnje električne energije, češće pripremanje hrane kod kuće umjesto odlaska u restoran jer su time troškovi života znatno niži, čitanje vijesti na web portalima umjesto dnevne kupovine novina, kupovinu odjeće koja </w:t>
      </w:r>
      <w:r w:rsidR="00C23E48">
        <w:rPr>
          <w:sz w:val="24"/>
          <w:szCs w:val="24"/>
        </w:rPr>
        <w:t>ne nosi poznatu marku</w:t>
      </w:r>
      <w:r w:rsidR="00EC4F8C">
        <w:rPr>
          <w:sz w:val="24"/>
          <w:szCs w:val="24"/>
        </w:rPr>
        <w:t xml:space="preserve"> a znatno je jeftinija, odlazak na posao biciklom umjesto automobilom, kupovinu hrane na akciji odnosno proizvođačkim ili trgovačkim popustima kroz praćenje dnevnih ponuda kod više trgovačkih lanaca istodobno, odlazak u kupovinu s popisom i strogo pridržavanje popisa, izbjegavanje prodajnih mjesta s ugodnom atmosferom koja potiče na kupovinu, </w:t>
      </w:r>
      <w:r w:rsidR="00041BC2">
        <w:rPr>
          <w:sz w:val="24"/>
          <w:szCs w:val="24"/>
        </w:rPr>
        <w:t xml:space="preserve">izbjegavanje odlaska u </w:t>
      </w:r>
      <w:r w:rsidR="00EC4F8C">
        <w:rPr>
          <w:sz w:val="24"/>
          <w:szCs w:val="24"/>
        </w:rPr>
        <w:t xml:space="preserve">kupovinu </w:t>
      </w:r>
      <w:r w:rsidR="00041BC2">
        <w:rPr>
          <w:sz w:val="24"/>
          <w:szCs w:val="24"/>
        </w:rPr>
        <w:t>kada je osoba gladna ili lošeg</w:t>
      </w:r>
      <w:r w:rsidR="00EC4F8C">
        <w:rPr>
          <w:sz w:val="24"/>
          <w:szCs w:val="24"/>
        </w:rPr>
        <w:t xml:space="preserve"> raspoloženja kako iracionalna potrošnja ne bi bila korištena kao </w:t>
      </w:r>
      <w:r w:rsidR="00041BC2">
        <w:rPr>
          <w:sz w:val="24"/>
          <w:szCs w:val="24"/>
        </w:rPr>
        <w:t>„</w:t>
      </w:r>
      <w:r w:rsidR="00EC4F8C">
        <w:rPr>
          <w:sz w:val="24"/>
          <w:szCs w:val="24"/>
        </w:rPr>
        <w:t>antidepresiv</w:t>
      </w:r>
      <w:r w:rsidR="00041BC2">
        <w:rPr>
          <w:sz w:val="24"/>
          <w:szCs w:val="24"/>
        </w:rPr>
        <w:t>“</w:t>
      </w:r>
      <w:r w:rsidR="00EC4F8C">
        <w:rPr>
          <w:sz w:val="24"/>
          <w:szCs w:val="24"/>
        </w:rPr>
        <w:t xml:space="preserve">, provođenje vikenda u prirodi i planiranju umjesto „na kavi“ i u šoping centrima itd. </w:t>
      </w:r>
    </w:p>
    <w:p w:rsidR="00BC2FE7" w:rsidRDefault="009C0230" w:rsidP="000A11CF">
      <w:pPr>
        <w:jc w:val="both"/>
        <w:rPr>
          <w:sz w:val="24"/>
          <w:szCs w:val="24"/>
        </w:rPr>
      </w:pPr>
      <w:r w:rsidRPr="005675D2">
        <w:rPr>
          <w:color w:val="C00000"/>
          <w:sz w:val="24"/>
          <w:szCs w:val="24"/>
        </w:rPr>
        <w:t xml:space="preserve">Racionalizacija </w:t>
      </w:r>
      <w:r w:rsidR="005675D2" w:rsidRPr="005675D2">
        <w:rPr>
          <w:color w:val="C00000"/>
          <w:sz w:val="24"/>
          <w:szCs w:val="24"/>
        </w:rPr>
        <w:t xml:space="preserve">varijabilnih izdataka na potrošnju </w:t>
      </w:r>
      <w:r w:rsidRPr="005675D2">
        <w:rPr>
          <w:color w:val="C00000"/>
          <w:sz w:val="24"/>
          <w:szCs w:val="24"/>
        </w:rPr>
        <w:t xml:space="preserve">je </w:t>
      </w:r>
      <w:r w:rsidR="005675D2">
        <w:rPr>
          <w:color w:val="C00000"/>
          <w:sz w:val="24"/>
          <w:szCs w:val="24"/>
        </w:rPr>
        <w:t xml:space="preserve">temeljni </w:t>
      </w:r>
      <w:r w:rsidRPr="005675D2">
        <w:rPr>
          <w:color w:val="C00000"/>
          <w:sz w:val="24"/>
          <w:szCs w:val="24"/>
        </w:rPr>
        <w:t xml:space="preserve">put </w:t>
      </w:r>
      <w:r w:rsidR="00EC4F8C">
        <w:rPr>
          <w:color w:val="C00000"/>
          <w:sz w:val="24"/>
          <w:szCs w:val="24"/>
        </w:rPr>
        <w:t>štednje</w:t>
      </w:r>
      <w:r w:rsidR="00EC4F8C" w:rsidRPr="00EC4F8C">
        <w:rPr>
          <w:sz w:val="24"/>
          <w:szCs w:val="24"/>
        </w:rPr>
        <w:t xml:space="preserve">, odnosno </w:t>
      </w:r>
      <w:r w:rsidRPr="00EC4F8C">
        <w:rPr>
          <w:sz w:val="24"/>
          <w:szCs w:val="24"/>
        </w:rPr>
        <w:t>ostvarivanja cilja pozitivne razlike</w:t>
      </w:r>
      <w:r w:rsidR="00AC7B7D" w:rsidRPr="00EC4F8C">
        <w:rPr>
          <w:sz w:val="24"/>
          <w:szCs w:val="24"/>
        </w:rPr>
        <w:t xml:space="preserve"> između prihoda </w:t>
      </w:r>
      <w:r w:rsidR="00F31F12" w:rsidRPr="00EC4F8C">
        <w:rPr>
          <w:sz w:val="24"/>
          <w:szCs w:val="24"/>
        </w:rPr>
        <w:t>kućanstva s jedne strane te</w:t>
      </w:r>
      <w:r w:rsidR="00AC7B7D" w:rsidRPr="00EC4F8C">
        <w:rPr>
          <w:sz w:val="24"/>
          <w:szCs w:val="24"/>
        </w:rPr>
        <w:t xml:space="preserve"> rashoda i izdataka </w:t>
      </w:r>
      <w:r w:rsidR="00F31F12" w:rsidRPr="00EC4F8C">
        <w:rPr>
          <w:sz w:val="24"/>
          <w:szCs w:val="24"/>
        </w:rPr>
        <w:t>s druge strane. P</w:t>
      </w:r>
      <w:r w:rsidR="00F31F12">
        <w:rPr>
          <w:sz w:val="24"/>
          <w:szCs w:val="24"/>
        </w:rPr>
        <w:t xml:space="preserve">ri tome je umjesto generaliziranog cilja </w:t>
      </w:r>
      <w:r w:rsidR="00EC4F8C">
        <w:rPr>
          <w:sz w:val="24"/>
          <w:szCs w:val="24"/>
        </w:rPr>
        <w:t>„</w:t>
      </w:r>
      <w:r w:rsidR="00F31F12">
        <w:rPr>
          <w:sz w:val="24"/>
          <w:szCs w:val="24"/>
        </w:rPr>
        <w:t>štednje</w:t>
      </w:r>
      <w:r w:rsidR="00EC4F8C">
        <w:rPr>
          <w:sz w:val="24"/>
          <w:szCs w:val="24"/>
        </w:rPr>
        <w:t>“</w:t>
      </w:r>
      <w:r w:rsidR="00F31F12">
        <w:rPr>
          <w:sz w:val="24"/>
          <w:szCs w:val="24"/>
        </w:rPr>
        <w:t xml:space="preserve"> daleko efikasnije planirati točno određen iznos </w:t>
      </w:r>
      <w:r>
        <w:rPr>
          <w:sz w:val="24"/>
          <w:szCs w:val="24"/>
        </w:rPr>
        <w:t xml:space="preserve">formiranja rezervi </w:t>
      </w:r>
      <w:r w:rsidR="00C75C6E">
        <w:rPr>
          <w:sz w:val="24"/>
          <w:szCs w:val="24"/>
        </w:rPr>
        <w:t xml:space="preserve">štednje </w:t>
      </w:r>
      <w:r w:rsidR="00AC7B7D">
        <w:rPr>
          <w:sz w:val="24"/>
          <w:szCs w:val="24"/>
        </w:rPr>
        <w:t>na mjesečnoj (godišnjoj) razini</w:t>
      </w:r>
      <w:r w:rsidR="00E85B3D">
        <w:rPr>
          <w:sz w:val="24"/>
          <w:szCs w:val="24"/>
        </w:rPr>
        <w:t xml:space="preserve">. </w:t>
      </w:r>
      <w:r w:rsidR="00E85B3D" w:rsidRPr="00E85B3D">
        <w:rPr>
          <w:color w:val="C00000"/>
          <w:sz w:val="24"/>
          <w:szCs w:val="24"/>
        </w:rPr>
        <w:t>F</w:t>
      </w:r>
      <w:r w:rsidR="00F31F12" w:rsidRPr="00E85B3D">
        <w:rPr>
          <w:color w:val="C00000"/>
          <w:sz w:val="24"/>
          <w:szCs w:val="24"/>
        </w:rPr>
        <w:t xml:space="preserve">inancijski ciljevi </w:t>
      </w:r>
      <w:r w:rsidR="00E85B3D" w:rsidRPr="00E85B3D">
        <w:rPr>
          <w:color w:val="C00000"/>
          <w:sz w:val="24"/>
          <w:szCs w:val="24"/>
        </w:rPr>
        <w:t xml:space="preserve">stoga </w:t>
      </w:r>
      <w:r w:rsidR="00F31F12" w:rsidRPr="00E85B3D">
        <w:rPr>
          <w:color w:val="C00000"/>
          <w:sz w:val="24"/>
          <w:szCs w:val="24"/>
        </w:rPr>
        <w:t>trebaju biti kvantitativno konkretizirani</w:t>
      </w:r>
      <w:r w:rsidR="00AC7B7D">
        <w:rPr>
          <w:sz w:val="24"/>
          <w:szCs w:val="24"/>
        </w:rPr>
        <w:t xml:space="preserve">. </w:t>
      </w:r>
      <w:r w:rsidR="00BC2FE7">
        <w:rPr>
          <w:sz w:val="24"/>
          <w:szCs w:val="24"/>
        </w:rPr>
        <w:t>Dodatno, nakon što se sastavljeni financijski plan počne implementirati, ciljani iznos štednje na mjesečnoj razini je važno izdvajati odmah (u roku dva dana) nakon što postanu dostupni prihodi, a ne s time odgađati tijekom mjeseca (u protivnom osoba lako dolazi u napast koristiti sredstava u drugu namjenu – za potrošnju). U tu svrhu poželjno je otvoriti trajni nalog temeljem kojeg se definirani iznos sredstva odmah prenosi u korist štednog instrumenta koji je izabran, npr. depozitnog računa oročene štednje u banci, stambenu štednju, životno osiguranje itd.</w:t>
      </w:r>
      <w:r w:rsidR="00041BC2">
        <w:rPr>
          <w:sz w:val="24"/>
          <w:szCs w:val="24"/>
        </w:rPr>
        <w:t>, a isto vrijedi i u slučaju poželjnosti otvaranja trajnog naloga za otplatu kredita.</w:t>
      </w:r>
    </w:p>
    <w:p w:rsidR="00EC4F8C" w:rsidRDefault="00EC4F8C" w:rsidP="000A11CF">
      <w:pPr>
        <w:jc w:val="both"/>
        <w:rPr>
          <w:sz w:val="24"/>
          <w:szCs w:val="24"/>
        </w:rPr>
      </w:pPr>
      <w:r>
        <w:rPr>
          <w:sz w:val="24"/>
          <w:szCs w:val="24"/>
        </w:rPr>
        <w:t>S</w:t>
      </w:r>
      <w:r w:rsidR="00AC7B7D">
        <w:rPr>
          <w:sz w:val="24"/>
          <w:szCs w:val="24"/>
        </w:rPr>
        <w:t xml:space="preserve"> aspekta samokontrole</w:t>
      </w:r>
      <w:r w:rsidR="00C75C6E">
        <w:rPr>
          <w:sz w:val="24"/>
          <w:szCs w:val="24"/>
        </w:rPr>
        <w:t>,</w:t>
      </w:r>
      <w:r w:rsidR="00AC7B7D">
        <w:rPr>
          <w:sz w:val="24"/>
          <w:szCs w:val="24"/>
        </w:rPr>
        <w:t xml:space="preserve"> </w:t>
      </w:r>
      <w:r w:rsidR="00124401">
        <w:rPr>
          <w:sz w:val="24"/>
          <w:szCs w:val="24"/>
        </w:rPr>
        <w:t xml:space="preserve">napore odricanja i </w:t>
      </w:r>
      <w:r w:rsidR="00AC7B7D">
        <w:rPr>
          <w:sz w:val="24"/>
          <w:szCs w:val="24"/>
        </w:rPr>
        <w:t xml:space="preserve">formiranje štednje je lakše </w:t>
      </w:r>
      <w:r w:rsidR="00124401">
        <w:rPr>
          <w:sz w:val="24"/>
          <w:szCs w:val="24"/>
        </w:rPr>
        <w:t xml:space="preserve">ostvariti </w:t>
      </w:r>
      <w:r w:rsidR="00AC7B7D">
        <w:rPr>
          <w:sz w:val="24"/>
          <w:szCs w:val="24"/>
        </w:rPr>
        <w:t xml:space="preserve">ako se </w:t>
      </w:r>
      <w:r w:rsidR="00F31F12">
        <w:rPr>
          <w:sz w:val="24"/>
          <w:szCs w:val="24"/>
        </w:rPr>
        <w:t xml:space="preserve">ciljanom iznosu mjesečne štednje </w:t>
      </w:r>
      <w:r w:rsidR="00AC7B7D">
        <w:rPr>
          <w:sz w:val="24"/>
          <w:szCs w:val="24"/>
        </w:rPr>
        <w:t>pridoda određena svrha</w:t>
      </w:r>
      <w:r w:rsidR="00041BC2">
        <w:rPr>
          <w:sz w:val="24"/>
          <w:szCs w:val="24"/>
        </w:rPr>
        <w:t>,</w:t>
      </w:r>
      <w:r w:rsidR="00F31F12">
        <w:rPr>
          <w:sz w:val="24"/>
          <w:szCs w:val="24"/>
        </w:rPr>
        <w:t xml:space="preserve"> tj. </w:t>
      </w:r>
      <w:r w:rsidR="00AC7B7D">
        <w:rPr>
          <w:sz w:val="24"/>
          <w:szCs w:val="24"/>
        </w:rPr>
        <w:t>cilj</w:t>
      </w:r>
      <w:r w:rsidR="00F31F12">
        <w:rPr>
          <w:sz w:val="24"/>
          <w:szCs w:val="24"/>
        </w:rPr>
        <w:t>evi</w:t>
      </w:r>
      <w:r w:rsidR="00AC7B7D">
        <w:rPr>
          <w:sz w:val="24"/>
          <w:szCs w:val="24"/>
        </w:rPr>
        <w:t xml:space="preserve"> i namjena u koju će se sredstva kasnije </w:t>
      </w:r>
      <w:r w:rsidR="00124401">
        <w:rPr>
          <w:sz w:val="24"/>
          <w:szCs w:val="24"/>
        </w:rPr>
        <w:t>koristiti</w:t>
      </w:r>
      <w:r w:rsidR="00F31F12">
        <w:rPr>
          <w:sz w:val="24"/>
          <w:szCs w:val="24"/>
        </w:rPr>
        <w:t xml:space="preserve"> (</w:t>
      </w:r>
      <w:r w:rsidR="00AC7B7D">
        <w:rPr>
          <w:sz w:val="24"/>
          <w:szCs w:val="24"/>
        </w:rPr>
        <w:t>bilo za koji mjesec ili godinu ili u razdoblju starosti)</w:t>
      </w:r>
      <w:r w:rsidR="00F31F12">
        <w:rPr>
          <w:sz w:val="24"/>
          <w:szCs w:val="24"/>
        </w:rPr>
        <w:t xml:space="preserve">. Konkretizirani cilj/ ciljevi tako postaju </w:t>
      </w:r>
      <w:r w:rsidR="00AC7B7D">
        <w:rPr>
          <w:sz w:val="24"/>
          <w:szCs w:val="24"/>
        </w:rPr>
        <w:t xml:space="preserve">motiv uz koji je financijski plan </w:t>
      </w:r>
      <w:r w:rsidR="00F31F12">
        <w:rPr>
          <w:sz w:val="24"/>
          <w:szCs w:val="24"/>
        </w:rPr>
        <w:t xml:space="preserve">i racionalizaciju troškova </w:t>
      </w:r>
      <w:r w:rsidR="00AC7B7D">
        <w:rPr>
          <w:sz w:val="24"/>
          <w:szCs w:val="24"/>
        </w:rPr>
        <w:t xml:space="preserve">daleko lakše izvršavati. U protivnom </w:t>
      </w:r>
      <w:r w:rsidR="00AC7B7D" w:rsidRPr="00041BC2">
        <w:rPr>
          <w:color w:val="C00000"/>
          <w:sz w:val="24"/>
          <w:szCs w:val="24"/>
        </w:rPr>
        <w:t xml:space="preserve">izrade financijskih planova </w:t>
      </w:r>
      <w:r w:rsidR="00C75C6E" w:rsidRPr="00041BC2">
        <w:rPr>
          <w:color w:val="C00000"/>
          <w:sz w:val="24"/>
          <w:szCs w:val="24"/>
        </w:rPr>
        <w:t xml:space="preserve">mogu izgubiti </w:t>
      </w:r>
      <w:r w:rsidR="00AC7B7D" w:rsidRPr="00041BC2">
        <w:rPr>
          <w:color w:val="C00000"/>
          <w:sz w:val="24"/>
          <w:szCs w:val="24"/>
        </w:rPr>
        <w:t>s</w:t>
      </w:r>
      <w:r w:rsidR="00041BC2" w:rsidRPr="00041BC2">
        <w:rPr>
          <w:color w:val="C00000"/>
          <w:sz w:val="24"/>
          <w:szCs w:val="24"/>
        </w:rPr>
        <w:t>misao</w:t>
      </w:r>
      <w:r w:rsidR="00AC7B7D" w:rsidRPr="00041BC2">
        <w:rPr>
          <w:color w:val="C00000"/>
          <w:sz w:val="24"/>
          <w:szCs w:val="24"/>
        </w:rPr>
        <w:t xml:space="preserve"> ako ih se pojedinac ne pridržava i ne teži ostvarenju ciljeva koje je postavio</w:t>
      </w:r>
      <w:r w:rsidR="00AC7B7D">
        <w:rPr>
          <w:sz w:val="24"/>
          <w:szCs w:val="24"/>
        </w:rPr>
        <w:t>.</w:t>
      </w:r>
      <w:r>
        <w:rPr>
          <w:sz w:val="24"/>
          <w:szCs w:val="24"/>
        </w:rPr>
        <w:t xml:space="preserve"> </w:t>
      </w:r>
    </w:p>
    <w:tbl>
      <w:tblPr>
        <w:tblStyle w:val="Reetkatablice"/>
        <w:tblW w:w="0" w:type="auto"/>
        <w:tblInd w:w="108" w:type="dxa"/>
        <w:tblLook w:val="01E0" w:firstRow="1" w:lastRow="1" w:firstColumn="1" w:lastColumn="1" w:noHBand="0" w:noVBand="0"/>
      </w:tblPr>
      <w:tblGrid>
        <w:gridCol w:w="9178"/>
      </w:tblGrid>
      <w:tr w:rsidR="00F01092" w:rsidTr="00F01092">
        <w:tc>
          <w:tcPr>
            <w:tcW w:w="9178" w:type="dxa"/>
            <w:shd w:val="clear" w:color="auto" w:fill="F2F2F2" w:themeFill="background1" w:themeFillShade="F2"/>
          </w:tcPr>
          <w:p w:rsidR="00F01092" w:rsidRDefault="00F01092" w:rsidP="00F01092">
            <w:pPr>
              <w:pStyle w:val="Default"/>
              <w:spacing w:before="120" w:after="120"/>
              <w:jc w:val="both"/>
              <w:rPr>
                <w:rFonts w:ascii="Times New Roman" w:hAnsi="Times New Roman" w:cs="Times New Roman"/>
              </w:rPr>
            </w:pPr>
            <w:r w:rsidRPr="00F01092">
              <w:rPr>
                <w:rFonts w:asciiTheme="minorHAnsi" w:eastAsiaTheme="minorHAnsi" w:hAnsiTheme="minorHAnsi" w:cstheme="minorBidi"/>
                <w:color w:val="auto"/>
                <w:lang w:eastAsia="en-US"/>
              </w:rPr>
              <w:t>Konkretni iznos štednje svakog kućanstva ovisi o njegovoj financijskoj poziciji i realnim mogućnostima. Postavljanje financijskih ciljeva stoga nikada ne može biti predmet mašte i sanjarenja (ma koliko god to dobro zvuči). Međutim, uz realno postavljanje financijskih ciljeva, financijsko planiranje i striktno pridržavanje plana - želje i snovi mogu se približiti stvarnosti.</w:t>
            </w:r>
          </w:p>
        </w:tc>
      </w:tr>
    </w:tbl>
    <w:p w:rsidR="00F31F12" w:rsidRDefault="00F31F12" w:rsidP="00F01092">
      <w:pPr>
        <w:spacing w:before="240"/>
        <w:jc w:val="both"/>
        <w:rPr>
          <w:sz w:val="24"/>
          <w:szCs w:val="24"/>
        </w:rPr>
      </w:pPr>
      <w:r>
        <w:rPr>
          <w:sz w:val="24"/>
          <w:szCs w:val="24"/>
        </w:rPr>
        <w:lastRenderedPageBreak/>
        <w:t xml:space="preserve">Osim za potrebe racionalizacije troškova, smanjenja deficita u budžetu kućanstva, odnosno formiranja rezervi štednje – financijsko planiranje važno je i s aspekta potrebe zaduživanja u svrhu kupovine stana, automobila ili drugih investicija i nabavke trajnih potrošnih dobara. </w:t>
      </w:r>
      <w:r w:rsidRPr="005675D2">
        <w:rPr>
          <w:color w:val="C00000"/>
          <w:sz w:val="24"/>
          <w:szCs w:val="24"/>
        </w:rPr>
        <w:t xml:space="preserve">Moguća štednja kao razlika prihoda i rashoda kućanstva određuje i maksimalni iznos </w:t>
      </w:r>
      <w:r w:rsidR="00041BC2">
        <w:rPr>
          <w:color w:val="C00000"/>
          <w:sz w:val="24"/>
          <w:szCs w:val="24"/>
        </w:rPr>
        <w:t xml:space="preserve">budućeg </w:t>
      </w:r>
      <w:r w:rsidRPr="005675D2">
        <w:rPr>
          <w:color w:val="C00000"/>
          <w:sz w:val="24"/>
          <w:szCs w:val="24"/>
        </w:rPr>
        <w:t>mjesečnog anuiteta otplate kredita</w:t>
      </w:r>
      <w:r>
        <w:rPr>
          <w:sz w:val="24"/>
          <w:szCs w:val="24"/>
        </w:rPr>
        <w:t xml:space="preserve">. No, kao što je već istaknuto zbog oscilacija kamatnjaka ili deviznog tečaja, iznosi mjesečnog anuiteta u budućim razdobljima mogu biti i veći nego što je bilo planirano u trenutku ocjene kreditne sposobnosti dužnika i isplate kredita. Zbog toga je poželjno planirati zaduživanje koje donosi mjesečne anuitete otplate na nižoj razini od planiranih mogućnosti štednje kućanstva. </w:t>
      </w:r>
    </w:p>
    <w:p w:rsidR="00BA661B" w:rsidRPr="00BA661B" w:rsidRDefault="00046291" w:rsidP="00046291">
      <w:pPr>
        <w:spacing w:before="240"/>
        <w:jc w:val="both"/>
        <w:rPr>
          <w:b/>
          <w:sz w:val="24"/>
          <w:szCs w:val="24"/>
        </w:rPr>
      </w:pPr>
      <w:r>
        <w:rPr>
          <w:b/>
          <w:sz w:val="24"/>
          <w:szCs w:val="24"/>
        </w:rPr>
        <w:t>2.2</w:t>
      </w:r>
      <w:r w:rsidR="00BA661B" w:rsidRPr="00BA661B">
        <w:rPr>
          <w:b/>
          <w:sz w:val="24"/>
          <w:szCs w:val="24"/>
        </w:rPr>
        <w:t>. Faze u procesu planiranja financijske pozicije pojedinca (kućanstva)</w:t>
      </w:r>
    </w:p>
    <w:p w:rsidR="0090653D" w:rsidRDefault="00BA661B" w:rsidP="0090653D">
      <w:pPr>
        <w:jc w:val="both"/>
        <w:rPr>
          <w:sz w:val="24"/>
          <w:szCs w:val="24"/>
        </w:rPr>
      </w:pPr>
      <w:r w:rsidRPr="00BA661B">
        <w:rPr>
          <w:sz w:val="24"/>
          <w:szCs w:val="24"/>
        </w:rPr>
        <w:t>Svaka osoba, odnosno kućanstvo imaju svoju jedinstvenu financijsku poziciju</w:t>
      </w:r>
      <w:r w:rsidR="00350C8F">
        <w:rPr>
          <w:sz w:val="24"/>
          <w:szCs w:val="24"/>
        </w:rPr>
        <w:t>, a ona osim o raspoloživim prihodima i nužnoj potrošnji ovisi o dobi i broju članova kućanstva, bračnom statusu, stabilnosti radnog mjesta, zanimanju itd.</w:t>
      </w:r>
      <w:r w:rsidR="0090653D">
        <w:rPr>
          <w:sz w:val="24"/>
          <w:szCs w:val="24"/>
        </w:rPr>
        <w:t xml:space="preserve"> Za mlade koji su upravo završili školovanje</w:t>
      </w:r>
      <w:r w:rsidR="00041BC2">
        <w:rPr>
          <w:sz w:val="24"/>
          <w:szCs w:val="24"/>
        </w:rPr>
        <w:t>,</w:t>
      </w:r>
      <w:r w:rsidR="0090653D">
        <w:rPr>
          <w:sz w:val="24"/>
          <w:szCs w:val="24"/>
        </w:rPr>
        <w:t xml:space="preserve"> financijske aktivnosti uglavnom su usmjerene na postizanje financijske samostalnosti. Za mlade bračne parove s djecom financijske aktivnosti su vezane uz rješavanje stambenog pitanja, dok </w:t>
      </w:r>
      <w:r w:rsidR="001870F0">
        <w:rPr>
          <w:sz w:val="24"/>
          <w:szCs w:val="24"/>
        </w:rPr>
        <w:t>je</w:t>
      </w:r>
      <w:r w:rsidR="0090653D">
        <w:rPr>
          <w:sz w:val="24"/>
          <w:szCs w:val="24"/>
        </w:rPr>
        <w:t xml:space="preserve"> za osobe u srednjoj odrasloj dobi (posebno ukoliko su roditelji) karakteristično izdvajanje za mješovito životno osiguranje kao nadopuna klasičnoj štednji u banci. Dodatno, srednja i zrela odrasla dob često se veže uz financijske aktivnosti sklapanja i plaćanja dobrovoljnog mirovinskog i zdravstvenog osiguranja. Starija odrasla dob je vezana uz veće izdatke za zdravstvene potrebe</w:t>
      </w:r>
      <w:r w:rsidR="001870F0">
        <w:rPr>
          <w:sz w:val="24"/>
          <w:szCs w:val="24"/>
        </w:rPr>
        <w:t xml:space="preserve"> itd.</w:t>
      </w:r>
      <w:r w:rsidR="0090653D">
        <w:rPr>
          <w:sz w:val="24"/>
          <w:szCs w:val="24"/>
        </w:rPr>
        <w:t xml:space="preserve"> </w:t>
      </w:r>
    </w:p>
    <w:p w:rsidR="003B7ED2" w:rsidRPr="003B7ED2" w:rsidRDefault="003B7ED2" w:rsidP="003B7ED2">
      <w:pPr>
        <w:spacing w:before="240"/>
        <w:jc w:val="both"/>
        <w:rPr>
          <w:b/>
          <w:sz w:val="24"/>
          <w:szCs w:val="24"/>
        </w:rPr>
      </w:pPr>
      <w:r w:rsidRPr="003B7ED2">
        <w:rPr>
          <w:b/>
          <w:sz w:val="24"/>
          <w:szCs w:val="24"/>
        </w:rPr>
        <w:t>Slika 17. Faze planiranja osobnih financija</w:t>
      </w:r>
    </w:p>
    <w:p w:rsidR="00F01092" w:rsidRDefault="006665E4" w:rsidP="00F01092">
      <w:pPr>
        <w:jc w:val="both"/>
        <w:rPr>
          <w:rFonts w:ascii="Times New Roman" w:hAnsi="Times New Roman" w:cs="Times New Roman"/>
        </w:rPr>
      </w:pPr>
      <w:r>
        <w:rPr>
          <w:rFonts w:ascii="TimesNewRoman" w:eastAsia="Times New Roman" w:hAnsi="TimesNewRoman" w:cs="TimesNewRoman"/>
          <w:noProof/>
          <w:sz w:val="24"/>
          <w:szCs w:val="24"/>
          <w:lang w:eastAsia="hr-HR"/>
        </w:rPr>
        <w:drawing>
          <wp:inline distT="0" distB="0" distL="0" distR="0" wp14:anchorId="60AAA766" wp14:editId="0DE4E054">
            <wp:extent cx="5591175" cy="3409950"/>
            <wp:effectExtent l="0" t="0" r="0" b="57150"/>
            <wp:docPr id="31" name="Dij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AA0589" w:rsidRPr="00AA0589" w:rsidRDefault="00AA0589" w:rsidP="00D81053">
      <w:pPr>
        <w:jc w:val="both"/>
        <w:rPr>
          <w:sz w:val="20"/>
          <w:szCs w:val="20"/>
        </w:rPr>
      </w:pPr>
      <w:r w:rsidRPr="00AA0589">
        <w:rPr>
          <w:sz w:val="20"/>
          <w:szCs w:val="20"/>
        </w:rPr>
        <w:t>Izvor: uz manje izmjene: Kappor, J.R. i drugi (20</w:t>
      </w:r>
      <w:r>
        <w:rPr>
          <w:sz w:val="20"/>
          <w:szCs w:val="20"/>
        </w:rPr>
        <w:t>0</w:t>
      </w:r>
      <w:r w:rsidRPr="00AA0589">
        <w:rPr>
          <w:sz w:val="20"/>
          <w:szCs w:val="20"/>
        </w:rPr>
        <w:t xml:space="preserve">4.) „Personal finance“, </w:t>
      </w:r>
      <w:r w:rsidRPr="00AA0589">
        <w:rPr>
          <w:rFonts w:cs="Arial"/>
          <w:color w:val="333333"/>
          <w:sz w:val="20"/>
          <w:szCs w:val="20"/>
          <w:shd w:val="clear" w:color="auto" w:fill="FFFFFF"/>
        </w:rPr>
        <w:t>McGraw-Hill</w:t>
      </w:r>
      <w:r w:rsidRPr="00AA0589">
        <w:rPr>
          <w:rStyle w:val="apple-converted-space"/>
          <w:rFonts w:cs="Arial"/>
          <w:color w:val="333333"/>
          <w:sz w:val="20"/>
          <w:szCs w:val="20"/>
          <w:shd w:val="clear" w:color="auto" w:fill="FFFFFF"/>
        </w:rPr>
        <w:t> </w:t>
      </w:r>
    </w:p>
    <w:p w:rsidR="00D81053" w:rsidRPr="00BA661B" w:rsidRDefault="00D81053" w:rsidP="00D81053">
      <w:pPr>
        <w:jc w:val="both"/>
        <w:rPr>
          <w:sz w:val="24"/>
          <w:szCs w:val="24"/>
        </w:rPr>
      </w:pPr>
      <w:r>
        <w:rPr>
          <w:sz w:val="24"/>
          <w:szCs w:val="24"/>
        </w:rPr>
        <w:lastRenderedPageBreak/>
        <w:t>Uzimajući u obzir sve navedeno, s</w:t>
      </w:r>
      <w:r w:rsidRPr="00BA661B">
        <w:rPr>
          <w:sz w:val="24"/>
          <w:szCs w:val="24"/>
        </w:rPr>
        <w:t xml:space="preserve">vaka financijska aktivnost </w:t>
      </w:r>
      <w:r>
        <w:rPr>
          <w:sz w:val="24"/>
          <w:szCs w:val="24"/>
        </w:rPr>
        <w:t xml:space="preserve">u pojedinačnoj etapi životnog ciklusa </w:t>
      </w:r>
      <w:r w:rsidRPr="00BA661B">
        <w:rPr>
          <w:sz w:val="24"/>
          <w:szCs w:val="24"/>
        </w:rPr>
        <w:t xml:space="preserve">treba biti planirana u skladu s realnim mogućnostima zadovoljavanja specifičnih potreba </w:t>
      </w:r>
      <w:r>
        <w:rPr>
          <w:sz w:val="24"/>
          <w:szCs w:val="24"/>
        </w:rPr>
        <w:t xml:space="preserve">(pojedinca, kućanstva) </w:t>
      </w:r>
      <w:r w:rsidRPr="00BA661B">
        <w:rPr>
          <w:sz w:val="24"/>
          <w:szCs w:val="24"/>
        </w:rPr>
        <w:t xml:space="preserve">te na način koji pridonosi povećanju efikasnosti upravljanja svakom raspoloživom jedinicom novca. </w:t>
      </w:r>
      <w:r>
        <w:rPr>
          <w:sz w:val="24"/>
          <w:szCs w:val="24"/>
        </w:rPr>
        <w:t xml:space="preserve">Međutim, da bi se sagledale mogućnosti povećanja efikasnosti upravljanja financijama u budućnosti odnosno postavili adekvatni ekonomski i financijski ciljevi, potrebno je analizirati ostvarenja u prošlom i tekućem razdoblju. </w:t>
      </w:r>
      <w:r w:rsidR="00AA0589">
        <w:rPr>
          <w:sz w:val="24"/>
          <w:szCs w:val="24"/>
        </w:rPr>
        <w:t>Prva faza planiranja osobnih financija je stoga određivanje trenutne financijske pozicije (slika 17).</w:t>
      </w:r>
    </w:p>
    <w:p w:rsidR="002F626A" w:rsidRDefault="002F626A" w:rsidP="002F626A">
      <w:pPr>
        <w:spacing w:before="240"/>
        <w:jc w:val="both"/>
        <w:rPr>
          <w:sz w:val="24"/>
          <w:szCs w:val="24"/>
        </w:rPr>
      </w:pPr>
      <w:r>
        <w:rPr>
          <w:sz w:val="24"/>
          <w:szCs w:val="24"/>
        </w:rPr>
        <w:t>O</w:t>
      </w:r>
      <w:r w:rsidRPr="004748D2">
        <w:rPr>
          <w:sz w:val="24"/>
          <w:szCs w:val="24"/>
        </w:rPr>
        <w:t xml:space="preserve">stvarivanje </w:t>
      </w:r>
      <w:r>
        <w:rPr>
          <w:sz w:val="24"/>
          <w:szCs w:val="24"/>
        </w:rPr>
        <w:t xml:space="preserve">ekonomskih i financijskih ciljeva </w:t>
      </w:r>
      <w:r w:rsidRPr="004748D2">
        <w:rPr>
          <w:sz w:val="24"/>
          <w:szCs w:val="24"/>
        </w:rPr>
        <w:t>definirano je eksternim prilikama i prijetnjama te unutarnjom snagom i slabostima. Stoga je „kovanje planova“ i stvaranje vizije beskorisno ukoliko se ne utvrdi trenutna financijska situacija</w:t>
      </w:r>
      <w:r>
        <w:rPr>
          <w:sz w:val="24"/>
          <w:szCs w:val="24"/>
        </w:rPr>
        <w:t>,</w:t>
      </w:r>
      <w:r w:rsidRPr="004748D2">
        <w:rPr>
          <w:sz w:val="24"/>
          <w:szCs w:val="24"/>
        </w:rPr>
        <w:t xml:space="preserve"> </w:t>
      </w:r>
      <w:r>
        <w:rPr>
          <w:sz w:val="24"/>
          <w:szCs w:val="24"/>
        </w:rPr>
        <w:t xml:space="preserve">odnosno </w:t>
      </w:r>
      <w:r w:rsidRPr="004748D2">
        <w:rPr>
          <w:sz w:val="24"/>
          <w:szCs w:val="24"/>
        </w:rPr>
        <w:t>realne mogućnosti za postizanje određenih ciljeva i promjena</w:t>
      </w:r>
      <w:r>
        <w:rPr>
          <w:sz w:val="24"/>
          <w:szCs w:val="24"/>
        </w:rPr>
        <w:t>, npr. formiranja određenog iznosa rezervi štednje s određenom svrhom</w:t>
      </w:r>
      <w:r w:rsidRPr="004748D2">
        <w:rPr>
          <w:sz w:val="24"/>
          <w:szCs w:val="24"/>
        </w:rPr>
        <w:t xml:space="preserve">. Racionalan pristup određivanju financijskih ciljeva zahtijeva preispitivanje </w:t>
      </w:r>
      <w:r>
        <w:rPr>
          <w:sz w:val="24"/>
          <w:szCs w:val="24"/>
        </w:rPr>
        <w:t xml:space="preserve">i </w:t>
      </w:r>
      <w:r w:rsidRPr="00D93222">
        <w:rPr>
          <w:color w:val="C00000"/>
          <w:sz w:val="24"/>
          <w:szCs w:val="24"/>
        </w:rPr>
        <w:t>razgraničenje mogućih ciljeva na potrebe i želje</w:t>
      </w:r>
      <w:r w:rsidRPr="004748D2">
        <w:rPr>
          <w:sz w:val="24"/>
          <w:szCs w:val="24"/>
        </w:rPr>
        <w:t xml:space="preserve">, odnosno razgraničenja na ono što se može i treba učiniti u odnosu na ono što se samo priželjkuje. </w:t>
      </w:r>
    </w:p>
    <w:p w:rsidR="002F626A" w:rsidRDefault="002F626A" w:rsidP="002F626A">
      <w:pPr>
        <w:spacing w:before="240"/>
        <w:jc w:val="both"/>
        <w:rPr>
          <w:sz w:val="24"/>
          <w:szCs w:val="24"/>
        </w:rPr>
      </w:pPr>
      <w:r>
        <w:rPr>
          <w:sz w:val="24"/>
          <w:szCs w:val="24"/>
        </w:rPr>
        <w:t xml:space="preserve">Treći </w:t>
      </w:r>
      <w:r w:rsidRPr="004748D2">
        <w:rPr>
          <w:sz w:val="24"/>
          <w:szCs w:val="24"/>
        </w:rPr>
        <w:t>korak je identifikacija mogućih alternativa u postizanju ciljeva</w:t>
      </w:r>
      <w:r w:rsidR="00E85B3D">
        <w:rPr>
          <w:sz w:val="24"/>
          <w:szCs w:val="24"/>
        </w:rPr>
        <w:t>. Na primjer</w:t>
      </w:r>
      <w:r>
        <w:rPr>
          <w:sz w:val="24"/>
          <w:szCs w:val="24"/>
        </w:rPr>
        <w:t xml:space="preserve"> štednja za starost se može kumulirati kroz mirovinsko dobrovoljno osiguranje ali i na brojne druge načine te izdvajanjima u različitim iznosima tijekom radnog vijeka. Slijedeći korak je stoga </w:t>
      </w:r>
      <w:r w:rsidRPr="004748D2">
        <w:rPr>
          <w:sz w:val="24"/>
          <w:szCs w:val="24"/>
        </w:rPr>
        <w:t>valorizacija alternativa kroz analizu troškova i koristi ostvarivanja postavljenih ciljeva te analizu troškova i koristi potencijalnih strategija za njihovo ostvarivanje. Naposljetku, nakon što se pronađe optimalno rješenje i započne implementacija plana financijskih aktivnosti, potrebno je s vremenom na vrijeme preispitati valjanost planova (recenzija i revizija plana) s obzirom na promjene koje se događaju u okolini, a koje mogu ugroziti ostvarivanje postavljenih ciljeva.</w:t>
      </w:r>
    </w:p>
    <w:p w:rsidR="00D24738" w:rsidRPr="00BA661B" w:rsidRDefault="00D24738" w:rsidP="0090653D">
      <w:pPr>
        <w:spacing w:before="240"/>
        <w:jc w:val="both"/>
        <w:rPr>
          <w:sz w:val="24"/>
          <w:szCs w:val="24"/>
        </w:rPr>
      </w:pPr>
      <w:r w:rsidRPr="00BA661B">
        <w:rPr>
          <w:sz w:val="24"/>
          <w:szCs w:val="24"/>
        </w:rPr>
        <w:t xml:space="preserve">Planiranje osobnih financija treba biti u funkciji povećanja kvalitete života i osobnog zadovoljstva. Ono treba povećati djelotvornost upravljanja kućnim budžetom te ukupnom imovinom i obvezama </w:t>
      </w:r>
      <w:r>
        <w:rPr>
          <w:sz w:val="24"/>
          <w:szCs w:val="24"/>
        </w:rPr>
        <w:t xml:space="preserve">tijekom </w:t>
      </w:r>
      <w:r w:rsidRPr="00BA661B">
        <w:rPr>
          <w:sz w:val="24"/>
          <w:szCs w:val="24"/>
        </w:rPr>
        <w:t>životnog ciklusa. Planiranjem vlastitih financija moguće je:</w:t>
      </w:r>
    </w:p>
    <w:p w:rsidR="00D24738" w:rsidRPr="00BA661B" w:rsidRDefault="00D24738" w:rsidP="006F1C04">
      <w:pPr>
        <w:numPr>
          <w:ilvl w:val="0"/>
          <w:numId w:val="12"/>
        </w:numPr>
        <w:spacing w:after="0" w:line="240" w:lineRule="auto"/>
        <w:jc w:val="both"/>
        <w:rPr>
          <w:sz w:val="24"/>
          <w:szCs w:val="24"/>
        </w:rPr>
      </w:pPr>
      <w:r w:rsidRPr="00BA661B">
        <w:rPr>
          <w:sz w:val="24"/>
          <w:szCs w:val="24"/>
        </w:rPr>
        <w:t>smanjiti neizvjesnost u pogledu dostatnosti novca potrebnog za financiranje životnih potreba u budućnosti,</w:t>
      </w:r>
    </w:p>
    <w:p w:rsidR="00D24738" w:rsidRPr="00BA661B" w:rsidRDefault="00D24738" w:rsidP="006F1C04">
      <w:pPr>
        <w:numPr>
          <w:ilvl w:val="0"/>
          <w:numId w:val="12"/>
        </w:numPr>
        <w:spacing w:after="0" w:line="240" w:lineRule="auto"/>
        <w:jc w:val="both"/>
        <w:rPr>
          <w:sz w:val="24"/>
          <w:szCs w:val="24"/>
        </w:rPr>
      </w:pPr>
      <w:r w:rsidRPr="00BA661B">
        <w:rPr>
          <w:sz w:val="24"/>
          <w:szCs w:val="24"/>
        </w:rPr>
        <w:t>smanjiti vjerojatnost pojave financijskih poteškoća</w:t>
      </w:r>
    </w:p>
    <w:p w:rsidR="00D24738" w:rsidRPr="00BA661B" w:rsidRDefault="00D24738" w:rsidP="006F1C04">
      <w:pPr>
        <w:numPr>
          <w:ilvl w:val="0"/>
          <w:numId w:val="12"/>
        </w:numPr>
        <w:spacing w:after="0" w:line="240" w:lineRule="auto"/>
        <w:jc w:val="both"/>
        <w:rPr>
          <w:sz w:val="24"/>
          <w:szCs w:val="24"/>
        </w:rPr>
      </w:pPr>
      <w:r w:rsidRPr="00BA661B">
        <w:rPr>
          <w:sz w:val="24"/>
          <w:szCs w:val="24"/>
        </w:rPr>
        <w:t>smanjiti nepotrebne rashode za plaćanje kamata, tekuće održavanje „nepotrebne“ imovine</w:t>
      </w:r>
    </w:p>
    <w:p w:rsidR="00D24738" w:rsidRPr="00BA661B" w:rsidRDefault="00D24738" w:rsidP="006F1C04">
      <w:pPr>
        <w:numPr>
          <w:ilvl w:val="0"/>
          <w:numId w:val="12"/>
        </w:numPr>
        <w:spacing w:after="0" w:line="240" w:lineRule="auto"/>
        <w:jc w:val="both"/>
        <w:rPr>
          <w:sz w:val="24"/>
          <w:szCs w:val="24"/>
        </w:rPr>
      </w:pPr>
      <w:r w:rsidRPr="00BA661B">
        <w:rPr>
          <w:sz w:val="24"/>
          <w:szCs w:val="24"/>
        </w:rPr>
        <w:t>povećati prihode</w:t>
      </w:r>
    </w:p>
    <w:p w:rsidR="00D24738" w:rsidRPr="00BA661B" w:rsidRDefault="00D24738" w:rsidP="006F1C04">
      <w:pPr>
        <w:numPr>
          <w:ilvl w:val="0"/>
          <w:numId w:val="12"/>
        </w:numPr>
        <w:spacing w:after="0" w:line="240" w:lineRule="auto"/>
        <w:jc w:val="both"/>
        <w:rPr>
          <w:sz w:val="24"/>
          <w:szCs w:val="24"/>
        </w:rPr>
      </w:pPr>
      <w:r w:rsidRPr="00BA661B">
        <w:rPr>
          <w:sz w:val="24"/>
          <w:szCs w:val="24"/>
        </w:rPr>
        <w:t>povećati neto vrijednost imovine (bogatstvo)</w:t>
      </w:r>
    </w:p>
    <w:p w:rsidR="00D24738" w:rsidRPr="00BA661B" w:rsidRDefault="00D24738" w:rsidP="006F1C04">
      <w:pPr>
        <w:numPr>
          <w:ilvl w:val="0"/>
          <w:numId w:val="12"/>
        </w:numPr>
        <w:spacing w:after="0" w:line="240" w:lineRule="auto"/>
        <w:jc w:val="both"/>
        <w:rPr>
          <w:sz w:val="24"/>
          <w:szCs w:val="24"/>
        </w:rPr>
      </w:pPr>
      <w:r w:rsidRPr="00BA661B">
        <w:rPr>
          <w:sz w:val="24"/>
          <w:szCs w:val="24"/>
        </w:rPr>
        <w:t xml:space="preserve">izbjeći situacije pretjerane zaduženosti, bankrota </w:t>
      </w:r>
      <w:r>
        <w:rPr>
          <w:sz w:val="24"/>
          <w:szCs w:val="24"/>
        </w:rPr>
        <w:t xml:space="preserve">(nesolventnosti) </w:t>
      </w:r>
      <w:r w:rsidRPr="00BA661B">
        <w:rPr>
          <w:sz w:val="24"/>
          <w:szCs w:val="24"/>
        </w:rPr>
        <w:t xml:space="preserve">ili bilo kojeg oblika financijske ovisnosti o drugima. </w:t>
      </w:r>
    </w:p>
    <w:p w:rsidR="00D93222" w:rsidRDefault="00D24738" w:rsidP="004748D2">
      <w:pPr>
        <w:spacing w:before="240"/>
        <w:jc w:val="both"/>
        <w:rPr>
          <w:sz w:val="24"/>
          <w:szCs w:val="24"/>
        </w:rPr>
      </w:pPr>
      <w:r>
        <w:rPr>
          <w:sz w:val="24"/>
          <w:szCs w:val="24"/>
        </w:rPr>
        <w:t>Međutim, nije dovoljno samo napraviti plan, daleko je važnije ali i teže na njemu ustrajati te razviti adekvatnu financijsku strategiju kroz koju će se postavljeni ciljevi ostvariti. F</w:t>
      </w:r>
      <w:r w:rsidR="00D93222">
        <w:rPr>
          <w:sz w:val="24"/>
          <w:szCs w:val="24"/>
        </w:rPr>
        <w:t xml:space="preserve">aze planiranja od 2. do 6. </w:t>
      </w:r>
      <w:r>
        <w:rPr>
          <w:sz w:val="24"/>
          <w:szCs w:val="24"/>
        </w:rPr>
        <w:t xml:space="preserve">na slici 17 </w:t>
      </w:r>
      <w:r w:rsidR="00D93222">
        <w:rPr>
          <w:sz w:val="24"/>
          <w:szCs w:val="24"/>
        </w:rPr>
        <w:t xml:space="preserve">praktično predstavljaju </w:t>
      </w:r>
      <w:r w:rsidR="00D93222" w:rsidRPr="00D93222">
        <w:rPr>
          <w:color w:val="C00000"/>
          <w:sz w:val="24"/>
          <w:szCs w:val="24"/>
        </w:rPr>
        <w:t>financijsku strategiju</w:t>
      </w:r>
      <w:r w:rsidR="00D93222">
        <w:rPr>
          <w:sz w:val="24"/>
          <w:szCs w:val="24"/>
        </w:rPr>
        <w:t>.</w:t>
      </w:r>
      <w:r w:rsidR="000B2598">
        <w:rPr>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0"/>
      </w:tblGrid>
      <w:tr w:rsidR="00D93222" w:rsidRPr="003651E8" w:rsidTr="000B2598">
        <w:tc>
          <w:tcPr>
            <w:tcW w:w="9180" w:type="dxa"/>
            <w:shd w:val="clear" w:color="auto" w:fill="F2F2F2" w:themeFill="background1" w:themeFillShade="F2"/>
          </w:tcPr>
          <w:p w:rsidR="00D93222" w:rsidRPr="00D93222" w:rsidRDefault="00D93222" w:rsidP="00C23E48">
            <w:pPr>
              <w:autoSpaceDE w:val="0"/>
              <w:autoSpaceDN w:val="0"/>
              <w:adjustRightInd w:val="0"/>
              <w:spacing w:before="120" w:after="120" w:line="240" w:lineRule="auto"/>
              <w:jc w:val="both"/>
              <w:rPr>
                <w:sz w:val="24"/>
                <w:szCs w:val="24"/>
              </w:rPr>
            </w:pPr>
            <w:r w:rsidRPr="00D93222">
              <w:rPr>
                <w:sz w:val="24"/>
                <w:szCs w:val="24"/>
              </w:rPr>
              <w:lastRenderedPageBreak/>
              <w:t xml:space="preserve">Prema Alfredu Chandleru </w:t>
            </w:r>
            <w:r w:rsidRPr="00D93222">
              <w:rPr>
                <w:color w:val="C00000"/>
                <w:sz w:val="24"/>
                <w:szCs w:val="24"/>
              </w:rPr>
              <w:t>strategija</w:t>
            </w:r>
            <w:r w:rsidRPr="00D93222">
              <w:rPr>
                <w:sz w:val="24"/>
                <w:szCs w:val="24"/>
              </w:rPr>
              <w:t xml:space="preserve"> je </w:t>
            </w:r>
            <w:r w:rsidRPr="00D93222">
              <w:rPr>
                <w:i/>
                <w:sz w:val="24"/>
                <w:szCs w:val="24"/>
              </w:rPr>
              <w:t>„određivanje temeljnih dugoročnih ciljeva i usvajanje pravca akcija i alokacija resursa potrebnih za ostvarenje tih ciljeva“</w:t>
            </w:r>
            <w:r w:rsidRPr="00D93222">
              <w:rPr>
                <w:sz w:val="24"/>
                <w:szCs w:val="24"/>
              </w:rPr>
              <w:t>.</w:t>
            </w:r>
            <w:r w:rsidRPr="00086C6D">
              <w:rPr>
                <w:sz w:val="24"/>
                <w:szCs w:val="24"/>
                <w:vertAlign w:val="superscript"/>
              </w:rPr>
              <w:footnoteReference w:id="44"/>
            </w:r>
            <w:r>
              <w:rPr>
                <w:sz w:val="24"/>
                <w:szCs w:val="24"/>
              </w:rPr>
              <w:t xml:space="preserve"> </w:t>
            </w:r>
            <w:r w:rsidRPr="00D93222">
              <w:rPr>
                <w:sz w:val="24"/>
                <w:szCs w:val="24"/>
              </w:rPr>
              <w:t xml:space="preserve"> Korištenje pojma strategija tipično je u literaturi koja se bavi područjem strateškog menadžmenta poduzeća. Međutim. nije stran pojam niti u drugim segmentima upravljanja uključujući: „upravljanje vremenom“</w:t>
            </w:r>
            <w:r w:rsidR="000B2598">
              <w:rPr>
                <w:sz w:val="24"/>
                <w:szCs w:val="24"/>
              </w:rPr>
              <w:t>,</w:t>
            </w:r>
            <w:r w:rsidRPr="00D93222">
              <w:rPr>
                <w:sz w:val="24"/>
                <w:szCs w:val="24"/>
              </w:rPr>
              <w:t xml:space="preserve"> „upravljanje likvidnošću“</w:t>
            </w:r>
            <w:r w:rsidR="000B2598">
              <w:rPr>
                <w:sz w:val="24"/>
                <w:szCs w:val="24"/>
              </w:rPr>
              <w:t>, „</w:t>
            </w:r>
            <w:r w:rsidRPr="00D93222">
              <w:rPr>
                <w:sz w:val="24"/>
                <w:szCs w:val="24"/>
              </w:rPr>
              <w:t>upravljanju samim sobom“</w:t>
            </w:r>
            <w:r w:rsidR="000B2598">
              <w:rPr>
                <w:sz w:val="24"/>
                <w:szCs w:val="24"/>
              </w:rPr>
              <w:t>… .</w:t>
            </w:r>
            <w:r w:rsidRPr="00D93222">
              <w:rPr>
                <w:sz w:val="24"/>
                <w:szCs w:val="24"/>
              </w:rPr>
              <w:t xml:space="preserve"> </w:t>
            </w:r>
          </w:p>
          <w:p w:rsidR="00D93222" w:rsidRPr="00135738" w:rsidRDefault="00D93222" w:rsidP="00C23E48">
            <w:pPr>
              <w:autoSpaceDE w:val="0"/>
              <w:autoSpaceDN w:val="0"/>
              <w:adjustRightInd w:val="0"/>
              <w:spacing w:before="120" w:after="120" w:line="240" w:lineRule="auto"/>
              <w:jc w:val="both"/>
              <w:rPr>
                <w:rFonts w:ascii="TimesCR-Roman" w:hAnsi="TimesCR-Roman" w:cs="TimesCR-Roman"/>
                <w:sz w:val="20"/>
                <w:szCs w:val="20"/>
              </w:rPr>
            </w:pPr>
            <w:r w:rsidRPr="000B2598">
              <w:rPr>
                <w:color w:val="C00000"/>
                <w:sz w:val="24"/>
                <w:szCs w:val="24"/>
              </w:rPr>
              <w:t xml:space="preserve">Proces upravljanja samim sobom </w:t>
            </w:r>
            <w:r w:rsidRPr="00D93222">
              <w:rPr>
                <w:sz w:val="24"/>
                <w:szCs w:val="24"/>
              </w:rPr>
              <w:t>(self management) uključuje različite metode</w:t>
            </w:r>
            <w:r w:rsidR="000B2598">
              <w:rPr>
                <w:sz w:val="24"/>
                <w:szCs w:val="24"/>
              </w:rPr>
              <w:t>,</w:t>
            </w:r>
            <w:r w:rsidRPr="00D93222">
              <w:rPr>
                <w:sz w:val="24"/>
                <w:szCs w:val="24"/>
              </w:rPr>
              <w:t xml:space="preserve"> vještine i strategije pomoću kojih pojedinci usmjeravaju svoje aktivnosti i vrše alokacije resursa (financijskih. fizičkih i intelektualnih) u cilju ostvarivanja postavljenih ciljeva. U širem smislu koncepcija samo-upravljanja uključuje: određivanje ciljeva</w:t>
            </w:r>
            <w:r w:rsidR="000B2598">
              <w:rPr>
                <w:sz w:val="24"/>
                <w:szCs w:val="24"/>
              </w:rPr>
              <w:t>,</w:t>
            </w:r>
            <w:r w:rsidRPr="00D93222">
              <w:rPr>
                <w:sz w:val="24"/>
                <w:szCs w:val="24"/>
              </w:rPr>
              <w:t xml:space="preserve"> planiranje</w:t>
            </w:r>
            <w:r w:rsidR="000B2598">
              <w:rPr>
                <w:sz w:val="24"/>
                <w:szCs w:val="24"/>
              </w:rPr>
              <w:t>,</w:t>
            </w:r>
            <w:r w:rsidRPr="00D93222">
              <w:rPr>
                <w:sz w:val="24"/>
                <w:szCs w:val="24"/>
              </w:rPr>
              <w:t xml:space="preserve"> donošenje odluka</w:t>
            </w:r>
            <w:r w:rsidR="000B2598">
              <w:rPr>
                <w:sz w:val="24"/>
                <w:szCs w:val="24"/>
              </w:rPr>
              <w:t>,</w:t>
            </w:r>
            <w:r w:rsidRPr="00D93222">
              <w:rPr>
                <w:sz w:val="24"/>
                <w:szCs w:val="24"/>
              </w:rPr>
              <w:t xml:space="preserve"> usmjeravanje aktivnosti u cilju ostvarenja postavljenih ciljeva</w:t>
            </w:r>
            <w:r w:rsidR="000B2598">
              <w:rPr>
                <w:sz w:val="24"/>
                <w:szCs w:val="24"/>
              </w:rPr>
              <w:t>,</w:t>
            </w:r>
            <w:r w:rsidRPr="00D93222">
              <w:rPr>
                <w:sz w:val="24"/>
                <w:szCs w:val="24"/>
              </w:rPr>
              <w:t xml:space="preserve"> određivanje vremenskog okvira u kojem treba postići intermedijarne </w:t>
            </w:r>
            <w:r w:rsidR="000B2598">
              <w:rPr>
                <w:sz w:val="24"/>
                <w:szCs w:val="24"/>
              </w:rPr>
              <w:t xml:space="preserve">(posredne) </w:t>
            </w:r>
            <w:r w:rsidRPr="00D93222">
              <w:rPr>
                <w:sz w:val="24"/>
                <w:szCs w:val="24"/>
              </w:rPr>
              <w:t>i krajnje ciljeve</w:t>
            </w:r>
            <w:r w:rsidR="000B2598">
              <w:rPr>
                <w:sz w:val="24"/>
                <w:szCs w:val="24"/>
              </w:rPr>
              <w:t>,</w:t>
            </w:r>
            <w:r w:rsidRPr="00D93222">
              <w:rPr>
                <w:sz w:val="24"/>
                <w:szCs w:val="24"/>
              </w:rPr>
              <w:t xml:space="preserve"> vrednovanje postignuća</w:t>
            </w:r>
            <w:r w:rsidR="000B2598">
              <w:rPr>
                <w:sz w:val="24"/>
                <w:szCs w:val="24"/>
              </w:rPr>
              <w:t>,</w:t>
            </w:r>
            <w:r w:rsidRPr="00D93222">
              <w:rPr>
                <w:sz w:val="24"/>
                <w:szCs w:val="24"/>
              </w:rPr>
              <w:t xml:space="preserve"> korektivne akcije u skladu s zahtjevima promjenjive okoline i drugo. </w:t>
            </w:r>
          </w:p>
        </w:tc>
      </w:tr>
    </w:tbl>
    <w:p w:rsidR="00041715" w:rsidRPr="005864F4" w:rsidRDefault="00041715" w:rsidP="00D81053">
      <w:pPr>
        <w:autoSpaceDE w:val="0"/>
        <w:autoSpaceDN w:val="0"/>
        <w:adjustRightInd w:val="0"/>
        <w:spacing w:before="240"/>
        <w:jc w:val="both"/>
        <w:rPr>
          <w:sz w:val="24"/>
          <w:szCs w:val="24"/>
        </w:rPr>
      </w:pPr>
      <w:r w:rsidRPr="005864F4">
        <w:rPr>
          <w:sz w:val="24"/>
          <w:szCs w:val="24"/>
        </w:rPr>
        <w:t xml:space="preserve">U </w:t>
      </w:r>
      <w:r>
        <w:rPr>
          <w:sz w:val="24"/>
          <w:szCs w:val="24"/>
        </w:rPr>
        <w:t xml:space="preserve">financijskom planiranju i </w:t>
      </w:r>
      <w:r w:rsidRPr="005864F4">
        <w:rPr>
          <w:sz w:val="24"/>
          <w:szCs w:val="24"/>
        </w:rPr>
        <w:t xml:space="preserve">ostvarivanju postavljenih financijskih ciljeva potrebno je poštivati </w:t>
      </w:r>
      <w:r w:rsidRPr="00880362">
        <w:rPr>
          <w:color w:val="C00000"/>
          <w:sz w:val="24"/>
          <w:szCs w:val="24"/>
        </w:rPr>
        <w:t>temeljna ekonomska načela</w:t>
      </w:r>
      <w:r w:rsidRPr="005864F4">
        <w:rPr>
          <w:sz w:val="24"/>
          <w:szCs w:val="24"/>
        </w:rPr>
        <w:t xml:space="preserve"> kao što su: načelo kontinuiteta, načelo stabilnosti, načelo racionalnosti i</w:t>
      </w:r>
      <w:r w:rsidR="00D81053">
        <w:rPr>
          <w:sz w:val="24"/>
          <w:szCs w:val="24"/>
        </w:rPr>
        <w:t xml:space="preserve"> </w:t>
      </w:r>
      <w:r w:rsidRPr="005864F4">
        <w:rPr>
          <w:sz w:val="24"/>
          <w:szCs w:val="24"/>
        </w:rPr>
        <w:t xml:space="preserve">načelo likvidnosti. </w:t>
      </w:r>
    </w:p>
    <w:p w:rsidR="00041715" w:rsidRDefault="00041715" w:rsidP="00041715">
      <w:pPr>
        <w:autoSpaceDE w:val="0"/>
        <w:autoSpaceDN w:val="0"/>
        <w:adjustRightInd w:val="0"/>
        <w:spacing w:before="240"/>
        <w:jc w:val="both"/>
        <w:rPr>
          <w:sz w:val="24"/>
          <w:szCs w:val="24"/>
        </w:rPr>
      </w:pPr>
      <w:r w:rsidRPr="005864F4">
        <w:rPr>
          <w:sz w:val="24"/>
          <w:szCs w:val="24"/>
        </w:rPr>
        <w:t xml:space="preserve">Upravljanje osobnim financijama predstavlja </w:t>
      </w:r>
      <w:r w:rsidRPr="00D93222">
        <w:rPr>
          <w:color w:val="C00000"/>
          <w:sz w:val="24"/>
          <w:szCs w:val="24"/>
        </w:rPr>
        <w:t>kontinuiran proces</w:t>
      </w:r>
      <w:r w:rsidRPr="005864F4">
        <w:rPr>
          <w:sz w:val="24"/>
          <w:szCs w:val="24"/>
        </w:rPr>
        <w:t xml:space="preserve">. Vezano je uz </w:t>
      </w:r>
      <w:r>
        <w:rPr>
          <w:sz w:val="24"/>
          <w:szCs w:val="24"/>
        </w:rPr>
        <w:t xml:space="preserve">cijeli </w:t>
      </w:r>
      <w:r w:rsidRPr="005864F4">
        <w:rPr>
          <w:sz w:val="24"/>
          <w:szCs w:val="24"/>
        </w:rPr>
        <w:t xml:space="preserve">životni vijek pojedinca te različitost prioritetnih ciljeva </w:t>
      </w:r>
      <w:r w:rsidR="0090653D">
        <w:rPr>
          <w:sz w:val="24"/>
          <w:szCs w:val="24"/>
        </w:rPr>
        <w:t xml:space="preserve">i financijskih aktivnosti </w:t>
      </w:r>
      <w:r w:rsidRPr="005864F4">
        <w:rPr>
          <w:sz w:val="24"/>
          <w:szCs w:val="24"/>
        </w:rPr>
        <w:t xml:space="preserve">u različitim fazama životnog ciklusa. Za mlade </w:t>
      </w:r>
      <w:r w:rsidR="001870F0">
        <w:rPr>
          <w:sz w:val="24"/>
          <w:szCs w:val="24"/>
        </w:rPr>
        <w:t xml:space="preserve">zaposlene </w:t>
      </w:r>
      <w:r w:rsidRPr="005864F4">
        <w:rPr>
          <w:sz w:val="24"/>
          <w:szCs w:val="24"/>
        </w:rPr>
        <w:t xml:space="preserve">osobe prioritetni cilj može biti </w:t>
      </w:r>
      <w:r w:rsidR="00426233">
        <w:rPr>
          <w:sz w:val="24"/>
          <w:szCs w:val="24"/>
        </w:rPr>
        <w:t xml:space="preserve">financijsko osamostalje od roditelja ta kasnije s vremenom </w:t>
      </w:r>
      <w:r w:rsidRPr="005864F4">
        <w:rPr>
          <w:sz w:val="24"/>
          <w:szCs w:val="24"/>
        </w:rPr>
        <w:t>kupovina automobila</w:t>
      </w:r>
      <w:r w:rsidR="001870F0">
        <w:rPr>
          <w:sz w:val="24"/>
          <w:szCs w:val="24"/>
        </w:rPr>
        <w:t xml:space="preserve"> ili stana</w:t>
      </w:r>
      <w:r w:rsidRPr="005864F4">
        <w:rPr>
          <w:sz w:val="24"/>
          <w:szCs w:val="24"/>
        </w:rPr>
        <w:t xml:space="preserve">. Za osobe u dobi između 35 i </w:t>
      </w:r>
      <w:r w:rsidR="001870F0">
        <w:rPr>
          <w:sz w:val="24"/>
          <w:szCs w:val="24"/>
        </w:rPr>
        <w:t>55</w:t>
      </w:r>
      <w:r w:rsidRPr="005864F4">
        <w:rPr>
          <w:sz w:val="24"/>
          <w:szCs w:val="24"/>
        </w:rPr>
        <w:t xml:space="preserve"> godin</w:t>
      </w:r>
      <w:r w:rsidR="001870F0">
        <w:rPr>
          <w:sz w:val="24"/>
          <w:szCs w:val="24"/>
        </w:rPr>
        <w:t>a</w:t>
      </w:r>
      <w:r w:rsidRPr="005864F4">
        <w:rPr>
          <w:sz w:val="24"/>
          <w:szCs w:val="24"/>
        </w:rPr>
        <w:t xml:space="preserve"> to </w:t>
      </w:r>
      <w:r w:rsidR="001870F0">
        <w:rPr>
          <w:sz w:val="24"/>
          <w:szCs w:val="24"/>
        </w:rPr>
        <w:t xml:space="preserve">je svakako kumuliranje </w:t>
      </w:r>
      <w:r w:rsidRPr="005864F4">
        <w:rPr>
          <w:sz w:val="24"/>
          <w:szCs w:val="24"/>
        </w:rPr>
        <w:t>štednje iz koje će financirati dio troškova života u razdoblju umirovljenja</w:t>
      </w:r>
      <w:r>
        <w:rPr>
          <w:sz w:val="24"/>
          <w:szCs w:val="24"/>
        </w:rPr>
        <w:t xml:space="preserve"> (</w:t>
      </w:r>
      <w:r w:rsidRPr="005864F4">
        <w:rPr>
          <w:sz w:val="24"/>
          <w:szCs w:val="24"/>
        </w:rPr>
        <w:t>kada je dohodak pojedinca uobičajeno niži nego tijekom trajanja radnog odnosa</w:t>
      </w:r>
      <w:r>
        <w:rPr>
          <w:sz w:val="24"/>
          <w:szCs w:val="24"/>
        </w:rPr>
        <w:t>)</w:t>
      </w:r>
      <w:r w:rsidRPr="005864F4">
        <w:rPr>
          <w:sz w:val="24"/>
          <w:szCs w:val="24"/>
        </w:rPr>
        <w:t xml:space="preserve">. Kontinuiranost financijskog planiranja i upravljanja osobnim financijama također dolazi do izražaja </w:t>
      </w:r>
      <w:r w:rsidR="001870F0">
        <w:rPr>
          <w:sz w:val="24"/>
          <w:szCs w:val="24"/>
        </w:rPr>
        <w:t xml:space="preserve">i u starosti </w:t>
      </w:r>
      <w:r w:rsidRPr="005864F4">
        <w:rPr>
          <w:sz w:val="24"/>
          <w:szCs w:val="24"/>
        </w:rPr>
        <w:t xml:space="preserve">kroz prenošenje bogatstva (kao i obveza) na potomke, odnosno nasljednike. </w:t>
      </w:r>
    </w:p>
    <w:p w:rsidR="00041715" w:rsidRDefault="00041715" w:rsidP="00041715">
      <w:pPr>
        <w:autoSpaceDE w:val="0"/>
        <w:autoSpaceDN w:val="0"/>
        <w:adjustRightInd w:val="0"/>
        <w:jc w:val="both"/>
        <w:rPr>
          <w:sz w:val="24"/>
          <w:szCs w:val="24"/>
        </w:rPr>
      </w:pPr>
      <w:r w:rsidRPr="005864F4">
        <w:rPr>
          <w:sz w:val="24"/>
          <w:szCs w:val="24"/>
        </w:rPr>
        <w:t xml:space="preserve">Načelo </w:t>
      </w:r>
      <w:r w:rsidRPr="00D93222">
        <w:rPr>
          <w:color w:val="C00000"/>
          <w:sz w:val="24"/>
          <w:szCs w:val="24"/>
        </w:rPr>
        <w:t>stabilnosti</w:t>
      </w:r>
      <w:r w:rsidRPr="005864F4">
        <w:rPr>
          <w:sz w:val="24"/>
          <w:szCs w:val="24"/>
        </w:rPr>
        <w:t xml:space="preserve"> u upravljanju osobnim financijama ukazuje na potrebu donošenja optimalnih odluka s aspekta prinosa i rizika</w:t>
      </w:r>
      <w:r w:rsidR="0054700C">
        <w:rPr>
          <w:sz w:val="24"/>
          <w:szCs w:val="24"/>
        </w:rPr>
        <w:t>, odnosno s aspekta koristi i troškova</w:t>
      </w:r>
      <w:r w:rsidRPr="005864F4">
        <w:rPr>
          <w:sz w:val="24"/>
          <w:szCs w:val="24"/>
        </w:rPr>
        <w:t xml:space="preserve">. Načelo </w:t>
      </w:r>
      <w:r w:rsidRPr="00D93222">
        <w:rPr>
          <w:color w:val="C00000"/>
          <w:sz w:val="24"/>
          <w:szCs w:val="24"/>
        </w:rPr>
        <w:t>racionalnosti</w:t>
      </w:r>
      <w:r w:rsidRPr="005864F4">
        <w:rPr>
          <w:sz w:val="24"/>
          <w:szCs w:val="24"/>
        </w:rPr>
        <w:t xml:space="preserve"> uključuje težnju da se željeni rezultat ostvari uz što manja ulaganja i troškove, odnosno da se uz određena ulaganja ostvari što veći stupanj ekonomskog zadovoljstva. U konačnici efikasno i uspješno upravljanje osobnim financijama zahtjeva i poštivanje načela </w:t>
      </w:r>
      <w:r w:rsidRPr="00D93222">
        <w:rPr>
          <w:color w:val="C00000"/>
          <w:sz w:val="24"/>
          <w:szCs w:val="24"/>
        </w:rPr>
        <w:t>likvidnosti</w:t>
      </w:r>
      <w:r w:rsidRPr="005864F4">
        <w:rPr>
          <w:sz w:val="24"/>
          <w:szCs w:val="24"/>
        </w:rPr>
        <w:t xml:space="preserve"> u smislu raspolaganja dovoljnom količinom novaca i druge visoko</w:t>
      </w:r>
      <w:r>
        <w:rPr>
          <w:sz w:val="24"/>
          <w:szCs w:val="24"/>
        </w:rPr>
        <w:t>-</w:t>
      </w:r>
      <w:r w:rsidRPr="005864F4">
        <w:rPr>
          <w:sz w:val="24"/>
          <w:szCs w:val="24"/>
        </w:rPr>
        <w:t xml:space="preserve">likvidne imovine kako bi </w:t>
      </w:r>
      <w:r>
        <w:rPr>
          <w:sz w:val="24"/>
          <w:szCs w:val="24"/>
        </w:rPr>
        <w:t xml:space="preserve">u svakom trenutku </w:t>
      </w:r>
      <w:r w:rsidR="0054700C">
        <w:rPr>
          <w:sz w:val="24"/>
          <w:szCs w:val="24"/>
        </w:rPr>
        <w:t>(</w:t>
      </w:r>
      <w:r w:rsidRPr="005864F4">
        <w:rPr>
          <w:sz w:val="24"/>
          <w:szCs w:val="24"/>
        </w:rPr>
        <w:t>bez dodatnih troškova</w:t>
      </w:r>
      <w:r w:rsidR="0054700C">
        <w:rPr>
          <w:sz w:val="24"/>
          <w:szCs w:val="24"/>
        </w:rPr>
        <w:t xml:space="preserve"> </w:t>
      </w:r>
      <w:r w:rsidRPr="005864F4">
        <w:rPr>
          <w:sz w:val="24"/>
          <w:szCs w:val="24"/>
        </w:rPr>
        <w:t>zaduživanja ili prodaje imovine ispod njihove stvarne vrijednosti</w:t>
      </w:r>
      <w:r w:rsidR="0054700C">
        <w:rPr>
          <w:sz w:val="24"/>
          <w:szCs w:val="24"/>
        </w:rPr>
        <w:t>)</w:t>
      </w:r>
      <w:r w:rsidRPr="005864F4">
        <w:rPr>
          <w:sz w:val="24"/>
          <w:szCs w:val="24"/>
        </w:rPr>
        <w:t xml:space="preserve"> bili sposobni plaćati dospjele obveze o roku. </w:t>
      </w:r>
      <w:r>
        <w:rPr>
          <w:sz w:val="24"/>
          <w:szCs w:val="24"/>
        </w:rPr>
        <w:t>No isto tako treba ostati i solventan u smislu postizanja i održavanja situacije u kojoj je tržišna vrijednost imovine veća od obveza.</w:t>
      </w:r>
    </w:p>
    <w:p w:rsidR="00426233" w:rsidRDefault="00426233" w:rsidP="00D93222">
      <w:pPr>
        <w:spacing w:before="240"/>
        <w:jc w:val="both"/>
        <w:rPr>
          <w:rFonts w:cs="TimesNewRoman"/>
          <w:b/>
          <w:sz w:val="24"/>
          <w:szCs w:val="24"/>
        </w:rPr>
      </w:pPr>
    </w:p>
    <w:tbl>
      <w:tblPr>
        <w:tblStyle w:val="Reetkatablice"/>
        <w:tblW w:w="0" w:type="auto"/>
        <w:tblLook w:val="04A0" w:firstRow="1" w:lastRow="0" w:firstColumn="1" w:lastColumn="0" w:noHBand="0" w:noVBand="1"/>
      </w:tblPr>
      <w:tblGrid>
        <w:gridCol w:w="3510"/>
        <w:gridCol w:w="5778"/>
      </w:tblGrid>
      <w:tr w:rsidR="00C63879" w:rsidTr="00CE553E">
        <w:tc>
          <w:tcPr>
            <w:tcW w:w="9288" w:type="dxa"/>
            <w:gridSpan w:val="2"/>
          </w:tcPr>
          <w:p w:rsidR="0080471B" w:rsidRDefault="00C63879" w:rsidP="00CE553E">
            <w:pPr>
              <w:spacing w:before="120" w:after="120"/>
              <w:jc w:val="center"/>
              <w:rPr>
                <w:rFonts w:asciiTheme="minorHAnsi" w:hAnsiTheme="minorHAnsi" w:cs="TimesNewRoman"/>
                <w:b/>
                <w:sz w:val="24"/>
                <w:szCs w:val="24"/>
              </w:rPr>
            </w:pPr>
            <w:r w:rsidRPr="00D7233B">
              <w:rPr>
                <w:rFonts w:asciiTheme="minorHAnsi" w:hAnsiTheme="minorHAnsi" w:cs="TimesNewRoman"/>
                <w:b/>
                <w:sz w:val="24"/>
                <w:szCs w:val="24"/>
              </w:rPr>
              <w:lastRenderedPageBreak/>
              <w:t>FINANCIJSKI CILJEVI I AKTIVNOSTI U RAZLIČITIM ŽIVOTNIM SITUACIJAMA</w:t>
            </w:r>
            <w:r w:rsidR="0080471B">
              <w:rPr>
                <w:rFonts w:asciiTheme="minorHAnsi" w:hAnsiTheme="minorHAnsi" w:cs="TimesNewRoman"/>
                <w:b/>
                <w:sz w:val="24"/>
                <w:szCs w:val="24"/>
              </w:rPr>
              <w:t xml:space="preserve"> </w:t>
            </w:r>
          </w:p>
          <w:p w:rsidR="00C63879" w:rsidRPr="00D7233B" w:rsidRDefault="0080471B" w:rsidP="00CE553E">
            <w:pPr>
              <w:spacing w:before="120" w:after="120"/>
              <w:jc w:val="center"/>
              <w:rPr>
                <w:rFonts w:asciiTheme="minorHAnsi" w:hAnsiTheme="minorHAnsi" w:cs="TimesNewRoman"/>
                <w:b/>
                <w:sz w:val="24"/>
                <w:szCs w:val="24"/>
              </w:rPr>
            </w:pPr>
            <w:r>
              <w:rPr>
                <w:rFonts w:asciiTheme="minorHAnsi" w:hAnsiTheme="minorHAnsi" w:cs="TimesNewRoman"/>
                <w:b/>
                <w:sz w:val="24"/>
                <w:szCs w:val="24"/>
              </w:rPr>
              <w:t>(s obzirom na praksu u SAD-u)</w:t>
            </w:r>
            <w:r w:rsidR="00CE553E" w:rsidRPr="00CE553E">
              <w:rPr>
                <w:rFonts w:asciiTheme="minorHAnsi" w:hAnsiTheme="minorHAnsi" w:cs="TimesNewRoman"/>
                <w:sz w:val="24"/>
                <w:szCs w:val="24"/>
              </w:rPr>
              <w:t>*</w:t>
            </w:r>
          </w:p>
        </w:tc>
      </w:tr>
      <w:tr w:rsidR="00C63879" w:rsidTr="00CE553E">
        <w:tc>
          <w:tcPr>
            <w:tcW w:w="9288" w:type="dxa"/>
            <w:gridSpan w:val="2"/>
          </w:tcPr>
          <w:p w:rsidR="00C63879" w:rsidRPr="00D7233B" w:rsidRDefault="00C63879" w:rsidP="00C86D78">
            <w:pPr>
              <w:pStyle w:val="Odlomakpopisa"/>
              <w:numPr>
                <w:ilvl w:val="0"/>
                <w:numId w:val="105"/>
              </w:numPr>
              <w:spacing w:before="240"/>
              <w:jc w:val="both"/>
              <w:rPr>
                <w:rFonts w:asciiTheme="minorHAnsi" w:hAnsiTheme="minorHAnsi" w:cs="TimesNewRoman"/>
                <w:b/>
                <w:sz w:val="24"/>
                <w:szCs w:val="24"/>
              </w:rPr>
            </w:pPr>
            <w:r w:rsidRPr="00D7233B">
              <w:rPr>
                <w:rFonts w:asciiTheme="minorHAnsi" w:hAnsiTheme="minorHAnsi" w:cs="TimesNewRoman"/>
                <w:b/>
                <w:sz w:val="24"/>
                <w:szCs w:val="24"/>
              </w:rPr>
              <w:t>Zajednički financijski ciljevi i aktivnosti neovisno o životnoj dobi i situaciji</w:t>
            </w:r>
          </w:p>
          <w:p w:rsidR="00C63879" w:rsidRPr="00D7233B" w:rsidRDefault="00D7233B" w:rsidP="00CE553E">
            <w:pPr>
              <w:pStyle w:val="Odlomakpopisa"/>
              <w:numPr>
                <w:ilvl w:val="0"/>
                <w:numId w:val="11"/>
              </w:numPr>
              <w:spacing w:before="240"/>
              <w:jc w:val="both"/>
              <w:rPr>
                <w:rFonts w:asciiTheme="minorHAnsi" w:hAnsiTheme="minorHAnsi" w:cs="TimesNewRoman"/>
                <w:sz w:val="24"/>
                <w:szCs w:val="24"/>
              </w:rPr>
            </w:pPr>
            <w:r w:rsidRPr="00D7233B">
              <w:rPr>
                <w:rFonts w:asciiTheme="minorHAnsi" w:hAnsiTheme="minorHAnsi" w:cs="TimesNewRoman"/>
                <w:sz w:val="24"/>
                <w:szCs w:val="24"/>
              </w:rPr>
              <w:t>d</w:t>
            </w:r>
            <w:r w:rsidR="00C63879" w:rsidRPr="00D7233B">
              <w:rPr>
                <w:rFonts w:asciiTheme="minorHAnsi" w:hAnsiTheme="minorHAnsi" w:cs="TimesNewRoman"/>
                <w:sz w:val="24"/>
                <w:szCs w:val="24"/>
              </w:rPr>
              <w:t xml:space="preserve">ostizane odgovarajuće razine obrazovanja i </w:t>
            </w:r>
            <w:r w:rsidR="001B097D" w:rsidRPr="00D7233B">
              <w:rPr>
                <w:rFonts w:asciiTheme="minorHAnsi" w:hAnsiTheme="minorHAnsi" w:cs="TimesNewRoman"/>
                <w:sz w:val="24"/>
                <w:szCs w:val="24"/>
              </w:rPr>
              <w:t xml:space="preserve">izbora karijere uz </w:t>
            </w:r>
            <w:r w:rsidR="00C63879" w:rsidRPr="00D7233B">
              <w:rPr>
                <w:rFonts w:asciiTheme="minorHAnsi" w:hAnsiTheme="minorHAnsi" w:cs="TimesNewRoman"/>
                <w:sz w:val="24"/>
                <w:szCs w:val="24"/>
              </w:rPr>
              <w:t xml:space="preserve">cjeloživotno ulaganje u vlastita znanja i sposobnosti </w:t>
            </w:r>
            <w:r w:rsidR="001B097D" w:rsidRPr="00D7233B">
              <w:rPr>
                <w:rFonts w:asciiTheme="minorHAnsi" w:hAnsiTheme="minorHAnsi" w:cs="TimesNewRoman"/>
                <w:sz w:val="24"/>
                <w:szCs w:val="24"/>
              </w:rPr>
              <w:t>kroz profesionalnu edukaciju</w:t>
            </w:r>
            <w:r w:rsidRPr="00D7233B">
              <w:rPr>
                <w:rFonts w:asciiTheme="minorHAnsi" w:hAnsiTheme="minorHAnsi" w:cs="TimesNewRoman"/>
                <w:sz w:val="24"/>
                <w:szCs w:val="24"/>
              </w:rPr>
              <w:t>;</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s</w:t>
            </w:r>
            <w:r w:rsidR="001B097D" w:rsidRPr="00D7233B">
              <w:rPr>
                <w:rFonts w:asciiTheme="minorHAnsi" w:hAnsiTheme="minorHAnsi"/>
                <w:sz w:val="24"/>
                <w:szCs w:val="24"/>
              </w:rPr>
              <w:t>tvaranje učinkovitog sustava za pohranjivanje i evidenciju financijskih podataka radi dobivanja točnog uvida u osobne financije (pohranjivanje računa, planiranje i vođenje evidencije o primicima i izdacima, izrada kućnog budžeta, bilance kućanstva, računa financijske uspješnosti te planiranje, evidencija i upravljanje novčanim tokom kućanstva)</w:t>
            </w:r>
            <w:r w:rsidRPr="00D7233B">
              <w:rPr>
                <w:rFonts w:asciiTheme="minorHAnsi" w:hAnsiTheme="minorHAnsi"/>
                <w:sz w:val="24"/>
                <w:szCs w:val="24"/>
              </w:rPr>
              <w:t>;</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a</w:t>
            </w:r>
            <w:r w:rsidR="001B097D" w:rsidRPr="00D7233B">
              <w:rPr>
                <w:rFonts w:asciiTheme="minorHAnsi" w:hAnsiTheme="minorHAnsi"/>
                <w:sz w:val="24"/>
                <w:szCs w:val="24"/>
              </w:rPr>
              <w:t>kumuliranje sredstava za posebne situacije (eng. emergency fund), odnosno tzv. fonda štednje za crne dane, izvanredne rashode i nenadane situacije</w:t>
            </w:r>
            <w:r w:rsidRPr="00D7233B">
              <w:rPr>
                <w:rFonts w:asciiTheme="minorHAnsi" w:hAnsiTheme="minorHAnsi"/>
                <w:sz w:val="24"/>
                <w:szCs w:val="24"/>
              </w:rPr>
              <w:t>;</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 xml:space="preserve">definiranje </w:t>
            </w:r>
            <w:r w:rsidR="001B097D" w:rsidRPr="00D7233B">
              <w:rPr>
                <w:rFonts w:asciiTheme="minorHAnsi" w:hAnsiTheme="minorHAnsi"/>
                <w:sz w:val="24"/>
                <w:szCs w:val="24"/>
              </w:rPr>
              <w:t xml:space="preserve">programa </w:t>
            </w:r>
            <w:r w:rsidRPr="00D7233B">
              <w:rPr>
                <w:rFonts w:asciiTheme="minorHAnsi" w:hAnsiTheme="minorHAnsi"/>
                <w:sz w:val="24"/>
                <w:szCs w:val="24"/>
              </w:rPr>
              <w:t>štednje i investiranja;</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u</w:t>
            </w:r>
            <w:r w:rsidR="001B097D" w:rsidRPr="00D7233B">
              <w:rPr>
                <w:rFonts w:asciiTheme="minorHAnsi" w:hAnsiTheme="minorHAnsi"/>
                <w:sz w:val="24"/>
                <w:szCs w:val="24"/>
              </w:rPr>
              <w:t>govaranje prikladnih i potrebnih vrsta osiguranja (osiguranja života, imovine i odgovornosti prema trećim osobama)</w:t>
            </w:r>
            <w:r w:rsidRPr="00D7233B">
              <w:rPr>
                <w:rFonts w:asciiTheme="minorHAnsi" w:hAnsiTheme="minorHAnsi"/>
                <w:sz w:val="24"/>
                <w:szCs w:val="24"/>
              </w:rPr>
              <w:t>;</w:t>
            </w:r>
          </w:p>
          <w:p w:rsidR="001B097D"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p</w:t>
            </w:r>
            <w:r w:rsidR="001B097D" w:rsidRPr="00D7233B">
              <w:rPr>
                <w:rFonts w:asciiTheme="minorHAnsi" w:hAnsiTheme="minorHAnsi"/>
                <w:sz w:val="24"/>
                <w:szCs w:val="24"/>
              </w:rPr>
              <w:t>rocjena i odabir prikladnih investicija</w:t>
            </w:r>
            <w:r w:rsidRPr="00D7233B">
              <w:rPr>
                <w:rFonts w:asciiTheme="minorHAnsi" w:hAnsiTheme="minorHAnsi"/>
                <w:sz w:val="24"/>
                <w:szCs w:val="24"/>
              </w:rPr>
              <w:t>;</w:t>
            </w:r>
          </w:p>
          <w:p w:rsidR="00D7233B" w:rsidRPr="00D7233B" w:rsidRDefault="00D7233B" w:rsidP="00CE553E">
            <w:pPr>
              <w:pStyle w:val="Odlomakpopisa"/>
              <w:numPr>
                <w:ilvl w:val="0"/>
                <w:numId w:val="11"/>
              </w:numPr>
              <w:spacing w:before="240"/>
              <w:jc w:val="both"/>
              <w:rPr>
                <w:rFonts w:asciiTheme="minorHAnsi" w:hAnsiTheme="minorHAnsi" w:cs="TimesNewRoman"/>
                <w:b/>
                <w:sz w:val="24"/>
                <w:szCs w:val="24"/>
              </w:rPr>
            </w:pPr>
            <w:r w:rsidRPr="00D7233B">
              <w:rPr>
                <w:rFonts w:asciiTheme="minorHAnsi" w:hAnsiTheme="minorHAnsi"/>
                <w:sz w:val="24"/>
                <w:szCs w:val="24"/>
              </w:rPr>
              <w:t>i</w:t>
            </w:r>
            <w:r w:rsidR="001B097D" w:rsidRPr="00D7233B">
              <w:rPr>
                <w:rFonts w:asciiTheme="minorHAnsi" w:hAnsiTheme="minorHAnsi"/>
                <w:sz w:val="24"/>
                <w:szCs w:val="24"/>
              </w:rPr>
              <w:t xml:space="preserve">zrada i primjena mirovinskog plana </w:t>
            </w:r>
            <w:r w:rsidRPr="00D7233B">
              <w:rPr>
                <w:rFonts w:asciiTheme="minorHAnsi" w:hAnsiTheme="minorHAnsi"/>
                <w:sz w:val="24"/>
                <w:szCs w:val="24"/>
              </w:rPr>
              <w:t>(plana štednje za starost, vodeći računa o dostatnosti izvora financiranja u godinama umirovljenja;</w:t>
            </w:r>
          </w:p>
          <w:p w:rsidR="001B097D" w:rsidRPr="00D7233B" w:rsidRDefault="00D7233B" w:rsidP="00CE553E">
            <w:pPr>
              <w:pStyle w:val="Odlomakpopisa"/>
              <w:numPr>
                <w:ilvl w:val="0"/>
                <w:numId w:val="11"/>
              </w:numPr>
              <w:spacing w:before="240" w:after="120"/>
              <w:ind w:left="714" w:hanging="357"/>
              <w:jc w:val="both"/>
              <w:rPr>
                <w:rFonts w:asciiTheme="minorHAnsi" w:hAnsiTheme="minorHAnsi" w:cs="TimesNewRoman"/>
                <w:b/>
                <w:sz w:val="24"/>
                <w:szCs w:val="24"/>
              </w:rPr>
            </w:pPr>
            <w:r w:rsidRPr="00D7233B">
              <w:rPr>
                <w:rFonts w:asciiTheme="minorHAnsi" w:hAnsiTheme="minorHAnsi"/>
                <w:sz w:val="24"/>
                <w:szCs w:val="24"/>
              </w:rPr>
              <w:t>i</w:t>
            </w:r>
            <w:r w:rsidR="001B097D" w:rsidRPr="00D7233B">
              <w:rPr>
                <w:rFonts w:asciiTheme="minorHAnsi" w:hAnsiTheme="minorHAnsi"/>
                <w:sz w:val="24"/>
                <w:szCs w:val="24"/>
              </w:rPr>
              <w:t xml:space="preserve">zrada oporuke i </w:t>
            </w:r>
            <w:r w:rsidR="00554B1E">
              <w:rPr>
                <w:rFonts w:asciiTheme="minorHAnsi" w:hAnsiTheme="minorHAnsi"/>
                <w:sz w:val="24"/>
                <w:szCs w:val="24"/>
              </w:rPr>
              <w:t xml:space="preserve">izrada plana </w:t>
            </w:r>
            <w:r w:rsidR="001B097D" w:rsidRPr="00D7233B">
              <w:rPr>
                <w:rFonts w:asciiTheme="minorHAnsi" w:hAnsiTheme="minorHAnsi"/>
                <w:sz w:val="24"/>
                <w:szCs w:val="24"/>
              </w:rPr>
              <w:t>vlasništva</w:t>
            </w:r>
            <w:r w:rsidR="00554B1E">
              <w:rPr>
                <w:rFonts w:asciiTheme="minorHAnsi" w:hAnsiTheme="minorHAnsi"/>
                <w:sz w:val="24"/>
                <w:szCs w:val="24"/>
              </w:rPr>
              <w:t xml:space="preserve"> imovine</w:t>
            </w:r>
            <w:r w:rsidRPr="00D7233B">
              <w:rPr>
                <w:rFonts w:asciiTheme="minorHAnsi" w:hAnsiTheme="minorHAnsi"/>
                <w:sz w:val="24"/>
                <w:szCs w:val="24"/>
              </w:rPr>
              <w:t>.</w:t>
            </w:r>
          </w:p>
        </w:tc>
      </w:tr>
      <w:tr w:rsidR="00C63879" w:rsidTr="00CE553E">
        <w:tc>
          <w:tcPr>
            <w:tcW w:w="9288" w:type="dxa"/>
            <w:gridSpan w:val="2"/>
          </w:tcPr>
          <w:p w:rsidR="00C63879" w:rsidRDefault="00C63879" w:rsidP="00C86D78">
            <w:pPr>
              <w:pStyle w:val="Odlomakpopisa"/>
              <w:numPr>
                <w:ilvl w:val="0"/>
                <w:numId w:val="105"/>
              </w:numPr>
              <w:spacing w:before="240"/>
              <w:jc w:val="both"/>
              <w:rPr>
                <w:rFonts w:cs="TimesNewRoman"/>
                <w:b/>
                <w:sz w:val="24"/>
                <w:szCs w:val="24"/>
              </w:rPr>
            </w:pPr>
            <w:r>
              <w:rPr>
                <w:rFonts w:cs="TimesNewRoman"/>
                <w:b/>
                <w:sz w:val="24"/>
                <w:szCs w:val="24"/>
              </w:rPr>
              <w:t>Specifične financijske aktivnosti ovisne o životnoj si</w:t>
            </w:r>
            <w:r w:rsidR="0080471B">
              <w:rPr>
                <w:rFonts w:cs="TimesNewRoman"/>
                <w:b/>
                <w:sz w:val="24"/>
                <w:szCs w:val="24"/>
              </w:rPr>
              <w:t>tu</w:t>
            </w:r>
            <w:r>
              <w:rPr>
                <w:rFonts w:cs="TimesNewRoman"/>
                <w:b/>
                <w:sz w:val="24"/>
                <w:szCs w:val="24"/>
              </w:rPr>
              <w:t>aciji</w:t>
            </w:r>
          </w:p>
          <w:p w:rsidR="0080471B" w:rsidRPr="00C63879" w:rsidRDefault="0080471B" w:rsidP="00CE553E">
            <w:pPr>
              <w:pStyle w:val="Odlomakpopisa"/>
              <w:spacing w:before="240"/>
              <w:jc w:val="both"/>
              <w:rPr>
                <w:rFonts w:cs="TimesNewRoman"/>
                <w:b/>
                <w:sz w:val="24"/>
                <w:szCs w:val="24"/>
              </w:rPr>
            </w:pPr>
          </w:p>
        </w:tc>
      </w:tr>
      <w:tr w:rsidR="00C63879" w:rsidTr="00CE553E">
        <w:tc>
          <w:tcPr>
            <w:tcW w:w="3510" w:type="dxa"/>
          </w:tcPr>
          <w:p w:rsidR="00C63879" w:rsidRPr="00D7233B" w:rsidRDefault="00D7233B" w:rsidP="00CE553E">
            <w:pPr>
              <w:spacing w:before="120" w:after="120"/>
              <w:jc w:val="both"/>
              <w:rPr>
                <w:rFonts w:asciiTheme="minorHAnsi" w:hAnsiTheme="minorHAnsi"/>
                <w:sz w:val="24"/>
                <w:szCs w:val="24"/>
              </w:rPr>
            </w:pPr>
            <w:r w:rsidRPr="00D7233B">
              <w:rPr>
                <w:rFonts w:asciiTheme="minorHAnsi" w:hAnsiTheme="minorHAnsi"/>
                <w:sz w:val="24"/>
                <w:szCs w:val="24"/>
              </w:rPr>
              <w:t>Mladi, samci (18-35)</w:t>
            </w:r>
          </w:p>
        </w:tc>
        <w:tc>
          <w:tcPr>
            <w:tcW w:w="5778" w:type="dxa"/>
          </w:tcPr>
          <w:p w:rsidR="00D7233B" w:rsidRPr="00D7233B" w:rsidRDefault="00D7233B" w:rsidP="00C86D78">
            <w:pPr>
              <w:pStyle w:val="Odlomakpopisa"/>
              <w:numPr>
                <w:ilvl w:val="0"/>
                <w:numId w:val="106"/>
              </w:numPr>
              <w:spacing w:before="120" w:after="120"/>
              <w:ind w:left="714" w:hanging="357"/>
              <w:jc w:val="both"/>
              <w:rPr>
                <w:rFonts w:asciiTheme="minorHAnsi" w:hAnsiTheme="minorHAnsi"/>
                <w:sz w:val="24"/>
                <w:szCs w:val="24"/>
              </w:rPr>
            </w:pPr>
            <w:r>
              <w:rPr>
                <w:rFonts w:asciiTheme="minorHAnsi" w:hAnsiTheme="minorHAnsi"/>
                <w:sz w:val="24"/>
                <w:szCs w:val="24"/>
              </w:rPr>
              <w:t>p</w:t>
            </w:r>
            <w:r w:rsidRPr="00D7233B">
              <w:rPr>
                <w:rFonts w:asciiTheme="minorHAnsi" w:hAnsiTheme="minorHAnsi"/>
                <w:sz w:val="24"/>
                <w:szCs w:val="24"/>
              </w:rPr>
              <w:t>ostizanje financijske neovisnosti od roditelja</w:t>
            </w:r>
          </w:p>
          <w:p w:rsidR="00D7233B" w:rsidRPr="00D7233B" w:rsidRDefault="00D7233B" w:rsidP="00C86D78">
            <w:pPr>
              <w:pStyle w:val="Odlomakpopisa"/>
              <w:numPr>
                <w:ilvl w:val="0"/>
                <w:numId w:val="106"/>
              </w:numPr>
              <w:spacing w:before="120" w:after="120"/>
              <w:jc w:val="both"/>
              <w:rPr>
                <w:rFonts w:asciiTheme="minorHAnsi" w:hAnsiTheme="minorHAnsi"/>
                <w:sz w:val="24"/>
                <w:szCs w:val="24"/>
              </w:rPr>
            </w:pPr>
            <w:r>
              <w:rPr>
                <w:rFonts w:asciiTheme="minorHAnsi" w:hAnsiTheme="minorHAnsi"/>
                <w:sz w:val="24"/>
                <w:szCs w:val="24"/>
              </w:rPr>
              <w:t>ugovaranje o</w:t>
            </w:r>
            <w:r w:rsidRPr="00D7233B">
              <w:rPr>
                <w:rFonts w:asciiTheme="minorHAnsi" w:hAnsiTheme="minorHAnsi"/>
                <w:sz w:val="24"/>
                <w:szCs w:val="24"/>
              </w:rPr>
              <w:t>siguranj</w:t>
            </w:r>
            <w:r>
              <w:rPr>
                <w:rFonts w:asciiTheme="minorHAnsi" w:hAnsiTheme="minorHAnsi"/>
                <w:sz w:val="24"/>
                <w:szCs w:val="24"/>
              </w:rPr>
              <w:t>a</w:t>
            </w:r>
            <w:r w:rsidRPr="00D7233B">
              <w:rPr>
                <w:rFonts w:asciiTheme="minorHAnsi" w:hAnsiTheme="minorHAnsi"/>
                <w:sz w:val="24"/>
                <w:szCs w:val="24"/>
              </w:rPr>
              <w:t xml:space="preserve"> koje će zamijeniti prihode u slučaju dužeg bolovanja </w:t>
            </w:r>
          </w:p>
          <w:p w:rsidR="00C63879" w:rsidRPr="00D7233B" w:rsidRDefault="00D7233B" w:rsidP="00C86D78">
            <w:pPr>
              <w:pStyle w:val="Odlomakpopisa"/>
              <w:numPr>
                <w:ilvl w:val="0"/>
                <w:numId w:val="106"/>
              </w:numPr>
              <w:spacing w:before="120" w:after="120"/>
              <w:jc w:val="both"/>
              <w:rPr>
                <w:rFonts w:asciiTheme="minorHAnsi" w:hAnsiTheme="minorHAnsi"/>
                <w:sz w:val="24"/>
                <w:szCs w:val="24"/>
              </w:rPr>
            </w:pPr>
            <w:r>
              <w:rPr>
                <w:rFonts w:asciiTheme="minorHAnsi" w:hAnsiTheme="minorHAnsi"/>
                <w:sz w:val="24"/>
                <w:szCs w:val="24"/>
              </w:rPr>
              <w:t xml:space="preserve">razmatranje </w:t>
            </w:r>
            <w:r w:rsidRPr="00D7233B">
              <w:rPr>
                <w:rFonts w:asciiTheme="minorHAnsi" w:hAnsiTheme="minorHAnsi"/>
                <w:sz w:val="24"/>
                <w:szCs w:val="24"/>
              </w:rPr>
              <w:t>kupnj</w:t>
            </w:r>
            <w:r>
              <w:rPr>
                <w:rFonts w:asciiTheme="minorHAnsi" w:hAnsiTheme="minorHAnsi"/>
                <w:sz w:val="24"/>
                <w:szCs w:val="24"/>
              </w:rPr>
              <w:t>e</w:t>
            </w:r>
            <w:r w:rsidRPr="00D7233B">
              <w:rPr>
                <w:rFonts w:asciiTheme="minorHAnsi" w:hAnsiTheme="minorHAnsi"/>
                <w:sz w:val="24"/>
                <w:szCs w:val="24"/>
              </w:rPr>
              <w:t xml:space="preserve"> nekretnine zbog poreznih olakšica</w:t>
            </w:r>
          </w:p>
        </w:tc>
      </w:tr>
      <w:tr w:rsidR="00C63879" w:rsidTr="00CE553E">
        <w:tc>
          <w:tcPr>
            <w:tcW w:w="3510" w:type="dxa"/>
          </w:tcPr>
          <w:p w:rsidR="00C63879" w:rsidRPr="0080471B" w:rsidRDefault="00D7233B" w:rsidP="00CE553E">
            <w:pPr>
              <w:spacing w:before="120" w:after="120"/>
              <w:jc w:val="both"/>
              <w:rPr>
                <w:rFonts w:asciiTheme="minorHAnsi" w:hAnsiTheme="minorHAnsi" w:cs="TimesNewRoman"/>
                <w:b/>
                <w:sz w:val="24"/>
                <w:szCs w:val="24"/>
              </w:rPr>
            </w:pPr>
            <w:r w:rsidRPr="0080471B">
              <w:rPr>
                <w:rFonts w:asciiTheme="minorHAnsi" w:hAnsiTheme="minorHAnsi"/>
                <w:sz w:val="24"/>
                <w:szCs w:val="24"/>
              </w:rPr>
              <w:t>Mladi parovi s maloljetnom djecom</w:t>
            </w:r>
          </w:p>
        </w:tc>
        <w:tc>
          <w:tcPr>
            <w:tcW w:w="5778" w:type="dxa"/>
          </w:tcPr>
          <w:p w:rsidR="00D7233B" w:rsidRPr="0080471B" w:rsidRDefault="00D7233B" w:rsidP="00C86D78">
            <w:pPr>
              <w:pStyle w:val="Odlomakpopisa"/>
              <w:numPr>
                <w:ilvl w:val="0"/>
                <w:numId w:val="107"/>
              </w:numPr>
              <w:spacing w:before="120" w:after="120"/>
              <w:jc w:val="both"/>
              <w:rPr>
                <w:rFonts w:asciiTheme="minorHAnsi" w:hAnsiTheme="minorHAnsi"/>
                <w:sz w:val="24"/>
                <w:szCs w:val="24"/>
              </w:rPr>
            </w:pPr>
            <w:r w:rsidRPr="0080471B">
              <w:rPr>
                <w:rFonts w:asciiTheme="minorHAnsi" w:hAnsiTheme="minorHAnsi"/>
                <w:sz w:val="24"/>
                <w:szCs w:val="24"/>
              </w:rPr>
              <w:t>pažljivo razmatranje povećane potrebe za kreditom</w:t>
            </w:r>
          </w:p>
          <w:p w:rsidR="00D7233B" w:rsidRPr="0080471B" w:rsidRDefault="00D7233B" w:rsidP="00C86D78">
            <w:pPr>
              <w:pStyle w:val="Odlomakpopisa"/>
              <w:numPr>
                <w:ilvl w:val="0"/>
                <w:numId w:val="107"/>
              </w:numPr>
              <w:spacing w:before="120" w:after="120"/>
              <w:jc w:val="both"/>
              <w:rPr>
                <w:rFonts w:asciiTheme="minorHAnsi" w:hAnsiTheme="minorHAnsi"/>
                <w:sz w:val="24"/>
                <w:szCs w:val="24"/>
              </w:rPr>
            </w:pPr>
            <w:r w:rsidRPr="0080471B">
              <w:rPr>
                <w:rFonts w:asciiTheme="minorHAnsi" w:hAnsiTheme="minorHAnsi"/>
                <w:sz w:val="24"/>
                <w:szCs w:val="24"/>
              </w:rPr>
              <w:t xml:space="preserve">životno osiguranje </w:t>
            </w:r>
            <w:r w:rsidR="0080471B" w:rsidRPr="0080471B">
              <w:rPr>
                <w:rFonts w:asciiTheme="minorHAnsi" w:hAnsiTheme="minorHAnsi"/>
                <w:sz w:val="24"/>
                <w:szCs w:val="24"/>
              </w:rPr>
              <w:t xml:space="preserve">radi povećanja financijske sigurnosti </w:t>
            </w:r>
            <w:r w:rsidR="00554B1E">
              <w:rPr>
                <w:rFonts w:asciiTheme="minorHAnsi" w:hAnsiTheme="minorHAnsi"/>
                <w:sz w:val="24"/>
                <w:szCs w:val="24"/>
              </w:rPr>
              <w:t xml:space="preserve">uzdržavanih </w:t>
            </w:r>
            <w:r w:rsidR="0080471B" w:rsidRPr="0080471B">
              <w:rPr>
                <w:rFonts w:asciiTheme="minorHAnsi" w:hAnsiTheme="minorHAnsi"/>
                <w:sz w:val="24"/>
                <w:szCs w:val="24"/>
              </w:rPr>
              <w:t>osoba</w:t>
            </w:r>
          </w:p>
          <w:p w:rsidR="00C63879" w:rsidRPr="0080471B" w:rsidRDefault="00D7233B" w:rsidP="00C86D78">
            <w:pPr>
              <w:pStyle w:val="Odlomakpopisa"/>
              <w:numPr>
                <w:ilvl w:val="0"/>
                <w:numId w:val="107"/>
              </w:numPr>
              <w:spacing w:before="120" w:after="120"/>
              <w:jc w:val="both"/>
              <w:rPr>
                <w:rFonts w:asciiTheme="minorHAnsi" w:hAnsiTheme="minorHAnsi" w:cs="TimesNewRoman"/>
                <w:b/>
                <w:sz w:val="24"/>
                <w:szCs w:val="24"/>
              </w:rPr>
            </w:pPr>
            <w:r w:rsidRPr="0080471B">
              <w:rPr>
                <w:rFonts w:asciiTheme="minorHAnsi" w:hAnsiTheme="minorHAnsi"/>
                <w:sz w:val="24"/>
                <w:szCs w:val="24"/>
              </w:rPr>
              <w:t>imenovanje skrbnika nad djecom</w:t>
            </w:r>
          </w:p>
        </w:tc>
      </w:tr>
      <w:tr w:rsidR="00C63879" w:rsidTr="00CE553E">
        <w:tc>
          <w:tcPr>
            <w:tcW w:w="3510" w:type="dxa"/>
          </w:tcPr>
          <w:p w:rsidR="00C63879" w:rsidRPr="0080471B" w:rsidRDefault="00D7233B" w:rsidP="00CE553E">
            <w:pPr>
              <w:spacing w:before="120" w:after="120"/>
              <w:jc w:val="both"/>
              <w:rPr>
                <w:rFonts w:asciiTheme="minorHAnsi" w:hAnsiTheme="minorHAnsi" w:cs="TimesNewRoman"/>
                <w:b/>
                <w:sz w:val="24"/>
                <w:szCs w:val="24"/>
              </w:rPr>
            </w:pPr>
            <w:r w:rsidRPr="0080471B">
              <w:rPr>
                <w:rFonts w:asciiTheme="minorHAnsi" w:hAnsiTheme="minorHAnsi"/>
                <w:sz w:val="24"/>
                <w:szCs w:val="24"/>
              </w:rPr>
              <w:t>Samohrani roditelj s maloljetnom djecom</w:t>
            </w:r>
          </w:p>
        </w:tc>
        <w:tc>
          <w:tcPr>
            <w:tcW w:w="5778" w:type="dxa"/>
          </w:tcPr>
          <w:p w:rsidR="0080471B" w:rsidRPr="0080471B" w:rsidRDefault="0080471B" w:rsidP="00C86D78">
            <w:pPr>
              <w:pStyle w:val="Odlomakpopisa"/>
              <w:numPr>
                <w:ilvl w:val="0"/>
                <w:numId w:val="107"/>
              </w:numPr>
              <w:spacing w:before="120" w:after="120"/>
              <w:jc w:val="both"/>
              <w:rPr>
                <w:rFonts w:asciiTheme="minorHAnsi" w:hAnsiTheme="minorHAnsi" w:cs="TimesNewRoman"/>
                <w:b/>
                <w:sz w:val="24"/>
                <w:szCs w:val="24"/>
              </w:rPr>
            </w:pPr>
            <w:r w:rsidRPr="0080471B">
              <w:rPr>
                <w:rFonts w:asciiTheme="minorHAnsi" w:hAnsiTheme="minorHAnsi"/>
                <w:sz w:val="24"/>
                <w:szCs w:val="24"/>
              </w:rPr>
              <w:t>ugovaranje odgovarajućeg iznosa zdravstvenog i životnog osiguranja, osiguranja od radne nesposobnosti, za slučaj nezgode i slično</w:t>
            </w:r>
          </w:p>
          <w:p w:rsidR="0080471B" w:rsidRPr="0080471B" w:rsidRDefault="0080471B" w:rsidP="00C86D78">
            <w:pPr>
              <w:pStyle w:val="Odlomakpopisa"/>
              <w:numPr>
                <w:ilvl w:val="0"/>
                <w:numId w:val="107"/>
              </w:numPr>
              <w:spacing w:before="120" w:after="120"/>
              <w:jc w:val="both"/>
              <w:rPr>
                <w:rFonts w:asciiTheme="minorHAnsi" w:hAnsiTheme="minorHAnsi" w:cs="TimesNewRoman"/>
                <w:b/>
                <w:sz w:val="24"/>
                <w:szCs w:val="24"/>
              </w:rPr>
            </w:pPr>
            <w:r w:rsidRPr="0080471B">
              <w:rPr>
                <w:rFonts w:asciiTheme="minorHAnsi" w:hAnsiTheme="minorHAnsi"/>
                <w:sz w:val="24"/>
                <w:szCs w:val="24"/>
              </w:rPr>
              <w:t>u</w:t>
            </w:r>
            <w:r w:rsidR="00D7233B" w:rsidRPr="0080471B">
              <w:rPr>
                <w:rFonts w:asciiTheme="minorHAnsi" w:hAnsiTheme="minorHAnsi"/>
                <w:sz w:val="24"/>
                <w:szCs w:val="24"/>
              </w:rPr>
              <w:t xml:space="preserve">plata štednje za srednju školu i fakultetsko obrazovanje </w:t>
            </w:r>
            <w:r w:rsidRPr="0080471B">
              <w:rPr>
                <w:rFonts w:asciiTheme="minorHAnsi" w:hAnsiTheme="minorHAnsi"/>
                <w:sz w:val="24"/>
                <w:szCs w:val="24"/>
              </w:rPr>
              <w:t>djece</w:t>
            </w:r>
          </w:p>
          <w:p w:rsidR="00C63879" w:rsidRPr="00554B1E" w:rsidRDefault="0080471B" w:rsidP="00C86D78">
            <w:pPr>
              <w:pStyle w:val="Odlomakpopisa"/>
              <w:numPr>
                <w:ilvl w:val="0"/>
                <w:numId w:val="107"/>
              </w:numPr>
              <w:spacing w:before="120" w:after="120"/>
              <w:jc w:val="both"/>
              <w:rPr>
                <w:rFonts w:asciiTheme="minorHAnsi" w:hAnsiTheme="minorHAnsi" w:cs="TimesNewRoman"/>
                <w:b/>
                <w:sz w:val="24"/>
                <w:szCs w:val="24"/>
              </w:rPr>
            </w:pPr>
            <w:r w:rsidRPr="0080471B">
              <w:rPr>
                <w:rFonts w:asciiTheme="minorHAnsi" w:hAnsiTheme="minorHAnsi"/>
                <w:sz w:val="24"/>
                <w:szCs w:val="24"/>
              </w:rPr>
              <w:t>i</w:t>
            </w:r>
            <w:r w:rsidR="00D7233B" w:rsidRPr="0080471B">
              <w:rPr>
                <w:rFonts w:asciiTheme="minorHAnsi" w:hAnsiTheme="minorHAnsi"/>
                <w:sz w:val="24"/>
                <w:szCs w:val="24"/>
              </w:rPr>
              <w:t>menovanje skrbnika nad djecom</w:t>
            </w:r>
          </w:p>
        </w:tc>
      </w:tr>
      <w:tr w:rsidR="00C63879" w:rsidTr="00CE553E">
        <w:tc>
          <w:tcPr>
            <w:tcW w:w="3510" w:type="dxa"/>
          </w:tcPr>
          <w:p w:rsidR="00C63879" w:rsidRPr="0080471B" w:rsidRDefault="00D7233B" w:rsidP="00CE553E">
            <w:pPr>
              <w:spacing w:before="120" w:after="120"/>
              <w:jc w:val="both"/>
              <w:rPr>
                <w:rFonts w:asciiTheme="minorHAnsi" w:hAnsiTheme="minorHAnsi" w:cs="TimesNewRoman"/>
                <w:b/>
                <w:sz w:val="24"/>
                <w:szCs w:val="24"/>
              </w:rPr>
            </w:pPr>
            <w:r w:rsidRPr="0080471B">
              <w:rPr>
                <w:rFonts w:asciiTheme="minorHAnsi" w:hAnsiTheme="minorHAnsi"/>
                <w:sz w:val="24"/>
                <w:szCs w:val="24"/>
              </w:rPr>
              <w:t>Bračni par bez djece (uz dv</w:t>
            </w:r>
            <w:r w:rsidR="0080471B">
              <w:rPr>
                <w:rFonts w:asciiTheme="minorHAnsi" w:hAnsiTheme="minorHAnsi"/>
                <w:sz w:val="24"/>
                <w:szCs w:val="24"/>
              </w:rPr>
              <w:t xml:space="preserve">ije zaposlene osobe) </w:t>
            </w:r>
          </w:p>
        </w:tc>
        <w:tc>
          <w:tcPr>
            <w:tcW w:w="5778" w:type="dxa"/>
          </w:tcPr>
          <w:p w:rsidR="00C63879" w:rsidRPr="0080471B" w:rsidRDefault="0080471B" w:rsidP="00C86D78">
            <w:pPr>
              <w:pStyle w:val="Odlomakpopisa"/>
              <w:numPr>
                <w:ilvl w:val="0"/>
                <w:numId w:val="108"/>
              </w:numPr>
              <w:spacing w:before="120" w:after="120"/>
              <w:jc w:val="both"/>
              <w:rPr>
                <w:rFonts w:asciiTheme="minorHAnsi" w:hAnsiTheme="minorHAnsi"/>
                <w:sz w:val="24"/>
                <w:szCs w:val="24"/>
              </w:rPr>
            </w:pPr>
            <w:r w:rsidRPr="0080471B">
              <w:rPr>
                <w:rFonts w:asciiTheme="minorHAnsi" w:hAnsiTheme="minorHAnsi"/>
                <w:sz w:val="24"/>
                <w:szCs w:val="24"/>
              </w:rPr>
              <w:t>ugovaranje prikladnih i potrebnih vrsta osiguranja</w:t>
            </w:r>
          </w:p>
          <w:p w:rsidR="0080471B" w:rsidRPr="0080471B" w:rsidRDefault="0080471B" w:rsidP="00C86D78">
            <w:pPr>
              <w:pStyle w:val="Odlomakpopisa"/>
              <w:numPr>
                <w:ilvl w:val="0"/>
                <w:numId w:val="108"/>
              </w:numPr>
              <w:spacing w:before="120" w:after="120"/>
              <w:jc w:val="both"/>
              <w:rPr>
                <w:rFonts w:asciiTheme="minorHAnsi" w:hAnsiTheme="minorHAnsi"/>
                <w:sz w:val="24"/>
                <w:szCs w:val="24"/>
              </w:rPr>
            </w:pPr>
            <w:r w:rsidRPr="0080471B">
              <w:rPr>
                <w:rFonts w:asciiTheme="minorHAnsi" w:hAnsiTheme="minorHAnsi"/>
                <w:sz w:val="24"/>
                <w:szCs w:val="24"/>
              </w:rPr>
              <w:t xml:space="preserve">definiranje programa štednje i investiranja za slučaj promjena u životnoj situaciji (npr. kupnje </w:t>
            </w:r>
            <w:r w:rsidRPr="0080471B">
              <w:rPr>
                <w:rFonts w:asciiTheme="minorHAnsi" w:hAnsiTheme="minorHAnsi"/>
                <w:sz w:val="24"/>
                <w:szCs w:val="24"/>
              </w:rPr>
              <w:lastRenderedPageBreak/>
              <w:t>veće nekretnine u slučaju planiranja djece)</w:t>
            </w:r>
          </w:p>
          <w:p w:rsidR="0080471B" w:rsidRPr="0080471B" w:rsidRDefault="0080471B" w:rsidP="00C86D78">
            <w:pPr>
              <w:pStyle w:val="Odlomakpopisa"/>
              <w:numPr>
                <w:ilvl w:val="0"/>
                <w:numId w:val="108"/>
              </w:numPr>
              <w:spacing w:before="120" w:after="120"/>
              <w:jc w:val="both"/>
              <w:rPr>
                <w:rFonts w:asciiTheme="minorHAnsi" w:hAnsiTheme="minorHAnsi" w:cs="TimesNewRoman"/>
                <w:b/>
                <w:sz w:val="24"/>
                <w:szCs w:val="24"/>
              </w:rPr>
            </w:pPr>
            <w:r w:rsidRPr="0080471B">
              <w:rPr>
                <w:rFonts w:asciiTheme="minorHAnsi" w:hAnsiTheme="minorHAnsi" w:cs="TimesNewRoman"/>
                <w:sz w:val="24"/>
                <w:szCs w:val="24"/>
              </w:rPr>
              <w:t>razmatranje porezno prihvatljivih oblika mirovinske štednje</w:t>
            </w:r>
          </w:p>
        </w:tc>
      </w:tr>
      <w:tr w:rsidR="00D7233B" w:rsidTr="00CE553E">
        <w:tc>
          <w:tcPr>
            <w:tcW w:w="3510" w:type="dxa"/>
          </w:tcPr>
          <w:p w:rsidR="00D7233B" w:rsidRPr="00CE553E" w:rsidRDefault="00D7233B" w:rsidP="00CE553E">
            <w:pPr>
              <w:spacing w:before="120" w:after="120"/>
              <w:jc w:val="both"/>
              <w:rPr>
                <w:rFonts w:asciiTheme="minorHAnsi" w:hAnsiTheme="minorHAnsi" w:cs="TimesNewRoman"/>
                <w:b/>
                <w:sz w:val="24"/>
                <w:szCs w:val="24"/>
              </w:rPr>
            </w:pPr>
            <w:r w:rsidRPr="00CE553E">
              <w:rPr>
                <w:rFonts w:asciiTheme="minorHAnsi" w:hAnsiTheme="minorHAnsi"/>
                <w:sz w:val="24"/>
                <w:szCs w:val="24"/>
              </w:rPr>
              <w:lastRenderedPageBreak/>
              <w:t xml:space="preserve">Bračni par u zreloj dobi (+50) čija su </w:t>
            </w:r>
            <w:r w:rsidR="00554B1E" w:rsidRPr="00CE553E">
              <w:rPr>
                <w:rFonts w:asciiTheme="minorHAnsi" w:hAnsiTheme="minorHAnsi"/>
                <w:sz w:val="24"/>
                <w:szCs w:val="24"/>
              </w:rPr>
              <w:t xml:space="preserve">se djeca iselila (financijski </w:t>
            </w:r>
            <w:r w:rsidRPr="00CE553E">
              <w:rPr>
                <w:rFonts w:asciiTheme="minorHAnsi" w:hAnsiTheme="minorHAnsi"/>
                <w:sz w:val="24"/>
                <w:szCs w:val="24"/>
              </w:rPr>
              <w:t>neovisna</w:t>
            </w:r>
            <w:r w:rsidR="00554B1E" w:rsidRPr="00CE553E">
              <w:rPr>
                <w:rFonts w:asciiTheme="minorHAnsi" w:hAnsiTheme="minorHAnsi"/>
                <w:sz w:val="24"/>
                <w:szCs w:val="24"/>
              </w:rPr>
              <w:t>)</w:t>
            </w:r>
          </w:p>
        </w:tc>
        <w:tc>
          <w:tcPr>
            <w:tcW w:w="5778" w:type="dxa"/>
          </w:tcPr>
          <w:p w:rsidR="00554B1E" w:rsidRPr="00CE553E" w:rsidRDefault="00554B1E" w:rsidP="00C86D78">
            <w:pPr>
              <w:pStyle w:val="Odlomakpopisa"/>
              <w:numPr>
                <w:ilvl w:val="0"/>
                <w:numId w:val="109"/>
              </w:numPr>
              <w:spacing w:before="120" w:after="120"/>
              <w:jc w:val="both"/>
              <w:rPr>
                <w:rFonts w:asciiTheme="minorHAnsi" w:hAnsiTheme="minorHAnsi"/>
                <w:sz w:val="24"/>
                <w:szCs w:val="24"/>
              </w:rPr>
            </w:pPr>
            <w:r w:rsidRPr="00CE553E">
              <w:rPr>
                <w:rFonts w:asciiTheme="minorHAnsi" w:hAnsiTheme="minorHAnsi"/>
                <w:sz w:val="24"/>
                <w:szCs w:val="24"/>
              </w:rPr>
              <w:t>k</w:t>
            </w:r>
            <w:r w:rsidR="00D7233B" w:rsidRPr="00CE553E">
              <w:rPr>
                <w:rFonts w:asciiTheme="minorHAnsi" w:hAnsiTheme="minorHAnsi"/>
                <w:sz w:val="24"/>
                <w:szCs w:val="24"/>
              </w:rPr>
              <w:t xml:space="preserve">onsolidacija financijske imovine i revizija vlasništva </w:t>
            </w:r>
            <w:r w:rsidRPr="00CE553E">
              <w:rPr>
                <w:rFonts w:asciiTheme="minorHAnsi" w:hAnsiTheme="minorHAnsi"/>
                <w:sz w:val="24"/>
                <w:szCs w:val="24"/>
              </w:rPr>
              <w:t>imovine</w:t>
            </w:r>
          </w:p>
          <w:p w:rsidR="00554B1E" w:rsidRPr="00CE553E" w:rsidRDefault="00554B1E" w:rsidP="00C86D78">
            <w:pPr>
              <w:pStyle w:val="Odlomakpopisa"/>
              <w:numPr>
                <w:ilvl w:val="0"/>
                <w:numId w:val="109"/>
              </w:numPr>
              <w:spacing w:before="120" w:after="120"/>
              <w:jc w:val="both"/>
              <w:rPr>
                <w:rFonts w:asciiTheme="minorHAnsi" w:hAnsiTheme="minorHAnsi"/>
                <w:sz w:val="24"/>
                <w:szCs w:val="24"/>
              </w:rPr>
            </w:pPr>
            <w:r w:rsidRPr="00CE553E">
              <w:rPr>
                <w:rFonts w:asciiTheme="minorHAnsi" w:hAnsiTheme="minorHAnsi"/>
                <w:sz w:val="24"/>
                <w:szCs w:val="24"/>
              </w:rPr>
              <w:t>z</w:t>
            </w:r>
            <w:r w:rsidR="00D7233B" w:rsidRPr="00CE553E">
              <w:rPr>
                <w:rFonts w:asciiTheme="minorHAnsi" w:hAnsiTheme="minorHAnsi"/>
                <w:sz w:val="24"/>
                <w:szCs w:val="24"/>
              </w:rPr>
              <w:t>dravstveno osiguranje za razdoblje mirovine</w:t>
            </w:r>
          </w:p>
          <w:p w:rsidR="00D7233B" w:rsidRPr="00CE553E" w:rsidRDefault="00CE553E" w:rsidP="00C86D78">
            <w:pPr>
              <w:pStyle w:val="Odlomakpopisa"/>
              <w:numPr>
                <w:ilvl w:val="0"/>
                <w:numId w:val="109"/>
              </w:numPr>
              <w:spacing w:before="120" w:after="120"/>
              <w:jc w:val="both"/>
              <w:rPr>
                <w:rFonts w:asciiTheme="minorHAnsi" w:hAnsiTheme="minorHAnsi"/>
                <w:sz w:val="24"/>
                <w:szCs w:val="24"/>
              </w:rPr>
            </w:pPr>
            <w:r w:rsidRPr="00CE553E">
              <w:rPr>
                <w:rFonts w:asciiTheme="minorHAnsi" w:hAnsiTheme="minorHAnsi"/>
                <w:sz w:val="24"/>
                <w:szCs w:val="24"/>
              </w:rPr>
              <w:t>planiranje</w:t>
            </w:r>
            <w:r w:rsidR="00554B1E" w:rsidRPr="00CE553E">
              <w:rPr>
                <w:rFonts w:asciiTheme="minorHAnsi" w:hAnsiTheme="minorHAnsi"/>
                <w:sz w:val="24"/>
                <w:szCs w:val="24"/>
              </w:rPr>
              <w:t xml:space="preserve"> životnih troškova, troškova rekreacije i honorarnog posla </w:t>
            </w:r>
            <w:r w:rsidRPr="00CE553E">
              <w:rPr>
                <w:rFonts w:asciiTheme="minorHAnsi" w:hAnsiTheme="minorHAnsi"/>
                <w:sz w:val="24"/>
                <w:szCs w:val="24"/>
              </w:rPr>
              <w:t>tijekom razdoblja umirovljenja</w:t>
            </w:r>
          </w:p>
          <w:p w:rsidR="00CE553E" w:rsidRPr="00CE553E" w:rsidRDefault="00CE553E" w:rsidP="00C86D78">
            <w:pPr>
              <w:pStyle w:val="Odlomakpopisa"/>
              <w:numPr>
                <w:ilvl w:val="0"/>
                <w:numId w:val="109"/>
              </w:numPr>
              <w:spacing w:before="120" w:after="120"/>
              <w:jc w:val="both"/>
              <w:rPr>
                <w:rFonts w:asciiTheme="minorHAnsi" w:hAnsiTheme="minorHAnsi"/>
                <w:sz w:val="24"/>
                <w:szCs w:val="24"/>
              </w:rPr>
            </w:pPr>
            <w:r w:rsidRPr="00CE553E">
              <w:rPr>
                <w:rFonts w:asciiTheme="minorHAnsi" w:hAnsiTheme="minorHAnsi"/>
                <w:sz w:val="24"/>
                <w:szCs w:val="24"/>
              </w:rPr>
              <w:t>planiranje smještaja tijekom godina umirovljenja (doma za strije i nemoćne)</w:t>
            </w:r>
          </w:p>
        </w:tc>
      </w:tr>
      <w:tr w:rsidR="00D7233B" w:rsidTr="00CE553E">
        <w:tc>
          <w:tcPr>
            <w:tcW w:w="3510" w:type="dxa"/>
          </w:tcPr>
          <w:p w:rsidR="00D7233B" w:rsidRPr="00CE553E" w:rsidRDefault="00CE553E" w:rsidP="00CE553E">
            <w:pPr>
              <w:spacing w:before="120" w:after="120"/>
              <w:jc w:val="both"/>
              <w:rPr>
                <w:rFonts w:asciiTheme="minorHAnsi" w:hAnsiTheme="minorHAnsi" w:cs="TimesNewRoman"/>
                <w:b/>
                <w:sz w:val="24"/>
                <w:szCs w:val="24"/>
              </w:rPr>
            </w:pPr>
            <w:r w:rsidRPr="00CE553E">
              <w:rPr>
                <w:rFonts w:asciiTheme="minorHAnsi" w:hAnsiTheme="minorHAnsi"/>
                <w:sz w:val="24"/>
                <w:szCs w:val="24"/>
              </w:rPr>
              <w:t>Više</w:t>
            </w:r>
            <w:r w:rsidR="00B754B4">
              <w:rPr>
                <w:rFonts w:asciiTheme="minorHAnsi" w:hAnsiTheme="minorHAnsi"/>
                <w:sz w:val="24"/>
                <w:szCs w:val="24"/>
              </w:rPr>
              <w:t>-</w:t>
            </w:r>
            <w:r w:rsidRPr="00CE553E">
              <w:rPr>
                <w:rFonts w:asciiTheme="minorHAnsi" w:hAnsiTheme="minorHAnsi"/>
                <w:sz w:val="24"/>
                <w:szCs w:val="24"/>
              </w:rPr>
              <w:t>generacijsko k</w:t>
            </w:r>
            <w:r w:rsidR="00D7233B" w:rsidRPr="00CE553E">
              <w:rPr>
                <w:rFonts w:asciiTheme="minorHAnsi" w:hAnsiTheme="minorHAnsi"/>
                <w:sz w:val="24"/>
                <w:szCs w:val="24"/>
              </w:rPr>
              <w:t xml:space="preserve">ućanstvo </w:t>
            </w:r>
            <w:r w:rsidRPr="00CE553E">
              <w:rPr>
                <w:rFonts w:asciiTheme="minorHAnsi" w:hAnsiTheme="minorHAnsi"/>
                <w:sz w:val="24"/>
                <w:szCs w:val="24"/>
              </w:rPr>
              <w:t>(</w:t>
            </w:r>
            <w:r w:rsidR="00D7233B" w:rsidRPr="00CE553E">
              <w:rPr>
                <w:rFonts w:asciiTheme="minorHAnsi" w:hAnsiTheme="minorHAnsi"/>
                <w:sz w:val="24"/>
                <w:szCs w:val="24"/>
              </w:rPr>
              <w:t>sa starijim osobama i maloljetnom djecom</w:t>
            </w:r>
            <w:r w:rsidRPr="00CE553E">
              <w:rPr>
                <w:rFonts w:asciiTheme="minorHAnsi" w:hAnsiTheme="minorHAnsi"/>
                <w:sz w:val="24"/>
                <w:szCs w:val="24"/>
              </w:rPr>
              <w:t>)</w:t>
            </w:r>
          </w:p>
        </w:tc>
        <w:tc>
          <w:tcPr>
            <w:tcW w:w="5778" w:type="dxa"/>
          </w:tcPr>
          <w:p w:rsidR="00D7233B" w:rsidRPr="00CE553E" w:rsidRDefault="00554B1E" w:rsidP="00C86D78">
            <w:pPr>
              <w:pStyle w:val="Odlomakpopisa"/>
              <w:numPr>
                <w:ilvl w:val="0"/>
                <w:numId w:val="110"/>
              </w:numPr>
              <w:spacing w:before="120" w:after="120"/>
              <w:jc w:val="both"/>
              <w:rPr>
                <w:rFonts w:asciiTheme="minorHAnsi" w:hAnsiTheme="minorHAnsi" w:cs="TimesNewRoman"/>
                <w:b/>
                <w:sz w:val="24"/>
                <w:szCs w:val="24"/>
              </w:rPr>
            </w:pPr>
            <w:r w:rsidRPr="00CE553E">
              <w:rPr>
                <w:rFonts w:asciiTheme="minorHAnsi" w:hAnsiTheme="minorHAnsi"/>
                <w:sz w:val="24"/>
                <w:szCs w:val="24"/>
              </w:rPr>
              <w:t>d</w:t>
            </w:r>
            <w:r w:rsidR="00D7233B" w:rsidRPr="00CE553E">
              <w:rPr>
                <w:rFonts w:asciiTheme="minorHAnsi" w:hAnsiTheme="minorHAnsi"/>
                <w:sz w:val="24"/>
                <w:szCs w:val="24"/>
              </w:rPr>
              <w:t>ugoročno zdravstveno osiguranje</w:t>
            </w:r>
            <w:r w:rsidRPr="00CE553E">
              <w:rPr>
                <w:rFonts w:asciiTheme="minorHAnsi" w:hAnsiTheme="minorHAnsi"/>
                <w:sz w:val="24"/>
                <w:szCs w:val="24"/>
              </w:rPr>
              <w:t>, životno osiguranje</w:t>
            </w:r>
            <w:r w:rsidR="00D7233B" w:rsidRPr="00CE553E">
              <w:rPr>
                <w:rFonts w:asciiTheme="minorHAnsi" w:hAnsiTheme="minorHAnsi"/>
                <w:sz w:val="24"/>
                <w:szCs w:val="24"/>
              </w:rPr>
              <w:t xml:space="preserve"> i osiguranje od nesreće u korist uzdržavanih osoba</w:t>
            </w:r>
          </w:p>
          <w:p w:rsidR="00554B1E" w:rsidRPr="00CE553E" w:rsidRDefault="00554B1E" w:rsidP="00C86D78">
            <w:pPr>
              <w:pStyle w:val="Odlomakpopisa"/>
              <w:numPr>
                <w:ilvl w:val="0"/>
                <w:numId w:val="110"/>
              </w:numPr>
              <w:spacing w:before="120" w:after="120"/>
              <w:jc w:val="both"/>
              <w:rPr>
                <w:rFonts w:asciiTheme="minorHAnsi" w:hAnsiTheme="minorHAnsi" w:cs="TimesNewRoman"/>
                <w:b/>
                <w:sz w:val="24"/>
                <w:szCs w:val="24"/>
              </w:rPr>
            </w:pPr>
            <w:r w:rsidRPr="00CE553E">
              <w:rPr>
                <w:rFonts w:asciiTheme="minorHAnsi" w:hAnsiTheme="minorHAnsi"/>
                <w:sz w:val="24"/>
                <w:szCs w:val="24"/>
              </w:rPr>
              <w:t xml:space="preserve">korištenje usluga pomoći </w:t>
            </w:r>
            <w:r w:rsidR="00CE553E" w:rsidRPr="00CE553E">
              <w:rPr>
                <w:rFonts w:asciiTheme="minorHAnsi" w:hAnsiTheme="minorHAnsi"/>
                <w:sz w:val="24"/>
                <w:szCs w:val="24"/>
              </w:rPr>
              <w:t>za starije i nemoćne osobe</w:t>
            </w:r>
          </w:p>
        </w:tc>
      </w:tr>
      <w:tr w:rsidR="00D7233B" w:rsidTr="00CE553E">
        <w:tc>
          <w:tcPr>
            <w:tcW w:w="3510" w:type="dxa"/>
          </w:tcPr>
          <w:p w:rsidR="00D7233B" w:rsidRPr="00CE553E" w:rsidRDefault="00D7233B" w:rsidP="00CE553E">
            <w:pPr>
              <w:spacing w:before="120" w:after="120"/>
              <w:jc w:val="both"/>
              <w:rPr>
                <w:rFonts w:asciiTheme="minorHAnsi" w:hAnsiTheme="minorHAnsi" w:cs="TimesNewRoman"/>
                <w:b/>
                <w:sz w:val="24"/>
                <w:szCs w:val="24"/>
              </w:rPr>
            </w:pPr>
            <w:r w:rsidRPr="00CE553E">
              <w:rPr>
                <w:rFonts w:asciiTheme="minorHAnsi" w:hAnsiTheme="minorHAnsi"/>
                <w:sz w:val="24"/>
                <w:szCs w:val="24"/>
              </w:rPr>
              <w:t xml:space="preserve">Zrele </w:t>
            </w:r>
            <w:r w:rsidR="00554B1E" w:rsidRPr="00CE553E">
              <w:rPr>
                <w:rFonts w:asciiTheme="minorHAnsi" w:hAnsiTheme="minorHAnsi"/>
                <w:sz w:val="24"/>
                <w:szCs w:val="24"/>
              </w:rPr>
              <w:t xml:space="preserve">i strije </w:t>
            </w:r>
            <w:r w:rsidRPr="00CE553E">
              <w:rPr>
                <w:rFonts w:asciiTheme="minorHAnsi" w:hAnsiTheme="minorHAnsi"/>
                <w:sz w:val="24"/>
                <w:szCs w:val="24"/>
              </w:rPr>
              <w:t>osobe (+50), samci</w:t>
            </w:r>
          </w:p>
        </w:tc>
        <w:tc>
          <w:tcPr>
            <w:tcW w:w="5778" w:type="dxa"/>
          </w:tcPr>
          <w:p w:rsidR="00CE553E" w:rsidRPr="00CE553E" w:rsidRDefault="00CE553E" w:rsidP="00C86D78">
            <w:pPr>
              <w:pStyle w:val="Odlomakpopisa"/>
              <w:numPr>
                <w:ilvl w:val="0"/>
                <w:numId w:val="111"/>
              </w:numPr>
              <w:spacing w:before="120" w:after="120"/>
              <w:jc w:val="both"/>
              <w:rPr>
                <w:rFonts w:asciiTheme="minorHAnsi" w:hAnsiTheme="minorHAnsi"/>
                <w:sz w:val="24"/>
                <w:szCs w:val="24"/>
              </w:rPr>
            </w:pPr>
            <w:r w:rsidRPr="00CE553E">
              <w:rPr>
                <w:rFonts w:asciiTheme="minorHAnsi" w:hAnsiTheme="minorHAnsi"/>
                <w:sz w:val="24"/>
                <w:szCs w:val="24"/>
              </w:rPr>
              <w:t>d</w:t>
            </w:r>
            <w:r w:rsidR="00D7233B" w:rsidRPr="00CE553E">
              <w:rPr>
                <w:rFonts w:asciiTheme="minorHAnsi" w:hAnsiTheme="minorHAnsi"/>
                <w:sz w:val="24"/>
                <w:szCs w:val="24"/>
              </w:rPr>
              <w:t xml:space="preserve">ugoročno zdravstveno osiguranje </w:t>
            </w:r>
          </w:p>
          <w:p w:rsidR="00CE553E" w:rsidRPr="00CE553E" w:rsidRDefault="00CE553E" w:rsidP="00C86D78">
            <w:pPr>
              <w:pStyle w:val="Odlomakpopisa"/>
              <w:numPr>
                <w:ilvl w:val="0"/>
                <w:numId w:val="111"/>
              </w:numPr>
              <w:spacing w:before="120" w:after="120"/>
              <w:jc w:val="both"/>
              <w:rPr>
                <w:rFonts w:asciiTheme="minorHAnsi" w:hAnsiTheme="minorHAnsi"/>
                <w:sz w:val="24"/>
                <w:szCs w:val="24"/>
              </w:rPr>
            </w:pPr>
            <w:r w:rsidRPr="00CE553E">
              <w:rPr>
                <w:rFonts w:asciiTheme="minorHAnsi" w:hAnsiTheme="minorHAnsi"/>
                <w:sz w:val="24"/>
                <w:szCs w:val="24"/>
              </w:rPr>
              <w:t>r</w:t>
            </w:r>
            <w:r w:rsidR="00D7233B" w:rsidRPr="00CE553E">
              <w:rPr>
                <w:rFonts w:asciiTheme="minorHAnsi" w:hAnsiTheme="minorHAnsi"/>
                <w:sz w:val="24"/>
                <w:szCs w:val="24"/>
              </w:rPr>
              <w:t xml:space="preserve">evizija </w:t>
            </w:r>
            <w:r w:rsidRPr="00CE553E">
              <w:rPr>
                <w:rFonts w:asciiTheme="minorHAnsi" w:hAnsiTheme="minorHAnsi"/>
                <w:sz w:val="24"/>
                <w:szCs w:val="24"/>
              </w:rPr>
              <w:t>oporuke i planova oko imovine</w:t>
            </w:r>
          </w:p>
          <w:p w:rsidR="00D7233B" w:rsidRPr="00CE553E" w:rsidRDefault="00CE553E" w:rsidP="00C86D78">
            <w:pPr>
              <w:pStyle w:val="Odlomakpopisa"/>
              <w:numPr>
                <w:ilvl w:val="0"/>
                <w:numId w:val="111"/>
              </w:numPr>
              <w:spacing w:before="120" w:after="120"/>
              <w:jc w:val="both"/>
              <w:rPr>
                <w:rFonts w:cs="TimesNewRoman"/>
                <w:b/>
                <w:sz w:val="24"/>
                <w:szCs w:val="24"/>
              </w:rPr>
            </w:pPr>
            <w:r w:rsidRPr="00CE553E">
              <w:rPr>
                <w:rFonts w:asciiTheme="minorHAnsi" w:hAnsiTheme="minorHAnsi"/>
                <w:sz w:val="24"/>
                <w:szCs w:val="24"/>
              </w:rPr>
              <w:t>p</w:t>
            </w:r>
            <w:r w:rsidR="00D7233B" w:rsidRPr="00CE553E">
              <w:rPr>
                <w:rFonts w:asciiTheme="minorHAnsi" w:hAnsiTheme="minorHAnsi"/>
                <w:sz w:val="24"/>
                <w:szCs w:val="24"/>
              </w:rPr>
              <w:t>laniranje smještaja, životnih troškova i aktivnosti u mirovini</w:t>
            </w:r>
          </w:p>
        </w:tc>
      </w:tr>
      <w:tr w:rsidR="00CE553E" w:rsidTr="00CE553E">
        <w:tblPrEx>
          <w:tblLook w:val="0000" w:firstRow="0" w:lastRow="0" w:firstColumn="0" w:lastColumn="0" w:noHBand="0" w:noVBand="0"/>
        </w:tblPrEx>
        <w:trPr>
          <w:trHeight w:val="570"/>
        </w:trPr>
        <w:tc>
          <w:tcPr>
            <w:tcW w:w="9288" w:type="dxa"/>
            <w:gridSpan w:val="2"/>
          </w:tcPr>
          <w:p w:rsidR="00CE553E" w:rsidRPr="00CE553E" w:rsidRDefault="00CE553E" w:rsidP="00CE553E">
            <w:pPr>
              <w:jc w:val="both"/>
              <w:rPr>
                <w:rFonts w:asciiTheme="minorHAnsi" w:hAnsiTheme="minorHAnsi"/>
              </w:rPr>
            </w:pPr>
          </w:p>
          <w:p w:rsidR="00CE553E" w:rsidRDefault="00CE553E" w:rsidP="00CE553E">
            <w:pPr>
              <w:jc w:val="both"/>
              <w:rPr>
                <w:rFonts w:cs="TimesNewRoman"/>
                <w:b/>
                <w:sz w:val="24"/>
                <w:szCs w:val="24"/>
              </w:rPr>
            </w:pPr>
            <w:r>
              <w:rPr>
                <w:rFonts w:asciiTheme="minorHAnsi" w:hAnsiTheme="minorHAnsi"/>
              </w:rPr>
              <w:t xml:space="preserve">* </w:t>
            </w:r>
            <w:r w:rsidRPr="00CE553E">
              <w:rPr>
                <w:rFonts w:asciiTheme="minorHAnsi" w:hAnsiTheme="minorHAnsi"/>
              </w:rPr>
              <w:t xml:space="preserve">Izvor: uz manje izmjene: Kappor, J.R. i drugi (2004.) „Personal finance“, </w:t>
            </w:r>
            <w:r w:rsidRPr="00CE553E">
              <w:rPr>
                <w:rFonts w:asciiTheme="minorHAnsi" w:hAnsiTheme="minorHAnsi" w:cs="Arial"/>
                <w:color w:val="333333"/>
                <w:shd w:val="clear" w:color="auto" w:fill="FFFFFF"/>
              </w:rPr>
              <w:t>McGraw-Hill</w:t>
            </w:r>
            <w:r w:rsidRPr="00AA0589">
              <w:rPr>
                <w:rStyle w:val="apple-converted-space"/>
                <w:rFonts w:cs="Arial"/>
                <w:color w:val="333333"/>
                <w:shd w:val="clear" w:color="auto" w:fill="FFFFFF"/>
              </w:rPr>
              <w:t> </w:t>
            </w:r>
          </w:p>
        </w:tc>
      </w:tr>
    </w:tbl>
    <w:p w:rsidR="00CE553E" w:rsidRDefault="00CE553E" w:rsidP="00CE553E">
      <w:pPr>
        <w:spacing w:before="360" w:after="0"/>
        <w:jc w:val="both"/>
        <w:rPr>
          <w:rFonts w:cs="TimesNewRoman"/>
          <w:sz w:val="24"/>
          <w:szCs w:val="24"/>
        </w:rPr>
      </w:pPr>
      <w:r w:rsidRPr="005864F4">
        <w:rPr>
          <w:rFonts w:cs="TimesNewRoman"/>
          <w:b/>
          <w:sz w:val="24"/>
          <w:szCs w:val="24"/>
        </w:rPr>
        <w:t>2.</w:t>
      </w:r>
      <w:r w:rsidR="00C103F2">
        <w:rPr>
          <w:rFonts w:cs="TimesNewRoman"/>
          <w:b/>
          <w:sz w:val="24"/>
          <w:szCs w:val="24"/>
        </w:rPr>
        <w:t>3</w:t>
      </w:r>
      <w:r w:rsidRPr="005864F4">
        <w:rPr>
          <w:rFonts w:cs="TimesNewRoman"/>
          <w:b/>
          <w:sz w:val="24"/>
          <w:szCs w:val="24"/>
        </w:rPr>
        <w:t>. Određivanje trenutne financijske situacije</w:t>
      </w:r>
      <w:r w:rsidRPr="005864F4">
        <w:rPr>
          <w:rFonts w:cs="TimesNewRoman"/>
          <w:sz w:val="24"/>
          <w:szCs w:val="24"/>
        </w:rPr>
        <w:t xml:space="preserve"> </w:t>
      </w:r>
    </w:p>
    <w:p w:rsidR="005864F4" w:rsidRPr="005864F4" w:rsidRDefault="005864F4" w:rsidP="00CE553E">
      <w:pPr>
        <w:spacing w:before="240" w:after="0"/>
        <w:jc w:val="both"/>
        <w:rPr>
          <w:rFonts w:cs="TimesNewRoman"/>
          <w:sz w:val="24"/>
          <w:szCs w:val="24"/>
        </w:rPr>
      </w:pPr>
      <w:r w:rsidRPr="005864F4">
        <w:rPr>
          <w:rFonts w:cs="TimesNewRoman"/>
          <w:sz w:val="24"/>
          <w:szCs w:val="24"/>
        </w:rPr>
        <w:t>Trenutna financijska pozicija</w:t>
      </w:r>
      <w:r w:rsidR="00D24738">
        <w:rPr>
          <w:rFonts w:cs="TimesNewRoman"/>
          <w:sz w:val="24"/>
          <w:szCs w:val="24"/>
        </w:rPr>
        <w:t xml:space="preserve"> kućanstva</w:t>
      </w:r>
      <w:r w:rsidRPr="005864F4">
        <w:rPr>
          <w:rFonts w:cs="TimesNewRoman"/>
          <w:b/>
          <w:sz w:val="24"/>
          <w:szCs w:val="24"/>
        </w:rPr>
        <w:t xml:space="preserve"> </w:t>
      </w:r>
      <w:r w:rsidRPr="005864F4">
        <w:rPr>
          <w:rFonts w:cs="TimesNewRoman"/>
          <w:sz w:val="24"/>
          <w:szCs w:val="24"/>
        </w:rPr>
        <w:t>određuje se uzimajući u obzir:</w:t>
      </w:r>
    </w:p>
    <w:p w:rsidR="005864F4" w:rsidRPr="005864F4" w:rsidRDefault="005864F4" w:rsidP="006F1C04">
      <w:pPr>
        <w:numPr>
          <w:ilvl w:val="0"/>
          <w:numId w:val="13"/>
        </w:numPr>
        <w:spacing w:after="0" w:line="240" w:lineRule="auto"/>
        <w:jc w:val="both"/>
        <w:rPr>
          <w:rFonts w:cs="TimesNewRoman"/>
          <w:sz w:val="24"/>
          <w:szCs w:val="24"/>
        </w:rPr>
      </w:pPr>
      <w:r w:rsidRPr="005864F4">
        <w:rPr>
          <w:rFonts w:cs="TimesNewRoman"/>
          <w:sz w:val="24"/>
          <w:szCs w:val="24"/>
        </w:rPr>
        <w:t xml:space="preserve">vrijednost imovine i obveza, </w:t>
      </w:r>
    </w:p>
    <w:p w:rsidR="005864F4" w:rsidRPr="005864F4" w:rsidRDefault="005864F4" w:rsidP="006F1C04">
      <w:pPr>
        <w:numPr>
          <w:ilvl w:val="0"/>
          <w:numId w:val="13"/>
        </w:numPr>
        <w:spacing w:after="0" w:line="240" w:lineRule="auto"/>
        <w:jc w:val="both"/>
        <w:rPr>
          <w:rFonts w:cs="TimesNewRoman"/>
          <w:sz w:val="24"/>
          <w:szCs w:val="24"/>
        </w:rPr>
      </w:pPr>
      <w:r w:rsidRPr="005864F4">
        <w:rPr>
          <w:rFonts w:cs="TimesNewRoman"/>
          <w:sz w:val="24"/>
          <w:szCs w:val="24"/>
        </w:rPr>
        <w:t>veličinu dohotka i drugih prihoda kućanstva</w:t>
      </w:r>
    </w:p>
    <w:p w:rsidR="005864F4" w:rsidRPr="005864F4" w:rsidRDefault="005864F4" w:rsidP="006F1C04">
      <w:pPr>
        <w:numPr>
          <w:ilvl w:val="0"/>
          <w:numId w:val="13"/>
        </w:numPr>
        <w:spacing w:after="0" w:line="240" w:lineRule="auto"/>
        <w:jc w:val="both"/>
        <w:rPr>
          <w:rFonts w:cs="TimesNewRoman"/>
          <w:sz w:val="24"/>
          <w:szCs w:val="24"/>
        </w:rPr>
      </w:pPr>
      <w:r w:rsidRPr="005864F4">
        <w:rPr>
          <w:rFonts w:cs="TimesNewRoman"/>
          <w:sz w:val="24"/>
          <w:szCs w:val="24"/>
        </w:rPr>
        <w:t>veličinu rashoda kućanstva te</w:t>
      </w:r>
    </w:p>
    <w:p w:rsidR="005864F4" w:rsidRPr="005864F4" w:rsidRDefault="005864F4" w:rsidP="006F1C04">
      <w:pPr>
        <w:numPr>
          <w:ilvl w:val="0"/>
          <w:numId w:val="13"/>
        </w:numPr>
        <w:spacing w:after="0" w:line="240" w:lineRule="auto"/>
        <w:jc w:val="both"/>
        <w:rPr>
          <w:rFonts w:cs="TimesNewRoman"/>
          <w:sz w:val="24"/>
          <w:szCs w:val="24"/>
        </w:rPr>
      </w:pPr>
      <w:r w:rsidRPr="005864F4">
        <w:rPr>
          <w:rFonts w:cs="TimesNewRoman"/>
          <w:sz w:val="24"/>
          <w:szCs w:val="24"/>
        </w:rPr>
        <w:t xml:space="preserve">raspodjelu dohotka na osobnu potrošnju i štednju. </w:t>
      </w:r>
    </w:p>
    <w:p w:rsidR="005864F4" w:rsidRPr="005864F4" w:rsidRDefault="005864F4" w:rsidP="000B59EE">
      <w:pPr>
        <w:spacing w:before="240"/>
        <w:jc w:val="both"/>
        <w:rPr>
          <w:rFonts w:cs="TimesNewRoman"/>
          <w:sz w:val="24"/>
          <w:szCs w:val="24"/>
        </w:rPr>
      </w:pPr>
      <w:r w:rsidRPr="005864F4">
        <w:rPr>
          <w:rFonts w:cs="TimesNewRoman"/>
          <w:sz w:val="24"/>
          <w:szCs w:val="24"/>
        </w:rPr>
        <w:t xml:space="preserve">Slično kao u slučaju poduzeća, za potrebe određivanja trenutne financijske pozicije te sagledavanje mogućnosti za povećanje financijske učinkovitosti u budućnosti, potrebno je sastaviti temeljna financijska izviješća. To su bilanca </w:t>
      </w:r>
      <w:r w:rsidR="0054700C">
        <w:rPr>
          <w:rFonts w:cs="TimesNewRoman"/>
          <w:sz w:val="24"/>
          <w:szCs w:val="24"/>
        </w:rPr>
        <w:t xml:space="preserve">(tzv. bilanca stanja) </w:t>
      </w:r>
      <w:r w:rsidRPr="005864F4">
        <w:rPr>
          <w:rFonts w:cs="TimesNewRoman"/>
          <w:sz w:val="24"/>
          <w:szCs w:val="24"/>
        </w:rPr>
        <w:t>i račun financijske uspješnosti</w:t>
      </w:r>
      <w:r w:rsidR="0054700C">
        <w:rPr>
          <w:rFonts w:cs="TimesNewRoman"/>
          <w:sz w:val="24"/>
          <w:szCs w:val="24"/>
        </w:rPr>
        <w:t xml:space="preserve"> (sličan računu dobiti i gubitka kod poduzeća, odnosno tzv. bilanca uspjeha)</w:t>
      </w:r>
      <w:r w:rsidRPr="005864F4">
        <w:rPr>
          <w:rFonts w:cs="TimesNewRoman"/>
          <w:sz w:val="24"/>
          <w:szCs w:val="24"/>
        </w:rPr>
        <w:t xml:space="preserve">. </w:t>
      </w:r>
    </w:p>
    <w:p w:rsidR="005864F4" w:rsidRDefault="005864F4" w:rsidP="005864F4">
      <w:pPr>
        <w:tabs>
          <w:tab w:val="left" w:pos="1300"/>
        </w:tabs>
        <w:jc w:val="both"/>
        <w:rPr>
          <w:rFonts w:cs="TimesNewRoman"/>
          <w:sz w:val="24"/>
          <w:szCs w:val="24"/>
        </w:rPr>
      </w:pPr>
      <w:r w:rsidRPr="000B59EE">
        <w:rPr>
          <w:rFonts w:cs="TimesNewRoman"/>
          <w:color w:val="C00000"/>
          <w:sz w:val="24"/>
          <w:szCs w:val="24"/>
        </w:rPr>
        <w:t>Bilanca</w:t>
      </w:r>
      <w:r w:rsidRPr="005864F4">
        <w:rPr>
          <w:rFonts w:cs="TimesNewRoman"/>
          <w:b/>
          <w:sz w:val="24"/>
          <w:szCs w:val="24"/>
        </w:rPr>
        <w:t xml:space="preserve"> </w:t>
      </w:r>
      <w:r w:rsidRPr="005864F4">
        <w:rPr>
          <w:rFonts w:cs="TimesNewRoman"/>
          <w:sz w:val="24"/>
          <w:szCs w:val="24"/>
        </w:rPr>
        <w:t>predstavlja prikaz stanja imovine i obveza na određeni dan, na primjer posljednji dan u godini, posljednji dan kalendarskog mjeseca i slično. U aktivi bilance nalaze se oblici financijske i realne imovine u vlasništvu kućanstva, a u pasivi ukupne obveze (na primjer primljeni krediti</w:t>
      </w:r>
      <w:r w:rsidR="00F85D56">
        <w:rPr>
          <w:rFonts w:cs="TimesNewRoman"/>
          <w:sz w:val="24"/>
          <w:szCs w:val="24"/>
        </w:rPr>
        <w:t>, nepodmireni liječnički računi itd.</w:t>
      </w:r>
      <w:r w:rsidRPr="005864F4">
        <w:rPr>
          <w:rFonts w:cs="TimesNewRoman"/>
          <w:sz w:val="24"/>
          <w:szCs w:val="24"/>
        </w:rPr>
        <w:t xml:space="preserve">) uvećane za vlastiti kapital. </w:t>
      </w:r>
      <w:r w:rsidR="006200C9">
        <w:rPr>
          <w:rFonts w:cs="TimesNewRoman"/>
          <w:sz w:val="24"/>
          <w:szCs w:val="24"/>
        </w:rPr>
        <w:t>Aktiva se može podijeliti na kratkotrajnu imovinu i dugotrajnu imovinu, a obveze na kratkoročne obveze i dugoročne obveze.</w:t>
      </w:r>
    </w:p>
    <w:p w:rsidR="00B20BF7" w:rsidRPr="005864F4" w:rsidRDefault="00B20BF7" w:rsidP="00B20BF7">
      <w:pPr>
        <w:tabs>
          <w:tab w:val="left" w:pos="1300"/>
        </w:tabs>
        <w:spacing w:before="240"/>
        <w:jc w:val="both"/>
        <w:rPr>
          <w:rFonts w:cs="TimesNewRoman"/>
          <w:sz w:val="24"/>
          <w:szCs w:val="24"/>
        </w:rPr>
      </w:pPr>
      <w:r w:rsidRPr="005864F4">
        <w:rPr>
          <w:rFonts w:cs="TimesNewRoman"/>
          <w:sz w:val="24"/>
          <w:szCs w:val="24"/>
        </w:rPr>
        <w:lastRenderedPageBreak/>
        <w:t xml:space="preserve">Pozicije bilance predstavljaju kumulative ranijih pojedinačnih promjena koje su se odrazile na povećanje ili smanjenje vrijednosti imovine i obveza </w:t>
      </w:r>
      <w:r>
        <w:rPr>
          <w:rFonts w:cs="TimesNewRoman"/>
          <w:sz w:val="24"/>
          <w:szCs w:val="24"/>
        </w:rPr>
        <w:t xml:space="preserve">(odnosno neto-vrijednosti, bogatstva) </w:t>
      </w:r>
      <w:r w:rsidRPr="005864F4">
        <w:rPr>
          <w:rFonts w:cs="TimesNewRoman"/>
          <w:sz w:val="24"/>
          <w:szCs w:val="24"/>
        </w:rPr>
        <w:t xml:space="preserve">te djelovale na promjenu stanja pojedinačnih pozicija sa zaključnim stanjem na datum sastavljanja bilance. </w:t>
      </w:r>
      <w:r>
        <w:rPr>
          <w:rFonts w:cs="TimesNewRoman"/>
          <w:sz w:val="24"/>
          <w:szCs w:val="24"/>
        </w:rPr>
        <w:t xml:space="preserve">Kao takve predstavljaju temelj za planiranje financijske budućnosti, npr. u smislu potrebe restrukturiranja postojeće imovine (ili obveza) i /ili unošenja u bilancu novih pozicija. Ono što je pri tome posebno važno s aspekta uspješnosti upravljanja osobnim financijama jest </w:t>
      </w:r>
      <w:r w:rsidRPr="0079760A">
        <w:rPr>
          <w:rFonts w:cs="TimesNewRoman"/>
          <w:color w:val="C00000"/>
          <w:sz w:val="24"/>
          <w:szCs w:val="24"/>
        </w:rPr>
        <w:t>ulaganje u imovinu koja donosi prihode i čuva realnu vrijednost bogatstva te smanjenje obveza i imovine koji stvaraju rashode</w:t>
      </w:r>
      <w:r>
        <w:rPr>
          <w:rFonts w:cs="TimesNewRoman"/>
          <w:sz w:val="24"/>
          <w:szCs w:val="24"/>
        </w:rPr>
        <w:t>.</w:t>
      </w:r>
    </w:p>
    <w:p w:rsidR="00B20BF7" w:rsidRDefault="00B20BF7" w:rsidP="00B20BF7">
      <w:pPr>
        <w:tabs>
          <w:tab w:val="left" w:pos="1300"/>
        </w:tabs>
        <w:spacing w:before="240"/>
        <w:jc w:val="both"/>
        <w:rPr>
          <w:rFonts w:cs="TimesNewRoman"/>
          <w:sz w:val="24"/>
          <w:szCs w:val="24"/>
        </w:rPr>
      </w:pPr>
      <w:r w:rsidRPr="0096736E">
        <w:rPr>
          <w:rFonts w:cs="TimesNewRoman"/>
          <w:sz w:val="24"/>
          <w:szCs w:val="24"/>
        </w:rPr>
        <w:t xml:space="preserve">Razlozi sa sastavljanje bilance kućanstva mogu biti različiti, npr. </w:t>
      </w:r>
      <w:r>
        <w:rPr>
          <w:rFonts w:cs="TimesNewRoman"/>
          <w:sz w:val="24"/>
          <w:szCs w:val="24"/>
        </w:rPr>
        <w:t>utvrđivanje stanja imovine, obveza i bogatstva dvoje mladih koji su tek formirali bračnu zajednicu, utvrđivanje diobene bilance nakon osamostaljenja djece kada oni iznose svoje neto-imovinske pozicije iz jednog kućanstva i prenose je na drugo kućanstvo, u slučaju razvoda braka, ali i s ciljem da se realno sagledaju ukupna imovina i obveze – da se utvrdi „što se ima i koliko to vrijedi“</w:t>
      </w:r>
      <w:r w:rsidRPr="007335EF">
        <w:rPr>
          <w:sz w:val="24"/>
          <w:szCs w:val="24"/>
          <w:vertAlign w:val="superscript"/>
        </w:rPr>
        <w:t xml:space="preserve"> </w:t>
      </w:r>
      <w:r w:rsidRPr="00086C6D">
        <w:rPr>
          <w:sz w:val="24"/>
          <w:szCs w:val="24"/>
          <w:vertAlign w:val="superscript"/>
        </w:rPr>
        <w:footnoteReference w:id="45"/>
      </w:r>
      <w:r>
        <w:rPr>
          <w:rFonts w:cs="TimesNewRoman"/>
          <w:sz w:val="24"/>
          <w:szCs w:val="24"/>
        </w:rPr>
        <w:t>, npr.:</w:t>
      </w:r>
    </w:p>
    <w:p w:rsidR="00B20BF7" w:rsidRDefault="00B20BF7" w:rsidP="006F1C04">
      <w:pPr>
        <w:pStyle w:val="Odlomakpopisa"/>
        <w:numPr>
          <w:ilvl w:val="0"/>
          <w:numId w:val="22"/>
        </w:numPr>
        <w:tabs>
          <w:tab w:val="left" w:pos="1300"/>
        </w:tabs>
        <w:spacing w:before="120"/>
        <w:ind w:left="714" w:hanging="357"/>
        <w:jc w:val="both"/>
        <w:rPr>
          <w:rFonts w:cs="TimesNewRoman"/>
          <w:sz w:val="24"/>
          <w:szCs w:val="24"/>
        </w:rPr>
      </w:pPr>
      <w:r w:rsidRPr="00D977EF">
        <w:rPr>
          <w:rFonts w:cs="TimesNewRoman"/>
          <w:sz w:val="24"/>
          <w:szCs w:val="24"/>
        </w:rPr>
        <w:t>koliki dio imovine čini likvidna i lako dostupna imovina</w:t>
      </w:r>
      <w:r>
        <w:rPr>
          <w:rFonts w:cs="TimesNewRoman"/>
          <w:sz w:val="24"/>
          <w:szCs w:val="24"/>
        </w:rPr>
        <w:t xml:space="preserve"> </w:t>
      </w:r>
      <w:r w:rsidR="00133851">
        <w:rPr>
          <w:rFonts w:cs="TimesNewRoman"/>
          <w:sz w:val="24"/>
          <w:szCs w:val="24"/>
        </w:rPr>
        <w:t xml:space="preserve">(poput gotovine, depozita po viđenju u banci ili drugih oblika koji se mogu brzo i lako konvertirati u novac, npr. oročeni depoziti, udjeli u otvorenim investicijskim fondovima s javnom ponudom) </w:t>
      </w:r>
      <w:r>
        <w:rPr>
          <w:rFonts w:cs="TimesNewRoman"/>
          <w:sz w:val="24"/>
          <w:szCs w:val="24"/>
        </w:rPr>
        <w:t>u komparaciji s kratkoročnim obvezama</w:t>
      </w:r>
      <w:r w:rsidR="00133851">
        <w:rPr>
          <w:rFonts w:cs="TimesNewRoman"/>
          <w:sz w:val="24"/>
          <w:szCs w:val="24"/>
        </w:rPr>
        <w:t xml:space="preserve"> (dugovanjima koja se moraju podmiriti u kratkom roku, kraćem od godinu dana)</w:t>
      </w:r>
      <w:r w:rsidRPr="00D977EF">
        <w:rPr>
          <w:rFonts w:cs="TimesNewRoman"/>
          <w:sz w:val="24"/>
          <w:szCs w:val="24"/>
        </w:rPr>
        <w:t xml:space="preserve">; </w:t>
      </w:r>
    </w:p>
    <w:p w:rsidR="00B20BF7" w:rsidRPr="00D977EF" w:rsidRDefault="00B20BF7" w:rsidP="006F1C04">
      <w:pPr>
        <w:pStyle w:val="Odlomakpopisa"/>
        <w:numPr>
          <w:ilvl w:val="0"/>
          <w:numId w:val="22"/>
        </w:numPr>
        <w:tabs>
          <w:tab w:val="left" w:pos="1300"/>
        </w:tabs>
        <w:spacing w:before="240"/>
        <w:ind w:left="714" w:hanging="357"/>
        <w:jc w:val="both"/>
        <w:rPr>
          <w:rFonts w:cs="TimesNewRoman"/>
          <w:sz w:val="24"/>
          <w:szCs w:val="24"/>
        </w:rPr>
      </w:pPr>
      <w:r w:rsidRPr="00D977EF">
        <w:rPr>
          <w:rFonts w:cs="TimesNewRoman"/>
          <w:sz w:val="24"/>
          <w:szCs w:val="24"/>
        </w:rPr>
        <w:t>koji oblici imovine donose prihod a koji bi se dodat</w:t>
      </w:r>
      <w:r>
        <w:rPr>
          <w:rFonts w:cs="TimesNewRoman"/>
          <w:sz w:val="24"/>
          <w:szCs w:val="24"/>
        </w:rPr>
        <w:t xml:space="preserve">no mogli staviti u tu funkciju; </w:t>
      </w:r>
      <w:r w:rsidRPr="00D977EF">
        <w:rPr>
          <w:rFonts w:cs="TimesNewRoman"/>
          <w:sz w:val="24"/>
          <w:szCs w:val="24"/>
        </w:rPr>
        <w:t>koliki neto prinos donose pojedini oblici imovine</w:t>
      </w:r>
      <w:r>
        <w:rPr>
          <w:rFonts w:cs="TimesNewRoman"/>
          <w:sz w:val="24"/>
          <w:szCs w:val="24"/>
        </w:rPr>
        <w:t xml:space="preserve"> te </w:t>
      </w:r>
      <w:r w:rsidRPr="00D977EF">
        <w:rPr>
          <w:rFonts w:cs="TimesNewRoman"/>
          <w:sz w:val="24"/>
          <w:szCs w:val="24"/>
        </w:rPr>
        <w:t>koja imovina stvara neto-rashode</w:t>
      </w:r>
      <w:r>
        <w:rPr>
          <w:rFonts w:cs="TimesNewRoman"/>
          <w:sz w:val="24"/>
          <w:szCs w:val="24"/>
        </w:rPr>
        <w:t>;</w:t>
      </w:r>
    </w:p>
    <w:p w:rsidR="00B20BF7" w:rsidRDefault="00B20BF7" w:rsidP="006F1C04">
      <w:pPr>
        <w:pStyle w:val="Odlomakpopisa"/>
        <w:numPr>
          <w:ilvl w:val="0"/>
          <w:numId w:val="22"/>
        </w:numPr>
        <w:tabs>
          <w:tab w:val="left" w:pos="1300"/>
        </w:tabs>
        <w:spacing w:before="240"/>
        <w:ind w:left="714" w:hanging="357"/>
        <w:jc w:val="both"/>
        <w:rPr>
          <w:rFonts w:cs="TimesNewRoman"/>
          <w:sz w:val="24"/>
          <w:szCs w:val="24"/>
        </w:rPr>
      </w:pPr>
      <w:r w:rsidRPr="00B20BF7">
        <w:rPr>
          <w:rFonts w:cs="TimesNewRoman"/>
          <w:sz w:val="24"/>
          <w:szCs w:val="24"/>
        </w:rPr>
        <w:t>koja bi imovina eventualno mogla postati predmet oporezivanja u slučaju uvođenja poreza na nekretnine ili bogatstvo</w:t>
      </w:r>
      <w:r>
        <w:rPr>
          <w:rFonts w:cs="TimesNewRoman"/>
          <w:sz w:val="24"/>
          <w:szCs w:val="24"/>
        </w:rPr>
        <w:t>.</w:t>
      </w:r>
    </w:p>
    <w:p w:rsidR="00C23E48" w:rsidRDefault="00133851" w:rsidP="00C23E48">
      <w:pPr>
        <w:tabs>
          <w:tab w:val="left" w:pos="1300"/>
        </w:tabs>
        <w:spacing w:before="240"/>
        <w:jc w:val="both"/>
        <w:rPr>
          <w:rFonts w:cs="TimesNewRoman"/>
          <w:sz w:val="24"/>
          <w:szCs w:val="24"/>
        </w:rPr>
      </w:pPr>
      <w:r>
        <w:rPr>
          <w:rFonts w:cs="TimesNewRoman"/>
          <w:sz w:val="24"/>
          <w:szCs w:val="24"/>
        </w:rPr>
        <w:t>Razlika</w:t>
      </w:r>
      <w:r w:rsidR="00C23E48" w:rsidRPr="00C23E48">
        <w:rPr>
          <w:rFonts w:cs="TimesNewRoman"/>
          <w:sz w:val="24"/>
          <w:szCs w:val="24"/>
        </w:rPr>
        <w:t xml:space="preserve"> između ukupne imovine i ukupnih obveza predstavlja realnu mjeru </w:t>
      </w:r>
      <w:r w:rsidR="00C23E48" w:rsidRPr="006200C9">
        <w:rPr>
          <w:rFonts w:cs="TimesNewRoman"/>
          <w:color w:val="C00000"/>
          <w:sz w:val="24"/>
          <w:szCs w:val="24"/>
        </w:rPr>
        <w:t>bogatstva</w:t>
      </w:r>
      <w:r>
        <w:rPr>
          <w:rFonts w:cs="TimesNewRoman"/>
          <w:color w:val="C00000"/>
          <w:sz w:val="24"/>
          <w:szCs w:val="24"/>
        </w:rPr>
        <w:t xml:space="preserve"> kućanstva</w:t>
      </w:r>
      <w:r w:rsidRPr="00CB086D">
        <w:rPr>
          <w:rFonts w:cs="TimesNewRoman"/>
          <w:sz w:val="24"/>
          <w:szCs w:val="24"/>
        </w:rPr>
        <w:t xml:space="preserve">, koja se uobičajeno naziva </w:t>
      </w:r>
      <w:r w:rsidR="00C23E48" w:rsidRPr="00C23E48">
        <w:rPr>
          <w:rFonts w:cs="TimesNewRoman"/>
          <w:color w:val="C00000"/>
          <w:sz w:val="24"/>
          <w:szCs w:val="24"/>
        </w:rPr>
        <w:t xml:space="preserve">neto </w:t>
      </w:r>
      <w:r w:rsidR="006200C9">
        <w:rPr>
          <w:rFonts w:cs="TimesNewRoman"/>
          <w:color w:val="C00000"/>
          <w:sz w:val="24"/>
          <w:szCs w:val="24"/>
        </w:rPr>
        <w:t xml:space="preserve">vrijednost </w:t>
      </w:r>
      <w:r>
        <w:rPr>
          <w:rFonts w:cs="TimesNewRoman"/>
          <w:color w:val="C00000"/>
          <w:sz w:val="24"/>
          <w:szCs w:val="24"/>
        </w:rPr>
        <w:t xml:space="preserve">imovine kućanstva </w:t>
      </w:r>
      <w:r w:rsidRPr="00CB086D">
        <w:rPr>
          <w:rFonts w:cs="TimesNewRoman"/>
          <w:sz w:val="24"/>
          <w:szCs w:val="24"/>
        </w:rPr>
        <w:t xml:space="preserve">ili </w:t>
      </w:r>
      <w:r>
        <w:rPr>
          <w:rFonts w:cs="TimesNewRoman"/>
          <w:color w:val="C00000"/>
          <w:sz w:val="24"/>
          <w:szCs w:val="24"/>
        </w:rPr>
        <w:t xml:space="preserve">vlastiti kapital </w:t>
      </w:r>
      <w:r w:rsidR="006200C9">
        <w:rPr>
          <w:rFonts w:cs="TimesNewRoman"/>
          <w:color w:val="C00000"/>
          <w:sz w:val="24"/>
          <w:szCs w:val="24"/>
        </w:rPr>
        <w:t xml:space="preserve"> </w:t>
      </w:r>
      <w:r w:rsidR="006200C9" w:rsidRPr="00CB086D">
        <w:rPr>
          <w:rFonts w:cs="TimesNewRoman"/>
          <w:color w:val="000000" w:themeColor="text1"/>
          <w:sz w:val="24"/>
          <w:szCs w:val="24"/>
        </w:rPr>
        <w:t xml:space="preserve">(praktično </w:t>
      </w:r>
      <w:r w:rsidR="006200C9">
        <w:rPr>
          <w:rFonts w:cs="TimesNewRoman"/>
          <w:sz w:val="24"/>
          <w:szCs w:val="24"/>
        </w:rPr>
        <w:t>predstavlja iznos koji preostaje ako bi se ukupna imovina prodala i iz toga podmirile sve obveze)</w:t>
      </w:r>
      <w:r w:rsidR="00C23E48" w:rsidRPr="00C23E48">
        <w:rPr>
          <w:rFonts w:cs="TimesNewRoman"/>
          <w:sz w:val="24"/>
          <w:szCs w:val="24"/>
        </w:rPr>
        <w:t>. Bogatstvo</w:t>
      </w:r>
      <w:r w:rsidR="00A132D7">
        <w:rPr>
          <w:rFonts w:cs="TimesNewRoman"/>
          <w:sz w:val="24"/>
          <w:szCs w:val="24"/>
        </w:rPr>
        <w:t xml:space="preserve"> </w:t>
      </w:r>
      <w:r w:rsidR="00C23E48" w:rsidRPr="00C23E48">
        <w:rPr>
          <w:rFonts w:cs="TimesNewRoman"/>
          <w:sz w:val="24"/>
          <w:szCs w:val="24"/>
        </w:rPr>
        <w:t xml:space="preserve">je tim veće što su, uz danu vrijednost imovine, obveze manje jer je manji iznos nevraćenih dugova koji umanjuju neto vrijednost imovine. Stanje bogatstva ostat će isto ako je porast vrijednosti imovine u aktivi jednak porastu veličine obveza u pasivi, na primjer kada se stambeni kredit koristi za financiranje kupovine stana. Međutim, kako povrat kredita uobičajeno podrazumijeva i plaćanje kamata, sveukupni učinci zaduživanja na buduće stanje </w:t>
      </w:r>
      <w:r>
        <w:rPr>
          <w:rFonts w:cs="TimesNewRoman"/>
          <w:sz w:val="24"/>
          <w:szCs w:val="24"/>
        </w:rPr>
        <w:t xml:space="preserve">neto vrijednosti imovine kućanstva </w:t>
      </w:r>
      <w:r w:rsidR="00C23E48" w:rsidRPr="00C23E48">
        <w:rPr>
          <w:rFonts w:cs="TimesNewRoman"/>
          <w:sz w:val="24"/>
          <w:szCs w:val="24"/>
        </w:rPr>
        <w:t>(npr. na kraju sljedećeg mjeseca ili na kraju naredne godine) bit će (vjerojatno) negativni zbog povećanja rashoda za kamate na kredit (osim ako povećanje rashoda ne kompenzira jednako povećanje prihoda od imovine).</w:t>
      </w:r>
      <w:r w:rsidR="00C23E48" w:rsidRPr="000B59EE">
        <w:rPr>
          <w:rStyle w:val="Referencafusnote"/>
          <w:rFonts w:cs="TimesNewRoman"/>
          <w:sz w:val="24"/>
          <w:szCs w:val="24"/>
        </w:rPr>
        <w:footnoteReference w:id="46"/>
      </w:r>
    </w:p>
    <w:p w:rsidR="00CB086D" w:rsidRDefault="00CB086D" w:rsidP="00CB086D">
      <w:pPr>
        <w:tabs>
          <w:tab w:val="left" w:pos="1300"/>
        </w:tabs>
        <w:spacing w:after="120"/>
        <w:jc w:val="both"/>
        <w:rPr>
          <w:rFonts w:cs="TimesNewRoman"/>
          <w:sz w:val="24"/>
          <w:szCs w:val="24"/>
        </w:rPr>
      </w:pPr>
      <w:r>
        <w:rPr>
          <w:rFonts w:cs="TimesNewRoman"/>
          <w:sz w:val="24"/>
          <w:szCs w:val="24"/>
        </w:rPr>
        <w:lastRenderedPageBreak/>
        <w:t xml:space="preserve">Uvažavajući sve naveden, </w:t>
      </w:r>
      <w:r w:rsidRPr="00CB086D">
        <w:rPr>
          <w:rFonts w:cs="TimesNewRoman"/>
          <w:color w:val="C00000"/>
          <w:sz w:val="24"/>
          <w:szCs w:val="24"/>
        </w:rPr>
        <w:t>neto vrijednost imovine kućanstva (bogatstvo, vlastiti kapital) može se povećati:</w:t>
      </w:r>
    </w:p>
    <w:p w:rsidR="00CB086D" w:rsidRPr="00CB086D" w:rsidRDefault="00CB086D" w:rsidP="00C86D78">
      <w:pPr>
        <w:pStyle w:val="Odlomakpopisa"/>
        <w:numPr>
          <w:ilvl w:val="0"/>
          <w:numId w:val="112"/>
        </w:numPr>
        <w:tabs>
          <w:tab w:val="left" w:pos="1300"/>
        </w:tabs>
        <w:ind w:left="714" w:hanging="357"/>
        <w:jc w:val="both"/>
        <w:rPr>
          <w:rFonts w:cs="TimesNewRoman"/>
          <w:sz w:val="24"/>
          <w:szCs w:val="24"/>
        </w:rPr>
      </w:pPr>
      <w:r w:rsidRPr="00CB086D">
        <w:rPr>
          <w:rFonts w:cs="TimesNewRoman"/>
          <w:sz w:val="24"/>
          <w:szCs w:val="24"/>
        </w:rPr>
        <w:t>povećanjem štednje</w:t>
      </w:r>
    </w:p>
    <w:p w:rsidR="00CB086D" w:rsidRPr="00CB086D" w:rsidRDefault="00CB086D" w:rsidP="00C86D78">
      <w:pPr>
        <w:pStyle w:val="Odlomakpopisa"/>
        <w:numPr>
          <w:ilvl w:val="0"/>
          <w:numId w:val="112"/>
        </w:numPr>
        <w:tabs>
          <w:tab w:val="left" w:pos="1300"/>
        </w:tabs>
        <w:spacing w:before="240"/>
        <w:jc w:val="both"/>
        <w:rPr>
          <w:rFonts w:cs="TimesNewRoman"/>
          <w:sz w:val="24"/>
          <w:szCs w:val="24"/>
        </w:rPr>
      </w:pPr>
      <w:r w:rsidRPr="00CB086D">
        <w:rPr>
          <w:rFonts w:cs="TimesNewRoman"/>
          <w:sz w:val="24"/>
          <w:szCs w:val="24"/>
        </w:rPr>
        <w:t>smanjenjem rashoda za potrošnju i drugih oblika rashoda (stanovanje npr. najamnina, smanjenjem financijskih rashoda uključujući plaćene kamate itd.)</w:t>
      </w:r>
    </w:p>
    <w:p w:rsidR="00CB086D" w:rsidRPr="00CB086D" w:rsidRDefault="00CB086D" w:rsidP="00C86D78">
      <w:pPr>
        <w:pStyle w:val="Odlomakpopisa"/>
        <w:numPr>
          <w:ilvl w:val="0"/>
          <w:numId w:val="112"/>
        </w:numPr>
        <w:tabs>
          <w:tab w:val="left" w:pos="1300"/>
        </w:tabs>
        <w:spacing w:before="240"/>
        <w:jc w:val="both"/>
        <w:rPr>
          <w:rFonts w:cs="TimesNewRoman"/>
          <w:sz w:val="24"/>
          <w:szCs w:val="24"/>
        </w:rPr>
      </w:pPr>
      <w:r w:rsidRPr="00CB086D">
        <w:rPr>
          <w:rFonts w:cs="TimesNewRoman"/>
          <w:sz w:val="24"/>
          <w:szCs w:val="24"/>
        </w:rPr>
        <w:t>povećanjem vrijednosti investicija odnosno kapitalizacijom ili rastom tržišne vrijednosti imovine u funkciji štednje i investicija</w:t>
      </w:r>
    </w:p>
    <w:p w:rsidR="00CB086D" w:rsidRPr="00CB086D" w:rsidRDefault="00CB086D" w:rsidP="00C86D78">
      <w:pPr>
        <w:pStyle w:val="Odlomakpopisa"/>
        <w:numPr>
          <w:ilvl w:val="0"/>
          <w:numId w:val="112"/>
        </w:numPr>
        <w:tabs>
          <w:tab w:val="left" w:pos="1300"/>
        </w:tabs>
        <w:spacing w:before="240"/>
        <w:jc w:val="both"/>
        <w:rPr>
          <w:rFonts w:cs="TimesNewRoman"/>
          <w:sz w:val="24"/>
          <w:szCs w:val="24"/>
        </w:rPr>
      </w:pPr>
      <w:r w:rsidRPr="00CB086D">
        <w:rPr>
          <w:rFonts w:cs="TimesNewRoman"/>
          <w:sz w:val="24"/>
          <w:szCs w:val="24"/>
        </w:rPr>
        <w:t xml:space="preserve">i/ili smanjenjem obveza. </w:t>
      </w:r>
    </w:p>
    <w:p w:rsidR="005864F4" w:rsidRPr="000B59EE" w:rsidRDefault="005864F4" w:rsidP="005864F4">
      <w:pPr>
        <w:tabs>
          <w:tab w:val="left" w:pos="1299"/>
        </w:tabs>
        <w:jc w:val="both"/>
        <w:rPr>
          <w:rFonts w:cs="TimesNewRoman"/>
          <w:b/>
          <w:sz w:val="24"/>
          <w:szCs w:val="24"/>
        </w:rPr>
      </w:pPr>
      <w:r w:rsidRPr="000B59EE">
        <w:rPr>
          <w:rFonts w:cs="TimesNewRoman"/>
          <w:b/>
          <w:sz w:val="24"/>
          <w:szCs w:val="24"/>
        </w:rPr>
        <w:t>Tablica</w:t>
      </w:r>
      <w:r w:rsidR="00384370">
        <w:rPr>
          <w:rFonts w:cs="TimesNewRoman"/>
          <w:b/>
          <w:sz w:val="24"/>
          <w:szCs w:val="24"/>
        </w:rPr>
        <w:t xml:space="preserve"> 11</w:t>
      </w:r>
      <w:r w:rsidRPr="000B59EE">
        <w:rPr>
          <w:rFonts w:cs="TimesNewRoman"/>
          <w:b/>
          <w:sz w:val="24"/>
          <w:szCs w:val="24"/>
        </w:rPr>
        <w:t xml:space="preserve">: </w:t>
      </w:r>
      <w:r w:rsidR="008A2C17">
        <w:rPr>
          <w:rFonts w:cs="TimesNewRoman"/>
          <w:b/>
          <w:sz w:val="24"/>
          <w:szCs w:val="24"/>
        </w:rPr>
        <w:t>Primjer b</w:t>
      </w:r>
      <w:r w:rsidRPr="000B59EE">
        <w:rPr>
          <w:rFonts w:cs="TimesNewRoman"/>
          <w:b/>
          <w:sz w:val="24"/>
          <w:szCs w:val="24"/>
        </w:rPr>
        <w:t>ilanc</w:t>
      </w:r>
      <w:r w:rsidR="008A2C17">
        <w:rPr>
          <w:rFonts w:cs="TimesNewRoman"/>
          <w:b/>
          <w:sz w:val="24"/>
          <w:szCs w:val="24"/>
        </w:rPr>
        <w:t>e</w:t>
      </w:r>
      <w:r w:rsidRPr="000B59EE">
        <w:rPr>
          <w:rFonts w:cs="TimesNewRoman"/>
          <w:b/>
          <w:sz w:val="24"/>
          <w:szCs w:val="24"/>
        </w:rPr>
        <w:t xml:space="preserve"> pojedinca / kućanstva </w:t>
      </w:r>
    </w:p>
    <w:tbl>
      <w:tblPr>
        <w:tblW w:w="7807" w:type="dxa"/>
        <w:tblInd w:w="93" w:type="dxa"/>
        <w:tblLook w:val="0000" w:firstRow="0" w:lastRow="0" w:firstColumn="0" w:lastColumn="0" w:noHBand="0" w:noVBand="0"/>
      </w:tblPr>
      <w:tblGrid>
        <w:gridCol w:w="6315"/>
        <w:gridCol w:w="1492"/>
      </w:tblGrid>
      <w:tr w:rsidR="005864F4" w:rsidRPr="000B59EE" w:rsidTr="006E6D1F">
        <w:trPr>
          <w:trHeight w:val="255"/>
        </w:trPr>
        <w:tc>
          <w:tcPr>
            <w:tcW w:w="6315"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5864F4" w:rsidRPr="006E6D1F" w:rsidRDefault="005864F4" w:rsidP="000B59EE">
            <w:pPr>
              <w:spacing w:after="0" w:line="240" w:lineRule="auto"/>
              <w:jc w:val="center"/>
              <w:rPr>
                <w:rFonts w:cs="Arial"/>
                <w:b/>
                <w:sz w:val="24"/>
                <w:szCs w:val="24"/>
              </w:rPr>
            </w:pPr>
            <w:r w:rsidRPr="006E6D1F">
              <w:rPr>
                <w:rFonts w:cs="Arial"/>
                <w:b/>
                <w:color w:val="FFFFFF" w:themeColor="background1"/>
                <w:sz w:val="24"/>
                <w:szCs w:val="24"/>
              </w:rPr>
              <w:t>AKTIVA</w:t>
            </w:r>
          </w:p>
        </w:tc>
        <w:tc>
          <w:tcPr>
            <w:tcW w:w="1492" w:type="dxa"/>
            <w:tcBorders>
              <w:top w:val="single" w:sz="4" w:space="0" w:color="auto"/>
              <w:left w:val="nil"/>
              <w:bottom w:val="single" w:sz="4" w:space="0" w:color="auto"/>
              <w:right w:val="single" w:sz="4" w:space="0" w:color="auto"/>
            </w:tcBorders>
            <w:shd w:val="clear" w:color="auto" w:fill="4F81BD" w:themeFill="accent1"/>
            <w:noWrap/>
            <w:vAlign w:val="bottom"/>
          </w:tcPr>
          <w:p w:rsidR="005864F4" w:rsidRPr="000B59EE" w:rsidRDefault="005864F4" w:rsidP="000B59EE">
            <w:pPr>
              <w:spacing w:after="0" w:line="240" w:lineRule="auto"/>
              <w:rPr>
                <w:rFonts w:cs="Arial"/>
              </w:rPr>
            </w:pPr>
            <w:r w:rsidRPr="000B59EE">
              <w:rPr>
                <w:rFonts w:cs="Arial"/>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Gotovina</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Novac na tekućem računu</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12.000,00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Novac na štednom računu</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6.000,00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Oročeni depoziti u banci</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12.000,00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Zalihe hrane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3.000,00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Ulozi u investicijske fondove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Dionice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Obveznice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Mirovinsko osiguranje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40.000,00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Životno osiguranje s obilježjem štednje (otkupna vrijednost police)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40.000,00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Automobil (tržišna vrijednost)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80.000,00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Pokućstvo i kućanski aparati (tržišna vrijednost)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20.000,00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Umjetničke slike</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38.000,00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Nakit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20.000,00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Kompjuter (tržišna vrijednost)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2.000,00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7706BF" w:rsidP="007706BF">
            <w:pPr>
              <w:spacing w:after="0" w:line="240" w:lineRule="auto"/>
              <w:rPr>
                <w:rFonts w:cs="Arial"/>
              </w:rPr>
            </w:pPr>
            <w:r>
              <w:rPr>
                <w:rFonts w:cs="Arial"/>
              </w:rPr>
              <w:t>V</w:t>
            </w:r>
            <w:r w:rsidR="005864F4" w:rsidRPr="000B59EE">
              <w:rPr>
                <w:rFonts w:cs="Arial"/>
              </w:rPr>
              <w:t>ideo oprema (tržišna vrijednost)</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Stan</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900.000,00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Građevinska parcela</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400.000,00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Kuća za odmor</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c>
          <w:tcPr>
            <w:tcW w:w="1492"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4748D2" w:rsidRDefault="005864F4" w:rsidP="000B59EE">
            <w:pPr>
              <w:spacing w:after="0" w:line="240" w:lineRule="auto"/>
              <w:rPr>
                <w:rFonts w:cs="Arial"/>
                <w:b/>
              </w:rPr>
            </w:pPr>
            <w:r w:rsidRPr="004748D2">
              <w:rPr>
                <w:rFonts w:cs="Arial"/>
                <w:b/>
              </w:rPr>
              <w:t>UKUPNO IMOVINA</w:t>
            </w:r>
          </w:p>
        </w:tc>
        <w:tc>
          <w:tcPr>
            <w:tcW w:w="1492" w:type="dxa"/>
            <w:tcBorders>
              <w:top w:val="nil"/>
              <w:left w:val="nil"/>
              <w:bottom w:val="single" w:sz="4" w:space="0" w:color="auto"/>
              <w:right w:val="single" w:sz="4" w:space="0" w:color="auto"/>
            </w:tcBorders>
            <w:shd w:val="clear" w:color="auto" w:fill="auto"/>
            <w:noWrap/>
            <w:vAlign w:val="bottom"/>
          </w:tcPr>
          <w:p w:rsidR="005864F4" w:rsidRPr="004748D2" w:rsidRDefault="005864F4" w:rsidP="000B59EE">
            <w:pPr>
              <w:spacing w:after="0" w:line="240" w:lineRule="auto"/>
              <w:jc w:val="right"/>
              <w:rPr>
                <w:rFonts w:cs="Arial"/>
                <w:b/>
              </w:rPr>
            </w:pPr>
            <w:r w:rsidRPr="004748D2">
              <w:rPr>
                <w:rFonts w:cs="Arial"/>
                <w:b/>
              </w:rPr>
              <w:t>1.613.000,00</w:t>
            </w:r>
          </w:p>
        </w:tc>
      </w:tr>
    </w:tbl>
    <w:p w:rsidR="005864F4" w:rsidRPr="000B59EE" w:rsidRDefault="005864F4" w:rsidP="000B59EE">
      <w:pPr>
        <w:tabs>
          <w:tab w:val="left" w:pos="1300"/>
        </w:tabs>
        <w:spacing w:after="0" w:line="240" w:lineRule="auto"/>
        <w:jc w:val="both"/>
        <w:rPr>
          <w:rFonts w:cs="TimesNewRoman"/>
        </w:rPr>
      </w:pPr>
    </w:p>
    <w:tbl>
      <w:tblPr>
        <w:tblW w:w="7812" w:type="dxa"/>
        <w:tblInd w:w="93" w:type="dxa"/>
        <w:tblLook w:val="0000" w:firstRow="0" w:lastRow="0" w:firstColumn="0" w:lastColumn="0" w:noHBand="0" w:noVBand="0"/>
      </w:tblPr>
      <w:tblGrid>
        <w:gridCol w:w="6315"/>
        <w:gridCol w:w="1497"/>
      </w:tblGrid>
      <w:tr w:rsidR="005864F4" w:rsidRPr="000B59EE" w:rsidTr="006E6D1F">
        <w:trPr>
          <w:trHeight w:val="255"/>
        </w:trPr>
        <w:tc>
          <w:tcPr>
            <w:tcW w:w="6315"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5864F4" w:rsidRPr="006E6D1F" w:rsidRDefault="005864F4" w:rsidP="000B59EE">
            <w:pPr>
              <w:spacing w:after="0" w:line="240" w:lineRule="auto"/>
              <w:jc w:val="center"/>
              <w:rPr>
                <w:rFonts w:cs="Arial"/>
                <w:b/>
                <w:color w:val="FFFFFF" w:themeColor="background1"/>
                <w:sz w:val="24"/>
                <w:szCs w:val="24"/>
              </w:rPr>
            </w:pPr>
            <w:r w:rsidRPr="006E6D1F">
              <w:rPr>
                <w:rFonts w:cs="Arial"/>
                <w:b/>
                <w:color w:val="FFFFFF" w:themeColor="background1"/>
                <w:sz w:val="24"/>
                <w:szCs w:val="24"/>
              </w:rPr>
              <w:t>PASIVA</w:t>
            </w:r>
          </w:p>
        </w:tc>
        <w:tc>
          <w:tcPr>
            <w:tcW w:w="1497" w:type="dxa"/>
            <w:tcBorders>
              <w:top w:val="single" w:sz="4" w:space="0" w:color="auto"/>
              <w:left w:val="nil"/>
              <w:bottom w:val="single" w:sz="4" w:space="0" w:color="auto"/>
              <w:right w:val="single" w:sz="4" w:space="0" w:color="auto"/>
            </w:tcBorders>
            <w:shd w:val="clear" w:color="auto" w:fill="4F81BD" w:themeFill="accent1"/>
            <w:noWrap/>
            <w:vAlign w:val="bottom"/>
          </w:tcPr>
          <w:p w:rsidR="005864F4" w:rsidRPr="006E6D1F" w:rsidRDefault="005864F4" w:rsidP="000B59EE">
            <w:pPr>
              <w:spacing w:after="0" w:line="240" w:lineRule="auto"/>
              <w:rPr>
                <w:rFonts w:cs="Arial"/>
                <w:color w:val="FFFFFF" w:themeColor="background1"/>
              </w:rPr>
            </w:pPr>
            <w:r w:rsidRPr="006E6D1F">
              <w:rPr>
                <w:rFonts w:cs="Arial"/>
                <w:color w:val="FFFFFF" w:themeColor="background1"/>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4748D2" w:rsidP="004748D2">
            <w:pPr>
              <w:spacing w:after="0" w:line="240" w:lineRule="auto"/>
              <w:rPr>
                <w:rFonts w:cs="Arial"/>
              </w:rPr>
            </w:pPr>
            <w:r>
              <w:rPr>
                <w:rFonts w:cs="Arial"/>
              </w:rPr>
              <w:t>Nepodmireni l</w:t>
            </w:r>
            <w:r w:rsidRPr="000B59EE">
              <w:rPr>
                <w:rFonts w:cs="Arial"/>
              </w:rPr>
              <w:t>iječnički</w:t>
            </w:r>
            <w:r w:rsidR="005864F4" w:rsidRPr="000B59EE">
              <w:rPr>
                <w:rFonts w:cs="Arial"/>
              </w:rPr>
              <w:t xml:space="preserve"> računi</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Obveze po kreditnim karticama</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Gotovinski nenamjenski kredit</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Stambeni kredit</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500.000,00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Kredit za auto</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70.000,00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UKUPNO OBVEZE</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580.000,00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rPr>
            </w:pPr>
            <w:r w:rsidRPr="000B59EE">
              <w:rPr>
                <w:rFonts w:cs="Arial"/>
              </w:rPr>
              <w:t>VLASTITI KAPITAL</w:t>
            </w:r>
            <w:r w:rsidR="004748D2">
              <w:rPr>
                <w:rFonts w:cs="Arial"/>
              </w:rPr>
              <w:t xml:space="preserve"> </w:t>
            </w:r>
            <w:r w:rsidRPr="000B59EE">
              <w:rPr>
                <w:rFonts w:cs="Arial"/>
              </w:rPr>
              <w:t xml:space="preserve"> (neto vrijednost imovine, bogatstvo)</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jc w:val="right"/>
              <w:rPr>
                <w:rFonts w:cs="Arial"/>
              </w:rPr>
            </w:pPr>
            <w:r w:rsidRPr="000B59EE">
              <w:rPr>
                <w:rFonts w:cs="Arial"/>
              </w:rPr>
              <w:t>1.033.000,00</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sz w:val="20"/>
                <w:szCs w:val="20"/>
              </w:rPr>
            </w:pPr>
            <w:r w:rsidRPr="000B59EE">
              <w:rPr>
                <w:rFonts w:cs="Arial"/>
                <w:sz w:val="20"/>
                <w:szCs w:val="20"/>
              </w:rPr>
              <w:t> </w:t>
            </w:r>
          </w:p>
        </w:tc>
        <w:tc>
          <w:tcPr>
            <w:tcW w:w="1497" w:type="dxa"/>
            <w:tcBorders>
              <w:top w:val="nil"/>
              <w:left w:val="nil"/>
              <w:bottom w:val="single" w:sz="4" w:space="0" w:color="auto"/>
              <w:right w:val="single" w:sz="4" w:space="0" w:color="auto"/>
            </w:tcBorders>
            <w:shd w:val="clear" w:color="auto" w:fill="auto"/>
            <w:noWrap/>
            <w:vAlign w:val="bottom"/>
          </w:tcPr>
          <w:p w:rsidR="005864F4" w:rsidRPr="000B59EE" w:rsidRDefault="005864F4" w:rsidP="000B59EE">
            <w:pPr>
              <w:spacing w:after="0" w:line="240" w:lineRule="auto"/>
              <w:rPr>
                <w:rFonts w:cs="Arial"/>
                <w:sz w:val="20"/>
                <w:szCs w:val="20"/>
              </w:rPr>
            </w:pPr>
            <w:r w:rsidRPr="000B59EE">
              <w:rPr>
                <w:rFonts w:cs="Arial"/>
                <w:sz w:val="20"/>
                <w:szCs w:val="20"/>
              </w:rPr>
              <w:t> </w:t>
            </w:r>
          </w:p>
        </w:tc>
      </w:tr>
      <w:tr w:rsidR="005864F4" w:rsidRPr="000B59EE" w:rsidTr="000B59EE">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5864F4" w:rsidRPr="004748D2" w:rsidRDefault="005864F4" w:rsidP="000B59EE">
            <w:pPr>
              <w:spacing w:after="0" w:line="240" w:lineRule="auto"/>
              <w:rPr>
                <w:rFonts w:cs="Arial"/>
                <w:b/>
              </w:rPr>
            </w:pPr>
            <w:r w:rsidRPr="004748D2">
              <w:rPr>
                <w:rFonts w:cs="Arial"/>
                <w:b/>
              </w:rPr>
              <w:t>UKUPNO OBVEZE I KAPITAL</w:t>
            </w:r>
          </w:p>
        </w:tc>
        <w:tc>
          <w:tcPr>
            <w:tcW w:w="1497" w:type="dxa"/>
            <w:tcBorders>
              <w:top w:val="nil"/>
              <w:left w:val="nil"/>
              <w:bottom w:val="single" w:sz="4" w:space="0" w:color="auto"/>
              <w:right w:val="single" w:sz="4" w:space="0" w:color="auto"/>
            </w:tcBorders>
            <w:shd w:val="clear" w:color="auto" w:fill="auto"/>
            <w:noWrap/>
            <w:vAlign w:val="bottom"/>
          </w:tcPr>
          <w:p w:rsidR="005864F4" w:rsidRPr="004748D2" w:rsidRDefault="005864F4" w:rsidP="000B59EE">
            <w:pPr>
              <w:spacing w:after="0" w:line="240" w:lineRule="auto"/>
              <w:jc w:val="right"/>
              <w:rPr>
                <w:rFonts w:cs="Arial"/>
                <w:b/>
              </w:rPr>
            </w:pPr>
            <w:r w:rsidRPr="004748D2">
              <w:rPr>
                <w:rFonts w:cs="Arial"/>
                <w:b/>
              </w:rPr>
              <w:t>1.613.000,00</w:t>
            </w:r>
          </w:p>
        </w:tc>
      </w:tr>
    </w:tbl>
    <w:p w:rsidR="00CB086D" w:rsidRPr="00D977EF" w:rsidRDefault="00CB086D" w:rsidP="00CB086D">
      <w:pPr>
        <w:tabs>
          <w:tab w:val="left" w:pos="1300"/>
        </w:tabs>
        <w:spacing w:before="240"/>
        <w:jc w:val="both"/>
        <w:rPr>
          <w:rFonts w:cs="TimesNewRoman"/>
          <w:sz w:val="24"/>
          <w:szCs w:val="24"/>
        </w:rPr>
      </w:pPr>
      <w:r w:rsidRPr="00D977EF">
        <w:rPr>
          <w:rFonts w:cs="TimesNewRoman"/>
          <w:sz w:val="24"/>
          <w:szCs w:val="24"/>
        </w:rPr>
        <w:lastRenderedPageBreak/>
        <w:t>Stanja imovine, obveza i vlastitog kapitala na određeni datum uvijek su rezultat prošlih (višegodišnjih) poslovnih i financijskih aktivnosti, kao što su: ulaganja u osobno obrazovanje, kupovina dionica, nasljedstvo poljoprivrednog zemljišta</w:t>
      </w:r>
      <w:r>
        <w:rPr>
          <w:rFonts w:cs="TimesNewRoman"/>
          <w:sz w:val="24"/>
          <w:szCs w:val="24"/>
        </w:rPr>
        <w:t xml:space="preserve"> ili stana</w:t>
      </w:r>
      <w:r w:rsidRPr="00D977EF">
        <w:rPr>
          <w:rFonts w:cs="TimesNewRoman"/>
          <w:sz w:val="24"/>
          <w:szCs w:val="24"/>
        </w:rPr>
        <w:t>, ugovaranje mješovite police životnog osiguranja, zaduživanje sa svrhom rješavanja stambenog pitanja, kupovine robe na kredit</w:t>
      </w:r>
      <w:r>
        <w:rPr>
          <w:rFonts w:cs="TimesNewRoman"/>
          <w:sz w:val="24"/>
          <w:szCs w:val="24"/>
        </w:rPr>
        <w:t xml:space="preserve"> (uz racionalno ili pak prekomjerno korištenje kreditnih kartica i dopuštenog prekoračenja po tekućem računu)</w:t>
      </w:r>
      <w:r w:rsidRPr="00D977EF">
        <w:rPr>
          <w:rFonts w:cs="TimesNewRoman"/>
          <w:sz w:val="24"/>
          <w:szCs w:val="24"/>
        </w:rPr>
        <w:t xml:space="preserve"> itd. </w:t>
      </w:r>
      <w:r>
        <w:rPr>
          <w:rFonts w:cs="TimesNewRoman"/>
          <w:sz w:val="24"/>
          <w:szCs w:val="24"/>
        </w:rPr>
        <w:t xml:space="preserve">Sve pozicije koje se u bilanci nalaze pa tako i vrijednost bogatstva (neto-imovine) rezultat su pozitivnih ili negativnih odluka iz prošlosti - ali pozitivnim doprinosima ne treba nužno pripisivati nasljedstvo imovine nego prije svega onu neto-imovinu koju je pojedinac i kućanstvo samostalno steklo vlastitim trudom i naporom, racionalizacijom troškova  štednjom i ulaganjem u „samog sebe“. </w:t>
      </w:r>
    </w:p>
    <w:p w:rsidR="00D977EF" w:rsidRPr="00D977EF" w:rsidRDefault="00D977EF" w:rsidP="00CE553E">
      <w:pPr>
        <w:tabs>
          <w:tab w:val="left" w:pos="1300"/>
        </w:tabs>
        <w:spacing w:before="240"/>
        <w:jc w:val="both"/>
        <w:rPr>
          <w:rFonts w:cs="TimesNewRoman"/>
          <w:sz w:val="24"/>
          <w:szCs w:val="24"/>
        </w:rPr>
      </w:pPr>
      <w:r w:rsidRPr="00D977EF">
        <w:rPr>
          <w:rFonts w:cs="TimesNewRoman"/>
          <w:sz w:val="24"/>
          <w:szCs w:val="24"/>
        </w:rPr>
        <w:t>Pri sastavljanju bilance</w:t>
      </w:r>
      <w:r w:rsidR="00552468">
        <w:rPr>
          <w:rFonts w:cs="TimesNewRoman"/>
          <w:sz w:val="24"/>
          <w:szCs w:val="24"/>
        </w:rPr>
        <w:t>,</w:t>
      </w:r>
      <w:r w:rsidRPr="00D977EF">
        <w:rPr>
          <w:rFonts w:cs="TimesNewRoman"/>
          <w:sz w:val="24"/>
          <w:szCs w:val="24"/>
        </w:rPr>
        <w:t xml:space="preserve"> vrijednost imovine prikazuje se primjenom načela tržišne vrijednosti  ili načela nabavne vrijednosti (troška nabave), ovisno o tome koja je vrijednost niža. Pri tome treba </w:t>
      </w:r>
      <w:r w:rsidRPr="00D977EF">
        <w:rPr>
          <w:rFonts w:cs="TimesNewRoman"/>
          <w:color w:val="C00000"/>
          <w:sz w:val="24"/>
          <w:szCs w:val="24"/>
        </w:rPr>
        <w:t>izbjegavati situacije namjernog podcjenjivanja ili precjenjivanja imovine</w:t>
      </w:r>
      <w:r w:rsidRPr="00D977EF">
        <w:rPr>
          <w:rFonts w:cs="TimesNewRoman"/>
          <w:sz w:val="24"/>
          <w:szCs w:val="24"/>
        </w:rPr>
        <w:t xml:space="preserve">. Pri vrednovanju automobila, pokućstva, kućanskih aparata, video opreme i sličnih oblika imovine čija se tržišna vrijednost značajno smanjuje gotovo odmah nakon što je kupljena, poželjno je korištenje načela tržišne vrijednosti, jer bi u protivnom značajno precijenili vlastitu imovinu. Kod dionica i uloga u investicijske fondove poželjnoj je korištenje tržišne vrijednosti, ali povremeno je prihvatljivo i korištenje načela nabavne vrijednosti jer se tržišna vrijednost često mijenja, a navedeno posebno vrijedi u slučaju kada je nabavna vrijednost niža tržišne vrijednosti ili kada stvarna tržišna vrijednost nije poznata (jer se radi o nelikvidnim dionicama kojima se ne trguje). </w:t>
      </w:r>
    </w:p>
    <w:p w:rsidR="00DF490C" w:rsidRDefault="005864F4" w:rsidP="005864F4">
      <w:pPr>
        <w:tabs>
          <w:tab w:val="left" w:pos="1300"/>
        </w:tabs>
        <w:jc w:val="both"/>
        <w:rPr>
          <w:rFonts w:cs="TimesNewRoman"/>
          <w:sz w:val="24"/>
          <w:szCs w:val="24"/>
        </w:rPr>
      </w:pPr>
      <w:r w:rsidRPr="005864F4">
        <w:rPr>
          <w:rFonts w:cs="TimesNewRoman"/>
          <w:sz w:val="24"/>
          <w:szCs w:val="24"/>
        </w:rPr>
        <w:t xml:space="preserve">Primjena načela nabavne vrijednosti opravdana je kada </w:t>
      </w:r>
      <w:r w:rsidR="008A2C17">
        <w:rPr>
          <w:rFonts w:cs="TimesNewRoman"/>
          <w:sz w:val="24"/>
          <w:szCs w:val="24"/>
        </w:rPr>
        <w:t xml:space="preserve">se </w:t>
      </w:r>
      <w:r w:rsidRPr="005864F4">
        <w:rPr>
          <w:rFonts w:cs="TimesNewRoman"/>
          <w:sz w:val="24"/>
          <w:szCs w:val="24"/>
        </w:rPr>
        <w:t>imovin</w:t>
      </w:r>
      <w:r w:rsidR="008A2C17">
        <w:rPr>
          <w:rFonts w:cs="TimesNewRoman"/>
          <w:sz w:val="24"/>
          <w:szCs w:val="24"/>
        </w:rPr>
        <w:t>a</w:t>
      </w:r>
      <w:r w:rsidRPr="005864F4">
        <w:rPr>
          <w:rFonts w:cs="TimesNewRoman"/>
          <w:sz w:val="24"/>
          <w:szCs w:val="24"/>
        </w:rPr>
        <w:t xml:space="preserve"> ne planira</w:t>
      </w:r>
      <w:r w:rsidR="008A2C17">
        <w:rPr>
          <w:rFonts w:cs="TimesNewRoman"/>
          <w:sz w:val="24"/>
          <w:szCs w:val="24"/>
        </w:rPr>
        <w:t xml:space="preserve"> </w:t>
      </w:r>
      <w:r w:rsidRPr="005864F4">
        <w:rPr>
          <w:rFonts w:cs="TimesNewRoman"/>
          <w:sz w:val="24"/>
          <w:szCs w:val="24"/>
        </w:rPr>
        <w:t xml:space="preserve">prodavati, kada je njena tržišna vrijednost relativno stabilna </w:t>
      </w:r>
      <w:r w:rsidR="0054700C">
        <w:rPr>
          <w:rFonts w:cs="TimesNewRoman"/>
          <w:sz w:val="24"/>
          <w:szCs w:val="24"/>
        </w:rPr>
        <w:t xml:space="preserve">te kada je kupljena na kredit. U slučaju </w:t>
      </w:r>
      <w:r w:rsidRPr="005864F4">
        <w:rPr>
          <w:rFonts w:cs="TimesNewRoman"/>
          <w:sz w:val="24"/>
          <w:szCs w:val="24"/>
        </w:rPr>
        <w:t>da je nabavna vrijednost imovine nepoznata (</w:t>
      </w:r>
      <w:r w:rsidR="0054700C">
        <w:rPr>
          <w:rFonts w:cs="TimesNewRoman"/>
          <w:sz w:val="24"/>
          <w:szCs w:val="24"/>
        </w:rPr>
        <w:t xml:space="preserve">npr. </w:t>
      </w:r>
      <w:r w:rsidRPr="005864F4">
        <w:rPr>
          <w:rFonts w:cs="TimesNewRoman"/>
          <w:sz w:val="24"/>
          <w:szCs w:val="24"/>
        </w:rPr>
        <w:t xml:space="preserve">naslijeđena imovina) ona se može jedino procijeniti uzimajući u obzir postojeću tržišnu vrijednost. Problem pri tome predstavlja kolebljivost cijena na tržištu te činjenica da stvarnu tržišnu vrijednost takve imovine možemo utvrditi jedino njenom prodajom. </w:t>
      </w:r>
    </w:p>
    <w:p w:rsidR="00AB2AAA" w:rsidRDefault="0054700C" w:rsidP="005864F4">
      <w:pPr>
        <w:tabs>
          <w:tab w:val="left" w:pos="1300"/>
        </w:tabs>
        <w:jc w:val="both"/>
        <w:rPr>
          <w:rFonts w:cs="TimesNewRoman"/>
          <w:sz w:val="24"/>
          <w:szCs w:val="24"/>
        </w:rPr>
      </w:pPr>
      <w:r>
        <w:rPr>
          <w:rFonts w:cs="TimesNewRoman"/>
          <w:sz w:val="24"/>
          <w:szCs w:val="24"/>
        </w:rPr>
        <w:t xml:space="preserve">Sve navedeno ukazuje da sastavljanje bilance kućanstva </w:t>
      </w:r>
      <w:r w:rsidR="00DF490C">
        <w:rPr>
          <w:rFonts w:cs="TimesNewRoman"/>
          <w:sz w:val="24"/>
          <w:szCs w:val="24"/>
        </w:rPr>
        <w:t xml:space="preserve">pati od </w:t>
      </w:r>
      <w:r w:rsidR="00DF490C" w:rsidRPr="0079760A">
        <w:rPr>
          <w:rFonts w:cs="TimesNewRoman"/>
          <w:color w:val="C00000"/>
          <w:sz w:val="24"/>
          <w:szCs w:val="24"/>
        </w:rPr>
        <w:t>rizika neprecizno i netočno utvrđenih vrijednosti imovine kojom se raspolaže</w:t>
      </w:r>
      <w:r w:rsidR="00DF490C">
        <w:rPr>
          <w:rFonts w:cs="TimesNewRoman"/>
          <w:sz w:val="24"/>
          <w:szCs w:val="24"/>
        </w:rPr>
        <w:t xml:space="preserve">, no čak i u tom slučaju ima smisla je sastavljati. Detaljan spisak imovine i obveza daje uvid u posjedovanje različitih oblika imovine na koju se </w:t>
      </w:r>
      <w:r w:rsidR="005853AA">
        <w:rPr>
          <w:rFonts w:cs="TimesNewRoman"/>
          <w:sz w:val="24"/>
          <w:szCs w:val="24"/>
        </w:rPr>
        <w:t xml:space="preserve">možda </w:t>
      </w:r>
      <w:r w:rsidR="00DF490C">
        <w:rPr>
          <w:rFonts w:cs="TimesNewRoman"/>
          <w:sz w:val="24"/>
          <w:szCs w:val="24"/>
        </w:rPr>
        <w:t xml:space="preserve">privremeno zaboravilo, ili imovine koja </w:t>
      </w:r>
      <w:r w:rsidR="005853AA">
        <w:rPr>
          <w:rFonts w:cs="TimesNewRoman"/>
          <w:sz w:val="24"/>
          <w:szCs w:val="24"/>
        </w:rPr>
        <w:t xml:space="preserve">više </w:t>
      </w:r>
      <w:r w:rsidR="00DF490C">
        <w:rPr>
          <w:rFonts w:cs="TimesNewRoman"/>
          <w:sz w:val="24"/>
          <w:szCs w:val="24"/>
        </w:rPr>
        <w:t xml:space="preserve">nije potrebna, koju je razumno prodati ili iznajmiti kako bi donosila određeni prihod. To ne uključuje samo nekretnine ili prazne sobe koje „ničem ne služe“, nego i na različite oblike namještaja, nekorištenih dječjih krevetića, bicikle, knjige i drugih stvari koje se ne koriste a mogu se prodati </w:t>
      </w:r>
      <w:r w:rsidR="00AB2AAA">
        <w:rPr>
          <w:rFonts w:cs="TimesNewRoman"/>
          <w:sz w:val="24"/>
          <w:szCs w:val="24"/>
        </w:rPr>
        <w:t>s ciljem p</w:t>
      </w:r>
      <w:r w:rsidR="00DF490C">
        <w:rPr>
          <w:rFonts w:cs="TimesNewRoman"/>
          <w:sz w:val="24"/>
          <w:szCs w:val="24"/>
        </w:rPr>
        <w:t>oveća</w:t>
      </w:r>
      <w:r w:rsidR="00AB2AAA">
        <w:rPr>
          <w:rFonts w:cs="TimesNewRoman"/>
          <w:sz w:val="24"/>
          <w:szCs w:val="24"/>
        </w:rPr>
        <w:t>nja</w:t>
      </w:r>
      <w:r w:rsidR="00DF490C">
        <w:rPr>
          <w:rFonts w:cs="TimesNewRoman"/>
          <w:sz w:val="24"/>
          <w:szCs w:val="24"/>
        </w:rPr>
        <w:t xml:space="preserve"> prihod</w:t>
      </w:r>
      <w:r w:rsidR="00AB2AAA">
        <w:rPr>
          <w:rFonts w:cs="TimesNewRoman"/>
          <w:sz w:val="24"/>
          <w:szCs w:val="24"/>
        </w:rPr>
        <w:t>a</w:t>
      </w:r>
      <w:r w:rsidR="00DF490C">
        <w:rPr>
          <w:rFonts w:cs="TimesNewRoman"/>
          <w:sz w:val="24"/>
          <w:szCs w:val="24"/>
        </w:rPr>
        <w:t xml:space="preserve"> kućanstva</w:t>
      </w:r>
      <w:r w:rsidR="005853AA">
        <w:rPr>
          <w:rFonts w:cs="TimesNewRoman"/>
          <w:sz w:val="24"/>
          <w:szCs w:val="24"/>
        </w:rPr>
        <w:t xml:space="preserve"> - </w:t>
      </w:r>
      <w:r w:rsidR="00AB2AAA">
        <w:rPr>
          <w:rFonts w:cs="TimesNewRoman"/>
          <w:sz w:val="24"/>
          <w:szCs w:val="24"/>
        </w:rPr>
        <w:t>npr. putem različitih web portala kao što je njuškalo.hr ili garažnih prodaja kakve u SAD-u tipično organiziraju kućanstva sa srednjim i višim srednjim dohotkom i najčešće nema veze s pogoršanjem financijske pozicije kućanstva nego samo rješavanjem stvari koje više nisu potrebne.</w:t>
      </w:r>
    </w:p>
    <w:p w:rsidR="005864F4" w:rsidRDefault="005853AA" w:rsidP="005864F4">
      <w:pPr>
        <w:tabs>
          <w:tab w:val="left" w:pos="1300"/>
        </w:tabs>
        <w:jc w:val="both"/>
        <w:rPr>
          <w:rFonts w:cs="TimesNewRoman"/>
          <w:sz w:val="24"/>
          <w:szCs w:val="24"/>
        </w:rPr>
      </w:pPr>
      <w:r>
        <w:rPr>
          <w:rFonts w:cs="TimesNewRoman"/>
          <w:sz w:val="24"/>
          <w:szCs w:val="24"/>
        </w:rPr>
        <w:lastRenderedPageBreak/>
        <w:t>S</w:t>
      </w:r>
      <w:r w:rsidR="00DF490C">
        <w:rPr>
          <w:rFonts w:cs="TimesNewRoman"/>
          <w:sz w:val="24"/>
          <w:szCs w:val="24"/>
        </w:rPr>
        <w:t xml:space="preserve">astavljanje popisa i vrijednosti imovine važno je i radi komparacije s obvezama, odnosno utvrđivanja </w:t>
      </w:r>
      <w:r w:rsidR="00410C99">
        <w:rPr>
          <w:rFonts w:cs="TimesNewRoman"/>
          <w:sz w:val="24"/>
          <w:szCs w:val="24"/>
        </w:rPr>
        <w:t xml:space="preserve">stvarnog stanja </w:t>
      </w:r>
      <w:r w:rsidR="00DF490C">
        <w:rPr>
          <w:rFonts w:cs="TimesNewRoman"/>
          <w:sz w:val="24"/>
          <w:szCs w:val="24"/>
        </w:rPr>
        <w:t>bogatstva</w:t>
      </w:r>
      <w:r w:rsidR="00410C99">
        <w:rPr>
          <w:rFonts w:cs="TimesNewRoman"/>
          <w:sz w:val="24"/>
          <w:szCs w:val="24"/>
        </w:rPr>
        <w:t>. S</w:t>
      </w:r>
      <w:r w:rsidR="00DF490C">
        <w:rPr>
          <w:rFonts w:cs="TimesNewRoman"/>
          <w:sz w:val="24"/>
          <w:szCs w:val="24"/>
        </w:rPr>
        <w:t xml:space="preserve">toga </w:t>
      </w:r>
      <w:r w:rsidR="00A40BE5">
        <w:rPr>
          <w:rFonts w:cs="TimesNewRoman"/>
          <w:sz w:val="24"/>
          <w:szCs w:val="24"/>
        </w:rPr>
        <w:t xml:space="preserve">se </w:t>
      </w:r>
      <w:r w:rsidR="00410C99">
        <w:rPr>
          <w:rFonts w:cs="TimesNewRoman"/>
          <w:sz w:val="24"/>
          <w:szCs w:val="24"/>
        </w:rPr>
        <w:t xml:space="preserve">nipošto </w:t>
      </w:r>
      <w:r w:rsidR="00DF490C">
        <w:rPr>
          <w:rFonts w:cs="TimesNewRoman"/>
          <w:sz w:val="24"/>
          <w:szCs w:val="24"/>
        </w:rPr>
        <w:t>n</w:t>
      </w:r>
      <w:r w:rsidR="00A40BE5">
        <w:rPr>
          <w:rFonts w:cs="TimesNewRoman"/>
          <w:sz w:val="24"/>
          <w:szCs w:val="24"/>
        </w:rPr>
        <w:t xml:space="preserve">e radi o </w:t>
      </w:r>
      <w:r w:rsidR="00DF490C">
        <w:rPr>
          <w:rFonts w:cs="TimesNewRoman"/>
          <w:sz w:val="24"/>
          <w:szCs w:val="24"/>
        </w:rPr>
        <w:t xml:space="preserve">aktivnost koja dolazi do izražaja samo pri izračunu </w:t>
      </w:r>
      <w:r w:rsidR="00410C99">
        <w:rPr>
          <w:rFonts w:cs="TimesNewRoman"/>
          <w:sz w:val="24"/>
          <w:szCs w:val="24"/>
        </w:rPr>
        <w:t xml:space="preserve">neto-vrijednosti imovine </w:t>
      </w:r>
      <w:r w:rsidR="00A40BE5">
        <w:rPr>
          <w:rFonts w:cs="TimesNewRoman"/>
          <w:sz w:val="24"/>
          <w:szCs w:val="24"/>
        </w:rPr>
        <w:t xml:space="preserve">osobe </w:t>
      </w:r>
      <w:r w:rsidR="00AB2AAA">
        <w:rPr>
          <w:rFonts w:cs="TimesNewRoman"/>
          <w:sz w:val="24"/>
          <w:szCs w:val="24"/>
        </w:rPr>
        <w:t xml:space="preserve">nad kojim se vodi </w:t>
      </w:r>
      <w:r w:rsidR="0079760A">
        <w:rPr>
          <w:rFonts w:cs="TimesNewRoman"/>
          <w:sz w:val="24"/>
          <w:szCs w:val="24"/>
        </w:rPr>
        <w:t xml:space="preserve">stečajni postupak ili </w:t>
      </w:r>
      <w:r w:rsidR="00AB2AAA">
        <w:rPr>
          <w:rFonts w:cs="TimesNewRoman"/>
          <w:sz w:val="24"/>
          <w:szCs w:val="24"/>
        </w:rPr>
        <w:t>u situacij</w:t>
      </w:r>
      <w:r w:rsidR="00A40BE5">
        <w:rPr>
          <w:rFonts w:cs="TimesNewRoman"/>
          <w:sz w:val="24"/>
          <w:szCs w:val="24"/>
        </w:rPr>
        <w:t>i</w:t>
      </w:r>
      <w:r w:rsidR="00AB2AAA">
        <w:rPr>
          <w:rFonts w:cs="TimesNewRoman"/>
          <w:sz w:val="24"/>
          <w:szCs w:val="24"/>
        </w:rPr>
        <w:t xml:space="preserve"> </w:t>
      </w:r>
      <w:r w:rsidR="0079760A">
        <w:rPr>
          <w:rFonts w:cs="TimesNewRoman"/>
          <w:sz w:val="24"/>
          <w:szCs w:val="24"/>
        </w:rPr>
        <w:t>razvod</w:t>
      </w:r>
      <w:r w:rsidR="00A40BE5">
        <w:rPr>
          <w:rFonts w:cs="TimesNewRoman"/>
          <w:sz w:val="24"/>
          <w:szCs w:val="24"/>
        </w:rPr>
        <w:t>a</w:t>
      </w:r>
      <w:r w:rsidR="0079760A">
        <w:rPr>
          <w:rFonts w:cs="TimesNewRoman"/>
          <w:sz w:val="24"/>
          <w:szCs w:val="24"/>
        </w:rPr>
        <w:t xml:space="preserve"> braka</w:t>
      </w:r>
      <w:r w:rsidR="00A40BE5">
        <w:rPr>
          <w:rFonts w:cs="TimesNewRoman"/>
          <w:sz w:val="24"/>
          <w:szCs w:val="24"/>
        </w:rPr>
        <w:t xml:space="preserve">, iako su u praksi upravo navedeni slučajevi najčešći razlog kada se tema osobne bilance </w:t>
      </w:r>
      <w:r>
        <w:rPr>
          <w:rFonts w:cs="TimesNewRoman"/>
          <w:sz w:val="24"/>
          <w:szCs w:val="24"/>
        </w:rPr>
        <w:t xml:space="preserve">i bilance kućanstva </w:t>
      </w:r>
      <w:r w:rsidR="00A40BE5">
        <w:rPr>
          <w:rFonts w:cs="TimesNewRoman"/>
          <w:sz w:val="24"/>
          <w:szCs w:val="24"/>
        </w:rPr>
        <w:t>spominje</w:t>
      </w:r>
      <w:r w:rsidR="0079760A">
        <w:rPr>
          <w:rFonts w:cs="TimesNewRoman"/>
          <w:sz w:val="24"/>
          <w:szCs w:val="24"/>
        </w:rPr>
        <w:t>.</w:t>
      </w:r>
    </w:p>
    <w:p w:rsidR="00C23E48" w:rsidRDefault="00B20BF7" w:rsidP="00C23E48">
      <w:pPr>
        <w:tabs>
          <w:tab w:val="left" w:pos="1300"/>
        </w:tabs>
        <w:spacing w:before="240"/>
        <w:jc w:val="both"/>
        <w:rPr>
          <w:sz w:val="24"/>
          <w:szCs w:val="24"/>
        </w:rPr>
      </w:pPr>
      <w:r w:rsidRPr="005864F4">
        <w:rPr>
          <w:sz w:val="24"/>
          <w:szCs w:val="24"/>
        </w:rPr>
        <w:t xml:space="preserve">Svaki oblik imovine </w:t>
      </w:r>
      <w:r>
        <w:rPr>
          <w:sz w:val="24"/>
          <w:szCs w:val="24"/>
        </w:rPr>
        <w:t xml:space="preserve">je specifičan. Pojedini oblici imovine donose prihode (dohodak od imovine, kapitala, osiguranja) te su stoga u funkciji štednje i/ili investicija. </w:t>
      </w:r>
      <w:r w:rsidR="00B254FB" w:rsidRPr="00B254FB">
        <w:rPr>
          <w:color w:val="C00000"/>
          <w:sz w:val="24"/>
          <w:szCs w:val="24"/>
        </w:rPr>
        <w:t xml:space="preserve">Kod dijela </w:t>
      </w:r>
      <w:r w:rsidR="00133851">
        <w:rPr>
          <w:color w:val="C00000"/>
          <w:sz w:val="24"/>
          <w:szCs w:val="24"/>
        </w:rPr>
        <w:t xml:space="preserve">imovine, prihod koji ona donosi </w:t>
      </w:r>
      <w:r w:rsidR="00133851" w:rsidRPr="00133851">
        <w:rPr>
          <w:sz w:val="24"/>
          <w:szCs w:val="24"/>
        </w:rPr>
        <w:t>(</w:t>
      </w:r>
      <w:r w:rsidRPr="00133851">
        <w:rPr>
          <w:sz w:val="24"/>
          <w:szCs w:val="24"/>
        </w:rPr>
        <w:t>dohodak od imovine</w:t>
      </w:r>
      <w:r w:rsidR="00133851" w:rsidRPr="00133851">
        <w:rPr>
          <w:sz w:val="24"/>
          <w:szCs w:val="24"/>
        </w:rPr>
        <w:t xml:space="preserve">) </w:t>
      </w:r>
      <w:r w:rsidR="00133851">
        <w:rPr>
          <w:color w:val="C00000"/>
          <w:sz w:val="24"/>
          <w:szCs w:val="24"/>
        </w:rPr>
        <w:t>je</w:t>
      </w:r>
      <w:r w:rsidRPr="00B254FB">
        <w:rPr>
          <w:color w:val="C00000"/>
          <w:sz w:val="24"/>
          <w:szCs w:val="24"/>
        </w:rPr>
        <w:t xml:space="preserve"> </w:t>
      </w:r>
      <w:r w:rsidR="00B254FB" w:rsidRPr="00B254FB">
        <w:rPr>
          <w:color w:val="C00000"/>
          <w:sz w:val="24"/>
          <w:szCs w:val="24"/>
        </w:rPr>
        <w:t>oporeziv</w:t>
      </w:r>
      <w:r w:rsidRPr="00B254FB">
        <w:rPr>
          <w:color w:val="C00000"/>
          <w:sz w:val="24"/>
          <w:szCs w:val="24"/>
        </w:rPr>
        <w:t>, a kod drugih nije</w:t>
      </w:r>
      <w:r>
        <w:rPr>
          <w:sz w:val="24"/>
          <w:szCs w:val="24"/>
        </w:rPr>
        <w:t xml:space="preserve"> - o čemu svakako treba voditi računa</w:t>
      </w:r>
      <w:r w:rsidR="00B254FB">
        <w:rPr>
          <w:sz w:val="24"/>
          <w:szCs w:val="24"/>
        </w:rPr>
        <w:t xml:space="preserve"> pri izboru instrumenta štednje, a posebno štednje za star</w:t>
      </w:r>
      <w:r w:rsidR="00133851">
        <w:rPr>
          <w:sz w:val="24"/>
          <w:szCs w:val="24"/>
        </w:rPr>
        <w:t>o</w:t>
      </w:r>
      <w:r w:rsidR="00B254FB">
        <w:rPr>
          <w:sz w:val="24"/>
          <w:szCs w:val="24"/>
        </w:rPr>
        <w:t>st</w:t>
      </w:r>
      <w:r>
        <w:rPr>
          <w:sz w:val="24"/>
          <w:szCs w:val="24"/>
        </w:rPr>
        <w:t>.</w:t>
      </w:r>
      <w:r w:rsidR="00C23E48">
        <w:rPr>
          <w:sz w:val="24"/>
          <w:szCs w:val="24"/>
        </w:rPr>
        <w:t xml:space="preserve"> Uz pojedine oblike imovine veže se veći stupanj rizičnosti u smislu značajnih oscilacija njihove tržišne vrijednosti, a rizik se uglavnom kreće proporcionalno s mogućim prinosom. Neki oblici imovine su u funkciji tekuće potrošnje </w:t>
      </w:r>
      <w:r w:rsidR="00B254FB">
        <w:rPr>
          <w:sz w:val="24"/>
          <w:szCs w:val="24"/>
        </w:rPr>
        <w:t xml:space="preserve">(npr. zalihe hrane) </w:t>
      </w:r>
      <w:r w:rsidR="00C23E48">
        <w:rPr>
          <w:sz w:val="24"/>
          <w:szCs w:val="24"/>
        </w:rPr>
        <w:t xml:space="preserve">što znači da će vrlo skoro izaći iz bilance, a pojedini donose koristi koje nisu materijalne nego su u funkciji zadovoljstva pojedinca i njegove obitelji. </w:t>
      </w:r>
    </w:p>
    <w:tbl>
      <w:tblPr>
        <w:tblStyle w:val="Reetkatablice"/>
        <w:tblW w:w="0" w:type="auto"/>
        <w:tblInd w:w="108" w:type="dxa"/>
        <w:tblLayout w:type="fixed"/>
        <w:tblLook w:val="01E0" w:firstRow="1" w:lastRow="1" w:firstColumn="1" w:lastColumn="1" w:noHBand="0" w:noVBand="0"/>
      </w:tblPr>
      <w:tblGrid>
        <w:gridCol w:w="2977"/>
        <w:gridCol w:w="6203"/>
      </w:tblGrid>
      <w:tr w:rsidR="00B1173B" w:rsidTr="0030187D">
        <w:tc>
          <w:tcPr>
            <w:tcW w:w="2977" w:type="dxa"/>
          </w:tcPr>
          <w:p w:rsidR="00B1173B" w:rsidRDefault="00B1173B" w:rsidP="0066075A">
            <w:pPr>
              <w:pStyle w:val="Default"/>
              <w:jc w:val="both"/>
              <w:rPr>
                <w:noProof/>
              </w:rPr>
            </w:pPr>
          </w:p>
          <w:p w:rsidR="00804BF4" w:rsidRDefault="00804BF4" w:rsidP="0066075A">
            <w:pPr>
              <w:pStyle w:val="Default"/>
              <w:jc w:val="both"/>
            </w:pPr>
            <w:r>
              <w:rPr>
                <w:noProof/>
              </w:rPr>
              <w:drawing>
                <wp:inline distT="0" distB="0" distL="0" distR="0" wp14:anchorId="4AFFE893" wp14:editId="568A2E69">
                  <wp:extent cx="2628900" cy="1743075"/>
                  <wp:effectExtent l="0" t="0" r="0" b="9525"/>
                  <wp:docPr id="1147" name="Slika 1147" descr="Slikovni rezultat za inves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likovni rezultat za investment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p w:rsidR="00B1173B" w:rsidRDefault="00B1173B" w:rsidP="0066075A">
            <w:pPr>
              <w:pStyle w:val="Default"/>
              <w:jc w:val="both"/>
            </w:pPr>
          </w:p>
          <w:p w:rsidR="00804BF4" w:rsidRDefault="00804BF4" w:rsidP="0066075A">
            <w:pPr>
              <w:pStyle w:val="Default"/>
              <w:jc w:val="both"/>
            </w:pPr>
            <w:r>
              <w:rPr>
                <w:noProof/>
              </w:rPr>
              <w:drawing>
                <wp:inline distT="0" distB="0" distL="0" distR="0" wp14:anchorId="0E235846" wp14:editId="7CFE3F02">
                  <wp:extent cx="2085732" cy="1590675"/>
                  <wp:effectExtent l="0" t="0" r="0" b="0"/>
                  <wp:docPr id="1148" name="Slika 1148" descr="https://encrypted-tbn3.gstatic.com/images?q=tbn:ANd9GcTZHtpGJrMf5aLRcKJqAtQB14kRGNlDvW8G6UoSwqqxxdl95qCV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3.gstatic.com/images?q=tbn:ANd9GcTZHtpGJrMf5aLRcKJqAtQB14kRGNlDvW8G6UoSwqqxxdl95qCVW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85732" cy="1590675"/>
                          </a:xfrm>
                          <a:prstGeom prst="rect">
                            <a:avLst/>
                          </a:prstGeom>
                          <a:noFill/>
                          <a:ln>
                            <a:noFill/>
                          </a:ln>
                        </pic:spPr>
                      </pic:pic>
                    </a:graphicData>
                  </a:graphic>
                </wp:inline>
              </w:drawing>
            </w:r>
          </w:p>
          <w:p w:rsidR="00804BF4" w:rsidRPr="00804BF4" w:rsidRDefault="00804BF4" w:rsidP="0066075A">
            <w:pPr>
              <w:pStyle w:val="Default"/>
              <w:jc w:val="both"/>
            </w:pPr>
            <w:r>
              <w:rPr>
                <w:noProof/>
              </w:rPr>
              <w:drawing>
                <wp:inline distT="0" distB="0" distL="0" distR="0" wp14:anchorId="40C417CD" wp14:editId="3DD1F8DA">
                  <wp:extent cx="1905000" cy="1619250"/>
                  <wp:effectExtent l="0" t="0" r="0" b="0"/>
                  <wp:docPr id="1149" name="Slika 1149" descr="http://porast.hr/images/uploads/imov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porast.hr/images/uploads/imovina.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p>
          <w:p w:rsidR="00804BF4" w:rsidRDefault="00804BF4" w:rsidP="0066075A">
            <w:pPr>
              <w:pStyle w:val="Default"/>
              <w:jc w:val="both"/>
              <w:rPr>
                <w:rFonts w:ascii="Times New Roman" w:hAnsi="Times New Roman" w:cs="Times New Roman"/>
              </w:rPr>
            </w:pPr>
          </w:p>
        </w:tc>
        <w:tc>
          <w:tcPr>
            <w:tcW w:w="6203" w:type="dxa"/>
          </w:tcPr>
          <w:p w:rsidR="00B1173B" w:rsidRPr="00D1637C" w:rsidRDefault="00B1173B" w:rsidP="0066075A">
            <w:pPr>
              <w:pStyle w:val="Default"/>
              <w:jc w:val="both"/>
              <w:rPr>
                <w:rFonts w:asciiTheme="minorHAnsi" w:eastAsiaTheme="minorHAnsi" w:hAnsiTheme="minorHAnsi" w:cs="TimesNewRoman"/>
                <w:b/>
                <w:color w:val="auto"/>
                <w:lang w:eastAsia="en-US"/>
              </w:rPr>
            </w:pPr>
            <w:r w:rsidRPr="00D1637C">
              <w:rPr>
                <w:rFonts w:asciiTheme="minorHAnsi" w:eastAsiaTheme="minorHAnsi" w:hAnsiTheme="minorHAnsi" w:cs="TimesNewRoman"/>
                <w:b/>
                <w:color w:val="auto"/>
                <w:lang w:eastAsia="en-US"/>
              </w:rPr>
              <w:t>Novac, štednja i investicije</w:t>
            </w:r>
            <w:r w:rsidR="00CB086D" w:rsidRPr="00D1637C">
              <w:rPr>
                <w:rFonts w:asciiTheme="minorHAnsi" w:eastAsiaTheme="minorHAnsi" w:hAnsiTheme="minorHAnsi" w:cs="TimesNewRoman"/>
                <w:b/>
                <w:color w:val="auto"/>
                <w:lang w:eastAsia="en-US"/>
              </w:rPr>
              <w:t xml:space="preserve"> građana</w:t>
            </w:r>
          </w:p>
          <w:p w:rsidR="00B1173B" w:rsidRPr="0030187D" w:rsidRDefault="00B1173B" w:rsidP="00CB086D">
            <w:pPr>
              <w:pStyle w:val="Default"/>
              <w:spacing w:before="120" w:after="120"/>
              <w:jc w:val="both"/>
              <w:rPr>
                <w:rFonts w:asciiTheme="minorHAnsi" w:eastAsiaTheme="minorHAnsi" w:hAnsiTheme="minorHAnsi" w:cs="TimesNewRoman"/>
                <w:color w:val="auto"/>
                <w:lang w:eastAsia="en-US"/>
              </w:rPr>
            </w:pPr>
            <w:r w:rsidRPr="0030187D">
              <w:rPr>
                <w:rFonts w:asciiTheme="minorHAnsi" w:eastAsiaTheme="minorHAnsi" w:hAnsiTheme="minorHAnsi" w:cs="TimesNewRoman"/>
                <w:color w:val="auto"/>
                <w:lang w:eastAsia="en-US"/>
              </w:rPr>
              <w:t xml:space="preserve">Imovina dijelom uključuje </w:t>
            </w:r>
            <w:r w:rsidR="00CB086D">
              <w:rPr>
                <w:rFonts w:asciiTheme="minorHAnsi" w:eastAsiaTheme="minorHAnsi" w:hAnsiTheme="minorHAnsi" w:cs="TimesNewRoman"/>
                <w:color w:val="auto"/>
                <w:lang w:eastAsia="en-US"/>
              </w:rPr>
              <w:t xml:space="preserve">štedno-ulagačke oblike </w:t>
            </w:r>
            <w:r w:rsidRPr="0030187D">
              <w:rPr>
                <w:rFonts w:asciiTheme="minorHAnsi" w:eastAsiaTheme="minorHAnsi" w:hAnsiTheme="minorHAnsi" w:cs="TimesNewRoman"/>
                <w:color w:val="auto"/>
                <w:lang w:eastAsia="en-US"/>
              </w:rPr>
              <w:t xml:space="preserve">(poput štednih i oročenih depoziti, životnog osiguranja i udjela u fondovima, putem kojih se obavlja vremenska alokacija štednje/odgođene potrošnje), dok dijelom uključuje različite druge oblike financijske  i realne imovine, koji nisu u funkciji štednje, nego </w:t>
            </w:r>
            <w:r w:rsidR="00CB086D">
              <w:rPr>
                <w:rFonts w:asciiTheme="minorHAnsi" w:eastAsiaTheme="minorHAnsi" w:hAnsiTheme="minorHAnsi" w:cs="TimesNewRoman"/>
                <w:color w:val="auto"/>
                <w:lang w:eastAsia="en-US"/>
              </w:rPr>
              <w:t>imaju</w:t>
            </w:r>
            <w:r w:rsidRPr="0030187D">
              <w:rPr>
                <w:rFonts w:asciiTheme="minorHAnsi" w:eastAsiaTheme="minorHAnsi" w:hAnsiTheme="minorHAnsi" w:cs="TimesNewRoman"/>
                <w:color w:val="auto"/>
                <w:lang w:eastAsia="en-US"/>
              </w:rPr>
              <w:t xml:space="preserve"> druge funkcije:</w:t>
            </w:r>
          </w:p>
          <w:p w:rsidR="00B1173B" w:rsidRPr="0030187D" w:rsidRDefault="00B1173B" w:rsidP="00CB086D">
            <w:pPr>
              <w:pStyle w:val="Default"/>
              <w:numPr>
                <w:ilvl w:val="0"/>
                <w:numId w:val="23"/>
              </w:numPr>
              <w:tabs>
                <w:tab w:val="clear" w:pos="720"/>
                <w:tab w:val="num" w:pos="459"/>
              </w:tabs>
              <w:ind w:left="459" w:hanging="283"/>
              <w:jc w:val="both"/>
              <w:rPr>
                <w:rFonts w:asciiTheme="minorHAnsi" w:eastAsiaTheme="minorHAnsi" w:hAnsiTheme="minorHAnsi" w:cs="TimesNewRoman"/>
                <w:color w:val="auto"/>
                <w:lang w:eastAsia="en-US"/>
              </w:rPr>
            </w:pPr>
            <w:r w:rsidRPr="0030187D">
              <w:rPr>
                <w:rFonts w:asciiTheme="minorHAnsi" w:eastAsiaTheme="minorHAnsi" w:hAnsiTheme="minorHAnsi" w:cs="TimesNewRoman"/>
                <w:color w:val="C00000"/>
                <w:lang w:eastAsia="en-US"/>
              </w:rPr>
              <w:t xml:space="preserve">gotovina i depozitni novac </w:t>
            </w:r>
            <w:r w:rsidRPr="0030187D">
              <w:rPr>
                <w:rFonts w:asciiTheme="minorHAnsi" w:eastAsiaTheme="minorHAnsi" w:hAnsiTheme="minorHAnsi" w:cs="TimesNewRoman"/>
                <w:color w:val="auto"/>
                <w:lang w:eastAsia="en-US"/>
              </w:rPr>
              <w:t>predstavljaju oblik imovine u funkciji sredstva razmjene i plaćanja; podložni su padu realne vrijednosti zbog učinka inflacije (prosječno gube na vrijednosti 2% godišnje), a vlasnici ih tipično drže u minimalnom iznosu koji pokriva tekuće rashode i eventualno rezerve za hitne situacije;</w:t>
            </w:r>
          </w:p>
          <w:p w:rsidR="00B1173B" w:rsidRPr="0030187D" w:rsidRDefault="00B1173B" w:rsidP="00CB086D">
            <w:pPr>
              <w:pStyle w:val="Default"/>
              <w:numPr>
                <w:ilvl w:val="0"/>
                <w:numId w:val="23"/>
              </w:numPr>
              <w:tabs>
                <w:tab w:val="clear" w:pos="720"/>
                <w:tab w:val="num" w:pos="459"/>
              </w:tabs>
              <w:ind w:left="459" w:hanging="283"/>
              <w:jc w:val="both"/>
              <w:rPr>
                <w:rFonts w:asciiTheme="minorHAnsi" w:eastAsiaTheme="minorHAnsi" w:hAnsiTheme="minorHAnsi" w:cs="TimesNewRoman"/>
                <w:color w:val="auto"/>
                <w:lang w:eastAsia="en-US"/>
              </w:rPr>
            </w:pPr>
            <w:r w:rsidRPr="0030187D">
              <w:rPr>
                <w:rFonts w:asciiTheme="minorHAnsi" w:eastAsiaTheme="minorHAnsi" w:hAnsiTheme="minorHAnsi" w:cs="TimesNewRoman"/>
                <w:color w:val="C00000"/>
                <w:lang w:eastAsia="en-US"/>
              </w:rPr>
              <w:t>dionice</w:t>
            </w:r>
            <w:r w:rsidRPr="0030187D">
              <w:rPr>
                <w:rFonts w:asciiTheme="minorHAnsi" w:eastAsiaTheme="minorHAnsi" w:hAnsiTheme="minorHAnsi" w:cs="TimesNewRoman"/>
                <w:color w:val="auto"/>
                <w:lang w:eastAsia="en-US"/>
              </w:rPr>
              <w:t xml:space="preserve"> predstavljaju udjele u vlasništvu imovine poslovnih subjekata; imaju relativno visok stupanj likvidnosti </w:t>
            </w:r>
            <w:r w:rsidR="0030187D">
              <w:rPr>
                <w:rFonts w:asciiTheme="minorHAnsi" w:eastAsiaTheme="minorHAnsi" w:hAnsiTheme="minorHAnsi" w:cs="TimesNewRoman"/>
                <w:color w:val="auto"/>
                <w:lang w:eastAsia="en-US"/>
              </w:rPr>
              <w:t>ako se njima učestalo</w:t>
            </w:r>
            <w:r w:rsidRPr="0030187D">
              <w:rPr>
                <w:rFonts w:asciiTheme="minorHAnsi" w:eastAsiaTheme="minorHAnsi" w:hAnsiTheme="minorHAnsi" w:cs="TimesNewRoman"/>
                <w:color w:val="auto"/>
                <w:lang w:eastAsia="en-US"/>
              </w:rPr>
              <w:t xml:space="preserve"> trguje na financijskom tržištu pa ulaze u kategoriju financijske imovine; međutim funkcija ulaganja, odnosno investiranja u dionice nije vremenska alokacija potrošnje kao u slučaju štednih proizvoda, nego uključuje i preuzimanje određenog rizika koji ovisi o budućim učincima u poslovanju poduzeća u čije se dionice ulaže; predstavljaju oblik financijske investicije, a ne štednje;</w:t>
            </w:r>
          </w:p>
          <w:p w:rsidR="00B1173B" w:rsidRDefault="00B1173B" w:rsidP="00CB086D">
            <w:pPr>
              <w:pStyle w:val="Default"/>
              <w:numPr>
                <w:ilvl w:val="0"/>
                <w:numId w:val="23"/>
              </w:numPr>
              <w:tabs>
                <w:tab w:val="clear" w:pos="720"/>
                <w:tab w:val="num" w:pos="459"/>
              </w:tabs>
              <w:spacing w:after="120"/>
              <w:ind w:left="459" w:hanging="283"/>
              <w:jc w:val="both"/>
              <w:rPr>
                <w:rFonts w:ascii="Times New Roman" w:hAnsi="Times New Roman" w:cs="Times New Roman"/>
              </w:rPr>
            </w:pPr>
            <w:r w:rsidRPr="0030187D">
              <w:rPr>
                <w:rFonts w:asciiTheme="minorHAnsi" w:eastAsiaTheme="minorHAnsi" w:hAnsiTheme="minorHAnsi" w:cs="TimesNewRoman"/>
                <w:color w:val="C00000"/>
                <w:lang w:eastAsia="en-US"/>
              </w:rPr>
              <w:t>realna imovina</w:t>
            </w:r>
            <w:r w:rsidRPr="0030187D">
              <w:rPr>
                <w:rFonts w:asciiTheme="minorHAnsi" w:eastAsiaTheme="minorHAnsi" w:hAnsiTheme="minorHAnsi" w:cs="TimesNewRoman"/>
                <w:color w:val="auto"/>
                <w:lang w:eastAsia="en-US"/>
              </w:rPr>
              <w:t>, poput nekretnina ima relativno nizak stupanj likvidnosti u smislu sposobnosti prodaje po očekivanim cijenama; tipično ima produktivnu uporabu za obavljanje određenih aktivnosti; predstavlja oblik realne investicije, a ne štednje.</w:t>
            </w:r>
          </w:p>
        </w:tc>
      </w:tr>
    </w:tbl>
    <w:p w:rsidR="00B20BF7" w:rsidRDefault="00B20BF7" w:rsidP="00B20BF7">
      <w:pPr>
        <w:tabs>
          <w:tab w:val="left" w:pos="1300"/>
        </w:tabs>
        <w:spacing w:before="240"/>
        <w:jc w:val="both"/>
        <w:rPr>
          <w:sz w:val="24"/>
          <w:szCs w:val="24"/>
        </w:rPr>
      </w:pPr>
      <w:r w:rsidRPr="005864F4">
        <w:rPr>
          <w:sz w:val="24"/>
          <w:szCs w:val="24"/>
        </w:rPr>
        <w:lastRenderedPageBreak/>
        <w:t xml:space="preserve">Gotovina se uobičajeno promatra kao oblik imovine koji ne donosi </w:t>
      </w:r>
      <w:r>
        <w:rPr>
          <w:sz w:val="24"/>
          <w:szCs w:val="24"/>
        </w:rPr>
        <w:t xml:space="preserve">prinos (pa tako ni </w:t>
      </w:r>
      <w:r w:rsidRPr="005864F4">
        <w:rPr>
          <w:sz w:val="24"/>
          <w:szCs w:val="24"/>
        </w:rPr>
        <w:t>dohodak</w:t>
      </w:r>
      <w:r>
        <w:rPr>
          <w:sz w:val="24"/>
          <w:szCs w:val="24"/>
        </w:rPr>
        <w:t>)</w:t>
      </w:r>
      <w:r w:rsidRPr="005864F4">
        <w:rPr>
          <w:sz w:val="24"/>
          <w:szCs w:val="24"/>
        </w:rPr>
        <w:t>, ali čak i u ovom slučaju postoje specifični oblici koristi koji se ponašaju kao dohodak ili kao izvanredni oblik prihoda vlasnika gotovine. To su na primjer popusti za promptno gotovinsko plaćanje zbog kojih su manji izdaci za kupovinu roba i usluga te su ujedno veći neto-prihodi (neto-primici). Naposljetku i posjedovanje fizičkih dobara kao što su kućanski aparati, zalihe hrane ili bezalkoholnih napitaka može u specifičnim okolnostima don</w:t>
      </w:r>
      <w:r>
        <w:rPr>
          <w:sz w:val="24"/>
          <w:szCs w:val="24"/>
        </w:rPr>
        <w:t>ositi dohodak. Konkretno to su</w:t>
      </w:r>
      <w:r w:rsidRPr="005864F4">
        <w:rPr>
          <w:sz w:val="24"/>
          <w:szCs w:val="24"/>
        </w:rPr>
        <w:t xml:space="preserve"> </w:t>
      </w:r>
      <w:r>
        <w:rPr>
          <w:sz w:val="24"/>
          <w:szCs w:val="24"/>
        </w:rPr>
        <w:t xml:space="preserve">realni </w:t>
      </w:r>
      <w:r w:rsidRPr="005864F4">
        <w:rPr>
          <w:sz w:val="24"/>
          <w:szCs w:val="24"/>
        </w:rPr>
        <w:t xml:space="preserve">dobici od </w:t>
      </w:r>
      <w:r>
        <w:rPr>
          <w:sz w:val="24"/>
          <w:szCs w:val="24"/>
        </w:rPr>
        <w:t xml:space="preserve">posjedovanja </w:t>
      </w:r>
      <w:r w:rsidRPr="005864F4">
        <w:rPr>
          <w:sz w:val="24"/>
          <w:szCs w:val="24"/>
        </w:rPr>
        <w:t xml:space="preserve">robe u uvjetima </w:t>
      </w:r>
      <w:r>
        <w:rPr>
          <w:sz w:val="24"/>
          <w:szCs w:val="24"/>
        </w:rPr>
        <w:t xml:space="preserve">većeg inflacijskog pritiska, odnosno </w:t>
      </w:r>
      <w:r w:rsidRPr="005864F4">
        <w:rPr>
          <w:sz w:val="24"/>
          <w:szCs w:val="24"/>
        </w:rPr>
        <w:t xml:space="preserve">rasta tržišnih cijena </w:t>
      </w:r>
      <w:r>
        <w:rPr>
          <w:sz w:val="24"/>
          <w:szCs w:val="24"/>
        </w:rPr>
        <w:t xml:space="preserve">iste </w:t>
      </w:r>
      <w:r w:rsidRPr="005864F4">
        <w:rPr>
          <w:sz w:val="24"/>
          <w:szCs w:val="24"/>
        </w:rPr>
        <w:t xml:space="preserve">robe te pada realne vrijednosti novca. </w:t>
      </w:r>
    </w:p>
    <w:p w:rsidR="00B20BF7" w:rsidRDefault="00B20BF7" w:rsidP="00B20BF7">
      <w:pPr>
        <w:tabs>
          <w:tab w:val="left" w:pos="1300"/>
        </w:tabs>
        <w:spacing w:before="240"/>
        <w:jc w:val="both"/>
        <w:rPr>
          <w:color w:val="C00000"/>
          <w:sz w:val="24"/>
          <w:szCs w:val="24"/>
        </w:rPr>
      </w:pPr>
      <w:r w:rsidRPr="00243C27">
        <w:rPr>
          <w:color w:val="C00000"/>
          <w:sz w:val="24"/>
          <w:szCs w:val="24"/>
        </w:rPr>
        <w:t>Uz bilancu kućanstva vežu se dva temeljna pokazatelja</w:t>
      </w:r>
      <w:r>
        <w:rPr>
          <w:sz w:val="24"/>
          <w:szCs w:val="24"/>
        </w:rPr>
        <w:t xml:space="preserve">. To su koeficijent </w:t>
      </w:r>
      <w:r w:rsidR="00133851">
        <w:rPr>
          <w:sz w:val="24"/>
          <w:szCs w:val="24"/>
        </w:rPr>
        <w:t xml:space="preserve">tekuće </w:t>
      </w:r>
      <w:r>
        <w:rPr>
          <w:sz w:val="24"/>
          <w:szCs w:val="24"/>
        </w:rPr>
        <w:t xml:space="preserve">likvidnosti i koeficijent zaduženosti. </w:t>
      </w:r>
      <w:r w:rsidRPr="009252D0">
        <w:rPr>
          <w:color w:val="C00000"/>
          <w:sz w:val="24"/>
          <w:szCs w:val="24"/>
        </w:rPr>
        <w:t xml:space="preserve">Koeficijent </w:t>
      </w:r>
      <w:r w:rsidR="00133851">
        <w:rPr>
          <w:color w:val="C00000"/>
          <w:sz w:val="24"/>
          <w:szCs w:val="24"/>
        </w:rPr>
        <w:t xml:space="preserve">tekuće </w:t>
      </w:r>
      <w:r w:rsidRPr="009252D0">
        <w:rPr>
          <w:color w:val="C00000"/>
          <w:sz w:val="24"/>
          <w:szCs w:val="24"/>
        </w:rPr>
        <w:t xml:space="preserve">likvidnosti </w:t>
      </w:r>
      <w:r>
        <w:rPr>
          <w:sz w:val="24"/>
          <w:szCs w:val="24"/>
        </w:rPr>
        <w:t>jednak je omjeru kratkotrajne imovine i kratkoročnih obveza</w:t>
      </w:r>
      <w:r w:rsidR="00256F1B">
        <w:rPr>
          <w:sz w:val="24"/>
          <w:szCs w:val="24"/>
        </w:rPr>
        <w:t xml:space="preserve">, a može se promatrati za različite vremenske točke ročnosti i dospijeća, npr. godinu dana </w:t>
      </w:r>
      <w:r w:rsidR="00243C27">
        <w:rPr>
          <w:sz w:val="24"/>
          <w:szCs w:val="24"/>
        </w:rPr>
        <w:t xml:space="preserve">(što je uobičajeno) </w:t>
      </w:r>
      <w:r w:rsidR="00256F1B">
        <w:rPr>
          <w:sz w:val="24"/>
          <w:szCs w:val="24"/>
        </w:rPr>
        <w:t>ali i šest mjeseci, tri mjeseca ili mjesec dana</w:t>
      </w:r>
      <w:r>
        <w:rPr>
          <w:sz w:val="24"/>
          <w:szCs w:val="24"/>
        </w:rPr>
        <w:t xml:space="preserve">. Jedan od </w:t>
      </w:r>
      <w:r w:rsidRPr="009252D0">
        <w:rPr>
          <w:color w:val="C00000"/>
          <w:sz w:val="24"/>
          <w:szCs w:val="24"/>
        </w:rPr>
        <w:t xml:space="preserve">pokazatelja zaduženosti </w:t>
      </w:r>
      <w:r>
        <w:rPr>
          <w:sz w:val="24"/>
          <w:szCs w:val="24"/>
        </w:rPr>
        <w:t xml:space="preserve">je omjer ukupnih obveza i ukupne imovine, a drugi omjer ukupnih obveza i vlastitog kapitala (neto-vrijednosti imovine). </w:t>
      </w:r>
      <w:r w:rsidRPr="004C7737">
        <w:rPr>
          <w:color w:val="C00000"/>
          <w:sz w:val="24"/>
          <w:szCs w:val="24"/>
        </w:rPr>
        <w:t>Dok je za pokazatelj likvidnosti poželjno da je što veći, za pokazatelj zaduženosti je poželjno da je što manji.</w:t>
      </w:r>
    </w:p>
    <w:p w:rsidR="00243C27" w:rsidRPr="00243C27" w:rsidRDefault="00243C27" w:rsidP="00B20BF7">
      <w:pPr>
        <w:tabs>
          <w:tab w:val="left" w:pos="1300"/>
        </w:tabs>
        <w:spacing w:before="240"/>
        <w:jc w:val="both"/>
        <w:rPr>
          <w:sz w:val="24"/>
          <w:szCs w:val="24"/>
        </w:rPr>
      </w:pPr>
      <w:r w:rsidRPr="00243C27">
        <w:rPr>
          <w:color w:val="C00000"/>
          <w:sz w:val="24"/>
          <w:szCs w:val="24"/>
        </w:rPr>
        <w:t>Treću</w:t>
      </w:r>
      <w:r w:rsidRPr="00243C27">
        <w:rPr>
          <w:sz w:val="24"/>
          <w:szCs w:val="24"/>
        </w:rPr>
        <w:t xml:space="preserve"> kategoriju pokazatelja koji vrednuju financijski napredak kućanstva čini </w:t>
      </w:r>
      <w:r>
        <w:rPr>
          <w:color w:val="C00000"/>
          <w:sz w:val="24"/>
          <w:szCs w:val="24"/>
        </w:rPr>
        <w:t xml:space="preserve">omjer likvidne imovine i mjesečnih izdataka. </w:t>
      </w:r>
      <w:r w:rsidRPr="00243C27">
        <w:rPr>
          <w:sz w:val="24"/>
          <w:szCs w:val="24"/>
        </w:rPr>
        <w:t xml:space="preserve">On pokazuje broj mjeseci u kojima bi se u slučaju nenadane potrebe izdaci kućanstva mogli financirati iz likvidne imovine, poput gotovine i sredstava na tekućim, štednim i drugim računima banaka, odnosno kroz prodaju drugih oblika likvidne imovine koja je unovčiva npr. u roku četiri dana. </w:t>
      </w:r>
      <w:r>
        <w:rPr>
          <w:sz w:val="24"/>
          <w:szCs w:val="24"/>
        </w:rPr>
        <w:t xml:space="preserve">Poželjno je da je taj pokazatelj što veći, a minimalno da pokriva visinu tri do šest iznosa mjesečnih izdataka, ali u godinama recesije i znatno više kako bi kućanstvo raspolagalo fondom tzv. štednje za crne dane. </w:t>
      </w:r>
    </w:p>
    <w:p w:rsidR="005864F4" w:rsidRPr="005864F4" w:rsidRDefault="005853AA" w:rsidP="0030187D">
      <w:pPr>
        <w:tabs>
          <w:tab w:val="left" w:pos="1300"/>
        </w:tabs>
        <w:spacing w:before="240"/>
        <w:jc w:val="both"/>
        <w:rPr>
          <w:rFonts w:cs="TimesNewRoman"/>
          <w:sz w:val="24"/>
          <w:szCs w:val="24"/>
        </w:rPr>
      </w:pPr>
      <w:r>
        <w:rPr>
          <w:rFonts w:cs="TimesNewRoman"/>
          <w:sz w:val="24"/>
          <w:szCs w:val="24"/>
        </w:rPr>
        <w:t xml:space="preserve">Kao što </w:t>
      </w:r>
      <w:r w:rsidR="005864F4" w:rsidRPr="005864F4">
        <w:rPr>
          <w:rFonts w:cs="TimesNewRoman"/>
          <w:sz w:val="24"/>
          <w:szCs w:val="24"/>
        </w:rPr>
        <w:t xml:space="preserve">postoje brojni oblici imovine koji vlasnicima donose prihode (dohodak), postoje i oblici imovine uz koje se veže samo postojanje rashoda, na primjer rashodi za tekuće održavanje apartmana na moru </w:t>
      </w:r>
      <w:r>
        <w:rPr>
          <w:rFonts w:cs="TimesNewRoman"/>
          <w:sz w:val="24"/>
          <w:szCs w:val="24"/>
        </w:rPr>
        <w:t>(</w:t>
      </w:r>
      <w:r w:rsidR="005864F4" w:rsidRPr="005864F4">
        <w:rPr>
          <w:rFonts w:cs="TimesNewRoman"/>
          <w:sz w:val="24"/>
          <w:szCs w:val="24"/>
        </w:rPr>
        <w:t>koji nije iznajmljen</w:t>
      </w:r>
      <w:r>
        <w:rPr>
          <w:rFonts w:cs="TimesNewRoman"/>
          <w:sz w:val="24"/>
          <w:szCs w:val="24"/>
        </w:rPr>
        <w:t xml:space="preserve"> niti jedan dan u godini a koristi se samo tri tjedna tijekom ljeta)</w:t>
      </w:r>
      <w:r w:rsidR="005864F4" w:rsidRPr="005864F4">
        <w:rPr>
          <w:rFonts w:cs="TimesNewRoman"/>
          <w:sz w:val="24"/>
          <w:szCs w:val="24"/>
        </w:rPr>
        <w:t>, troškovi brokerske provizije pri kupnji i prodaji dionica itd. Rashode koji se javljaju kao rezultat strukture osobne bilance predstavljaju na primjer kamate na stambeni kredit, kamate na kredit za kupovinu automobila, negativne tečajne razlike itd. Da bi utvrdili uspješno</w:t>
      </w:r>
      <w:r w:rsidR="008764B5">
        <w:rPr>
          <w:rFonts w:cs="TimesNewRoman"/>
          <w:sz w:val="24"/>
          <w:szCs w:val="24"/>
        </w:rPr>
        <w:t>st</w:t>
      </w:r>
      <w:r w:rsidR="005864F4" w:rsidRPr="005864F4">
        <w:rPr>
          <w:rFonts w:cs="TimesNewRoman"/>
          <w:sz w:val="24"/>
          <w:szCs w:val="24"/>
        </w:rPr>
        <w:t xml:space="preserve"> upravlja</w:t>
      </w:r>
      <w:r w:rsidR="008764B5">
        <w:rPr>
          <w:rFonts w:cs="TimesNewRoman"/>
          <w:sz w:val="24"/>
          <w:szCs w:val="24"/>
        </w:rPr>
        <w:t>nja</w:t>
      </w:r>
      <w:r w:rsidR="005864F4" w:rsidRPr="005864F4">
        <w:rPr>
          <w:rFonts w:cs="TimesNewRoman"/>
          <w:sz w:val="24"/>
          <w:szCs w:val="24"/>
        </w:rPr>
        <w:t xml:space="preserve"> vlastitom imovinom i obvezama, odnosno utvrdili prihode i rashode koji su s njima povezani, potrebno je sastaviti račun financijske u</w:t>
      </w:r>
      <w:r w:rsidR="008404CA">
        <w:rPr>
          <w:rFonts w:cs="TimesNewRoman"/>
          <w:sz w:val="24"/>
          <w:szCs w:val="24"/>
        </w:rPr>
        <w:t>spješnosti (drugi temeljni financijski izvještaj kućanstva</w:t>
      </w:r>
      <w:r w:rsidR="004C7737">
        <w:rPr>
          <w:rFonts w:cs="TimesNewRoman"/>
          <w:sz w:val="24"/>
          <w:szCs w:val="24"/>
        </w:rPr>
        <w:t>, koji po svojim obilježjima nalikuje na račun dobiti i gubitka poduzeća</w:t>
      </w:r>
      <w:r w:rsidR="008404CA">
        <w:rPr>
          <w:rFonts w:cs="TimesNewRoman"/>
          <w:sz w:val="24"/>
          <w:szCs w:val="24"/>
        </w:rPr>
        <w:t>)</w:t>
      </w:r>
      <w:r w:rsidR="004C7737">
        <w:rPr>
          <w:rFonts w:cs="TimesNewRoman"/>
          <w:sz w:val="24"/>
          <w:szCs w:val="24"/>
        </w:rPr>
        <w:t>.</w:t>
      </w:r>
    </w:p>
    <w:p w:rsidR="00A24FB8" w:rsidRDefault="005864F4" w:rsidP="005864F4">
      <w:pPr>
        <w:tabs>
          <w:tab w:val="left" w:pos="1300"/>
        </w:tabs>
        <w:jc w:val="both"/>
        <w:rPr>
          <w:rFonts w:cs="TimesNewRoman"/>
          <w:sz w:val="24"/>
          <w:szCs w:val="24"/>
        </w:rPr>
      </w:pPr>
      <w:r w:rsidRPr="00880362">
        <w:rPr>
          <w:rFonts w:cs="TimesNewRoman"/>
          <w:color w:val="C00000"/>
          <w:sz w:val="24"/>
          <w:szCs w:val="24"/>
        </w:rPr>
        <w:t xml:space="preserve">Račun financijske uspješnosti </w:t>
      </w:r>
      <w:r w:rsidRPr="005864F4">
        <w:rPr>
          <w:rFonts w:cs="TimesNewRoman"/>
          <w:sz w:val="24"/>
          <w:szCs w:val="24"/>
        </w:rPr>
        <w:t xml:space="preserve">predstavlja prikaz prihoda i rashoda kućanstva tijekom određenog </w:t>
      </w:r>
      <w:r w:rsidR="008404CA">
        <w:rPr>
          <w:rFonts w:cs="TimesNewRoman"/>
          <w:sz w:val="24"/>
          <w:szCs w:val="24"/>
        </w:rPr>
        <w:t>(</w:t>
      </w:r>
      <w:r w:rsidR="00A24FB8">
        <w:rPr>
          <w:rFonts w:cs="TimesNewRoman"/>
          <w:sz w:val="24"/>
          <w:szCs w:val="24"/>
        </w:rPr>
        <w:t>završenog</w:t>
      </w:r>
      <w:r w:rsidR="00A40BE5">
        <w:rPr>
          <w:rFonts w:cs="TimesNewRoman"/>
          <w:sz w:val="24"/>
          <w:szCs w:val="24"/>
        </w:rPr>
        <w:t xml:space="preserve"> i</w:t>
      </w:r>
      <w:r w:rsidR="00A24FB8">
        <w:rPr>
          <w:rFonts w:cs="TimesNewRoman"/>
          <w:sz w:val="24"/>
          <w:szCs w:val="24"/>
        </w:rPr>
        <w:t xml:space="preserve"> </w:t>
      </w:r>
      <w:r w:rsidR="008404CA">
        <w:rPr>
          <w:rFonts w:cs="TimesNewRoman"/>
          <w:sz w:val="24"/>
          <w:szCs w:val="24"/>
        </w:rPr>
        <w:t xml:space="preserve">prošlog) </w:t>
      </w:r>
      <w:r w:rsidRPr="005864F4">
        <w:rPr>
          <w:rFonts w:cs="TimesNewRoman"/>
          <w:sz w:val="24"/>
          <w:szCs w:val="24"/>
        </w:rPr>
        <w:t>vremenskog razdoblja, na primjer jedne kalendarske godine. Prihodi se javljaju kao posljedica povećanja imovine ili smanjenja obveza, i to onog djela koji utječe na povećanje kapitala. Rashodi su posljedica smanjenja (trošenja) imovine i povećanja obveza, a u bilanci kućanstva proizvode učinke na smanjenje vlastitog kapitala.</w:t>
      </w:r>
      <w:r w:rsidR="00EB0F6D">
        <w:rPr>
          <w:rFonts w:cs="TimesNewRoman"/>
          <w:sz w:val="24"/>
          <w:szCs w:val="24"/>
        </w:rPr>
        <w:t xml:space="preserve"> To znači da između bilance i računa financijske uspješnosti postoji značajna povezanost.</w:t>
      </w:r>
    </w:p>
    <w:p w:rsidR="005864F4" w:rsidRDefault="008404CA" w:rsidP="005864F4">
      <w:pPr>
        <w:tabs>
          <w:tab w:val="left" w:pos="1300"/>
        </w:tabs>
        <w:jc w:val="both"/>
        <w:rPr>
          <w:rFonts w:cs="TimesNewRoman"/>
          <w:sz w:val="24"/>
          <w:szCs w:val="24"/>
        </w:rPr>
      </w:pPr>
      <w:r>
        <w:rPr>
          <w:rFonts w:cs="TimesNewRoman"/>
          <w:sz w:val="24"/>
          <w:szCs w:val="24"/>
        </w:rPr>
        <w:lastRenderedPageBreak/>
        <w:t xml:space="preserve">Opisno po svojim sastavnicama </w:t>
      </w:r>
      <w:r w:rsidR="00EB0F6D">
        <w:rPr>
          <w:rFonts w:cs="TimesNewRoman"/>
          <w:sz w:val="24"/>
          <w:szCs w:val="24"/>
        </w:rPr>
        <w:t xml:space="preserve">račun financijske uspješnosti </w:t>
      </w:r>
      <w:r>
        <w:rPr>
          <w:rFonts w:cs="TimesNewRoman"/>
          <w:sz w:val="24"/>
          <w:szCs w:val="24"/>
        </w:rPr>
        <w:t>nalikuje na budžet kućanstva. No osnovna jer razlika u tome što se budžet (financijski plan) odnosi na planiranje financija kućanstva</w:t>
      </w:r>
      <w:r w:rsidR="00A24FB8">
        <w:rPr>
          <w:rFonts w:cs="TimesNewRoman"/>
          <w:sz w:val="24"/>
          <w:szCs w:val="24"/>
        </w:rPr>
        <w:t xml:space="preserve"> u narednom razdoblju </w:t>
      </w:r>
      <w:r w:rsidR="00EB0F6D">
        <w:rPr>
          <w:rFonts w:cs="TimesNewRoman"/>
          <w:sz w:val="24"/>
          <w:szCs w:val="24"/>
        </w:rPr>
        <w:t>te potom njegovo</w:t>
      </w:r>
      <w:r w:rsidR="00A24FB8">
        <w:rPr>
          <w:rFonts w:cs="TimesNewRoman"/>
          <w:sz w:val="24"/>
          <w:szCs w:val="24"/>
        </w:rPr>
        <w:t xml:space="preserve"> izvršavanje u tekućem razdoblju</w:t>
      </w:r>
      <w:r>
        <w:rPr>
          <w:rFonts w:cs="TimesNewRoman"/>
          <w:sz w:val="24"/>
          <w:szCs w:val="24"/>
        </w:rPr>
        <w:t xml:space="preserve">. U trenutku sastavljanja </w:t>
      </w:r>
      <w:r w:rsidR="00EB0F6D">
        <w:rPr>
          <w:rFonts w:cs="TimesNewRoman"/>
          <w:sz w:val="24"/>
          <w:szCs w:val="24"/>
        </w:rPr>
        <w:t xml:space="preserve">budžet </w:t>
      </w:r>
      <w:r>
        <w:rPr>
          <w:rFonts w:cs="TimesNewRoman"/>
          <w:sz w:val="24"/>
          <w:szCs w:val="24"/>
        </w:rPr>
        <w:t>je orijentiran na budućnost odnosno plan financijskih aktivnosti koje treba izvršavati</w:t>
      </w:r>
      <w:r w:rsidR="00EB0F6D">
        <w:rPr>
          <w:rFonts w:cs="TimesNewRoman"/>
          <w:sz w:val="24"/>
          <w:szCs w:val="24"/>
        </w:rPr>
        <w:t xml:space="preserve"> u narednom</w:t>
      </w:r>
      <w:r>
        <w:rPr>
          <w:rFonts w:cs="TimesNewRoman"/>
          <w:sz w:val="24"/>
          <w:szCs w:val="24"/>
        </w:rPr>
        <w:t xml:space="preserve"> razdoblj</w:t>
      </w:r>
      <w:r w:rsidR="00EB0F6D">
        <w:rPr>
          <w:rFonts w:cs="TimesNewRoman"/>
          <w:sz w:val="24"/>
          <w:szCs w:val="24"/>
        </w:rPr>
        <w:t>u</w:t>
      </w:r>
      <w:r>
        <w:rPr>
          <w:rFonts w:cs="TimesNewRoman"/>
          <w:sz w:val="24"/>
          <w:szCs w:val="24"/>
        </w:rPr>
        <w:t>. S druge strane račun financijske uspješnosti se odnosi na završeno prethodno vremensko razdoblje</w:t>
      </w:r>
      <w:r w:rsidR="00A24FB8">
        <w:rPr>
          <w:rFonts w:cs="TimesNewRoman"/>
          <w:sz w:val="24"/>
          <w:szCs w:val="24"/>
        </w:rPr>
        <w:t xml:space="preserve"> i uobičajeno se sastavlja na kraju godine</w:t>
      </w:r>
      <w:r w:rsidR="00EB0F6D">
        <w:rPr>
          <w:rFonts w:cs="TimesNewRoman"/>
          <w:sz w:val="24"/>
          <w:szCs w:val="24"/>
        </w:rPr>
        <w:t>,</w:t>
      </w:r>
      <w:r w:rsidR="00A24FB8">
        <w:rPr>
          <w:rFonts w:cs="TimesNewRoman"/>
          <w:sz w:val="24"/>
          <w:szCs w:val="24"/>
        </w:rPr>
        <w:t xml:space="preserve"> </w:t>
      </w:r>
      <w:r w:rsidR="00EB0F6D">
        <w:rPr>
          <w:rFonts w:cs="TimesNewRoman"/>
          <w:sz w:val="24"/>
          <w:szCs w:val="24"/>
        </w:rPr>
        <w:t>iako je moguće i na kraju mjeseca ili polugodišta - radi praćenja ostvarenja te sposobnosti racionalnog definiranja ciljeva</w:t>
      </w:r>
      <w:r w:rsidR="00A24FB8">
        <w:rPr>
          <w:rFonts w:cs="TimesNewRoman"/>
          <w:sz w:val="24"/>
          <w:szCs w:val="24"/>
        </w:rPr>
        <w:t xml:space="preserve">. </w:t>
      </w:r>
    </w:p>
    <w:p w:rsidR="00EE2723" w:rsidRPr="005864F4" w:rsidRDefault="00EE2723" w:rsidP="00EB0F6D">
      <w:pPr>
        <w:tabs>
          <w:tab w:val="left" w:pos="1300"/>
        </w:tabs>
        <w:jc w:val="both"/>
        <w:rPr>
          <w:rFonts w:cs="TimesNewRoman"/>
          <w:sz w:val="24"/>
          <w:szCs w:val="24"/>
        </w:rPr>
      </w:pPr>
      <w:r w:rsidRPr="00ED3AC5">
        <w:rPr>
          <w:rFonts w:cs="TimesNewRoman"/>
          <w:sz w:val="24"/>
          <w:szCs w:val="24"/>
        </w:rPr>
        <w:t>Prihodi i rashodi kućanstva iskazuju se prema</w:t>
      </w:r>
      <w:r w:rsidRPr="00ED3AC5">
        <w:rPr>
          <w:rFonts w:cs="TimesNewRoman"/>
          <w:b/>
          <w:sz w:val="24"/>
          <w:szCs w:val="24"/>
        </w:rPr>
        <w:t xml:space="preserve"> </w:t>
      </w:r>
      <w:r w:rsidRPr="00880362">
        <w:rPr>
          <w:rFonts w:cs="TimesNewRoman"/>
          <w:color w:val="C00000"/>
          <w:sz w:val="24"/>
          <w:szCs w:val="24"/>
        </w:rPr>
        <w:t xml:space="preserve">načelu blagajne </w:t>
      </w:r>
      <w:r w:rsidR="00A24FB8">
        <w:rPr>
          <w:rFonts w:cs="TimesNewRoman"/>
          <w:sz w:val="24"/>
          <w:szCs w:val="24"/>
        </w:rPr>
        <w:t>–</w:t>
      </w:r>
      <w:r>
        <w:rPr>
          <w:rFonts w:cs="TimesNewRoman"/>
          <w:color w:val="C00000"/>
          <w:sz w:val="24"/>
          <w:szCs w:val="24"/>
        </w:rPr>
        <w:t xml:space="preserve"> </w:t>
      </w:r>
      <w:r w:rsidRPr="005864F4">
        <w:rPr>
          <w:rFonts w:cs="TimesNewRoman"/>
          <w:sz w:val="24"/>
          <w:szCs w:val="24"/>
        </w:rPr>
        <w:t>evidentira</w:t>
      </w:r>
      <w:r w:rsidR="00A24FB8">
        <w:rPr>
          <w:rFonts w:cs="TimesNewRoman"/>
          <w:sz w:val="24"/>
          <w:szCs w:val="24"/>
        </w:rPr>
        <w:t>ni su onda</w:t>
      </w:r>
      <w:r w:rsidRPr="005864F4">
        <w:rPr>
          <w:rFonts w:cs="TimesNewRoman"/>
          <w:sz w:val="24"/>
          <w:szCs w:val="24"/>
        </w:rPr>
        <w:t xml:space="preserve"> kada je novac stvarno primljen ili isplaćen</w:t>
      </w:r>
      <w:r>
        <w:rPr>
          <w:rFonts w:cs="TimesNewRoman"/>
          <w:sz w:val="24"/>
          <w:szCs w:val="24"/>
        </w:rPr>
        <w:t xml:space="preserve">. </w:t>
      </w:r>
      <w:r w:rsidRPr="005864F4">
        <w:rPr>
          <w:rFonts w:cs="TimesNewRoman"/>
          <w:sz w:val="24"/>
          <w:szCs w:val="24"/>
        </w:rPr>
        <w:t xml:space="preserve">Navedeno podrazumijeva bitnu razliku između načela iskazivanja prihoda i rashoda kućanstva, od načela iskazivanja prihoda i rashoda poduzeća. U slučaju poduzeća prihodi i rashodi se </w:t>
      </w:r>
      <w:r>
        <w:rPr>
          <w:rFonts w:cs="TimesNewRoman"/>
          <w:sz w:val="24"/>
          <w:szCs w:val="24"/>
        </w:rPr>
        <w:t xml:space="preserve">obično </w:t>
      </w:r>
      <w:r w:rsidRPr="005864F4">
        <w:rPr>
          <w:rFonts w:cs="TimesNewRoman"/>
          <w:sz w:val="24"/>
          <w:szCs w:val="24"/>
        </w:rPr>
        <w:t xml:space="preserve">utvrđuju prema načelu nastanka događaja (kada je roba prodana ili usluga izvršena, a ne kada je novac </w:t>
      </w:r>
      <w:r w:rsidR="00EB0F6D">
        <w:rPr>
          <w:rFonts w:cs="TimesNewRoman"/>
          <w:sz w:val="24"/>
          <w:szCs w:val="24"/>
        </w:rPr>
        <w:t>stvarno primljen ili isplaćen). Pri tome dok je cilj poduzeća maksimalizacija profita odnosno dobiti za svoje vlasnike, cilj kućanstva je maksimalizacija štednje kao dokaz učinkovitog upravljanja.</w:t>
      </w:r>
    </w:p>
    <w:p w:rsidR="005864F4" w:rsidRPr="00EB0F6D" w:rsidRDefault="0021257B" w:rsidP="00EB0F6D">
      <w:pPr>
        <w:pStyle w:val="Tekstfusnote"/>
        <w:spacing w:after="200" w:line="276" w:lineRule="auto"/>
        <w:jc w:val="both"/>
        <w:rPr>
          <w:rFonts w:asciiTheme="minorHAnsi" w:eastAsiaTheme="minorHAnsi" w:hAnsiTheme="minorHAnsi" w:cs="TimesNewRoman"/>
          <w:sz w:val="24"/>
          <w:szCs w:val="24"/>
          <w:lang w:eastAsia="en-US"/>
        </w:rPr>
      </w:pPr>
      <w:r w:rsidRPr="00EB0F6D">
        <w:rPr>
          <w:rFonts w:asciiTheme="minorHAnsi" w:eastAsiaTheme="minorHAnsi" w:hAnsiTheme="minorHAnsi" w:cs="TimesNewRoman"/>
          <w:sz w:val="24"/>
          <w:szCs w:val="24"/>
          <w:lang w:eastAsia="en-US"/>
        </w:rPr>
        <w:t xml:space="preserve">S obzirom da </w:t>
      </w:r>
      <w:r w:rsidR="005864F4" w:rsidRPr="00EB0F6D">
        <w:rPr>
          <w:rFonts w:asciiTheme="minorHAnsi" w:eastAsiaTheme="minorHAnsi" w:hAnsiTheme="minorHAnsi" w:cs="TimesNewRoman"/>
          <w:sz w:val="24"/>
          <w:szCs w:val="24"/>
          <w:lang w:eastAsia="en-US"/>
        </w:rPr>
        <w:t>su prihodi u računu financijske uspješnosti kućanstva uobičajeno umanjeni za porezne obveze (iskazuju se u neto obliku</w:t>
      </w:r>
      <w:r w:rsidR="006B0E1F" w:rsidRPr="00EB0F6D">
        <w:rPr>
          <w:rFonts w:asciiTheme="minorHAnsi" w:eastAsiaTheme="minorHAnsi" w:hAnsiTheme="minorHAnsi" w:cs="TimesNewRoman"/>
          <w:sz w:val="24"/>
          <w:szCs w:val="24"/>
          <w:lang w:eastAsia="en-US"/>
        </w:rPr>
        <w:t>)</w:t>
      </w:r>
      <w:r w:rsidR="005864F4" w:rsidRPr="00EB0F6D">
        <w:rPr>
          <w:rFonts w:asciiTheme="minorHAnsi" w:eastAsiaTheme="minorHAnsi" w:hAnsiTheme="minorHAnsi" w:cs="TimesNewRoman"/>
          <w:sz w:val="24"/>
          <w:szCs w:val="24"/>
          <w:lang w:eastAsia="en-US"/>
        </w:rPr>
        <w:t>, razlika između prihoda i rashoda kućanstva predstavlja neto veličinu i nje predmet dodatnog oporezivanja.</w:t>
      </w:r>
      <w:r w:rsidR="005864F4" w:rsidRPr="00EB0F6D">
        <w:rPr>
          <w:rFonts w:eastAsiaTheme="minorHAnsi"/>
          <w:vertAlign w:val="superscript"/>
          <w:lang w:eastAsia="en-US"/>
        </w:rPr>
        <w:footnoteReference w:id="47"/>
      </w:r>
      <w:r w:rsidR="006B0E1F" w:rsidRPr="00EB0F6D">
        <w:rPr>
          <w:rFonts w:asciiTheme="minorHAnsi" w:eastAsiaTheme="minorHAnsi" w:hAnsiTheme="minorHAnsi" w:cs="TimesNewRoman"/>
          <w:sz w:val="24"/>
          <w:szCs w:val="24"/>
          <w:lang w:eastAsia="en-US"/>
        </w:rPr>
        <w:t xml:space="preserve"> Izuzetak postoji u slučaju kada postoje neki dodatni oblici izdataka vezani uz naknadno podmirenje poreznih obveza.</w:t>
      </w:r>
    </w:p>
    <w:p w:rsidR="00B20BF7" w:rsidRPr="00B20BF7" w:rsidRDefault="00B20BF7" w:rsidP="00C23E48">
      <w:pPr>
        <w:tabs>
          <w:tab w:val="left" w:pos="1300"/>
        </w:tabs>
        <w:spacing w:before="240"/>
        <w:jc w:val="both"/>
        <w:rPr>
          <w:rFonts w:cs="TimesNewRoman"/>
          <w:b/>
          <w:sz w:val="24"/>
          <w:szCs w:val="24"/>
        </w:rPr>
      </w:pPr>
      <w:r w:rsidRPr="00B20BF7">
        <w:rPr>
          <w:rFonts w:cs="TimesNewRoman"/>
          <w:b/>
          <w:sz w:val="24"/>
          <w:szCs w:val="24"/>
        </w:rPr>
        <w:t>Tablica 12: Stanje računa financijske uspješnosti za dva kućanstva</w:t>
      </w:r>
    </w:p>
    <w:tbl>
      <w:tblPr>
        <w:tblStyle w:val="Reetkatablice"/>
        <w:tblW w:w="0" w:type="auto"/>
        <w:tblInd w:w="108" w:type="dxa"/>
        <w:tblLook w:val="01E0" w:firstRow="1" w:lastRow="1" w:firstColumn="1" w:lastColumn="1" w:noHBand="0" w:noVBand="0"/>
      </w:tblPr>
      <w:tblGrid>
        <w:gridCol w:w="2906"/>
        <w:gridCol w:w="1391"/>
        <w:gridCol w:w="391"/>
        <w:gridCol w:w="2907"/>
        <w:gridCol w:w="1585"/>
      </w:tblGrid>
      <w:tr w:rsidR="005864F4" w:rsidRPr="005864F4" w:rsidTr="006E6D1F">
        <w:tc>
          <w:tcPr>
            <w:tcW w:w="4297" w:type="dxa"/>
            <w:gridSpan w:val="2"/>
            <w:tcBorders>
              <w:right w:val="single" w:sz="4" w:space="0" w:color="auto"/>
            </w:tcBorders>
            <w:shd w:val="clear" w:color="auto" w:fill="4F81BD" w:themeFill="accent1"/>
          </w:tcPr>
          <w:p w:rsidR="005864F4" w:rsidRPr="006E6D1F" w:rsidRDefault="006E6D1F" w:rsidP="006E6D1F">
            <w:pPr>
              <w:tabs>
                <w:tab w:val="left" w:pos="1300"/>
              </w:tabs>
              <w:spacing w:before="120" w:after="120"/>
              <w:jc w:val="center"/>
              <w:rPr>
                <w:rFonts w:asciiTheme="minorHAnsi" w:hAnsiTheme="minorHAnsi" w:cs="TimesNewRoman"/>
                <w:b/>
                <w:color w:val="FFFFFF" w:themeColor="background1"/>
                <w:sz w:val="22"/>
                <w:szCs w:val="22"/>
              </w:rPr>
            </w:pPr>
            <w:r w:rsidRPr="006E6D1F">
              <w:rPr>
                <w:rFonts w:asciiTheme="minorHAnsi" w:hAnsiTheme="minorHAnsi" w:cs="TimesNewRoman"/>
                <w:b/>
                <w:color w:val="FFFFFF" w:themeColor="background1"/>
                <w:sz w:val="22"/>
                <w:szCs w:val="22"/>
              </w:rPr>
              <w:t>PRIMJER 1.</w:t>
            </w:r>
          </w:p>
        </w:tc>
        <w:tc>
          <w:tcPr>
            <w:tcW w:w="391" w:type="dxa"/>
            <w:tcBorders>
              <w:top w:val="nil"/>
              <w:left w:val="single" w:sz="4" w:space="0" w:color="auto"/>
              <w:bottom w:val="nil"/>
              <w:right w:val="single" w:sz="4" w:space="0" w:color="auto"/>
            </w:tcBorders>
            <w:shd w:val="clear" w:color="auto" w:fill="FFFFFF" w:themeFill="background1"/>
          </w:tcPr>
          <w:p w:rsidR="005864F4" w:rsidRPr="006E6D1F" w:rsidRDefault="005864F4" w:rsidP="006E6D1F">
            <w:pPr>
              <w:tabs>
                <w:tab w:val="left" w:pos="1300"/>
              </w:tabs>
              <w:spacing w:before="120" w:after="120"/>
              <w:jc w:val="center"/>
              <w:rPr>
                <w:rFonts w:asciiTheme="minorHAnsi" w:hAnsiTheme="minorHAnsi" w:cs="TimesNewRoman"/>
                <w:b/>
                <w:color w:val="FFFFFF" w:themeColor="background1"/>
                <w:sz w:val="22"/>
                <w:szCs w:val="22"/>
              </w:rPr>
            </w:pPr>
          </w:p>
        </w:tc>
        <w:tc>
          <w:tcPr>
            <w:tcW w:w="4492" w:type="dxa"/>
            <w:gridSpan w:val="2"/>
            <w:tcBorders>
              <w:left w:val="single" w:sz="4" w:space="0" w:color="auto"/>
            </w:tcBorders>
            <w:shd w:val="clear" w:color="auto" w:fill="4F81BD" w:themeFill="accent1"/>
          </w:tcPr>
          <w:p w:rsidR="005864F4" w:rsidRPr="006E6D1F" w:rsidRDefault="006E6D1F" w:rsidP="006E6D1F">
            <w:pPr>
              <w:tabs>
                <w:tab w:val="left" w:pos="1300"/>
              </w:tabs>
              <w:spacing w:before="120" w:after="120"/>
              <w:jc w:val="center"/>
              <w:rPr>
                <w:rFonts w:asciiTheme="minorHAnsi" w:hAnsiTheme="minorHAnsi" w:cs="TimesNewRoman"/>
                <w:b/>
                <w:color w:val="FFFFFF" w:themeColor="background1"/>
                <w:sz w:val="22"/>
                <w:szCs w:val="22"/>
              </w:rPr>
            </w:pPr>
            <w:r w:rsidRPr="006E6D1F">
              <w:rPr>
                <w:rFonts w:asciiTheme="minorHAnsi" w:hAnsiTheme="minorHAnsi" w:cs="TimesNewRoman"/>
                <w:b/>
                <w:color w:val="FFFFFF" w:themeColor="background1"/>
                <w:sz w:val="22"/>
                <w:szCs w:val="22"/>
              </w:rPr>
              <w:t>PRIMJER 2.</w:t>
            </w:r>
          </w:p>
        </w:tc>
      </w:tr>
      <w:tr w:rsidR="005864F4" w:rsidRPr="005864F4" w:rsidTr="006E6D1F">
        <w:tc>
          <w:tcPr>
            <w:tcW w:w="4297" w:type="dxa"/>
            <w:gridSpan w:val="2"/>
            <w:tcBorders>
              <w:righ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p>
        </w:tc>
        <w:tc>
          <w:tcPr>
            <w:tcW w:w="391" w:type="dxa"/>
            <w:tcBorders>
              <w:top w:val="nil"/>
              <w:left w:val="single" w:sz="4" w:space="0" w:color="auto"/>
              <w:bottom w:val="nil"/>
              <w:right w:val="single" w:sz="4" w:space="0" w:color="auto"/>
            </w:tcBorders>
            <w:shd w:val="clear" w:color="auto" w:fill="FFFFFF" w:themeFill="background1"/>
          </w:tcPr>
          <w:p w:rsidR="005864F4" w:rsidRPr="00F95669" w:rsidRDefault="005864F4" w:rsidP="00880362">
            <w:pPr>
              <w:tabs>
                <w:tab w:val="left" w:pos="1300"/>
              </w:tabs>
              <w:jc w:val="both"/>
              <w:rPr>
                <w:rFonts w:asciiTheme="minorHAnsi" w:hAnsiTheme="minorHAnsi" w:cs="TimesNewRoman"/>
                <w:sz w:val="22"/>
                <w:szCs w:val="22"/>
              </w:rPr>
            </w:pPr>
          </w:p>
        </w:tc>
        <w:tc>
          <w:tcPr>
            <w:tcW w:w="4492" w:type="dxa"/>
            <w:gridSpan w:val="2"/>
            <w:tcBorders>
              <w:lef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p>
        </w:tc>
      </w:tr>
      <w:tr w:rsidR="005864F4" w:rsidRPr="005864F4" w:rsidTr="006E6D1F">
        <w:tc>
          <w:tcPr>
            <w:tcW w:w="2906" w:type="dxa"/>
            <w:shd w:val="clear" w:color="auto" w:fill="F2F2F2" w:themeFill="background1" w:themeFillShade="F2"/>
          </w:tcPr>
          <w:p w:rsidR="005864F4" w:rsidRPr="00F95669" w:rsidRDefault="005864F4" w:rsidP="00880362">
            <w:pPr>
              <w:tabs>
                <w:tab w:val="left" w:pos="1300"/>
                <w:tab w:val="left" w:pos="3225"/>
              </w:tabs>
              <w:jc w:val="both"/>
              <w:rPr>
                <w:rFonts w:asciiTheme="minorHAnsi" w:hAnsiTheme="minorHAnsi" w:cs="TimesNewRoman"/>
                <w:sz w:val="22"/>
                <w:szCs w:val="22"/>
              </w:rPr>
            </w:pPr>
            <w:r w:rsidRPr="00F95669">
              <w:rPr>
                <w:rFonts w:asciiTheme="minorHAnsi" w:hAnsiTheme="minorHAnsi" w:cs="TimesNewRoman"/>
                <w:sz w:val="22"/>
                <w:szCs w:val="22"/>
              </w:rPr>
              <w:t>Prihodi razdoblja</w:t>
            </w:r>
          </w:p>
        </w:tc>
        <w:tc>
          <w:tcPr>
            <w:tcW w:w="1391" w:type="dxa"/>
            <w:tcBorders>
              <w:righ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100.000,00</w:t>
            </w:r>
          </w:p>
        </w:tc>
        <w:tc>
          <w:tcPr>
            <w:tcW w:w="391" w:type="dxa"/>
            <w:tcBorders>
              <w:top w:val="nil"/>
              <w:left w:val="single" w:sz="4" w:space="0" w:color="auto"/>
              <w:bottom w:val="nil"/>
              <w:right w:val="single" w:sz="4" w:space="0" w:color="auto"/>
            </w:tcBorders>
            <w:shd w:val="clear" w:color="auto" w:fill="FFFFFF" w:themeFill="background1"/>
          </w:tcPr>
          <w:p w:rsidR="005864F4" w:rsidRPr="00F95669" w:rsidRDefault="005864F4" w:rsidP="00880362">
            <w:pPr>
              <w:tabs>
                <w:tab w:val="left" w:pos="1300"/>
              </w:tabs>
              <w:jc w:val="both"/>
              <w:rPr>
                <w:rFonts w:asciiTheme="minorHAnsi" w:hAnsiTheme="minorHAnsi" w:cs="TimesNewRoman"/>
                <w:sz w:val="22"/>
                <w:szCs w:val="22"/>
              </w:rPr>
            </w:pPr>
          </w:p>
        </w:tc>
        <w:tc>
          <w:tcPr>
            <w:tcW w:w="2907" w:type="dxa"/>
            <w:tcBorders>
              <w:left w:val="single" w:sz="4" w:space="0" w:color="auto"/>
            </w:tcBorders>
            <w:shd w:val="clear" w:color="auto" w:fill="F2F2F2" w:themeFill="background1" w:themeFillShade="F2"/>
          </w:tcPr>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xml:space="preserve">Prihodi razdoblja </w:t>
            </w:r>
          </w:p>
        </w:tc>
        <w:tc>
          <w:tcPr>
            <w:tcW w:w="1585" w:type="dxa"/>
            <w:shd w:val="clear" w:color="auto" w:fill="F2F2F2" w:themeFill="background1" w:themeFillShade="F2"/>
          </w:tcPr>
          <w:p w:rsidR="005864F4" w:rsidRPr="00F95669" w:rsidRDefault="005864F4" w:rsidP="005864F4">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90.000,00</w:t>
            </w:r>
          </w:p>
        </w:tc>
      </w:tr>
      <w:tr w:rsidR="005864F4" w:rsidRPr="005864F4" w:rsidTr="006E6D1F">
        <w:tc>
          <w:tcPr>
            <w:tcW w:w="2906" w:type="dxa"/>
            <w:shd w:val="clear" w:color="auto" w:fill="F2F2F2" w:themeFill="background1" w:themeFillShade="F2"/>
          </w:tcPr>
          <w:p w:rsidR="005864F4" w:rsidRPr="00F95669" w:rsidRDefault="005864F4" w:rsidP="00880362">
            <w:pPr>
              <w:tabs>
                <w:tab w:val="left" w:pos="1300"/>
                <w:tab w:val="left" w:pos="3225"/>
              </w:tabs>
              <w:jc w:val="both"/>
              <w:rPr>
                <w:rFonts w:asciiTheme="minorHAnsi" w:hAnsiTheme="minorHAnsi" w:cs="TimesNewRoman"/>
                <w:sz w:val="22"/>
                <w:szCs w:val="22"/>
              </w:rPr>
            </w:pPr>
            <w:r w:rsidRPr="00F95669">
              <w:rPr>
                <w:rFonts w:asciiTheme="minorHAnsi" w:hAnsiTheme="minorHAnsi" w:cs="TimesNewRoman"/>
                <w:sz w:val="22"/>
                <w:szCs w:val="22"/>
              </w:rPr>
              <w:t xml:space="preserve">Rashodi razdoblja </w:t>
            </w:r>
          </w:p>
        </w:tc>
        <w:tc>
          <w:tcPr>
            <w:tcW w:w="1391" w:type="dxa"/>
            <w:tcBorders>
              <w:bottom w:val="single" w:sz="4" w:space="0" w:color="auto"/>
              <w:righ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 xml:space="preserve">   80.000,00</w:t>
            </w:r>
            <w:r w:rsidRPr="00F95669">
              <w:rPr>
                <w:rFonts w:asciiTheme="minorHAnsi" w:hAnsiTheme="minorHAnsi" w:cs="TimesNewRoman"/>
                <w:sz w:val="22"/>
                <w:szCs w:val="22"/>
              </w:rPr>
              <w:tab/>
            </w:r>
          </w:p>
          <w:p w:rsidR="005864F4" w:rsidRPr="00F95669" w:rsidRDefault="005864F4" w:rsidP="00880362">
            <w:pPr>
              <w:tabs>
                <w:tab w:val="left" w:pos="1300"/>
              </w:tabs>
              <w:jc w:val="right"/>
              <w:rPr>
                <w:rFonts w:asciiTheme="minorHAnsi" w:hAnsiTheme="minorHAnsi" w:cs="TimesNewRoman"/>
                <w:sz w:val="22"/>
                <w:szCs w:val="22"/>
              </w:rPr>
            </w:pPr>
          </w:p>
        </w:tc>
        <w:tc>
          <w:tcPr>
            <w:tcW w:w="391" w:type="dxa"/>
            <w:tcBorders>
              <w:top w:val="nil"/>
              <w:left w:val="single" w:sz="4" w:space="0" w:color="auto"/>
              <w:bottom w:val="nil"/>
              <w:right w:val="single" w:sz="4" w:space="0" w:color="auto"/>
            </w:tcBorders>
            <w:shd w:val="clear" w:color="auto" w:fill="FFFFFF" w:themeFill="background1"/>
          </w:tcPr>
          <w:p w:rsidR="005864F4" w:rsidRPr="00F95669" w:rsidRDefault="005864F4" w:rsidP="00880362">
            <w:pPr>
              <w:tabs>
                <w:tab w:val="left" w:pos="1300"/>
              </w:tabs>
              <w:jc w:val="both"/>
              <w:rPr>
                <w:rFonts w:asciiTheme="minorHAnsi" w:hAnsiTheme="minorHAnsi" w:cs="TimesNewRoman"/>
                <w:sz w:val="22"/>
                <w:szCs w:val="22"/>
              </w:rPr>
            </w:pPr>
          </w:p>
        </w:tc>
        <w:tc>
          <w:tcPr>
            <w:tcW w:w="2907" w:type="dxa"/>
            <w:tcBorders>
              <w:left w:val="single" w:sz="4" w:space="0" w:color="auto"/>
              <w:bottom w:val="single" w:sz="4" w:space="0" w:color="auto"/>
            </w:tcBorders>
            <w:shd w:val="clear" w:color="auto" w:fill="F2F2F2" w:themeFill="background1" w:themeFillShade="F2"/>
          </w:tcPr>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xml:space="preserve">Rashodi razdoblja </w:t>
            </w:r>
          </w:p>
        </w:tc>
        <w:tc>
          <w:tcPr>
            <w:tcW w:w="1585" w:type="dxa"/>
            <w:shd w:val="clear" w:color="auto" w:fill="F2F2F2" w:themeFill="background1" w:themeFillShade="F2"/>
          </w:tcPr>
          <w:p w:rsidR="005864F4" w:rsidRPr="00F95669" w:rsidRDefault="005864F4" w:rsidP="005864F4">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100.000,00</w:t>
            </w:r>
          </w:p>
        </w:tc>
      </w:tr>
      <w:tr w:rsidR="005864F4" w:rsidRPr="005864F4" w:rsidTr="006E6D1F">
        <w:tc>
          <w:tcPr>
            <w:tcW w:w="2906" w:type="dxa"/>
            <w:tcBorders>
              <w:bottom w:val="single" w:sz="4" w:space="0" w:color="auto"/>
            </w:tcBorders>
            <w:shd w:val="clear" w:color="auto" w:fill="F2F2F2" w:themeFill="background1" w:themeFillShade="F2"/>
          </w:tcPr>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Suficit prihoda nad</w:t>
            </w:r>
          </w:p>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xml:space="preserve">rashodima (neto štednja) </w:t>
            </w:r>
          </w:p>
          <w:p w:rsidR="005864F4" w:rsidRPr="00F95669" w:rsidRDefault="005864F4" w:rsidP="006200C9">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djeluje na porast vlastitog kapitala u bilanci kućanstva</w:t>
            </w:r>
          </w:p>
        </w:tc>
        <w:tc>
          <w:tcPr>
            <w:tcW w:w="1391" w:type="dxa"/>
            <w:tcBorders>
              <w:bottom w:val="single" w:sz="4" w:space="0" w:color="auto"/>
              <w:right w:val="single" w:sz="4" w:space="0" w:color="auto"/>
            </w:tcBorders>
            <w:shd w:val="clear" w:color="auto" w:fill="F2F2F2" w:themeFill="background1" w:themeFillShade="F2"/>
          </w:tcPr>
          <w:p w:rsidR="005864F4" w:rsidRPr="00F95669" w:rsidRDefault="005864F4" w:rsidP="00880362">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20.000,00</w:t>
            </w:r>
          </w:p>
        </w:tc>
        <w:tc>
          <w:tcPr>
            <w:tcW w:w="391" w:type="dxa"/>
            <w:tcBorders>
              <w:top w:val="nil"/>
              <w:left w:val="single" w:sz="4" w:space="0" w:color="auto"/>
              <w:bottom w:val="nil"/>
              <w:right w:val="single" w:sz="4" w:space="0" w:color="auto"/>
            </w:tcBorders>
            <w:shd w:val="clear" w:color="auto" w:fill="FFFFFF" w:themeFill="background1"/>
          </w:tcPr>
          <w:p w:rsidR="005864F4" w:rsidRPr="00F95669" w:rsidRDefault="005864F4" w:rsidP="00880362">
            <w:pPr>
              <w:tabs>
                <w:tab w:val="left" w:pos="1300"/>
              </w:tabs>
              <w:jc w:val="both"/>
              <w:rPr>
                <w:rFonts w:asciiTheme="minorHAnsi" w:hAnsiTheme="minorHAnsi" w:cs="TimesNewRoman"/>
                <w:sz w:val="22"/>
                <w:szCs w:val="22"/>
              </w:rPr>
            </w:pPr>
          </w:p>
        </w:tc>
        <w:tc>
          <w:tcPr>
            <w:tcW w:w="2907" w:type="dxa"/>
            <w:tcBorders>
              <w:left w:val="single" w:sz="4" w:space="0" w:color="auto"/>
              <w:bottom w:val="single" w:sz="4" w:space="0" w:color="auto"/>
            </w:tcBorders>
            <w:shd w:val="clear" w:color="auto" w:fill="F2F2F2" w:themeFill="background1" w:themeFillShade="F2"/>
          </w:tcPr>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Deficit prihoda nad</w:t>
            </w:r>
          </w:p>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rashodima (negativna neto</w:t>
            </w:r>
          </w:p>
          <w:p w:rsidR="005864F4" w:rsidRPr="00F95669" w:rsidRDefault="005864F4" w:rsidP="00880362">
            <w:pPr>
              <w:tabs>
                <w:tab w:val="left" w:pos="1300"/>
              </w:tabs>
              <w:jc w:val="both"/>
              <w:rPr>
                <w:rFonts w:asciiTheme="minorHAnsi" w:hAnsiTheme="minorHAnsi" w:cs="TimesNewRoman"/>
                <w:sz w:val="22"/>
                <w:szCs w:val="22"/>
              </w:rPr>
            </w:pPr>
            <w:r w:rsidRPr="00F95669">
              <w:rPr>
                <w:rFonts w:asciiTheme="minorHAnsi" w:hAnsiTheme="minorHAnsi" w:cs="TimesNewRoman"/>
                <w:sz w:val="22"/>
                <w:szCs w:val="22"/>
              </w:rPr>
              <w:t xml:space="preserve">štednja)  </w:t>
            </w:r>
          </w:p>
          <w:p w:rsidR="005864F4" w:rsidRPr="00F95669" w:rsidRDefault="005864F4" w:rsidP="00880362">
            <w:pPr>
              <w:tabs>
                <w:tab w:val="left" w:pos="1300"/>
              </w:tabs>
              <w:jc w:val="both"/>
              <w:rPr>
                <w:rFonts w:asciiTheme="minorHAnsi" w:hAnsiTheme="minorHAnsi" w:cs="TimesNewRoman"/>
                <w:sz w:val="22"/>
                <w:szCs w:val="22"/>
              </w:rPr>
            </w:pPr>
          </w:p>
        </w:tc>
        <w:tc>
          <w:tcPr>
            <w:tcW w:w="1585" w:type="dxa"/>
            <w:tcBorders>
              <w:bottom w:val="single" w:sz="4" w:space="0" w:color="auto"/>
            </w:tcBorders>
            <w:shd w:val="clear" w:color="auto" w:fill="F2F2F2" w:themeFill="background1" w:themeFillShade="F2"/>
          </w:tcPr>
          <w:p w:rsidR="005864F4" w:rsidRPr="00F95669" w:rsidRDefault="005864F4" w:rsidP="005864F4">
            <w:pPr>
              <w:tabs>
                <w:tab w:val="left" w:pos="1300"/>
              </w:tabs>
              <w:jc w:val="right"/>
              <w:rPr>
                <w:rFonts w:asciiTheme="minorHAnsi" w:hAnsiTheme="minorHAnsi" w:cs="TimesNewRoman"/>
                <w:sz w:val="22"/>
                <w:szCs w:val="22"/>
              </w:rPr>
            </w:pPr>
            <w:r w:rsidRPr="00F95669">
              <w:rPr>
                <w:rFonts w:asciiTheme="minorHAnsi" w:hAnsiTheme="minorHAnsi" w:cs="TimesNewRoman"/>
                <w:sz w:val="22"/>
                <w:szCs w:val="22"/>
              </w:rPr>
              <w:t>10.000,00</w:t>
            </w:r>
          </w:p>
        </w:tc>
      </w:tr>
    </w:tbl>
    <w:p w:rsidR="00A969A8" w:rsidRDefault="00A969A8" w:rsidP="00A969A8">
      <w:pPr>
        <w:tabs>
          <w:tab w:val="left" w:pos="1300"/>
        </w:tabs>
        <w:spacing w:before="240"/>
        <w:jc w:val="both"/>
        <w:rPr>
          <w:rFonts w:cs="TimesNewRoman"/>
          <w:sz w:val="24"/>
          <w:szCs w:val="24"/>
        </w:rPr>
      </w:pPr>
      <w:r w:rsidRPr="005864F4">
        <w:rPr>
          <w:rFonts w:cs="TimesNewRoman"/>
          <w:sz w:val="24"/>
          <w:szCs w:val="24"/>
        </w:rPr>
        <w:t xml:space="preserve">Pozitivna vrijednost razlike između ukupnih prihoda i ukupnih rashoda u računu financijske uspješnosti predstavlja </w:t>
      </w:r>
      <w:r w:rsidRPr="00EB0F6D">
        <w:rPr>
          <w:rFonts w:cs="TimesNewRoman"/>
          <w:color w:val="C00000"/>
          <w:sz w:val="24"/>
          <w:szCs w:val="24"/>
        </w:rPr>
        <w:t>neto štednju</w:t>
      </w:r>
      <w:r w:rsidRPr="00EB0F6D">
        <w:rPr>
          <w:vertAlign w:val="superscript"/>
        </w:rPr>
        <w:footnoteReference w:id="48"/>
      </w:r>
      <w:r w:rsidRPr="00804BF4">
        <w:t xml:space="preserve"> </w:t>
      </w:r>
      <w:r w:rsidRPr="005864F4">
        <w:rPr>
          <w:rFonts w:cs="TimesNewRoman"/>
          <w:sz w:val="24"/>
          <w:szCs w:val="24"/>
        </w:rPr>
        <w:t>te</w:t>
      </w:r>
      <w:r w:rsidRPr="00EB0F6D">
        <w:rPr>
          <w:rFonts w:cs="TimesNewRoman"/>
          <w:sz w:val="24"/>
          <w:szCs w:val="24"/>
        </w:rPr>
        <w:t xml:space="preserve"> </w:t>
      </w:r>
      <w:r w:rsidRPr="005864F4">
        <w:rPr>
          <w:rFonts w:cs="TimesNewRoman"/>
          <w:sz w:val="24"/>
          <w:szCs w:val="24"/>
        </w:rPr>
        <w:t xml:space="preserve">doprinosi </w:t>
      </w:r>
      <w:r w:rsidRPr="00EB0F6D">
        <w:rPr>
          <w:rFonts w:cs="TimesNewRoman"/>
          <w:sz w:val="24"/>
          <w:szCs w:val="24"/>
        </w:rPr>
        <w:t xml:space="preserve">povećanju vlastitog kapitala (neto-imovine, bogatstva) </w:t>
      </w:r>
      <w:r w:rsidRPr="005864F4">
        <w:rPr>
          <w:rFonts w:cs="TimesNewRoman"/>
          <w:sz w:val="24"/>
          <w:szCs w:val="24"/>
        </w:rPr>
        <w:t>u bilanci</w:t>
      </w:r>
      <w:r w:rsidRPr="00EB0F6D">
        <w:rPr>
          <w:rFonts w:cs="TimesNewRoman"/>
          <w:sz w:val="24"/>
          <w:szCs w:val="24"/>
        </w:rPr>
        <w:t xml:space="preserve"> </w:t>
      </w:r>
      <w:r w:rsidRPr="005864F4">
        <w:rPr>
          <w:rFonts w:cs="TimesNewRoman"/>
          <w:sz w:val="24"/>
          <w:szCs w:val="24"/>
        </w:rPr>
        <w:t xml:space="preserve">kućanstva. </w:t>
      </w:r>
      <w:r>
        <w:rPr>
          <w:rFonts w:cs="TimesNewRoman"/>
          <w:sz w:val="24"/>
          <w:szCs w:val="24"/>
        </w:rPr>
        <w:t xml:space="preserve">(Saldo neto štednje iz računa financijske uspješnosti u prethodnom razdoblju prenosi se kroz bilancu za naredno razdoblje u kojoj se u aktivi </w:t>
      </w:r>
      <w:r>
        <w:rPr>
          <w:rFonts w:cs="TimesNewRoman"/>
          <w:sz w:val="24"/>
          <w:szCs w:val="24"/>
        </w:rPr>
        <w:lastRenderedPageBreak/>
        <w:t>nalaze oblici financijske ili druge imovine u koju je štednja uložena, a u pasivi veći vlastiti kapital.)</w:t>
      </w:r>
    </w:p>
    <w:p w:rsidR="00C23E48" w:rsidRPr="005864F4" w:rsidRDefault="00CB086D" w:rsidP="00CB086D">
      <w:pPr>
        <w:tabs>
          <w:tab w:val="left" w:pos="1300"/>
        </w:tabs>
        <w:spacing w:before="240" w:after="0"/>
        <w:jc w:val="both"/>
        <w:rPr>
          <w:rFonts w:cs="TimesNewRoman"/>
          <w:sz w:val="24"/>
          <w:szCs w:val="24"/>
        </w:rPr>
      </w:pPr>
      <w:r w:rsidRPr="005864F4">
        <w:rPr>
          <w:rFonts w:cs="TimesNewRoman"/>
          <w:sz w:val="24"/>
          <w:szCs w:val="24"/>
        </w:rPr>
        <w:t xml:space="preserve">Negativna razlika (negativna neto štednja - deficit) javlja se ukoliko su rashodi tijekom promatranog vremenskog razdoblja veći od prihoda u istom razdoblju. </w:t>
      </w:r>
      <w:r w:rsidRPr="00EB0F6D">
        <w:rPr>
          <w:rFonts w:cs="TimesNewRoman"/>
          <w:color w:val="C00000"/>
          <w:sz w:val="24"/>
          <w:szCs w:val="24"/>
        </w:rPr>
        <w:t xml:space="preserve">Negativna vrijednost neto štednje nepovoljno djeluje na stanje </w:t>
      </w:r>
      <w:r>
        <w:rPr>
          <w:rFonts w:cs="TimesNewRoman"/>
          <w:color w:val="C00000"/>
          <w:sz w:val="24"/>
          <w:szCs w:val="24"/>
        </w:rPr>
        <w:t xml:space="preserve">neto vrijednosti imovine kućanstva </w:t>
      </w:r>
      <w:r w:rsidRPr="00EB0F6D">
        <w:rPr>
          <w:rFonts w:cs="TimesNewRoman"/>
          <w:sz w:val="24"/>
          <w:szCs w:val="24"/>
        </w:rPr>
        <w:t xml:space="preserve">jer se ranije akumulirano bogatstvo </w:t>
      </w:r>
      <w:r w:rsidRPr="005864F4">
        <w:rPr>
          <w:rFonts w:cs="TimesNewRoman"/>
          <w:sz w:val="24"/>
          <w:szCs w:val="24"/>
        </w:rPr>
        <w:t xml:space="preserve">(štednja) koristi za financiranje rashoda </w:t>
      </w:r>
      <w:r>
        <w:rPr>
          <w:rFonts w:cs="TimesNewRoman"/>
          <w:sz w:val="24"/>
          <w:szCs w:val="24"/>
        </w:rPr>
        <w:t xml:space="preserve">većih od </w:t>
      </w:r>
      <w:r w:rsidRPr="005864F4">
        <w:rPr>
          <w:rFonts w:cs="TimesNewRoman"/>
          <w:sz w:val="24"/>
          <w:szCs w:val="24"/>
        </w:rPr>
        <w:t>tekuć</w:t>
      </w:r>
      <w:r>
        <w:rPr>
          <w:rFonts w:cs="TimesNewRoman"/>
          <w:sz w:val="24"/>
          <w:szCs w:val="24"/>
        </w:rPr>
        <w:t>ih</w:t>
      </w:r>
      <w:r w:rsidRPr="005864F4">
        <w:rPr>
          <w:rFonts w:cs="TimesNewRoman"/>
          <w:sz w:val="24"/>
          <w:szCs w:val="24"/>
        </w:rPr>
        <w:t xml:space="preserve"> prihod</w:t>
      </w:r>
      <w:r>
        <w:rPr>
          <w:rFonts w:cs="TimesNewRoman"/>
          <w:sz w:val="24"/>
          <w:szCs w:val="24"/>
        </w:rPr>
        <w:t>a</w:t>
      </w:r>
      <w:r w:rsidRPr="005864F4">
        <w:rPr>
          <w:rFonts w:cs="TimesNewRoman"/>
          <w:sz w:val="24"/>
          <w:szCs w:val="24"/>
        </w:rPr>
        <w:t>.</w:t>
      </w:r>
      <w:r>
        <w:rPr>
          <w:rFonts w:cs="TimesNewRoman"/>
          <w:sz w:val="24"/>
          <w:szCs w:val="24"/>
        </w:rPr>
        <w:t xml:space="preserve"> </w:t>
      </w:r>
      <w:r w:rsidR="00C23E48" w:rsidRPr="005864F4">
        <w:rPr>
          <w:rFonts w:cs="TimesNewRoman"/>
          <w:sz w:val="24"/>
          <w:szCs w:val="24"/>
        </w:rPr>
        <w:t xml:space="preserve">Uzroci negativne neto štednje su raznoliki, a uključuju: </w:t>
      </w:r>
    </w:p>
    <w:p w:rsidR="00C23E48" w:rsidRPr="005864F4" w:rsidRDefault="00C23E48" w:rsidP="006F1C04">
      <w:pPr>
        <w:numPr>
          <w:ilvl w:val="0"/>
          <w:numId w:val="14"/>
        </w:numPr>
        <w:tabs>
          <w:tab w:val="left" w:pos="1300"/>
        </w:tabs>
        <w:spacing w:after="0" w:line="264" w:lineRule="auto"/>
        <w:ind w:left="714" w:hanging="357"/>
        <w:jc w:val="both"/>
        <w:rPr>
          <w:rFonts w:cs="TimesNewRoman"/>
          <w:sz w:val="24"/>
          <w:szCs w:val="24"/>
        </w:rPr>
      </w:pPr>
      <w:r w:rsidRPr="005864F4">
        <w:rPr>
          <w:rFonts w:cs="TimesNewRoman"/>
          <w:sz w:val="24"/>
          <w:szCs w:val="24"/>
        </w:rPr>
        <w:t xml:space="preserve">vlasništvo nad imovinom koja ne donosi prihode, a uzrokuje rashode vezane uz tekuće održavanje, plaćanje poreza na imovinu, </w:t>
      </w:r>
      <w:r>
        <w:rPr>
          <w:rFonts w:cs="TimesNewRoman"/>
          <w:sz w:val="24"/>
          <w:szCs w:val="24"/>
        </w:rPr>
        <w:t xml:space="preserve">plaćanje </w:t>
      </w:r>
      <w:r w:rsidRPr="005864F4">
        <w:rPr>
          <w:rFonts w:cs="TimesNewRoman"/>
          <w:sz w:val="24"/>
          <w:szCs w:val="24"/>
        </w:rPr>
        <w:t>kamat</w:t>
      </w:r>
      <w:r>
        <w:rPr>
          <w:rFonts w:cs="TimesNewRoman"/>
          <w:sz w:val="24"/>
          <w:szCs w:val="24"/>
        </w:rPr>
        <w:t>a</w:t>
      </w:r>
      <w:r w:rsidRPr="005864F4">
        <w:rPr>
          <w:rFonts w:cs="TimesNewRoman"/>
          <w:sz w:val="24"/>
          <w:szCs w:val="24"/>
        </w:rPr>
        <w:t xml:space="preserve"> na bankovne kredite i slično;</w:t>
      </w:r>
    </w:p>
    <w:p w:rsidR="00C23E48" w:rsidRPr="005864F4" w:rsidRDefault="00C23E48" w:rsidP="006F1C04">
      <w:pPr>
        <w:numPr>
          <w:ilvl w:val="0"/>
          <w:numId w:val="14"/>
        </w:numPr>
        <w:tabs>
          <w:tab w:val="left" w:pos="1300"/>
        </w:tabs>
        <w:spacing w:after="0" w:line="264" w:lineRule="auto"/>
        <w:ind w:left="714" w:hanging="357"/>
        <w:jc w:val="both"/>
        <w:rPr>
          <w:rFonts w:cs="TimesNewRoman"/>
          <w:sz w:val="24"/>
          <w:szCs w:val="24"/>
        </w:rPr>
      </w:pPr>
      <w:r w:rsidRPr="005864F4">
        <w:rPr>
          <w:rFonts w:cs="TimesNewRoman"/>
          <w:sz w:val="24"/>
          <w:szCs w:val="24"/>
        </w:rPr>
        <w:t>situacije kada se tekuća potrošnja kućanstva dijelom financira iz tekućeg dohotka, a dijelom iz štednje akumulirane ranijih godina (</w:t>
      </w:r>
      <w:r>
        <w:rPr>
          <w:rFonts w:cs="TimesNewRoman"/>
          <w:sz w:val="24"/>
          <w:szCs w:val="24"/>
        </w:rPr>
        <w:t xml:space="preserve">uobičajeno kod </w:t>
      </w:r>
      <w:r w:rsidRPr="005864F4">
        <w:rPr>
          <w:rFonts w:cs="TimesNewRoman"/>
          <w:sz w:val="24"/>
          <w:szCs w:val="24"/>
        </w:rPr>
        <w:t>umirovljenika);</w:t>
      </w:r>
    </w:p>
    <w:p w:rsidR="00C23E48" w:rsidRDefault="00C23E48" w:rsidP="006F1C04">
      <w:pPr>
        <w:numPr>
          <w:ilvl w:val="0"/>
          <w:numId w:val="14"/>
        </w:numPr>
        <w:tabs>
          <w:tab w:val="left" w:pos="1300"/>
        </w:tabs>
        <w:spacing w:after="0" w:line="264" w:lineRule="auto"/>
        <w:ind w:left="714" w:hanging="357"/>
        <w:jc w:val="both"/>
        <w:rPr>
          <w:rFonts w:cs="TimesNewRoman"/>
          <w:sz w:val="24"/>
          <w:szCs w:val="24"/>
        </w:rPr>
      </w:pPr>
      <w:r w:rsidRPr="005864F4">
        <w:rPr>
          <w:rFonts w:cs="TimesNewRoman"/>
          <w:sz w:val="24"/>
          <w:szCs w:val="24"/>
        </w:rPr>
        <w:t>situacije kada se tekuća potrošnja kućanstva financira iz sredstava pribavljenih zaduživanjem, a na teret buduće štednje.</w:t>
      </w:r>
    </w:p>
    <w:p w:rsidR="005864F4" w:rsidRPr="005864F4" w:rsidRDefault="005864F4" w:rsidP="00CB086D">
      <w:pPr>
        <w:tabs>
          <w:tab w:val="left" w:pos="1300"/>
        </w:tabs>
        <w:spacing w:before="240" w:after="0"/>
        <w:jc w:val="both"/>
        <w:rPr>
          <w:rFonts w:cs="TimesNewRoman"/>
          <w:sz w:val="24"/>
          <w:szCs w:val="24"/>
        </w:rPr>
      </w:pPr>
      <w:r w:rsidRPr="005864F4">
        <w:rPr>
          <w:rFonts w:cs="TimesNewRoman"/>
          <w:sz w:val="24"/>
          <w:szCs w:val="24"/>
        </w:rPr>
        <w:t xml:space="preserve">Primljeni kredit predstavlja obvezu koju </w:t>
      </w:r>
      <w:r w:rsidR="00CB086D">
        <w:rPr>
          <w:rFonts w:cs="TimesNewRoman"/>
          <w:sz w:val="24"/>
          <w:szCs w:val="24"/>
        </w:rPr>
        <w:t xml:space="preserve">treba podmiriti u budućnosti, zbog čega će prihodi kućanstva morati biti manji od rashoda kako bi se razlika koristila za otplatu kredita (kao svojevrsni oblik prisile štednje). </w:t>
      </w:r>
      <w:r w:rsidRPr="005864F4">
        <w:rPr>
          <w:rFonts w:cs="TimesNewRoman"/>
          <w:sz w:val="24"/>
          <w:szCs w:val="24"/>
        </w:rPr>
        <w:t xml:space="preserve"> Da bi to bilo moguće, </w:t>
      </w:r>
      <w:r w:rsidRPr="008D76A4">
        <w:rPr>
          <w:rFonts w:cs="TimesNewRoman"/>
          <w:color w:val="C00000"/>
          <w:sz w:val="24"/>
          <w:szCs w:val="24"/>
        </w:rPr>
        <w:t>p</w:t>
      </w:r>
      <w:r w:rsidRPr="001C59BE">
        <w:rPr>
          <w:rFonts w:cs="TimesNewRoman"/>
          <w:color w:val="C00000"/>
          <w:sz w:val="24"/>
          <w:szCs w:val="24"/>
        </w:rPr>
        <w:t>rihodi u budućim razdobljima otplate kredita trebaju biti dostatni</w:t>
      </w:r>
      <w:r w:rsidRPr="005864F4">
        <w:rPr>
          <w:rFonts w:cs="TimesNewRoman"/>
          <w:sz w:val="24"/>
          <w:szCs w:val="24"/>
        </w:rPr>
        <w:t xml:space="preserve"> za pokriće:</w:t>
      </w:r>
    </w:p>
    <w:p w:rsidR="005864F4" w:rsidRPr="005864F4" w:rsidRDefault="005864F4" w:rsidP="006F1C04">
      <w:pPr>
        <w:numPr>
          <w:ilvl w:val="0"/>
          <w:numId w:val="16"/>
        </w:numPr>
        <w:tabs>
          <w:tab w:val="left" w:pos="1300"/>
        </w:tabs>
        <w:spacing w:after="0" w:line="240" w:lineRule="auto"/>
        <w:jc w:val="both"/>
        <w:rPr>
          <w:rFonts w:cs="TimesNewRoman"/>
          <w:sz w:val="24"/>
          <w:szCs w:val="24"/>
        </w:rPr>
      </w:pPr>
      <w:r w:rsidRPr="005864F4">
        <w:rPr>
          <w:rFonts w:cs="TimesNewRoman"/>
          <w:sz w:val="24"/>
          <w:szCs w:val="24"/>
        </w:rPr>
        <w:t>rashoda osobne potrošnje,</w:t>
      </w:r>
    </w:p>
    <w:p w:rsidR="005864F4" w:rsidRPr="005864F4" w:rsidRDefault="005864F4" w:rsidP="006F1C04">
      <w:pPr>
        <w:numPr>
          <w:ilvl w:val="0"/>
          <w:numId w:val="16"/>
        </w:numPr>
        <w:tabs>
          <w:tab w:val="left" w:pos="1300"/>
        </w:tabs>
        <w:spacing w:after="0" w:line="240" w:lineRule="auto"/>
        <w:jc w:val="both"/>
        <w:rPr>
          <w:rFonts w:cs="TimesNewRoman"/>
          <w:sz w:val="24"/>
          <w:szCs w:val="24"/>
        </w:rPr>
      </w:pPr>
      <w:r w:rsidRPr="005864F4">
        <w:rPr>
          <w:rFonts w:cs="TimesNewRoman"/>
          <w:sz w:val="24"/>
          <w:szCs w:val="24"/>
        </w:rPr>
        <w:t xml:space="preserve">rashoda za </w:t>
      </w:r>
      <w:r w:rsidR="001C59BE">
        <w:rPr>
          <w:rFonts w:cs="TimesNewRoman"/>
          <w:sz w:val="24"/>
          <w:szCs w:val="24"/>
        </w:rPr>
        <w:t xml:space="preserve">dospjele </w:t>
      </w:r>
      <w:r w:rsidRPr="005864F4">
        <w:rPr>
          <w:rFonts w:cs="TimesNewRoman"/>
          <w:sz w:val="24"/>
          <w:szCs w:val="24"/>
        </w:rPr>
        <w:t>kamate na primljeni kredit</w:t>
      </w:r>
    </w:p>
    <w:p w:rsidR="005864F4" w:rsidRPr="005864F4" w:rsidRDefault="005864F4" w:rsidP="006F1C04">
      <w:pPr>
        <w:numPr>
          <w:ilvl w:val="0"/>
          <w:numId w:val="16"/>
        </w:numPr>
        <w:tabs>
          <w:tab w:val="left" w:pos="1300"/>
        </w:tabs>
        <w:spacing w:after="0" w:line="240" w:lineRule="auto"/>
        <w:jc w:val="both"/>
        <w:rPr>
          <w:rFonts w:cs="TimesNewRoman"/>
          <w:sz w:val="24"/>
          <w:szCs w:val="24"/>
        </w:rPr>
      </w:pPr>
      <w:r w:rsidRPr="005864F4">
        <w:rPr>
          <w:rFonts w:cs="TimesNewRoman"/>
          <w:sz w:val="24"/>
          <w:szCs w:val="24"/>
        </w:rPr>
        <w:t>drugih rashoda te</w:t>
      </w:r>
    </w:p>
    <w:p w:rsidR="005864F4" w:rsidRPr="005864F4" w:rsidRDefault="005864F4" w:rsidP="00510CDF">
      <w:pPr>
        <w:numPr>
          <w:ilvl w:val="0"/>
          <w:numId w:val="16"/>
        </w:numPr>
        <w:tabs>
          <w:tab w:val="left" w:pos="1300"/>
        </w:tabs>
        <w:spacing w:after="360" w:line="240" w:lineRule="auto"/>
        <w:ind w:left="714" w:hanging="357"/>
        <w:jc w:val="both"/>
        <w:rPr>
          <w:rFonts w:cs="TimesNewRoman"/>
          <w:sz w:val="24"/>
          <w:szCs w:val="24"/>
        </w:rPr>
      </w:pPr>
      <w:r w:rsidRPr="005864F4">
        <w:rPr>
          <w:rFonts w:cs="TimesNewRoman"/>
          <w:sz w:val="24"/>
          <w:szCs w:val="24"/>
        </w:rPr>
        <w:t xml:space="preserve">fonda „prisilne štednje“ koja se koristi za otplatu glavnice </w:t>
      </w:r>
      <w:r w:rsidR="001C59BE">
        <w:rPr>
          <w:rFonts w:cs="TimesNewRoman"/>
          <w:sz w:val="24"/>
          <w:szCs w:val="24"/>
        </w:rPr>
        <w:t>duga (</w:t>
      </w:r>
      <w:r w:rsidRPr="005864F4">
        <w:rPr>
          <w:rFonts w:cs="TimesNewRoman"/>
          <w:sz w:val="24"/>
          <w:szCs w:val="24"/>
        </w:rPr>
        <w:t>kredita</w:t>
      </w:r>
      <w:r w:rsidR="001C59BE">
        <w:rPr>
          <w:rFonts w:cs="TimesNewRoman"/>
          <w:sz w:val="24"/>
          <w:szCs w:val="24"/>
        </w:rPr>
        <w:t>)</w:t>
      </w:r>
      <w:r w:rsidRPr="005864F4">
        <w:rPr>
          <w:rFonts w:cs="TimesNewRoman"/>
          <w:sz w:val="24"/>
          <w:szCs w:val="24"/>
        </w:rPr>
        <w:t>.</w:t>
      </w:r>
    </w:p>
    <w:tbl>
      <w:tblPr>
        <w:tblStyle w:val="Reetkatablice"/>
        <w:tblW w:w="0" w:type="auto"/>
        <w:tblInd w:w="108" w:type="dxa"/>
        <w:tblLook w:val="01E0" w:firstRow="1" w:lastRow="1" w:firstColumn="1" w:lastColumn="1" w:noHBand="0" w:noVBand="0"/>
      </w:tblPr>
      <w:tblGrid>
        <w:gridCol w:w="9180"/>
      </w:tblGrid>
      <w:tr w:rsidR="005864F4" w:rsidRPr="005864F4" w:rsidTr="00F95669">
        <w:tc>
          <w:tcPr>
            <w:tcW w:w="9180" w:type="dxa"/>
            <w:shd w:val="clear" w:color="auto" w:fill="F2F2F2" w:themeFill="background1" w:themeFillShade="F2"/>
          </w:tcPr>
          <w:p w:rsidR="005864F4" w:rsidRPr="00D1637C" w:rsidRDefault="005864F4" w:rsidP="00FE0EA5">
            <w:pPr>
              <w:tabs>
                <w:tab w:val="left" w:pos="1300"/>
              </w:tabs>
              <w:spacing w:before="120" w:after="120"/>
              <w:jc w:val="both"/>
              <w:rPr>
                <w:rFonts w:asciiTheme="minorHAnsi" w:hAnsiTheme="minorHAnsi" w:cs="TimesNewRoman"/>
                <w:b/>
                <w:sz w:val="24"/>
                <w:szCs w:val="24"/>
              </w:rPr>
            </w:pPr>
            <w:r w:rsidRPr="00D1637C">
              <w:rPr>
                <w:rFonts w:asciiTheme="minorHAnsi" w:hAnsiTheme="minorHAnsi" w:cs="TimesNewRoman"/>
                <w:b/>
                <w:sz w:val="24"/>
                <w:szCs w:val="24"/>
              </w:rPr>
              <w:t>Restrukturiranje imovine</w:t>
            </w:r>
          </w:p>
          <w:p w:rsidR="00F95669" w:rsidRDefault="00A132D7" w:rsidP="00FE0EA5">
            <w:pPr>
              <w:tabs>
                <w:tab w:val="left" w:pos="1300"/>
              </w:tabs>
              <w:spacing w:before="120" w:after="120"/>
              <w:jc w:val="both"/>
              <w:rPr>
                <w:rFonts w:asciiTheme="minorHAnsi" w:hAnsiTheme="minorHAnsi" w:cs="TimesNewRoman"/>
                <w:sz w:val="24"/>
                <w:szCs w:val="24"/>
              </w:rPr>
            </w:pPr>
            <w:r>
              <w:rPr>
                <w:rFonts w:asciiTheme="minorHAnsi" w:hAnsiTheme="minorHAnsi" w:cs="TimesNewRoman"/>
                <w:sz w:val="24"/>
                <w:szCs w:val="24"/>
              </w:rPr>
              <w:t>R</w:t>
            </w:r>
            <w:r w:rsidR="005864F4" w:rsidRPr="005864F4">
              <w:rPr>
                <w:rFonts w:asciiTheme="minorHAnsi" w:hAnsiTheme="minorHAnsi" w:cs="TimesNewRoman"/>
                <w:sz w:val="24"/>
                <w:szCs w:val="24"/>
              </w:rPr>
              <w:t xml:space="preserve">acionalno upravljanje osobnim financijama podrazumijeva da </w:t>
            </w:r>
            <w:r w:rsidR="00F95669">
              <w:rPr>
                <w:rFonts w:asciiTheme="minorHAnsi" w:hAnsiTheme="minorHAnsi" w:cs="TimesNewRoman"/>
                <w:sz w:val="24"/>
                <w:szCs w:val="24"/>
              </w:rPr>
              <w:t xml:space="preserve">je </w:t>
            </w:r>
            <w:r w:rsidR="005864F4" w:rsidRPr="005864F4">
              <w:rPr>
                <w:rFonts w:asciiTheme="minorHAnsi" w:hAnsiTheme="minorHAnsi" w:cs="TimesNewRoman"/>
                <w:sz w:val="24"/>
                <w:szCs w:val="24"/>
              </w:rPr>
              <w:t xml:space="preserve">s vremenom na vrijeme </w:t>
            </w:r>
            <w:r w:rsidR="00F95669">
              <w:rPr>
                <w:rFonts w:asciiTheme="minorHAnsi" w:hAnsiTheme="minorHAnsi" w:cs="TimesNewRoman"/>
                <w:sz w:val="24"/>
                <w:szCs w:val="24"/>
              </w:rPr>
              <w:t xml:space="preserve">potrebno </w:t>
            </w:r>
            <w:r w:rsidR="005864F4" w:rsidRPr="005864F4">
              <w:rPr>
                <w:rFonts w:asciiTheme="minorHAnsi" w:hAnsiTheme="minorHAnsi" w:cs="TimesNewRoman"/>
                <w:sz w:val="24"/>
                <w:szCs w:val="24"/>
              </w:rPr>
              <w:t>odmjeri</w:t>
            </w:r>
            <w:r w:rsidR="00F95669">
              <w:rPr>
                <w:rFonts w:asciiTheme="minorHAnsi" w:hAnsiTheme="minorHAnsi" w:cs="TimesNewRoman"/>
                <w:sz w:val="24"/>
                <w:szCs w:val="24"/>
              </w:rPr>
              <w:t>ti</w:t>
            </w:r>
            <w:r w:rsidR="005864F4" w:rsidRPr="005864F4">
              <w:rPr>
                <w:rFonts w:asciiTheme="minorHAnsi" w:hAnsiTheme="minorHAnsi" w:cs="TimesNewRoman"/>
                <w:sz w:val="24"/>
                <w:szCs w:val="24"/>
              </w:rPr>
              <w:t xml:space="preserve"> troškove i koristi postojeće imovine te prove</w:t>
            </w:r>
            <w:r w:rsidR="00F95669">
              <w:rPr>
                <w:rFonts w:asciiTheme="minorHAnsi" w:hAnsiTheme="minorHAnsi" w:cs="TimesNewRoman"/>
                <w:sz w:val="24"/>
                <w:szCs w:val="24"/>
              </w:rPr>
              <w:t>sti</w:t>
            </w:r>
            <w:r w:rsidR="005864F4" w:rsidRPr="005864F4">
              <w:rPr>
                <w:rFonts w:asciiTheme="minorHAnsi" w:hAnsiTheme="minorHAnsi" w:cs="TimesNewRoman"/>
                <w:sz w:val="24"/>
                <w:szCs w:val="24"/>
              </w:rPr>
              <w:t xml:space="preserve"> restrukturiranje. </w:t>
            </w:r>
          </w:p>
          <w:p w:rsidR="005864F4" w:rsidRPr="005864F4" w:rsidRDefault="005864F4" w:rsidP="00FE0EA5">
            <w:pPr>
              <w:tabs>
                <w:tab w:val="left" w:pos="1300"/>
              </w:tabs>
              <w:spacing w:before="120" w:after="120"/>
              <w:jc w:val="both"/>
              <w:rPr>
                <w:rFonts w:asciiTheme="minorHAnsi" w:hAnsiTheme="minorHAnsi" w:cs="TimesNewRoman"/>
                <w:sz w:val="24"/>
                <w:szCs w:val="24"/>
              </w:rPr>
            </w:pPr>
            <w:r w:rsidRPr="005864F4">
              <w:rPr>
                <w:rFonts w:asciiTheme="minorHAnsi" w:hAnsiTheme="minorHAnsi" w:cs="TimesNewRoman"/>
                <w:sz w:val="24"/>
                <w:szCs w:val="24"/>
              </w:rPr>
              <w:t>Na primjer vlasništvo velikog stana (110 m</w:t>
            </w:r>
            <w:r w:rsidRPr="005864F4">
              <w:rPr>
                <w:rFonts w:asciiTheme="minorHAnsi" w:hAnsiTheme="minorHAnsi" w:cs="TimesNewRoman"/>
                <w:sz w:val="24"/>
                <w:szCs w:val="24"/>
                <w:vertAlign w:val="superscript"/>
              </w:rPr>
              <w:t>2</w:t>
            </w:r>
            <w:r w:rsidRPr="005864F4">
              <w:rPr>
                <w:rFonts w:asciiTheme="minorHAnsi" w:hAnsiTheme="minorHAnsi" w:cs="TimesNewRoman"/>
                <w:sz w:val="24"/>
                <w:szCs w:val="24"/>
              </w:rPr>
              <w:t xml:space="preserve"> i više) doprinosi povećanju zadovoljstva životnim uvjetima u slučaju četveročlane obitelji s malom djecom. Međutim, za roditelje u trećoj životnoj dobi čija su se djeca odlučila na samostalni život, velik stan može predstavljati nepotrebno opterećenje - u smislu broja kvadrata za čišćenje, ali i troškova tekućeg održavanja. Prodajom velikog stan i kupnjom manjeg stana moguće je smanjiti rashode koji nepovoljno djeluju na saldo računa financijske uspješnosti, dok se preostali dio novca od prodaje velikog stana može uložiti u otvoreni investicijski fond ili dobrovoljni mirovinski fond, što predstavlja oblik ulaganja u imovinu koja donosi dohodak i ima pozitivne učinke na visinu neto štednje</w:t>
            </w:r>
            <w:r w:rsidR="00A969A8">
              <w:rPr>
                <w:rFonts w:asciiTheme="minorHAnsi" w:hAnsiTheme="minorHAnsi" w:cs="TimesNewRoman"/>
                <w:sz w:val="24"/>
                <w:szCs w:val="24"/>
              </w:rPr>
              <w:t>, ali samo ako donosi pozitivan realni prinos</w:t>
            </w:r>
            <w:r w:rsidRPr="005864F4">
              <w:rPr>
                <w:rFonts w:asciiTheme="minorHAnsi" w:hAnsiTheme="minorHAnsi" w:cs="TimesNewRoman"/>
                <w:sz w:val="24"/>
                <w:szCs w:val="24"/>
              </w:rPr>
              <w:t>.</w:t>
            </w:r>
          </w:p>
          <w:p w:rsidR="005864F4" w:rsidRPr="005864F4" w:rsidRDefault="00A969A8" w:rsidP="00A969A8">
            <w:pPr>
              <w:tabs>
                <w:tab w:val="left" w:pos="1300"/>
              </w:tabs>
              <w:spacing w:before="120" w:after="120"/>
              <w:jc w:val="both"/>
              <w:rPr>
                <w:rFonts w:asciiTheme="minorHAnsi" w:hAnsiTheme="minorHAnsi" w:cs="TimesNewRoman"/>
                <w:b/>
                <w:sz w:val="24"/>
                <w:szCs w:val="24"/>
              </w:rPr>
            </w:pPr>
            <w:r>
              <w:rPr>
                <w:rFonts w:asciiTheme="minorHAnsi" w:hAnsiTheme="minorHAnsi" w:cs="TimesNewRoman"/>
                <w:sz w:val="24"/>
                <w:szCs w:val="24"/>
              </w:rPr>
              <w:t>O</w:t>
            </w:r>
            <w:r w:rsidR="005864F4" w:rsidRPr="005864F4">
              <w:rPr>
                <w:rFonts w:asciiTheme="minorHAnsi" w:hAnsiTheme="minorHAnsi" w:cs="TimesNewRoman"/>
                <w:sz w:val="24"/>
                <w:szCs w:val="24"/>
              </w:rPr>
              <w:t xml:space="preserve">dluka o prodaji veće nekretnine radi kupovine manje nekretnine ovisi </w:t>
            </w:r>
            <w:r>
              <w:rPr>
                <w:rFonts w:asciiTheme="minorHAnsi" w:hAnsiTheme="minorHAnsi" w:cs="TimesNewRoman"/>
                <w:sz w:val="24"/>
                <w:szCs w:val="24"/>
              </w:rPr>
              <w:t xml:space="preserve">ne samo </w:t>
            </w:r>
            <w:r w:rsidR="005864F4" w:rsidRPr="005864F4">
              <w:rPr>
                <w:rFonts w:asciiTheme="minorHAnsi" w:hAnsiTheme="minorHAnsi" w:cs="TimesNewRoman"/>
                <w:sz w:val="24"/>
                <w:szCs w:val="24"/>
              </w:rPr>
              <w:t xml:space="preserve">o specifičnim potrebama kućanstva, </w:t>
            </w:r>
            <w:r>
              <w:rPr>
                <w:rFonts w:asciiTheme="minorHAnsi" w:hAnsiTheme="minorHAnsi" w:cs="TimesNewRoman"/>
                <w:sz w:val="24"/>
                <w:szCs w:val="24"/>
              </w:rPr>
              <w:t xml:space="preserve">nego i </w:t>
            </w:r>
            <w:r w:rsidR="005864F4" w:rsidRPr="005864F4">
              <w:rPr>
                <w:rFonts w:asciiTheme="minorHAnsi" w:hAnsiTheme="minorHAnsi" w:cs="TimesNewRoman"/>
                <w:sz w:val="24"/>
                <w:szCs w:val="24"/>
              </w:rPr>
              <w:t xml:space="preserve">o </w:t>
            </w:r>
            <w:r>
              <w:rPr>
                <w:rFonts w:asciiTheme="minorHAnsi" w:hAnsiTheme="minorHAnsi" w:cs="TimesNewRoman"/>
                <w:sz w:val="24"/>
                <w:szCs w:val="24"/>
              </w:rPr>
              <w:t xml:space="preserve">ekonomskim </w:t>
            </w:r>
            <w:r w:rsidR="005864F4" w:rsidRPr="005864F4">
              <w:rPr>
                <w:rFonts w:asciiTheme="minorHAnsi" w:hAnsiTheme="minorHAnsi" w:cs="TimesNewRoman"/>
                <w:sz w:val="24"/>
                <w:szCs w:val="24"/>
              </w:rPr>
              <w:t>očekivanjima. U</w:t>
            </w:r>
            <w:r>
              <w:rPr>
                <w:rFonts w:asciiTheme="minorHAnsi" w:hAnsiTheme="minorHAnsi" w:cs="TimesNewRoman"/>
                <w:sz w:val="24"/>
                <w:szCs w:val="24"/>
              </w:rPr>
              <w:t xml:space="preserve">koliko se očekuje rast cijena nekretnina, ranije stečeno </w:t>
            </w:r>
            <w:r w:rsidR="005864F4" w:rsidRPr="005864F4">
              <w:rPr>
                <w:rFonts w:asciiTheme="minorHAnsi" w:hAnsiTheme="minorHAnsi" w:cs="TimesNewRoman"/>
                <w:sz w:val="24"/>
                <w:szCs w:val="24"/>
              </w:rPr>
              <w:t xml:space="preserve">vlasništvo velikog stana ili druge nekretnine može biti primjer dobrog ulaganja s obzirom na mogućnosti kapitalnog dobitka u budućnosti kada se imovina planira prodati. </w:t>
            </w:r>
            <w:r>
              <w:rPr>
                <w:rFonts w:asciiTheme="minorHAnsi" w:hAnsiTheme="minorHAnsi" w:cs="TimesNewRoman"/>
                <w:sz w:val="24"/>
                <w:szCs w:val="24"/>
              </w:rPr>
              <w:t xml:space="preserve">S druge strane ako je izgledan velik inflacijski pritisak, </w:t>
            </w:r>
            <w:r w:rsidR="005864F4" w:rsidRPr="005864F4">
              <w:rPr>
                <w:rFonts w:asciiTheme="minorHAnsi" w:hAnsiTheme="minorHAnsi" w:cs="TimesNewRoman"/>
                <w:sz w:val="24"/>
                <w:szCs w:val="24"/>
              </w:rPr>
              <w:t>ulaganje u nekretnine može biti oblik zaštite akumulirane štednje od des</w:t>
            </w:r>
            <w:r>
              <w:rPr>
                <w:rFonts w:asciiTheme="minorHAnsi" w:hAnsiTheme="minorHAnsi" w:cs="TimesNewRoman"/>
                <w:sz w:val="24"/>
                <w:szCs w:val="24"/>
              </w:rPr>
              <w:t>truktivnog djelovanja inflacije.</w:t>
            </w:r>
          </w:p>
        </w:tc>
      </w:tr>
    </w:tbl>
    <w:p w:rsidR="00EF62FF" w:rsidRPr="00EF62FF" w:rsidRDefault="00C103F2" w:rsidP="00316230">
      <w:pPr>
        <w:tabs>
          <w:tab w:val="left" w:pos="1300"/>
        </w:tabs>
        <w:spacing w:before="360" w:line="240" w:lineRule="auto"/>
        <w:jc w:val="both"/>
        <w:rPr>
          <w:rFonts w:cs="TimesNewRoman"/>
          <w:b/>
          <w:sz w:val="24"/>
          <w:szCs w:val="24"/>
        </w:rPr>
      </w:pPr>
      <w:r>
        <w:rPr>
          <w:rFonts w:cs="TimesNewRoman"/>
          <w:b/>
          <w:sz w:val="24"/>
          <w:szCs w:val="24"/>
        </w:rPr>
        <w:lastRenderedPageBreak/>
        <w:t>2.4</w:t>
      </w:r>
      <w:r w:rsidR="008A2C17">
        <w:rPr>
          <w:rFonts w:cs="TimesNewRoman"/>
          <w:b/>
          <w:sz w:val="24"/>
          <w:szCs w:val="24"/>
        </w:rPr>
        <w:t xml:space="preserve">. </w:t>
      </w:r>
      <w:r w:rsidR="00EF62FF" w:rsidRPr="00EF62FF">
        <w:rPr>
          <w:rFonts w:cs="TimesNewRoman"/>
          <w:b/>
          <w:sz w:val="24"/>
          <w:szCs w:val="24"/>
        </w:rPr>
        <w:t>Bilanca kućanstva s uključenom neto vrijednošću radne snage: osvrt na ljudski kapital i financijske aspekte planiranja karijere</w:t>
      </w:r>
    </w:p>
    <w:p w:rsidR="00EF62FF" w:rsidRPr="008A2C17" w:rsidRDefault="00EF62FF" w:rsidP="00EF62FF">
      <w:pPr>
        <w:tabs>
          <w:tab w:val="left" w:pos="1300"/>
        </w:tabs>
        <w:jc w:val="both"/>
        <w:rPr>
          <w:rFonts w:cs="TimesNewRoman"/>
          <w:sz w:val="24"/>
          <w:szCs w:val="24"/>
        </w:rPr>
      </w:pPr>
      <w:r w:rsidRPr="008A2C17">
        <w:rPr>
          <w:rFonts w:cs="TimesNewRoman"/>
          <w:sz w:val="24"/>
          <w:szCs w:val="24"/>
        </w:rPr>
        <w:t>Specifičnu poziciju aktive bilance kućanstva predstavlja neto vrijednost radne snage zaposlenih članova kućanstva, koja može, ali i ne mora biti uključena u pozicije bilance. Vrijednost radne snage relativno je teško utvrditi, ali je uvođenje ove kategorije u bilancu prihvatljivo iz najmanje dva razloga</w:t>
      </w:r>
      <w:r w:rsidR="004C7737">
        <w:rPr>
          <w:rFonts w:cs="TimesNewRoman"/>
          <w:sz w:val="24"/>
          <w:szCs w:val="24"/>
        </w:rPr>
        <w:t>.</w:t>
      </w:r>
    </w:p>
    <w:p w:rsidR="00EF62FF" w:rsidRPr="008A2C17" w:rsidRDefault="004C7737" w:rsidP="006F1C04">
      <w:pPr>
        <w:numPr>
          <w:ilvl w:val="0"/>
          <w:numId w:val="15"/>
        </w:numPr>
        <w:tabs>
          <w:tab w:val="left" w:pos="1300"/>
        </w:tabs>
        <w:spacing w:after="0"/>
        <w:ind w:left="714" w:hanging="357"/>
        <w:jc w:val="both"/>
        <w:rPr>
          <w:rFonts w:cs="TimesNewRoman"/>
          <w:sz w:val="24"/>
          <w:szCs w:val="24"/>
        </w:rPr>
      </w:pPr>
      <w:r>
        <w:rPr>
          <w:rFonts w:cs="TimesNewRoman"/>
          <w:sz w:val="24"/>
          <w:szCs w:val="24"/>
        </w:rPr>
        <w:t>P</w:t>
      </w:r>
      <w:r w:rsidR="00EF62FF" w:rsidRPr="008A2C17">
        <w:rPr>
          <w:rFonts w:cs="TimesNewRoman"/>
          <w:sz w:val="24"/>
          <w:szCs w:val="24"/>
        </w:rPr>
        <w:t>siho-fizički kapacitet zaposlenih pojedinaca najvažniji je i kontinuiran izvor prihoda (primitaka) iz kojih se podmiruju izdaci za osobnu potrošnju, otplatu dugova te financiraju investicije i štednja</w:t>
      </w:r>
      <w:r>
        <w:rPr>
          <w:rFonts w:cs="TimesNewRoman"/>
          <w:sz w:val="24"/>
          <w:szCs w:val="24"/>
        </w:rPr>
        <w:t>.</w:t>
      </w:r>
    </w:p>
    <w:p w:rsidR="00680BC3" w:rsidRDefault="004C7737" w:rsidP="006F1C04">
      <w:pPr>
        <w:numPr>
          <w:ilvl w:val="0"/>
          <w:numId w:val="15"/>
        </w:numPr>
        <w:tabs>
          <w:tab w:val="left" w:pos="1300"/>
        </w:tabs>
        <w:spacing w:after="0"/>
        <w:ind w:left="714" w:hanging="357"/>
        <w:jc w:val="both"/>
        <w:rPr>
          <w:rFonts w:cs="TimesNewRoman"/>
          <w:sz w:val="24"/>
          <w:szCs w:val="24"/>
        </w:rPr>
      </w:pPr>
      <w:r>
        <w:rPr>
          <w:rFonts w:cs="TimesNewRoman"/>
          <w:color w:val="C00000"/>
          <w:sz w:val="24"/>
          <w:szCs w:val="24"/>
        </w:rPr>
        <w:t>N</w:t>
      </w:r>
      <w:r w:rsidR="00EF62FF" w:rsidRPr="00680BC3">
        <w:rPr>
          <w:rFonts w:cs="TimesNewRoman"/>
          <w:color w:val="C00000"/>
          <w:sz w:val="24"/>
          <w:szCs w:val="24"/>
        </w:rPr>
        <w:t>eto vrijednost radne snage (</w:t>
      </w:r>
      <w:r w:rsidR="00EF62FF" w:rsidRPr="00680BC3">
        <w:rPr>
          <w:rFonts w:cs="TimesNewRoman"/>
          <w:sz w:val="24"/>
          <w:szCs w:val="24"/>
        </w:rPr>
        <w:t xml:space="preserve">kao oblik imovine) povezana je s vrijednošću vlastitog kapitala u pasivi bilance. Znanje, vještine i sposobnosti predstavljaju tzv. ljudsko bogatstvo (tako ih definira Milton Friedman) koje je jednako </w:t>
      </w:r>
      <w:r w:rsidR="00EF62FF" w:rsidRPr="00680BC3">
        <w:rPr>
          <w:rFonts w:cs="TimesNewRoman"/>
          <w:color w:val="C00000"/>
          <w:sz w:val="24"/>
          <w:szCs w:val="24"/>
        </w:rPr>
        <w:t>sadašnjoj vrijednosti budućih dohodaka od rada</w:t>
      </w:r>
      <w:r w:rsidR="00EF62FF" w:rsidRPr="00680BC3">
        <w:rPr>
          <w:rFonts w:cs="TimesNewRoman"/>
          <w:sz w:val="24"/>
          <w:szCs w:val="24"/>
        </w:rPr>
        <w:t>. Na primjer, u slučaju osobe koja se prvi put zapošljava i ne raspolaže nikakvom drugom imovinom, ukupna aktiva, kao i ukupna pasiva bilance određeni su jedino vrijednošću ljudskog kapitala. U tom slučaju stanje vrijednosti rada u aktivi jednako je stanju vrijednosti vlastitog kapitala u pasivi. Dodatno , čest je slučaj da su mlade osobe zadužene već i prije nego što počnu ostvarivati dohodak, npr. u slučaju kredita za školovanje (studentski krediti u SAD-u i sl.)</w:t>
      </w:r>
      <w:r w:rsidR="008A2C17" w:rsidRPr="00680BC3">
        <w:rPr>
          <w:rFonts w:cs="TimesNewRoman"/>
          <w:sz w:val="24"/>
          <w:szCs w:val="24"/>
        </w:rPr>
        <w:t xml:space="preserve">. </w:t>
      </w:r>
    </w:p>
    <w:p w:rsidR="00B254FB" w:rsidRPr="00B254FB" w:rsidRDefault="00B254FB" w:rsidP="00B254FB">
      <w:pPr>
        <w:tabs>
          <w:tab w:val="left" w:pos="1300"/>
        </w:tabs>
        <w:spacing w:before="240"/>
        <w:jc w:val="both"/>
        <w:rPr>
          <w:sz w:val="24"/>
          <w:szCs w:val="24"/>
        </w:rPr>
      </w:pPr>
      <w:r w:rsidRPr="00B254FB">
        <w:rPr>
          <w:sz w:val="24"/>
          <w:szCs w:val="24"/>
        </w:rPr>
        <w:t xml:space="preserve">Neto vrijednost radne snage </w:t>
      </w:r>
      <w:r w:rsidRPr="00B254FB">
        <w:rPr>
          <w:color w:val="C00000"/>
          <w:sz w:val="24"/>
          <w:szCs w:val="24"/>
        </w:rPr>
        <w:t>procjenjuje se uzimajući u obzir sadašnju vrijednost budućih očekivanih neto raspoloživih</w:t>
      </w:r>
      <w:r w:rsidR="004C7737">
        <w:rPr>
          <w:color w:val="C00000"/>
          <w:sz w:val="24"/>
          <w:szCs w:val="24"/>
        </w:rPr>
        <w:t xml:space="preserve"> dohodaka</w:t>
      </w:r>
      <w:r w:rsidRPr="00B254FB">
        <w:rPr>
          <w:color w:val="C00000"/>
          <w:sz w:val="24"/>
          <w:szCs w:val="24"/>
        </w:rPr>
        <w:t xml:space="preserve"> </w:t>
      </w:r>
      <w:r w:rsidRPr="00B254FB">
        <w:rPr>
          <w:sz w:val="24"/>
          <w:szCs w:val="24"/>
        </w:rPr>
        <w:t xml:space="preserve">koji zaposleni članovi kućanstva mogu ostvariti tijekom svog radnog vijeka, na primjer narednih 25 godina. Problem pri tome predstavlja nepoznanica o visini tekućih dohodaka u budućnosti, kao i visini diskontnog faktora (odnosno diskontne stope) uz koji bi trebalo procijeniti sadašnju vrijednost svih očekivanih budućih dohodaka od rada. Nadalje, postoji rizik precjenjivanja neto vrijednosti radne snage pa je stoga </w:t>
      </w:r>
      <w:r w:rsidR="004C7737" w:rsidRPr="004C7737">
        <w:rPr>
          <w:color w:val="C00000"/>
          <w:sz w:val="24"/>
          <w:szCs w:val="24"/>
        </w:rPr>
        <w:t xml:space="preserve">kao i kod drugih oblika imovine </w:t>
      </w:r>
      <w:r w:rsidRPr="004C7737">
        <w:rPr>
          <w:color w:val="C00000"/>
          <w:sz w:val="24"/>
          <w:szCs w:val="24"/>
        </w:rPr>
        <w:t>poželjno korištenje konzervativnog pristupa – bolje je podcijeniti vrijednosti imovine</w:t>
      </w:r>
      <w:r w:rsidRPr="00B254FB">
        <w:rPr>
          <w:sz w:val="24"/>
          <w:szCs w:val="24"/>
        </w:rPr>
        <w:t xml:space="preserve"> (odnosno budućih dohodaka) </w:t>
      </w:r>
      <w:r w:rsidRPr="004C7737">
        <w:rPr>
          <w:color w:val="C00000"/>
          <w:sz w:val="24"/>
          <w:szCs w:val="24"/>
        </w:rPr>
        <w:t>i imati tihe pričuve</w:t>
      </w:r>
      <w:r w:rsidRPr="00B254FB">
        <w:rPr>
          <w:sz w:val="24"/>
          <w:szCs w:val="24"/>
        </w:rPr>
        <w:t xml:space="preserve">, nego obrnuto. </w:t>
      </w:r>
    </w:p>
    <w:p w:rsidR="00B254FB" w:rsidRPr="00B254FB" w:rsidRDefault="00B254FB" w:rsidP="00B254FB">
      <w:pPr>
        <w:spacing w:before="240"/>
        <w:jc w:val="both"/>
        <w:rPr>
          <w:rFonts w:cs="TimesNewRoman"/>
          <w:sz w:val="24"/>
          <w:szCs w:val="24"/>
        </w:rPr>
      </w:pPr>
      <w:r w:rsidRPr="00B254FB">
        <w:rPr>
          <w:sz w:val="24"/>
          <w:szCs w:val="24"/>
        </w:rPr>
        <w:t xml:space="preserve">Neto vrijednost radne snage tijekom određenog radnog vijeka pojedinca/kućanstva moguće je procijeniti uzimajući u obzir određenu veličinu permanentnog dohotka. </w:t>
      </w:r>
      <w:r w:rsidRPr="00B254FB">
        <w:rPr>
          <w:color w:val="C00000"/>
          <w:sz w:val="24"/>
          <w:szCs w:val="24"/>
        </w:rPr>
        <w:t>P</w:t>
      </w:r>
      <w:r w:rsidRPr="00B254FB">
        <w:rPr>
          <w:rFonts w:cs="TimesNewRoman"/>
          <w:color w:val="C00000"/>
          <w:sz w:val="24"/>
          <w:szCs w:val="24"/>
        </w:rPr>
        <w:t>ermanentni dohodak</w:t>
      </w:r>
      <w:r w:rsidRPr="00B254FB">
        <w:rPr>
          <w:rFonts w:cs="TimesNewRoman"/>
          <w:sz w:val="24"/>
          <w:szCs w:val="24"/>
        </w:rPr>
        <w:t xml:space="preserve"> predstavlja razinu dohotka koju bi kućanstvo ostvarivalo tijekom definiranog radnog vijeka kada ne bi dolazilo do povremenih cikličkih odstupanja tekućeg dohotka od prosječne vrijednosti (što podrazumijeva da je permanentni dohodak </w:t>
      </w:r>
      <w:r w:rsidRPr="00B254FB">
        <w:rPr>
          <w:sz w:val="24"/>
          <w:szCs w:val="24"/>
        </w:rPr>
        <w:t>niži od tekućeg dohotka u razdobljima ekspanzije poslovnog ciklusa i viši od tekućeg dohotka u razdobljima recesije)</w:t>
      </w:r>
      <w:r w:rsidRPr="00B254FB">
        <w:rPr>
          <w:rFonts w:cs="TimesNewRoman"/>
          <w:sz w:val="24"/>
          <w:szCs w:val="24"/>
        </w:rPr>
        <w:t xml:space="preserve">. Pojednostavljeno rečeno permanentni dohodak je </w:t>
      </w:r>
      <w:r w:rsidRPr="00B254FB">
        <w:rPr>
          <w:sz w:val="24"/>
          <w:szCs w:val="24"/>
        </w:rPr>
        <w:t xml:space="preserve">očekivani prosječni dohodak u dugom roku, koji pojedinac smatra stalnim i prema kojem prilagođava svoje odluke o potrošnji, štednji, investiranju i zaduživanju. </w:t>
      </w:r>
      <w:r w:rsidRPr="00B254FB">
        <w:rPr>
          <w:rFonts w:cs="TimesNewRoman"/>
          <w:sz w:val="24"/>
          <w:szCs w:val="24"/>
        </w:rPr>
        <w:t xml:space="preserve">Jednak je sumi sadašnje vrijednosti budućih očekivanih (neto raspoloživih) dohodaka podijeljenoj sa brojem godina u kojima se dohodak ostvaruje. </w:t>
      </w:r>
    </w:p>
    <w:p w:rsidR="00B254FB" w:rsidRPr="00B254FB" w:rsidRDefault="00B254FB" w:rsidP="00B254FB">
      <w:pPr>
        <w:spacing w:before="240"/>
        <w:jc w:val="both"/>
        <w:rPr>
          <w:sz w:val="24"/>
          <w:szCs w:val="24"/>
        </w:rPr>
      </w:pPr>
      <w:r w:rsidRPr="00B254FB">
        <w:rPr>
          <w:sz w:val="24"/>
          <w:szCs w:val="24"/>
        </w:rPr>
        <w:lastRenderedPageBreak/>
        <w:t xml:space="preserve">Dodatno, gledano u kombinaciji s </w:t>
      </w:r>
      <w:r w:rsidRPr="00B254FB">
        <w:rPr>
          <w:bCs/>
          <w:color w:val="C00000"/>
          <w:sz w:val="24"/>
          <w:szCs w:val="24"/>
        </w:rPr>
        <w:t>teorijom životnog ciklusa,</w:t>
      </w:r>
      <w:r w:rsidRPr="00B254FB">
        <w:rPr>
          <w:color w:val="C00000"/>
          <w:sz w:val="24"/>
          <w:szCs w:val="24"/>
        </w:rPr>
        <w:t xml:space="preserve"> </w:t>
      </w:r>
      <w:r w:rsidRPr="00B254FB">
        <w:rPr>
          <w:sz w:val="24"/>
          <w:szCs w:val="24"/>
        </w:rPr>
        <w:t xml:space="preserve">pri utvrđivanju neto vrijednost radne snage treba uzeti u obzir da je dohodak u mlađoj odrasloj dobi uobičajeno niži od dohotka u starijoj odrasloj dobi. </w:t>
      </w:r>
      <w:r w:rsidR="004C7737">
        <w:rPr>
          <w:sz w:val="24"/>
          <w:szCs w:val="24"/>
        </w:rPr>
        <w:t>Uz sve navedene elemente, izračun</w:t>
      </w:r>
      <w:r w:rsidRPr="00B254FB">
        <w:rPr>
          <w:sz w:val="24"/>
          <w:szCs w:val="24"/>
        </w:rPr>
        <w:t xml:space="preserve"> neto vrijednost radne snage </w:t>
      </w:r>
      <w:r w:rsidR="004C7737">
        <w:rPr>
          <w:sz w:val="24"/>
          <w:szCs w:val="24"/>
        </w:rPr>
        <w:t>iz</w:t>
      </w:r>
      <w:r w:rsidRPr="00B254FB">
        <w:rPr>
          <w:sz w:val="24"/>
          <w:szCs w:val="24"/>
        </w:rPr>
        <w:t xml:space="preserve"> tablic</w:t>
      </w:r>
      <w:r w:rsidR="004C7737">
        <w:rPr>
          <w:sz w:val="24"/>
          <w:szCs w:val="24"/>
        </w:rPr>
        <w:t>e</w:t>
      </w:r>
      <w:r w:rsidRPr="00B254FB">
        <w:rPr>
          <w:sz w:val="24"/>
          <w:szCs w:val="24"/>
        </w:rPr>
        <w:t xml:space="preserve"> 12, dan je u tablici 13.</w:t>
      </w:r>
      <w:r w:rsidR="007C1076">
        <w:rPr>
          <w:sz w:val="24"/>
          <w:szCs w:val="24"/>
        </w:rPr>
        <w:t>,</w:t>
      </w:r>
      <w:r w:rsidR="004C7737">
        <w:rPr>
          <w:sz w:val="24"/>
          <w:szCs w:val="24"/>
        </w:rPr>
        <w:t xml:space="preserve"> u</w:t>
      </w:r>
      <w:r w:rsidRPr="00B254FB">
        <w:rPr>
          <w:sz w:val="24"/>
          <w:szCs w:val="24"/>
        </w:rPr>
        <w:t xml:space="preserve">zimajući u obzir stopu inflacije 2% te pretpostavku o eksplicitnim i implicitnim ugovorima između radnika i poslodavaca zbog kojih su realne nadnice fiksne. Nakon </w:t>
      </w:r>
      <w:r w:rsidR="004C7737">
        <w:rPr>
          <w:sz w:val="24"/>
          <w:szCs w:val="24"/>
        </w:rPr>
        <w:t xml:space="preserve">što </w:t>
      </w:r>
      <w:r w:rsidRPr="00B254FB">
        <w:rPr>
          <w:sz w:val="24"/>
          <w:szCs w:val="24"/>
        </w:rPr>
        <w:t>je utvrđena sadašnja vrijednost budućeg neto raspoloživog dohotka kućanstva koje će biti radno aktivno narednih 25 godina, izračunat je prosječni godišnji neto dohodak kućanstva koji ujedno predstavlja permanentni dohodak.</w:t>
      </w:r>
    </w:p>
    <w:p w:rsidR="00EF62FF" w:rsidRPr="008A2C17" w:rsidRDefault="00EF62FF" w:rsidP="00680BC3">
      <w:pPr>
        <w:tabs>
          <w:tab w:val="left" w:pos="1300"/>
        </w:tabs>
        <w:spacing w:before="240"/>
        <w:jc w:val="both"/>
        <w:rPr>
          <w:rFonts w:cs="TimesNewRoman"/>
          <w:b/>
          <w:sz w:val="24"/>
          <w:szCs w:val="24"/>
        </w:rPr>
      </w:pPr>
      <w:r w:rsidRPr="008A2C17">
        <w:rPr>
          <w:rFonts w:cs="TimesNewRoman"/>
          <w:b/>
          <w:sz w:val="24"/>
          <w:szCs w:val="24"/>
        </w:rPr>
        <w:t>Tablica 1</w:t>
      </w:r>
      <w:r w:rsidR="00B20BF7">
        <w:rPr>
          <w:rFonts w:cs="TimesNewRoman"/>
          <w:b/>
          <w:sz w:val="24"/>
          <w:szCs w:val="24"/>
        </w:rPr>
        <w:t>3</w:t>
      </w:r>
      <w:r w:rsidRPr="008A2C17">
        <w:rPr>
          <w:rFonts w:cs="TimesNewRoman"/>
          <w:b/>
          <w:sz w:val="24"/>
          <w:szCs w:val="24"/>
        </w:rPr>
        <w:t xml:space="preserve">: </w:t>
      </w:r>
      <w:r w:rsidR="00680BC3">
        <w:rPr>
          <w:rFonts w:cs="TimesNewRoman"/>
          <w:b/>
          <w:sz w:val="24"/>
          <w:szCs w:val="24"/>
        </w:rPr>
        <w:t>Primjer b</w:t>
      </w:r>
      <w:r w:rsidRPr="008A2C17">
        <w:rPr>
          <w:rFonts w:cs="TimesNewRoman"/>
          <w:b/>
          <w:sz w:val="24"/>
          <w:szCs w:val="24"/>
        </w:rPr>
        <w:t xml:space="preserve">ilanca kućanstva </w:t>
      </w:r>
      <w:r w:rsidRPr="008A2C17">
        <w:rPr>
          <w:rFonts w:cs="TimesNewRoman"/>
          <w:b/>
          <w:bCs/>
          <w:sz w:val="24"/>
          <w:szCs w:val="24"/>
        </w:rPr>
        <w:t>s uključenom neto vrijednošću radne snage</w:t>
      </w:r>
    </w:p>
    <w:tbl>
      <w:tblPr>
        <w:tblW w:w="7807" w:type="dxa"/>
        <w:tblInd w:w="93" w:type="dxa"/>
        <w:tblLook w:val="0000" w:firstRow="0" w:lastRow="0" w:firstColumn="0" w:lastColumn="0" w:noHBand="0" w:noVBand="0"/>
      </w:tblPr>
      <w:tblGrid>
        <w:gridCol w:w="6315"/>
        <w:gridCol w:w="1492"/>
      </w:tblGrid>
      <w:tr w:rsidR="00EF62FF" w:rsidRPr="00804BF4" w:rsidTr="006E6D1F">
        <w:trPr>
          <w:trHeight w:val="255"/>
        </w:trPr>
        <w:tc>
          <w:tcPr>
            <w:tcW w:w="6315"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EF62FF" w:rsidRPr="006E6D1F" w:rsidRDefault="00EF62FF" w:rsidP="0066075A">
            <w:pPr>
              <w:spacing w:after="0" w:line="240" w:lineRule="auto"/>
              <w:jc w:val="center"/>
              <w:rPr>
                <w:rFonts w:cs="Arial"/>
                <w:b/>
                <w:color w:val="FFFFFF" w:themeColor="background1"/>
                <w:sz w:val="24"/>
                <w:szCs w:val="24"/>
              </w:rPr>
            </w:pPr>
            <w:r w:rsidRPr="006E6D1F">
              <w:rPr>
                <w:rFonts w:cs="Arial"/>
                <w:b/>
                <w:color w:val="FFFFFF" w:themeColor="background1"/>
                <w:sz w:val="24"/>
                <w:szCs w:val="24"/>
              </w:rPr>
              <w:t>AKTIVA</w:t>
            </w:r>
          </w:p>
        </w:tc>
        <w:tc>
          <w:tcPr>
            <w:tcW w:w="1492" w:type="dxa"/>
            <w:tcBorders>
              <w:top w:val="single" w:sz="4" w:space="0" w:color="auto"/>
              <w:left w:val="nil"/>
              <w:bottom w:val="single" w:sz="4" w:space="0" w:color="auto"/>
              <w:right w:val="single" w:sz="4" w:space="0" w:color="auto"/>
            </w:tcBorders>
            <w:shd w:val="clear" w:color="auto" w:fill="4F81BD" w:themeFill="accent1"/>
            <w:noWrap/>
            <w:vAlign w:val="bottom"/>
          </w:tcPr>
          <w:p w:rsidR="00EF62FF" w:rsidRPr="006E6D1F" w:rsidRDefault="00EF62FF" w:rsidP="0066075A">
            <w:pPr>
              <w:spacing w:after="0" w:line="240" w:lineRule="auto"/>
              <w:rPr>
                <w:rFonts w:cs="Arial"/>
                <w:color w:val="FFFFFF" w:themeColor="background1"/>
                <w:sz w:val="24"/>
                <w:szCs w:val="24"/>
              </w:rPr>
            </w:pPr>
            <w:r w:rsidRPr="006E6D1F">
              <w:rPr>
                <w:rFonts w:cs="Arial"/>
                <w:color w:val="FFFFFF" w:themeColor="background1"/>
                <w:sz w:val="24"/>
                <w:szCs w:val="24"/>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Gotovina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Novac na tekućem računu</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12.000,00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Novac na štednom računu</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6.000,00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Oročeni depoziti u banci</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12.000,00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Zalihe hrane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3.000,00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Ulozi u investicijske fondove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Dionice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Obveznice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10.000,00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Mirovinsko osiguranje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40.000,00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Životno osiguranje s obilježjem štednje (otkupna vrijednost police)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40.000,00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Automobil (tržišna vrijednost)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80.000,00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Pokućstvo i kućanski aparati (tržišna vrijednost)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20.000,00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Umjetničke slike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38.000,00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Nakit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20.000,00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Kompjuter (tržišna vrijednost)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2.000,00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7706BF" w:rsidP="007706BF">
            <w:pPr>
              <w:spacing w:after="0" w:line="240" w:lineRule="auto"/>
              <w:rPr>
                <w:rFonts w:cs="Arial"/>
              </w:rPr>
            </w:pPr>
            <w:r w:rsidRPr="00804BF4">
              <w:rPr>
                <w:rFonts w:cs="Arial"/>
              </w:rPr>
              <w:t>V</w:t>
            </w:r>
            <w:r w:rsidR="00EF62FF" w:rsidRPr="00804BF4">
              <w:rPr>
                <w:rFonts w:cs="Arial"/>
              </w:rPr>
              <w:t>ideo oprema (tržišna vrijednost)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Stan</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900.000,00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Građevinska parcela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400.000,00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Kuća za odmor</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Neto vrijednost radne snage zaposlenih članova kućanstva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3.000.000,00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UKUPNO IMOVINA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4.613.000,00</w:t>
            </w:r>
          </w:p>
        </w:tc>
      </w:tr>
    </w:tbl>
    <w:p w:rsidR="00EF62FF" w:rsidRPr="00804BF4" w:rsidRDefault="00EF62FF" w:rsidP="00EF62FF">
      <w:pPr>
        <w:tabs>
          <w:tab w:val="left" w:pos="1300"/>
        </w:tabs>
        <w:spacing w:after="0" w:line="240" w:lineRule="auto"/>
        <w:jc w:val="both"/>
        <w:rPr>
          <w:rFonts w:cs="TimesNewRoman"/>
        </w:rPr>
      </w:pPr>
    </w:p>
    <w:tbl>
      <w:tblPr>
        <w:tblW w:w="7807" w:type="dxa"/>
        <w:tblInd w:w="93" w:type="dxa"/>
        <w:tblLook w:val="0000" w:firstRow="0" w:lastRow="0" w:firstColumn="0" w:lastColumn="0" w:noHBand="0" w:noVBand="0"/>
      </w:tblPr>
      <w:tblGrid>
        <w:gridCol w:w="6315"/>
        <w:gridCol w:w="1492"/>
      </w:tblGrid>
      <w:tr w:rsidR="00EF62FF" w:rsidRPr="00804BF4" w:rsidTr="006E6D1F">
        <w:trPr>
          <w:trHeight w:val="255"/>
        </w:trPr>
        <w:tc>
          <w:tcPr>
            <w:tcW w:w="6315"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EF62FF" w:rsidRPr="006E6D1F" w:rsidRDefault="00EF62FF" w:rsidP="0066075A">
            <w:pPr>
              <w:spacing w:after="0" w:line="240" w:lineRule="auto"/>
              <w:jc w:val="center"/>
              <w:rPr>
                <w:rFonts w:cs="Arial"/>
                <w:b/>
                <w:color w:val="FFFFFF" w:themeColor="background1"/>
                <w:sz w:val="24"/>
                <w:szCs w:val="24"/>
              </w:rPr>
            </w:pPr>
            <w:r w:rsidRPr="006E6D1F">
              <w:rPr>
                <w:rFonts w:cs="Arial"/>
                <w:b/>
                <w:color w:val="FFFFFF" w:themeColor="background1"/>
                <w:sz w:val="24"/>
                <w:szCs w:val="24"/>
              </w:rPr>
              <w:t>PASIVA</w:t>
            </w:r>
          </w:p>
        </w:tc>
        <w:tc>
          <w:tcPr>
            <w:tcW w:w="1492" w:type="dxa"/>
            <w:tcBorders>
              <w:top w:val="single" w:sz="4" w:space="0" w:color="auto"/>
              <w:left w:val="nil"/>
              <w:bottom w:val="single" w:sz="4" w:space="0" w:color="auto"/>
              <w:right w:val="single" w:sz="4" w:space="0" w:color="auto"/>
            </w:tcBorders>
            <w:shd w:val="clear" w:color="auto" w:fill="4F81BD" w:themeFill="accent1"/>
            <w:noWrap/>
            <w:vAlign w:val="bottom"/>
          </w:tcPr>
          <w:p w:rsidR="00EF62FF" w:rsidRPr="006E6D1F" w:rsidRDefault="00EF62FF" w:rsidP="0066075A">
            <w:pPr>
              <w:spacing w:after="0" w:line="240" w:lineRule="auto"/>
              <w:rPr>
                <w:rFonts w:cs="Arial"/>
                <w:color w:val="FFFFFF" w:themeColor="background1"/>
                <w:sz w:val="24"/>
                <w:szCs w:val="24"/>
              </w:rPr>
            </w:pPr>
            <w:r w:rsidRPr="006E6D1F">
              <w:rPr>
                <w:rFonts w:cs="Arial"/>
                <w:color w:val="FFFFFF" w:themeColor="background1"/>
                <w:sz w:val="24"/>
                <w:szCs w:val="24"/>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xml:space="preserve">Nepodmireni </w:t>
            </w:r>
            <w:r w:rsidR="00680BC3" w:rsidRPr="00804BF4">
              <w:rPr>
                <w:rFonts w:cs="Arial"/>
              </w:rPr>
              <w:t>liječnički</w:t>
            </w:r>
            <w:r w:rsidRPr="00804BF4">
              <w:rPr>
                <w:rFonts w:cs="Arial"/>
              </w:rPr>
              <w:t xml:space="preserve"> računi</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Obveze po kreditnim karticama</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Gotovinski nenamjenski kredit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Stambeni kredit</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500.000,00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Kredit za auto</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rPr>
            </w:pPr>
            <w:r w:rsidRPr="00804BF4">
              <w:rPr>
                <w:rFonts w:cs="Arial"/>
              </w:rPr>
              <w:t>70.000,00</w:t>
            </w:r>
          </w:p>
        </w:tc>
      </w:tr>
      <w:tr w:rsidR="00B20BF7"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B20BF7" w:rsidRPr="00804BF4" w:rsidRDefault="00B20BF7" w:rsidP="0066075A">
            <w:pPr>
              <w:spacing w:after="0" w:line="240" w:lineRule="auto"/>
              <w:rPr>
                <w:rFonts w:cs="Arial"/>
                <w:b/>
              </w:rPr>
            </w:pPr>
          </w:p>
        </w:tc>
        <w:tc>
          <w:tcPr>
            <w:tcW w:w="1492" w:type="dxa"/>
            <w:tcBorders>
              <w:top w:val="nil"/>
              <w:left w:val="nil"/>
              <w:bottom w:val="single" w:sz="4" w:space="0" w:color="auto"/>
              <w:right w:val="single" w:sz="4" w:space="0" w:color="auto"/>
            </w:tcBorders>
            <w:shd w:val="clear" w:color="auto" w:fill="auto"/>
            <w:noWrap/>
            <w:vAlign w:val="bottom"/>
          </w:tcPr>
          <w:p w:rsidR="00B20BF7" w:rsidRPr="00804BF4" w:rsidRDefault="00B20BF7" w:rsidP="0066075A">
            <w:pPr>
              <w:spacing w:after="0" w:line="240" w:lineRule="auto"/>
              <w:jc w:val="right"/>
              <w:rPr>
                <w:rFonts w:cs="Arial"/>
                <w:b/>
              </w:rPr>
            </w:pP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UKUPNO OBVEZE</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580.000,00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 </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VLASTITI KAPITAL (neto vrijednost imovine, bogatstvo)</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4.033.000,00</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rPr>
            </w:pPr>
            <w:r w:rsidRPr="00804BF4">
              <w:rPr>
                <w:rFonts w:cs="Arial"/>
              </w:rPr>
              <w:t> </w:t>
            </w:r>
          </w:p>
        </w:tc>
      </w:tr>
      <w:tr w:rsidR="00EF62FF" w:rsidRPr="00804BF4" w:rsidTr="0066075A">
        <w:trPr>
          <w:trHeight w:val="255"/>
        </w:trPr>
        <w:tc>
          <w:tcPr>
            <w:tcW w:w="6315" w:type="dxa"/>
            <w:tcBorders>
              <w:top w:val="nil"/>
              <w:left w:val="single" w:sz="4" w:space="0" w:color="auto"/>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rPr>
                <w:rFonts w:cs="Arial"/>
                <w:b/>
              </w:rPr>
            </w:pPr>
            <w:r w:rsidRPr="00804BF4">
              <w:rPr>
                <w:rFonts w:cs="Arial"/>
                <w:b/>
              </w:rPr>
              <w:t>UKUPNO OBVEZE I KAPITAL</w:t>
            </w:r>
          </w:p>
        </w:tc>
        <w:tc>
          <w:tcPr>
            <w:tcW w:w="1492" w:type="dxa"/>
            <w:tcBorders>
              <w:top w:val="nil"/>
              <w:left w:val="nil"/>
              <w:bottom w:val="single" w:sz="4" w:space="0" w:color="auto"/>
              <w:right w:val="single" w:sz="4" w:space="0" w:color="auto"/>
            </w:tcBorders>
            <w:shd w:val="clear" w:color="auto" w:fill="auto"/>
            <w:noWrap/>
            <w:vAlign w:val="bottom"/>
          </w:tcPr>
          <w:p w:rsidR="00EF62FF" w:rsidRPr="00804BF4" w:rsidRDefault="00EF62FF" w:rsidP="0066075A">
            <w:pPr>
              <w:spacing w:after="0" w:line="240" w:lineRule="auto"/>
              <w:jc w:val="right"/>
              <w:rPr>
                <w:rFonts w:cs="Arial"/>
                <w:b/>
              </w:rPr>
            </w:pPr>
            <w:r w:rsidRPr="00804BF4">
              <w:rPr>
                <w:rFonts w:cs="Arial"/>
                <w:b/>
              </w:rPr>
              <w:t>4.613.000,00</w:t>
            </w:r>
          </w:p>
        </w:tc>
      </w:tr>
    </w:tbl>
    <w:p w:rsidR="003B34FA" w:rsidRDefault="003B34FA" w:rsidP="00316230">
      <w:pPr>
        <w:tabs>
          <w:tab w:val="left" w:pos="1300"/>
        </w:tabs>
        <w:spacing w:line="240" w:lineRule="auto"/>
        <w:jc w:val="both"/>
        <w:rPr>
          <w:b/>
          <w:sz w:val="24"/>
          <w:szCs w:val="24"/>
        </w:rPr>
      </w:pPr>
    </w:p>
    <w:p w:rsidR="00EF62FF" w:rsidRPr="008A2C17" w:rsidRDefault="00EF62FF" w:rsidP="00316230">
      <w:pPr>
        <w:tabs>
          <w:tab w:val="left" w:pos="1300"/>
        </w:tabs>
        <w:spacing w:line="240" w:lineRule="auto"/>
        <w:jc w:val="both"/>
        <w:rPr>
          <w:b/>
          <w:sz w:val="24"/>
          <w:szCs w:val="24"/>
        </w:rPr>
      </w:pPr>
      <w:r w:rsidRPr="008A2C17">
        <w:rPr>
          <w:b/>
          <w:sz w:val="24"/>
          <w:szCs w:val="24"/>
        </w:rPr>
        <w:lastRenderedPageBreak/>
        <w:t>Tablica 13: Izračun permanentnog dohotka kućanstva i neto vrijednosti radne snage zaposlenih članova kućanstva</w:t>
      </w:r>
    </w:p>
    <w:tbl>
      <w:tblPr>
        <w:tblW w:w="9415" w:type="dxa"/>
        <w:tblInd w:w="93" w:type="dxa"/>
        <w:tblLook w:val="0000" w:firstRow="0" w:lastRow="0" w:firstColumn="0" w:lastColumn="0" w:noHBand="0" w:noVBand="0"/>
      </w:tblPr>
      <w:tblGrid>
        <w:gridCol w:w="1573"/>
        <w:gridCol w:w="1942"/>
        <w:gridCol w:w="1600"/>
        <w:gridCol w:w="2000"/>
        <w:gridCol w:w="2300"/>
      </w:tblGrid>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Godina t</w:t>
            </w:r>
          </w:p>
          <w:p w:rsidR="00EF62FF" w:rsidRPr="008A2C17" w:rsidRDefault="00EF62FF" w:rsidP="0066075A">
            <w:p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Neto raspoloživi godišnji dohodak kućanstva  u godini t</w:t>
            </w:r>
          </w:p>
          <w:p w:rsidR="00EF62FF" w:rsidRPr="008A2C17" w:rsidRDefault="00EF62FF" w:rsidP="0066075A">
            <w:pPr>
              <w:spacing w:after="0" w:line="240" w:lineRule="auto"/>
              <w:jc w:val="center"/>
            </w:pP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rPr>
                <w:position w:val="-30"/>
              </w:rPr>
              <w:object w:dxaOrig="1100" w:dyaOrig="680">
                <v:shape id="_x0000_i1034" type="#_x0000_t75" style="width:54.75pt;height:33.75pt" o:ole="">
                  <v:imagedata r:id="rId62" o:title=""/>
                </v:shape>
                <o:OLEObject Type="Embed" ProgID="Equation.3" ShapeID="_x0000_i1034" DrawAspect="Content" ObjectID="_1505681362" r:id="rId63"/>
              </w:object>
            </w:r>
          </w:p>
          <w:p w:rsidR="00EF62FF" w:rsidRPr="008A2C17" w:rsidRDefault="00EF62FF" w:rsidP="0066075A">
            <w:pPr>
              <w:spacing w:after="0" w:line="240" w:lineRule="auto"/>
              <w:jc w:val="center"/>
            </w:pP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Sadašnja vrijednost neto raspoloživog dohotka kućanstva u godini t</w:t>
            </w:r>
          </w:p>
          <w:p w:rsidR="00EF62FF" w:rsidRPr="008A2C17" w:rsidRDefault="00EF62FF" w:rsidP="0066075A">
            <w:pPr>
              <w:spacing w:after="0" w:line="240" w:lineRule="auto"/>
              <w:jc w:val="center"/>
            </w:pP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Prosječni godišnji dohodak kućanstva,  permanentni dohodak kućanstva u godini t</w:t>
            </w:r>
          </w:p>
          <w:p w:rsidR="00EF62FF" w:rsidRPr="008A2C17" w:rsidRDefault="00EF62FF" w:rsidP="0066075A">
            <w:pPr>
              <w:spacing w:after="0" w:line="240" w:lineRule="auto"/>
              <w:jc w:val="center"/>
            </w:pP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(3)</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(4 = 2*3)</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(5)</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96.900,00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0,980392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95.000,00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101.959,20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0,961169</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98.000,00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105.059,59</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0,942322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99.000,00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113.655,38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0,923846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105.000,00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115.928,48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0,905731</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105.000,00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129.508,68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0,887972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133.247,54</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0,87056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116.000,00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137.084,15</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0,853491</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117.000,00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143.411,11</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0,836755</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146.279,33</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0,820349</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149.204,92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0,804263</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152.189,02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0,788493</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155.232,80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0,773032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158.337,45</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0,757875</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165.541,81</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0,743015</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123.000,00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170.225,43</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0,728446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124.000,00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175.030,18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0,714163</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178.530,78</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0,700159</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182.101,40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0,686431</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185.743,42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0,672972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125.000,00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192.489,63</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0,659776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127.000,00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205.615,30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0,646839</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133.000,00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219.189,00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0,634156</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139.000,00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228.398,09</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0,621722</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142.000,00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F1C04">
            <w:pPr>
              <w:numPr>
                <w:ilvl w:val="0"/>
                <w:numId w:val="17"/>
              </w:numPr>
              <w:spacing w:after="0" w:line="240" w:lineRule="auto"/>
              <w:jc w:val="center"/>
            </w:pP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232.966,05</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0,609531</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142.000,00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tcPr>
          <w:p w:rsidR="00EF62FF" w:rsidRPr="008A2C17" w:rsidRDefault="00EF62FF" w:rsidP="0066075A">
            <w:pPr>
              <w:spacing w:after="0" w:line="240" w:lineRule="auto"/>
              <w:jc w:val="center"/>
            </w:pPr>
            <w:r w:rsidRPr="008A2C17">
              <w:t>120.000,00</w:t>
            </w:r>
          </w:p>
        </w:tc>
      </w:tr>
      <w:tr w:rsidR="00EF62FF" w:rsidRPr="008A2C17" w:rsidTr="0066075A">
        <w:trPr>
          <w:trHeight w:val="255"/>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pPr>
          </w:p>
        </w:tc>
        <w:tc>
          <w:tcPr>
            <w:tcW w:w="3542"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UKUPNO - NETO VRIJEDNOST RADNE SNAGE</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3.000.000,00</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62FF" w:rsidRPr="008A2C17" w:rsidRDefault="00EF62FF" w:rsidP="0066075A">
            <w:pPr>
              <w:spacing w:after="0" w:line="240" w:lineRule="auto"/>
              <w:jc w:val="center"/>
            </w:pPr>
            <w:r w:rsidRPr="008A2C17">
              <w:t>3.000.000,00</w:t>
            </w:r>
          </w:p>
        </w:tc>
      </w:tr>
    </w:tbl>
    <w:p w:rsidR="002B52B6" w:rsidRDefault="002A4C95" w:rsidP="00FE0EA5">
      <w:pPr>
        <w:spacing w:before="240"/>
        <w:jc w:val="both"/>
        <w:rPr>
          <w:sz w:val="24"/>
          <w:szCs w:val="24"/>
        </w:rPr>
      </w:pPr>
      <w:r>
        <w:rPr>
          <w:sz w:val="24"/>
          <w:szCs w:val="24"/>
        </w:rPr>
        <w:t xml:space="preserve">Uključivanjem neto vrijednosti radne snage u bilancu kućanstva jasnije je vidljiva veza između </w:t>
      </w:r>
      <w:r w:rsidR="00FE0EA5">
        <w:rPr>
          <w:sz w:val="24"/>
          <w:szCs w:val="24"/>
        </w:rPr>
        <w:t>planiranja osobne financijske pozicije i tematike koja je obrađena u prvom poglavlju</w:t>
      </w:r>
      <w:r>
        <w:rPr>
          <w:sz w:val="24"/>
          <w:szCs w:val="24"/>
        </w:rPr>
        <w:t xml:space="preserve"> </w:t>
      </w:r>
      <w:r w:rsidR="00A969A8">
        <w:rPr>
          <w:sz w:val="24"/>
          <w:szCs w:val="24"/>
        </w:rPr>
        <w:t xml:space="preserve">uključujući važnost obrazovanja, ljudskog kapitala i izbora karijere. </w:t>
      </w:r>
      <w:r w:rsidR="00FE0EA5">
        <w:rPr>
          <w:sz w:val="24"/>
          <w:szCs w:val="24"/>
        </w:rPr>
        <w:t xml:space="preserve">U mnogim zemljama pa tako i u Hrvatskoj, </w:t>
      </w:r>
      <w:r w:rsidR="00FE0EA5" w:rsidRPr="00A969A8">
        <w:rPr>
          <w:sz w:val="24"/>
          <w:szCs w:val="24"/>
        </w:rPr>
        <w:t xml:space="preserve">razlike u obrazovanju i drugim elementima formiranog ljudskog kapitala </w:t>
      </w:r>
      <w:r w:rsidR="00FE0EA5" w:rsidRPr="000B3355">
        <w:rPr>
          <w:color w:val="C00000"/>
          <w:sz w:val="24"/>
          <w:szCs w:val="24"/>
        </w:rPr>
        <w:t>jed</w:t>
      </w:r>
      <w:r w:rsidR="00FE0EA5">
        <w:rPr>
          <w:color w:val="C00000"/>
          <w:sz w:val="24"/>
          <w:szCs w:val="24"/>
        </w:rPr>
        <w:t>ne</w:t>
      </w:r>
      <w:r w:rsidR="00FE0EA5" w:rsidRPr="000B3355">
        <w:rPr>
          <w:color w:val="C00000"/>
          <w:sz w:val="24"/>
          <w:szCs w:val="24"/>
        </w:rPr>
        <w:t xml:space="preserve"> su od </w:t>
      </w:r>
      <w:r w:rsidR="00FE0EA5">
        <w:rPr>
          <w:color w:val="C00000"/>
          <w:sz w:val="24"/>
          <w:szCs w:val="24"/>
        </w:rPr>
        <w:t xml:space="preserve">signifikantnih faktora </w:t>
      </w:r>
      <w:r w:rsidR="00FE0EA5" w:rsidRPr="000B3355">
        <w:rPr>
          <w:color w:val="C00000"/>
          <w:sz w:val="24"/>
          <w:szCs w:val="24"/>
        </w:rPr>
        <w:t>nejednakosti u veličini dohotka od rada</w:t>
      </w:r>
      <w:r w:rsidR="00FE0EA5" w:rsidRPr="00C40712">
        <w:rPr>
          <w:sz w:val="24"/>
          <w:szCs w:val="24"/>
        </w:rPr>
        <w:t>, a one s</w:t>
      </w:r>
      <w:r w:rsidR="00B254FB">
        <w:rPr>
          <w:sz w:val="24"/>
          <w:szCs w:val="24"/>
        </w:rPr>
        <w:t>u</w:t>
      </w:r>
      <w:r w:rsidR="00FE0EA5" w:rsidRPr="00C40712">
        <w:rPr>
          <w:sz w:val="24"/>
          <w:szCs w:val="24"/>
        </w:rPr>
        <w:t xml:space="preserve"> potom kroz cijeli životni vijek </w:t>
      </w:r>
      <w:r w:rsidR="00B254FB">
        <w:rPr>
          <w:sz w:val="24"/>
          <w:szCs w:val="24"/>
        </w:rPr>
        <w:t xml:space="preserve">također </w:t>
      </w:r>
      <w:r w:rsidR="00FE0EA5" w:rsidRPr="00C40712">
        <w:rPr>
          <w:sz w:val="24"/>
          <w:szCs w:val="24"/>
        </w:rPr>
        <w:t xml:space="preserve">i razlog postojanja </w:t>
      </w:r>
      <w:r w:rsidR="002B52B6" w:rsidRPr="00C40712">
        <w:rPr>
          <w:sz w:val="24"/>
          <w:szCs w:val="24"/>
        </w:rPr>
        <w:t xml:space="preserve">te produbljivanja </w:t>
      </w:r>
      <w:r w:rsidR="00FE0EA5" w:rsidRPr="00C40712">
        <w:rPr>
          <w:sz w:val="24"/>
          <w:szCs w:val="24"/>
        </w:rPr>
        <w:t xml:space="preserve">značajnih </w:t>
      </w:r>
      <w:r w:rsidR="00FE0EA5">
        <w:rPr>
          <w:color w:val="C00000"/>
          <w:sz w:val="24"/>
          <w:szCs w:val="24"/>
        </w:rPr>
        <w:t xml:space="preserve">razlika u visini imovine i bogatstva </w:t>
      </w:r>
      <w:r w:rsidR="00C40712">
        <w:rPr>
          <w:color w:val="C00000"/>
          <w:sz w:val="24"/>
          <w:szCs w:val="24"/>
        </w:rPr>
        <w:t xml:space="preserve">pojedinačnih </w:t>
      </w:r>
      <w:r w:rsidR="00FE0EA5">
        <w:rPr>
          <w:color w:val="C00000"/>
          <w:sz w:val="24"/>
          <w:szCs w:val="24"/>
        </w:rPr>
        <w:t>kućanstva</w:t>
      </w:r>
      <w:r w:rsidR="00FE0EA5">
        <w:rPr>
          <w:sz w:val="24"/>
          <w:szCs w:val="24"/>
        </w:rPr>
        <w:t xml:space="preserve">. </w:t>
      </w:r>
    </w:p>
    <w:p w:rsidR="00FE0EA5" w:rsidRDefault="002B52B6" w:rsidP="00FE0EA5">
      <w:pPr>
        <w:spacing w:before="240"/>
        <w:jc w:val="both"/>
        <w:rPr>
          <w:sz w:val="24"/>
          <w:szCs w:val="24"/>
        </w:rPr>
      </w:pPr>
      <w:r>
        <w:rPr>
          <w:sz w:val="24"/>
          <w:szCs w:val="24"/>
        </w:rPr>
        <w:t>Prihvaćajući napor, odricanja te marljiv rad i učenje tijekom srednje škole i studija na fakultetu (odnosno njegovim</w:t>
      </w:r>
      <w:r w:rsidR="0042540B">
        <w:rPr>
          <w:sz w:val="24"/>
          <w:szCs w:val="24"/>
        </w:rPr>
        <w:t xml:space="preserve"> upisom i </w:t>
      </w:r>
      <w:r>
        <w:rPr>
          <w:sz w:val="24"/>
          <w:szCs w:val="24"/>
        </w:rPr>
        <w:t>završetkom</w:t>
      </w:r>
      <w:r w:rsidR="0042540B">
        <w:rPr>
          <w:sz w:val="24"/>
          <w:szCs w:val="24"/>
        </w:rPr>
        <w:t xml:space="preserve"> – a nikada nije kasno</w:t>
      </w:r>
      <w:r>
        <w:rPr>
          <w:sz w:val="24"/>
          <w:szCs w:val="24"/>
        </w:rPr>
        <w:t xml:space="preserve">), izborom srednje </w:t>
      </w:r>
      <w:r>
        <w:rPr>
          <w:sz w:val="24"/>
          <w:szCs w:val="24"/>
        </w:rPr>
        <w:lastRenderedPageBreak/>
        <w:t>škole i fakulteta koji će opisati (s obzirom na razlike u plaćama za različita radna mjesta i struke s visokom stručnom spremom, kod</w:t>
      </w:r>
      <w:r w:rsidR="004C7270">
        <w:rPr>
          <w:sz w:val="24"/>
          <w:szCs w:val="24"/>
        </w:rPr>
        <w:t xml:space="preserve"> različitih poslodavaca), kao i dodatnim ulaganjem u brojna znanja i vještine - </w:t>
      </w:r>
      <w:r>
        <w:rPr>
          <w:sz w:val="24"/>
          <w:szCs w:val="24"/>
        </w:rPr>
        <w:t xml:space="preserve">svaki pojedinac </w:t>
      </w:r>
      <w:r w:rsidRPr="004C7270">
        <w:rPr>
          <w:color w:val="C00000"/>
          <w:sz w:val="24"/>
          <w:szCs w:val="24"/>
        </w:rPr>
        <w:t xml:space="preserve">ne samo da izabire karijeru </w:t>
      </w:r>
      <w:r w:rsidRPr="004C7270">
        <w:rPr>
          <w:sz w:val="24"/>
          <w:szCs w:val="24"/>
        </w:rPr>
        <w:t xml:space="preserve">i posao koji želi raditi, </w:t>
      </w:r>
      <w:r w:rsidRPr="004C7270">
        <w:rPr>
          <w:color w:val="C00000"/>
          <w:sz w:val="24"/>
          <w:szCs w:val="24"/>
        </w:rPr>
        <w:t>nego planira i osobnu financijsku budućnost</w:t>
      </w:r>
      <w:r w:rsidR="002C63A3" w:rsidRPr="004C7270">
        <w:rPr>
          <w:color w:val="C00000"/>
          <w:sz w:val="24"/>
          <w:szCs w:val="24"/>
        </w:rPr>
        <w:t xml:space="preserve"> </w:t>
      </w:r>
      <w:r w:rsidR="002C63A3" w:rsidRPr="004C7270">
        <w:rPr>
          <w:sz w:val="24"/>
          <w:szCs w:val="24"/>
        </w:rPr>
        <w:t>uz koju se vežu svi kasniji financijski ciljevi i mogućnosti</w:t>
      </w:r>
      <w:r w:rsidRPr="004C7270">
        <w:rPr>
          <w:sz w:val="24"/>
          <w:szCs w:val="24"/>
        </w:rPr>
        <w:t xml:space="preserve">. </w:t>
      </w:r>
    </w:p>
    <w:p w:rsidR="00395AF2" w:rsidRDefault="00FA5C90" w:rsidP="00FE0EA5">
      <w:pPr>
        <w:spacing w:before="240"/>
        <w:jc w:val="both"/>
        <w:rPr>
          <w:sz w:val="24"/>
          <w:szCs w:val="24"/>
        </w:rPr>
      </w:pPr>
      <w:r>
        <w:rPr>
          <w:sz w:val="24"/>
          <w:szCs w:val="24"/>
        </w:rPr>
        <w:t>Praktično to znači da je s navršenih 30 ili 40 godina života relativno teško provesti strukturne promjene faktora koji se primarno odražavaju na visinu dohotka. Međutim, iskustva brojnih osoba dokazuju da nije kasn</w:t>
      </w:r>
      <w:r w:rsidR="00A2323C">
        <w:rPr>
          <w:sz w:val="24"/>
          <w:szCs w:val="24"/>
        </w:rPr>
        <w:t>o</w:t>
      </w:r>
      <w:r>
        <w:rPr>
          <w:sz w:val="24"/>
          <w:szCs w:val="24"/>
        </w:rPr>
        <w:t xml:space="preserve"> niti tada upisati studij ili različite programe edukacije kako bi se steklo odgovarajuće kvalifikacije odnosno nova znanja i vještine ko</w:t>
      </w:r>
      <w:r w:rsidR="00395AF2">
        <w:rPr>
          <w:sz w:val="24"/>
          <w:szCs w:val="24"/>
        </w:rPr>
        <w:t xml:space="preserve">je su potrebne na tržištu rada ili koje otvaraju mogućnost za veću zaradu. </w:t>
      </w:r>
    </w:p>
    <w:p w:rsidR="00FA5C90" w:rsidRPr="004C7270" w:rsidRDefault="00395AF2" w:rsidP="00FE0EA5">
      <w:pPr>
        <w:spacing w:before="240"/>
        <w:jc w:val="both"/>
        <w:rPr>
          <w:sz w:val="24"/>
          <w:szCs w:val="24"/>
        </w:rPr>
      </w:pPr>
      <w:r>
        <w:rPr>
          <w:sz w:val="24"/>
          <w:szCs w:val="24"/>
        </w:rPr>
        <w:t xml:space="preserve">Vrlo čest je slučaj da se osobe moraju </w:t>
      </w:r>
      <w:r w:rsidRPr="00395AF2">
        <w:rPr>
          <w:color w:val="C00000"/>
          <w:sz w:val="24"/>
          <w:szCs w:val="24"/>
        </w:rPr>
        <w:t>prekvalificirati</w:t>
      </w:r>
      <w:r>
        <w:rPr>
          <w:sz w:val="24"/>
          <w:szCs w:val="24"/>
        </w:rPr>
        <w:t xml:space="preserve"> jer u njihovoj struci ne postoji dostatna potražnja za radom. Koliko će takve mogućnosti pojedinac iskoristiti ovisi primarno o njemu, ali i troškovima koji taj proces donosi. Dijelom su u tu svrhu osigurana sredstva državne potpore te je stoga preko Zavoda za zapošljavanje ili drugih institucija potrebno ispitati mogućnosti koje postoje. Naposljetku, dok neka radna mjesta i potrebe za određenim kvalifikacijama izumiru u pojedinoj zemlji (npr. Hrvatskoj kao primjeru zemlje s izraženim procesom deindustrijalizacije) ona i dalje postoje ili se čak dodatno razvijaju u drugim zemljama. Odlazak </w:t>
      </w:r>
      <w:r w:rsidRPr="00395AF2">
        <w:rPr>
          <w:color w:val="C00000"/>
          <w:sz w:val="24"/>
          <w:szCs w:val="24"/>
        </w:rPr>
        <w:t xml:space="preserve">na rad u inozemstvo </w:t>
      </w:r>
      <w:r>
        <w:rPr>
          <w:sz w:val="24"/>
          <w:szCs w:val="24"/>
        </w:rPr>
        <w:t>stoga je također jedna od opcija mogućnosti da pojedinac iskoristi vlastiti ljudski kapital i prilike za zaradu, odnosno u većoj mjeri pridonese rastu  prihoda i poboljšanju financijske pozicije svoje obitelji. Za to su uglavnom potrebna znanja stranih jezika, a upravo je to jedna od komponenti ljudskog kapitala u koju treba ulagati cijeli život radi postizanja većeg stupnja vlastite mobilnosti.</w:t>
      </w:r>
    </w:p>
    <w:p w:rsidR="00880362" w:rsidRPr="00395AF2" w:rsidRDefault="002C63A3" w:rsidP="00316230">
      <w:pPr>
        <w:spacing w:before="240" w:after="0" w:line="240" w:lineRule="auto"/>
        <w:jc w:val="both"/>
        <w:rPr>
          <w:b/>
          <w:sz w:val="24"/>
          <w:szCs w:val="24"/>
        </w:rPr>
      </w:pPr>
      <w:r w:rsidRPr="00395AF2">
        <w:rPr>
          <w:b/>
          <w:sz w:val="24"/>
          <w:szCs w:val="24"/>
        </w:rPr>
        <w:t>2.</w:t>
      </w:r>
      <w:r w:rsidR="00C103F2">
        <w:rPr>
          <w:b/>
          <w:sz w:val="24"/>
          <w:szCs w:val="24"/>
        </w:rPr>
        <w:t>5</w:t>
      </w:r>
      <w:r w:rsidRPr="00395AF2">
        <w:rPr>
          <w:b/>
          <w:sz w:val="24"/>
          <w:szCs w:val="24"/>
        </w:rPr>
        <w:t xml:space="preserve">. </w:t>
      </w:r>
      <w:r w:rsidR="004C7270" w:rsidRPr="00395AF2">
        <w:rPr>
          <w:b/>
          <w:sz w:val="24"/>
          <w:szCs w:val="24"/>
        </w:rPr>
        <w:t>Planiranje i ekonomske aktivnosti pojedinca u različitim etapama životnog vijeka: od</w:t>
      </w:r>
      <w:r w:rsidRPr="00395AF2">
        <w:rPr>
          <w:b/>
          <w:sz w:val="24"/>
          <w:szCs w:val="24"/>
        </w:rPr>
        <w:t>ređivanje financijskih ciljeva</w:t>
      </w:r>
    </w:p>
    <w:p w:rsidR="005B4427" w:rsidRDefault="005B4427" w:rsidP="005B4427">
      <w:pPr>
        <w:autoSpaceDE w:val="0"/>
        <w:autoSpaceDN w:val="0"/>
        <w:adjustRightInd w:val="0"/>
        <w:spacing w:before="240"/>
        <w:jc w:val="both"/>
        <w:rPr>
          <w:sz w:val="24"/>
          <w:szCs w:val="24"/>
        </w:rPr>
      </w:pPr>
      <w:r w:rsidRPr="005B4427">
        <w:rPr>
          <w:sz w:val="24"/>
          <w:szCs w:val="24"/>
        </w:rPr>
        <w:t xml:space="preserve">Ciljevi predstavljaju željena stanja i rezultate koje treba postići u određenom vremenu, slijedom planiranih aktivnosti. Potencijalni ciljevi mogu biti: veličina </w:t>
      </w:r>
      <w:r w:rsidR="00CC6CC0">
        <w:rPr>
          <w:sz w:val="24"/>
          <w:szCs w:val="24"/>
        </w:rPr>
        <w:t xml:space="preserve">štednje </w:t>
      </w:r>
      <w:r w:rsidRPr="005B4427">
        <w:rPr>
          <w:sz w:val="24"/>
          <w:szCs w:val="24"/>
        </w:rPr>
        <w:t xml:space="preserve"> koja se želi kumuli</w:t>
      </w:r>
      <w:r w:rsidR="007706BF">
        <w:rPr>
          <w:sz w:val="24"/>
          <w:szCs w:val="24"/>
        </w:rPr>
        <w:t>rati do odlaska u mirovinu, kupnja</w:t>
      </w:r>
      <w:r w:rsidRPr="005B4427">
        <w:rPr>
          <w:sz w:val="24"/>
          <w:szCs w:val="24"/>
        </w:rPr>
        <w:t xml:space="preserve"> stana uz kredit banke, formiranje ušteđevine za financiranje </w:t>
      </w:r>
      <w:r w:rsidR="007706BF">
        <w:rPr>
          <w:sz w:val="24"/>
          <w:szCs w:val="24"/>
        </w:rPr>
        <w:t xml:space="preserve">ljetnog </w:t>
      </w:r>
      <w:r w:rsidRPr="005B4427">
        <w:rPr>
          <w:sz w:val="24"/>
          <w:szCs w:val="24"/>
        </w:rPr>
        <w:t xml:space="preserve">godišnjeg odmora na moru </w:t>
      </w:r>
      <w:r w:rsidR="007706BF">
        <w:rPr>
          <w:sz w:val="24"/>
          <w:szCs w:val="24"/>
        </w:rPr>
        <w:t>i/</w:t>
      </w:r>
      <w:r w:rsidRPr="005B4427">
        <w:rPr>
          <w:sz w:val="24"/>
          <w:szCs w:val="24"/>
        </w:rPr>
        <w:t xml:space="preserve">ili </w:t>
      </w:r>
      <w:r w:rsidR="007706BF">
        <w:rPr>
          <w:sz w:val="24"/>
          <w:szCs w:val="24"/>
        </w:rPr>
        <w:t xml:space="preserve">zimskog odlaska na </w:t>
      </w:r>
      <w:r w:rsidRPr="005B4427">
        <w:rPr>
          <w:sz w:val="24"/>
          <w:szCs w:val="24"/>
        </w:rPr>
        <w:t>skijanj</w:t>
      </w:r>
      <w:r w:rsidR="007706BF">
        <w:rPr>
          <w:sz w:val="24"/>
          <w:szCs w:val="24"/>
        </w:rPr>
        <w:t>e</w:t>
      </w:r>
      <w:r w:rsidRPr="005B4427">
        <w:rPr>
          <w:sz w:val="24"/>
          <w:szCs w:val="24"/>
        </w:rPr>
        <w:t xml:space="preserve">. </w:t>
      </w:r>
      <w:r>
        <w:rPr>
          <w:sz w:val="24"/>
          <w:szCs w:val="24"/>
        </w:rPr>
        <w:t xml:space="preserve">Mogu biti </w:t>
      </w:r>
      <w:r w:rsidRPr="00395AF2">
        <w:rPr>
          <w:sz w:val="24"/>
          <w:szCs w:val="24"/>
        </w:rPr>
        <w:t xml:space="preserve">vezani uz nabavku proizvoda tekuće potrošnje, nabavku trajnih potrošnih dobara, kupovinu </w:t>
      </w:r>
      <w:r w:rsidR="007706BF">
        <w:rPr>
          <w:sz w:val="24"/>
          <w:szCs w:val="24"/>
        </w:rPr>
        <w:t>realnih vrijednosti</w:t>
      </w:r>
      <w:r w:rsidRPr="00395AF2">
        <w:rPr>
          <w:sz w:val="24"/>
          <w:szCs w:val="24"/>
        </w:rPr>
        <w:t>, financiranje zdravstvenih potreba, edukacije itd.</w:t>
      </w:r>
      <w:r>
        <w:rPr>
          <w:sz w:val="24"/>
          <w:szCs w:val="24"/>
        </w:rPr>
        <w:t xml:space="preserve"> </w:t>
      </w:r>
      <w:r w:rsidRPr="005B4427">
        <w:rPr>
          <w:sz w:val="24"/>
          <w:szCs w:val="24"/>
        </w:rPr>
        <w:t xml:space="preserve"> Ostvarivanje financijskih ciljeva usko je povezano s procesom upravljanja osobnim financijama i njegovom temeljnom svrhom - dostizanja one razine ekonomskog zadovoljstva i financijskog blagostanja uz koje se osoba osjeća sretnom i uz koju svoj život i financije ocjenjuje uspješnima. </w:t>
      </w:r>
    </w:p>
    <w:p w:rsidR="005B4427" w:rsidRPr="005B4427" w:rsidRDefault="005B4427" w:rsidP="005B4427">
      <w:pPr>
        <w:autoSpaceDE w:val="0"/>
        <w:autoSpaceDN w:val="0"/>
        <w:adjustRightInd w:val="0"/>
        <w:jc w:val="both"/>
        <w:rPr>
          <w:sz w:val="24"/>
          <w:szCs w:val="24"/>
        </w:rPr>
      </w:pPr>
      <w:r w:rsidRPr="005B4427">
        <w:rPr>
          <w:color w:val="C00000"/>
          <w:sz w:val="24"/>
          <w:szCs w:val="24"/>
        </w:rPr>
        <w:t>Ciljevi mogu biti općeniti ili konkretni</w:t>
      </w:r>
      <w:r w:rsidRPr="005B4427">
        <w:rPr>
          <w:sz w:val="24"/>
          <w:szCs w:val="24"/>
        </w:rPr>
        <w:t xml:space="preserve">. Općeniti ciljevi iskazuju što </w:t>
      </w:r>
      <w:r>
        <w:rPr>
          <w:sz w:val="24"/>
          <w:szCs w:val="24"/>
        </w:rPr>
        <w:t xml:space="preserve">se </w:t>
      </w:r>
      <w:r w:rsidRPr="005B4427">
        <w:rPr>
          <w:sz w:val="24"/>
          <w:szCs w:val="24"/>
        </w:rPr>
        <w:t>želi</w:t>
      </w:r>
      <w:r>
        <w:rPr>
          <w:sz w:val="24"/>
          <w:szCs w:val="24"/>
        </w:rPr>
        <w:t xml:space="preserve"> </w:t>
      </w:r>
      <w:r w:rsidRPr="005B4427">
        <w:rPr>
          <w:sz w:val="24"/>
          <w:szCs w:val="24"/>
        </w:rPr>
        <w:t>postići ili napraviti (n</w:t>
      </w:r>
      <w:r>
        <w:rPr>
          <w:sz w:val="24"/>
          <w:szCs w:val="24"/>
        </w:rPr>
        <w:t>pr</w:t>
      </w:r>
      <w:r w:rsidRPr="005B4427">
        <w:rPr>
          <w:sz w:val="24"/>
          <w:szCs w:val="24"/>
        </w:rPr>
        <w:t>. kupiti novi automobil</w:t>
      </w:r>
      <w:r>
        <w:rPr>
          <w:sz w:val="24"/>
          <w:szCs w:val="24"/>
        </w:rPr>
        <w:t>,</w:t>
      </w:r>
      <w:r w:rsidRPr="005B4427">
        <w:rPr>
          <w:sz w:val="24"/>
          <w:szCs w:val="24"/>
        </w:rPr>
        <w:t xml:space="preserve"> završiti poslijediplomski studij</w:t>
      </w:r>
      <w:r>
        <w:rPr>
          <w:sz w:val="24"/>
          <w:szCs w:val="24"/>
        </w:rPr>
        <w:t xml:space="preserve"> ili</w:t>
      </w:r>
      <w:r w:rsidRPr="005B4427">
        <w:rPr>
          <w:sz w:val="24"/>
          <w:szCs w:val="24"/>
        </w:rPr>
        <w:t xml:space="preserve"> naučiti dva strana jezika). Konkretni ciljevi iskazuju što</w:t>
      </w:r>
      <w:r>
        <w:rPr>
          <w:sz w:val="24"/>
          <w:szCs w:val="24"/>
        </w:rPr>
        <w:t xml:space="preserve">, </w:t>
      </w:r>
      <w:r w:rsidRPr="005B4427">
        <w:rPr>
          <w:sz w:val="24"/>
          <w:szCs w:val="24"/>
        </w:rPr>
        <w:t xml:space="preserve">koliko </w:t>
      </w:r>
      <w:r w:rsidR="007706BF">
        <w:rPr>
          <w:sz w:val="24"/>
          <w:szCs w:val="24"/>
        </w:rPr>
        <w:t>-</w:t>
      </w:r>
      <w:r w:rsidRPr="005B4427">
        <w:rPr>
          <w:sz w:val="24"/>
          <w:szCs w:val="24"/>
        </w:rPr>
        <w:t>u kojem opsegu</w:t>
      </w:r>
      <w:r>
        <w:rPr>
          <w:sz w:val="24"/>
          <w:szCs w:val="24"/>
        </w:rPr>
        <w:t>,</w:t>
      </w:r>
      <w:r w:rsidRPr="005B4427">
        <w:rPr>
          <w:sz w:val="24"/>
          <w:szCs w:val="24"/>
        </w:rPr>
        <w:t xml:space="preserve"> uz koji financijski ishod i kada treba učiniti.</w:t>
      </w:r>
      <w:r>
        <w:rPr>
          <w:sz w:val="24"/>
          <w:szCs w:val="24"/>
        </w:rPr>
        <w:t xml:space="preserve"> </w:t>
      </w:r>
      <w:r w:rsidRPr="005B4427">
        <w:rPr>
          <w:sz w:val="24"/>
          <w:szCs w:val="24"/>
        </w:rPr>
        <w:t>Osim definiranja krajnjih željenih stanja</w:t>
      </w:r>
      <w:r>
        <w:rPr>
          <w:sz w:val="24"/>
          <w:szCs w:val="24"/>
        </w:rPr>
        <w:t>,</w:t>
      </w:r>
      <w:r w:rsidRPr="005B4427">
        <w:rPr>
          <w:sz w:val="24"/>
          <w:szCs w:val="24"/>
        </w:rPr>
        <w:t xml:space="preserve"> poželjno je (</w:t>
      </w:r>
      <w:r w:rsidR="007706BF">
        <w:rPr>
          <w:sz w:val="24"/>
          <w:szCs w:val="24"/>
        </w:rPr>
        <w:t xml:space="preserve">ako je </w:t>
      </w:r>
      <w:r w:rsidRPr="005B4427">
        <w:rPr>
          <w:sz w:val="24"/>
          <w:szCs w:val="24"/>
        </w:rPr>
        <w:t xml:space="preserve">moguće) definirati i </w:t>
      </w:r>
      <w:r w:rsidRPr="0020068D">
        <w:rPr>
          <w:color w:val="C00000"/>
          <w:sz w:val="24"/>
          <w:szCs w:val="24"/>
        </w:rPr>
        <w:t xml:space="preserve">posredne ciljeve </w:t>
      </w:r>
      <w:r w:rsidRPr="005B4427">
        <w:rPr>
          <w:sz w:val="24"/>
          <w:szCs w:val="24"/>
        </w:rPr>
        <w:t xml:space="preserve">koji omogućuju pravovremenu kontrolu ostvarivanja krajnjih ciljeva. Obje </w:t>
      </w:r>
      <w:r w:rsidRPr="005B4427">
        <w:rPr>
          <w:sz w:val="24"/>
          <w:szCs w:val="24"/>
        </w:rPr>
        <w:lastRenderedPageBreak/>
        <w:t>kategorije ciljeva trebaju biti postavljen</w:t>
      </w:r>
      <w:r w:rsidR="007706BF">
        <w:rPr>
          <w:sz w:val="24"/>
          <w:szCs w:val="24"/>
        </w:rPr>
        <w:t>e</w:t>
      </w:r>
      <w:r w:rsidRPr="005B4427">
        <w:rPr>
          <w:sz w:val="24"/>
          <w:szCs w:val="24"/>
        </w:rPr>
        <w:t xml:space="preserve"> na način da željena stanja budu mjerljiva i vremenski određena.</w:t>
      </w:r>
    </w:p>
    <w:p w:rsidR="005B4427" w:rsidRPr="005B4427" w:rsidRDefault="005B4427" w:rsidP="005B4427">
      <w:pPr>
        <w:autoSpaceDE w:val="0"/>
        <w:autoSpaceDN w:val="0"/>
        <w:adjustRightInd w:val="0"/>
        <w:jc w:val="both"/>
        <w:rPr>
          <w:sz w:val="24"/>
          <w:szCs w:val="24"/>
        </w:rPr>
      </w:pPr>
      <w:r w:rsidRPr="005B4427">
        <w:rPr>
          <w:sz w:val="24"/>
          <w:szCs w:val="24"/>
        </w:rPr>
        <w:t>Valjanost postavljenih ekonomskih i financijskih ciljeva može</w:t>
      </w:r>
      <w:r>
        <w:rPr>
          <w:sz w:val="24"/>
          <w:szCs w:val="24"/>
        </w:rPr>
        <w:t xml:space="preserve"> se</w:t>
      </w:r>
      <w:r w:rsidRPr="005B4427">
        <w:rPr>
          <w:sz w:val="24"/>
          <w:szCs w:val="24"/>
        </w:rPr>
        <w:t xml:space="preserve"> provjeriti odgovorima na sljedeća pitanja: </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su željena stanja mjerljiva?</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su ciljevi kvantitativno, kvalitativno, vremenski i troškovno određeni?</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su ciljevi međusobno koordinirani?</w:t>
      </w:r>
    </w:p>
    <w:p w:rsidR="002E7FDC"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su ciljevi postavljeni prema prioritetu?</w:t>
      </w:r>
    </w:p>
    <w:p w:rsidR="00F01092" w:rsidRPr="002F626A" w:rsidRDefault="002E7FDC"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Koji se ciljevi mogu ostvariti u kratkom/ skorom roku</w:t>
      </w:r>
      <w:r w:rsidR="00F01092" w:rsidRPr="002F626A">
        <w:rPr>
          <w:sz w:val="24"/>
          <w:szCs w:val="24"/>
        </w:rPr>
        <w:t>?</w:t>
      </w:r>
    </w:p>
    <w:p w:rsidR="002E7FDC" w:rsidRPr="002F626A" w:rsidRDefault="00F01092"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 xml:space="preserve">Koji će se ciljevi </w:t>
      </w:r>
      <w:r w:rsidR="002E7FDC" w:rsidRPr="002F626A">
        <w:rPr>
          <w:sz w:val="24"/>
          <w:szCs w:val="24"/>
        </w:rPr>
        <w:t xml:space="preserve">moći ostvariti tek za nekoliko godina (odnosno u određenom </w:t>
      </w:r>
      <w:r w:rsidRPr="002F626A">
        <w:rPr>
          <w:sz w:val="24"/>
          <w:szCs w:val="24"/>
        </w:rPr>
        <w:t xml:space="preserve">dužem </w:t>
      </w:r>
      <w:r w:rsidR="002E7FDC" w:rsidRPr="002F626A">
        <w:rPr>
          <w:sz w:val="24"/>
          <w:szCs w:val="24"/>
        </w:rPr>
        <w:t>definiranom roku</w:t>
      </w:r>
      <w:r w:rsidRPr="002F626A">
        <w:rPr>
          <w:sz w:val="24"/>
          <w:szCs w:val="24"/>
        </w:rPr>
        <w:t xml:space="preserve"> ostvarenja</w:t>
      </w:r>
      <w:r w:rsidR="002E7FDC" w:rsidRPr="002F626A">
        <w:rPr>
          <w:sz w:val="24"/>
          <w:szCs w:val="24"/>
        </w:rPr>
        <w:t>)?</w:t>
      </w:r>
    </w:p>
    <w:p w:rsidR="006157A5" w:rsidRPr="002F626A" w:rsidRDefault="006157A5"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su ostvareni i kada će bit ostvareni preduvjeti za implementaciju strategije kojom će se ostvarivati ciljevi?</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su kratkoročni ciljevi usklađeni s srednjoročnim i dugoročnim ciljevima?</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su jasno određene pretpostavke ostvarivanja ciljeva?</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će se na završetku određenog razdoblja moći utvrditi ostvarenje ciljeva?</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Uključuje li definirani skup ciljeva poboljšanje financijske uspješnosti?</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su postavljeni ciljevi izazovni, a ujedno i realno ostvarivi?</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su ciljevi priopćeni svima članovima kućanstva odnosno svima koji ih moraju znati kako bi pridonijeli njihovom postizanju?</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Omogućuju li ciljevi pravovremenu „povratnu vezu“ pa time i korektivne akcije?</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Da li je osobama od kojih se očekuje ispunjenje ciljeva (članovima obitelji) pružena prilika da predlože svoje ciljeve?</w:t>
      </w:r>
    </w:p>
    <w:p w:rsidR="005B4427" w:rsidRPr="002F626A" w:rsidRDefault="005B4427" w:rsidP="006F1C04">
      <w:pPr>
        <w:pStyle w:val="Odlomakpopisa"/>
        <w:numPr>
          <w:ilvl w:val="0"/>
          <w:numId w:val="26"/>
        </w:numPr>
        <w:autoSpaceDE w:val="0"/>
        <w:autoSpaceDN w:val="0"/>
        <w:adjustRightInd w:val="0"/>
        <w:spacing w:after="0" w:line="240" w:lineRule="auto"/>
        <w:ind w:left="851"/>
        <w:jc w:val="both"/>
        <w:rPr>
          <w:sz w:val="24"/>
          <w:szCs w:val="24"/>
        </w:rPr>
      </w:pPr>
      <w:r w:rsidRPr="002F626A">
        <w:rPr>
          <w:sz w:val="24"/>
          <w:szCs w:val="24"/>
        </w:rPr>
        <w:t xml:space="preserve">Da li je popis ciljeva predugačak? </w:t>
      </w:r>
    </w:p>
    <w:p w:rsidR="00880362" w:rsidRPr="00395AF2" w:rsidRDefault="00880362" w:rsidP="00316230">
      <w:pPr>
        <w:spacing w:before="240"/>
        <w:jc w:val="both"/>
        <w:rPr>
          <w:sz w:val="24"/>
          <w:szCs w:val="24"/>
        </w:rPr>
      </w:pPr>
      <w:r w:rsidRPr="00395AF2">
        <w:rPr>
          <w:sz w:val="24"/>
          <w:szCs w:val="24"/>
        </w:rPr>
        <w:t xml:space="preserve">S obzirom na </w:t>
      </w:r>
      <w:r w:rsidRPr="00395AF2">
        <w:rPr>
          <w:color w:val="C00000"/>
          <w:sz w:val="24"/>
          <w:szCs w:val="24"/>
        </w:rPr>
        <w:t>vremensku komponentu ciljevi mogu biti kratkoročni, srednjoročni i dugoročni</w:t>
      </w:r>
      <w:r w:rsidRPr="00395AF2">
        <w:rPr>
          <w:sz w:val="24"/>
          <w:szCs w:val="24"/>
        </w:rPr>
        <w:t>. Kratkoročni ciljevi su oni ko</w:t>
      </w:r>
      <w:r w:rsidR="004C7270" w:rsidRPr="00395AF2">
        <w:rPr>
          <w:sz w:val="24"/>
          <w:szCs w:val="24"/>
        </w:rPr>
        <w:t xml:space="preserve">ji se trebaju </w:t>
      </w:r>
      <w:r w:rsidRPr="00395AF2">
        <w:rPr>
          <w:sz w:val="24"/>
          <w:szCs w:val="24"/>
        </w:rPr>
        <w:t xml:space="preserve">postići u narednih </w:t>
      </w:r>
      <w:r w:rsidR="007706BF">
        <w:rPr>
          <w:sz w:val="24"/>
          <w:szCs w:val="24"/>
        </w:rPr>
        <w:t xml:space="preserve">mjesec do </w:t>
      </w:r>
      <w:r w:rsidRPr="00395AF2">
        <w:rPr>
          <w:sz w:val="24"/>
          <w:szCs w:val="24"/>
        </w:rPr>
        <w:t xml:space="preserve">godinu dana, na primjer prijevremena otplata dijela duga ili štednja za putovanje. Srednjoročni ciljevi odnose se na vremenski okvir od dvije do pet godina, na primjer kupovina automobila ili formiranje dovoljnog iznosa ušteđevine za opremanje stana ili kuće novim namještajem. Dugoročni ciljevi vezani su uz proces financijskog planiranja i aktivnosti u razdoblju dužem od pet godina, na primjer štednja za razdoblje umirovljena, štednja za školovanje djece, kupovina </w:t>
      </w:r>
      <w:r w:rsidR="00395AF2" w:rsidRPr="00395AF2">
        <w:rPr>
          <w:sz w:val="24"/>
          <w:szCs w:val="24"/>
        </w:rPr>
        <w:t>stana</w:t>
      </w:r>
      <w:r w:rsidR="007706BF">
        <w:rPr>
          <w:sz w:val="24"/>
          <w:szCs w:val="24"/>
        </w:rPr>
        <w:t xml:space="preserve"> uz otplatu stambenog kredita</w:t>
      </w:r>
      <w:r w:rsidR="00395AF2" w:rsidRPr="00395AF2">
        <w:rPr>
          <w:sz w:val="24"/>
          <w:szCs w:val="24"/>
        </w:rPr>
        <w:t xml:space="preserve">, </w:t>
      </w:r>
      <w:r w:rsidR="007706BF">
        <w:rPr>
          <w:sz w:val="24"/>
          <w:szCs w:val="24"/>
        </w:rPr>
        <w:t xml:space="preserve">izgradnja </w:t>
      </w:r>
      <w:r w:rsidRPr="00395AF2">
        <w:rPr>
          <w:sz w:val="24"/>
          <w:szCs w:val="24"/>
        </w:rPr>
        <w:t xml:space="preserve">vikendice i drugo. </w:t>
      </w:r>
    </w:p>
    <w:p w:rsidR="00DD6415" w:rsidRDefault="00880362" w:rsidP="00316230">
      <w:pPr>
        <w:jc w:val="both"/>
        <w:rPr>
          <w:sz w:val="24"/>
          <w:szCs w:val="24"/>
        </w:rPr>
      </w:pPr>
      <w:r w:rsidRPr="00395AF2">
        <w:rPr>
          <w:sz w:val="24"/>
          <w:szCs w:val="24"/>
        </w:rPr>
        <w:t xml:space="preserve">Budući da u pojedinim razdobljima života pojedinca dolazi do preklapanja financijskih aktivnosti (vidjeti sliku </w:t>
      </w:r>
      <w:r w:rsidR="00395AF2" w:rsidRPr="00395AF2">
        <w:rPr>
          <w:sz w:val="24"/>
          <w:szCs w:val="24"/>
        </w:rPr>
        <w:t>17</w:t>
      </w:r>
      <w:r w:rsidRPr="00395AF2">
        <w:rPr>
          <w:sz w:val="24"/>
          <w:szCs w:val="24"/>
        </w:rPr>
        <w:t xml:space="preserve">), dugoročni ciljevi trebaju biti planirani u koordinaciji s postavljenim kratkoročnim i srednjoročnim ciljevima. </w:t>
      </w:r>
      <w:r w:rsidR="00DD6415">
        <w:rPr>
          <w:sz w:val="24"/>
          <w:szCs w:val="24"/>
        </w:rPr>
        <w:t xml:space="preserve">Najvažniji razlog tome je </w:t>
      </w:r>
      <w:r w:rsidRPr="00395AF2">
        <w:rPr>
          <w:sz w:val="24"/>
          <w:szCs w:val="24"/>
        </w:rPr>
        <w:t xml:space="preserve">budžetsko ograničenje koje predstavlja mjesečni (godišnji) </w:t>
      </w:r>
      <w:r w:rsidR="00DD6415">
        <w:rPr>
          <w:sz w:val="24"/>
          <w:szCs w:val="24"/>
        </w:rPr>
        <w:t>prihod</w:t>
      </w:r>
      <w:r w:rsidRPr="00395AF2">
        <w:rPr>
          <w:sz w:val="24"/>
          <w:szCs w:val="24"/>
        </w:rPr>
        <w:t>, a koji se raspodjeljuje za financiranje različitih aktivnosti: potrošnja, štednja, ulaganje</w:t>
      </w:r>
      <w:r w:rsidR="00DD6415">
        <w:rPr>
          <w:sz w:val="24"/>
          <w:szCs w:val="24"/>
        </w:rPr>
        <w:t xml:space="preserve"> i</w:t>
      </w:r>
      <w:r w:rsidRPr="00395AF2">
        <w:rPr>
          <w:sz w:val="24"/>
          <w:szCs w:val="24"/>
        </w:rPr>
        <w:t xml:space="preserve"> otplata dug</w:t>
      </w:r>
      <w:r w:rsidR="00DD6415">
        <w:rPr>
          <w:sz w:val="24"/>
          <w:szCs w:val="24"/>
        </w:rPr>
        <w:t>a</w:t>
      </w:r>
      <w:r w:rsidRPr="00395AF2">
        <w:rPr>
          <w:sz w:val="24"/>
          <w:szCs w:val="24"/>
        </w:rPr>
        <w:t xml:space="preserve">. Drugi razlog su posredni (intermedijarni ciljevi) putem kojih </w:t>
      </w:r>
      <w:r w:rsidR="00395AF2" w:rsidRPr="00395AF2">
        <w:rPr>
          <w:sz w:val="24"/>
          <w:szCs w:val="24"/>
        </w:rPr>
        <w:t xml:space="preserve">se </w:t>
      </w:r>
      <w:r w:rsidRPr="00395AF2">
        <w:rPr>
          <w:sz w:val="24"/>
          <w:szCs w:val="24"/>
        </w:rPr>
        <w:t>postiž</w:t>
      </w:r>
      <w:r w:rsidR="00316230">
        <w:rPr>
          <w:sz w:val="24"/>
          <w:szCs w:val="24"/>
        </w:rPr>
        <w:t>e</w:t>
      </w:r>
      <w:r w:rsidRPr="00395AF2">
        <w:rPr>
          <w:sz w:val="24"/>
          <w:szCs w:val="24"/>
        </w:rPr>
        <w:t xml:space="preserve"> i kontrolira ostvarivanje krajnjeg cilja.</w:t>
      </w:r>
      <w:r w:rsidR="00A2323C" w:rsidRPr="00A2323C">
        <w:rPr>
          <w:sz w:val="24"/>
          <w:szCs w:val="24"/>
          <w:vertAlign w:val="superscript"/>
        </w:rPr>
        <w:t xml:space="preserve"> </w:t>
      </w:r>
      <w:r w:rsidR="00A2323C" w:rsidRPr="00086C6D">
        <w:rPr>
          <w:sz w:val="24"/>
          <w:szCs w:val="24"/>
          <w:vertAlign w:val="superscript"/>
        </w:rPr>
        <w:footnoteReference w:id="49"/>
      </w:r>
    </w:p>
    <w:p w:rsidR="00880362" w:rsidRPr="00A107B3" w:rsidRDefault="00880362" w:rsidP="00880362">
      <w:pPr>
        <w:jc w:val="both"/>
        <w:rPr>
          <w:b/>
          <w:sz w:val="24"/>
          <w:szCs w:val="24"/>
        </w:rPr>
      </w:pPr>
      <w:r w:rsidRPr="00A107B3">
        <w:rPr>
          <w:b/>
          <w:sz w:val="24"/>
          <w:szCs w:val="24"/>
        </w:rPr>
        <w:lastRenderedPageBreak/>
        <w:t xml:space="preserve">Slika 17: Preklapanje financijskih aktivnosti u ostvarivanju kratkoročnih, srednjoročnih i dugoročnih ciljeva </w:t>
      </w:r>
    </w:p>
    <w:tbl>
      <w:tblPr>
        <w:tblStyle w:val="Reetkatablice"/>
        <w:tblW w:w="9079" w:type="dxa"/>
        <w:tblInd w:w="108" w:type="dxa"/>
        <w:tblLook w:val="01E0" w:firstRow="1" w:lastRow="1" w:firstColumn="1" w:lastColumn="1" w:noHBand="0" w:noVBand="0"/>
      </w:tblPr>
      <w:tblGrid>
        <w:gridCol w:w="1780"/>
        <w:gridCol w:w="98"/>
        <w:gridCol w:w="142"/>
        <w:gridCol w:w="40"/>
        <w:gridCol w:w="101"/>
        <w:gridCol w:w="179"/>
        <w:gridCol w:w="237"/>
        <w:gridCol w:w="116"/>
        <w:gridCol w:w="122"/>
        <w:gridCol w:w="8"/>
        <w:gridCol w:w="228"/>
        <w:gridCol w:w="15"/>
        <w:gridCol w:w="51"/>
        <w:gridCol w:w="170"/>
        <w:gridCol w:w="23"/>
        <w:gridCol w:w="187"/>
        <w:gridCol w:w="26"/>
        <w:gridCol w:w="31"/>
        <w:gridCol w:w="205"/>
        <w:gridCol w:w="38"/>
        <w:gridCol w:w="96"/>
        <w:gridCol w:w="102"/>
        <w:gridCol w:w="44"/>
        <w:gridCol w:w="2"/>
        <w:gridCol w:w="190"/>
        <w:gridCol w:w="53"/>
        <w:gridCol w:w="13"/>
        <w:gridCol w:w="170"/>
        <w:gridCol w:w="61"/>
        <w:gridCol w:w="175"/>
        <w:gridCol w:w="69"/>
        <w:gridCol w:w="114"/>
        <w:gridCol w:w="53"/>
        <w:gridCol w:w="76"/>
        <w:gridCol w:w="27"/>
        <w:gridCol w:w="133"/>
        <w:gridCol w:w="84"/>
        <w:gridCol w:w="152"/>
        <w:gridCol w:w="29"/>
        <w:gridCol w:w="62"/>
        <w:gridCol w:w="124"/>
        <w:gridCol w:w="21"/>
        <w:gridCol w:w="99"/>
        <w:gridCol w:w="137"/>
        <w:gridCol w:w="107"/>
        <w:gridCol w:w="57"/>
        <w:gridCol w:w="73"/>
        <w:gridCol w:w="113"/>
        <w:gridCol w:w="64"/>
        <w:gridCol w:w="59"/>
        <w:gridCol w:w="121"/>
        <w:gridCol w:w="115"/>
        <w:gridCol w:w="17"/>
        <w:gridCol w:w="111"/>
        <w:gridCol w:w="108"/>
        <w:gridCol w:w="136"/>
        <w:gridCol w:w="101"/>
        <w:gridCol w:w="125"/>
        <w:gridCol w:w="18"/>
        <w:gridCol w:w="22"/>
        <w:gridCol w:w="75"/>
        <w:gridCol w:w="150"/>
        <w:gridCol w:w="86"/>
        <w:gridCol w:w="51"/>
        <w:gridCol w:w="107"/>
        <w:gridCol w:w="78"/>
        <w:gridCol w:w="99"/>
        <w:gridCol w:w="71"/>
        <w:gridCol w:w="68"/>
        <w:gridCol w:w="11"/>
        <w:gridCol w:w="165"/>
        <w:gridCol w:w="60"/>
        <w:gridCol w:w="184"/>
        <w:gridCol w:w="52"/>
        <w:gridCol w:w="28"/>
        <w:gridCol w:w="76"/>
        <w:gridCol w:w="132"/>
        <w:gridCol w:w="120"/>
        <w:gridCol w:w="229"/>
        <w:gridCol w:w="7"/>
      </w:tblGrid>
      <w:tr w:rsidR="00880362" w:rsidRPr="00B35A1E" w:rsidTr="00D95AAE">
        <w:tc>
          <w:tcPr>
            <w:tcW w:w="1780" w:type="dxa"/>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DJETINJSTVO I MLADOST</w:t>
            </w:r>
          </w:p>
        </w:tc>
        <w:tc>
          <w:tcPr>
            <w:tcW w:w="2517" w:type="dxa"/>
            <w:gridSpan w:val="26"/>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MLAĐA ODRASLA DOB</w:t>
            </w:r>
          </w:p>
        </w:tc>
        <w:tc>
          <w:tcPr>
            <w:tcW w:w="2893" w:type="dxa"/>
            <w:gridSpan w:val="31"/>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SREDNJA ODRASLA DOB</w:t>
            </w:r>
          </w:p>
        </w:tc>
        <w:tc>
          <w:tcPr>
            <w:tcW w:w="1889" w:type="dxa"/>
            <w:gridSpan w:val="22"/>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STAROST</w:t>
            </w:r>
          </w:p>
        </w:tc>
      </w:tr>
      <w:tr w:rsidR="00880362" w:rsidRPr="005864F4" w:rsidTr="00D95AAE">
        <w:tc>
          <w:tcPr>
            <w:tcW w:w="1780" w:type="dxa"/>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godine starosti</w:t>
            </w:r>
          </w:p>
        </w:tc>
        <w:tc>
          <w:tcPr>
            <w:tcW w:w="2517" w:type="dxa"/>
            <w:gridSpan w:val="26"/>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godine starosti</w:t>
            </w:r>
          </w:p>
        </w:tc>
        <w:tc>
          <w:tcPr>
            <w:tcW w:w="2893" w:type="dxa"/>
            <w:gridSpan w:val="31"/>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godine starosti</w:t>
            </w:r>
          </w:p>
        </w:tc>
        <w:tc>
          <w:tcPr>
            <w:tcW w:w="1889" w:type="dxa"/>
            <w:gridSpan w:val="22"/>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godine starosti</w:t>
            </w:r>
          </w:p>
        </w:tc>
      </w:tr>
      <w:tr w:rsidR="00880362" w:rsidRPr="005864F4" w:rsidTr="00D95AAE">
        <w:tc>
          <w:tcPr>
            <w:tcW w:w="1780" w:type="dxa"/>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17 - 20</w:t>
            </w:r>
          </w:p>
        </w:tc>
        <w:tc>
          <w:tcPr>
            <w:tcW w:w="913" w:type="dxa"/>
            <w:gridSpan w:val="7"/>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20-28</w:t>
            </w:r>
          </w:p>
        </w:tc>
        <w:tc>
          <w:tcPr>
            <w:tcW w:w="804" w:type="dxa"/>
            <w:gridSpan w:val="8"/>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28-33</w:t>
            </w:r>
          </w:p>
        </w:tc>
        <w:tc>
          <w:tcPr>
            <w:tcW w:w="800" w:type="dxa"/>
            <w:gridSpan w:val="11"/>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33-40</w:t>
            </w:r>
          </w:p>
        </w:tc>
        <w:tc>
          <w:tcPr>
            <w:tcW w:w="1143" w:type="dxa"/>
            <w:gridSpan w:val="12"/>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40-50</w:t>
            </w:r>
          </w:p>
        </w:tc>
        <w:tc>
          <w:tcPr>
            <w:tcW w:w="857" w:type="dxa"/>
            <w:gridSpan w:val="10"/>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50-55</w:t>
            </w:r>
          </w:p>
        </w:tc>
        <w:tc>
          <w:tcPr>
            <w:tcW w:w="893" w:type="dxa"/>
            <w:gridSpan w:val="9"/>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55-60</w:t>
            </w:r>
          </w:p>
        </w:tc>
        <w:tc>
          <w:tcPr>
            <w:tcW w:w="836" w:type="dxa"/>
            <w:gridSpan w:val="12"/>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60-65</w:t>
            </w:r>
          </w:p>
        </w:tc>
        <w:tc>
          <w:tcPr>
            <w:tcW w:w="1053" w:type="dxa"/>
            <w:gridSpan w:val="10"/>
            <w:shd w:val="clear" w:color="auto" w:fill="FFFFFF"/>
          </w:tcPr>
          <w:p w:rsidR="00880362" w:rsidRPr="005864F4" w:rsidRDefault="00880362" w:rsidP="00D95AAE">
            <w:pPr>
              <w:jc w:val="center"/>
              <w:rPr>
                <w:rFonts w:asciiTheme="minorHAnsi" w:hAnsiTheme="minorHAnsi" w:cs="TimesCR-Roman"/>
                <w:sz w:val="22"/>
                <w:szCs w:val="22"/>
              </w:rPr>
            </w:pPr>
            <w:r w:rsidRPr="005864F4">
              <w:rPr>
                <w:rFonts w:asciiTheme="minorHAnsi" w:hAnsiTheme="minorHAnsi" w:cs="TimesCR-Roman"/>
                <w:sz w:val="22"/>
                <w:szCs w:val="22"/>
              </w:rPr>
              <w:t>65 i više</w:t>
            </w:r>
          </w:p>
        </w:tc>
      </w:tr>
      <w:tr w:rsidR="00880362" w:rsidRPr="005864F4" w:rsidTr="00D95AAE">
        <w:tblPrEx>
          <w:tblLook w:val="0000" w:firstRow="0" w:lastRow="0" w:firstColumn="0" w:lastColumn="0" w:noHBand="0" w:noVBand="0"/>
        </w:tblPrEx>
        <w:trPr>
          <w:trHeight w:val="372"/>
        </w:trPr>
        <w:tc>
          <w:tcPr>
            <w:tcW w:w="1780" w:type="dxa"/>
            <w:vMerge w:val="restart"/>
            <w:tcBorders>
              <w:right w:val="single" w:sz="4" w:space="0" w:color="auto"/>
            </w:tcBorders>
            <w:shd w:val="clear" w:color="auto" w:fill="auto"/>
          </w:tcPr>
          <w:p w:rsidR="00880362" w:rsidRPr="005864F4" w:rsidRDefault="00880362" w:rsidP="00D95AAE">
            <w:pPr>
              <w:jc w:val="both"/>
              <w:rPr>
                <w:rFonts w:asciiTheme="minorHAnsi" w:hAnsiTheme="minorHAnsi" w:cs="TimesCR-Roman"/>
                <w:sz w:val="22"/>
                <w:szCs w:val="22"/>
              </w:rPr>
            </w:pPr>
          </w:p>
        </w:tc>
        <w:tc>
          <w:tcPr>
            <w:tcW w:w="280" w:type="dxa"/>
            <w:gridSpan w:val="3"/>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80" w:type="dxa"/>
            <w:gridSpan w:val="2"/>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37" w:type="dxa"/>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4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4"/>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3"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7"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8"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44"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644" w:type="dxa"/>
            <w:gridSpan w:val="7"/>
            <w:tcBorders>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B35A1E" w:rsidTr="00D95AAE">
        <w:tblPrEx>
          <w:tblLook w:val="0000" w:firstRow="0" w:lastRow="0" w:firstColumn="0" w:lastColumn="0" w:noHBand="0" w:noVBand="0"/>
        </w:tblPrEx>
        <w:trPr>
          <w:trHeight w:val="388"/>
        </w:trPr>
        <w:tc>
          <w:tcPr>
            <w:tcW w:w="1780" w:type="dxa"/>
            <w:vMerge/>
            <w:tcBorders>
              <w:right w:val="single" w:sz="4" w:space="0" w:color="auto"/>
            </w:tcBorders>
            <w:shd w:val="clear" w:color="auto" w:fill="auto"/>
          </w:tcPr>
          <w:p w:rsidR="00880362" w:rsidRPr="005864F4" w:rsidRDefault="00880362" w:rsidP="00D95AAE">
            <w:pPr>
              <w:jc w:val="both"/>
              <w:rPr>
                <w:rFonts w:asciiTheme="minorHAnsi" w:hAnsiTheme="minorHAnsi" w:cs="TimesCR-Roman"/>
                <w:sz w:val="22"/>
                <w:szCs w:val="22"/>
              </w:rPr>
            </w:pPr>
          </w:p>
        </w:tc>
        <w:tc>
          <w:tcPr>
            <w:tcW w:w="280" w:type="dxa"/>
            <w:gridSpan w:val="3"/>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80" w:type="dxa"/>
            <w:gridSpan w:val="2"/>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37" w:type="dxa"/>
            <w:tcBorders>
              <w:left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38"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4"/>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7"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7"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40" w:type="dxa"/>
            <w:gridSpan w:val="4"/>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8"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2"/>
            <w:tcBorders>
              <w:bottom w:val="single" w:sz="4" w:space="0" w:color="auto"/>
            </w:tcBorders>
            <w:shd w:val="clear" w:color="auto" w:fill="E6E6E6"/>
          </w:tcPr>
          <w:p w:rsidR="00880362" w:rsidRPr="005864F4" w:rsidRDefault="00880362" w:rsidP="00D95AAE">
            <w:pPr>
              <w:jc w:val="both"/>
              <w:rPr>
                <w:rFonts w:asciiTheme="minorHAnsi" w:hAnsiTheme="minorHAnsi" w:cs="TimesCR-Roman"/>
                <w:sz w:val="22"/>
                <w:szCs w:val="22"/>
              </w:rPr>
            </w:pPr>
          </w:p>
        </w:tc>
        <w:tc>
          <w:tcPr>
            <w:tcW w:w="236" w:type="dxa"/>
            <w:gridSpan w:val="3"/>
            <w:shd w:val="clear" w:color="auto" w:fill="E6E6E6"/>
          </w:tcPr>
          <w:p w:rsidR="00880362" w:rsidRPr="005864F4" w:rsidRDefault="00880362" w:rsidP="00D95AAE">
            <w:pPr>
              <w:jc w:val="both"/>
              <w:rPr>
                <w:rFonts w:asciiTheme="minorHAnsi" w:hAnsiTheme="minorHAnsi" w:cs="TimesCR-Roman"/>
                <w:sz w:val="22"/>
                <w:szCs w:val="22"/>
              </w:rPr>
            </w:pPr>
          </w:p>
        </w:tc>
        <w:tc>
          <w:tcPr>
            <w:tcW w:w="356" w:type="dxa"/>
            <w:gridSpan w:val="3"/>
            <w:tcBorders>
              <w:top w:val="nil"/>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B35A1E" w:rsidTr="00D95AAE">
        <w:tblPrEx>
          <w:tblLook w:val="0000" w:firstRow="0" w:lastRow="0" w:firstColumn="0" w:lastColumn="0" w:noHBand="0" w:noVBand="0"/>
        </w:tblPrEx>
        <w:trPr>
          <w:gridAfter w:val="1"/>
          <w:wAfter w:w="7" w:type="dxa"/>
          <w:trHeight w:val="404"/>
        </w:trPr>
        <w:tc>
          <w:tcPr>
            <w:tcW w:w="2020" w:type="dxa"/>
            <w:gridSpan w:val="3"/>
            <w:tcBorders>
              <w:bottom w:val="nil"/>
              <w:right w:val="nil"/>
            </w:tcBorders>
            <w:shd w:val="clear" w:color="auto" w:fill="auto"/>
          </w:tcPr>
          <w:p w:rsidR="00880362" w:rsidRPr="005864F4" w:rsidRDefault="00880362" w:rsidP="00D95AAE">
            <w:pPr>
              <w:jc w:val="both"/>
              <w:rPr>
                <w:rFonts w:asciiTheme="minorHAnsi" w:hAnsiTheme="minorHAnsi" w:cs="TimesCR-Roman"/>
                <w:sz w:val="22"/>
                <w:szCs w:val="22"/>
              </w:rPr>
            </w:pPr>
          </w:p>
        </w:tc>
        <w:tc>
          <w:tcPr>
            <w:tcW w:w="1097" w:type="dxa"/>
            <w:gridSpan w:val="10"/>
            <w:tcBorders>
              <w:top w:val="nil"/>
              <w:left w:val="nil"/>
              <w:bottom w:val="nil"/>
            </w:tcBorders>
            <w:shd w:val="clear" w:color="auto" w:fill="auto"/>
          </w:tcPr>
          <w:p w:rsidR="00880362" w:rsidRPr="005864F4" w:rsidRDefault="00880362" w:rsidP="00D95AAE">
            <w:pPr>
              <w:jc w:val="both"/>
              <w:rPr>
                <w:rFonts w:asciiTheme="minorHAnsi" w:hAnsiTheme="minorHAnsi" w:cs="TimesCR-Roman"/>
                <w:sz w:val="22"/>
                <w:szCs w:val="22"/>
              </w:rPr>
            </w:pPr>
          </w:p>
        </w:tc>
        <w:tc>
          <w:tcPr>
            <w:tcW w:w="776" w:type="dxa"/>
            <w:gridSpan w:val="8"/>
            <w:shd w:val="clear" w:color="auto" w:fill="3366FF"/>
          </w:tcPr>
          <w:p w:rsidR="00880362" w:rsidRPr="005864F4" w:rsidRDefault="00880362" w:rsidP="00D95AAE">
            <w:pPr>
              <w:jc w:val="both"/>
              <w:rPr>
                <w:rFonts w:asciiTheme="minorHAnsi" w:hAnsiTheme="minorHAnsi" w:cs="TimesCR-Roman"/>
                <w:sz w:val="22"/>
                <w:szCs w:val="22"/>
              </w:rPr>
            </w:pPr>
          </w:p>
        </w:tc>
        <w:tc>
          <w:tcPr>
            <w:tcW w:w="993" w:type="dxa"/>
            <w:gridSpan w:val="11"/>
            <w:shd w:val="clear" w:color="auto" w:fill="3366FF"/>
          </w:tcPr>
          <w:p w:rsidR="00880362" w:rsidRPr="005864F4" w:rsidRDefault="00880362" w:rsidP="00D95AAE">
            <w:pPr>
              <w:jc w:val="both"/>
              <w:rPr>
                <w:rFonts w:asciiTheme="minorHAnsi" w:hAnsiTheme="minorHAnsi" w:cs="TimesCR-Roman"/>
                <w:sz w:val="22"/>
                <w:szCs w:val="22"/>
              </w:rPr>
            </w:pPr>
          </w:p>
        </w:tc>
        <w:tc>
          <w:tcPr>
            <w:tcW w:w="740" w:type="dxa"/>
            <w:gridSpan w:val="9"/>
            <w:shd w:val="clear" w:color="auto" w:fill="3366FF"/>
          </w:tcPr>
          <w:p w:rsidR="00880362" w:rsidRPr="005864F4" w:rsidRDefault="00880362" w:rsidP="00D95AAE">
            <w:pPr>
              <w:jc w:val="both"/>
              <w:rPr>
                <w:rFonts w:asciiTheme="minorHAnsi" w:hAnsiTheme="minorHAnsi" w:cs="TimesCR-Roman"/>
                <w:sz w:val="22"/>
                <w:szCs w:val="22"/>
              </w:rPr>
            </w:pPr>
          </w:p>
        </w:tc>
        <w:tc>
          <w:tcPr>
            <w:tcW w:w="983" w:type="dxa"/>
            <w:gridSpan w:val="12"/>
            <w:shd w:val="clear" w:color="auto" w:fill="3366FF"/>
          </w:tcPr>
          <w:p w:rsidR="00880362" w:rsidRPr="005864F4" w:rsidRDefault="00880362" w:rsidP="00D95AAE">
            <w:pPr>
              <w:jc w:val="both"/>
              <w:rPr>
                <w:rFonts w:asciiTheme="minorHAnsi" w:hAnsiTheme="minorHAnsi" w:cs="TimesCR-Roman"/>
                <w:sz w:val="22"/>
                <w:szCs w:val="22"/>
              </w:rPr>
            </w:pPr>
          </w:p>
        </w:tc>
        <w:tc>
          <w:tcPr>
            <w:tcW w:w="983" w:type="dxa"/>
            <w:gridSpan w:val="11"/>
            <w:shd w:val="clear" w:color="auto" w:fill="3366FF"/>
          </w:tcPr>
          <w:p w:rsidR="00880362" w:rsidRPr="005864F4" w:rsidRDefault="00880362" w:rsidP="00D95AAE">
            <w:pPr>
              <w:jc w:val="both"/>
              <w:rPr>
                <w:rFonts w:asciiTheme="minorHAnsi" w:hAnsiTheme="minorHAnsi" w:cs="TimesCR-Roman"/>
                <w:sz w:val="22"/>
                <w:szCs w:val="22"/>
              </w:rPr>
            </w:pPr>
          </w:p>
        </w:tc>
        <w:tc>
          <w:tcPr>
            <w:tcW w:w="923" w:type="dxa"/>
            <w:gridSpan w:val="11"/>
            <w:shd w:val="clear" w:color="auto" w:fill="3366FF"/>
          </w:tcPr>
          <w:p w:rsidR="00880362" w:rsidRPr="005864F4" w:rsidRDefault="00880362" w:rsidP="00D95AAE">
            <w:pPr>
              <w:jc w:val="both"/>
              <w:rPr>
                <w:rFonts w:asciiTheme="minorHAnsi" w:hAnsiTheme="minorHAnsi" w:cs="TimesCR-Roman"/>
                <w:sz w:val="22"/>
                <w:szCs w:val="22"/>
              </w:rPr>
            </w:pPr>
          </w:p>
        </w:tc>
        <w:tc>
          <w:tcPr>
            <w:tcW w:w="557" w:type="dxa"/>
            <w:gridSpan w:val="4"/>
            <w:tcBorders>
              <w:top w:val="nil"/>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5864F4" w:rsidTr="00D95AAE">
        <w:tblPrEx>
          <w:tblLook w:val="0000" w:firstRow="0" w:lastRow="0" w:firstColumn="0" w:lastColumn="0" w:noHBand="0" w:noVBand="0"/>
        </w:tblPrEx>
        <w:trPr>
          <w:gridAfter w:val="1"/>
          <w:wAfter w:w="7" w:type="dxa"/>
          <w:trHeight w:val="392"/>
        </w:trPr>
        <w:tc>
          <w:tcPr>
            <w:tcW w:w="1878" w:type="dxa"/>
            <w:gridSpan w:val="2"/>
            <w:vMerge w:val="restart"/>
            <w:tcBorders>
              <w:top w:val="nil"/>
              <w:right w:val="nil"/>
            </w:tcBorders>
            <w:shd w:val="clear" w:color="auto" w:fill="auto"/>
          </w:tcPr>
          <w:p w:rsidR="00880362" w:rsidRPr="005864F4" w:rsidRDefault="00880362" w:rsidP="00D95AAE">
            <w:pPr>
              <w:jc w:val="both"/>
              <w:rPr>
                <w:rFonts w:asciiTheme="minorHAnsi" w:hAnsiTheme="minorHAnsi" w:cs="TimesCR-Roman"/>
                <w:noProof/>
                <w:sz w:val="22"/>
                <w:szCs w:val="22"/>
              </w:rPr>
            </w:pPr>
          </w:p>
        </w:tc>
        <w:tc>
          <w:tcPr>
            <w:tcW w:w="283" w:type="dxa"/>
            <w:gridSpan w:val="3"/>
            <w:tcBorders>
              <w:top w:val="nil"/>
              <w:left w:val="nil"/>
              <w:bottom w:val="nil"/>
            </w:tcBorders>
            <w:shd w:val="clear" w:color="auto" w:fill="auto"/>
          </w:tcPr>
          <w:p w:rsidR="00880362" w:rsidRPr="005864F4" w:rsidRDefault="00880362" w:rsidP="00D95AAE">
            <w:pPr>
              <w:jc w:val="both"/>
              <w:rPr>
                <w:rFonts w:asciiTheme="minorHAnsi" w:hAnsiTheme="minorHAnsi" w:cs="TimesCR-Roman"/>
                <w:noProof/>
                <w:sz w:val="22"/>
                <w:szCs w:val="22"/>
              </w:rPr>
            </w:pPr>
          </w:p>
        </w:tc>
        <w:tc>
          <w:tcPr>
            <w:tcW w:w="956" w:type="dxa"/>
            <w:gridSpan w:val="8"/>
            <w:shd w:val="clear" w:color="auto" w:fill="3366FF"/>
          </w:tcPr>
          <w:p w:rsidR="00880362" w:rsidRPr="005864F4" w:rsidRDefault="00880362" w:rsidP="00D95AAE">
            <w:pPr>
              <w:jc w:val="both"/>
              <w:rPr>
                <w:rFonts w:asciiTheme="minorHAnsi" w:hAnsiTheme="minorHAnsi" w:cs="TimesCR-Roman"/>
                <w:sz w:val="22"/>
                <w:szCs w:val="22"/>
              </w:rPr>
            </w:pPr>
          </w:p>
        </w:tc>
        <w:tc>
          <w:tcPr>
            <w:tcW w:w="922" w:type="dxa"/>
            <w:gridSpan w:val="10"/>
            <w:shd w:val="clear" w:color="auto" w:fill="3366FF"/>
          </w:tcPr>
          <w:p w:rsidR="00880362" w:rsidRPr="005864F4" w:rsidRDefault="00880362" w:rsidP="00D95AAE">
            <w:pPr>
              <w:jc w:val="both"/>
              <w:rPr>
                <w:rFonts w:asciiTheme="minorHAnsi" w:hAnsiTheme="minorHAnsi" w:cs="TimesCR-Roman"/>
                <w:sz w:val="22"/>
                <w:szCs w:val="22"/>
              </w:rPr>
            </w:pPr>
          </w:p>
        </w:tc>
        <w:tc>
          <w:tcPr>
            <w:tcW w:w="1003" w:type="dxa"/>
            <w:gridSpan w:val="12"/>
            <w:shd w:val="clear" w:color="auto" w:fill="3366FF"/>
          </w:tcPr>
          <w:p w:rsidR="00880362" w:rsidRPr="005864F4" w:rsidRDefault="00880362" w:rsidP="00D95AAE">
            <w:pPr>
              <w:jc w:val="both"/>
              <w:rPr>
                <w:rFonts w:asciiTheme="minorHAnsi" w:hAnsiTheme="minorHAnsi" w:cs="TimesCR-Roman"/>
                <w:sz w:val="22"/>
                <w:szCs w:val="22"/>
              </w:rPr>
            </w:pPr>
          </w:p>
        </w:tc>
        <w:tc>
          <w:tcPr>
            <w:tcW w:w="1005" w:type="dxa"/>
            <w:gridSpan w:val="11"/>
            <w:shd w:val="clear" w:color="auto" w:fill="3366FF"/>
          </w:tcPr>
          <w:p w:rsidR="00880362" w:rsidRPr="005864F4" w:rsidRDefault="00880362" w:rsidP="00D95AAE">
            <w:pPr>
              <w:jc w:val="both"/>
              <w:rPr>
                <w:rFonts w:asciiTheme="minorHAnsi" w:hAnsiTheme="minorHAnsi" w:cs="TimesCR-Roman"/>
                <w:sz w:val="22"/>
                <w:szCs w:val="22"/>
              </w:rPr>
            </w:pPr>
          </w:p>
        </w:tc>
        <w:tc>
          <w:tcPr>
            <w:tcW w:w="1545" w:type="dxa"/>
            <w:gridSpan w:val="18"/>
            <w:shd w:val="clear" w:color="auto" w:fill="3366FF"/>
          </w:tcPr>
          <w:p w:rsidR="00880362" w:rsidRPr="005864F4" w:rsidRDefault="00880362" w:rsidP="00D95AAE">
            <w:pPr>
              <w:jc w:val="both"/>
              <w:rPr>
                <w:rFonts w:asciiTheme="minorHAnsi" w:hAnsiTheme="minorHAnsi" w:cs="TimesCR-Roman"/>
                <w:sz w:val="22"/>
                <w:szCs w:val="22"/>
              </w:rPr>
            </w:pPr>
          </w:p>
        </w:tc>
        <w:tc>
          <w:tcPr>
            <w:tcW w:w="999" w:type="dxa"/>
            <w:gridSpan w:val="12"/>
            <w:shd w:val="clear" w:color="auto" w:fill="3366FF"/>
          </w:tcPr>
          <w:p w:rsidR="00880362" w:rsidRPr="005864F4" w:rsidRDefault="00880362" w:rsidP="00D95AAE">
            <w:pPr>
              <w:jc w:val="both"/>
              <w:rPr>
                <w:rFonts w:asciiTheme="minorHAnsi" w:hAnsiTheme="minorHAnsi" w:cs="TimesCR-Roman"/>
                <w:sz w:val="22"/>
                <w:szCs w:val="22"/>
              </w:rPr>
            </w:pPr>
          </w:p>
        </w:tc>
        <w:tc>
          <w:tcPr>
            <w:tcW w:w="481" w:type="dxa"/>
            <w:gridSpan w:val="3"/>
            <w:tcBorders>
              <w:top w:val="nil"/>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5864F4" w:rsidTr="00D95AAE">
        <w:tblPrEx>
          <w:tblLook w:val="0000" w:firstRow="0" w:lastRow="0" w:firstColumn="0" w:lastColumn="0" w:noHBand="0" w:noVBand="0"/>
        </w:tblPrEx>
        <w:trPr>
          <w:gridAfter w:val="1"/>
          <w:wAfter w:w="7" w:type="dxa"/>
          <w:trHeight w:val="393"/>
        </w:trPr>
        <w:tc>
          <w:tcPr>
            <w:tcW w:w="1878" w:type="dxa"/>
            <w:gridSpan w:val="2"/>
            <w:vMerge/>
            <w:tcBorders>
              <w:top w:val="nil"/>
              <w:right w:val="nil"/>
            </w:tcBorders>
            <w:shd w:val="clear" w:color="auto" w:fill="auto"/>
          </w:tcPr>
          <w:p w:rsidR="00880362" w:rsidRPr="005864F4" w:rsidRDefault="00880362" w:rsidP="00D95AAE">
            <w:pPr>
              <w:jc w:val="both"/>
              <w:rPr>
                <w:rFonts w:asciiTheme="minorHAnsi" w:hAnsiTheme="minorHAnsi" w:cs="TimesCR-Roman"/>
                <w:noProof/>
                <w:sz w:val="22"/>
                <w:szCs w:val="22"/>
              </w:rPr>
            </w:pPr>
          </w:p>
        </w:tc>
        <w:tc>
          <w:tcPr>
            <w:tcW w:w="283" w:type="dxa"/>
            <w:gridSpan w:val="3"/>
            <w:tcBorders>
              <w:top w:val="nil"/>
              <w:left w:val="nil"/>
              <w:bottom w:val="nil"/>
            </w:tcBorders>
            <w:shd w:val="clear" w:color="auto" w:fill="auto"/>
          </w:tcPr>
          <w:p w:rsidR="00880362" w:rsidRPr="005864F4" w:rsidRDefault="00880362" w:rsidP="00D95AAE">
            <w:pPr>
              <w:jc w:val="both"/>
              <w:rPr>
                <w:rFonts w:asciiTheme="minorHAnsi" w:hAnsiTheme="minorHAnsi" w:cs="TimesCR-Roman"/>
                <w:noProof/>
                <w:sz w:val="22"/>
                <w:szCs w:val="22"/>
              </w:rPr>
            </w:pPr>
          </w:p>
        </w:tc>
        <w:tc>
          <w:tcPr>
            <w:tcW w:w="3465" w:type="dxa"/>
            <w:gridSpan w:val="36"/>
            <w:shd w:val="clear" w:color="auto" w:fill="00FF00"/>
          </w:tcPr>
          <w:p w:rsidR="00880362" w:rsidRPr="005864F4" w:rsidRDefault="00880362" w:rsidP="00D95AAE">
            <w:pPr>
              <w:jc w:val="both"/>
              <w:rPr>
                <w:rFonts w:asciiTheme="minorHAnsi" w:hAnsiTheme="minorHAnsi" w:cs="TimesCR-Roman"/>
                <w:sz w:val="22"/>
                <w:szCs w:val="22"/>
              </w:rPr>
            </w:pPr>
          </w:p>
        </w:tc>
        <w:tc>
          <w:tcPr>
            <w:tcW w:w="2250" w:type="dxa"/>
            <w:gridSpan w:val="26"/>
            <w:tcBorders>
              <w:right w:val="single" w:sz="4" w:space="0" w:color="auto"/>
            </w:tcBorders>
            <w:shd w:val="clear" w:color="auto" w:fill="00FF00"/>
          </w:tcPr>
          <w:p w:rsidR="00880362" w:rsidRPr="005864F4" w:rsidRDefault="00880362" w:rsidP="00D95AAE">
            <w:pPr>
              <w:rPr>
                <w:rFonts w:asciiTheme="minorHAnsi" w:hAnsiTheme="minorHAnsi" w:cs="TimesCR-Roman"/>
                <w:sz w:val="22"/>
                <w:szCs w:val="22"/>
              </w:rPr>
            </w:pPr>
          </w:p>
        </w:tc>
        <w:tc>
          <w:tcPr>
            <w:tcW w:w="1196" w:type="dxa"/>
            <w:gridSpan w:val="12"/>
            <w:tcBorders>
              <w:top w:val="nil"/>
              <w:left w:val="single" w:sz="4" w:space="0" w:color="auto"/>
              <w:bottom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5864F4" w:rsidTr="00D95AAE">
        <w:tblPrEx>
          <w:tblLook w:val="0000" w:firstRow="0" w:lastRow="0" w:firstColumn="0" w:lastColumn="0" w:noHBand="0" w:noVBand="0"/>
        </w:tblPrEx>
        <w:trPr>
          <w:trHeight w:val="396"/>
        </w:trPr>
        <w:tc>
          <w:tcPr>
            <w:tcW w:w="1878" w:type="dxa"/>
            <w:gridSpan w:val="2"/>
            <w:vMerge/>
            <w:tcBorders>
              <w:top w:val="nil"/>
              <w:right w:val="nil"/>
            </w:tcBorders>
            <w:shd w:val="clear" w:color="auto" w:fill="auto"/>
          </w:tcPr>
          <w:p w:rsidR="00880362" w:rsidRPr="005864F4" w:rsidRDefault="00880362" w:rsidP="00D95AAE">
            <w:pPr>
              <w:jc w:val="both"/>
              <w:rPr>
                <w:rFonts w:asciiTheme="minorHAnsi" w:hAnsiTheme="minorHAnsi" w:cs="TimesCR-Roman"/>
                <w:sz w:val="22"/>
                <w:szCs w:val="22"/>
              </w:rPr>
            </w:pPr>
          </w:p>
        </w:tc>
        <w:tc>
          <w:tcPr>
            <w:tcW w:w="1239" w:type="dxa"/>
            <w:gridSpan w:val="11"/>
            <w:tcBorders>
              <w:top w:val="nil"/>
              <w:left w:val="nil"/>
              <w:bottom w:val="single" w:sz="4" w:space="0" w:color="auto"/>
            </w:tcBorders>
            <w:shd w:val="clear" w:color="auto" w:fill="auto"/>
          </w:tcPr>
          <w:p w:rsidR="00880362" w:rsidRPr="005864F4" w:rsidRDefault="00880362" w:rsidP="00D95AAE">
            <w:pPr>
              <w:jc w:val="both"/>
              <w:rPr>
                <w:rFonts w:asciiTheme="minorHAnsi" w:hAnsiTheme="minorHAnsi" w:cs="TimesCR-Roman"/>
                <w:sz w:val="22"/>
                <w:szCs w:val="22"/>
              </w:rPr>
            </w:pPr>
          </w:p>
        </w:tc>
        <w:tc>
          <w:tcPr>
            <w:tcW w:w="5474" w:type="dxa"/>
            <w:gridSpan w:val="63"/>
            <w:tcBorders>
              <w:top w:val="single" w:sz="4" w:space="0" w:color="auto"/>
              <w:left w:val="nil"/>
              <w:bottom w:val="single" w:sz="4" w:space="0" w:color="auto"/>
            </w:tcBorders>
            <w:shd w:val="clear" w:color="auto" w:fill="00FF00"/>
          </w:tcPr>
          <w:p w:rsidR="00880362" w:rsidRPr="005864F4" w:rsidRDefault="00880362" w:rsidP="00D95AAE">
            <w:pPr>
              <w:jc w:val="both"/>
              <w:rPr>
                <w:rFonts w:asciiTheme="minorHAnsi" w:hAnsiTheme="minorHAnsi" w:cs="TimesCR-Roman"/>
                <w:sz w:val="22"/>
                <w:szCs w:val="22"/>
              </w:rPr>
            </w:pPr>
          </w:p>
        </w:tc>
        <w:tc>
          <w:tcPr>
            <w:tcW w:w="252" w:type="dxa"/>
            <w:gridSpan w:val="2"/>
            <w:tcBorders>
              <w:top w:val="nil"/>
              <w:bottom w:val="single" w:sz="4" w:space="0" w:color="auto"/>
              <w:right w:val="nil"/>
            </w:tcBorders>
            <w:shd w:val="clear" w:color="auto" w:fill="auto"/>
          </w:tcPr>
          <w:p w:rsidR="00880362" w:rsidRPr="005864F4" w:rsidRDefault="00880362" w:rsidP="00D95AAE">
            <w:pPr>
              <w:rPr>
                <w:rFonts w:asciiTheme="minorHAnsi" w:hAnsiTheme="minorHAnsi" w:cs="TimesCR-Roman"/>
                <w:sz w:val="22"/>
                <w:szCs w:val="22"/>
              </w:rPr>
            </w:pPr>
          </w:p>
        </w:tc>
        <w:tc>
          <w:tcPr>
            <w:tcW w:w="236" w:type="dxa"/>
            <w:gridSpan w:val="2"/>
            <w:tcBorders>
              <w:top w:val="nil"/>
              <w:left w:val="nil"/>
            </w:tcBorders>
            <w:shd w:val="clear" w:color="auto" w:fill="auto"/>
          </w:tcPr>
          <w:p w:rsidR="00880362" w:rsidRPr="005864F4" w:rsidRDefault="00880362" w:rsidP="00D95AAE">
            <w:pPr>
              <w:rPr>
                <w:rFonts w:asciiTheme="minorHAnsi" w:hAnsiTheme="minorHAnsi" w:cs="TimesCR-Roman"/>
                <w:sz w:val="22"/>
                <w:szCs w:val="22"/>
              </w:rPr>
            </w:pPr>
          </w:p>
        </w:tc>
      </w:tr>
      <w:tr w:rsidR="00880362" w:rsidRPr="00B35A1E" w:rsidTr="00D95AAE">
        <w:trPr>
          <w:gridAfter w:val="1"/>
          <w:wAfter w:w="7" w:type="dxa"/>
        </w:trPr>
        <w:tc>
          <w:tcPr>
            <w:tcW w:w="1878" w:type="dxa"/>
            <w:gridSpan w:val="2"/>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17-20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mlađe odrasle dobi</w:t>
            </w:r>
          </w:p>
        </w:tc>
        <w:tc>
          <w:tcPr>
            <w:tcW w:w="2161" w:type="dxa"/>
            <w:gridSpan w:val="21"/>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20-28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ulazak u svijet odraslih</w:t>
            </w:r>
          </w:p>
        </w:tc>
        <w:tc>
          <w:tcPr>
            <w:tcW w:w="3191" w:type="dxa"/>
            <w:gridSpan w:val="37"/>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40-45</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sredine života</w:t>
            </w:r>
          </w:p>
        </w:tc>
        <w:tc>
          <w:tcPr>
            <w:tcW w:w="1842" w:type="dxa"/>
            <w:gridSpan w:val="19"/>
            <w:tcBorders>
              <w:top w:val="nil"/>
            </w:tcBorders>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60-65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kasne odrasle dobi</w:t>
            </w:r>
          </w:p>
        </w:tc>
      </w:tr>
      <w:tr w:rsidR="00880362" w:rsidRPr="00B35A1E" w:rsidTr="00D95AAE">
        <w:trPr>
          <w:gridAfter w:val="1"/>
          <w:wAfter w:w="7" w:type="dxa"/>
        </w:trPr>
        <w:tc>
          <w:tcPr>
            <w:tcW w:w="1878" w:type="dxa"/>
            <w:gridSpan w:val="2"/>
            <w:shd w:val="clear" w:color="auto" w:fill="FFFFFF"/>
          </w:tcPr>
          <w:p w:rsidR="00880362" w:rsidRPr="005864F4" w:rsidRDefault="00880362" w:rsidP="00D95AAE">
            <w:pPr>
              <w:jc w:val="both"/>
              <w:rPr>
                <w:rFonts w:asciiTheme="minorHAnsi" w:hAnsiTheme="minorHAnsi" w:cs="TimesCR-Roman"/>
                <w:sz w:val="22"/>
                <w:szCs w:val="22"/>
              </w:rPr>
            </w:pPr>
          </w:p>
        </w:tc>
        <w:tc>
          <w:tcPr>
            <w:tcW w:w="2161" w:type="dxa"/>
            <w:gridSpan w:val="21"/>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28-33</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tridesete</w:t>
            </w:r>
          </w:p>
        </w:tc>
        <w:tc>
          <w:tcPr>
            <w:tcW w:w="3191" w:type="dxa"/>
            <w:gridSpan w:val="37"/>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45– 50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ulaz u srednju odraslu dob</w:t>
            </w:r>
          </w:p>
        </w:tc>
        <w:tc>
          <w:tcPr>
            <w:tcW w:w="1842" w:type="dxa"/>
            <w:gridSpan w:val="19"/>
            <w:shd w:val="clear" w:color="auto" w:fill="FFFFFF"/>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65 i više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kasna odrasla dob</w:t>
            </w:r>
          </w:p>
        </w:tc>
      </w:tr>
      <w:tr w:rsidR="00880362" w:rsidRPr="00B35A1E" w:rsidTr="00D95AAE">
        <w:trPr>
          <w:gridAfter w:val="1"/>
          <w:wAfter w:w="7" w:type="dxa"/>
        </w:trPr>
        <w:tc>
          <w:tcPr>
            <w:tcW w:w="1878" w:type="dxa"/>
            <w:gridSpan w:val="2"/>
          </w:tcPr>
          <w:p w:rsidR="00880362" w:rsidRPr="005864F4" w:rsidRDefault="00880362" w:rsidP="00D95AAE">
            <w:pPr>
              <w:jc w:val="both"/>
              <w:rPr>
                <w:rFonts w:asciiTheme="minorHAnsi" w:hAnsiTheme="minorHAnsi" w:cs="TimesCR-Roman"/>
                <w:sz w:val="22"/>
                <w:szCs w:val="22"/>
              </w:rPr>
            </w:pPr>
          </w:p>
        </w:tc>
        <w:tc>
          <w:tcPr>
            <w:tcW w:w="2161" w:type="dxa"/>
            <w:gridSpan w:val="21"/>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33-40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sređivanje</w:t>
            </w:r>
          </w:p>
        </w:tc>
        <w:tc>
          <w:tcPr>
            <w:tcW w:w="3191" w:type="dxa"/>
            <w:gridSpan w:val="37"/>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50-55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prijelaz pedesete</w:t>
            </w:r>
          </w:p>
        </w:tc>
        <w:tc>
          <w:tcPr>
            <w:tcW w:w="1842" w:type="dxa"/>
            <w:gridSpan w:val="19"/>
          </w:tcPr>
          <w:p w:rsidR="00880362" w:rsidRPr="005864F4" w:rsidRDefault="00880362" w:rsidP="00D95AAE">
            <w:pPr>
              <w:jc w:val="both"/>
              <w:rPr>
                <w:rFonts w:asciiTheme="minorHAnsi" w:hAnsiTheme="minorHAnsi" w:cs="TimesCR-Roman"/>
                <w:sz w:val="22"/>
                <w:szCs w:val="22"/>
              </w:rPr>
            </w:pPr>
          </w:p>
        </w:tc>
      </w:tr>
      <w:tr w:rsidR="00880362" w:rsidRPr="00B35A1E" w:rsidTr="00D95AAE">
        <w:trPr>
          <w:gridAfter w:val="1"/>
          <w:wAfter w:w="7" w:type="dxa"/>
        </w:trPr>
        <w:tc>
          <w:tcPr>
            <w:tcW w:w="1878" w:type="dxa"/>
            <w:gridSpan w:val="2"/>
          </w:tcPr>
          <w:p w:rsidR="00880362" w:rsidRPr="005864F4" w:rsidRDefault="00880362" w:rsidP="00D95AAE">
            <w:pPr>
              <w:jc w:val="both"/>
              <w:rPr>
                <w:rFonts w:asciiTheme="minorHAnsi" w:hAnsiTheme="minorHAnsi" w:cs="TimesCR-Roman"/>
                <w:sz w:val="22"/>
                <w:szCs w:val="22"/>
              </w:rPr>
            </w:pPr>
          </w:p>
        </w:tc>
        <w:tc>
          <w:tcPr>
            <w:tcW w:w="2161" w:type="dxa"/>
            <w:gridSpan w:val="21"/>
          </w:tcPr>
          <w:p w:rsidR="00880362" w:rsidRPr="005864F4" w:rsidRDefault="00880362" w:rsidP="00D95AAE">
            <w:pPr>
              <w:jc w:val="both"/>
              <w:rPr>
                <w:rFonts w:asciiTheme="minorHAnsi" w:hAnsiTheme="minorHAnsi" w:cs="TimesCR-Roman"/>
                <w:sz w:val="22"/>
                <w:szCs w:val="22"/>
              </w:rPr>
            </w:pPr>
          </w:p>
        </w:tc>
        <w:tc>
          <w:tcPr>
            <w:tcW w:w="3191" w:type="dxa"/>
            <w:gridSpan w:val="37"/>
          </w:tcPr>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xml:space="preserve">55-60 </w:t>
            </w:r>
          </w:p>
          <w:p w:rsidR="00880362" w:rsidRPr="005864F4" w:rsidRDefault="00880362" w:rsidP="00D95AAE">
            <w:pPr>
              <w:jc w:val="both"/>
              <w:rPr>
                <w:rFonts w:asciiTheme="minorHAnsi" w:hAnsiTheme="minorHAnsi" w:cs="TimesCR-Roman"/>
                <w:sz w:val="22"/>
                <w:szCs w:val="22"/>
              </w:rPr>
            </w:pPr>
            <w:r w:rsidRPr="005864F4">
              <w:rPr>
                <w:rFonts w:asciiTheme="minorHAnsi" w:hAnsiTheme="minorHAnsi" w:cs="TimesCR-Roman"/>
                <w:sz w:val="22"/>
                <w:szCs w:val="22"/>
              </w:rPr>
              <w:t>- kulminacija srednje dobi</w:t>
            </w:r>
          </w:p>
        </w:tc>
        <w:tc>
          <w:tcPr>
            <w:tcW w:w="1842" w:type="dxa"/>
            <w:gridSpan w:val="19"/>
            <w:tcBorders>
              <w:right w:val="single" w:sz="4" w:space="0" w:color="auto"/>
            </w:tcBorders>
          </w:tcPr>
          <w:p w:rsidR="00880362" w:rsidRPr="005864F4" w:rsidRDefault="00880362" w:rsidP="00D95AAE">
            <w:pPr>
              <w:jc w:val="both"/>
              <w:rPr>
                <w:rFonts w:asciiTheme="minorHAnsi" w:hAnsiTheme="minorHAnsi" w:cs="TimesCR-Roman"/>
                <w:sz w:val="22"/>
                <w:szCs w:val="22"/>
              </w:rPr>
            </w:pPr>
          </w:p>
        </w:tc>
      </w:tr>
    </w:tbl>
    <w:p w:rsidR="00880362" w:rsidRPr="00B35A1E" w:rsidRDefault="00880362" w:rsidP="00880362">
      <w:pPr>
        <w:jc w:val="both"/>
        <w:rPr>
          <w:rFonts w:ascii="TimesCR-Roman" w:hAnsi="TimesCR-Roman" w:cs="TimesCR-Roman"/>
        </w:rPr>
      </w:pPr>
    </w:p>
    <w:tbl>
      <w:tblPr>
        <w:tblStyle w:val="Reetkatablice"/>
        <w:tblW w:w="7000" w:type="dxa"/>
        <w:tblInd w:w="1808" w:type="dxa"/>
        <w:tblLook w:val="01E0" w:firstRow="1" w:lastRow="1" w:firstColumn="1" w:lastColumn="1" w:noHBand="0" w:noVBand="0"/>
      </w:tblPr>
      <w:tblGrid>
        <w:gridCol w:w="1100"/>
        <w:gridCol w:w="5900"/>
      </w:tblGrid>
      <w:tr w:rsidR="00880362" w:rsidTr="00D95AAE">
        <w:tc>
          <w:tcPr>
            <w:tcW w:w="1100" w:type="dxa"/>
            <w:shd w:val="clear" w:color="auto" w:fill="E6E6E6"/>
          </w:tcPr>
          <w:p w:rsidR="00880362" w:rsidRDefault="00880362" w:rsidP="00D95AAE">
            <w:pPr>
              <w:jc w:val="both"/>
              <w:rPr>
                <w:rFonts w:ascii="TimesCR-Roman" w:hAnsi="TimesCR-Roman" w:cs="TimesCR-Roman"/>
              </w:rPr>
            </w:pPr>
          </w:p>
        </w:tc>
        <w:tc>
          <w:tcPr>
            <w:tcW w:w="5900" w:type="dxa"/>
          </w:tcPr>
          <w:p w:rsidR="00880362" w:rsidRPr="005864F4" w:rsidRDefault="00880362" w:rsidP="00D95AAE">
            <w:pPr>
              <w:jc w:val="both"/>
              <w:rPr>
                <w:rFonts w:asciiTheme="minorHAnsi" w:hAnsiTheme="minorHAnsi" w:cs="TimesCR-Roman"/>
              </w:rPr>
            </w:pPr>
            <w:r w:rsidRPr="005864F4">
              <w:rPr>
                <w:rFonts w:asciiTheme="minorHAnsi" w:hAnsiTheme="minorHAnsi" w:cs="TimesCR-Roman"/>
              </w:rPr>
              <w:t>Financijske aktivnosti za ostvarivanje kratkoročnih ciljeva</w:t>
            </w:r>
          </w:p>
        </w:tc>
      </w:tr>
      <w:tr w:rsidR="00880362" w:rsidTr="00D95AAE">
        <w:tc>
          <w:tcPr>
            <w:tcW w:w="1100" w:type="dxa"/>
            <w:shd w:val="clear" w:color="auto" w:fill="3366FF"/>
          </w:tcPr>
          <w:p w:rsidR="00880362" w:rsidRDefault="00880362" w:rsidP="00D95AAE">
            <w:pPr>
              <w:jc w:val="both"/>
              <w:rPr>
                <w:rFonts w:ascii="TimesCR-Roman" w:hAnsi="TimesCR-Roman" w:cs="TimesCR-Roman"/>
              </w:rPr>
            </w:pPr>
          </w:p>
        </w:tc>
        <w:tc>
          <w:tcPr>
            <w:tcW w:w="5900" w:type="dxa"/>
          </w:tcPr>
          <w:p w:rsidR="00880362" w:rsidRPr="005864F4" w:rsidRDefault="00880362" w:rsidP="00D95AAE">
            <w:pPr>
              <w:jc w:val="both"/>
              <w:rPr>
                <w:rFonts w:asciiTheme="minorHAnsi" w:hAnsiTheme="minorHAnsi" w:cs="TimesCR-Roman"/>
              </w:rPr>
            </w:pPr>
            <w:r w:rsidRPr="005864F4">
              <w:rPr>
                <w:rFonts w:asciiTheme="minorHAnsi" w:hAnsiTheme="minorHAnsi" w:cs="TimesCR-Roman"/>
              </w:rPr>
              <w:t>Financijske aktivnosti za ostvarivanje srednjoročni ciljeva</w:t>
            </w:r>
          </w:p>
        </w:tc>
      </w:tr>
      <w:tr w:rsidR="00880362" w:rsidTr="00D95AAE">
        <w:tc>
          <w:tcPr>
            <w:tcW w:w="1100" w:type="dxa"/>
            <w:shd w:val="clear" w:color="auto" w:fill="00FF00"/>
          </w:tcPr>
          <w:p w:rsidR="00880362" w:rsidRDefault="00880362" w:rsidP="00D95AAE">
            <w:pPr>
              <w:jc w:val="both"/>
              <w:rPr>
                <w:rFonts w:ascii="TimesCR-Roman" w:hAnsi="TimesCR-Roman" w:cs="TimesCR-Roman"/>
              </w:rPr>
            </w:pPr>
          </w:p>
        </w:tc>
        <w:tc>
          <w:tcPr>
            <w:tcW w:w="5900" w:type="dxa"/>
          </w:tcPr>
          <w:p w:rsidR="00880362" w:rsidRPr="005864F4" w:rsidRDefault="00880362" w:rsidP="00D95AAE">
            <w:pPr>
              <w:jc w:val="both"/>
              <w:rPr>
                <w:rFonts w:asciiTheme="minorHAnsi" w:hAnsiTheme="minorHAnsi" w:cs="TimesCR-Roman"/>
              </w:rPr>
            </w:pPr>
            <w:r w:rsidRPr="005864F4">
              <w:rPr>
                <w:rFonts w:asciiTheme="minorHAnsi" w:hAnsiTheme="minorHAnsi" w:cs="TimesCR-Roman"/>
              </w:rPr>
              <w:t>Financijske aktivnosti za ostvarivanje dugoročnih ciljeva</w:t>
            </w:r>
          </w:p>
        </w:tc>
      </w:tr>
    </w:tbl>
    <w:p w:rsidR="00194E89" w:rsidRDefault="00194E89" w:rsidP="002E7FDC">
      <w:pPr>
        <w:autoSpaceDE w:val="0"/>
        <w:autoSpaceDN w:val="0"/>
        <w:adjustRightInd w:val="0"/>
        <w:jc w:val="both"/>
      </w:pPr>
    </w:p>
    <w:p w:rsidR="00B20BF7" w:rsidRDefault="00B20BF7" w:rsidP="00B20BF7">
      <w:pPr>
        <w:jc w:val="both"/>
        <w:rPr>
          <w:sz w:val="24"/>
          <w:szCs w:val="24"/>
        </w:rPr>
      </w:pPr>
      <w:r w:rsidRPr="00395AF2">
        <w:rPr>
          <w:sz w:val="24"/>
          <w:szCs w:val="24"/>
        </w:rPr>
        <w:t xml:space="preserve">Na primjer formiranje ušteđevine </w:t>
      </w:r>
      <w:r>
        <w:rPr>
          <w:sz w:val="24"/>
          <w:szCs w:val="24"/>
        </w:rPr>
        <w:t>za starost u iznosu 491.490,83 kuna (</w:t>
      </w:r>
      <w:r w:rsidRPr="00395AF2">
        <w:rPr>
          <w:sz w:val="24"/>
          <w:szCs w:val="24"/>
        </w:rPr>
        <w:t xml:space="preserve">uz mjesečnu štednju 1.500,00 kuna koja se narednih dvadeset godina uplaćuje na </w:t>
      </w:r>
      <w:r>
        <w:rPr>
          <w:sz w:val="24"/>
          <w:szCs w:val="24"/>
        </w:rPr>
        <w:t xml:space="preserve">račun otvorene štednje u banci, </w:t>
      </w:r>
      <w:r w:rsidRPr="00395AF2">
        <w:rPr>
          <w:sz w:val="24"/>
          <w:szCs w:val="24"/>
        </w:rPr>
        <w:t>uz kamatnjak 3%</w:t>
      </w:r>
      <w:r>
        <w:rPr>
          <w:sz w:val="24"/>
          <w:szCs w:val="24"/>
        </w:rPr>
        <w:t>) -</w:t>
      </w:r>
      <w:r w:rsidRPr="00395AF2">
        <w:rPr>
          <w:sz w:val="24"/>
          <w:szCs w:val="24"/>
        </w:rPr>
        <w:t xml:space="preserve"> predstavlja dugoročni </w:t>
      </w:r>
      <w:r>
        <w:rPr>
          <w:sz w:val="24"/>
          <w:szCs w:val="24"/>
        </w:rPr>
        <w:t xml:space="preserve">krajnji </w:t>
      </w:r>
      <w:r w:rsidRPr="00395AF2">
        <w:rPr>
          <w:sz w:val="24"/>
          <w:szCs w:val="24"/>
        </w:rPr>
        <w:t xml:space="preserve">cilj koji je moguće ostvariti </w:t>
      </w:r>
      <w:r>
        <w:rPr>
          <w:sz w:val="24"/>
          <w:szCs w:val="24"/>
        </w:rPr>
        <w:t xml:space="preserve">uz striktno pridržavanje posrednog i kratkoročnog </w:t>
      </w:r>
      <w:r w:rsidRPr="00395AF2">
        <w:rPr>
          <w:sz w:val="24"/>
          <w:szCs w:val="24"/>
        </w:rPr>
        <w:t>cilj</w:t>
      </w:r>
      <w:r>
        <w:rPr>
          <w:sz w:val="24"/>
          <w:szCs w:val="24"/>
        </w:rPr>
        <w:t>a</w:t>
      </w:r>
      <w:r w:rsidRPr="00395AF2">
        <w:rPr>
          <w:sz w:val="24"/>
          <w:szCs w:val="24"/>
        </w:rPr>
        <w:t xml:space="preserve"> mjeseč</w:t>
      </w:r>
      <w:r>
        <w:rPr>
          <w:sz w:val="24"/>
          <w:szCs w:val="24"/>
        </w:rPr>
        <w:t xml:space="preserve">e štednje u iznosu </w:t>
      </w:r>
      <w:r w:rsidRPr="00395AF2">
        <w:rPr>
          <w:sz w:val="24"/>
          <w:szCs w:val="24"/>
        </w:rPr>
        <w:t>1.500,00 kuna</w:t>
      </w:r>
      <w:r>
        <w:rPr>
          <w:sz w:val="24"/>
          <w:szCs w:val="24"/>
        </w:rPr>
        <w:t xml:space="preserve"> i njene uplate u korist depozitnog računa oročene štednje</w:t>
      </w:r>
      <w:r w:rsidRPr="00395AF2">
        <w:rPr>
          <w:sz w:val="24"/>
          <w:szCs w:val="24"/>
        </w:rPr>
        <w:t xml:space="preserve">. </w:t>
      </w:r>
    </w:p>
    <w:p w:rsidR="00B20BF7" w:rsidRDefault="00B20BF7" w:rsidP="00B20BF7">
      <w:pPr>
        <w:jc w:val="both"/>
        <w:rPr>
          <w:sz w:val="24"/>
          <w:szCs w:val="24"/>
        </w:rPr>
      </w:pPr>
      <w:r>
        <w:rPr>
          <w:sz w:val="24"/>
          <w:szCs w:val="24"/>
        </w:rPr>
        <w:t xml:space="preserve">Međutim, to nije jedina ekonomska i financijska aktivnost s kojom se kućanstvo susreće u istom mjesečnom razdoblju. Isti mjesec treba otplaćivati kredit npr. u iznosu 2.500 kuna kroz narednih deset godina, plaćati režije za stan i potrošnju energije npr. u iznosu 700 kuna, kupiti zemljopisni atlas za mlađe dijete u petom osnovne 150 kuna, izdvojiti 5.000 kuna za hranu i druge redovite troškove života te financirati stomatološke usluge za starije dijete </w:t>
      </w:r>
      <w:r w:rsidRPr="00DD6415">
        <w:rPr>
          <w:sz w:val="24"/>
          <w:szCs w:val="24"/>
        </w:rPr>
        <w:t>koj</w:t>
      </w:r>
      <w:r>
        <w:rPr>
          <w:sz w:val="24"/>
          <w:szCs w:val="24"/>
        </w:rPr>
        <w:t>e</w:t>
      </w:r>
      <w:r w:rsidRPr="00DD6415">
        <w:rPr>
          <w:sz w:val="24"/>
          <w:szCs w:val="24"/>
        </w:rPr>
        <w:t xml:space="preserve"> mora nositi zubni </w:t>
      </w:r>
      <w:r w:rsidR="0097725B" w:rsidRPr="00DD6415">
        <w:rPr>
          <w:sz w:val="24"/>
          <w:szCs w:val="24"/>
        </w:rPr>
        <w:t>aparati</w:t>
      </w:r>
      <w:r w:rsidR="0097725B">
        <w:rPr>
          <w:sz w:val="24"/>
          <w:szCs w:val="24"/>
        </w:rPr>
        <w:t>ć</w:t>
      </w:r>
      <w:r>
        <w:rPr>
          <w:sz w:val="24"/>
          <w:szCs w:val="24"/>
        </w:rPr>
        <w:t xml:space="preserve"> - što uz sedmomjesečnu otplatu na rate dostiže iznos od 600 kuna mjesečnih izdataka kućanstva</w:t>
      </w:r>
      <w:r w:rsidRPr="00DD6415">
        <w:rPr>
          <w:sz w:val="24"/>
          <w:szCs w:val="24"/>
        </w:rPr>
        <w:t xml:space="preserve">.  </w:t>
      </w:r>
    </w:p>
    <w:p w:rsidR="00194E89" w:rsidRPr="00DD6415" w:rsidRDefault="00194E89" w:rsidP="00194E89">
      <w:pPr>
        <w:jc w:val="both"/>
        <w:rPr>
          <w:sz w:val="24"/>
          <w:szCs w:val="24"/>
        </w:rPr>
      </w:pPr>
      <w:r>
        <w:rPr>
          <w:sz w:val="24"/>
          <w:szCs w:val="24"/>
        </w:rPr>
        <w:lastRenderedPageBreak/>
        <w:t xml:space="preserve">Neki od spomenutih rashoda kućanstva možda nisu bili unaprijed planirani zbog čega je kućanstvo suočeno s potrebom dodatne racionalizacije troškova pa i potrebom pronalaska honorarnog posla ili drugog dodatnog izvora prihoda jer ima deficit </w:t>
      </w:r>
      <w:r w:rsidR="003A30F4">
        <w:rPr>
          <w:sz w:val="24"/>
          <w:szCs w:val="24"/>
        </w:rPr>
        <w:t xml:space="preserve">npr. </w:t>
      </w:r>
      <w:r>
        <w:rPr>
          <w:sz w:val="24"/>
          <w:szCs w:val="24"/>
        </w:rPr>
        <w:t>600 kuna, ali zbog toga neće odustati od cilja kontinuiranog oroč</w:t>
      </w:r>
      <w:r w:rsidR="003A30F4">
        <w:rPr>
          <w:sz w:val="24"/>
          <w:szCs w:val="24"/>
        </w:rPr>
        <w:t>enja</w:t>
      </w:r>
      <w:r>
        <w:rPr>
          <w:sz w:val="24"/>
          <w:szCs w:val="24"/>
        </w:rPr>
        <w:t xml:space="preserve"> mjesečne štednje u iznosu 1.500 kuna. Umjesto toga smanjit će troškove za grickalice i slatkiše za 150 kuna, određeno vrijeme neće kupovati sportske magazine 50 kuna, smanjit će troškove mobitela i telefona za 50 kuna, smanjiti mjesečne troškove goriva za 300 kuna koristeći privremeno/ povremeno bicikl kao prijevozno sredstvo te prodati neke od stvari koje više ničem ne služe. </w:t>
      </w:r>
    </w:p>
    <w:p w:rsidR="00194E89" w:rsidRPr="00A0547C" w:rsidRDefault="003A30F4" w:rsidP="00194E89">
      <w:pPr>
        <w:jc w:val="both"/>
        <w:rPr>
          <w:color w:val="C00000"/>
          <w:sz w:val="24"/>
          <w:szCs w:val="24"/>
        </w:rPr>
      </w:pPr>
      <w:r>
        <w:rPr>
          <w:sz w:val="24"/>
          <w:szCs w:val="24"/>
        </w:rPr>
        <w:t xml:space="preserve">Radi povećanja </w:t>
      </w:r>
      <w:r w:rsidR="00194E89" w:rsidRPr="00395AF2">
        <w:rPr>
          <w:sz w:val="24"/>
          <w:szCs w:val="24"/>
        </w:rPr>
        <w:t>uspješnost</w:t>
      </w:r>
      <w:r>
        <w:rPr>
          <w:sz w:val="24"/>
          <w:szCs w:val="24"/>
        </w:rPr>
        <w:t>i</w:t>
      </w:r>
      <w:r w:rsidR="00194E89">
        <w:rPr>
          <w:sz w:val="24"/>
          <w:szCs w:val="24"/>
        </w:rPr>
        <w:t xml:space="preserve"> u planiranju i upravljanju osobnim financijama</w:t>
      </w:r>
      <w:r w:rsidR="00194E89" w:rsidRPr="00395AF2">
        <w:rPr>
          <w:sz w:val="24"/>
          <w:szCs w:val="24"/>
        </w:rPr>
        <w:t xml:space="preserve">, </w:t>
      </w:r>
      <w:r w:rsidR="00194E89" w:rsidRPr="00316230">
        <w:rPr>
          <w:color w:val="C00000"/>
          <w:sz w:val="24"/>
          <w:szCs w:val="24"/>
        </w:rPr>
        <w:t>svi</w:t>
      </w:r>
      <w:r w:rsidR="00194E89">
        <w:rPr>
          <w:sz w:val="24"/>
          <w:szCs w:val="24"/>
        </w:rPr>
        <w:t xml:space="preserve"> </w:t>
      </w:r>
      <w:r w:rsidR="00194E89" w:rsidRPr="00A107B3">
        <w:rPr>
          <w:color w:val="C00000"/>
          <w:sz w:val="24"/>
          <w:szCs w:val="24"/>
        </w:rPr>
        <w:t xml:space="preserve">krajnji i posredni financijski ciljevi trebaju biti </w:t>
      </w:r>
      <w:r w:rsidR="00194E89">
        <w:rPr>
          <w:color w:val="C00000"/>
          <w:sz w:val="24"/>
          <w:szCs w:val="24"/>
        </w:rPr>
        <w:t xml:space="preserve">usklađeni </w:t>
      </w:r>
      <w:r w:rsidR="00194E89" w:rsidRPr="00316230">
        <w:rPr>
          <w:sz w:val="24"/>
          <w:szCs w:val="24"/>
        </w:rPr>
        <w:t xml:space="preserve">te konkretni i postavljeni u mjerljivim terminima - </w:t>
      </w:r>
      <w:r w:rsidR="00194E89" w:rsidRPr="00F033AF">
        <w:rPr>
          <w:color w:val="C00000"/>
          <w:sz w:val="24"/>
          <w:szCs w:val="24"/>
        </w:rPr>
        <w:t>kvantificirani.</w:t>
      </w:r>
      <w:r w:rsidR="00194E89" w:rsidRPr="00316230">
        <w:rPr>
          <w:sz w:val="24"/>
          <w:szCs w:val="24"/>
        </w:rPr>
        <w:t xml:space="preserve"> </w:t>
      </w:r>
      <w:r w:rsidR="00194E89">
        <w:rPr>
          <w:sz w:val="24"/>
          <w:szCs w:val="24"/>
        </w:rPr>
        <w:t>T</w:t>
      </w:r>
      <w:r w:rsidR="00194E89" w:rsidRPr="00A107B3">
        <w:rPr>
          <w:sz w:val="24"/>
          <w:szCs w:val="24"/>
        </w:rPr>
        <w:t xml:space="preserve">rebaju biti realistični, primjereni pokazateljima trenutne financijske situacije i mogućnostima njenog unaprjeđenja. </w:t>
      </w:r>
      <w:r w:rsidR="00194E89">
        <w:rPr>
          <w:sz w:val="24"/>
          <w:szCs w:val="24"/>
        </w:rPr>
        <w:t>Pri tome je u</w:t>
      </w:r>
      <w:r w:rsidR="00194E89" w:rsidRPr="00A107B3">
        <w:rPr>
          <w:sz w:val="24"/>
          <w:szCs w:val="24"/>
        </w:rPr>
        <w:t xml:space="preserve"> određivanju financijskih ciljeva </w:t>
      </w:r>
      <w:r w:rsidR="00194E89">
        <w:rPr>
          <w:sz w:val="24"/>
          <w:szCs w:val="24"/>
        </w:rPr>
        <w:t xml:space="preserve">uvijek </w:t>
      </w:r>
      <w:r w:rsidR="00194E89" w:rsidRPr="00A107B3">
        <w:rPr>
          <w:sz w:val="24"/>
          <w:szCs w:val="24"/>
        </w:rPr>
        <w:t xml:space="preserve">potrebno je </w:t>
      </w:r>
      <w:r w:rsidR="00194E89" w:rsidRPr="00A0547C">
        <w:rPr>
          <w:color w:val="C00000"/>
          <w:sz w:val="24"/>
          <w:szCs w:val="24"/>
        </w:rPr>
        <w:t xml:space="preserve">odrediti prioritete te razlučiti stvarne potrebe i mogućnosti od nerealnih i neostvarivih želja. </w:t>
      </w:r>
    </w:p>
    <w:tbl>
      <w:tblPr>
        <w:tblStyle w:val="Reetkatablice"/>
        <w:tblW w:w="0" w:type="auto"/>
        <w:tblInd w:w="108" w:type="dxa"/>
        <w:tblLook w:val="01E0" w:firstRow="1" w:lastRow="1" w:firstColumn="1" w:lastColumn="1" w:noHBand="0" w:noVBand="0"/>
      </w:tblPr>
      <w:tblGrid>
        <w:gridCol w:w="9178"/>
      </w:tblGrid>
      <w:tr w:rsidR="00D238E9" w:rsidTr="00FD03A9">
        <w:tc>
          <w:tcPr>
            <w:tcW w:w="9178" w:type="dxa"/>
            <w:shd w:val="clear" w:color="auto" w:fill="F2F2F2" w:themeFill="background1" w:themeFillShade="F2"/>
          </w:tcPr>
          <w:p w:rsidR="00D238E9" w:rsidRPr="00D1637C" w:rsidRDefault="00D238E9" w:rsidP="00FD03A9">
            <w:pPr>
              <w:autoSpaceDE w:val="0"/>
              <w:autoSpaceDN w:val="0"/>
              <w:adjustRightInd w:val="0"/>
              <w:jc w:val="both"/>
              <w:rPr>
                <w:rFonts w:asciiTheme="minorHAnsi" w:eastAsiaTheme="minorHAnsi" w:hAnsiTheme="minorHAnsi" w:cstheme="minorBidi"/>
                <w:b/>
                <w:sz w:val="24"/>
                <w:szCs w:val="24"/>
                <w:lang w:eastAsia="en-US"/>
              </w:rPr>
            </w:pPr>
            <w:r w:rsidRPr="00D1637C">
              <w:rPr>
                <w:rFonts w:asciiTheme="minorHAnsi" w:eastAsiaTheme="minorHAnsi" w:hAnsiTheme="minorHAnsi" w:cstheme="minorBidi"/>
                <w:b/>
                <w:sz w:val="24"/>
                <w:szCs w:val="24"/>
                <w:lang w:eastAsia="en-US"/>
              </w:rPr>
              <w:t>Štednja za nepredviđene situacije</w:t>
            </w:r>
            <w:r w:rsidR="00D1637C">
              <w:rPr>
                <w:rFonts w:asciiTheme="minorHAnsi" w:eastAsiaTheme="minorHAnsi" w:hAnsiTheme="minorHAnsi" w:cstheme="minorBidi"/>
                <w:b/>
                <w:sz w:val="24"/>
                <w:szCs w:val="24"/>
                <w:lang w:eastAsia="en-US"/>
              </w:rPr>
              <w:t xml:space="preserve"> (fond štednje za „crne“ dane)</w:t>
            </w:r>
          </w:p>
          <w:p w:rsidR="00120E41"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 xml:space="preserve">Formiranje fonda štednje za nepredviđene situacije jedan je od </w:t>
            </w:r>
            <w:r w:rsidRPr="00D238E9">
              <w:rPr>
                <w:rFonts w:asciiTheme="minorHAnsi" w:eastAsiaTheme="minorHAnsi" w:hAnsiTheme="minorHAnsi" w:cstheme="minorBidi"/>
                <w:color w:val="C00000"/>
                <w:sz w:val="24"/>
                <w:szCs w:val="24"/>
                <w:lang w:eastAsia="en-US"/>
              </w:rPr>
              <w:t xml:space="preserve">primarnih </w:t>
            </w:r>
            <w:r w:rsidR="00256F1B">
              <w:rPr>
                <w:rFonts w:asciiTheme="minorHAnsi" w:eastAsiaTheme="minorHAnsi" w:hAnsiTheme="minorHAnsi" w:cstheme="minorBidi"/>
                <w:color w:val="C00000"/>
                <w:sz w:val="24"/>
                <w:szCs w:val="24"/>
                <w:lang w:eastAsia="en-US"/>
              </w:rPr>
              <w:t xml:space="preserve">i prioritetnih </w:t>
            </w:r>
            <w:r w:rsidRPr="00D238E9">
              <w:rPr>
                <w:rFonts w:asciiTheme="minorHAnsi" w:eastAsiaTheme="minorHAnsi" w:hAnsiTheme="minorHAnsi" w:cstheme="minorBidi"/>
                <w:color w:val="C00000"/>
                <w:sz w:val="24"/>
                <w:szCs w:val="24"/>
                <w:lang w:eastAsia="en-US"/>
              </w:rPr>
              <w:t xml:space="preserve">ciljeva </w:t>
            </w:r>
            <w:r w:rsidRPr="00D238E9">
              <w:rPr>
                <w:rFonts w:asciiTheme="minorHAnsi" w:eastAsiaTheme="minorHAnsi" w:hAnsiTheme="minorHAnsi" w:cstheme="minorBidi"/>
                <w:sz w:val="24"/>
                <w:szCs w:val="24"/>
                <w:lang w:eastAsia="en-US"/>
              </w:rPr>
              <w:t>u upravljanju osobnim financijama. Pri</w:t>
            </w:r>
            <w:r w:rsidR="00256F1B">
              <w:rPr>
                <w:rFonts w:asciiTheme="minorHAnsi" w:eastAsiaTheme="minorHAnsi" w:hAnsiTheme="minorHAnsi" w:cstheme="minorBidi"/>
                <w:sz w:val="24"/>
                <w:szCs w:val="24"/>
                <w:lang w:eastAsia="en-US"/>
              </w:rPr>
              <w:t xml:space="preserve">oritetan </w:t>
            </w:r>
            <w:r w:rsidRPr="00D238E9">
              <w:rPr>
                <w:rFonts w:asciiTheme="minorHAnsi" w:eastAsiaTheme="minorHAnsi" w:hAnsiTheme="minorHAnsi" w:cstheme="minorBidi"/>
                <w:sz w:val="24"/>
                <w:szCs w:val="24"/>
                <w:lang w:eastAsia="en-US"/>
              </w:rPr>
              <w:t xml:space="preserve">u smislu da ga je potrebno definirati te poduzeti akcije za njegovo ostvarivanje </w:t>
            </w:r>
            <w:r w:rsidRPr="00120E41">
              <w:rPr>
                <w:rFonts w:asciiTheme="minorHAnsi" w:eastAsiaTheme="minorHAnsi" w:hAnsiTheme="minorHAnsi" w:cstheme="minorBidi"/>
                <w:color w:val="C00000"/>
                <w:sz w:val="24"/>
                <w:szCs w:val="24"/>
                <w:lang w:eastAsia="en-US"/>
              </w:rPr>
              <w:t>prije svih drugih potencijalnih ciljeva</w:t>
            </w:r>
            <w:r w:rsidRPr="00D238E9">
              <w:rPr>
                <w:rFonts w:asciiTheme="minorHAnsi" w:eastAsiaTheme="minorHAnsi" w:hAnsiTheme="minorHAnsi" w:cstheme="minorBidi"/>
                <w:sz w:val="24"/>
                <w:szCs w:val="24"/>
                <w:lang w:eastAsia="en-US"/>
              </w:rPr>
              <w:t xml:space="preserve">. </w:t>
            </w:r>
          </w:p>
          <w:p w:rsidR="00D238E9" w:rsidRPr="00D238E9"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 xml:space="preserve">Fond štednje za nepredviđene situacije ili tako zvani </w:t>
            </w:r>
            <w:r w:rsidRPr="00D238E9">
              <w:rPr>
                <w:rFonts w:asciiTheme="minorHAnsi" w:eastAsiaTheme="minorHAnsi" w:hAnsiTheme="minorHAnsi" w:cstheme="minorBidi"/>
                <w:color w:val="C00000"/>
                <w:sz w:val="24"/>
                <w:szCs w:val="24"/>
                <w:lang w:eastAsia="en-US"/>
              </w:rPr>
              <w:t xml:space="preserve">crni fond </w:t>
            </w:r>
            <w:r w:rsidRPr="00D3417E">
              <w:rPr>
                <w:rFonts w:asciiTheme="minorHAnsi" w:eastAsiaTheme="minorHAnsi" w:hAnsiTheme="minorHAnsi" w:cstheme="minorBidi"/>
                <w:sz w:val="24"/>
                <w:szCs w:val="24"/>
                <w:lang w:eastAsia="en-US"/>
              </w:rPr>
              <w:t xml:space="preserve">treba osigurati </w:t>
            </w:r>
            <w:r w:rsidRPr="00D238E9">
              <w:rPr>
                <w:rFonts w:asciiTheme="minorHAnsi" w:eastAsiaTheme="minorHAnsi" w:hAnsiTheme="minorHAnsi" w:cstheme="minorBidi"/>
                <w:color w:val="C00000"/>
                <w:sz w:val="24"/>
                <w:szCs w:val="24"/>
                <w:lang w:eastAsia="en-US"/>
              </w:rPr>
              <w:t>zaštitu financijske sigurnosti pojedinca i članova njegove</w:t>
            </w:r>
            <w:r w:rsidR="00D3417E">
              <w:rPr>
                <w:rFonts w:asciiTheme="minorHAnsi" w:eastAsiaTheme="minorHAnsi" w:hAnsiTheme="minorHAnsi" w:cstheme="minorBidi"/>
                <w:color w:val="C00000"/>
                <w:sz w:val="24"/>
                <w:szCs w:val="24"/>
                <w:lang w:eastAsia="en-US"/>
              </w:rPr>
              <w:t xml:space="preserve"> obitelji </w:t>
            </w:r>
            <w:r w:rsidR="00D3417E" w:rsidRPr="00D3417E">
              <w:rPr>
                <w:rFonts w:asciiTheme="minorHAnsi" w:eastAsiaTheme="minorHAnsi" w:hAnsiTheme="minorHAnsi" w:cstheme="minorBidi"/>
                <w:sz w:val="24"/>
                <w:szCs w:val="24"/>
                <w:lang w:eastAsia="en-US"/>
              </w:rPr>
              <w:t>u uvjetima financijskih šokova</w:t>
            </w:r>
            <w:r w:rsidRPr="00D3417E">
              <w:rPr>
                <w:rFonts w:asciiTheme="minorHAnsi" w:eastAsiaTheme="minorHAnsi" w:hAnsiTheme="minorHAnsi" w:cstheme="minorBidi"/>
                <w:sz w:val="24"/>
                <w:szCs w:val="24"/>
                <w:lang w:eastAsia="en-US"/>
              </w:rPr>
              <w:t xml:space="preserve"> </w:t>
            </w:r>
            <w:r w:rsidRPr="00D238E9">
              <w:rPr>
                <w:rFonts w:asciiTheme="minorHAnsi" w:eastAsiaTheme="minorHAnsi" w:hAnsiTheme="minorHAnsi" w:cstheme="minorBidi"/>
                <w:sz w:val="24"/>
                <w:szCs w:val="24"/>
                <w:lang w:eastAsia="en-US"/>
              </w:rPr>
              <w:t>kakv</w:t>
            </w:r>
            <w:r w:rsidR="00D3417E">
              <w:rPr>
                <w:rFonts w:asciiTheme="minorHAnsi" w:eastAsiaTheme="minorHAnsi" w:hAnsiTheme="minorHAnsi" w:cstheme="minorBidi"/>
                <w:sz w:val="24"/>
                <w:szCs w:val="24"/>
                <w:lang w:eastAsia="en-US"/>
              </w:rPr>
              <w:t>e</w:t>
            </w:r>
            <w:r w:rsidRPr="00D238E9">
              <w:rPr>
                <w:rFonts w:asciiTheme="minorHAnsi" w:eastAsiaTheme="minorHAnsi" w:hAnsiTheme="minorHAnsi" w:cstheme="minorBidi"/>
                <w:sz w:val="24"/>
                <w:szCs w:val="24"/>
                <w:lang w:eastAsia="en-US"/>
              </w:rPr>
              <w:t xml:space="preserve"> na primjer uzrokuje gubitak posla i izostanak redovnih prihoda</w:t>
            </w:r>
            <w:r w:rsidR="00D3417E">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ali i situacije povećanja  izvanrednih rashoda vezanih uz bolest ili smrt u obitelji. </w:t>
            </w:r>
          </w:p>
          <w:p w:rsidR="00A2323C" w:rsidRDefault="00D3417E"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Štednja za nepredviđene situacije (</w:t>
            </w:r>
            <w:r w:rsidR="00D238E9" w:rsidRPr="00D238E9">
              <w:rPr>
                <w:rFonts w:asciiTheme="minorHAnsi" w:eastAsiaTheme="minorHAnsi" w:hAnsiTheme="minorHAnsi" w:cstheme="minorBidi"/>
                <w:sz w:val="24"/>
                <w:szCs w:val="24"/>
                <w:lang w:eastAsia="en-US"/>
              </w:rPr>
              <w:t>crni fond</w:t>
            </w:r>
            <w:r>
              <w:rPr>
                <w:rFonts w:asciiTheme="minorHAnsi" w:eastAsiaTheme="minorHAnsi" w:hAnsiTheme="minorHAnsi" w:cstheme="minorBidi"/>
                <w:sz w:val="24"/>
                <w:szCs w:val="24"/>
                <w:lang w:eastAsia="en-US"/>
              </w:rPr>
              <w:t>)</w:t>
            </w:r>
            <w:r w:rsidR="00D238E9" w:rsidRPr="00D238E9">
              <w:rPr>
                <w:rFonts w:asciiTheme="minorHAnsi" w:eastAsiaTheme="minorHAnsi" w:hAnsiTheme="minorHAnsi" w:cstheme="minorBidi"/>
                <w:sz w:val="24"/>
                <w:szCs w:val="24"/>
                <w:lang w:eastAsia="en-US"/>
              </w:rPr>
              <w:t xml:space="preserve"> treba biti jednak</w:t>
            </w:r>
            <w:r>
              <w:rPr>
                <w:rFonts w:asciiTheme="minorHAnsi" w:eastAsiaTheme="minorHAnsi" w:hAnsiTheme="minorHAnsi" w:cstheme="minorBidi"/>
                <w:sz w:val="24"/>
                <w:szCs w:val="24"/>
                <w:lang w:eastAsia="en-US"/>
              </w:rPr>
              <w:t>a</w:t>
            </w:r>
            <w:r w:rsidR="00D238E9" w:rsidRPr="00D238E9">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 xml:space="preserve">barem </w:t>
            </w:r>
            <w:r w:rsidR="00D238E9" w:rsidRPr="00D238E9">
              <w:rPr>
                <w:rFonts w:asciiTheme="minorHAnsi" w:eastAsiaTheme="minorHAnsi" w:hAnsiTheme="minorHAnsi" w:cstheme="minorBidi"/>
                <w:sz w:val="24"/>
                <w:szCs w:val="24"/>
                <w:lang w:eastAsia="en-US"/>
              </w:rPr>
              <w:t>iznosu tromjesečnih redovnih rashoda i izdataka, a poželjno je da pokriva izdatke kućanstva za šest i više mjeseci. Ukoliko redovni rashodi i izdatci iznose 8.000.00 kuna mjesečno</w:t>
            </w:r>
            <w:r>
              <w:rPr>
                <w:rFonts w:asciiTheme="minorHAnsi" w:eastAsiaTheme="minorHAnsi" w:hAnsiTheme="minorHAnsi" w:cstheme="minorBidi"/>
                <w:sz w:val="24"/>
                <w:szCs w:val="24"/>
                <w:lang w:eastAsia="en-US"/>
              </w:rPr>
              <w:t>,</w:t>
            </w:r>
            <w:r w:rsidR="00D238E9" w:rsidRPr="00D238E9">
              <w:rPr>
                <w:rFonts w:asciiTheme="minorHAnsi" w:eastAsiaTheme="minorHAnsi" w:hAnsiTheme="minorHAnsi" w:cstheme="minorBidi"/>
                <w:sz w:val="24"/>
                <w:szCs w:val="24"/>
                <w:lang w:eastAsia="en-US"/>
              </w:rPr>
              <w:t xml:space="preserve"> potrebno je formirati fond štednje u iznosu 24.000.00 kuna. Uz koeficijent štednje 0</w:t>
            </w:r>
            <w:r w:rsidR="00A0547C">
              <w:rPr>
                <w:rFonts w:asciiTheme="minorHAnsi" w:eastAsiaTheme="minorHAnsi" w:hAnsiTheme="minorHAnsi" w:cstheme="minorBidi"/>
                <w:sz w:val="24"/>
                <w:szCs w:val="24"/>
                <w:lang w:eastAsia="en-US"/>
              </w:rPr>
              <w:t>,</w:t>
            </w:r>
            <w:r w:rsidR="00D238E9" w:rsidRPr="00D238E9">
              <w:rPr>
                <w:rFonts w:asciiTheme="minorHAnsi" w:eastAsiaTheme="minorHAnsi" w:hAnsiTheme="minorHAnsi" w:cstheme="minorBidi"/>
                <w:sz w:val="24"/>
                <w:szCs w:val="24"/>
                <w:lang w:eastAsia="en-US"/>
              </w:rPr>
              <w:t>20 i prosječne mjesečne prihode 8.000.00 kuna potrebno je petnaest (15) mjeseci uzastopne disciplinirane štednje 1.600.00 kuna mjesečno kako bi kumulirali fond rezerve u visini 24.000.00 kuna.</w:t>
            </w:r>
          </w:p>
          <w:p w:rsidR="00D238E9" w:rsidRPr="00D238E9" w:rsidRDefault="00A0547C"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S druge strane ukoliko je koeficijent štednje na razini 0,10 (što se obično preporučuje ali jasno ovisi o visini dohotka jer su za više dohodovne razrede mogućnost štednje veće), za kumuliranje rezervi 24.000,00 kuna treba čak 30 mjeseci štednje u mjesečnim iznosima 800 kuna. Pri tome kako bi se očuvala realna vrijednost štednje potrebno je sredstva oročiti ili uložiti u drugu kategoriju štedno-ulagačke imovine niskog rizika i visoke likvidnosti koja donosi godišnji prinos barem na razini godišnje stope inflacije.</w:t>
            </w:r>
          </w:p>
          <w:p w:rsidR="00D238E9" w:rsidRPr="00D238E9"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Svaki pojedinac i svako kućanstvo ima svoju jedinstvenu financijsku poziciju</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zbog čega </w:t>
            </w:r>
            <w:r w:rsidRPr="00120E41">
              <w:rPr>
                <w:rFonts w:asciiTheme="minorHAnsi" w:eastAsiaTheme="minorHAnsi" w:hAnsiTheme="minorHAnsi" w:cstheme="minorBidi"/>
                <w:sz w:val="24"/>
                <w:szCs w:val="24"/>
                <w:lang w:eastAsia="en-US"/>
              </w:rPr>
              <w:t xml:space="preserve">uobičajeno </w:t>
            </w:r>
            <w:r w:rsidRPr="00120E41">
              <w:rPr>
                <w:rFonts w:asciiTheme="minorHAnsi" w:eastAsiaTheme="minorHAnsi" w:hAnsiTheme="minorHAnsi" w:cstheme="minorBidi"/>
                <w:color w:val="C00000"/>
                <w:sz w:val="24"/>
                <w:szCs w:val="24"/>
                <w:lang w:eastAsia="en-US"/>
              </w:rPr>
              <w:t>pr</w:t>
            </w:r>
            <w:r w:rsidR="00A0547C">
              <w:rPr>
                <w:rFonts w:asciiTheme="minorHAnsi" w:eastAsiaTheme="minorHAnsi" w:hAnsiTheme="minorHAnsi" w:cstheme="minorBidi"/>
                <w:color w:val="C00000"/>
                <w:sz w:val="24"/>
                <w:szCs w:val="24"/>
                <w:lang w:eastAsia="en-US"/>
              </w:rPr>
              <w:t>eporučeni koeficijent štednje 0,1</w:t>
            </w:r>
            <w:r w:rsidRPr="00120E41">
              <w:rPr>
                <w:rFonts w:asciiTheme="minorHAnsi" w:eastAsiaTheme="minorHAnsi" w:hAnsiTheme="minorHAnsi" w:cstheme="minorBidi"/>
                <w:color w:val="C00000"/>
                <w:sz w:val="24"/>
                <w:szCs w:val="24"/>
                <w:lang w:eastAsia="en-US"/>
              </w:rPr>
              <w:t xml:space="preserve">0 (odnosno </w:t>
            </w:r>
            <w:r w:rsidR="00A0547C">
              <w:rPr>
                <w:rFonts w:asciiTheme="minorHAnsi" w:eastAsiaTheme="minorHAnsi" w:hAnsiTheme="minorHAnsi" w:cstheme="minorBidi"/>
                <w:color w:val="C00000"/>
                <w:sz w:val="24"/>
                <w:szCs w:val="24"/>
                <w:lang w:eastAsia="en-US"/>
              </w:rPr>
              <w:t>1</w:t>
            </w:r>
            <w:r w:rsidRPr="00120E41">
              <w:rPr>
                <w:rFonts w:asciiTheme="minorHAnsi" w:eastAsiaTheme="minorHAnsi" w:hAnsiTheme="minorHAnsi" w:cstheme="minorBidi"/>
                <w:color w:val="C00000"/>
                <w:sz w:val="24"/>
                <w:szCs w:val="24"/>
                <w:lang w:eastAsia="en-US"/>
              </w:rPr>
              <w:t xml:space="preserve">0% prihoda) </w:t>
            </w:r>
            <w:r w:rsidRPr="00D238E9">
              <w:rPr>
                <w:rFonts w:asciiTheme="minorHAnsi" w:eastAsiaTheme="minorHAnsi" w:hAnsiTheme="minorHAnsi" w:cstheme="minorBidi"/>
                <w:sz w:val="24"/>
                <w:szCs w:val="24"/>
                <w:lang w:eastAsia="en-US"/>
              </w:rPr>
              <w:t>može biti previsok ili prenizak. Prihodi kućanstva mogu biti daleko iznad iznosa rashoda za kupovinu roba i usluga namijenjenih zadovoljenju temeljnih fizičkih (egzistencijskih) potreba</w:t>
            </w:r>
            <w:r w:rsidR="00D3417E">
              <w:rPr>
                <w:rFonts w:asciiTheme="minorHAnsi" w:eastAsiaTheme="minorHAnsi" w:hAnsiTheme="minorHAnsi" w:cstheme="minorBidi"/>
                <w:sz w:val="24"/>
                <w:szCs w:val="24"/>
                <w:lang w:eastAsia="en-US"/>
              </w:rPr>
              <w:t xml:space="preserve"> pa je tada </w:t>
            </w:r>
            <w:r w:rsidRPr="00D238E9">
              <w:rPr>
                <w:rFonts w:asciiTheme="minorHAnsi" w:eastAsiaTheme="minorHAnsi" w:hAnsiTheme="minorHAnsi" w:cstheme="minorBidi"/>
                <w:sz w:val="24"/>
                <w:szCs w:val="24"/>
                <w:lang w:eastAsia="en-US"/>
              </w:rPr>
              <w:t>relativno lako formirati fond štednje za nepredviđene situacije</w:t>
            </w:r>
            <w:r w:rsidR="00D3417E">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kao i uopće fond štednje namijenjen zadovoljenju potreba za sigurnošću (štednja za starost.</w:t>
            </w:r>
          </w:p>
          <w:p w:rsidR="00D238E9" w:rsidRPr="00A0547C"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 xml:space="preserve">S druge strane. prihodi kućanstva ponekada su dostatni jedino za pokriće rashoda za </w:t>
            </w:r>
            <w:r w:rsidRPr="00D238E9">
              <w:rPr>
                <w:rFonts w:asciiTheme="minorHAnsi" w:eastAsiaTheme="minorHAnsi" w:hAnsiTheme="minorHAnsi" w:cstheme="minorBidi"/>
                <w:sz w:val="24"/>
                <w:szCs w:val="24"/>
                <w:lang w:eastAsia="en-US"/>
              </w:rPr>
              <w:lastRenderedPageBreak/>
              <w:t xml:space="preserve">kupovinu roba i usluga namijenjenih zadovoljenju temeljnih </w:t>
            </w:r>
            <w:r w:rsidR="00D3417E">
              <w:rPr>
                <w:rFonts w:asciiTheme="minorHAnsi" w:eastAsiaTheme="minorHAnsi" w:hAnsiTheme="minorHAnsi" w:cstheme="minorBidi"/>
                <w:sz w:val="24"/>
                <w:szCs w:val="24"/>
                <w:lang w:eastAsia="en-US"/>
              </w:rPr>
              <w:t xml:space="preserve">životnih </w:t>
            </w:r>
            <w:r w:rsidRPr="00D238E9">
              <w:rPr>
                <w:rFonts w:asciiTheme="minorHAnsi" w:eastAsiaTheme="minorHAnsi" w:hAnsiTheme="minorHAnsi" w:cstheme="minorBidi"/>
                <w:sz w:val="24"/>
                <w:szCs w:val="24"/>
                <w:lang w:eastAsia="en-US"/>
              </w:rPr>
              <w:t>potreba</w:t>
            </w:r>
            <w:r w:rsidR="00D3417E">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Ukoliko su mjesečni prihodi pojedinca daleko niži od prethodno spomenutih i iznose na primjer 4.000 kuna</w:t>
            </w:r>
            <w:r w:rsidR="00D3417E">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to nipošto ne znači da treba odustati od formiranja štednje za nepredviđene situacije. </w:t>
            </w:r>
            <w:r w:rsidRPr="00120E41">
              <w:rPr>
                <w:rFonts w:asciiTheme="minorHAnsi" w:eastAsiaTheme="minorHAnsi" w:hAnsiTheme="minorHAnsi" w:cstheme="minorBidi"/>
                <w:color w:val="C00000"/>
                <w:sz w:val="24"/>
                <w:szCs w:val="24"/>
                <w:lang w:eastAsia="en-US"/>
              </w:rPr>
              <w:t>U odnosu na te</w:t>
            </w:r>
            <w:r w:rsidR="00D3417E" w:rsidRPr="00120E41">
              <w:rPr>
                <w:rFonts w:asciiTheme="minorHAnsi" w:eastAsiaTheme="minorHAnsi" w:hAnsiTheme="minorHAnsi" w:cstheme="minorBidi"/>
                <w:color w:val="C00000"/>
                <w:sz w:val="24"/>
                <w:szCs w:val="24"/>
                <w:lang w:eastAsia="en-US"/>
              </w:rPr>
              <w:t>kuću lošu financijsku situaciju,</w:t>
            </w:r>
            <w:r w:rsidRPr="00120E41">
              <w:rPr>
                <w:rFonts w:asciiTheme="minorHAnsi" w:eastAsiaTheme="minorHAnsi" w:hAnsiTheme="minorHAnsi" w:cstheme="minorBidi"/>
                <w:color w:val="C00000"/>
                <w:sz w:val="24"/>
                <w:szCs w:val="24"/>
                <w:lang w:eastAsia="en-US"/>
              </w:rPr>
              <w:t xml:space="preserve"> može postojati i </w:t>
            </w:r>
            <w:r w:rsidR="00D3417E" w:rsidRPr="00120E41">
              <w:rPr>
                <w:rFonts w:asciiTheme="minorHAnsi" w:eastAsiaTheme="minorHAnsi" w:hAnsiTheme="minorHAnsi" w:cstheme="minorBidi"/>
                <w:color w:val="C00000"/>
                <w:sz w:val="24"/>
                <w:szCs w:val="24"/>
                <w:lang w:eastAsia="en-US"/>
              </w:rPr>
              <w:t xml:space="preserve">teža </w:t>
            </w:r>
            <w:r w:rsidRPr="00120E41">
              <w:rPr>
                <w:rFonts w:asciiTheme="minorHAnsi" w:eastAsiaTheme="minorHAnsi" w:hAnsiTheme="minorHAnsi" w:cstheme="minorBidi"/>
                <w:color w:val="C00000"/>
                <w:sz w:val="24"/>
                <w:szCs w:val="24"/>
                <w:lang w:eastAsia="en-US"/>
              </w:rPr>
              <w:t xml:space="preserve">situacija </w:t>
            </w:r>
            <w:r w:rsidR="00D3417E" w:rsidRPr="00A0547C">
              <w:rPr>
                <w:rFonts w:asciiTheme="minorHAnsi" w:eastAsiaTheme="minorHAnsi" w:hAnsiTheme="minorHAnsi" w:cstheme="minorBidi"/>
                <w:sz w:val="24"/>
                <w:szCs w:val="24"/>
                <w:lang w:eastAsia="en-US"/>
              </w:rPr>
              <w:t xml:space="preserve">da pojedinac </w:t>
            </w:r>
            <w:r w:rsidRPr="00A0547C">
              <w:rPr>
                <w:rFonts w:asciiTheme="minorHAnsi" w:eastAsiaTheme="minorHAnsi" w:hAnsiTheme="minorHAnsi" w:cstheme="minorBidi"/>
                <w:sz w:val="24"/>
                <w:szCs w:val="24"/>
                <w:lang w:eastAsia="en-US"/>
              </w:rPr>
              <w:t>nema dostatna sredstva za život</w:t>
            </w:r>
            <w:r w:rsidR="00D3417E" w:rsidRPr="00A0547C">
              <w:rPr>
                <w:rFonts w:asciiTheme="minorHAnsi" w:eastAsiaTheme="minorHAnsi" w:hAnsiTheme="minorHAnsi" w:cstheme="minorBidi"/>
                <w:sz w:val="24"/>
                <w:szCs w:val="24"/>
                <w:lang w:eastAsia="en-US"/>
              </w:rPr>
              <w:t>,</w:t>
            </w:r>
            <w:r w:rsidRPr="00A0547C">
              <w:rPr>
                <w:rFonts w:asciiTheme="minorHAnsi" w:eastAsiaTheme="minorHAnsi" w:hAnsiTheme="minorHAnsi" w:cstheme="minorBidi"/>
                <w:sz w:val="24"/>
                <w:szCs w:val="24"/>
                <w:lang w:eastAsia="en-US"/>
              </w:rPr>
              <w:t xml:space="preserve"> a najgora opcija koju tada može izabrati jest zaduživanje i kumuliranje dugova koje možda nikada neće moći vratiti. </w:t>
            </w:r>
          </w:p>
          <w:p w:rsidR="00D238E9" w:rsidRPr="00D238E9" w:rsidRDefault="00D238E9" w:rsidP="00D238E9">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Kum</w:t>
            </w:r>
            <w:r>
              <w:rPr>
                <w:rFonts w:asciiTheme="minorHAnsi" w:eastAsiaTheme="minorHAnsi" w:hAnsiTheme="minorHAnsi" w:cstheme="minorBidi"/>
                <w:sz w:val="24"/>
                <w:szCs w:val="24"/>
                <w:lang w:eastAsia="en-US"/>
              </w:rPr>
              <w:t>u</w:t>
            </w:r>
            <w:r w:rsidRPr="00D238E9">
              <w:rPr>
                <w:rFonts w:asciiTheme="minorHAnsi" w:eastAsiaTheme="minorHAnsi" w:hAnsiTheme="minorHAnsi" w:cstheme="minorBidi"/>
                <w:sz w:val="24"/>
                <w:szCs w:val="24"/>
                <w:lang w:eastAsia="en-US"/>
              </w:rPr>
              <w:t xml:space="preserve">lirani fond štednje za nepredviđene situacije treba </w:t>
            </w:r>
            <w:r w:rsidRPr="00A0547C">
              <w:rPr>
                <w:rFonts w:asciiTheme="minorHAnsi" w:eastAsiaTheme="minorHAnsi" w:hAnsiTheme="minorHAnsi" w:cstheme="minorBidi"/>
                <w:color w:val="C00000"/>
                <w:sz w:val="24"/>
                <w:szCs w:val="24"/>
                <w:lang w:eastAsia="en-US"/>
              </w:rPr>
              <w:t>uvijek održavati na potrebnoj razin</w:t>
            </w:r>
            <w:r w:rsidRPr="00D238E9">
              <w:rPr>
                <w:rFonts w:asciiTheme="minorHAnsi" w:eastAsiaTheme="minorHAnsi" w:hAnsiTheme="minorHAnsi" w:cstheme="minorBidi"/>
                <w:sz w:val="24"/>
                <w:szCs w:val="24"/>
                <w:lang w:eastAsia="en-US"/>
              </w:rPr>
              <w:t>i. Budući da inflacija smanjuje realnu kupovnu moć novca</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fond štednje za nepredviđene situacije treba uložiti u financijske oblike koji daju </w:t>
            </w:r>
            <w:r w:rsidRPr="00A0547C">
              <w:rPr>
                <w:rFonts w:asciiTheme="minorHAnsi" w:eastAsiaTheme="minorHAnsi" w:hAnsiTheme="minorHAnsi" w:cstheme="minorBidi"/>
                <w:color w:val="C00000"/>
                <w:sz w:val="24"/>
                <w:szCs w:val="24"/>
                <w:lang w:eastAsia="en-US"/>
              </w:rPr>
              <w:t>prinos minimalno jednak stopi inflacije</w:t>
            </w:r>
            <w:r w:rsidRPr="00D238E9">
              <w:rPr>
                <w:rFonts w:asciiTheme="minorHAnsi" w:eastAsiaTheme="minorHAnsi" w:hAnsiTheme="minorHAnsi" w:cstheme="minorBidi"/>
                <w:sz w:val="24"/>
                <w:szCs w:val="24"/>
                <w:lang w:eastAsia="en-US"/>
              </w:rPr>
              <w:t>. Najčešće je to oročena štednja u banci</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a ovisno o stabilnosti financijskih tržišta to mogu biti i drugi financijski oblici poput uloga u novčane investicijske otvorne fondove. Fond štednje za nepredviđene situacije treba biti </w:t>
            </w:r>
            <w:r w:rsidRPr="00A0547C">
              <w:rPr>
                <w:rFonts w:asciiTheme="minorHAnsi" w:eastAsiaTheme="minorHAnsi" w:hAnsiTheme="minorHAnsi" w:cstheme="minorBidi"/>
                <w:color w:val="C00000"/>
                <w:sz w:val="24"/>
                <w:szCs w:val="24"/>
                <w:lang w:eastAsia="en-US"/>
              </w:rPr>
              <w:t>uložen u sigurne (nisko rizične) i visoko likvidne financijske oblik</w:t>
            </w:r>
            <w:r w:rsidRPr="00D238E9">
              <w:rPr>
                <w:rFonts w:asciiTheme="minorHAnsi" w:eastAsiaTheme="minorHAnsi" w:hAnsiTheme="minorHAnsi" w:cstheme="minorBidi"/>
                <w:sz w:val="24"/>
                <w:szCs w:val="24"/>
                <w:lang w:eastAsia="en-US"/>
              </w:rPr>
              <w:t xml:space="preserve">e kako bi sredstva bila dostupna unutar </w:t>
            </w:r>
            <w:r w:rsidR="00A0547C">
              <w:rPr>
                <w:rFonts w:asciiTheme="minorHAnsi" w:eastAsiaTheme="minorHAnsi" w:hAnsiTheme="minorHAnsi" w:cstheme="minorBidi"/>
                <w:sz w:val="24"/>
                <w:szCs w:val="24"/>
                <w:lang w:eastAsia="en-US"/>
              </w:rPr>
              <w:t>dva</w:t>
            </w:r>
            <w:r w:rsidRPr="00D238E9">
              <w:rPr>
                <w:rFonts w:asciiTheme="minorHAnsi" w:eastAsiaTheme="minorHAnsi" w:hAnsiTheme="minorHAnsi" w:cstheme="minorBidi"/>
                <w:sz w:val="24"/>
                <w:szCs w:val="24"/>
                <w:lang w:eastAsia="en-US"/>
              </w:rPr>
              <w:t xml:space="preserve"> do četiri dana po pojavi potrebe za njihovo povlačenje. </w:t>
            </w:r>
          </w:p>
          <w:p w:rsidR="00D238E9" w:rsidRPr="00120E41" w:rsidRDefault="00D238E9" w:rsidP="00120E41">
            <w:pPr>
              <w:autoSpaceDE w:val="0"/>
              <w:autoSpaceDN w:val="0"/>
              <w:adjustRightInd w:val="0"/>
              <w:spacing w:before="120" w:after="120"/>
              <w:jc w:val="both"/>
              <w:rPr>
                <w:rFonts w:asciiTheme="minorHAnsi" w:eastAsiaTheme="minorHAnsi" w:hAnsiTheme="minorHAnsi" w:cstheme="minorBidi"/>
                <w:sz w:val="24"/>
                <w:szCs w:val="24"/>
                <w:lang w:eastAsia="en-US"/>
              </w:rPr>
            </w:pPr>
            <w:r w:rsidRPr="00D238E9">
              <w:rPr>
                <w:rFonts w:asciiTheme="minorHAnsi" w:eastAsiaTheme="minorHAnsi" w:hAnsiTheme="minorHAnsi" w:cstheme="minorBidi"/>
                <w:sz w:val="24"/>
                <w:szCs w:val="24"/>
                <w:lang w:eastAsia="en-US"/>
              </w:rPr>
              <w:t xml:space="preserve">Fond štednje za nepredviđene situacije nikada </w:t>
            </w:r>
            <w:r w:rsidR="00120E41">
              <w:rPr>
                <w:rFonts w:asciiTheme="minorHAnsi" w:eastAsiaTheme="minorHAnsi" w:hAnsiTheme="minorHAnsi" w:cstheme="minorBidi"/>
                <w:sz w:val="24"/>
                <w:szCs w:val="24"/>
                <w:lang w:eastAsia="en-US"/>
              </w:rPr>
              <w:t xml:space="preserve">se </w:t>
            </w:r>
            <w:r w:rsidRPr="00A0547C">
              <w:rPr>
                <w:rFonts w:asciiTheme="minorHAnsi" w:eastAsiaTheme="minorHAnsi" w:hAnsiTheme="minorHAnsi" w:cstheme="minorBidi"/>
                <w:color w:val="C00000"/>
                <w:sz w:val="24"/>
                <w:szCs w:val="24"/>
                <w:lang w:eastAsia="en-US"/>
              </w:rPr>
              <w:t>ne smije koristiti za druge svrhe</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što znači da discipliniranost nije važna samo s aspekta mjesečnih aktivnosti usmjerenih na formiranje tog fonda</w:t>
            </w:r>
            <w:r w:rsidR="00120E41">
              <w:rPr>
                <w:rFonts w:asciiTheme="minorHAnsi" w:eastAsiaTheme="minorHAnsi" w:hAnsiTheme="minorHAnsi" w:cstheme="minorBidi"/>
                <w:sz w:val="24"/>
                <w:szCs w:val="24"/>
                <w:lang w:eastAsia="en-US"/>
              </w:rPr>
              <w:t>,</w:t>
            </w:r>
            <w:r w:rsidRPr="00D238E9">
              <w:rPr>
                <w:rFonts w:asciiTheme="minorHAnsi" w:eastAsiaTheme="minorHAnsi" w:hAnsiTheme="minorHAnsi" w:cstheme="minorBidi"/>
                <w:sz w:val="24"/>
                <w:szCs w:val="24"/>
                <w:lang w:eastAsia="en-US"/>
              </w:rPr>
              <w:t xml:space="preserve"> nego je važna i s aspekta namjene korištenja formirane štednje. Vlastita. sigurna i uvijek dostupna štednja najbolja je zaštit</w:t>
            </w:r>
            <w:r w:rsidR="00120E41">
              <w:rPr>
                <w:rFonts w:asciiTheme="minorHAnsi" w:eastAsiaTheme="minorHAnsi" w:hAnsiTheme="minorHAnsi" w:cstheme="minorBidi"/>
                <w:sz w:val="24"/>
                <w:szCs w:val="24"/>
                <w:lang w:eastAsia="en-US"/>
              </w:rPr>
              <w:t xml:space="preserve">a od financijske nesigurnosti. </w:t>
            </w:r>
          </w:p>
        </w:tc>
      </w:tr>
    </w:tbl>
    <w:p w:rsidR="00A0547C" w:rsidRDefault="004409CE" w:rsidP="00A0547C">
      <w:pPr>
        <w:autoSpaceDE w:val="0"/>
        <w:autoSpaceDN w:val="0"/>
        <w:adjustRightInd w:val="0"/>
        <w:spacing w:before="240"/>
        <w:jc w:val="both"/>
        <w:rPr>
          <w:sz w:val="24"/>
          <w:szCs w:val="24"/>
        </w:rPr>
      </w:pPr>
      <w:r w:rsidRPr="004409CE">
        <w:rPr>
          <w:sz w:val="24"/>
          <w:szCs w:val="24"/>
        </w:rPr>
        <w:lastRenderedPageBreak/>
        <w:t xml:space="preserve">Za kućanstvo kojem su ciljevi </w:t>
      </w:r>
      <w:r w:rsidR="002E7FDC" w:rsidRPr="004409CE">
        <w:rPr>
          <w:sz w:val="24"/>
          <w:szCs w:val="24"/>
        </w:rPr>
        <w:t>povećanje financijske sigurnosti</w:t>
      </w:r>
      <w:r w:rsidRPr="004409CE">
        <w:rPr>
          <w:sz w:val="24"/>
          <w:szCs w:val="24"/>
        </w:rPr>
        <w:t xml:space="preserve"> te briga o životnom standardu i kvaliteti života u starosti -</w:t>
      </w:r>
      <w:r w:rsidR="002E7FDC" w:rsidRPr="004409CE">
        <w:rPr>
          <w:sz w:val="24"/>
          <w:szCs w:val="24"/>
        </w:rPr>
        <w:t xml:space="preserve"> jedini put da</w:t>
      </w:r>
      <w:r w:rsidR="00194E89" w:rsidRPr="004409CE">
        <w:rPr>
          <w:sz w:val="24"/>
          <w:szCs w:val="24"/>
        </w:rPr>
        <w:t xml:space="preserve"> se</w:t>
      </w:r>
      <w:r w:rsidR="002E7FDC" w:rsidRPr="004409CE">
        <w:rPr>
          <w:sz w:val="24"/>
          <w:szCs w:val="24"/>
        </w:rPr>
        <w:t xml:space="preserve"> to postigne </w:t>
      </w:r>
      <w:r w:rsidRPr="004409CE">
        <w:rPr>
          <w:sz w:val="24"/>
          <w:szCs w:val="24"/>
        </w:rPr>
        <w:t>je</w:t>
      </w:r>
      <w:r w:rsidR="002E7FDC" w:rsidRPr="004409CE">
        <w:rPr>
          <w:sz w:val="24"/>
          <w:szCs w:val="24"/>
        </w:rPr>
        <w:t xml:space="preserve"> formiran</w:t>
      </w:r>
      <w:r w:rsidRPr="004409CE">
        <w:rPr>
          <w:sz w:val="24"/>
          <w:szCs w:val="24"/>
        </w:rPr>
        <w:t xml:space="preserve">je štednje tijekom radno- aktivnog dijela života, odnosno  njeno ulaganje u </w:t>
      </w:r>
      <w:r w:rsidR="002E7FDC" w:rsidRPr="004409CE">
        <w:rPr>
          <w:sz w:val="24"/>
          <w:szCs w:val="24"/>
        </w:rPr>
        <w:t>financijske ili realne oblike imovine koji don</w:t>
      </w:r>
      <w:r w:rsidRPr="004409CE">
        <w:rPr>
          <w:sz w:val="24"/>
          <w:szCs w:val="24"/>
        </w:rPr>
        <w:t>ose</w:t>
      </w:r>
      <w:r w:rsidR="002E7FDC" w:rsidRPr="004409CE">
        <w:rPr>
          <w:sz w:val="24"/>
          <w:szCs w:val="24"/>
        </w:rPr>
        <w:t xml:space="preserve"> odgovarajući prinos</w:t>
      </w:r>
      <w:r w:rsidRPr="004409CE">
        <w:rPr>
          <w:sz w:val="24"/>
          <w:szCs w:val="24"/>
        </w:rPr>
        <w:t xml:space="preserve"> i čuvaju realnu vrijednost imovine, a ovisno o namjeni imaju odgovarajući stupanj </w:t>
      </w:r>
      <w:r w:rsidR="003A30F4">
        <w:rPr>
          <w:sz w:val="24"/>
          <w:szCs w:val="24"/>
        </w:rPr>
        <w:t xml:space="preserve">veće ili manje </w:t>
      </w:r>
      <w:r w:rsidRPr="004409CE">
        <w:rPr>
          <w:sz w:val="24"/>
          <w:szCs w:val="24"/>
        </w:rPr>
        <w:t>likvidnosti.</w:t>
      </w:r>
      <w:r w:rsidR="002E7FDC" w:rsidRPr="004409CE">
        <w:rPr>
          <w:sz w:val="24"/>
          <w:szCs w:val="24"/>
        </w:rPr>
        <w:t xml:space="preserve"> </w:t>
      </w:r>
      <w:r w:rsidR="002E7FDC" w:rsidRPr="004409CE">
        <w:rPr>
          <w:sz w:val="24"/>
          <w:szCs w:val="24"/>
          <w:vertAlign w:val="superscript"/>
        </w:rPr>
        <w:footnoteReference w:id="50"/>
      </w:r>
      <w:r w:rsidR="00567F1A">
        <w:rPr>
          <w:sz w:val="24"/>
          <w:szCs w:val="24"/>
        </w:rPr>
        <w:t xml:space="preserve"> U tu svrhu dostupni su različiti štedno ulagački proizvodi od kojih svaki ima svoja specifična obilježja, mogućnosti prinosa, rizike i troškove. Izbor alternativa i njihovo vrednovanje stoga </w:t>
      </w:r>
      <w:r w:rsidR="00A55EC1">
        <w:rPr>
          <w:sz w:val="24"/>
          <w:szCs w:val="24"/>
        </w:rPr>
        <w:t>su</w:t>
      </w:r>
      <w:r w:rsidR="00567F1A">
        <w:rPr>
          <w:sz w:val="24"/>
          <w:szCs w:val="24"/>
        </w:rPr>
        <w:t xml:space="preserve"> određen</w:t>
      </w:r>
      <w:r w:rsidR="00A55EC1">
        <w:rPr>
          <w:sz w:val="24"/>
          <w:szCs w:val="24"/>
        </w:rPr>
        <w:t>i</w:t>
      </w:r>
      <w:r w:rsidR="00567F1A">
        <w:rPr>
          <w:sz w:val="24"/>
          <w:szCs w:val="24"/>
        </w:rPr>
        <w:t xml:space="preserve"> namjenom u koju </w:t>
      </w:r>
      <w:r w:rsidR="00A55EC1">
        <w:rPr>
          <w:sz w:val="24"/>
          <w:szCs w:val="24"/>
        </w:rPr>
        <w:t xml:space="preserve">će </w:t>
      </w:r>
      <w:r w:rsidR="00567F1A">
        <w:rPr>
          <w:sz w:val="24"/>
          <w:szCs w:val="24"/>
        </w:rPr>
        <w:t>se pojedini iznosi štednje korist</w:t>
      </w:r>
      <w:r w:rsidR="00A55EC1">
        <w:rPr>
          <w:sz w:val="24"/>
          <w:szCs w:val="24"/>
        </w:rPr>
        <w:t>iti, udaljenošću razdoblja kada ona treba biti dostupna za neku svrhu</w:t>
      </w:r>
      <w:r w:rsidR="00950A28">
        <w:rPr>
          <w:sz w:val="24"/>
          <w:szCs w:val="24"/>
        </w:rPr>
        <w:t xml:space="preserve"> i mnogim drugim faktorima, a jedan od njih su i sklonosti štediša (ulagača). </w:t>
      </w:r>
    </w:p>
    <w:p w:rsidR="00950A28" w:rsidRDefault="00950A28" w:rsidP="00A0547C">
      <w:pPr>
        <w:autoSpaceDE w:val="0"/>
        <w:autoSpaceDN w:val="0"/>
        <w:adjustRightInd w:val="0"/>
        <w:spacing w:before="240"/>
        <w:jc w:val="both"/>
        <w:rPr>
          <w:sz w:val="24"/>
          <w:szCs w:val="24"/>
        </w:rPr>
      </w:pPr>
      <w:r>
        <w:rPr>
          <w:sz w:val="24"/>
          <w:szCs w:val="24"/>
        </w:rPr>
        <w:t xml:space="preserve">Dvije osobe mogu imati različit stupanj averzije prema riziku </w:t>
      </w:r>
      <w:r w:rsidR="003A30F4">
        <w:rPr>
          <w:sz w:val="24"/>
          <w:szCs w:val="24"/>
        </w:rPr>
        <w:t>te</w:t>
      </w:r>
      <w:r>
        <w:rPr>
          <w:sz w:val="24"/>
          <w:szCs w:val="24"/>
        </w:rPr>
        <w:t xml:space="preserve"> preferencije likvidnosti i sigurnosti, što će se </w:t>
      </w:r>
      <w:r w:rsidR="00567F1A">
        <w:rPr>
          <w:sz w:val="24"/>
          <w:szCs w:val="24"/>
        </w:rPr>
        <w:t xml:space="preserve"> </w:t>
      </w:r>
      <w:r>
        <w:rPr>
          <w:sz w:val="24"/>
          <w:szCs w:val="24"/>
        </w:rPr>
        <w:t>odraziti i na strukturu njihove imovine</w:t>
      </w:r>
      <w:r w:rsidR="003A30F4">
        <w:rPr>
          <w:sz w:val="24"/>
          <w:szCs w:val="24"/>
        </w:rPr>
        <w:t xml:space="preserve"> u funkciji štednje i investicija</w:t>
      </w:r>
      <w:r>
        <w:rPr>
          <w:sz w:val="24"/>
          <w:szCs w:val="24"/>
        </w:rPr>
        <w:t xml:space="preserve">. </w:t>
      </w:r>
      <w:r w:rsidRPr="003A30F4">
        <w:rPr>
          <w:sz w:val="24"/>
          <w:szCs w:val="24"/>
        </w:rPr>
        <w:t xml:space="preserve">Primjer su osoba A i osoba </w:t>
      </w:r>
      <w:r w:rsidR="003A30F4">
        <w:rPr>
          <w:sz w:val="24"/>
          <w:szCs w:val="24"/>
        </w:rPr>
        <w:t>B iste su dobi</w:t>
      </w:r>
      <w:r w:rsidRPr="003A30F4">
        <w:rPr>
          <w:sz w:val="24"/>
          <w:szCs w:val="24"/>
        </w:rPr>
        <w:t xml:space="preserve">, koje imaju istu plaću i iste životne troškove, uključujući otplatu stambenog kredita u istom iznosu. Obojica su oženjeni i imaju jedno maloljetno dijete. Međutim, osoba A ima </w:t>
      </w:r>
      <w:r w:rsidR="00C17CFC">
        <w:rPr>
          <w:sz w:val="24"/>
          <w:szCs w:val="24"/>
        </w:rPr>
        <w:t>manju</w:t>
      </w:r>
      <w:r w:rsidRPr="003A30F4">
        <w:rPr>
          <w:sz w:val="24"/>
          <w:szCs w:val="24"/>
        </w:rPr>
        <w:t xml:space="preserve"> sklonost preuzimanj</w:t>
      </w:r>
      <w:r w:rsidR="0097725B">
        <w:rPr>
          <w:sz w:val="24"/>
          <w:szCs w:val="24"/>
        </w:rPr>
        <w:t>u rizika u usporedbi s osobom B, što je vidljivo s obzirom na strukturu portfelja financijske imovine na slikama 18 i 19.</w:t>
      </w:r>
    </w:p>
    <w:p w:rsidR="00A2323C" w:rsidRDefault="00A2323C" w:rsidP="00A0547C">
      <w:pPr>
        <w:autoSpaceDE w:val="0"/>
        <w:autoSpaceDN w:val="0"/>
        <w:adjustRightInd w:val="0"/>
        <w:spacing w:before="240"/>
        <w:jc w:val="both"/>
        <w:rPr>
          <w:sz w:val="24"/>
          <w:szCs w:val="24"/>
        </w:rPr>
      </w:pPr>
    </w:p>
    <w:p w:rsidR="00A2323C" w:rsidRDefault="00A2323C" w:rsidP="00A0547C">
      <w:pPr>
        <w:autoSpaceDE w:val="0"/>
        <w:autoSpaceDN w:val="0"/>
        <w:adjustRightInd w:val="0"/>
        <w:spacing w:before="240"/>
        <w:jc w:val="both"/>
        <w:rPr>
          <w:sz w:val="24"/>
          <w:szCs w:val="24"/>
        </w:rPr>
      </w:pPr>
    </w:p>
    <w:p w:rsidR="00C17CFC" w:rsidRPr="00C17CFC" w:rsidRDefault="00C17CFC" w:rsidP="00C17CFC">
      <w:pPr>
        <w:autoSpaceDE w:val="0"/>
        <w:autoSpaceDN w:val="0"/>
        <w:adjustRightInd w:val="0"/>
        <w:spacing w:line="312" w:lineRule="auto"/>
        <w:jc w:val="both"/>
        <w:rPr>
          <w:rFonts w:cs="Times New Roman"/>
          <w:sz w:val="24"/>
          <w:szCs w:val="24"/>
        </w:rPr>
      </w:pPr>
      <w:r w:rsidRPr="00C17CFC">
        <w:rPr>
          <w:rFonts w:cs="Times New Roman"/>
          <w:b/>
          <w:sz w:val="24"/>
          <w:szCs w:val="24"/>
        </w:rPr>
        <w:lastRenderedPageBreak/>
        <w:t>Slika 18. Struktura portfelja financijske imovine osobe A sklonije konzervativnijim oblicima ulaganja</w:t>
      </w:r>
      <w:r w:rsidR="00B20BF7">
        <w:rPr>
          <w:rFonts w:cs="Times New Roman"/>
          <w:b/>
          <w:sz w:val="24"/>
          <w:szCs w:val="24"/>
        </w:rPr>
        <w:t xml:space="preserve"> </w:t>
      </w:r>
    </w:p>
    <w:p w:rsidR="00B20BF7" w:rsidRDefault="00C17CFC" w:rsidP="00B20BF7">
      <w:pPr>
        <w:autoSpaceDE w:val="0"/>
        <w:autoSpaceDN w:val="0"/>
        <w:adjustRightInd w:val="0"/>
        <w:spacing w:line="312" w:lineRule="auto"/>
        <w:jc w:val="both"/>
        <w:rPr>
          <w:b/>
          <w:sz w:val="24"/>
          <w:szCs w:val="24"/>
        </w:rPr>
      </w:pPr>
      <w:r w:rsidRPr="00BD038D">
        <w:rPr>
          <w:rFonts w:ascii="Times New Roman" w:hAnsi="Times New Roman" w:cs="Times New Roman"/>
          <w:noProof/>
          <w:sz w:val="24"/>
          <w:szCs w:val="24"/>
          <w:lang w:eastAsia="hr-HR"/>
        </w:rPr>
        <w:drawing>
          <wp:inline distT="0" distB="0" distL="0" distR="0" wp14:anchorId="66D4C401" wp14:editId="0B7048BC">
            <wp:extent cx="4724400" cy="3076575"/>
            <wp:effectExtent l="0" t="0" r="0" b="0"/>
            <wp:docPr id="34" name="Grafiko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950A28" w:rsidRPr="003A30F4" w:rsidRDefault="00C17CFC" w:rsidP="00B20BF7">
      <w:pPr>
        <w:autoSpaceDE w:val="0"/>
        <w:autoSpaceDN w:val="0"/>
        <w:adjustRightInd w:val="0"/>
        <w:spacing w:line="312" w:lineRule="auto"/>
        <w:jc w:val="both"/>
        <w:rPr>
          <w:sz w:val="24"/>
          <w:szCs w:val="24"/>
        </w:rPr>
      </w:pPr>
      <w:r w:rsidRPr="00C17CFC">
        <w:rPr>
          <w:b/>
          <w:sz w:val="24"/>
          <w:szCs w:val="24"/>
        </w:rPr>
        <w:t xml:space="preserve">Slika 19: </w:t>
      </w:r>
      <w:r w:rsidR="00B20BF7">
        <w:rPr>
          <w:b/>
          <w:sz w:val="24"/>
          <w:szCs w:val="24"/>
        </w:rPr>
        <w:t>S</w:t>
      </w:r>
      <w:r w:rsidR="00950A28" w:rsidRPr="00C17CFC">
        <w:rPr>
          <w:b/>
          <w:sz w:val="24"/>
          <w:szCs w:val="24"/>
        </w:rPr>
        <w:t xml:space="preserve">truktura portfelja financijske imovine osobe </w:t>
      </w:r>
      <w:r w:rsidRPr="00C17CFC">
        <w:rPr>
          <w:b/>
          <w:sz w:val="24"/>
          <w:szCs w:val="24"/>
        </w:rPr>
        <w:t>B s manjim stupnjem averzije prema riziku i agresivnijim pristupom ulaganju</w:t>
      </w:r>
    </w:p>
    <w:p w:rsidR="00950A28" w:rsidRPr="00BD038D" w:rsidRDefault="00950A28" w:rsidP="00950A28">
      <w:pPr>
        <w:autoSpaceDE w:val="0"/>
        <w:autoSpaceDN w:val="0"/>
        <w:adjustRightInd w:val="0"/>
        <w:spacing w:line="312" w:lineRule="auto"/>
        <w:jc w:val="both"/>
        <w:rPr>
          <w:rFonts w:ascii="Times New Roman" w:hAnsi="Times New Roman" w:cs="Times New Roman"/>
          <w:sz w:val="24"/>
          <w:szCs w:val="24"/>
        </w:rPr>
      </w:pPr>
      <w:r w:rsidRPr="00BD038D">
        <w:rPr>
          <w:rFonts w:ascii="Times New Roman" w:hAnsi="Times New Roman" w:cs="Times New Roman"/>
          <w:noProof/>
          <w:sz w:val="24"/>
          <w:szCs w:val="24"/>
          <w:lang w:eastAsia="hr-HR"/>
        </w:rPr>
        <w:drawing>
          <wp:inline distT="0" distB="0" distL="0" distR="0" wp14:anchorId="6DA31D20" wp14:editId="25A143BF">
            <wp:extent cx="4438650" cy="2828925"/>
            <wp:effectExtent l="0" t="0" r="0" b="0"/>
            <wp:docPr id="32" name="Grafikon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2835A8" w:rsidRPr="00B11DEC" w:rsidRDefault="003746DE" w:rsidP="002835A8">
      <w:pPr>
        <w:jc w:val="both"/>
        <w:rPr>
          <w:rFonts w:cs="TimesNewRoman"/>
          <w:b/>
          <w:sz w:val="24"/>
          <w:szCs w:val="24"/>
        </w:rPr>
      </w:pPr>
      <w:r w:rsidRPr="00B11DEC">
        <w:rPr>
          <w:b/>
          <w:sz w:val="24"/>
          <w:szCs w:val="24"/>
        </w:rPr>
        <w:t>2.</w:t>
      </w:r>
      <w:r w:rsidR="00C103F2">
        <w:rPr>
          <w:b/>
          <w:sz w:val="24"/>
          <w:szCs w:val="24"/>
        </w:rPr>
        <w:t>6</w:t>
      </w:r>
      <w:r w:rsidRPr="00B11DEC">
        <w:rPr>
          <w:b/>
          <w:sz w:val="24"/>
          <w:szCs w:val="24"/>
        </w:rPr>
        <w:t xml:space="preserve">. </w:t>
      </w:r>
      <w:r w:rsidR="002835A8" w:rsidRPr="00B11DEC">
        <w:rPr>
          <w:rFonts w:cs="TimesNewRoman"/>
          <w:b/>
          <w:sz w:val="24"/>
          <w:szCs w:val="24"/>
        </w:rPr>
        <w:t>Osvrt na alternative</w:t>
      </w:r>
    </w:p>
    <w:p w:rsidR="002835A8" w:rsidRPr="00B11DEC" w:rsidRDefault="002835A8" w:rsidP="002835A8">
      <w:pPr>
        <w:jc w:val="both"/>
        <w:rPr>
          <w:rFonts w:cs="TimesNewRoman"/>
          <w:sz w:val="24"/>
          <w:szCs w:val="24"/>
        </w:rPr>
      </w:pPr>
      <w:r w:rsidRPr="00B11DEC">
        <w:rPr>
          <w:rFonts w:cs="TimesNewRoman"/>
          <w:sz w:val="24"/>
          <w:szCs w:val="24"/>
        </w:rPr>
        <w:t xml:space="preserve">Svaka odluka ima svoje alternative, a svaki izbor ima svoje </w:t>
      </w:r>
      <w:r w:rsidRPr="006E6D1F">
        <w:rPr>
          <w:rFonts w:cs="TimesNewRoman"/>
          <w:color w:val="C00000"/>
          <w:sz w:val="24"/>
          <w:szCs w:val="24"/>
        </w:rPr>
        <w:t>oportunitetne troškove i rizike</w:t>
      </w:r>
      <w:r w:rsidRPr="00B11DEC">
        <w:rPr>
          <w:rFonts w:cs="TimesNewRoman"/>
          <w:sz w:val="24"/>
          <w:szCs w:val="24"/>
        </w:rPr>
        <w:t>. Primjer alternative je donošenje odluke o za</w:t>
      </w:r>
      <w:r w:rsidR="005B3C9B">
        <w:rPr>
          <w:rFonts w:cs="TimesNewRoman"/>
          <w:sz w:val="24"/>
          <w:szCs w:val="24"/>
        </w:rPr>
        <w:t xml:space="preserve">snivanju radnog odnosa </w:t>
      </w:r>
      <w:r w:rsidRPr="00B11DEC">
        <w:rPr>
          <w:rFonts w:cs="TimesNewRoman"/>
          <w:sz w:val="24"/>
          <w:szCs w:val="24"/>
        </w:rPr>
        <w:t>odmah nakon završetka srednje škole i</w:t>
      </w:r>
      <w:r w:rsidR="005B3C9B">
        <w:rPr>
          <w:rFonts w:cs="TimesNewRoman"/>
          <w:sz w:val="24"/>
          <w:szCs w:val="24"/>
        </w:rPr>
        <w:t>li</w:t>
      </w:r>
      <w:r w:rsidRPr="00B11DEC">
        <w:rPr>
          <w:rFonts w:cs="TimesNewRoman"/>
          <w:sz w:val="24"/>
          <w:szCs w:val="24"/>
        </w:rPr>
        <w:t xml:space="preserve"> odluke o upisu fakulteta. Tijekom petogodišnjeg školovanja na fakultetu propušta</w:t>
      </w:r>
      <w:r w:rsidR="008C666F" w:rsidRPr="00B11DEC">
        <w:rPr>
          <w:rFonts w:cs="TimesNewRoman"/>
          <w:sz w:val="24"/>
          <w:szCs w:val="24"/>
        </w:rPr>
        <w:t xml:space="preserve">ju se značajni iznosi </w:t>
      </w:r>
      <w:r w:rsidRPr="00B11DEC">
        <w:rPr>
          <w:rFonts w:cs="TimesNewRoman"/>
          <w:sz w:val="24"/>
          <w:szCs w:val="24"/>
        </w:rPr>
        <w:t>dohotk</w:t>
      </w:r>
      <w:r w:rsidR="008C666F" w:rsidRPr="00B11DEC">
        <w:rPr>
          <w:rFonts w:cs="TimesNewRoman"/>
          <w:sz w:val="24"/>
          <w:szCs w:val="24"/>
        </w:rPr>
        <w:t>a</w:t>
      </w:r>
      <w:r w:rsidRPr="00B11DEC">
        <w:rPr>
          <w:rFonts w:cs="TimesNewRoman"/>
          <w:sz w:val="24"/>
          <w:szCs w:val="24"/>
        </w:rPr>
        <w:t xml:space="preserve"> koje s</w:t>
      </w:r>
      <w:r w:rsidR="008C666F" w:rsidRPr="00B11DEC">
        <w:rPr>
          <w:rFonts w:cs="TimesNewRoman"/>
          <w:sz w:val="24"/>
          <w:szCs w:val="24"/>
        </w:rPr>
        <w:t>e</w:t>
      </w:r>
      <w:r w:rsidRPr="00B11DEC">
        <w:rPr>
          <w:rFonts w:cs="TimesNewRoman"/>
          <w:sz w:val="24"/>
          <w:szCs w:val="24"/>
        </w:rPr>
        <w:t xml:space="preserve"> mogl</w:t>
      </w:r>
      <w:r w:rsidR="008C666F" w:rsidRPr="00B11DEC">
        <w:rPr>
          <w:rFonts w:cs="TimesNewRoman"/>
          <w:sz w:val="24"/>
          <w:szCs w:val="24"/>
        </w:rPr>
        <w:t>o</w:t>
      </w:r>
      <w:r w:rsidRPr="00B11DEC">
        <w:rPr>
          <w:rFonts w:cs="TimesNewRoman"/>
          <w:sz w:val="24"/>
          <w:szCs w:val="24"/>
        </w:rPr>
        <w:t xml:space="preserve"> ostvari</w:t>
      </w:r>
      <w:r w:rsidR="005B3C9B">
        <w:rPr>
          <w:rFonts w:cs="TimesNewRoman"/>
          <w:sz w:val="24"/>
          <w:szCs w:val="24"/>
        </w:rPr>
        <w:t>va</w:t>
      </w:r>
      <w:r w:rsidRPr="00B11DEC">
        <w:rPr>
          <w:rFonts w:cs="TimesNewRoman"/>
          <w:sz w:val="24"/>
          <w:szCs w:val="24"/>
        </w:rPr>
        <w:t>ti iz radnog odnosa da se</w:t>
      </w:r>
      <w:r w:rsidR="008C666F" w:rsidRPr="00B11DEC">
        <w:rPr>
          <w:rFonts w:cs="TimesNewRoman"/>
          <w:sz w:val="24"/>
          <w:szCs w:val="24"/>
        </w:rPr>
        <w:t xml:space="preserve"> osoba </w:t>
      </w:r>
      <w:r w:rsidR="008C666F" w:rsidRPr="00B11DEC">
        <w:rPr>
          <w:rFonts w:cs="TimesNewRoman"/>
          <w:sz w:val="24"/>
          <w:szCs w:val="24"/>
        </w:rPr>
        <w:lastRenderedPageBreak/>
        <w:t>zaposlila</w:t>
      </w:r>
      <w:r w:rsidRPr="00B11DEC">
        <w:rPr>
          <w:rFonts w:cs="TimesNewRoman"/>
          <w:sz w:val="24"/>
          <w:szCs w:val="24"/>
        </w:rPr>
        <w:t xml:space="preserve"> odmah nakon srednje škole.</w:t>
      </w:r>
      <w:r w:rsidR="008C666F" w:rsidRPr="00B11DEC">
        <w:rPr>
          <w:rFonts w:cs="TimesNewRoman"/>
          <w:sz w:val="24"/>
          <w:szCs w:val="24"/>
        </w:rPr>
        <w:t xml:space="preserve"> Dodatno, duže školovanje znači </w:t>
      </w:r>
      <w:r w:rsidR="0053418A" w:rsidRPr="00B11DEC">
        <w:rPr>
          <w:rFonts w:cs="TimesNewRoman"/>
          <w:sz w:val="24"/>
          <w:szCs w:val="24"/>
        </w:rPr>
        <w:t>dužu financijsku ovisnost</w:t>
      </w:r>
      <w:r w:rsidR="005B3C9B">
        <w:rPr>
          <w:rFonts w:cs="TimesNewRoman"/>
          <w:sz w:val="24"/>
          <w:szCs w:val="24"/>
        </w:rPr>
        <w:t xml:space="preserve"> o roditeljima. N</w:t>
      </w:r>
      <w:r w:rsidR="0053418A" w:rsidRPr="00B11DEC">
        <w:rPr>
          <w:rFonts w:cs="TimesNewRoman"/>
          <w:sz w:val="24"/>
          <w:szCs w:val="24"/>
        </w:rPr>
        <w:t>o preferirani</w:t>
      </w:r>
      <w:r w:rsidR="005B3C9B">
        <w:rPr>
          <w:rFonts w:cs="TimesNewRoman"/>
          <w:sz w:val="24"/>
          <w:szCs w:val="24"/>
        </w:rPr>
        <w:t xml:space="preserve"> ili mogući</w:t>
      </w:r>
      <w:r w:rsidR="0053418A" w:rsidRPr="00B11DEC">
        <w:rPr>
          <w:rFonts w:cs="TimesNewRoman"/>
          <w:sz w:val="24"/>
          <w:szCs w:val="24"/>
        </w:rPr>
        <w:t xml:space="preserve"> cilj za nekoga je steći diplomu </w:t>
      </w:r>
      <w:r w:rsidRPr="00B11DEC">
        <w:rPr>
          <w:rFonts w:cs="TimesNewRoman"/>
          <w:sz w:val="24"/>
          <w:szCs w:val="24"/>
        </w:rPr>
        <w:t xml:space="preserve">završenog fakulteta </w:t>
      </w:r>
      <w:r w:rsidR="0053418A" w:rsidRPr="00B11DEC">
        <w:rPr>
          <w:rFonts w:cs="TimesNewRoman"/>
          <w:sz w:val="24"/>
          <w:szCs w:val="24"/>
        </w:rPr>
        <w:t xml:space="preserve">kako bi </w:t>
      </w:r>
      <w:r w:rsidR="005B3C9B">
        <w:rPr>
          <w:rFonts w:cs="TimesNewRoman"/>
          <w:sz w:val="24"/>
          <w:szCs w:val="24"/>
        </w:rPr>
        <w:t>mogao u budućnosti</w:t>
      </w:r>
      <w:r w:rsidR="0053418A" w:rsidRPr="00B11DEC">
        <w:rPr>
          <w:rFonts w:cs="TimesNewRoman"/>
          <w:sz w:val="24"/>
          <w:szCs w:val="24"/>
        </w:rPr>
        <w:t xml:space="preserve"> </w:t>
      </w:r>
      <w:r w:rsidRPr="00B11DEC">
        <w:rPr>
          <w:rFonts w:cs="TimesNewRoman"/>
          <w:sz w:val="24"/>
          <w:szCs w:val="24"/>
        </w:rPr>
        <w:t>obavljati više plaćene poslove</w:t>
      </w:r>
      <w:r w:rsidR="005B3C9B">
        <w:rPr>
          <w:rFonts w:cs="TimesNewRoman"/>
          <w:sz w:val="24"/>
          <w:szCs w:val="24"/>
        </w:rPr>
        <w:t xml:space="preserve">, a za drugu osobu </w:t>
      </w:r>
      <w:r w:rsidR="001B4813">
        <w:rPr>
          <w:rFonts w:cs="TimesNewRoman"/>
          <w:sz w:val="24"/>
          <w:szCs w:val="24"/>
        </w:rPr>
        <w:t xml:space="preserve">to zbog životnih okolnosti možda nije dostupno ili </w:t>
      </w:r>
      <w:r w:rsidR="00256F1B">
        <w:rPr>
          <w:rFonts w:cs="TimesNewRoman"/>
          <w:sz w:val="24"/>
          <w:szCs w:val="24"/>
        </w:rPr>
        <w:t xml:space="preserve">ona </w:t>
      </w:r>
      <w:r w:rsidR="001B4813">
        <w:rPr>
          <w:rFonts w:cs="TimesNewRoman"/>
          <w:sz w:val="24"/>
          <w:szCs w:val="24"/>
        </w:rPr>
        <w:t xml:space="preserve">preferira </w:t>
      </w:r>
      <w:r w:rsidR="005B3C9B">
        <w:rPr>
          <w:rFonts w:cs="TimesNewRoman"/>
          <w:sz w:val="24"/>
          <w:szCs w:val="24"/>
        </w:rPr>
        <w:t xml:space="preserve">što prije financijsko i drugo osamostaljene. </w:t>
      </w:r>
    </w:p>
    <w:p w:rsidR="002835A8" w:rsidRPr="00B11DEC" w:rsidRDefault="002835A8" w:rsidP="002835A8">
      <w:pPr>
        <w:jc w:val="both"/>
        <w:rPr>
          <w:rFonts w:cs="TimesNewRoman"/>
          <w:sz w:val="24"/>
          <w:szCs w:val="24"/>
        </w:rPr>
      </w:pPr>
      <w:r w:rsidRPr="00B11DEC">
        <w:rPr>
          <w:rFonts w:cs="TimesNewRoman"/>
          <w:sz w:val="24"/>
          <w:szCs w:val="24"/>
        </w:rPr>
        <w:t xml:space="preserve">Mnogi ljudi misle da trebaju posjedovati vlastiti automobil kako bi ga svakodnevno koristili za odlaske na posao i vraćanje s posla, vikend odlaske u kupovinu te obavljanje poslova u ime i za račun poslodavca. </w:t>
      </w:r>
      <w:r w:rsidR="00916855" w:rsidRPr="00916855">
        <w:rPr>
          <w:rFonts w:cs="TimesNewRoman"/>
          <w:sz w:val="24"/>
          <w:szCs w:val="24"/>
        </w:rPr>
        <w:t xml:space="preserve">Posjedovanje i korištenje vlastitog automobila definitivno je praktično i doprinosi povećanju osjećaja slobode, samostalnosti i zadovoljstva samim sobom. </w:t>
      </w:r>
      <w:r w:rsidRPr="00B11DEC">
        <w:rPr>
          <w:rFonts w:cs="TimesNewRoman"/>
          <w:sz w:val="24"/>
          <w:szCs w:val="24"/>
        </w:rPr>
        <w:t>Međutim, gotovo jednako funkcionalno, ali uz daleko manje troškove mo</w:t>
      </w:r>
      <w:r w:rsidR="0053418A" w:rsidRPr="00B11DEC">
        <w:rPr>
          <w:rFonts w:cs="TimesNewRoman"/>
          <w:sz w:val="24"/>
          <w:szCs w:val="24"/>
        </w:rPr>
        <w:t>gu se</w:t>
      </w:r>
      <w:r w:rsidRPr="00B11DEC">
        <w:rPr>
          <w:rFonts w:cs="TimesNewRoman"/>
          <w:sz w:val="24"/>
          <w:szCs w:val="24"/>
        </w:rPr>
        <w:t xml:space="preserve"> iste potrebe i svrhe zadovoljiti kombinacijom korištenja javnog prijevoza, povremenog unajmljivanja automobila u sklopu usluga renta car-a</w:t>
      </w:r>
      <w:r w:rsidR="00A2323C">
        <w:rPr>
          <w:rFonts w:cs="TimesNewRoman"/>
          <w:sz w:val="24"/>
          <w:szCs w:val="24"/>
        </w:rPr>
        <w:t>,</w:t>
      </w:r>
      <w:r w:rsidRPr="00B11DEC">
        <w:rPr>
          <w:rFonts w:cs="TimesNewRoman"/>
          <w:sz w:val="24"/>
          <w:szCs w:val="24"/>
        </w:rPr>
        <w:t xml:space="preserve"> korištenje službenog vozila u obavljanju poslova u ime i za račun poslodavca</w:t>
      </w:r>
      <w:r w:rsidR="00A2323C">
        <w:rPr>
          <w:rFonts w:cs="TimesNewRoman"/>
          <w:sz w:val="24"/>
          <w:szCs w:val="24"/>
        </w:rPr>
        <w:t xml:space="preserve"> te što češći odlazak na posao biciklom (što je dobro i za zdravlje)</w:t>
      </w:r>
      <w:r w:rsidRPr="00B11DEC">
        <w:rPr>
          <w:rFonts w:cs="TimesNewRoman"/>
          <w:sz w:val="24"/>
          <w:szCs w:val="24"/>
        </w:rPr>
        <w:t>.</w:t>
      </w:r>
    </w:p>
    <w:p w:rsidR="002835A8" w:rsidRPr="00B11DEC" w:rsidRDefault="002835A8" w:rsidP="002835A8">
      <w:pPr>
        <w:tabs>
          <w:tab w:val="left" w:pos="3400"/>
        </w:tabs>
        <w:jc w:val="both"/>
        <w:rPr>
          <w:rFonts w:cs="TimesNewRoman"/>
          <w:sz w:val="24"/>
          <w:szCs w:val="24"/>
        </w:rPr>
      </w:pPr>
      <w:r w:rsidRPr="00B11DEC">
        <w:rPr>
          <w:rFonts w:cs="TimesNewRoman"/>
          <w:sz w:val="24"/>
          <w:szCs w:val="24"/>
        </w:rPr>
        <w:t xml:space="preserve">Umjesto ulaganja novčanih viškova na račun </w:t>
      </w:r>
      <w:r w:rsidR="001B4813">
        <w:rPr>
          <w:rFonts w:cs="TimesNewRoman"/>
          <w:sz w:val="24"/>
          <w:szCs w:val="24"/>
        </w:rPr>
        <w:t xml:space="preserve">oročene </w:t>
      </w:r>
      <w:r w:rsidRPr="00B11DEC">
        <w:rPr>
          <w:rFonts w:cs="TimesNewRoman"/>
          <w:sz w:val="24"/>
          <w:szCs w:val="24"/>
        </w:rPr>
        <w:t xml:space="preserve">štednje </w:t>
      </w:r>
      <w:r w:rsidR="0053418A" w:rsidRPr="00B11DEC">
        <w:rPr>
          <w:rFonts w:cs="TimesNewRoman"/>
          <w:sz w:val="24"/>
          <w:szCs w:val="24"/>
        </w:rPr>
        <w:t>(na tri mjeseca, godinu dana ili znatno duže)</w:t>
      </w:r>
      <w:r w:rsidR="001B4813">
        <w:rPr>
          <w:rFonts w:cs="TimesNewRoman"/>
          <w:sz w:val="24"/>
          <w:szCs w:val="24"/>
        </w:rPr>
        <w:t xml:space="preserve"> s mogućnošću prijevremenog razročenja</w:t>
      </w:r>
      <w:r w:rsidRPr="00B11DEC">
        <w:rPr>
          <w:rFonts w:cs="TimesNewRoman"/>
          <w:sz w:val="24"/>
          <w:szCs w:val="24"/>
        </w:rPr>
        <w:t>, ušteđevina može biti uložena u novčane fondove.</w:t>
      </w:r>
      <w:r w:rsidR="001B4813">
        <w:rPr>
          <w:rFonts w:cs="TimesNewRoman"/>
          <w:sz w:val="24"/>
          <w:szCs w:val="24"/>
        </w:rPr>
        <w:t xml:space="preserve"> S obzirom na prinose i stupanj likvidnosti radi se o oblicima imovine koji su bliski supstituti, dok su prinosi u novčanim fondovima uglavnom tek neznatno veći od kamatnjaka na oročenu štednju. </w:t>
      </w:r>
      <w:r w:rsidRPr="00B11DEC">
        <w:rPr>
          <w:rFonts w:cs="TimesNewRoman"/>
          <w:sz w:val="24"/>
          <w:szCs w:val="24"/>
        </w:rPr>
        <w:t xml:space="preserve">Međutim, sredstava uložena u novčane fondove nisu obuhvaćena  državnim sustavima osiguranja depozita </w:t>
      </w:r>
      <w:r w:rsidR="005D1D0D">
        <w:rPr>
          <w:rFonts w:cs="TimesNewRoman"/>
          <w:sz w:val="24"/>
          <w:szCs w:val="24"/>
        </w:rPr>
        <w:t>(</w:t>
      </w:r>
      <w:r w:rsidRPr="00B11DEC">
        <w:rPr>
          <w:rFonts w:cs="TimesNewRoman"/>
          <w:sz w:val="24"/>
          <w:szCs w:val="24"/>
        </w:rPr>
        <w:t>kao u slučaju štednih i oročenih depozita u bankama</w:t>
      </w:r>
      <w:r w:rsidR="005D1D0D">
        <w:rPr>
          <w:rFonts w:cs="TimesNewRoman"/>
          <w:sz w:val="24"/>
          <w:szCs w:val="24"/>
        </w:rPr>
        <w:t>)</w:t>
      </w:r>
      <w:r w:rsidR="001B4813">
        <w:rPr>
          <w:rFonts w:cs="TimesNewRoman"/>
          <w:sz w:val="24"/>
          <w:szCs w:val="24"/>
        </w:rPr>
        <w:t xml:space="preserve"> te mogu postojati </w:t>
      </w:r>
      <w:r w:rsidR="005D1D0D">
        <w:rPr>
          <w:rFonts w:cs="TimesNewRoman"/>
          <w:sz w:val="24"/>
          <w:szCs w:val="24"/>
        </w:rPr>
        <w:t xml:space="preserve">ulazne i </w:t>
      </w:r>
      <w:r w:rsidR="001B4813">
        <w:rPr>
          <w:rFonts w:cs="TimesNewRoman"/>
          <w:sz w:val="24"/>
          <w:szCs w:val="24"/>
        </w:rPr>
        <w:t>izlazne naknade</w:t>
      </w:r>
      <w:r w:rsidRPr="00B11DEC">
        <w:rPr>
          <w:rFonts w:cs="TimesNewRoman"/>
          <w:sz w:val="24"/>
          <w:szCs w:val="24"/>
        </w:rPr>
        <w:t xml:space="preserve">. Nadalje, vrijednost udjela u novčanim fondovima podložna je utjecaju pozitivnih i negativnih zbivanja u ekonomiji i na financijskim tržištima. U razdoblju kada </w:t>
      </w:r>
      <w:r w:rsidR="001B4813">
        <w:rPr>
          <w:rFonts w:cs="TimesNewRoman"/>
          <w:sz w:val="24"/>
          <w:szCs w:val="24"/>
        </w:rPr>
        <w:t>osoba odluči</w:t>
      </w:r>
      <w:r w:rsidRPr="00B11DEC">
        <w:rPr>
          <w:rFonts w:cs="TimesNewRoman"/>
          <w:sz w:val="24"/>
          <w:szCs w:val="24"/>
        </w:rPr>
        <w:t xml:space="preserve"> povući sredstva iz novčanog fonda, vrijednost udjela može biti iznad, ali i ispod nominalne (pa i realne) vrijednosti iznosa novca koji </w:t>
      </w:r>
      <w:r w:rsidR="001B4813">
        <w:rPr>
          <w:rFonts w:cs="TimesNewRoman"/>
          <w:sz w:val="24"/>
          <w:szCs w:val="24"/>
        </w:rPr>
        <w:t>je prvotno uložen</w:t>
      </w:r>
      <w:r w:rsidRPr="00B11DEC">
        <w:rPr>
          <w:rFonts w:cs="TimesNewRoman"/>
          <w:sz w:val="24"/>
          <w:szCs w:val="24"/>
        </w:rPr>
        <w:t xml:space="preserve">. </w:t>
      </w:r>
    </w:p>
    <w:tbl>
      <w:tblPr>
        <w:tblStyle w:val="Reetkatablice"/>
        <w:tblW w:w="0" w:type="auto"/>
        <w:tblInd w:w="108" w:type="dxa"/>
        <w:tblLook w:val="01E0" w:firstRow="1" w:lastRow="1" w:firstColumn="1" w:lastColumn="1" w:noHBand="0" w:noVBand="0"/>
      </w:tblPr>
      <w:tblGrid>
        <w:gridCol w:w="4007"/>
        <w:gridCol w:w="782"/>
        <w:gridCol w:w="4391"/>
      </w:tblGrid>
      <w:tr w:rsidR="002835A8" w:rsidRPr="00B11DEC" w:rsidTr="001B4813">
        <w:tc>
          <w:tcPr>
            <w:tcW w:w="4007" w:type="dxa"/>
            <w:tcBorders>
              <w:right w:val="single" w:sz="4" w:space="0" w:color="auto"/>
            </w:tcBorders>
            <w:shd w:val="clear" w:color="auto" w:fill="F2F2F2" w:themeFill="background1" w:themeFillShade="F2"/>
          </w:tcPr>
          <w:p w:rsidR="002835A8" w:rsidRPr="00E51011" w:rsidRDefault="002835A8" w:rsidP="00A0547C">
            <w:pPr>
              <w:tabs>
                <w:tab w:val="left" w:pos="3400"/>
              </w:tabs>
              <w:spacing w:before="120" w:after="120"/>
              <w:jc w:val="both"/>
              <w:rPr>
                <w:rFonts w:asciiTheme="minorHAnsi" w:hAnsiTheme="minorHAnsi" w:cs="TimesNewRoman"/>
                <w:i/>
                <w:sz w:val="24"/>
                <w:szCs w:val="24"/>
              </w:rPr>
            </w:pPr>
            <w:r w:rsidRPr="00E51011">
              <w:rPr>
                <w:rFonts w:asciiTheme="minorHAnsi" w:hAnsiTheme="minorHAnsi" w:cs="TimesNewRoman"/>
                <w:i/>
                <w:color w:val="C00000"/>
                <w:sz w:val="24"/>
                <w:szCs w:val="24"/>
              </w:rPr>
              <w:t>Teže je sačuvati vrijednost novca nego ga zaraditi.</w:t>
            </w:r>
          </w:p>
        </w:tc>
        <w:tc>
          <w:tcPr>
            <w:tcW w:w="782" w:type="dxa"/>
            <w:tcBorders>
              <w:top w:val="nil"/>
              <w:left w:val="single" w:sz="4" w:space="0" w:color="auto"/>
              <w:bottom w:val="nil"/>
              <w:right w:val="single" w:sz="4" w:space="0" w:color="auto"/>
            </w:tcBorders>
            <w:shd w:val="clear" w:color="auto" w:fill="auto"/>
          </w:tcPr>
          <w:p w:rsidR="002835A8" w:rsidRPr="00B11DEC" w:rsidRDefault="002835A8" w:rsidP="00FD03A9">
            <w:pPr>
              <w:tabs>
                <w:tab w:val="left" w:pos="3400"/>
              </w:tabs>
              <w:jc w:val="both"/>
              <w:rPr>
                <w:rFonts w:asciiTheme="minorHAnsi" w:hAnsiTheme="minorHAnsi" w:cs="TimesNewRoman"/>
                <w:color w:val="FF0000"/>
                <w:sz w:val="24"/>
                <w:szCs w:val="24"/>
              </w:rPr>
            </w:pPr>
          </w:p>
        </w:tc>
        <w:tc>
          <w:tcPr>
            <w:tcW w:w="4391" w:type="dxa"/>
            <w:tcBorders>
              <w:left w:val="single" w:sz="4" w:space="0" w:color="auto"/>
            </w:tcBorders>
            <w:shd w:val="clear" w:color="auto" w:fill="F2F2F2" w:themeFill="background1" w:themeFillShade="F2"/>
          </w:tcPr>
          <w:p w:rsidR="002835A8" w:rsidRPr="00E51011" w:rsidRDefault="002835A8" w:rsidP="00A0547C">
            <w:pPr>
              <w:tabs>
                <w:tab w:val="left" w:pos="3400"/>
              </w:tabs>
              <w:spacing w:before="120" w:after="120"/>
              <w:jc w:val="both"/>
              <w:rPr>
                <w:rFonts w:asciiTheme="minorHAnsi" w:hAnsiTheme="minorHAnsi" w:cs="TimesNewRoman"/>
                <w:i/>
                <w:sz w:val="24"/>
                <w:szCs w:val="24"/>
              </w:rPr>
            </w:pPr>
            <w:r w:rsidRPr="00E51011">
              <w:rPr>
                <w:rFonts w:asciiTheme="minorHAnsi" w:hAnsiTheme="minorHAnsi" w:cs="TimesNewRoman"/>
                <w:i/>
                <w:color w:val="C00000"/>
                <w:sz w:val="24"/>
                <w:szCs w:val="24"/>
              </w:rPr>
              <w:t xml:space="preserve">Lakše je novac zaraditi nego ga mudro uložiti i potrošiti. </w:t>
            </w:r>
          </w:p>
        </w:tc>
      </w:tr>
    </w:tbl>
    <w:p w:rsidR="001B4813" w:rsidRDefault="002835A8" w:rsidP="001B4813">
      <w:pPr>
        <w:tabs>
          <w:tab w:val="left" w:pos="3400"/>
        </w:tabs>
        <w:spacing w:before="240"/>
        <w:jc w:val="both"/>
        <w:rPr>
          <w:rFonts w:cs="TimesNewRoman"/>
          <w:sz w:val="24"/>
          <w:szCs w:val="24"/>
        </w:rPr>
      </w:pPr>
      <w:r w:rsidRPr="00B11DEC">
        <w:rPr>
          <w:rFonts w:cs="TimesNewRoman"/>
          <w:sz w:val="24"/>
          <w:szCs w:val="24"/>
        </w:rPr>
        <w:t xml:space="preserve">Ukoliko </w:t>
      </w:r>
      <w:r w:rsidR="001B4813">
        <w:rPr>
          <w:rFonts w:cs="TimesNewRoman"/>
          <w:sz w:val="24"/>
          <w:szCs w:val="24"/>
        </w:rPr>
        <w:t xml:space="preserve">se </w:t>
      </w:r>
      <w:r w:rsidRPr="00B11DEC">
        <w:rPr>
          <w:rFonts w:cs="TimesNewRoman"/>
          <w:sz w:val="24"/>
          <w:szCs w:val="24"/>
        </w:rPr>
        <w:t xml:space="preserve">umjesto štednje u banci ili relativno </w:t>
      </w:r>
      <w:r w:rsidR="008A7228">
        <w:rPr>
          <w:rFonts w:cs="TimesNewRoman"/>
          <w:sz w:val="24"/>
          <w:szCs w:val="24"/>
        </w:rPr>
        <w:t xml:space="preserve">manje </w:t>
      </w:r>
      <w:r w:rsidRPr="00B11DEC">
        <w:rPr>
          <w:rFonts w:cs="TimesNewRoman"/>
          <w:sz w:val="24"/>
          <w:szCs w:val="24"/>
        </w:rPr>
        <w:t xml:space="preserve">rizičnog ulaganja u novčane fondove odluči novčane viškove ulagati u dionice, potencijalni izbor predstavljaju: 1) direktno ulaganje u kupovinu dionica određenih kompanija posredstvom brokerskih kuća ili 2) indirektno ulaganje u </w:t>
      </w:r>
      <w:r w:rsidR="008A7228">
        <w:rPr>
          <w:rFonts w:cs="TimesNewRoman"/>
          <w:sz w:val="24"/>
          <w:szCs w:val="24"/>
        </w:rPr>
        <w:t xml:space="preserve">dionice kroz kupnju udjela </w:t>
      </w:r>
      <w:r w:rsidRPr="00B11DEC">
        <w:rPr>
          <w:rFonts w:cs="TimesNewRoman"/>
          <w:sz w:val="24"/>
          <w:szCs w:val="24"/>
        </w:rPr>
        <w:t>dioničk</w:t>
      </w:r>
      <w:r w:rsidR="008A7228">
        <w:rPr>
          <w:rFonts w:cs="TimesNewRoman"/>
          <w:sz w:val="24"/>
          <w:szCs w:val="24"/>
        </w:rPr>
        <w:t xml:space="preserve">ih investicijskih </w:t>
      </w:r>
      <w:r w:rsidRPr="00B11DEC">
        <w:rPr>
          <w:rFonts w:cs="TimesNewRoman"/>
          <w:sz w:val="24"/>
          <w:szCs w:val="24"/>
        </w:rPr>
        <w:t>fondov</w:t>
      </w:r>
      <w:r w:rsidR="008A7228">
        <w:rPr>
          <w:rFonts w:cs="TimesNewRoman"/>
          <w:sz w:val="24"/>
          <w:szCs w:val="24"/>
        </w:rPr>
        <w:t>a</w:t>
      </w:r>
      <w:r w:rsidRPr="00B11DEC">
        <w:rPr>
          <w:rFonts w:cs="TimesNewRoman"/>
          <w:sz w:val="24"/>
          <w:szCs w:val="24"/>
        </w:rPr>
        <w:t xml:space="preserve">. Ukoliko se </w:t>
      </w:r>
      <w:r w:rsidR="001B4813">
        <w:rPr>
          <w:rFonts w:cs="TimesNewRoman"/>
          <w:sz w:val="24"/>
          <w:szCs w:val="24"/>
        </w:rPr>
        <w:t xml:space="preserve">osoba </w:t>
      </w:r>
      <w:r w:rsidRPr="00B11DEC">
        <w:rPr>
          <w:rFonts w:cs="TimesNewRoman"/>
          <w:sz w:val="24"/>
          <w:szCs w:val="24"/>
        </w:rPr>
        <w:t xml:space="preserve">odluči na direktno ulaganje može se osloniti na vlastite analize isplativosti ulaganja u dionice pojedinih kompanija (korištenje fundamentalne i/ili tehničke analize) ili pri tome koristiti savjete financijskih stručnjaka. </w:t>
      </w:r>
      <w:r w:rsidR="001B4813">
        <w:rPr>
          <w:rFonts w:cs="TimesNewRoman"/>
          <w:sz w:val="24"/>
          <w:szCs w:val="24"/>
        </w:rPr>
        <w:t>No, u</w:t>
      </w:r>
      <w:r w:rsidRPr="00B11DEC">
        <w:rPr>
          <w:rFonts w:cs="TimesNewRoman"/>
          <w:sz w:val="24"/>
          <w:szCs w:val="24"/>
        </w:rPr>
        <w:t xml:space="preserve"> oba slučaja ovaj oblik ulaganja </w:t>
      </w:r>
      <w:r w:rsidR="001B4813">
        <w:rPr>
          <w:rFonts w:cs="TimesNewRoman"/>
          <w:sz w:val="24"/>
          <w:szCs w:val="24"/>
        </w:rPr>
        <w:t xml:space="preserve">može biti </w:t>
      </w:r>
      <w:r w:rsidR="008A7228">
        <w:rPr>
          <w:rFonts w:cs="TimesNewRoman"/>
          <w:sz w:val="24"/>
          <w:szCs w:val="24"/>
        </w:rPr>
        <w:t xml:space="preserve">više </w:t>
      </w:r>
      <w:r w:rsidRPr="00B11DEC">
        <w:rPr>
          <w:rFonts w:cs="TimesNewRoman"/>
          <w:sz w:val="24"/>
          <w:szCs w:val="24"/>
        </w:rPr>
        <w:t xml:space="preserve">rizičan jer </w:t>
      </w:r>
      <w:r w:rsidR="009A37A3">
        <w:rPr>
          <w:rFonts w:cs="TimesNewRoman"/>
          <w:sz w:val="24"/>
          <w:szCs w:val="24"/>
        </w:rPr>
        <w:t xml:space="preserve">se </w:t>
      </w:r>
      <w:r w:rsidR="005D1D0D">
        <w:rPr>
          <w:rFonts w:cs="TimesNewRoman"/>
          <w:sz w:val="24"/>
          <w:szCs w:val="24"/>
        </w:rPr>
        <w:t xml:space="preserve">uglavnom </w:t>
      </w:r>
      <w:r w:rsidR="009A37A3">
        <w:rPr>
          <w:rFonts w:cs="TimesNewRoman"/>
          <w:sz w:val="24"/>
          <w:szCs w:val="24"/>
        </w:rPr>
        <w:t xml:space="preserve">postiže manja diverzifikacija portfelja, a </w:t>
      </w:r>
      <w:r w:rsidRPr="00B11DEC">
        <w:rPr>
          <w:rFonts w:cs="TimesNewRoman"/>
          <w:sz w:val="24"/>
          <w:szCs w:val="24"/>
        </w:rPr>
        <w:t xml:space="preserve">isplativost ulaganja ovisi isključivo o izboru „dobrih“ dionica, odnosno onih koje u budućem razdoblju pokazuju bolje performanse od drugih. </w:t>
      </w:r>
      <w:r w:rsidR="009A37A3">
        <w:rPr>
          <w:rFonts w:cs="TimesNewRoman"/>
          <w:sz w:val="24"/>
          <w:szCs w:val="24"/>
        </w:rPr>
        <w:t xml:space="preserve">No, katkada direktno ulaganje donosi više koristi od indirektnog. </w:t>
      </w:r>
      <w:r w:rsidRPr="00B11DEC">
        <w:rPr>
          <w:rFonts w:cs="TimesNewRoman"/>
          <w:sz w:val="24"/>
          <w:szCs w:val="24"/>
        </w:rPr>
        <w:t xml:space="preserve">Pri tome je </w:t>
      </w:r>
      <w:r w:rsidR="001B4813">
        <w:rPr>
          <w:rFonts w:cs="TimesNewRoman"/>
          <w:sz w:val="24"/>
          <w:szCs w:val="24"/>
        </w:rPr>
        <w:t xml:space="preserve">važno da </w:t>
      </w:r>
      <w:r w:rsidR="001B4813" w:rsidRPr="005D1D0D">
        <w:rPr>
          <w:rFonts w:cs="TimesNewRoman"/>
          <w:color w:val="C00000"/>
          <w:sz w:val="24"/>
          <w:szCs w:val="24"/>
        </w:rPr>
        <w:t xml:space="preserve">osoba ne </w:t>
      </w:r>
      <w:r w:rsidRPr="005D1D0D">
        <w:rPr>
          <w:rFonts w:cs="TimesNewRoman"/>
          <w:color w:val="C00000"/>
          <w:sz w:val="24"/>
          <w:szCs w:val="24"/>
        </w:rPr>
        <w:t>precjenjuje vlastit</w:t>
      </w:r>
      <w:r w:rsidR="001B4813" w:rsidRPr="005D1D0D">
        <w:rPr>
          <w:rFonts w:cs="TimesNewRoman"/>
          <w:color w:val="C00000"/>
          <w:sz w:val="24"/>
          <w:szCs w:val="24"/>
        </w:rPr>
        <w:t>a znanje i sposobnosti</w:t>
      </w:r>
      <w:r w:rsidRPr="005D1D0D">
        <w:rPr>
          <w:rFonts w:cs="TimesNewRoman"/>
          <w:color w:val="C00000"/>
          <w:sz w:val="24"/>
          <w:szCs w:val="24"/>
        </w:rPr>
        <w:t xml:space="preserve"> </w:t>
      </w:r>
      <w:r w:rsidRPr="00B11DEC">
        <w:rPr>
          <w:rFonts w:cs="TimesNewRoman"/>
          <w:sz w:val="24"/>
          <w:szCs w:val="24"/>
        </w:rPr>
        <w:t xml:space="preserve">pa čak ni u slučaj ako </w:t>
      </w:r>
      <w:r w:rsidR="001B4813">
        <w:rPr>
          <w:rFonts w:cs="TimesNewRoman"/>
          <w:sz w:val="24"/>
          <w:szCs w:val="24"/>
        </w:rPr>
        <w:t>d</w:t>
      </w:r>
      <w:r w:rsidRPr="00B11DEC">
        <w:rPr>
          <w:rFonts w:cs="TimesNewRoman"/>
          <w:sz w:val="24"/>
          <w:szCs w:val="24"/>
        </w:rPr>
        <w:t xml:space="preserve">otadašnja višemjesečna ili višegodišnja ulaganja govore o visokoj razini uspješnosti.  </w:t>
      </w:r>
    </w:p>
    <w:p w:rsidR="002835A8" w:rsidRPr="00B11DEC" w:rsidRDefault="002835A8" w:rsidP="001B4813">
      <w:pPr>
        <w:tabs>
          <w:tab w:val="left" w:pos="3400"/>
        </w:tabs>
        <w:spacing w:before="240"/>
        <w:jc w:val="both"/>
        <w:rPr>
          <w:rFonts w:cs="TimesNewRoman"/>
          <w:sz w:val="24"/>
          <w:szCs w:val="24"/>
        </w:rPr>
      </w:pPr>
      <w:r w:rsidRPr="00B11DEC">
        <w:rPr>
          <w:rFonts w:cs="TimesNewRoman"/>
          <w:sz w:val="24"/>
          <w:szCs w:val="24"/>
        </w:rPr>
        <w:lastRenderedPageBreak/>
        <w:t xml:space="preserve">Tržišta dionica su vrlo promjenjiva, a iracionalnost je njihovo često obilježje. Iracionalnost na tržištu dionica determinirana je razinom efikasnosti tržišta, koja mjeri utjecaj informacija na promjene cijena dionica. Isto tako determinirana je postojanjem iracionalnih sudionika (takozvanih bučnih trgovaca) koji svojim akcijama korigiraju cijene u neprirodnom ili neočekivanom smjeru te čije ponašanje je pod značajnim utjecajem emocija pohlepe, nade i straha, zbog čega su spremni prijevremeno likvidirati određene pozicije ili skupo plaćati realno precijenjenu imovinu. </w:t>
      </w:r>
    </w:p>
    <w:tbl>
      <w:tblPr>
        <w:tblStyle w:val="Reetkatablice"/>
        <w:tblW w:w="0" w:type="auto"/>
        <w:tblInd w:w="108" w:type="dxa"/>
        <w:tblLook w:val="01E0" w:firstRow="1" w:lastRow="1" w:firstColumn="1" w:lastColumn="1" w:noHBand="0" w:noVBand="0"/>
      </w:tblPr>
      <w:tblGrid>
        <w:gridCol w:w="9180"/>
      </w:tblGrid>
      <w:tr w:rsidR="002835A8" w:rsidRPr="00B11DEC" w:rsidTr="001B4813">
        <w:tc>
          <w:tcPr>
            <w:tcW w:w="9180" w:type="dxa"/>
            <w:shd w:val="clear" w:color="auto" w:fill="F2F2F2" w:themeFill="background1" w:themeFillShade="F2"/>
          </w:tcPr>
          <w:p w:rsidR="002835A8" w:rsidRPr="001B4813" w:rsidRDefault="002835A8" w:rsidP="001B4813">
            <w:pPr>
              <w:tabs>
                <w:tab w:val="left" w:pos="3400"/>
              </w:tabs>
              <w:spacing w:before="120" w:after="120"/>
              <w:jc w:val="both"/>
              <w:rPr>
                <w:rFonts w:asciiTheme="minorHAnsi" w:hAnsiTheme="minorHAnsi" w:cs="TimesNewRoman"/>
                <w:bCs/>
                <w:color w:val="C00000"/>
                <w:sz w:val="24"/>
                <w:szCs w:val="24"/>
              </w:rPr>
            </w:pPr>
            <w:r w:rsidRPr="001B4813">
              <w:rPr>
                <w:rFonts w:asciiTheme="minorHAnsi" w:hAnsiTheme="minorHAnsi" w:cs="TimesNewRoman"/>
                <w:bCs/>
                <w:color w:val="C00000"/>
                <w:sz w:val="24"/>
                <w:szCs w:val="24"/>
              </w:rPr>
              <w:t>Zamke i</w:t>
            </w:r>
            <w:r w:rsidR="001B4813" w:rsidRPr="001B4813">
              <w:rPr>
                <w:rFonts w:asciiTheme="minorHAnsi" w:hAnsiTheme="minorHAnsi" w:cs="TimesNewRoman"/>
                <w:bCs/>
                <w:color w:val="C00000"/>
                <w:sz w:val="24"/>
                <w:szCs w:val="24"/>
              </w:rPr>
              <w:t xml:space="preserve"> neznanja</w:t>
            </w:r>
          </w:p>
          <w:p w:rsidR="002835A8" w:rsidRPr="00B11DEC" w:rsidRDefault="002835A8" w:rsidP="001B4813">
            <w:pPr>
              <w:tabs>
                <w:tab w:val="left" w:pos="3400"/>
              </w:tabs>
              <w:spacing w:before="120" w:after="120"/>
              <w:jc w:val="both"/>
              <w:rPr>
                <w:rFonts w:asciiTheme="minorHAnsi" w:hAnsiTheme="minorHAnsi" w:cs="TimesNewRoman"/>
                <w:sz w:val="24"/>
                <w:szCs w:val="24"/>
              </w:rPr>
            </w:pPr>
            <w:r w:rsidRPr="00B11DEC">
              <w:rPr>
                <w:rFonts w:asciiTheme="minorHAnsi" w:hAnsiTheme="minorHAnsi" w:cs="TimesNewRoman"/>
                <w:bCs/>
                <w:sz w:val="24"/>
                <w:szCs w:val="24"/>
              </w:rPr>
              <w:t>Prosječni investitori</w:t>
            </w:r>
            <w:r w:rsidRPr="00B11DEC">
              <w:rPr>
                <w:rFonts w:asciiTheme="minorHAnsi" w:hAnsiTheme="minorHAnsi" w:cs="TimesNewRoman"/>
                <w:sz w:val="24"/>
                <w:szCs w:val="24"/>
              </w:rPr>
              <w:t xml:space="preserve"> često ne razumiju koristi i troškove ulaganja u dionice te </w:t>
            </w:r>
            <w:r w:rsidRPr="00B11DEC">
              <w:rPr>
                <w:rFonts w:asciiTheme="minorHAnsi" w:hAnsiTheme="minorHAnsi" w:cs="TimesNewRoman"/>
                <w:bCs/>
                <w:sz w:val="24"/>
                <w:szCs w:val="24"/>
              </w:rPr>
              <w:t>ne razumiju</w:t>
            </w:r>
            <w:r w:rsidRPr="00B11DEC">
              <w:rPr>
                <w:rFonts w:asciiTheme="minorHAnsi" w:hAnsiTheme="minorHAnsi" w:cs="TimesNewRoman"/>
                <w:sz w:val="24"/>
                <w:szCs w:val="24"/>
              </w:rPr>
              <w:t xml:space="preserve"> sve relevantne i javno raspoložive informacije koje su im potrebne da bi maksimalizirali očekivanu korist vlastitog portfelja imovine. Pri tome nerijetko polaze od pretpostavke da im njihovo znanje, vještine i pozicija na tržištu omogućavaju zaradu veću od ostalih sudionika na tržištu. S druge strane, čak i u uvjetima visoke informacijsko-arbitražne efikasnosti na financijskom tržištu, uvijek postoje </w:t>
            </w:r>
            <w:r w:rsidRPr="00B11DEC">
              <w:rPr>
                <w:rFonts w:asciiTheme="minorHAnsi" w:hAnsiTheme="minorHAnsi" w:cs="TimesNewRoman"/>
                <w:bCs/>
                <w:sz w:val="24"/>
                <w:szCs w:val="24"/>
              </w:rPr>
              <w:t>'spretni igrači'</w:t>
            </w:r>
            <w:r w:rsidRPr="00B11DEC">
              <w:rPr>
                <w:rFonts w:asciiTheme="minorHAnsi" w:hAnsiTheme="minorHAnsi" w:cs="TimesNewRoman"/>
                <w:sz w:val="24"/>
                <w:szCs w:val="24"/>
              </w:rPr>
              <w:t xml:space="preserve"> koji svoju zaradu grade na pogreškama naivnih sudionika.  </w:t>
            </w:r>
          </w:p>
          <w:p w:rsidR="002835A8" w:rsidRPr="00B11DEC" w:rsidRDefault="002835A8" w:rsidP="001B4813">
            <w:pPr>
              <w:tabs>
                <w:tab w:val="left" w:pos="3400"/>
              </w:tabs>
              <w:spacing w:before="120" w:after="120"/>
              <w:jc w:val="both"/>
              <w:rPr>
                <w:rFonts w:asciiTheme="minorHAnsi" w:hAnsiTheme="minorHAnsi" w:cs="TimesNewRoman"/>
                <w:color w:val="3366FF"/>
                <w:sz w:val="24"/>
                <w:szCs w:val="24"/>
              </w:rPr>
            </w:pPr>
            <w:r w:rsidRPr="00B11DEC">
              <w:rPr>
                <w:rFonts w:asciiTheme="minorHAnsi" w:hAnsiTheme="minorHAnsi" w:cs="TimesNewRoman"/>
                <w:sz w:val="24"/>
                <w:szCs w:val="24"/>
              </w:rPr>
              <w:t>Zbog straha ljudi razmišljaju koliko loše može završiti neka mogućnost, a zbog nade se pitaju koliko dobro može biti.</w:t>
            </w:r>
            <w:r w:rsidR="001B4813">
              <w:rPr>
                <w:rFonts w:asciiTheme="minorHAnsi" w:hAnsiTheme="minorHAnsi" w:cs="TimesNewRoman"/>
                <w:sz w:val="24"/>
                <w:szCs w:val="24"/>
              </w:rPr>
              <w:t xml:space="preserve"> </w:t>
            </w:r>
            <w:r w:rsidRPr="00B11DEC">
              <w:rPr>
                <w:rFonts w:asciiTheme="minorHAnsi" w:hAnsiTheme="minorHAnsi" w:cs="TimesNewRoman"/>
                <w:sz w:val="24"/>
                <w:szCs w:val="24"/>
              </w:rPr>
              <w:t>Pozitivne ishode ljudi su skloni pripisivati vlastitim vještinama i sposobnostima; za nepoželjne ishode ljudi okrivljuju druge ili ih pripisuju “lošoj sreći”.</w:t>
            </w:r>
          </w:p>
        </w:tc>
      </w:tr>
    </w:tbl>
    <w:p w:rsidR="00A0547C" w:rsidRDefault="002835A8" w:rsidP="00916855">
      <w:pPr>
        <w:tabs>
          <w:tab w:val="left" w:pos="3400"/>
        </w:tabs>
        <w:spacing w:before="240"/>
        <w:jc w:val="both"/>
        <w:rPr>
          <w:rFonts w:cs="TimesNewRoman"/>
          <w:sz w:val="24"/>
          <w:szCs w:val="24"/>
        </w:rPr>
      </w:pPr>
      <w:r w:rsidRPr="00B11DEC">
        <w:rPr>
          <w:rFonts w:cs="TimesNewRoman"/>
          <w:sz w:val="24"/>
          <w:szCs w:val="24"/>
        </w:rPr>
        <w:t xml:space="preserve">Budući da većina individualnih investitora nema specijalizirano znanje i vještine za direktno ulaganje na tržištu dionica, odluka o ulaganju u dioničke fondove može biti dobra strategija izbjegavanju tipičnih pogreška koje su svojstvene „neiskusnim individualnim ulagačima“. Osim toga diversifikacija rizika je znatno je veća u slučaju ulaganja u dioničke fondove nego u slučaju ulaganja u nekoliko dionica izabranih kompanija. </w:t>
      </w:r>
    </w:p>
    <w:p w:rsidR="002835A8" w:rsidRPr="00B11DEC" w:rsidRDefault="002835A8" w:rsidP="00916855">
      <w:pPr>
        <w:tabs>
          <w:tab w:val="left" w:pos="3400"/>
        </w:tabs>
        <w:spacing w:before="240"/>
        <w:jc w:val="both"/>
        <w:rPr>
          <w:rFonts w:cs="TimesNewRoman"/>
          <w:sz w:val="24"/>
          <w:szCs w:val="24"/>
        </w:rPr>
      </w:pPr>
      <w:r w:rsidRPr="00B11DEC">
        <w:rPr>
          <w:rFonts w:cs="TimesNewRoman"/>
          <w:sz w:val="24"/>
          <w:szCs w:val="24"/>
        </w:rPr>
        <w:t>Dionički fondovi prikupljene udjele ulažu u široku paletu dionica dostupnih na domaćem, ali i inozemnom tržištu te dodatno radi smanjenja rizičnosti vlastitog poslovanja manji dio sredstava ulažu u financijske oblike nižeg stupnja rizika i veće likvidnosti (obveznice, depoziti u bankama, trezorski zapisi). Uspješnost njihova ulaganja determinirana je pravovremenom reakcijom i sposobnošću njihovih fond managera da novac oplode uz što veću zaradu i pri tome postignu optimalnu razinu profitabilnost</w:t>
      </w:r>
      <w:r w:rsidR="001B4813">
        <w:rPr>
          <w:rFonts w:cs="TimesNewRoman"/>
          <w:sz w:val="24"/>
          <w:szCs w:val="24"/>
        </w:rPr>
        <w:t xml:space="preserve">i, sigurnosti i likvidnosti, a </w:t>
      </w:r>
      <w:r w:rsidRPr="00B11DEC">
        <w:rPr>
          <w:rFonts w:cs="TimesNewRoman"/>
          <w:sz w:val="24"/>
          <w:szCs w:val="24"/>
        </w:rPr>
        <w:t xml:space="preserve">uspješnost </w:t>
      </w:r>
      <w:r w:rsidR="001B4813">
        <w:rPr>
          <w:rFonts w:cs="TimesNewRoman"/>
          <w:sz w:val="24"/>
          <w:szCs w:val="24"/>
        </w:rPr>
        <w:t xml:space="preserve">ulagača </w:t>
      </w:r>
      <w:r w:rsidRPr="00B11DEC">
        <w:rPr>
          <w:rFonts w:cs="TimesNewRoman"/>
          <w:sz w:val="24"/>
          <w:szCs w:val="24"/>
        </w:rPr>
        <w:t xml:space="preserve">svodi se samo na izbor pravog fonda, odnosno onog koji će na duži vremenski rok osigurati veću zaradu. </w:t>
      </w:r>
    </w:p>
    <w:p w:rsidR="002835A8" w:rsidRPr="00B11DEC" w:rsidRDefault="002835A8" w:rsidP="002835A8">
      <w:pPr>
        <w:tabs>
          <w:tab w:val="left" w:pos="3400"/>
        </w:tabs>
        <w:jc w:val="both"/>
        <w:rPr>
          <w:rFonts w:cs="TimesNewRoman"/>
          <w:sz w:val="24"/>
          <w:szCs w:val="24"/>
        </w:rPr>
      </w:pPr>
      <w:r w:rsidRPr="00B11DEC">
        <w:rPr>
          <w:rFonts w:cs="TimesNewRoman"/>
          <w:sz w:val="24"/>
          <w:szCs w:val="24"/>
        </w:rPr>
        <w:t xml:space="preserve">Na izbor između ulaganja posredstvom brokerskih kuća ili ulaganja u dioničke fondove također mogu utjecati: visina troškova usluga savjetovanja brokera, visina ulaznih i izlaznih naknada dioničkih fondova, transakcijski troškovi - posebice u slučaju agresivne strategije učestalih kupovina i prodaja vrijednosnica, stručna reputacija brokerske kuće te iskustvo njenih djelatnika, dosadašnja uspješnost izabranog dioničkog fonda, struktura ulaganja fonda itd. </w:t>
      </w:r>
    </w:p>
    <w:p w:rsidR="003746DE" w:rsidRPr="00674831" w:rsidRDefault="002835A8" w:rsidP="003C04B8">
      <w:pPr>
        <w:pStyle w:val="Odlomakpopisa"/>
        <w:ind w:left="0"/>
        <w:jc w:val="both"/>
        <w:rPr>
          <w:b/>
          <w:sz w:val="24"/>
          <w:szCs w:val="24"/>
        </w:rPr>
      </w:pPr>
      <w:r>
        <w:rPr>
          <w:b/>
          <w:sz w:val="24"/>
          <w:szCs w:val="24"/>
        </w:rPr>
        <w:lastRenderedPageBreak/>
        <w:t>2.</w:t>
      </w:r>
      <w:r w:rsidR="00C103F2">
        <w:rPr>
          <w:b/>
          <w:sz w:val="24"/>
          <w:szCs w:val="24"/>
        </w:rPr>
        <w:t>7</w:t>
      </w:r>
      <w:r>
        <w:rPr>
          <w:b/>
          <w:sz w:val="24"/>
          <w:szCs w:val="24"/>
        </w:rPr>
        <w:t xml:space="preserve">. </w:t>
      </w:r>
      <w:r w:rsidR="003746DE" w:rsidRPr="00674831">
        <w:rPr>
          <w:b/>
          <w:sz w:val="24"/>
          <w:szCs w:val="24"/>
        </w:rPr>
        <w:t>Hipotetički p</w:t>
      </w:r>
      <w:r w:rsidR="00C17CFC" w:rsidRPr="00674831">
        <w:rPr>
          <w:b/>
          <w:sz w:val="24"/>
          <w:szCs w:val="24"/>
        </w:rPr>
        <w:t>rimjer</w:t>
      </w:r>
      <w:r w:rsidR="003746DE" w:rsidRPr="00674831">
        <w:rPr>
          <w:b/>
          <w:sz w:val="24"/>
          <w:szCs w:val="24"/>
        </w:rPr>
        <w:t xml:space="preserve"> koordinacije ostvarenja kratkoročnih i dugoročnih ciljeva </w:t>
      </w:r>
      <w:r w:rsidR="005D5D23">
        <w:rPr>
          <w:b/>
          <w:sz w:val="24"/>
          <w:szCs w:val="24"/>
        </w:rPr>
        <w:t xml:space="preserve">i vrednovanja alternativa </w:t>
      </w:r>
      <w:r w:rsidR="00674831" w:rsidRPr="00674831">
        <w:rPr>
          <w:b/>
          <w:sz w:val="24"/>
          <w:szCs w:val="24"/>
        </w:rPr>
        <w:t>u izradi štedno ulagačkog plana</w:t>
      </w:r>
    </w:p>
    <w:p w:rsidR="003746DE" w:rsidRPr="00674831" w:rsidRDefault="003746DE" w:rsidP="003C04B8">
      <w:pPr>
        <w:pStyle w:val="Odlomakpopisa"/>
        <w:ind w:left="0"/>
        <w:jc w:val="both"/>
        <w:rPr>
          <w:sz w:val="24"/>
          <w:szCs w:val="24"/>
        </w:rPr>
      </w:pPr>
    </w:p>
    <w:p w:rsidR="003C04B8" w:rsidRPr="00674831" w:rsidRDefault="00C17CFC" w:rsidP="003C04B8">
      <w:pPr>
        <w:pStyle w:val="Odlomakpopisa"/>
        <w:ind w:left="0"/>
        <w:jc w:val="both"/>
        <w:rPr>
          <w:sz w:val="24"/>
          <w:szCs w:val="24"/>
        </w:rPr>
      </w:pPr>
      <w:r w:rsidRPr="00674831">
        <w:rPr>
          <w:sz w:val="24"/>
          <w:szCs w:val="24"/>
        </w:rPr>
        <w:t xml:space="preserve">Osoba na koju se odnosi analiza financijskih ciljeva </w:t>
      </w:r>
      <w:r w:rsidR="00FF1B54">
        <w:rPr>
          <w:sz w:val="24"/>
          <w:szCs w:val="24"/>
        </w:rPr>
        <w:t>(</w:t>
      </w:r>
      <w:r w:rsidRPr="00674831">
        <w:rPr>
          <w:sz w:val="24"/>
          <w:szCs w:val="24"/>
        </w:rPr>
        <w:t>i aktivnosti u nastavku</w:t>
      </w:r>
      <w:r w:rsidR="00FF1B54">
        <w:rPr>
          <w:sz w:val="24"/>
          <w:szCs w:val="24"/>
        </w:rPr>
        <w:t>)</w:t>
      </w:r>
      <w:r w:rsidRPr="00674831">
        <w:rPr>
          <w:sz w:val="24"/>
          <w:szCs w:val="24"/>
        </w:rPr>
        <w:t xml:space="preserve"> je </w:t>
      </w:r>
      <w:r w:rsidR="003746DE" w:rsidRPr="00674831">
        <w:rPr>
          <w:sz w:val="24"/>
          <w:szCs w:val="24"/>
        </w:rPr>
        <w:t>muškarac koji i</w:t>
      </w:r>
      <w:r w:rsidR="003C04B8" w:rsidRPr="00674831">
        <w:rPr>
          <w:sz w:val="24"/>
          <w:szCs w:val="24"/>
        </w:rPr>
        <w:t xml:space="preserve">ma 27 godina i </w:t>
      </w:r>
      <w:r w:rsidR="003746DE" w:rsidRPr="00674831">
        <w:rPr>
          <w:sz w:val="24"/>
          <w:szCs w:val="24"/>
        </w:rPr>
        <w:t xml:space="preserve">živi u samačkom kućanstvu. </w:t>
      </w:r>
      <w:r w:rsidR="003C04B8" w:rsidRPr="00674831">
        <w:rPr>
          <w:sz w:val="24"/>
          <w:szCs w:val="24"/>
        </w:rPr>
        <w:t>Zaposlen je kao tajnik u javnobilježničkom uredu i nije sklon riziku. Svaki mjesec nakon što podmiri temeljne životne potrebe i određene želje preostaje mu 2.500,00 kn. Na taj način</w:t>
      </w:r>
      <w:r w:rsidR="003746DE" w:rsidRPr="00674831">
        <w:rPr>
          <w:sz w:val="24"/>
          <w:szCs w:val="24"/>
        </w:rPr>
        <w:t xml:space="preserve"> od završetka školovanja</w:t>
      </w:r>
      <w:r w:rsidR="003C04B8" w:rsidRPr="00674831">
        <w:rPr>
          <w:sz w:val="24"/>
          <w:szCs w:val="24"/>
        </w:rPr>
        <w:t xml:space="preserve"> uštedio je 46.000,00 kuna i taj je</w:t>
      </w:r>
      <w:r w:rsidR="003C04B8" w:rsidRPr="00674831" w:rsidDel="00974D86">
        <w:rPr>
          <w:sz w:val="24"/>
          <w:szCs w:val="24"/>
        </w:rPr>
        <w:t xml:space="preserve"> </w:t>
      </w:r>
      <w:r w:rsidR="003C04B8" w:rsidRPr="00674831">
        <w:rPr>
          <w:sz w:val="24"/>
          <w:szCs w:val="24"/>
        </w:rPr>
        <w:t>novac voljan uložiti u štednju. Voljan je u narednim mjesecima izdvajati isti iznos 2.500,00 kuna u svrhu štednje. Ciljevi koje je postavio kao rezultat štednje su:</w:t>
      </w:r>
    </w:p>
    <w:p w:rsidR="003C04B8" w:rsidRPr="00916855" w:rsidRDefault="003C04B8" w:rsidP="006F1C04">
      <w:pPr>
        <w:pStyle w:val="Odlomakpopisa"/>
        <w:numPr>
          <w:ilvl w:val="0"/>
          <w:numId w:val="24"/>
        </w:numPr>
        <w:spacing w:after="0" w:line="240" w:lineRule="auto"/>
        <w:jc w:val="both"/>
        <w:rPr>
          <w:sz w:val="24"/>
          <w:szCs w:val="24"/>
        </w:rPr>
      </w:pPr>
      <w:r w:rsidRPr="00674831">
        <w:rPr>
          <w:sz w:val="24"/>
          <w:szCs w:val="24"/>
        </w:rPr>
        <w:t xml:space="preserve">kupovina vlastitog stana za 5 godina, uz korištenje stambenog kredita u </w:t>
      </w:r>
      <w:r w:rsidRPr="00916855">
        <w:rPr>
          <w:sz w:val="24"/>
          <w:szCs w:val="24"/>
        </w:rPr>
        <w:t>potrebnom iznosu (ciljana vrijednost stana je 375.000 kuna)</w:t>
      </w:r>
    </w:p>
    <w:p w:rsidR="003C04B8" w:rsidRPr="00916855" w:rsidRDefault="003C04B8" w:rsidP="006F1C04">
      <w:pPr>
        <w:pStyle w:val="Odlomakpopisa"/>
        <w:numPr>
          <w:ilvl w:val="0"/>
          <w:numId w:val="24"/>
        </w:numPr>
        <w:spacing w:after="0" w:line="240" w:lineRule="auto"/>
        <w:jc w:val="both"/>
        <w:rPr>
          <w:sz w:val="24"/>
          <w:szCs w:val="24"/>
        </w:rPr>
      </w:pPr>
      <w:r w:rsidRPr="00916855">
        <w:rPr>
          <w:sz w:val="24"/>
          <w:szCs w:val="24"/>
        </w:rPr>
        <w:t>i redoviti mjesečni izvor primitaka u iznosu 1.000,00 kn nakon 30 godina, a za razdoblje narednih 20 godina.</w:t>
      </w:r>
    </w:p>
    <w:p w:rsidR="003746DE" w:rsidRPr="00916855" w:rsidRDefault="003746DE" w:rsidP="003C04B8">
      <w:pPr>
        <w:pStyle w:val="Odlomakpopisa"/>
        <w:ind w:left="0"/>
        <w:jc w:val="both"/>
        <w:rPr>
          <w:sz w:val="24"/>
          <w:szCs w:val="24"/>
        </w:rPr>
      </w:pPr>
    </w:p>
    <w:p w:rsidR="003C04B8" w:rsidRPr="00916855" w:rsidRDefault="003C04B8" w:rsidP="00256F1B">
      <w:pPr>
        <w:pStyle w:val="Odlomakpopisa"/>
        <w:ind w:left="0"/>
        <w:jc w:val="both"/>
        <w:rPr>
          <w:sz w:val="24"/>
          <w:szCs w:val="24"/>
        </w:rPr>
      </w:pPr>
      <w:r w:rsidRPr="00916855">
        <w:rPr>
          <w:sz w:val="24"/>
          <w:szCs w:val="24"/>
        </w:rPr>
        <w:t xml:space="preserve">Kako bi </w:t>
      </w:r>
      <w:r w:rsidR="00916855" w:rsidRPr="00916855">
        <w:rPr>
          <w:sz w:val="24"/>
          <w:szCs w:val="24"/>
        </w:rPr>
        <w:t xml:space="preserve">se </w:t>
      </w:r>
      <w:r w:rsidRPr="00916855">
        <w:rPr>
          <w:sz w:val="24"/>
          <w:szCs w:val="24"/>
        </w:rPr>
        <w:t>sastav</w:t>
      </w:r>
      <w:r w:rsidR="00916855" w:rsidRPr="00916855">
        <w:rPr>
          <w:sz w:val="24"/>
          <w:szCs w:val="24"/>
        </w:rPr>
        <w:t>io</w:t>
      </w:r>
      <w:r w:rsidRPr="00916855">
        <w:rPr>
          <w:sz w:val="24"/>
          <w:szCs w:val="24"/>
        </w:rPr>
        <w:t xml:space="preserve"> </w:t>
      </w:r>
      <w:r w:rsidRPr="00FF1B54">
        <w:rPr>
          <w:color w:val="C00000"/>
          <w:sz w:val="24"/>
          <w:szCs w:val="24"/>
        </w:rPr>
        <w:t>štedno-ulagački plan</w:t>
      </w:r>
      <w:r w:rsidRPr="00916855">
        <w:rPr>
          <w:sz w:val="24"/>
          <w:szCs w:val="24"/>
        </w:rPr>
        <w:t xml:space="preserve">, najprije je potrebno provesti cjelovitu analizu. </w:t>
      </w:r>
      <w:r w:rsidR="00916855" w:rsidRPr="00916855">
        <w:rPr>
          <w:sz w:val="24"/>
          <w:szCs w:val="24"/>
        </w:rPr>
        <w:t>U tome mogu pomoći sljedeće smjernice</w:t>
      </w:r>
      <w:r w:rsidRPr="00916855">
        <w:rPr>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6DDE8"/>
        <w:tblLook w:val="04A0" w:firstRow="1" w:lastRow="0" w:firstColumn="1" w:lastColumn="0" w:noHBand="0" w:noVBand="1"/>
      </w:tblPr>
      <w:tblGrid>
        <w:gridCol w:w="2410"/>
        <w:gridCol w:w="6662"/>
      </w:tblGrid>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Rezultat i cilj u</w:t>
            </w:r>
            <w:r w:rsidRPr="00FF1B54">
              <w:rPr>
                <w:color w:val="C00000"/>
                <w:shd w:val="clear" w:color="auto" w:fill="F2F2F2" w:themeFill="background1" w:themeFillShade="F2"/>
              </w:rPr>
              <w:t>la</w:t>
            </w:r>
            <w:r w:rsidRPr="00FF1B54">
              <w:rPr>
                <w:color w:val="C00000"/>
              </w:rPr>
              <w:t>ganja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 xml:space="preserve">Prvi cilj je kupovina vlastitog stana za 5 godina, uz odgovorno zaduživanje i sagledavanje rizika (kamatnog, valutnog, rizika dohotka itd.) te uz što veće korištenje vlastitih sredstava kako bi se u što manjem iznosu koristio kredit. S obzirom da osoba ima priličnu averziju prema riziku preferira likvidne oblike imovine/ štednje (kako bi se zaštitio od rizika likvidnosti). Mjesečni anuitet otplate kredita ciljati će na razini do 2.100,00 kuna kako bi štednju kumulirao i tijekom godina otplate kredita). </w:t>
            </w:r>
          </w:p>
          <w:p w:rsidR="003C04B8" w:rsidRPr="00916855" w:rsidRDefault="003C04B8" w:rsidP="0066075A">
            <w:pPr>
              <w:shd w:val="clear" w:color="auto" w:fill="FFFFFF" w:themeFill="background1"/>
              <w:jc w:val="both"/>
            </w:pPr>
            <w:r w:rsidRPr="00916855">
              <w:t>Drugi cilj je štednja za budućnost i štednja za starost kako bi u dobi od 57 do 77 godina života pored plaće (tijekom trajanja radnog odnosa), odnosno mirovine (po završetku radnog vijeka npr. u 65 godini života) imao i osigurane dodatne izvore primitaka.</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Vremensko razdoblje štednje</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Vremensko razdoblje ciljane štednje je narednih 30 godina, ali s različitom svrhom.</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 xml:space="preserve">Koliki je rizik </w:t>
            </w:r>
            <w:r w:rsidR="00FF1B54">
              <w:rPr>
                <w:color w:val="C00000"/>
              </w:rPr>
              <w:t xml:space="preserve">pojedinac </w:t>
            </w:r>
            <w:r w:rsidRPr="00FF1B54">
              <w:rPr>
                <w:color w:val="C00000"/>
              </w:rPr>
              <w:t>voljan preuzeti</w:t>
            </w:r>
            <w:r w:rsidR="00916855" w:rsidRPr="00FF1B54">
              <w:rPr>
                <w:color w:val="C00000"/>
              </w:rPr>
              <w:t>?</w:t>
            </w:r>
          </w:p>
        </w:tc>
        <w:tc>
          <w:tcPr>
            <w:tcW w:w="6662" w:type="dxa"/>
            <w:shd w:val="clear" w:color="auto" w:fill="FFFFFF" w:themeFill="background1"/>
          </w:tcPr>
          <w:p w:rsidR="003C04B8" w:rsidRPr="00916855" w:rsidRDefault="003C04B8" w:rsidP="00256F1B">
            <w:pPr>
              <w:shd w:val="clear" w:color="auto" w:fill="FFFFFF" w:themeFill="background1"/>
              <w:jc w:val="both"/>
            </w:pPr>
            <w:r w:rsidRPr="00916855">
              <w:t xml:space="preserve">Spreman je preuzeti nizak rizik pa </w:t>
            </w:r>
            <w:r w:rsidR="00916855" w:rsidRPr="00916855">
              <w:t xml:space="preserve">je sklon </w:t>
            </w:r>
            <w:r w:rsidRPr="00916855">
              <w:t>oročen</w:t>
            </w:r>
            <w:r w:rsidR="00916855" w:rsidRPr="00916855">
              <w:t>oj</w:t>
            </w:r>
            <w:r w:rsidRPr="00916855">
              <w:t xml:space="preserve"> štednj</w:t>
            </w:r>
            <w:r w:rsidR="00916855" w:rsidRPr="00916855">
              <w:t>i</w:t>
            </w:r>
            <w:r w:rsidRPr="00916855">
              <w:t xml:space="preserve"> u banci (koja je </w:t>
            </w:r>
            <w:r w:rsidR="00916855">
              <w:t xml:space="preserve">uglavnom </w:t>
            </w:r>
            <w:r w:rsidRPr="00916855">
              <w:t xml:space="preserve">vrlo likvidna </w:t>
            </w:r>
            <w:r w:rsidR="00256F1B">
              <w:t>t</w:t>
            </w:r>
            <w:r w:rsidR="00916855">
              <w:t xml:space="preserve">e se može po potrebi prijevremeno razročiti </w:t>
            </w:r>
            <w:r w:rsidR="00256F1B">
              <w:t>(</w:t>
            </w:r>
            <w:r w:rsidR="00916855">
              <w:t>osobu ne izlaže</w:t>
            </w:r>
            <w:r w:rsidRPr="00916855">
              <w:t xml:space="preserve"> rizik</w:t>
            </w:r>
            <w:r w:rsidR="00916855">
              <w:t>u</w:t>
            </w:r>
            <w:r w:rsidRPr="00916855">
              <w:t xml:space="preserve"> </w:t>
            </w:r>
            <w:r w:rsidR="00916855">
              <w:t>ne</w:t>
            </w:r>
            <w:r w:rsidRPr="00916855">
              <w:t>likvidnosti)</w:t>
            </w:r>
            <w:r w:rsidR="00916855">
              <w:t xml:space="preserve">. Isto tako sklon je višegodišnjoj </w:t>
            </w:r>
            <w:r w:rsidRPr="00916855">
              <w:t>štednj</w:t>
            </w:r>
            <w:r w:rsidR="00916855" w:rsidRPr="00916855">
              <w:t>i</w:t>
            </w:r>
            <w:r w:rsidRPr="00916855">
              <w:t xml:space="preserve"> kod stambene štedionice</w:t>
            </w:r>
            <w:r w:rsidR="00256F1B">
              <w:t xml:space="preserve"> pa će razmotriti i tu alternativu</w:t>
            </w:r>
            <w:r w:rsidRPr="00916855">
              <w:t>. Obje vrste štednje su pokrivene sustavom osiguranja depozita kod DAB-a u iznosu do 100.000 EUR po svakom deponentu u svakoj (pojedinačnoj) kreditnoj instituciji (banci ili stambenoj štedionici). U kategoriju niskorizičnih proizvoda štednje ulazi i ulaganje u otvorene investicijske fondove s javnom ponudom, posebice ulaganje u novčane fondove ali u tom slučaju nema osiguranja  štednje.</w:t>
            </w:r>
            <w:r w:rsidR="00FF1B54">
              <w:t xml:space="preserve"> No prinos može biti i negativan.</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lastRenderedPageBreak/>
              <w:t>Vremenski intervali ulaganja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Mjesečno.</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Novčani iznos ulaganja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Novčani iznos štednje/ ulaganja je mjesečno 2.500,00 kuna</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Dostupnost novca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Iz plaće i ranije formirane štednje, a za kupovinu stana dodatno iz stambenog kredita.</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Fleksibilnost uplate</w:t>
            </w:r>
          </w:p>
        </w:tc>
        <w:tc>
          <w:tcPr>
            <w:tcW w:w="6662" w:type="dxa"/>
            <w:shd w:val="clear" w:color="auto" w:fill="FFFFFF" w:themeFill="background1"/>
          </w:tcPr>
          <w:p w:rsidR="003C04B8" w:rsidRPr="00916855" w:rsidRDefault="00FF1B54" w:rsidP="00FF1B54">
            <w:pPr>
              <w:shd w:val="clear" w:color="auto" w:fill="FFFFFF" w:themeFill="background1"/>
              <w:jc w:val="both"/>
            </w:pPr>
            <w:r>
              <w:t>Preferira f</w:t>
            </w:r>
            <w:r w:rsidR="003C04B8" w:rsidRPr="00916855">
              <w:t>iksne štedne uplate/ulo</w:t>
            </w:r>
            <w:r>
              <w:t>ge</w:t>
            </w:r>
            <w:r w:rsidR="003C04B8" w:rsidRPr="00916855">
              <w:t>i u iznosu 2.500,00 kuna mjesečno</w:t>
            </w:r>
            <w:r>
              <w:t>, uključujući i kombinaciju različitih štedno ulagačkih proizvoda</w:t>
            </w:r>
            <w:r w:rsidR="003C04B8" w:rsidRPr="00916855">
              <w:t xml:space="preserve">. </w:t>
            </w:r>
          </w:p>
        </w:tc>
      </w:tr>
      <w:tr w:rsidR="003C04B8" w:rsidRPr="00BD038D" w:rsidTr="00681F41">
        <w:tc>
          <w:tcPr>
            <w:tcW w:w="2410" w:type="dxa"/>
            <w:shd w:val="clear" w:color="auto" w:fill="FFFFFF" w:themeFill="background1"/>
          </w:tcPr>
          <w:p w:rsidR="003C04B8" w:rsidRPr="00916855" w:rsidRDefault="003C04B8" w:rsidP="0066075A">
            <w:pPr>
              <w:shd w:val="clear" w:color="auto" w:fill="FFFFFF" w:themeFill="background1"/>
              <w:spacing w:line="360" w:lineRule="auto"/>
              <w:jc w:val="both"/>
            </w:pPr>
            <w:r w:rsidRPr="00FF1B54">
              <w:rPr>
                <w:color w:val="C00000"/>
              </w:rPr>
              <w:t>Rizik zanimanja</w:t>
            </w:r>
          </w:p>
        </w:tc>
        <w:tc>
          <w:tcPr>
            <w:tcW w:w="6662" w:type="dxa"/>
            <w:shd w:val="clear" w:color="auto" w:fill="FFFFFF" w:themeFill="background1"/>
          </w:tcPr>
          <w:p w:rsidR="003C04B8" w:rsidRPr="00916855" w:rsidRDefault="003C04B8" w:rsidP="0066075A">
            <w:pPr>
              <w:shd w:val="clear" w:color="auto" w:fill="FFFFFF" w:themeFill="background1"/>
              <w:jc w:val="both"/>
            </w:pPr>
            <w:r w:rsidRPr="00916855">
              <w:t xml:space="preserve">Relativno nizak - što znači da bi trebao zadovoljiti uvjete za ocjenu kreditne sposobnosti, ali i stabilnost prihoda važnu radi ispunjavanja uvjeta dugoročne ugovorne štednje kod stambene štednje, dobrovoljnog mirovinskog osiguranja i/ili životnog osiguranja. </w:t>
            </w:r>
          </w:p>
        </w:tc>
      </w:tr>
    </w:tbl>
    <w:p w:rsidR="00916855" w:rsidRPr="00BD038D" w:rsidRDefault="00916855" w:rsidP="00916855">
      <w:pPr>
        <w:spacing w:before="240"/>
        <w:jc w:val="both"/>
        <w:rPr>
          <w:sz w:val="24"/>
          <w:szCs w:val="24"/>
        </w:rPr>
      </w:pPr>
      <w:r w:rsidRPr="00BD038D">
        <w:rPr>
          <w:sz w:val="24"/>
          <w:szCs w:val="24"/>
        </w:rPr>
        <w:t xml:space="preserve">U nastavku je potrebno analizirati postojeće uvjete nominalnih godišnjih kamatnih stopa na različite vrste depozita (banaka i stambenih štedionica) i druge prosječne godišnje prinose na ulaganje u štedno-ulagačke proizvode koji su prikladni za ostvarivanje željenih ciljeva (na primjer prinose koje ostvaruje portfelj otvorenih investicijski fondova i/ili dobrovoljnih mirovinskih fondova), vodeći računa o sklonosti </w:t>
      </w:r>
      <w:r w:rsidR="00FF1B54">
        <w:rPr>
          <w:sz w:val="24"/>
          <w:szCs w:val="24"/>
        </w:rPr>
        <w:t xml:space="preserve">pojedinca prema </w:t>
      </w:r>
      <w:r w:rsidRPr="00BD038D">
        <w:rPr>
          <w:sz w:val="24"/>
          <w:szCs w:val="24"/>
        </w:rPr>
        <w:t xml:space="preserve">riziku. </w:t>
      </w:r>
    </w:p>
    <w:tbl>
      <w:tblPr>
        <w:tblStyle w:val="Reetkatablice"/>
        <w:tblW w:w="0" w:type="auto"/>
        <w:tblInd w:w="108" w:type="dxa"/>
        <w:tblLook w:val="04A0" w:firstRow="1" w:lastRow="0" w:firstColumn="1" w:lastColumn="0" w:noHBand="0" w:noVBand="1"/>
      </w:tblPr>
      <w:tblGrid>
        <w:gridCol w:w="9180"/>
      </w:tblGrid>
      <w:tr w:rsidR="003C04B8" w:rsidRPr="00AC4CE0" w:rsidTr="00E31870">
        <w:tc>
          <w:tcPr>
            <w:tcW w:w="9180" w:type="dxa"/>
          </w:tcPr>
          <w:p w:rsidR="003C04B8" w:rsidRPr="00916855" w:rsidRDefault="003C04B8" w:rsidP="00A84B29">
            <w:pPr>
              <w:spacing w:before="120"/>
              <w:jc w:val="both"/>
              <w:rPr>
                <w:sz w:val="24"/>
                <w:szCs w:val="24"/>
              </w:rPr>
            </w:pPr>
            <w:r w:rsidRPr="00916855">
              <w:rPr>
                <w:sz w:val="24"/>
                <w:szCs w:val="24"/>
              </w:rPr>
              <w:t>RAZDOBLJE ULAGANJA/ ŠTEDNJE 5 GODINA</w:t>
            </w:r>
          </w:p>
          <w:p w:rsidR="003C04B8" w:rsidRPr="00916855" w:rsidRDefault="003C04B8" w:rsidP="00A84B29">
            <w:pPr>
              <w:spacing w:before="120"/>
              <w:jc w:val="both"/>
              <w:rPr>
                <w:rFonts w:asciiTheme="minorHAnsi" w:hAnsiTheme="minorHAnsi"/>
                <w:color w:val="C00000"/>
                <w:sz w:val="24"/>
                <w:szCs w:val="24"/>
              </w:rPr>
            </w:pPr>
            <w:r w:rsidRPr="00916855">
              <w:rPr>
                <w:rFonts w:asciiTheme="minorHAnsi" w:hAnsiTheme="minorHAnsi"/>
                <w:color w:val="C00000"/>
                <w:sz w:val="24"/>
                <w:szCs w:val="24"/>
              </w:rPr>
              <w:t>Štednja i kredit iz ponude poslovne banke</w:t>
            </w:r>
          </w:p>
          <w:p w:rsidR="003C04B8" w:rsidRPr="00916855" w:rsidRDefault="00F0428C" w:rsidP="00A84B29">
            <w:pPr>
              <w:spacing w:before="120"/>
              <w:jc w:val="both"/>
              <w:rPr>
                <w:rFonts w:asciiTheme="minorHAnsi" w:hAnsiTheme="minorHAnsi"/>
                <w:sz w:val="24"/>
                <w:szCs w:val="24"/>
              </w:rPr>
            </w:pPr>
            <w:r>
              <w:rPr>
                <w:rFonts w:asciiTheme="minorHAnsi" w:hAnsiTheme="minorHAnsi"/>
                <w:sz w:val="24"/>
                <w:szCs w:val="24"/>
              </w:rPr>
              <w:t>Tradicionalno n</w:t>
            </w:r>
            <w:r w:rsidR="003C04B8" w:rsidRPr="00916855">
              <w:rPr>
                <w:rFonts w:asciiTheme="minorHAnsi" w:hAnsiTheme="minorHAnsi"/>
                <w:sz w:val="24"/>
                <w:szCs w:val="24"/>
              </w:rPr>
              <w:t xml:space="preserve">ajmanje rizičan oblik štednje je </w:t>
            </w:r>
            <w:r>
              <w:rPr>
                <w:rFonts w:asciiTheme="minorHAnsi" w:hAnsiTheme="minorHAnsi"/>
                <w:sz w:val="24"/>
                <w:szCs w:val="24"/>
              </w:rPr>
              <w:t xml:space="preserve">oročenje </w:t>
            </w:r>
            <w:r w:rsidR="003C04B8" w:rsidRPr="00916855">
              <w:rPr>
                <w:rFonts w:asciiTheme="minorHAnsi" w:hAnsiTheme="minorHAnsi"/>
                <w:sz w:val="24"/>
                <w:szCs w:val="24"/>
              </w:rPr>
              <w:t xml:space="preserve">u banci. Kamatna stopa na kunsku štednju u banci iznosi 2,25% godišnje, a na deviznu štednju u eurima 1,3%. U oba slučaja </w:t>
            </w:r>
            <w:r w:rsidR="003C04B8" w:rsidRPr="00916855">
              <w:rPr>
                <w:rFonts w:asciiTheme="minorHAnsi" w:hAnsiTheme="minorHAnsi"/>
                <w:color w:val="C00000"/>
                <w:sz w:val="24"/>
                <w:szCs w:val="24"/>
              </w:rPr>
              <w:t>nominalna kamatna stopa na oročenu štednju jednaka je efektivnoj kamatnoj stopi</w:t>
            </w:r>
            <w:r w:rsidR="003C04B8" w:rsidRPr="00916855">
              <w:rPr>
                <w:rFonts w:asciiTheme="minorHAnsi" w:hAnsiTheme="minorHAnsi"/>
                <w:sz w:val="24"/>
                <w:szCs w:val="24"/>
              </w:rPr>
              <w:t>. Kamatna stopa na stambeni kredit banke je 5,73%</w:t>
            </w:r>
            <w:r>
              <w:rPr>
                <w:rFonts w:asciiTheme="minorHAnsi" w:hAnsiTheme="minorHAnsi"/>
                <w:sz w:val="24"/>
                <w:szCs w:val="24"/>
              </w:rPr>
              <w:t>,</w:t>
            </w:r>
            <w:r w:rsidR="003C04B8" w:rsidRPr="00916855">
              <w:rPr>
                <w:rFonts w:asciiTheme="minorHAnsi" w:hAnsiTheme="minorHAnsi"/>
                <w:sz w:val="24"/>
                <w:szCs w:val="24"/>
              </w:rPr>
              <w:t xml:space="preserve"> ali je efektivna kamatna stopa na kredit 5,71%</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46.000,00 kn ranije kumulirane štednje (kojom raspolaže u 27 godini života) naš pojedinac može jednokratno oročiti u banci i time uz kamatnu stopu 2,25% godišnje za pet godina ukupno kumulirati 51.413,17 kuna štednje. Iznos tih sredstava može se koristit za smanjenje iznosa kredita potrebnog za kupnju stana, ili alternativno za kupovinu namještaja potrebnog za uređenje stana. Ujedno radi se o likvidnom obliku štednje jer </w:t>
            </w:r>
            <w:r w:rsidR="00E763CE">
              <w:rPr>
                <w:rFonts w:asciiTheme="minorHAnsi" w:hAnsiTheme="minorHAnsi"/>
                <w:sz w:val="24"/>
                <w:szCs w:val="24"/>
              </w:rPr>
              <w:t xml:space="preserve">(izabrana) </w:t>
            </w:r>
            <w:r w:rsidRPr="00916855">
              <w:rPr>
                <w:rFonts w:asciiTheme="minorHAnsi" w:hAnsiTheme="minorHAnsi"/>
                <w:sz w:val="24"/>
                <w:szCs w:val="24"/>
              </w:rPr>
              <w:t>banka ne naplaćuje prenale za prijevremeno razročenje (gube se samo kamate na nepostignuto razdoblje ugovorene štednje).</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Nadalje, mjesečni ciljani iznos štednje 2.500,00 kuna pojedinac može  oročavati u banci u modelu </w:t>
            </w:r>
            <w:r w:rsidRPr="00F0428C">
              <w:rPr>
                <w:rFonts w:asciiTheme="minorHAnsi" w:hAnsiTheme="minorHAnsi"/>
                <w:color w:val="C00000"/>
                <w:sz w:val="24"/>
                <w:szCs w:val="24"/>
              </w:rPr>
              <w:t xml:space="preserve">otvorene štednje </w:t>
            </w:r>
            <w:r w:rsidRPr="00916855">
              <w:rPr>
                <w:rFonts w:asciiTheme="minorHAnsi" w:hAnsiTheme="minorHAnsi"/>
                <w:sz w:val="24"/>
                <w:szCs w:val="24"/>
              </w:rPr>
              <w:t xml:space="preserve">(uz višekratne uplate navedenog iznosa) narednih pet godina uz prinos 2,25% godišnje. Na taj način kroz pet godina kumulirat će štednju u iznosu 158.809,35 kn. </w:t>
            </w:r>
          </w:p>
          <w:p w:rsidR="003C04B8" w:rsidRPr="00A84B29" w:rsidRDefault="003C04B8" w:rsidP="00A84B29">
            <w:pPr>
              <w:spacing w:before="120"/>
              <w:jc w:val="both"/>
              <w:rPr>
                <w:rFonts w:asciiTheme="minorHAnsi" w:hAnsiTheme="minorHAnsi"/>
                <w:i/>
                <w:sz w:val="24"/>
                <w:szCs w:val="24"/>
              </w:rPr>
            </w:pPr>
            <w:r w:rsidRPr="00A84B29">
              <w:rPr>
                <w:rFonts w:asciiTheme="minorHAnsi" w:hAnsiTheme="minorHAnsi"/>
                <w:i/>
                <w:color w:val="C00000"/>
                <w:sz w:val="24"/>
                <w:szCs w:val="24"/>
              </w:rPr>
              <w:t xml:space="preserve">Napomena1: </w:t>
            </w:r>
            <w:r w:rsidRPr="00A84B29">
              <w:rPr>
                <w:rFonts w:asciiTheme="minorHAnsi" w:hAnsiTheme="minorHAnsi"/>
                <w:i/>
                <w:sz w:val="24"/>
                <w:szCs w:val="24"/>
              </w:rPr>
              <w:t>Radi se o složenom ukamaćivanju, uz dekurzivni obračun kamata jednom godišnje i primjenu konformnog kamatnjaka kako je uobičajeno u praksi banaka u Hrvatskoj. Nadalje, pretpostavlja</w:t>
            </w:r>
            <w:r w:rsidR="00256F1B">
              <w:rPr>
                <w:rFonts w:asciiTheme="minorHAnsi" w:hAnsiTheme="minorHAnsi"/>
                <w:i/>
                <w:sz w:val="24"/>
                <w:szCs w:val="24"/>
              </w:rPr>
              <w:t xml:space="preserve"> se</w:t>
            </w:r>
            <w:r w:rsidRPr="00A84B29">
              <w:rPr>
                <w:rFonts w:asciiTheme="minorHAnsi" w:hAnsiTheme="minorHAnsi"/>
                <w:i/>
                <w:sz w:val="24"/>
                <w:szCs w:val="24"/>
              </w:rPr>
              <w:t xml:space="preserve"> da je kamatna stopa na oročenu štednju fiksna i uvijek </w:t>
            </w:r>
            <w:r w:rsidRPr="00A84B29">
              <w:rPr>
                <w:rFonts w:asciiTheme="minorHAnsi" w:hAnsiTheme="minorHAnsi"/>
                <w:i/>
                <w:sz w:val="24"/>
                <w:szCs w:val="24"/>
              </w:rPr>
              <w:lastRenderedPageBreak/>
              <w:t>ista tijekom cijelog razdoblja promatranog u zadatku.</w:t>
            </w:r>
          </w:p>
          <w:p w:rsidR="003C04B8" w:rsidRPr="00916855" w:rsidRDefault="003C04B8" w:rsidP="00A84B29">
            <w:pPr>
              <w:spacing w:before="120"/>
              <w:jc w:val="both"/>
              <w:rPr>
                <w:rFonts w:asciiTheme="minorHAnsi" w:hAnsiTheme="minorHAnsi"/>
                <w:sz w:val="24"/>
                <w:szCs w:val="24"/>
              </w:rPr>
            </w:pPr>
            <w:r w:rsidRPr="00A84B29">
              <w:rPr>
                <w:rFonts w:asciiTheme="minorHAnsi" w:hAnsiTheme="minorHAnsi"/>
                <w:i/>
                <w:color w:val="C00000"/>
                <w:sz w:val="24"/>
                <w:szCs w:val="24"/>
              </w:rPr>
              <w:t>Napomena 2</w:t>
            </w:r>
            <w:r w:rsidRPr="00A84B29">
              <w:rPr>
                <w:rFonts w:asciiTheme="minorHAnsi" w:hAnsiTheme="minorHAnsi"/>
                <w:b/>
                <w:i/>
                <w:color w:val="C00000"/>
                <w:sz w:val="24"/>
                <w:szCs w:val="24"/>
              </w:rPr>
              <w:t>:</w:t>
            </w:r>
            <w:r w:rsidRPr="00A84B29">
              <w:rPr>
                <w:rFonts w:asciiTheme="minorHAnsi" w:hAnsiTheme="minorHAnsi"/>
                <w:i/>
                <w:color w:val="C00000"/>
                <w:sz w:val="24"/>
                <w:szCs w:val="24"/>
              </w:rPr>
              <w:t xml:space="preserve"> </w:t>
            </w:r>
            <w:r w:rsidRPr="00A84B29">
              <w:rPr>
                <w:rFonts w:asciiTheme="minorHAnsi" w:hAnsiTheme="minorHAnsi"/>
                <w:i/>
                <w:sz w:val="24"/>
                <w:szCs w:val="24"/>
              </w:rPr>
              <w:t xml:space="preserve">Radi jednostavnosti primjera, pretpostavljeno je da nema obračuna poreza na kamate na oročenu štednju, odnosno </w:t>
            </w:r>
            <w:r w:rsidR="00F0428C">
              <w:rPr>
                <w:rFonts w:asciiTheme="minorHAnsi" w:hAnsiTheme="minorHAnsi"/>
                <w:i/>
                <w:sz w:val="24"/>
                <w:szCs w:val="24"/>
              </w:rPr>
              <w:t xml:space="preserve">eventualno </w:t>
            </w:r>
            <w:r w:rsidRPr="00A84B29">
              <w:rPr>
                <w:rFonts w:asciiTheme="minorHAnsi" w:hAnsiTheme="minorHAnsi"/>
                <w:i/>
                <w:sz w:val="24"/>
                <w:szCs w:val="24"/>
              </w:rPr>
              <w:t xml:space="preserve">da je kamatna stopa koja se spominje stvaran prinos nakon odbitka poreznih obveza. U protivnom, kada bi se uključio porez na kamate u visini 12% osnovice (obračunatih kamata) te prirez npr. za Zagreb u visini 18% (prirez se obračunava na iznos poreza na dohodak od  kamata), a obračun kamata provodio jednom godišnje </w:t>
            </w:r>
            <w:r w:rsidR="00E763CE">
              <w:rPr>
                <w:rFonts w:asciiTheme="minorHAnsi" w:hAnsiTheme="minorHAnsi"/>
                <w:i/>
                <w:sz w:val="24"/>
                <w:szCs w:val="24"/>
              </w:rPr>
              <w:t>–</w:t>
            </w:r>
            <w:r w:rsidRPr="00A84B29">
              <w:rPr>
                <w:rFonts w:asciiTheme="minorHAnsi" w:hAnsiTheme="minorHAnsi"/>
                <w:i/>
                <w:sz w:val="24"/>
                <w:szCs w:val="24"/>
              </w:rPr>
              <w:t xml:space="preserve"> </w:t>
            </w:r>
            <w:r w:rsidR="00E763CE">
              <w:rPr>
                <w:rFonts w:asciiTheme="minorHAnsi" w:hAnsiTheme="minorHAnsi"/>
                <w:i/>
                <w:sz w:val="24"/>
                <w:szCs w:val="24"/>
              </w:rPr>
              <w:t xml:space="preserve">tada bi se neto </w:t>
            </w:r>
            <w:r w:rsidRPr="00A84B29">
              <w:rPr>
                <w:rFonts w:asciiTheme="minorHAnsi" w:hAnsiTheme="minorHAnsi"/>
                <w:i/>
                <w:sz w:val="24"/>
                <w:szCs w:val="24"/>
              </w:rPr>
              <w:t xml:space="preserve">prinos oko 2,25% </w:t>
            </w:r>
            <w:r w:rsidR="00E763CE">
              <w:rPr>
                <w:rFonts w:asciiTheme="minorHAnsi" w:hAnsiTheme="minorHAnsi"/>
                <w:i/>
                <w:sz w:val="24"/>
                <w:szCs w:val="24"/>
              </w:rPr>
              <w:t xml:space="preserve">mogao ostvariti </w:t>
            </w:r>
            <w:r w:rsidRPr="00A84B29">
              <w:rPr>
                <w:rFonts w:asciiTheme="minorHAnsi" w:hAnsiTheme="minorHAnsi"/>
                <w:i/>
                <w:sz w:val="24"/>
                <w:szCs w:val="24"/>
              </w:rPr>
              <w:t>tek ako bi ugovorena kamatna stopa na oročenu štednju bila oko 2,62% godišnje (nije precizno jer ovisi o godinama složenog ukamaćivanja, primjeni konformne ili proporcionalne metode te izboru dekurzivnog ili anticipativnog obraču</w:t>
            </w:r>
            <w:r w:rsidR="00E763CE">
              <w:rPr>
                <w:rFonts w:asciiTheme="minorHAnsi" w:hAnsiTheme="minorHAnsi"/>
                <w:i/>
                <w:sz w:val="24"/>
                <w:szCs w:val="24"/>
              </w:rPr>
              <w:t>na kamata itd.). V</w:t>
            </w:r>
            <w:r w:rsidRPr="00A84B29">
              <w:rPr>
                <w:rFonts w:asciiTheme="minorHAnsi" w:hAnsiTheme="minorHAnsi"/>
                <w:i/>
                <w:sz w:val="24"/>
                <w:szCs w:val="24"/>
              </w:rPr>
              <w:t xml:space="preserve">isina prireza se razlikuje između gradova pa je i porezni teret različiti za štediše npr,. u Zagrebu ili Varaždinu. </w:t>
            </w:r>
          </w:p>
          <w:p w:rsidR="003C04B8" w:rsidRPr="00AC4CE0" w:rsidRDefault="00F12963" w:rsidP="00F12963">
            <w:pPr>
              <w:spacing w:before="120" w:after="120"/>
              <w:jc w:val="both"/>
              <w:rPr>
                <w:sz w:val="24"/>
                <w:szCs w:val="24"/>
              </w:rPr>
            </w:pPr>
            <w:r>
              <w:rPr>
                <w:rFonts w:asciiTheme="minorHAnsi" w:hAnsiTheme="minorHAnsi"/>
              </w:rPr>
              <w:t>*</w:t>
            </w:r>
            <w:r w:rsidR="00681F41">
              <w:rPr>
                <w:rFonts w:asciiTheme="minorHAnsi" w:hAnsiTheme="minorHAnsi"/>
              </w:rPr>
              <w:t xml:space="preserve"> </w:t>
            </w:r>
            <w:r w:rsidR="00681F41" w:rsidRPr="00681F41">
              <w:rPr>
                <w:rFonts w:asciiTheme="minorHAnsi" w:hAnsiTheme="minorHAnsi" w:cs="Arial"/>
                <w:color w:val="000000"/>
                <w:shd w:val="clear" w:color="auto" w:fill="FFFFFF"/>
              </w:rPr>
              <w:t>Izračun je informativan i ne može se koristiti u druge svrhe</w:t>
            </w:r>
          </w:p>
        </w:tc>
      </w:tr>
      <w:tr w:rsidR="003C04B8" w:rsidRPr="00AC4CE0" w:rsidTr="00E31870">
        <w:tc>
          <w:tcPr>
            <w:tcW w:w="9180" w:type="dxa"/>
          </w:tcPr>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lastRenderedPageBreak/>
              <w:t>RAZDOBLJE ULAGANJA/ ŠTEDNJE 5 GODINA</w:t>
            </w:r>
          </w:p>
          <w:p w:rsidR="003C04B8" w:rsidRPr="00916855" w:rsidRDefault="003C04B8" w:rsidP="00A84B29">
            <w:pPr>
              <w:spacing w:before="120"/>
              <w:jc w:val="both"/>
              <w:rPr>
                <w:rFonts w:asciiTheme="minorHAnsi" w:hAnsiTheme="minorHAnsi"/>
                <w:color w:val="C00000"/>
                <w:sz w:val="24"/>
                <w:szCs w:val="24"/>
              </w:rPr>
            </w:pPr>
            <w:r w:rsidRPr="00916855">
              <w:rPr>
                <w:rFonts w:asciiTheme="minorHAnsi" w:hAnsiTheme="minorHAnsi"/>
                <w:color w:val="C00000"/>
                <w:sz w:val="24"/>
                <w:szCs w:val="24"/>
              </w:rPr>
              <w:t>Štednja i kredit iz ponude stambene štedionice</w:t>
            </w:r>
          </w:p>
          <w:p w:rsidR="003C04B8" w:rsidRPr="00916855" w:rsidRDefault="00DD2BEE" w:rsidP="00A84B29">
            <w:pPr>
              <w:spacing w:before="120"/>
              <w:jc w:val="both"/>
              <w:rPr>
                <w:rFonts w:asciiTheme="minorHAnsi" w:hAnsiTheme="minorHAnsi"/>
                <w:sz w:val="24"/>
                <w:szCs w:val="24"/>
              </w:rPr>
            </w:pPr>
            <w:r>
              <w:rPr>
                <w:rFonts w:asciiTheme="minorHAnsi" w:hAnsiTheme="minorHAnsi"/>
                <w:sz w:val="24"/>
                <w:szCs w:val="24"/>
              </w:rPr>
              <w:t>U primjeru se pretpostavlja da je s</w:t>
            </w:r>
            <w:r w:rsidR="003C04B8" w:rsidRPr="00916855">
              <w:rPr>
                <w:rFonts w:asciiTheme="minorHAnsi" w:hAnsiTheme="minorHAnsi"/>
                <w:sz w:val="24"/>
                <w:szCs w:val="24"/>
              </w:rPr>
              <w:t>tambena štednja dostupna jedino u eurima, a stambeni kredit stambene štedionice uz valutnu klauzulu u eurima.</w:t>
            </w:r>
            <w:r w:rsidR="00A84B29">
              <w:rPr>
                <w:rFonts w:asciiTheme="minorHAnsi" w:hAnsiTheme="minorHAnsi"/>
                <w:sz w:val="24"/>
                <w:szCs w:val="24"/>
              </w:rPr>
              <w:t xml:space="preserve"> </w:t>
            </w:r>
            <w:r w:rsidR="00D51B67">
              <w:rPr>
                <w:rFonts w:asciiTheme="minorHAnsi" w:hAnsiTheme="minorHAnsi"/>
                <w:sz w:val="24"/>
                <w:szCs w:val="24"/>
              </w:rPr>
              <w:t xml:space="preserve">(Iako u praksi postoje i stambene štedionice s kreditima bez valutne klauzule i uz štednju u kunama.) </w:t>
            </w:r>
            <w:r w:rsidR="003C04B8" w:rsidRPr="00916855">
              <w:rPr>
                <w:rFonts w:asciiTheme="minorHAnsi" w:hAnsiTheme="minorHAnsi"/>
                <w:sz w:val="24"/>
                <w:szCs w:val="24"/>
              </w:rPr>
              <w:t xml:space="preserve">Stambena štedionica naplaćuje naknadu 1% na sklapanje ugovora u visini ugovorne svote (jednake zbroju vlastitih </w:t>
            </w:r>
            <w:r w:rsidR="00E763CE">
              <w:rPr>
                <w:rFonts w:asciiTheme="minorHAnsi" w:hAnsiTheme="minorHAnsi"/>
                <w:sz w:val="24"/>
                <w:szCs w:val="24"/>
              </w:rPr>
              <w:t xml:space="preserve">ušteđenih </w:t>
            </w:r>
            <w:r w:rsidR="003C04B8" w:rsidRPr="00916855">
              <w:rPr>
                <w:rFonts w:asciiTheme="minorHAnsi" w:hAnsiTheme="minorHAnsi"/>
                <w:sz w:val="24"/>
                <w:szCs w:val="24"/>
              </w:rPr>
              <w:t xml:space="preserve">sredstava i stambenog kredita). Dodatno naplaćuje izlaznu naknadu ukoliko se štednja prekine u razdoblju kraćem od ugovorenog razdoblja (pet godina), dok se u slučaju raskida stambene štednje prije proteka pet godina gubi pravo na državna poticajna sredstva. Ujedno visina naknade za prijenos ili raskid ugovora o stamenoj štednji je promjenjiva. </w:t>
            </w:r>
            <w:r w:rsidR="00F0428C">
              <w:rPr>
                <w:rFonts w:asciiTheme="minorHAnsi" w:hAnsiTheme="minorHAnsi"/>
                <w:sz w:val="24"/>
                <w:szCs w:val="24"/>
              </w:rPr>
              <w:t>Depozit s</w:t>
            </w:r>
            <w:r w:rsidR="003C04B8" w:rsidRPr="00916855">
              <w:rPr>
                <w:rFonts w:asciiTheme="minorHAnsi" w:hAnsiTheme="minorHAnsi"/>
                <w:sz w:val="24"/>
                <w:szCs w:val="24"/>
              </w:rPr>
              <w:t>tamben</w:t>
            </w:r>
            <w:r w:rsidR="00F0428C">
              <w:rPr>
                <w:rFonts w:asciiTheme="minorHAnsi" w:hAnsiTheme="minorHAnsi"/>
                <w:sz w:val="24"/>
                <w:szCs w:val="24"/>
              </w:rPr>
              <w:t>e</w:t>
            </w:r>
            <w:r w:rsidR="003C04B8" w:rsidRPr="00916855">
              <w:rPr>
                <w:rFonts w:asciiTheme="minorHAnsi" w:hAnsiTheme="minorHAnsi"/>
                <w:sz w:val="24"/>
                <w:szCs w:val="24"/>
              </w:rPr>
              <w:t xml:space="preserve"> štednj</w:t>
            </w:r>
            <w:r w:rsidR="00F0428C">
              <w:rPr>
                <w:rFonts w:asciiTheme="minorHAnsi" w:hAnsiTheme="minorHAnsi"/>
                <w:sz w:val="24"/>
                <w:szCs w:val="24"/>
              </w:rPr>
              <w:t>e</w:t>
            </w:r>
            <w:r w:rsidR="003C04B8" w:rsidRPr="00916855">
              <w:rPr>
                <w:rFonts w:asciiTheme="minorHAnsi" w:hAnsiTheme="minorHAnsi"/>
                <w:sz w:val="24"/>
                <w:szCs w:val="24"/>
              </w:rPr>
              <w:t xml:space="preserve"> je osiguran, no </w:t>
            </w:r>
            <w:r w:rsidR="00D51B67">
              <w:rPr>
                <w:rFonts w:asciiTheme="minorHAnsi" w:hAnsiTheme="minorHAnsi"/>
                <w:sz w:val="24"/>
                <w:szCs w:val="24"/>
              </w:rPr>
              <w:t>dugoročnog ugovornog odnosa te</w:t>
            </w:r>
            <w:r w:rsidR="003C04B8" w:rsidRPr="00F0428C">
              <w:rPr>
                <w:rFonts w:asciiTheme="minorHAnsi" w:hAnsiTheme="minorHAnsi"/>
                <w:color w:val="C00000"/>
                <w:sz w:val="24"/>
                <w:szCs w:val="24"/>
              </w:rPr>
              <w:t xml:space="preserve"> </w:t>
            </w:r>
            <w:r w:rsidR="003C04B8" w:rsidRPr="00D51B67">
              <w:rPr>
                <w:rFonts w:asciiTheme="minorHAnsi" w:hAnsiTheme="minorHAnsi"/>
                <w:sz w:val="24"/>
                <w:szCs w:val="24"/>
              </w:rPr>
              <w:t>ulaznih i izlaznih naknada</w:t>
            </w:r>
            <w:r w:rsidR="003C04B8" w:rsidRPr="00F0428C">
              <w:rPr>
                <w:rFonts w:asciiTheme="minorHAnsi" w:hAnsiTheme="minorHAnsi"/>
                <w:color w:val="C00000"/>
                <w:sz w:val="24"/>
                <w:szCs w:val="24"/>
              </w:rPr>
              <w:t xml:space="preserve"> </w:t>
            </w:r>
            <w:r w:rsidR="00F0428C" w:rsidRPr="00F0428C">
              <w:rPr>
                <w:rFonts w:asciiTheme="minorHAnsi" w:hAnsiTheme="minorHAnsi"/>
                <w:color w:val="C00000"/>
                <w:sz w:val="24"/>
                <w:szCs w:val="24"/>
              </w:rPr>
              <w:t xml:space="preserve">takva štednja je </w:t>
            </w:r>
            <w:r w:rsidR="003C04B8" w:rsidRPr="00F0428C">
              <w:rPr>
                <w:rFonts w:asciiTheme="minorHAnsi" w:hAnsiTheme="minorHAnsi"/>
                <w:color w:val="C00000"/>
                <w:sz w:val="24"/>
                <w:szCs w:val="24"/>
              </w:rPr>
              <w:t>ipak manje likvidna nego u slučaju oročene štednje u banci</w:t>
            </w:r>
            <w:r w:rsidR="003C04B8" w:rsidRPr="00916855">
              <w:rPr>
                <w:rFonts w:asciiTheme="minorHAnsi" w:hAnsiTheme="minorHAnsi"/>
                <w:sz w:val="24"/>
                <w:szCs w:val="24"/>
              </w:rPr>
              <w:t xml:space="preserve">. </w:t>
            </w:r>
          </w:p>
          <w:p w:rsidR="00DD2BEE"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Nominalna kamatna stopa na stambenu štednju </w:t>
            </w:r>
            <w:r w:rsidR="00F0428C">
              <w:rPr>
                <w:rFonts w:asciiTheme="minorHAnsi" w:hAnsiTheme="minorHAnsi"/>
                <w:sz w:val="24"/>
                <w:szCs w:val="24"/>
              </w:rPr>
              <w:t xml:space="preserve">ugovorenu na </w:t>
            </w:r>
            <w:r w:rsidRPr="00916855">
              <w:rPr>
                <w:rFonts w:asciiTheme="minorHAnsi" w:hAnsiTheme="minorHAnsi"/>
                <w:sz w:val="24"/>
                <w:szCs w:val="24"/>
              </w:rPr>
              <w:t>pet godina u eurima iznosi 2,5% (nešto je veća nego kod banke). Pretpostav</w:t>
            </w:r>
            <w:r w:rsidR="00A84B29">
              <w:rPr>
                <w:rFonts w:asciiTheme="minorHAnsi" w:hAnsiTheme="minorHAnsi"/>
                <w:sz w:val="24"/>
                <w:szCs w:val="24"/>
              </w:rPr>
              <w:t>lja se</w:t>
            </w:r>
            <w:r w:rsidRPr="00916855">
              <w:rPr>
                <w:rFonts w:asciiTheme="minorHAnsi" w:hAnsiTheme="minorHAnsi"/>
                <w:sz w:val="24"/>
                <w:szCs w:val="24"/>
              </w:rPr>
              <w:t xml:space="preserve"> da nema obračuna poreza na kamate na oročenu štednju, odnosno da je kamatna stopa koja se spominje prinos nakon odbitka poreznih obveza. </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Visina DPS za stambenu štednju je promjenjiva (ovisi o odluci Ministarstva financija), a za stambenu štednju prikupljenu u 2015. godini iznosi 4,9%</w:t>
            </w:r>
            <w:r w:rsidR="00E763CE">
              <w:rPr>
                <w:rFonts w:asciiTheme="minorHAnsi" w:hAnsiTheme="minorHAnsi"/>
                <w:sz w:val="24"/>
                <w:szCs w:val="24"/>
              </w:rPr>
              <w:t xml:space="preserve"> </w:t>
            </w:r>
            <w:r w:rsidR="00E763CE" w:rsidRPr="00916855">
              <w:rPr>
                <w:rFonts w:asciiTheme="minorHAnsi" w:hAnsiTheme="minorHAnsi"/>
                <w:sz w:val="24"/>
                <w:szCs w:val="24"/>
              </w:rPr>
              <w:t>štednje tijekom tekuće godine</w:t>
            </w:r>
            <w:r w:rsidR="00E763CE">
              <w:rPr>
                <w:rFonts w:asciiTheme="minorHAnsi" w:hAnsiTheme="minorHAnsi"/>
                <w:sz w:val="24"/>
                <w:szCs w:val="24"/>
              </w:rPr>
              <w:t xml:space="preserve"> </w:t>
            </w:r>
            <w:r w:rsidR="00251950">
              <w:rPr>
                <w:rFonts w:asciiTheme="minorHAnsi" w:hAnsiTheme="minorHAnsi"/>
                <w:sz w:val="24"/>
                <w:szCs w:val="24"/>
              </w:rPr>
              <w:t>(</w:t>
            </w:r>
            <w:r w:rsidR="00E763CE" w:rsidRPr="00916855">
              <w:rPr>
                <w:rFonts w:asciiTheme="minorHAnsi" w:hAnsiTheme="minorHAnsi"/>
                <w:sz w:val="24"/>
                <w:szCs w:val="24"/>
              </w:rPr>
              <w:t>umanjen</w:t>
            </w:r>
            <w:r w:rsidR="00251950">
              <w:rPr>
                <w:rFonts w:asciiTheme="minorHAnsi" w:hAnsiTheme="minorHAnsi"/>
                <w:sz w:val="24"/>
                <w:szCs w:val="24"/>
              </w:rPr>
              <w:t>e</w:t>
            </w:r>
            <w:r w:rsidR="00E763CE" w:rsidRPr="00916855">
              <w:rPr>
                <w:rFonts w:asciiTheme="minorHAnsi" w:hAnsiTheme="minorHAnsi"/>
                <w:sz w:val="24"/>
                <w:szCs w:val="24"/>
              </w:rPr>
              <w:t xml:space="preserve"> za iznose naknada koju naplaćuje štedionica</w:t>
            </w:r>
            <w:r w:rsidR="00251950">
              <w:rPr>
                <w:rFonts w:asciiTheme="minorHAnsi" w:hAnsiTheme="minorHAnsi"/>
                <w:sz w:val="24"/>
                <w:szCs w:val="24"/>
              </w:rPr>
              <w:t>)</w:t>
            </w:r>
            <w:r w:rsidRPr="00916855">
              <w:rPr>
                <w:rFonts w:asciiTheme="minorHAnsi" w:hAnsiTheme="minorHAnsi"/>
                <w:sz w:val="24"/>
                <w:szCs w:val="24"/>
              </w:rPr>
              <w:t xml:space="preserve">, ali </w:t>
            </w:r>
            <w:r w:rsidR="00251950">
              <w:rPr>
                <w:rFonts w:asciiTheme="minorHAnsi" w:hAnsiTheme="minorHAnsi"/>
                <w:sz w:val="24"/>
                <w:szCs w:val="24"/>
              </w:rPr>
              <w:t xml:space="preserve">se DPS po jednom stambenom štediši u RH obračunava </w:t>
            </w:r>
            <w:r w:rsidRPr="00916855">
              <w:rPr>
                <w:rFonts w:asciiTheme="minorHAnsi" w:hAnsiTheme="minorHAnsi"/>
                <w:sz w:val="24"/>
                <w:szCs w:val="24"/>
              </w:rPr>
              <w:t xml:space="preserve">najviše do iznosa od 5.000,00 kn </w:t>
            </w:r>
            <w:r w:rsidR="00E763CE">
              <w:rPr>
                <w:rFonts w:asciiTheme="minorHAnsi" w:hAnsiTheme="minorHAnsi"/>
                <w:sz w:val="24"/>
                <w:szCs w:val="24"/>
              </w:rPr>
              <w:t>štednje u tekućoj godini</w:t>
            </w:r>
            <w:r w:rsidR="00251950">
              <w:rPr>
                <w:rFonts w:asciiTheme="minorHAnsi" w:hAnsiTheme="minorHAnsi"/>
                <w:sz w:val="24"/>
                <w:szCs w:val="24"/>
              </w:rPr>
              <w:t xml:space="preserve"> (neovisno o broju štedionica kod kojih ima stambenu štednju)</w:t>
            </w:r>
            <w:r w:rsidRPr="00916855">
              <w:rPr>
                <w:rFonts w:asciiTheme="minorHAnsi" w:hAnsiTheme="minorHAnsi"/>
                <w:sz w:val="24"/>
                <w:szCs w:val="24"/>
              </w:rPr>
              <w:t>.</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Štediša može mjesečno uplaćivati 2.500,00 kuna stambene štednje, što je uz tečaj 7,6 kuna za 1 euro jednako 328,95 eura. Ugovoreni iznos (vlastita sredstva i stambeni kredit) u tom slučaju iznosi  51.400,00 eura te će iznos biti dostatan za kupnju stana čija je cijena 375.000 kuna (49.342,11 eura). Pri tome će 40% sredstava ugovornog iznosa biti osigurano iz vlastitih sredstava štediše</w:t>
            </w:r>
            <w:r w:rsidR="00F0428C">
              <w:rPr>
                <w:rFonts w:asciiTheme="minorHAnsi" w:hAnsiTheme="minorHAnsi"/>
                <w:sz w:val="24"/>
                <w:szCs w:val="24"/>
              </w:rPr>
              <w:t xml:space="preserve"> (višegodišnju štednju)</w:t>
            </w:r>
            <w:r w:rsidRPr="00916855">
              <w:rPr>
                <w:rFonts w:asciiTheme="minorHAnsi" w:hAnsiTheme="minorHAnsi"/>
                <w:sz w:val="24"/>
                <w:szCs w:val="24"/>
              </w:rPr>
              <w:t>, a 60% iz stambenog kredita. Vlastita sredstva prikupljena kroz štedne uloge, DPS i pripis kamata iznose 20.588,21 eura (što je jednako 156.470,40 kuna i tek nešto malo manje od iznosa koji se mogao ostvariti u banci).</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Stambeni kredit iznosi 30.811,79 eura (odnosno ako </w:t>
            </w:r>
            <w:r w:rsidR="005D5D23">
              <w:rPr>
                <w:rFonts w:asciiTheme="minorHAnsi" w:hAnsiTheme="minorHAnsi"/>
                <w:sz w:val="24"/>
                <w:szCs w:val="24"/>
              </w:rPr>
              <w:t xml:space="preserve">se </w:t>
            </w:r>
            <w:r w:rsidRPr="00916855">
              <w:rPr>
                <w:rFonts w:asciiTheme="minorHAnsi" w:hAnsiTheme="minorHAnsi"/>
                <w:sz w:val="24"/>
                <w:szCs w:val="24"/>
              </w:rPr>
              <w:t>računa kunsk</w:t>
            </w:r>
            <w:r w:rsidR="005D5D23">
              <w:rPr>
                <w:rFonts w:asciiTheme="minorHAnsi" w:hAnsiTheme="minorHAnsi"/>
                <w:sz w:val="24"/>
                <w:szCs w:val="24"/>
              </w:rPr>
              <w:t>a</w:t>
            </w:r>
            <w:r w:rsidRPr="00916855">
              <w:rPr>
                <w:rFonts w:asciiTheme="minorHAnsi" w:hAnsiTheme="minorHAnsi"/>
                <w:sz w:val="24"/>
                <w:szCs w:val="24"/>
              </w:rPr>
              <w:t xml:space="preserve"> protuvrijednost 234.169,60 kune). Naknada za odobrenje kredita iznosi 1% iznosa stambenog kredita, </w:t>
            </w:r>
            <w:r w:rsidRPr="00916855">
              <w:rPr>
                <w:rFonts w:asciiTheme="minorHAnsi" w:hAnsiTheme="minorHAnsi"/>
                <w:sz w:val="24"/>
                <w:szCs w:val="24"/>
              </w:rPr>
              <w:lastRenderedPageBreak/>
              <w:t xml:space="preserve">odnosno u </w:t>
            </w:r>
            <w:r w:rsidR="005D5D23">
              <w:rPr>
                <w:rFonts w:asciiTheme="minorHAnsi" w:hAnsiTheme="minorHAnsi"/>
                <w:sz w:val="24"/>
                <w:szCs w:val="24"/>
              </w:rPr>
              <w:t xml:space="preserve">ovom </w:t>
            </w:r>
            <w:r w:rsidRPr="00916855">
              <w:rPr>
                <w:rFonts w:asciiTheme="minorHAnsi" w:hAnsiTheme="minorHAnsi"/>
                <w:sz w:val="24"/>
                <w:szCs w:val="24"/>
              </w:rPr>
              <w:t xml:space="preserve">slučaju 308,12 eura. Pri tome </w:t>
            </w:r>
            <w:r w:rsidR="005D5D23">
              <w:rPr>
                <w:rFonts w:asciiTheme="minorHAnsi" w:hAnsiTheme="minorHAnsi"/>
                <w:sz w:val="24"/>
                <w:szCs w:val="24"/>
              </w:rPr>
              <w:t xml:space="preserve">osoba </w:t>
            </w:r>
            <w:r w:rsidRPr="00916855">
              <w:rPr>
                <w:rFonts w:asciiTheme="minorHAnsi" w:hAnsiTheme="minorHAnsi"/>
                <w:sz w:val="24"/>
                <w:szCs w:val="24"/>
              </w:rPr>
              <w:t>ima mogućnost koristit</w:t>
            </w:r>
            <w:r w:rsidR="00F0428C">
              <w:rPr>
                <w:rFonts w:asciiTheme="minorHAnsi" w:hAnsiTheme="minorHAnsi"/>
                <w:sz w:val="24"/>
                <w:szCs w:val="24"/>
              </w:rPr>
              <w:t>i</w:t>
            </w:r>
            <w:r w:rsidRPr="00916855">
              <w:rPr>
                <w:rFonts w:asciiTheme="minorHAnsi" w:hAnsiTheme="minorHAnsi"/>
                <w:sz w:val="24"/>
                <w:szCs w:val="24"/>
              </w:rPr>
              <w:t xml:space="preserve"> i manji iznos stambenog kredita ako ima druge dodatne izvore sredstava, npr. </w:t>
            </w:r>
            <w:r w:rsidR="00251950">
              <w:rPr>
                <w:rFonts w:asciiTheme="minorHAnsi" w:hAnsiTheme="minorHAnsi"/>
                <w:sz w:val="24"/>
                <w:szCs w:val="24"/>
              </w:rPr>
              <w:t xml:space="preserve">dodatnih </w:t>
            </w:r>
            <w:r w:rsidRPr="00916855">
              <w:rPr>
                <w:rFonts w:asciiTheme="minorHAnsi" w:hAnsiTheme="minorHAnsi"/>
                <w:sz w:val="24"/>
                <w:szCs w:val="24"/>
              </w:rPr>
              <w:t xml:space="preserve">51.413,17 kuna </w:t>
            </w:r>
            <w:r w:rsidR="00251950">
              <w:rPr>
                <w:rFonts w:asciiTheme="minorHAnsi" w:hAnsiTheme="minorHAnsi"/>
                <w:sz w:val="24"/>
                <w:szCs w:val="24"/>
              </w:rPr>
              <w:t xml:space="preserve">kumulirane </w:t>
            </w:r>
            <w:r w:rsidRPr="00916855">
              <w:rPr>
                <w:rFonts w:asciiTheme="minorHAnsi" w:hAnsiTheme="minorHAnsi"/>
                <w:sz w:val="24"/>
                <w:szCs w:val="24"/>
              </w:rPr>
              <w:t>štednje (protuvrijednosti 6.764,89 eura) koju je formirao kroz oročenja u banci. U tom slučaju za kupnju stana vrijednosti 49.342,11 eura, potreban mu je kredit u iznosu 21.989,01 euro (što je jednako 167.116,48 kuna pa će u tom slučaju mjesečni anuitet otplate kredita biti manji).</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Kada se uzme </w:t>
            </w:r>
            <w:r w:rsidR="005D5D23">
              <w:rPr>
                <w:rFonts w:asciiTheme="minorHAnsi" w:hAnsiTheme="minorHAnsi"/>
                <w:sz w:val="24"/>
                <w:szCs w:val="24"/>
              </w:rPr>
              <w:t xml:space="preserve">u obzir </w:t>
            </w:r>
            <w:r w:rsidRPr="00916855">
              <w:rPr>
                <w:rFonts w:asciiTheme="minorHAnsi" w:hAnsiTheme="minorHAnsi"/>
                <w:sz w:val="24"/>
                <w:szCs w:val="24"/>
              </w:rPr>
              <w:t xml:space="preserve">visina mjesečnih uplata i ugovornog iznosa te uzme u obzir moguća visina DPS-a i visina naknade za sklapanje  ugovora (1% ugovornog iznosa), </w:t>
            </w:r>
            <w:r w:rsidRPr="00A84B29">
              <w:rPr>
                <w:rFonts w:asciiTheme="minorHAnsi" w:hAnsiTheme="minorHAnsi"/>
                <w:color w:val="C00000"/>
                <w:sz w:val="24"/>
                <w:szCs w:val="24"/>
              </w:rPr>
              <w:t xml:space="preserve">efektivna kamatna stopa na stambenu štednju je 1,73% </w:t>
            </w:r>
            <w:r w:rsidRPr="00916855">
              <w:rPr>
                <w:rFonts w:asciiTheme="minorHAnsi" w:hAnsiTheme="minorHAnsi"/>
                <w:sz w:val="24"/>
                <w:szCs w:val="24"/>
              </w:rPr>
              <w:t>(niža je nego kod banke).</w:t>
            </w:r>
            <w:r w:rsidR="00D51B67">
              <w:rPr>
                <w:rFonts w:asciiTheme="minorHAnsi" w:hAnsiTheme="minorHAnsi"/>
                <w:sz w:val="24"/>
                <w:szCs w:val="24"/>
              </w:rPr>
              <w:t xml:space="preserve"> </w:t>
            </w:r>
            <w:r w:rsidRPr="00916855">
              <w:rPr>
                <w:rFonts w:asciiTheme="minorHAnsi" w:hAnsiTheme="minorHAnsi"/>
                <w:sz w:val="24"/>
                <w:szCs w:val="24"/>
              </w:rPr>
              <w:t xml:space="preserve">Kamatna stopa na stambeni kredit preko stambene štedionice je 5,22% te je niža nego kod banke, dok efektivna kamatna stopa na kredit iznosi 5,59% (također je niža nego kod banke). U slučaju otplate kredita kroz 10 godina mjesečni anuitet otplate iznosit će 330,12 eura (uz tečaj 7,6 kuna za 1 euro to iznosi 2.508,91 kuna), a ukupni izdaci za kamate 8.803,81 eura. U slučaju otplate kredita kroz 15 godina mjesečni anuitet otplate iznosit će 308,12 eura (2.341,71 kuna), a izdaci za kamate 13.684,21 eura. </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 xml:space="preserve">S obzirom da je kamatna stopa fiksna nema kamatnog rizika vezanog uz rast prosječnih tržišnih kamatnjaka, ali zbog valutne klauzule </w:t>
            </w:r>
            <w:r w:rsidR="00F0428C">
              <w:rPr>
                <w:rFonts w:asciiTheme="minorHAnsi" w:hAnsiTheme="minorHAnsi"/>
                <w:sz w:val="24"/>
                <w:szCs w:val="24"/>
              </w:rPr>
              <w:t xml:space="preserve">za dužnika </w:t>
            </w:r>
            <w:r w:rsidRPr="00916855">
              <w:rPr>
                <w:rFonts w:asciiTheme="minorHAnsi" w:hAnsiTheme="minorHAnsi"/>
                <w:sz w:val="24"/>
                <w:szCs w:val="24"/>
              </w:rPr>
              <w:t>postoji valutni rizik u slučaju slabljenja kune prema euru. Uz slabljenje kune za euro za 10%</w:t>
            </w:r>
            <w:r w:rsidR="00F0428C">
              <w:rPr>
                <w:rFonts w:asciiTheme="minorHAnsi" w:hAnsiTheme="minorHAnsi"/>
                <w:sz w:val="24"/>
                <w:szCs w:val="24"/>
              </w:rPr>
              <w:t>,</w:t>
            </w:r>
            <w:r w:rsidRPr="00916855">
              <w:rPr>
                <w:rFonts w:asciiTheme="minorHAnsi" w:hAnsiTheme="minorHAnsi"/>
                <w:sz w:val="24"/>
                <w:szCs w:val="24"/>
              </w:rPr>
              <w:t xml:space="preserve"> mjesečni anuitet otplate u kunama povećat će se za 10%. U</w:t>
            </w:r>
            <w:r w:rsidR="00251950">
              <w:rPr>
                <w:rFonts w:asciiTheme="minorHAnsi" w:hAnsiTheme="minorHAnsi"/>
                <w:sz w:val="24"/>
                <w:szCs w:val="24"/>
              </w:rPr>
              <w:t xml:space="preserve"> tom slučaju u</w:t>
            </w:r>
            <w:r w:rsidRPr="00916855">
              <w:rPr>
                <w:rFonts w:asciiTheme="minorHAnsi" w:hAnsiTheme="minorHAnsi"/>
                <w:sz w:val="24"/>
                <w:szCs w:val="24"/>
              </w:rPr>
              <w:t>z anuitet 330,12 eura (desetogodišnja otplata) došlo bi do premašenja mjesečne mogućnosti otplate kredita našeg pojedinca (mogućnost otplate kredita jednaka je njegovoj mjesečnoj mogućnosti štednje).</w:t>
            </w:r>
          </w:p>
          <w:p w:rsidR="003C04B8" w:rsidRPr="00916855" w:rsidRDefault="003C04B8" w:rsidP="00A84B29">
            <w:pPr>
              <w:spacing w:before="120"/>
              <w:jc w:val="both"/>
              <w:rPr>
                <w:rFonts w:asciiTheme="minorHAnsi" w:hAnsiTheme="minorHAnsi"/>
                <w:sz w:val="24"/>
                <w:szCs w:val="24"/>
              </w:rPr>
            </w:pPr>
            <w:r w:rsidRPr="00916855">
              <w:rPr>
                <w:rFonts w:asciiTheme="minorHAnsi" w:hAnsiTheme="minorHAnsi"/>
                <w:sz w:val="24"/>
                <w:szCs w:val="24"/>
              </w:rPr>
              <w:t>Tek mali dio godišnje uplate stambene štednje donosi državna poticajna sredstva, samo do 5.000 kuna godišnje, a  uz opisanu dinamiku uplata klijent bi godišnje uplaćivao u stambenu štednju čak oko 30.000,00 kn.</w:t>
            </w:r>
          </w:p>
          <w:p w:rsidR="003C04B8" w:rsidRPr="00AC4CE0" w:rsidRDefault="003C04B8" w:rsidP="00A84B29">
            <w:pPr>
              <w:spacing w:before="120"/>
              <w:jc w:val="both"/>
              <w:rPr>
                <w:sz w:val="24"/>
                <w:szCs w:val="24"/>
                <w:u w:val="single"/>
              </w:rPr>
            </w:pPr>
            <w:r>
              <w:rPr>
                <w:rFonts w:asciiTheme="minorHAnsi" w:eastAsiaTheme="minorHAnsi" w:hAnsiTheme="minorHAnsi" w:cstheme="minorBidi"/>
                <w:sz w:val="22"/>
                <w:szCs w:val="22"/>
                <w:lang w:eastAsia="en-US"/>
              </w:rPr>
              <w:object w:dxaOrig="9885" w:dyaOrig="6525">
                <v:shape id="_x0000_i1035" type="#_x0000_t75" style="width:453pt;height:298.5pt" o:ole="">
                  <v:imagedata r:id="rId66" o:title=""/>
                </v:shape>
                <o:OLEObject Type="Embed" ProgID="PBrush" ShapeID="_x0000_i1035" DrawAspect="Content" ObjectID="_1505681363" r:id="rId67"/>
              </w:object>
            </w:r>
            <w:r w:rsidR="00F12963" w:rsidRPr="00060663">
              <w:rPr>
                <w:rFonts w:asciiTheme="minorHAnsi" w:hAnsiTheme="minorHAnsi"/>
              </w:rPr>
              <w:t xml:space="preserve">* </w:t>
            </w:r>
            <w:r w:rsidR="00F12963" w:rsidRPr="00681F41">
              <w:rPr>
                <w:rFonts w:asciiTheme="minorHAnsi" w:hAnsiTheme="minorHAnsi" w:cs="Arial"/>
                <w:color w:val="000000"/>
                <w:shd w:val="clear" w:color="auto" w:fill="FFFFFF"/>
              </w:rPr>
              <w:t>Izračun je informativan i ne može se koristiti u druge svrhe</w:t>
            </w:r>
          </w:p>
          <w:p w:rsidR="003C04B8" w:rsidRDefault="003C04B8" w:rsidP="00A84B29">
            <w:pPr>
              <w:spacing w:before="120"/>
              <w:jc w:val="both"/>
              <w:rPr>
                <w:sz w:val="24"/>
                <w:szCs w:val="24"/>
                <w:u w:val="single"/>
              </w:rPr>
            </w:pPr>
            <w:r>
              <w:rPr>
                <w:rFonts w:asciiTheme="minorHAnsi" w:eastAsiaTheme="minorHAnsi" w:hAnsiTheme="minorHAnsi" w:cstheme="minorBidi"/>
                <w:sz w:val="22"/>
                <w:szCs w:val="22"/>
                <w:lang w:eastAsia="en-US"/>
              </w:rPr>
              <w:object w:dxaOrig="9990" w:dyaOrig="6465">
                <v:shape id="_x0000_i1036" type="#_x0000_t75" style="width:453.75pt;height:292.5pt" o:ole="">
                  <v:imagedata r:id="rId68" o:title=""/>
                </v:shape>
                <o:OLEObject Type="Embed" ProgID="PBrush" ShapeID="_x0000_i1036" DrawAspect="Content" ObjectID="_1505681364" r:id="rId69"/>
              </w:object>
            </w:r>
          </w:p>
          <w:p w:rsidR="003C04B8" w:rsidRDefault="00060663" w:rsidP="00A84B29">
            <w:pPr>
              <w:spacing w:before="120"/>
              <w:jc w:val="both"/>
              <w:rPr>
                <w:rFonts w:asciiTheme="minorHAnsi" w:hAnsiTheme="minorHAnsi" w:cs="Arial"/>
                <w:color w:val="000000"/>
                <w:shd w:val="clear" w:color="auto" w:fill="FFFFFF"/>
              </w:rPr>
            </w:pPr>
            <w:r w:rsidRPr="00060663">
              <w:rPr>
                <w:rFonts w:asciiTheme="minorHAnsi" w:hAnsiTheme="minorHAnsi"/>
              </w:rPr>
              <w:t xml:space="preserve">* </w:t>
            </w:r>
            <w:r w:rsidR="00681F41" w:rsidRPr="00681F41">
              <w:rPr>
                <w:rFonts w:asciiTheme="minorHAnsi" w:hAnsiTheme="minorHAnsi" w:cs="Arial"/>
                <w:color w:val="000000"/>
                <w:shd w:val="clear" w:color="auto" w:fill="FFFFFF"/>
              </w:rPr>
              <w:t>Izračun je informativan i ne može se koristiti u druge svrhe</w:t>
            </w:r>
          </w:p>
          <w:p w:rsidR="00F12963" w:rsidRPr="00A84B29" w:rsidRDefault="00F12963" w:rsidP="00F12963">
            <w:pPr>
              <w:spacing w:before="120"/>
              <w:jc w:val="both"/>
              <w:rPr>
                <w:rFonts w:asciiTheme="minorHAnsi" w:hAnsiTheme="minorHAnsi"/>
                <w:i/>
                <w:sz w:val="24"/>
                <w:szCs w:val="24"/>
              </w:rPr>
            </w:pPr>
            <w:r w:rsidRPr="00A84B29">
              <w:rPr>
                <w:rFonts w:asciiTheme="minorHAnsi" w:hAnsiTheme="minorHAnsi"/>
                <w:i/>
                <w:color w:val="C00000"/>
                <w:sz w:val="24"/>
                <w:szCs w:val="24"/>
              </w:rPr>
              <w:t xml:space="preserve">Napomena: </w:t>
            </w:r>
            <w:r w:rsidRPr="00A84B29">
              <w:rPr>
                <w:rFonts w:asciiTheme="minorHAnsi" w:hAnsiTheme="minorHAnsi"/>
                <w:i/>
                <w:sz w:val="24"/>
                <w:szCs w:val="24"/>
              </w:rPr>
              <w:t>Treba voditi računa o razlikama u zaokruživanju koje se javljaju pri obračunu kamata te posebno preračunavanju kunskih iznosa u eure, odnosno eurskih iznosa u kune.</w:t>
            </w:r>
          </w:p>
          <w:p w:rsidR="00A0547C" w:rsidRPr="005D5D23" w:rsidRDefault="00A0547C" w:rsidP="00A84B29">
            <w:pPr>
              <w:spacing w:before="120"/>
              <w:jc w:val="both"/>
              <w:rPr>
                <w:sz w:val="24"/>
                <w:szCs w:val="24"/>
              </w:rPr>
            </w:pPr>
          </w:p>
        </w:tc>
      </w:tr>
      <w:tr w:rsidR="003C04B8" w:rsidRPr="00AC4CE0" w:rsidTr="00E31870">
        <w:tc>
          <w:tcPr>
            <w:tcW w:w="9180" w:type="dxa"/>
          </w:tcPr>
          <w:p w:rsidR="003C04B8" w:rsidRPr="00A84B29" w:rsidRDefault="003C04B8" w:rsidP="00A84B29">
            <w:pPr>
              <w:spacing w:before="120"/>
              <w:jc w:val="both"/>
              <w:rPr>
                <w:rFonts w:asciiTheme="minorHAnsi" w:hAnsiTheme="minorHAnsi"/>
                <w:sz w:val="24"/>
                <w:szCs w:val="24"/>
              </w:rPr>
            </w:pPr>
            <w:r w:rsidRPr="005D5D23">
              <w:rPr>
                <w:rFonts w:asciiTheme="minorHAnsi" w:hAnsiTheme="minorHAnsi"/>
                <w:sz w:val="24"/>
                <w:szCs w:val="24"/>
              </w:rPr>
              <w:lastRenderedPageBreak/>
              <w:t>RAZDOBLJE ULAGANJA/ ŠTEDNJE 5 GODINA</w:t>
            </w:r>
          </w:p>
          <w:p w:rsidR="003C04B8" w:rsidRPr="00A84B29" w:rsidRDefault="003C04B8" w:rsidP="00A84B29">
            <w:pPr>
              <w:spacing w:before="120"/>
              <w:jc w:val="both"/>
              <w:rPr>
                <w:rFonts w:asciiTheme="minorHAnsi" w:hAnsiTheme="minorHAnsi"/>
                <w:sz w:val="24"/>
                <w:szCs w:val="24"/>
              </w:rPr>
            </w:pPr>
            <w:r w:rsidRPr="00A84B29">
              <w:rPr>
                <w:rFonts w:asciiTheme="minorHAnsi" w:hAnsiTheme="minorHAnsi"/>
                <w:color w:val="C00000"/>
                <w:sz w:val="24"/>
                <w:szCs w:val="24"/>
              </w:rPr>
              <w:t>Kombinacija stambene štednje i štednje u banci</w:t>
            </w:r>
          </w:p>
          <w:p w:rsidR="005D5D23" w:rsidRDefault="003C04B8" w:rsidP="005D5D23">
            <w:pPr>
              <w:spacing w:before="120" w:after="200"/>
              <w:jc w:val="both"/>
              <w:rPr>
                <w:rFonts w:asciiTheme="minorHAnsi" w:hAnsiTheme="minorHAnsi"/>
                <w:sz w:val="24"/>
                <w:szCs w:val="24"/>
              </w:rPr>
            </w:pPr>
            <w:r w:rsidRPr="00A84B29">
              <w:rPr>
                <w:rFonts w:asciiTheme="minorHAnsi" w:hAnsiTheme="minorHAnsi"/>
                <w:sz w:val="24"/>
                <w:szCs w:val="24"/>
              </w:rPr>
              <w:t xml:space="preserve">Maksimalan iznos DPS-a na stambenu štednju </w:t>
            </w:r>
            <w:r w:rsidR="005D5D23">
              <w:rPr>
                <w:rFonts w:asciiTheme="minorHAnsi" w:hAnsiTheme="minorHAnsi"/>
                <w:sz w:val="24"/>
                <w:szCs w:val="24"/>
              </w:rPr>
              <w:t xml:space="preserve">osoba </w:t>
            </w:r>
            <w:r w:rsidRPr="00A84B29">
              <w:rPr>
                <w:rFonts w:asciiTheme="minorHAnsi" w:hAnsiTheme="minorHAnsi"/>
                <w:sz w:val="24"/>
                <w:szCs w:val="24"/>
              </w:rPr>
              <w:t>bi ostvariva</w:t>
            </w:r>
            <w:r w:rsidR="005D5D23">
              <w:rPr>
                <w:rFonts w:asciiTheme="minorHAnsi" w:hAnsiTheme="minorHAnsi"/>
                <w:sz w:val="24"/>
                <w:szCs w:val="24"/>
              </w:rPr>
              <w:t>la</w:t>
            </w:r>
            <w:r w:rsidRPr="00A84B29">
              <w:rPr>
                <w:rFonts w:asciiTheme="minorHAnsi" w:hAnsiTheme="minorHAnsi"/>
                <w:sz w:val="24"/>
                <w:szCs w:val="24"/>
              </w:rPr>
              <w:t xml:space="preserve"> uz mjesečne uplate 54,82 eura (416,67 kuna). U tom slučaju uz mjesečne uplate 54,82 eura, ugovorni iznos bi iznosio 8.800,00 eura, a naknada za sklapanje ugovora 88</w:t>
            </w:r>
            <w:r w:rsidR="00CE5AE3">
              <w:rPr>
                <w:rFonts w:asciiTheme="minorHAnsi" w:hAnsiTheme="minorHAnsi"/>
                <w:sz w:val="24"/>
                <w:szCs w:val="24"/>
              </w:rPr>
              <w:t>,00</w:t>
            </w:r>
            <w:r w:rsidRPr="00A84B29">
              <w:rPr>
                <w:rFonts w:asciiTheme="minorHAnsi" w:hAnsiTheme="minorHAnsi"/>
                <w:sz w:val="24"/>
                <w:szCs w:val="24"/>
              </w:rPr>
              <w:t xml:space="preserve"> eura, no efektivna kamatna stopa za petogodišnju stambenu štednju (koja uvjetuje DPS) bi iznosila 2,88% (više nego kod banke).</w:t>
            </w:r>
          </w:p>
          <w:p w:rsidR="003C04B8" w:rsidRDefault="003C04B8" w:rsidP="005D5D23">
            <w:pPr>
              <w:spacing w:before="120" w:after="200"/>
              <w:jc w:val="both"/>
              <w:rPr>
                <w:rFonts w:asciiTheme="minorHAnsi" w:hAnsiTheme="minorHAnsi"/>
                <w:sz w:val="24"/>
                <w:szCs w:val="24"/>
              </w:rPr>
            </w:pPr>
            <w:r w:rsidRPr="00A84B29">
              <w:rPr>
                <w:rFonts w:asciiTheme="minorHAnsi" w:hAnsiTheme="minorHAnsi"/>
                <w:sz w:val="24"/>
                <w:szCs w:val="24"/>
              </w:rPr>
              <w:t xml:space="preserve">Kroz pet godina stambene štednje pojedinac bi kumulirao 3.521,72 eura (26.764,92 kuna). (Da je alternativno isti iznos 416,67 kuna štedio u banci uz kamatnu stopu 2,25%  nakon pet godina bi imao 26.468,44 kuna štednje - razlika </w:t>
            </w:r>
            <w:r w:rsidR="00CE5AE3">
              <w:rPr>
                <w:rFonts w:asciiTheme="minorHAnsi" w:hAnsiTheme="minorHAnsi"/>
                <w:sz w:val="24"/>
                <w:szCs w:val="24"/>
              </w:rPr>
              <w:t xml:space="preserve">u korist stambene štednje </w:t>
            </w:r>
            <w:r w:rsidRPr="00A84B29">
              <w:rPr>
                <w:rFonts w:asciiTheme="minorHAnsi" w:hAnsiTheme="minorHAnsi"/>
                <w:sz w:val="24"/>
                <w:szCs w:val="24"/>
              </w:rPr>
              <w:t>je blizu 300 kuna), (</w:t>
            </w:r>
            <w:r w:rsidRPr="00F0428C">
              <w:rPr>
                <w:rFonts w:asciiTheme="minorHAnsi" w:hAnsiTheme="minorHAnsi"/>
                <w:color w:val="C00000"/>
                <w:sz w:val="24"/>
                <w:szCs w:val="24"/>
              </w:rPr>
              <w:t xml:space="preserve">Situacija bi za </w:t>
            </w:r>
            <w:r w:rsidR="005D5D23" w:rsidRPr="00F0428C">
              <w:rPr>
                <w:rFonts w:asciiTheme="minorHAnsi" w:hAnsiTheme="minorHAnsi"/>
                <w:color w:val="C00000"/>
                <w:sz w:val="24"/>
                <w:szCs w:val="24"/>
              </w:rPr>
              <w:t>pojedinca</w:t>
            </w:r>
            <w:r w:rsidRPr="00F0428C">
              <w:rPr>
                <w:rFonts w:asciiTheme="minorHAnsi" w:hAnsiTheme="minorHAnsi"/>
                <w:color w:val="C00000"/>
                <w:sz w:val="24"/>
                <w:szCs w:val="24"/>
              </w:rPr>
              <w:t xml:space="preserve"> bila povoljnija da je mogao koristiti pogodnosti obiteljske stambene štednje jer bi DPS bio ostvaren kod svakog člana obitelji</w:t>
            </w:r>
            <w:r w:rsidRPr="00A84B29">
              <w:rPr>
                <w:rFonts w:asciiTheme="minorHAnsi" w:hAnsiTheme="minorHAnsi"/>
                <w:sz w:val="24"/>
                <w:szCs w:val="24"/>
              </w:rPr>
              <w:t>.)</w:t>
            </w:r>
          </w:p>
          <w:p w:rsidR="005D5D23" w:rsidRPr="00A84B29" w:rsidRDefault="005D5D23" w:rsidP="005D5D23">
            <w:pPr>
              <w:spacing w:before="120"/>
              <w:jc w:val="both"/>
              <w:rPr>
                <w:rFonts w:asciiTheme="minorHAnsi" w:hAnsiTheme="minorHAnsi"/>
                <w:sz w:val="24"/>
                <w:szCs w:val="24"/>
              </w:rPr>
            </w:pPr>
            <w:r w:rsidRPr="00A84B29">
              <w:rPr>
                <w:rFonts w:asciiTheme="minorHAnsi" w:hAnsiTheme="minorHAnsi"/>
                <w:sz w:val="24"/>
                <w:szCs w:val="24"/>
              </w:rPr>
              <w:t>Nakon proteka pet godina stambene štednje ne naplaćuje se izlazna naknada</w:t>
            </w:r>
            <w:r w:rsidR="00F0428C">
              <w:rPr>
                <w:rFonts w:asciiTheme="minorHAnsi" w:hAnsiTheme="minorHAnsi"/>
                <w:sz w:val="24"/>
                <w:szCs w:val="24"/>
              </w:rPr>
              <w:t>,</w:t>
            </w:r>
            <w:r w:rsidRPr="00A84B29">
              <w:rPr>
                <w:rFonts w:asciiTheme="minorHAnsi" w:hAnsiTheme="minorHAnsi"/>
                <w:sz w:val="24"/>
                <w:szCs w:val="24"/>
              </w:rPr>
              <w:t xml:space="preserve"> a </w:t>
            </w:r>
            <w:r>
              <w:rPr>
                <w:rFonts w:asciiTheme="minorHAnsi" w:hAnsiTheme="minorHAnsi"/>
                <w:sz w:val="24"/>
                <w:szCs w:val="24"/>
              </w:rPr>
              <w:t>štediša</w:t>
            </w:r>
            <w:r w:rsidRPr="00A84B29">
              <w:rPr>
                <w:rFonts w:asciiTheme="minorHAnsi" w:hAnsiTheme="minorHAnsi"/>
                <w:sz w:val="24"/>
                <w:szCs w:val="24"/>
              </w:rPr>
              <w:t xml:space="preserve"> nema obvezu korištenja stambenog kredita</w:t>
            </w:r>
            <w:r w:rsidR="00F0428C">
              <w:rPr>
                <w:rFonts w:asciiTheme="minorHAnsi" w:hAnsiTheme="minorHAnsi"/>
                <w:sz w:val="24"/>
                <w:szCs w:val="24"/>
              </w:rPr>
              <w:t>. N</w:t>
            </w:r>
            <w:r w:rsidRPr="00A84B29">
              <w:rPr>
                <w:rFonts w:asciiTheme="minorHAnsi" w:hAnsiTheme="minorHAnsi"/>
                <w:sz w:val="24"/>
                <w:szCs w:val="24"/>
              </w:rPr>
              <w:t>o</w:t>
            </w:r>
            <w:r w:rsidR="00F0428C">
              <w:rPr>
                <w:rFonts w:asciiTheme="minorHAnsi" w:hAnsiTheme="minorHAnsi"/>
                <w:sz w:val="24"/>
                <w:szCs w:val="24"/>
              </w:rPr>
              <w:t>,</w:t>
            </w:r>
            <w:r w:rsidRPr="00A84B29">
              <w:rPr>
                <w:rFonts w:asciiTheme="minorHAnsi" w:hAnsiTheme="minorHAnsi"/>
                <w:sz w:val="24"/>
                <w:szCs w:val="24"/>
              </w:rPr>
              <w:t xml:space="preserve"> ako ga koristi npr. na adaptaciju stana koji kupuje</w:t>
            </w:r>
            <w:r w:rsidR="00F0428C">
              <w:rPr>
                <w:rFonts w:asciiTheme="minorHAnsi" w:hAnsiTheme="minorHAnsi"/>
                <w:sz w:val="24"/>
                <w:szCs w:val="24"/>
              </w:rPr>
              <w:t>,</w:t>
            </w:r>
            <w:r w:rsidRPr="00A84B29">
              <w:rPr>
                <w:rFonts w:asciiTheme="minorHAnsi" w:hAnsiTheme="minorHAnsi"/>
                <w:sz w:val="24"/>
                <w:szCs w:val="24"/>
              </w:rPr>
              <w:t xml:space="preserve"> može ostvariti maksimalan iznos 5.278,28  eura stambenog kredita, što bi uz 10 godina otplate značilo mjesečni anuitet 56,55 eura te uzimajući u obzir naknadu za odobravan kredita (1%) </w:t>
            </w:r>
            <w:r w:rsidR="00CE5AE3">
              <w:rPr>
                <w:rFonts w:asciiTheme="minorHAnsi" w:hAnsiTheme="minorHAnsi"/>
                <w:sz w:val="24"/>
                <w:szCs w:val="24"/>
              </w:rPr>
              <w:t xml:space="preserve">- </w:t>
            </w:r>
            <w:r w:rsidRPr="00A84B29">
              <w:rPr>
                <w:rFonts w:asciiTheme="minorHAnsi" w:hAnsiTheme="minorHAnsi"/>
                <w:sz w:val="24"/>
                <w:szCs w:val="24"/>
              </w:rPr>
              <w:t xml:space="preserve">efektivnu kamatnu stopu 5,68%. Ukoliko je navedena opcija prihvatljiva, </w:t>
            </w:r>
            <w:r>
              <w:rPr>
                <w:rFonts w:asciiTheme="minorHAnsi" w:hAnsiTheme="minorHAnsi"/>
                <w:sz w:val="24"/>
                <w:szCs w:val="24"/>
              </w:rPr>
              <w:t xml:space="preserve">pojedinac </w:t>
            </w:r>
            <w:r w:rsidRPr="00A84B29">
              <w:rPr>
                <w:rFonts w:asciiTheme="minorHAnsi" w:hAnsiTheme="minorHAnsi"/>
                <w:sz w:val="24"/>
                <w:szCs w:val="24"/>
              </w:rPr>
              <w:t xml:space="preserve">može izabrati kombinaciju stambene štednje do 5.000 kuna godišnje </w:t>
            </w:r>
            <w:r w:rsidRPr="00A84B29">
              <w:rPr>
                <w:rFonts w:asciiTheme="minorHAnsi" w:hAnsiTheme="minorHAnsi"/>
                <w:sz w:val="24"/>
                <w:szCs w:val="24"/>
              </w:rPr>
              <w:lastRenderedPageBreak/>
              <w:t>(odnosno 416,63 kuna mjesečno) u stambenoj štedionici te preostalih 2.0</w:t>
            </w:r>
            <w:r w:rsidR="00CE5AE3">
              <w:rPr>
                <w:rFonts w:asciiTheme="minorHAnsi" w:hAnsiTheme="minorHAnsi"/>
                <w:sz w:val="24"/>
                <w:szCs w:val="24"/>
              </w:rPr>
              <w:t>83.37</w:t>
            </w:r>
            <w:r w:rsidRPr="00A84B29">
              <w:rPr>
                <w:rFonts w:asciiTheme="minorHAnsi" w:hAnsiTheme="minorHAnsi"/>
                <w:sz w:val="24"/>
                <w:szCs w:val="24"/>
              </w:rPr>
              <w:t xml:space="preserve"> kuna mjesečno na oročenje u banci. </w:t>
            </w:r>
          </w:p>
          <w:p w:rsidR="00060663" w:rsidRPr="00060663" w:rsidRDefault="003C04B8" w:rsidP="00060663">
            <w:pPr>
              <w:spacing w:before="120"/>
              <w:jc w:val="both"/>
              <w:rPr>
                <w:rStyle w:val="Hiperveza"/>
                <w:rFonts w:asciiTheme="minorHAnsi" w:hAnsiTheme="minorHAnsi"/>
                <w:u w:val="none"/>
              </w:rPr>
            </w:pPr>
            <w:r w:rsidRPr="00A84B29">
              <w:rPr>
                <w:rFonts w:asciiTheme="minorHAnsi" w:eastAsiaTheme="minorHAnsi" w:hAnsiTheme="minorHAnsi" w:cstheme="minorBidi"/>
                <w:sz w:val="24"/>
                <w:szCs w:val="24"/>
                <w:lang w:eastAsia="en-US"/>
              </w:rPr>
              <w:object w:dxaOrig="9780" w:dyaOrig="6600">
                <v:shape id="_x0000_i1037" type="#_x0000_t75" style="width:453pt;height:305.25pt" o:ole="">
                  <v:imagedata r:id="rId70" o:title=""/>
                </v:shape>
                <o:OLEObject Type="Embed" ProgID="PBrush" ShapeID="_x0000_i1037" DrawAspect="Content" ObjectID="_1505681365" r:id="rId71"/>
              </w:object>
            </w:r>
            <w:r w:rsidR="00F12963">
              <w:rPr>
                <w:rFonts w:asciiTheme="minorHAnsi" w:hAnsiTheme="minorHAnsi"/>
              </w:rPr>
              <w:t>*</w:t>
            </w:r>
            <w:r w:rsidR="00681F41">
              <w:rPr>
                <w:rFonts w:asciiTheme="minorHAnsi" w:hAnsiTheme="minorHAnsi"/>
              </w:rPr>
              <w:t xml:space="preserve"> </w:t>
            </w:r>
            <w:r w:rsidR="00681F41" w:rsidRPr="00681F41">
              <w:rPr>
                <w:rFonts w:asciiTheme="minorHAnsi" w:hAnsiTheme="minorHAnsi" w:cs="Arial"/>
                <w:color w:val="000000"/>
                <w:shd w:val="clear" w:color="auto" w:fill="FFFFFF"/>
              </w:rPr>
              <w:t>Izračun je informativan i ne može se koristiti u druge svrhe</w:t>
            </w:r>
          </w:p>
          <w:p w:rsidR="003C04B8" w:rsidRPr="00A84B29" w:rsidRDefault="003C04B8" w:rsidP="00A84B29">
            <w:pPr>
              <w:spacing w:before="120"/>
              <w:jc w:val="both"/>
              <w:rPr>
                <w:rFonts w:asciiTheme="minorHAnsi" w:hAnsiTheme="minorHAnsi"/>
                <w:sz w:val="24"/>
                <w:szCs w:val="24"/>
              </w:rPr>
            </w:pPr>
            <w:r w:rsidRPr="00A84B29">
              <w:rPr>
                <w:rFonts w:asciiTheme="minorHAnsi" w:hAnsiTheme="minorHAnsi"/>
                <w:sz w:val="24"/>
                <w:szCs w:val="24"/>
              </w:rPr>
              <w:t>U tom slučaju kroz mjesečnu štednju 2.000 kuna u banci</w:t>
            </w:r>
            <w:r w:rsidR="00F0428C">
              <w:rPr>
                <w:rFonts w:asciiTheme="minorHAnsi" w:hAnsiTheme="minorHAnsi"/>
                <w:sz w:val="24"/>
                <w:szCs w:val="24"/>
              </w:rPr>
              <w:t>,</w:t>
            </w:r>
            <w:r w:rsidRPr="00A84B29">
              <w:rPr>
                <w:rFonts w:asciiTheme="minorHAnsi" w:hAnsiTheme="minorHAnsi"/>
                <w:sz w:val="24"/>
                <w:szCs w:val="24"/>
              </w:rPr>
              <w:t xml:space="preserve"> kroz pet godina bi kumulirao </w:t>
            </w:r>
            <w:r w:rsidR="00CE5AE3" w:rsidRPr="00594023">
              <w:rPr>
                <w:rFonts w:asciiTheme="minorHAnsi" w:hAnsiTheme="minorHAnsi"/>
                <w:sz w:val="24"/>
                <w:szCs w:val="24"/>
              </w:rPr>
              <w:t>132.343,46</w:t>
            </w:r>
            <w:r w:rsidR="00CE5AE3" w:rsidRPr="00A84B29">
              <w:rPr>
                <w:rFonts w:asciiTheme="minorHAnsi" w:hAnsiTheme="minorHAnsi"/>
                <w:sz w:val="24"/>
                <w:szCs w:val="24"/>
              </w:rPr>
              <w:t xml:space="preserve"> </w:t>
            </w:r>
            <w:r w:rsidRPr="00A84B29">
              <w:rPr>
                <w:rFonts w:asciiTheme="minorHAnsi" w:hAnsiTheme="minorHAnsi"/>
                <w:sz w:val="24"/>
                <w:szCs w:val="24"/>
              </w:rPr>
              <w:t xml:space="preserve">kuna štednje. Kada se tome pridoda iznos iz stambene štednje ukupno bi nakon pet godina raspolagao iznosom </w:t>
            </w:r>
            <w:r w:rsidR="00CE5AE3" w:rsidRPr="00CE5AE3">
              <w:rPr>
                <w:rFonts w:asciiTheme="minorHAnsi" w:hAnsiTheme="minorHAnsi"/>
                <w:sz w:val="24"/>
                <w:szCs w:val="24"/>
              </w:rPr>
              <w:t>159</w:t>
            </w:r>
            <w:r w:rsidR="00CE5AE3">
              <w:rPr>
                <w:rFonts w:asciiTheme="minorHAnsi" w:hAnsiTheme="minorHAnsi"/>
                <w:sz w:val="24"/>
                <w:szCs w:val="24"/>
              </w:rPr>
              <w:t>.</w:t>
            </w:r>
            <w:r w:rsidR="00CE5AE3" w:rsidRPr="00CE5AE3">
              <w:rPr>
                <w:rFonts w:asciiTheme="minorHAnsi" w:hAnsiTheme="minorHAnsi"/>
                <w:sz w:val="24"/>
                <w:szCs w:val="24"/>
              </w:rPr>
              <w:t>108,38</w:t>
            </w:r>
            <w:r w:rsidR="00594023">
              <w:rPr>
                <w:rFonts w:asciiTheme="minorHAnsi" w:hAnsiTheme="minorHAnsi"/>
                <w:sz w:val="24"/>
                <w:szCs w:val="24"/>
              </w:rPr>
              <w:t xml:space="preserve"> kuna. Iznos je nešto veći (za </w:t>
            </w:r>
            <w:r w:rsidR="00594023" w:rsidRPr="00594023">
              <w:rPr>
                <w:rFonts w:asciiTheme="minorHAnsi" w:hAnsiTheme="minorHAnsi"/>
                <w:sz w:val="24"/>
                <w:szCs w:val="24"/>
              </w:rPr>
              <w:t>299,03</w:t>
            </w:r>
            <w:r w:rsidR="00594023">
              <w:rPr>
                <w:rFonts w:asciiTheme="minorHAnsi" w:hAnsiTheme="minorHAnsi"/>
                <w:sz w:val="24"/>
                <w:szCs w:val="24"/>
              </w:rPr>
              <w:t xml:space="preserve"> kn) od </w:t>
            </w:r>
            <w:r w:rsidRPr="00A84B29">
              <w:rPr>
                <w:rFonts w:asciiTheme="minorHAnsi" w:hAnsiTheme="minorHAnsi"/>
                <w:sz w:val="24"/>
                <w:szCs w:val="24"/>
              </w:rPr>
              <w:t xml:space="preserve">onoga koji bi ostvario da je svaki mjesec </w:t>
            </w:r>
            <w:r w:rsidR="00594023">
              <w:rPr>
                <w:rFonts w:asciiTheme="minorHAnsi" w:hAnsiTheme="minorHAnsi"/>
                <w:sz w:val="24"/>
                <w:szCs w:val="24"/>
              </w:rPr>
              <w:t xml:space="preserve">ukupni </w:t>
            </w:r>
            <w:r w:rsidRPr="00A84B29">
              <w:rPr>
                <w:rFonts w:asciiTheme="minorHAnsi" w:hAnsiTheme="minorHAnsi"/>
                <w:sz w:val="24"/>
                <w:szCs w:val="24"/>
              </w:rPr>
              <w:t xml:space="preserve">iznos 2.500 kuna štedio u banci. </w:t>
            </w:r>
          </w:p>
          <w:p w:rsidR="003C04B8" w:rsidRPr="00A84B29" w:rsidRDefault="00686452" w:rsidP="00A84B29">
            <w:pPr>
              <w:spacing w:before="120"/>
              <w:jc w:val="both"/>
              <w:rPr>
                <w:rFonts w:asciiTheme="minorHAnsi" w:hAnsiTheme="minorHAnsi"/>
                <w:sz w:val="24"/>
                <w:szCs w:val="24"/>
              </w:rPr>
            </w:pPr>
            <w:r>
              <w:rPr>
                <w:rFonts w:asciiTheme="minorHAnsi" w:hAnsiTheme="minorHAnsi"/>
                <w:sz w:val="24"/>
                <w:szCs w:val="24"/>
              </w:rPr>
              <w:t>-------------------------------------------------------------------------------------------------------------------------</w:t>
            </w:r>
          </w:p>
          <w:p w:rsidR="003C04B8" w:rsidRPr="00A84B29" w:rsidRDefault="003C04B8" w:rsidP="009325D2">
            <w:pPr>
              <w:spacing w:before="100"/>
              <w:jc w:val="both"/>
              <w:rPr>
                <w:rFonts w:asciiTheme="minorHAnsi" w:hAnsiTheme="minorHAnsi"/>
                <w:sz w:val="24"/>
                <w:szCs w:val="24"/>
              </w:rPr>
            </w:pPr>
            <w:r w:rsidRPr="00A84B29">
              <w:rPr>
                <w:rFonts w:asciiTheme="minorHAnsi" w:hAnsiTheme="minorHAnsi"/>
                <w:sz w:val="24"/>
                <w:szCs w:val="24"/>
              </w:rPr>
              <w:t>RAZDOBLJE ULAGANJA/ ŠTEDNJE 5 GODINA</w:t>
            </w:r>
          </w:p>
          <w:p w:rsidR="003C04B8" w:rsidRPr="00A84B29" w:rsidRDefault="003C04B8" w:rsidP="009325D2">
            <w:pPr>
              <w:spacing w:before="100"/>
              <w:jc w:val="both"/>
              <w:rPr>
                <w:rFonts w:asciiTheme="minorHAnsi" w:hAnsiTheme="minorHAnsi"/>
                <w:color w:val="C00000"/>
                <w:sz w:val="24"/>
                <w:szCs w:val="24"/>
              </w:rPr>
            </w:pPr>
            <w:r w:rsidRPr="00A84B29">
              <w:rPr>
                <w:rFonts w:asciiTheme="minorHAnsi" w:hAnsiTheme="minorHAnsi"/>
                <w:color w:val="C00000"/>
                <w:sz w:val="24"/>
                <w:szCs w:val="24"/>
              </w:rPr>
              <w:t>Ulaganje u otvorene investicijske fondove s javnom ponudom</w:t>
            </w:r>
          </w:p>
          <w:p w:rsidR="003C04B8" w:rsidRPr="00A84B29" w:rsidRDefault="003C04B8" w:rsidP="009325D2">
            <w:pPr>
              <w:spacing w:before="100"/>
              <w:jc w:val="both"/>
              <w:rPr>
                <w:rFonts w:asciiTheme="minorHAnsi" w:hAnsiTheme="minorHAnsi"/>
                <w:sz w:val="24"/>
                <w:szCs w:val="24"/>
              </w:rPr>
            </w:pPr>
            <w:r w:rsidRPr="00A84B29">
              <w:rPr>
                <w:rFonts w:asciiTheme="minorHAnsi" w:hAnsiTheme="minorHAnsi"/>
                <w:sz w:val="24"/>
                <w:szCs w:val="24"/>
              </w:rPr>
              <w:t xml:space="preserve">Ulaganje u dionički otvoreni investicijski fond s javnom ponudom ima prosječni godišnji prinos 5% od 2003. odnosno trenutka osnivanja, ali u prošloj godini je iznosio -3,8% (bio je negativan), </w:t>
            </w:r>
            <w:r w:rsidRPr="00686452">
              <w:rPr>
                <w:rFonts w:asciiTheme="minorHAnsi" w:hAnsiTheme="minorHAnsi"/>
                <w:color w:val="C00000"/>
                <w:sz w:val="24"/>
                <w:szCs w:val="24"/>
              </w:rPr>
              <w:t xml:space="preserve">tržišni rizik je relativno veći a sredstva </w:t>
            </w:r>
            <w:r w:rsidR="00686452" w:rsidRPr="00686452">
              <w:rPr>
                <w:rFonts w:asciiTheme="minorHAnsi" w:hAnsiTheme="minorHAnsi"/>
                <w:color w:val="C00000"/>
                <w:sz w:val="24"/>
                <w:szCs w:val="24"/>
              </w:rPr>
              <w:t xml:space="preserve">štednje </w:t>
            </w:r>
            <w:r w:rsidRPr="00686452">
              <w:rPr>
                <w:rFonts w:asciiTheme="minorHAnsi" w:hAnsiTheme="minorHAnsi"/>
                <w:color w:val="C00000"/>
                <w:sz w:val="24"/>
                <w:szCs w:val="24"/>
              </w:rPr>
              <w:t>nisu osigurana</w:t>
            </w:r>
            <w:r w:rsidRPr="00A84B29">
              <w:rPr>
                <w:rFonts w:asciiTheme="minorHAnsi" w:hAnsiTheme="minorHAnsi"/>
                <w:sz w:val="24"/>
                <w:szCs w:val="24"/>
              </w:rPr>
              <w:t>.</w:t>
            </w:r>
          </w:p>
          <w:p w:rsidR="003C04B8" w:rsidRPr="00A84B29" w:rsidRDefault="003C04B8" w:rsidP="009325D2">
            <w:pPr>
              <w:spacing w:before="100"/>
              <w:jc w:val="both"/>
              <w:rPr>
                <w:rFonts w:asciiTheme="minorHAnsi" w:hAnsiTheme="minorHAnsi"/>
                <w:sz w:val="24"/>
                <w:szCs w:val="24"/>
              </w:rPr>
            </w:pPr>
            <w:r w:rsidRPr="00A84B29">
              <w:rPr>
                <w:rFonts w:asciiTheme="minorHAnsi" w:hAnsiTheme="minorHAnsi"/>
                <w:sz w:val="24"/>
                <w:szCs w:val="24"/>
              </w:rPr>
              <w:t>Ulaganje u novčani otvoreni investicijski fond s javnom ponudom ima prosječni godišnji prinos 2,9% od 2000. odnosno trenutka osnivanja, ali u prošloj godini iznosi je svega 0,75%, tržišni rizik je relativno nizak a sredstva nisu osigurana.</w:t>
            </w:r>
          </w:p>
          <w:p w:rsidR="003C04B8" w:rsidRPr="00A84B29" w:rsidRDefault="003C04B8" w:rsidP="009325D2">
            <w:pPr>
              <w:spacing w:before="100"/>
              <w:jc w:val="both"/>
              <w:rPr>
                <w:rFonts w:asciiTheme="minorHAnsi" w:hAnsiTheme="minorHAnsi"/>
                <w:sz w:val="24"/>
                <w:szCs w:val="24"/>
              </w:rPr>
            </w:pPr>
            <w:r w:rsidRPr="00A84B29">
              <w:rPr>
                <w:rFonts w:asciiTheme="minorHAnsi" w:hAnsiTheme="minorHAnsi"/>
                <w:sz w:val="24"/>
                <w:szCs w:val="24"/>
              </w:rPr>
              <w:t xml:space="preserve">Ulaganje u obveznički otvoreni investicijski fond s javnom ponudom ima prosječni godišnji prinos 4,2% od 2006. odnosno trenutka osnivanja, ali je u prethodnoj godini bio negativan (– 3,7%), tržišni rizik je relativno </w:t>
            </w:r>
            <w:r w:rsidR="00686452">
              <w:rPr>
                <w:rFonts w:asciiTheme="minorHAnsi" w:hAnsiTheme="minorHAnsi"/>
                <w:sz w:val="24"/>
                <w:szCs w:val="24"/>
              </w:rPr>
              <w:t xml:space="preserve">na srednjoj razini, </w:t>
            </w:r>
            <w:r w:rsidRPr="00A84B29">
              <w:rPr>
                <w:rFonts w:asciiTheme="minorHAnsi" w:hAnsiTheme="minorHAnsi"/>
                <w:sz w:val="24"/>
                <w:szCs w:val="24"/>
              </w:rPr>
              <w:t>a sredstva nisu osigurana.</w:t>
            </w:r>
          </w:p>
          <w:p w:rsidR="003C04B8" w:rsidRPr="00A84B29" w:rsidRDefault="003C04B8" w:rsidP="009325D2">
            <w:pPr>
              <w:spacing w:before="100"/>
              <w:jc w:val="both"/>
              <w:rPr>
                <w:rFonts w:asciiTheme="minorHAnsi" w:hAnsiTheme="minorHAnsi"/>
                <w:i/>
                <w:sz w:val="24"/>
                <w:szCs w:val="24"/>
              </w:rPr>
            </w:pPr>
            <w:r w:rsidRPr="00594023">
              <w:rPr>
                <w:rFonts w:asciiTheme="minorHAnsi" w:hAnsiTheme="minorHAnsi"/>
                <w:i/>
                <w:color w:val="C00000"/>
                <w:sz w:val="24"/>
                <w:szCs w:val="24"/>
              </w:rPr>
              <w:t xml:space="preserve">Napomena: </w:t>
            </w:r>
            <w:r w:rsidRPr="00A84B29">
              <w:rPr>
                <w:rFonts w:asciiTheme="minorHAnsi" w:hAnsiTheme="minorHAnsi"/>
                <w:i/>
                <w:sz w:val="24"/>
                <w:szCs w:val="24"/>
              </w:rPr>
              <w:t xml:space="preserve">Jednu od ovih </w:t>
            </w:r>
            <w:r w:rsidR="00925F13">
              <w:rPr>
                <w:rFonts w:asciiTheme="minorHAnsi" w:hAnsiTheme="minorHAnsi"/>
                <w:i/>
                <w:sz w:val="24"/>
                <w:szCs w:val="24"/>
              </w:rPr>
              <w:t>opcija ima smisla izabrati ako su</w:t>
            </w:r>
            <w:r w:rsidRPr="00A84B29">
              <w:rPr>
                <w:rFonts w:asciiTheme="minorHAnsi" w:hAnsiTheme="minorHAnsi"/>
                <w:i/>
                <w:sz w:val="24"/>
                <w:szCs w:val="24"/>
              </w:rPr>
              <w:t xml:space="preserve"> </w:t>
            </w:r>
            <w:r w:rsidR="00594023">
              <w:rPr>
                <w:rFonts w:asciiTheme="minorHAnsi" w:hAnsiTheme="minorHAnsi"/>
                <w:i/>
                <w:sz w:val="24"/>
                <w:szCs w:val="24"/>
              </w:rPr>
              <w:t>u danom razdoblju</w:t>
            </w:r>
            <w:r w:rsidRPr="00A84B29">
              <w:rPr>
                <w:rFonts w:asciiTheme="minorHAnsi" w:hAnsiTheme="minorHAnsi"/>
                <w:i/>
                <w:sz w:val="24"/>
                <w:szCs w:val="24"/>
              </w:rPr>
              <w:t xml:space="preserve"> </w:t>
            </w:r>
            <w:r w:rsidR="00594023">
              <w:rPr>
                <w:rFonts w:asciiTheme="minorHAnsi" w:hAnsiTheme="minorHAnsi"/>
                <w:i/>
                <w:sz w:val="24"/>
                <w:szCs w:val="24"/>
              </w:rPr>
              <w:t>„</w:t>
            </w:r>
            <w:r w:rsidRPr="00A84B29">
              <w:rPr>
                <w:rFonts w:asciiTheme="minorHAnsi" w:hAnsiTheme="minorHAnsi"/>
                <w:i/>
                <w:sz w:val="24"/>
                <w:szCs w:val="24"/>
              </w:rPr>
              <w:t>dobro</w:t>
            </w:r>
            <w:r w:rsidR="00594023">
              <w:rPr>
                <w:rFonts w:asciiTheme="minorHAnsi" w:hAnsiTheme="minorHAnsi"/>
                <w:i/>
                <w:sz w:val="24"/>
                <w:szCs w:val="24"/>
              </w:rPr>
              <w:t>“</w:t>
            </w:r>
            <w:r w:rsidRPr="00A84B29">
              <w:rPr>
                <w:rFonts w:asciiTheme="minorHAnsi" w:hAnsiTheme="minorHAnsi"/>
                <w:i/>
                <w:sz w:val="24"/>
                <w:szCs w:val="24"/>
              </w:rPr>
              <w:t xml:space="preserve"> vrijeme za ulaganje u određenu kategoriju fonda. N</w:t>
            </w:r>
            <w:r w:rsidR="00594023">
              <w:rPr>
                <w:rFonts w:asciiTheme="minorHAnsi" w:hAnsiTheme="minorHAnsi"/>
                <w:i/>
                <w:sz w:val="24"/>
                <w:szCs w:val="24"/>
              </w:rPr>
              <w:t>aime prinosi fondova</w:t>
            </w:r>
            <w:r w:rsidRPr="00A84B29">
              <w:rPr>
                <w:rFonts w:asciiTheme="minorHAnsi" w:hAnsiTheme="minorHAnsi"/>
                <w:i/>
                <w:sz w:val="24"/>
                <w:szCs w:val="24"/>
              </w:rPr>
              <w:t xml:space="preserve"> mogu biti značajno promjenjivi ovisno o fazi poslovnog ciklusa i financijskog ciklusa, odnosno smjena razdoblja ekspanzije i recesije, razdoblja rasta i pada cijena dionica, razdoblja rasta i pada </w:t>
            </w:r>
            <w:r w:rsidRPr="00A84B29">
              <w:rPr>
                <w:rFonts w:asciiTheme="minorHAnsi" w:hAnsiTheme="minorHAnsi"/>
                <w:i/>
                <w:sz w:val="24"/>
                <w:szCs w:val="24"/>
              </w:rPr>
              <w:lastRenderedPageBreak/>
              <w:t xml:space="preserve">kamatnjaka itd. Znači izbor uvijek ovisi o očekivanjima za budućnost, a </w:t>
            </w:r>
            <w:r w:rsidRPr="00925F13">
              <w:rPr>
                <w:rFonts w:asciiTheme="minorHAnsi" w:hAnsiTheme="minorHAnsi"/>
                <w:i/>
                <w:color w:val="C00000"/>
                <w:sz w:val="24"/>
                <w:szCs w:val="24"/>
              </w:rPr>
              <w:t xml:space="preserve">povijesni prinosi ne znače da </w:t>
            </w:r>
            <w:r w:rsidR="00594023" w:rsidRPr="00925F13">
              <w:rPr>
                <w:rFonts w:asciiTheme="minorHAnsi" w:hAnsiTheme="minorHAnsi"/>
                <w:i/>
                <w:color w:val="C00000"/>
                <w:sz w:val="24"/>
                <w:szCs w:val="24"/>
              </w:rPr>
              <w:t xml:space="preserve">će </w:t>
            </w:r>
            <w:r w:rsidRPr="00925F13">
              <w:rPr>
                <w:rFonts w:asciiTheme="minorHAnsi" w:hAnsiTheme="minorHAnsi"/>
                <w:i/>
                <w:color w:val="C00000"/>
                <w:sz w:val="24"/>
                <w:szCs w:val="24"/>
              </w:rPr>
              <w:t>se oni nužno ostvarivati i u budućnosti</w:t>
            </w:r>
            <w:r w:rsidRPr="00A84B29">
              <w:rPr>
                <w:rFonts w:asciiTheme="minorHAnsi" w:hAnsiTheme="minorHAnsi"/>
                <w:i/>
                <w:sz w:val="24"/>
                <w:szCs w:val="24"/>
              </w:rPr>
              <w:t xml:space="preserve">. </w:t>
            </w:r>
          </w:p>
          <w:p w:rsidR="003C04B8" w:rsidRDefault="003C04B8" w:rsidP="009325D2">
            <w:pPr>
              <w:spacing w:before="100"/>
              <w:jc w:val="both"/>
              <w:rPr>
                <w:rFonts w:asciiTheme="minorHAnsi" w:hAnsiTheme="minorHAnsi"/>
                <w:sz w:val="24"/>
                <w:szCs w:val="24"/>
              </w:rPr>
            </w:pPr>
            <w:r w:rsidRPr="00A84B29">
              <w:rPr>
                <w:rFonts w:asciiTheme="minorHAnsi" w:hAnsiTheme="minorHAnsi"/>
                <w:sz w:val="24"/>
                <w:szCs w:val="24"/>
              </w:rPr>
              <w:t xml:space="preserve">Kako se radi o relativno mladoj osobi ovaj oblik ulaganja bi mogao biti atraktivan jer su mladi ljudi manje averzični prema riziku, ali </w:t>
            </w:r>
            <w:r w:rsidR="00130948">
              <w:rPr>
                <w:rFonts w:asciiTheme="minorHAnsi" w:hAnsiTheme="minorHAnsi"/>
                <w:sz w:val="24"/>
                <w:szCs w:val="24"/>
              </w:rPr>
              <w:t>osoba iz primjera je</w:t>
            </w:r>
            <w:r w:rsidRPr="00A84B29">
              <w:rPr>
                <w:rFonts w:asciiTheme="minorHAnsi" w:hAnsiTheme="minorHAnsi"/>
                <w:sz w:val="24"/>
                <w:szCs w:val="24"/>
              </w:rPr>
              <w:t xml:space="preserve"> u specifičnoj situaciji jer mu je prvi vremenski horizont štednje/ ulaganja prilično kratak svega 5 godina, dok su </w:t>
            </w:r>
            <w:r w:rsidR="00130948">
              <w:rPr>
                <w:rFonts w:asciiTheme="minorHAnsi" w:hAnsiTheme="minorHAnsi"/>
                <w:sz w:val="24"/>
                <w:szCs w:val="24"/>
              </w:rPr>
              <w:t>(</w:t>
            </w:r>
            <w:r w:rsidRPr="00A84B29">
              <w:rPr>
                <w:rFonts w:asciiTheme="minorHAnsi" w:hAnsiTheme="minorHAnsi"/>
                <w:sz w:val="24"/>
                <w:szCs w:val="24"/>
              </w:rPr>
              <w:t>posebno</w:t>
            </w:r>
            <w:r w:rsidR="00130948">
              <w:rPr>
                <w:rFonts w:asciiTheme="minorHAnsi" w:hAnsiTheme="minorHAnsi"/>
                <w:sz w:val="24"/>
                <w:szCs w:val="24"/>
              </w:rPr>
              <w:t>)</w:t>
            </w:r>
            <w:r w:rsidRPr="00A84B29">
              <w:rPr>
                <w:rFonts w:asciiTheme="minorHAnsi" w:hAnsiTheme="minorHAnsi"/>
                <w:sz w:val="24"/>
                <w:szCs w:val="24"/>
              </w:rPr>
              <w:t xml:space="preserve"> dionički i obveznički fondovi više namijenjeni dugoročnom ulaganju i situaciji kada osoba ne mora hitno tražiti otkup udjela (naš pojedinac će trebati svoja sredstva u 32 godini života kada će kupovati i uređ</w:t>
            </w:r>
            <w:r w:rsidR="00130948">
              <w:rPr>
                <w:rFonts w:asciiTheme="minorHAnsi" w:hAnsiTheme="minorHAnsi"/>
                <w:sz w:val="24"/>
                <w:szCs w:val="24"/>
              </w:rPr>
              <w:t>ivati stan).</w:t>
            </w:r>
          </w:p>
          <w:p w:rsidR="00F12963" w:rsidRPr="00A84B29" w:rsidRDefault="00F12963" w:rsidP="009325D2">
            <w:pPr>
              <w:spacing w:before="100"/>
              <w:jc w:val="both"/>
              <w:rPr>
                <w:rFonts w:asciiTheme="minorHAnsi" w:hAnsiTheme="minorHAnsi"/>
                <w:sz w:val="24"/>
                <w:szCs w:val="24"/>
              </w:rPr>
            </w:pPr>
            <w:r w:rsidRPr="00F12963">
              <w:rPr>
                <w:rFonts w:asciiTheme="minorHAnsi" w:hAnsiTheme="minorHAnsi" w:cs="Arial"/>
                <w:color w:val="000000"/>
                <w:shd w:val="clear" w:color="auto" w:fill="FFFFFF"/>
              </w:rPr>
              <w:t>* Izračun je informativan i ne može se koristiti u druge svrhe.</w:t>
            </w:r>
          </w:p>
          <w:p w:rsidR="003C04B8" w:rsidRPr="00A84B29" w:rsidRDefault="003C04B8" w:rsidP="0066075A">
            <w:pPr>
              <w:jc w:val="both"/>
              <w:rPr>
                <w:rFonts w:asciiTheme="minorHAnsi" w:hAnsiTheme="minorHAnsi"/>
                <w:sz w:val="24"/>
                <w:szCs w:val="24"/>
              </w:rPr>
            </w:pPr>
          </w:p>
        </w:tc>
      </w:tr>
      <w:tr w:rsidR="003C04B8" w:rsidRPr="00AC4CE0" w:rsidTr="00E31870">
        <w:tc>
          <w:tcPr>
            <w:tcW w:w="9180" w:type="dxa"/>
          </w:tcPr>
          <w:p w:rsidR="003C04B8" w:rsidRPr="0099218E" w:rsidRDefault="003C04B8" w:rsidP="0099218E">
            <w:pPr>
              <w:spacing w:before="120" w:after="120"/>
              <w:jc w:val="both"/>
              <w:rPr>
                <w:rFonts w:asciiTheme="minorHAnsi" w:hAnsiTheme="minorHAnsi"/>
                <w:sz w:val="24"/>
                <w:szCs w:val="24"/>
              </w:rPr>
            </w:pPr>
            <w:r w:rsidRPr="0099218E">
              <w:rPr>
                <w:rFonts w:asciiTheme="minorHAnsi" w:hAnsiTheme="minorHAnsi"/>
                <w:sz w:val="24"/>
                <w:szCs w:val="24"/>
              </w:rPr>
              <w:lastRenderedPageBreak/>
              <w:t xml:space="preserve">OPCIJA KOJU </w:t>
            </w:r>
            <w:r w:rsidR="0099218E" w:rsidRPr="0099218E">
              <w:rPr>
                <w:rFonts w:asciiTheme="minorHAnsi" w:hAnsiTheme="minorHAnsi"/>
                <w:sz w:val="24"/>
                <w:szCs w:val="24"/>
              </w:rPr>
              <w:t>OSOBA</w:t>
            </w:r>
            <w:r w:rsidRPr="0099218E">
              <w:rPr>
                <w:rFonts w:asciiTheme="minorHAnsi" w:hAnsiTheme="minorHAnsi"/>
                <w:sz w:val="24"/>
                <w:szCs w:val="24"/>
              </w:rPr>
              <w:t xml:space="preserve"> IZABIRE</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RAZDOBLJE ULAGANJA/ ŠTEDNJE 5 GODINA </w:t>
            </w:r>
          </w:p>
          <w:p w:rsidR="003C04B8" w:rsidRPr="0099218E" w:rsidRDefault="003C04B8" w:rsidP="009325D2">
            <w:pPr>
              <w:spacing w:before="100"/>
              <w:jc w:val="both"/>
              <w:rPr>
                <w:rFonts w:asciiTheme="minorHAnsi" w:hAnsiTheme="minorHAnsi"/>
                <w:color w:val="C00000"/>
                <w:sz w:val="24"/>
                <w:szCs w:val="24"/>
              </w:rPr>
            </w:pPr>
            <w:r w:rsidRPr="0099218E">
              <w:rPr>
                <w:rFonts w:asciiTheme="minorHAnsi" w:hAnsiTheme="minorHAnsi"/>
                <w:color w:val="C00000"/>
                <w:sz w:val="24"/>
                <w:szCs w:val="24"/>
              </w:rPr>
              <w:t>Štednja za kupovinu stana i za starost u banci uz korištenje stambenog kredita banke</w:t>
            </w:r>
          </w:p>
          <w:p w:rsidR="003C04B8" w:rsidRPr="00130948" w:rsidRDefault="003C04B8" w:rsidP="009325D2">
            <w:pPr>
              <w:spacing w:before="100"/>
              <w:jc w:val="both"/>
              <w:rPr>
                <w:rFonts w:asciiTheme="minorHAnsi" w:hAnsiTheme="minorHAnsi"/>
                <w:i/>
                <w:sz w:val="24"/>
                <w:szCs w:val="24"/>
              </w:rPr>
            </w:pPr>
            <w:r w:rsidRPr="00130948">
              <w:rPr>
                <w:rFonts w:asciiTheme="minorHAnsi" w:hAnsiTheme="minorHAnsi"/>
                <w:i/>
                <w:sz w:val="24"/>
                <w:szCs w:val="24"/>
              </w:rPr>
              <w:t xml:space="preserve">Napomena: </w:t>
            </w:r>
            <w:r w:rsidR="0099218E" w:rsidRPr="00130948">
              <w:rPr>
                <w:rFonts w:asciiTheme="minorHAnsi" w:hAnsiTheme="minorHAnsi"/>
                <w:i/>
                <w:sz w:val="24"/>
                <w:szCs w:val="24"/>
              </w:rPr>
              <w:t xml:space="preserve">Osoba </w:t>
            </w:r>
            <w:r w:rsidRPr="00130948">
              <w:rPr>
                <w:rFonts w:asciiTheme="minorHAnsi" w:hAnsiTheme="minorHAnsi"/>
                <w:i/>
                <w:sz w:val="24"/>
                <w:szCs w:val="24"/>
              </w:rPr>
              <w:t>nije sprem</w:t>
            </w:r>
            <w:r w:rsidR="0099218E" w:rsidRPr="00130948">
              <w:rPr>
                <w:rFonts w:asciiTheme="minorHAnsi" w:hAnsiTheme="minorHAnsi"/>
                <w:i/>
                <w:sz w:val="24"/>
                <w:szCs w:val="24"/>
              </w:rPr>
              <w:t>na</w:t>
            </w:r>
            <w:r w:rsidRPr="00130948">
              <w:rPr>
                <w:rFonts w:asciiTheme="minorHAnsi" w:hAnsiTheme="minorHAnsi"/>
                <w:i/>
                <w:sz w:val="24"/>
                <w:szCs w:val="24"/>
              </w:rPr>
              <w:t xml:space="preserve"> preuzeti valutni rizik koji </w:t>
            </w:r>
            <w:r w:rsidR="00925F13">
              <w:rPr>
                <w:rFonts w:asciiTheme="minorHAnsi" w:hAnsiTheme="minorHAnsi"/>
                <w:i/>
                <w:sz w:val="24"/>
                <w:szCs w:val="24"/>
              </w:rPr>
              <w:t>uz koji se veže</w:t>
            </w:r>
            <w:r w:rsidRPr="00130948">
              <w:rPr>
                <w:rFonts w:asciiTheme="minorHAnsi" w:hAnsiTheme="minorHAnsi"/>
                <w:i/>
                <w:sz w:val="24"/>
                <w:szCs w:val="24"/>
              </w:rPr>
              <w:t xml:space="preserve"> mogućnost zaduživanja u stambenoj štedionici. </w:t>
            </w:r>
            <w:r w:rsidR="00C665C3">
              <w:rPr>
                <w:rFonts w:asciiTheme="minorHAnsi" w:hAnsiTheme="minorHAnsi"/>
                <w:i/>
                <w:sz w:val="24"/>
                <w:szCs w:val="24"/>
              </w:rPr>
              <w:t xml:space="preserve">Nadalje preferira visoko likvidne oblike imovine (što </w:t>
            </w:r>
            <w:r w:rsidR="00925F13">
              <w:rPr>
                <w:rFonts w:asciiTheme="minorHAnsi" w:hAnsiTheme="minorHAnsi"/>
                <w:i/>
                <w:sz w:val="24"/>
                <w:szCs w:val="24"/>
              </w:rPr>
              <w:t>ga sputava kod stambene štednje. D</w:t>
            </w:r>
            <w:r w:rsidR="00C665C3">
              <w:rPr>
                <w:rFonts w:asciiTheme="minorHAnsi" w:hAnsiTheme="minorHAnsi"/>
                <w:i/>
                <w:sz w:val="24"/>
                <w:szCs w:val="24"/>
              </w:rPr>
              <w:t xml:space="preserve">odatno iskustva iz 2014. dokazuju da DPS za pojedinu godinu ne mora biti isplaćen. Sve navedeno je </w:t>
            </w:r>
            <w:r w:rsidRPr="00130948">
              <w:rPr>
                <w:rFonts w:asciiTheme="minorHAnsi" w:hAnsiTheme="minorHAnsi"/>
                <w:i/>
                <w:sz w:val="24"/>
                <w:szCs w:val="24"/>
              </w:rPr>
              <w:t xml:space="preserve"> osnovni razlog zašto izabire ponudu proizvoda banke.</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Oročavajući početnih 46.000 kuna na pet godina uz kamatnu stopu 2,25% godišnje </w:t>
            </w:r>
            <w:r w:rsidR="00130948">
              <w:rPr>
                <w:rFonts w:asciiTheme="minorHAnsi" w:hAnsiTheme="minorHAnsi"/>
                <w:sz w:val="24"/>
                <w:szCs w:val="24"/>
              </w:rPr>
              <w:t>štediša</w:t>
            </w:r>
            <w:r w:rsidR="008005C0">
              <w:rPr>
                <w:rFonts w:asciiTheme="minorHAnsi" w:hAnsiTheme="minorHAnsi"/>
                <w:sz w:val="24"/>
                <w:szCs w:val="24"/>
              </w:rPr>
              <w:t xml:space="preserve"> </w:t>
            </w:r>
            <w:r w:rsidRPr="0099218E">
              <w:rPr>
                <w:rFonts w:asciiTheme="minorHAnsi" w:hAnsiTheme="minorHAnsi"/>
                <w:sz w:val="24"/>
                <w:szCs w:val="24"/>
              </w:rPr>
              <w:t xml:space="preserve"> kroz pet godina kumulira 51.413,17 kuna štednje. Dodatno, oročavajući 2.500 kuna mjesečno u modelu otvorene štednje kumulira 158.809,35 kn nove štednje.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Ci</w:t>
            </w:r>
            <w:r w:rsidR="00130948">
              <w:rPr>
                <w:rFonts w:asciiTheme="minorHAnsi" w:hAnsiTheme="minorHAnsi"/>
                <w:sz w:val="24"/>
                <w:szCs w:val="24"/>
              </w:rPr>
              <w:t xml:space="preserve">jena stana je 375.000,00 kuna – radi jednostavnosti </w:t>
            </w:r>
            <w:r w:rsidRPr="0099218E">
              <w:rPr>
                <w:rFonts w:asciiTheme="minorHAnsi" w:hAnsiTheme="minorHAnsi"/>
                <w:sz w:val="24"/>
                <w:szCs w:val="24"/>
              </w:rPr>
              <w:t>pretpostavlja</w:t>
            </w:r>
            <w:r w:rsidR="00130948">
              <w:rPr>
                <w:rFonts w:asciiTheme="minorHAnsi" w:hAnsiTheme="minorHAnsi"/>
                <w:sz w:val="24"/>
                <w:szCs w:val="24"/>
              </w:rPr>
              <w:t xml:space="preserve"> se</w:t>
            </w:r>
            <w:r w:rsidRPr="0099218E">
              <w:rPr>
                <w:rFonts w:asciiTheme="minorHAnsi" w:hAnsiTheme="minorHAnsi"/>
                <w:sz w:val="24"/>
                <w:szCs w:val="24"/>
              </w:rPr>
              <w:t xml:space="preserve"> da se cijena stana neće promijeniti za pet godina</w:t>
            </w:r>
            <w:r w:rsidR="00925F13">
              <w:rPr>
                <w:rFonts w:asciiTheme="minorHAnsi" w:hAnsiTheme="minorHAnsi"/>
                <w:sz w:val="24"/>
                <w:szCs w:val="24"/>
              </w:rPr>
              <w:t xml:space="preserve"> (od početka priče)</w:t>
            </w:r>
            <w:r w:rsidRPr="0099218E">
              <w:rPr>
                <w:rFonts w:asciiTheme="minorHAnsi" w:hAnsiTheme="minorHAnsi"/>
                <w:sz w:val="24"/>
                <w:szCs w:val="24"/>
              </w:rPr>
              <w:t xml:space="preserv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U ponudi banke je dostupan stambeni kredit bez valutne klauzule i uz fiksnu kamatnu stopu 5,35%. Za odobravanje kredita banka naplaćuje naknadu u visini 1% iznosa kredita a maksimalno 2.500 kuna (328,95 eura). Efektivna kamatna stopa na stambeni kredit iznosi 5,71% (nešto je veća nego kod stambene štedionice)</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Kroz fiksnu kamatnu stopu klijent je zaštićen od rizika povećanja kamatne stope, a kako nema valutne klauzule  nije izložen riziku valutne neusklađenosti prihoda i obveza vezanih uz otplatu kredita.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Ukoliko 158.809,35 kn nove štednje i ranije kumuliranih 51.413,17 kuna kapitalizirane štednje koristi za kupnju stana, pojedinac će trebati kredit u iznosu 164.777,48 kn. Uz kamatnu stopu 5,35% godišnje koja je fiksna narednih 10 godina, mjesečni anuitet otplate stambenog kredita iznosit će 1.776,05 kuna. Ako se odluči za ovu opciju pojedinac </w:t>
            </w:r>
            <w:r w:rsidR="00C665C3">
              <w:rPr>
                <w:rFonts w:asciiTheme="minorHAnsi" w:hAnsiTheme="minorHAnsi"/>
                <w:sz w:val="24"/>
                <w:szCs w:val="24"/>
              </w:rPr>
              <w:t xml:space="preserve">će </w:t>
            </w:r>
            <w:r w:rsidRPr="0099218E">
              <w:rPr>
                <w:rFonts w:asciiTheme="minorHAnsi" w:hAnsiTheme="minorHAnsi"/>
                <w:sz w:val="24"/>
                <w:szCs w:val="24"/>
              </w:rPr>
              <w:t>ostat</w:t>
            </w:r>
            <w:r w:rsidR="00C665C3">
              <w:rPr>
                <w:rFonts w:asciiTheme="minorHAnsi" w:hAnsiTheme="minorHAnsi"/>
                <w:sz w:val="24"/>
                <w:szCs w:val="24"/>
              </w:rPr>
              <w:t xml:space="preserve">i </w:t>
            </w:r>
            <w:r w:rsidRPr="0099218E">
              <w:rPr>
                <w:rFonts w:asciiTheme="minorHAnsi" w:hAnsiTheme="minorHAnsi"/>
                <w:sz w:val="24"/>
                <w:szCs w:val="24"/>
              </w:rPr>
              <w:t xml:space="preserve">bez ranije kumulirane štednje, ali i dalje ima mogućnost svaki mjesec štedjeti 723,95 kuna.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Nadalje, novi stan treba i namjestiti. </w:t>
            </w:r>
            <w:r w:rsidR="00130948">
              <w:rPr>
                <w:rFonts w:asciiTheme="minorHAnsi" w:hAnsiTheme="minorHAnsi"/>
                <w:sz w:val="24"/>
                <w:szCs w:val="24"/>
              </w:rPr>
              <w:t>S</w:t>
            </w:r>
            <w:r w:rsidRPr="0099218E">
              <w:rPr>
                <w:rFonts w:asciiTheme="minorHAnsi" w:hAnsiTheme="minorHAnsi"/>
                <w:sz w:val="24"/>
                <w:szCs w:val="24"/>
              </w:rPr>
              <w:t xml:space="preserve">toga </w:t>
            </w:r>
            <w:r w:rsidR="00130948">
              <w:rPr>
                <w:rFonts w:asciiTheme="minorHAnsi" w:hAnsiTheme="minorHAnsi"/>
                <w:sz w:val="24"/>
                <w:szCs w:val="24"/>
              </w:rPr>
              <w:t xml:space="preserve">se može pretpostaviti </w:t>
            </w:r>
            <w:r w:rsidRPr="0099218E">
              <w:rPr>
                <w:rFonts w:asciiTheme="minorHAnsi" w:hAnsiTheme="minorHAnsi"/>
                <w:sz w:val="24"/>
                <w:szCs w:val="24"/>
              </w:rPr>
              <w:t xml:space="preserve">da </w:t>
            </w:r>
            <w:r w:rsidR="00130948">
              <w:rPr>
                <w:rFonts w:asciiTheme="minorHAnsi" w:hAnsiTheme="minorHAnsi"/>
                <w:sz w:val="24"/>
                <w:szCs w:val="24"/>
              </w:rPr>
              <w:t xml:space="preserve">će </w:t>
            </w:r>
            <w:r w:rsidRPr="0099218E">
              <w:rPr>
                <w:rFonts w:asciiTheme="minorHAnsi" w:hAnsiTheme="minorHAnsi"/>
                <w:sz w:val="24"/>
                <w:szCs w:val="24"/>
              </w:rPr>
              <w:t xml:space="preserve">se za  kupnju stana koristi 158.809,35 kuna nove štednje, dok će se stara kumulirana štednja polovično koristiti za kupnju stana 25.706,58 kn, a polovično kao štednja za uređenje stana 25.706,59 kn. U tom slučaju je potreban kredit u iznosu 190.484,06 kuna što na 10 godina otplate uz fiksnu kamatnu stopu 5,35% godišnje daje mjesečni anuitet u iznosu 2.053,12 kn.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Pojedincu i dalje ostaje mogućnost mjesečne štednje u iznosu 446,88 kuna, a koje se kroz narednih 24 mjeseci mogu koristiti za </w:t>
            </w:r>
            <w:r w:rsidR="00C665C3">
              <w:rPr>
                <w:rFonts w:asciiTheme="minorHAnsi" w:hAnsiTheme="minorHAnsi"/>
                <w:sz w:val="24"/>
                <w:szCs w:val="24"/>
              </w:rPr>
              <w:t xml:space="preserve">obročnu </w:t>
            </w:r>
            <w:r w:rsidRPr="0099218E">
              <w:rPr>
                <w:rFonts w:asciiTheme="minorHAnsi" w:hAnsiTheme="minorHAnsi"/>
                <w:sz w:val="24"/>
                <w:szCs w:val="24"/>
              </w:rPr>
              <w:t xml:space="preserve">otplatu namještaja i bijele tehnike kupljene </w:t>
            </w:r>
            <w:r w:rsidRPr="0099218E">
              <w:rPr>
                <w:rFonts w:asciiTheme="minorHAnsi" w:hAnsiTheme="minorHAnsi"/>
                <w:sz w:val="24"/>
                <w:szCs w:val="24"/>
              </w:rPr>
              <w:lastRenderedPageBreak/>
              <w:t xml:space="preserve">uz mogućnost beskamatne otplate na kredit proizvođača. Zajedno s 25.706,58 kuna ranije kumulirane štednje te mogućnosti beskamatne otplate 10.725,12 kn (446,88*24), iznos od 36.431,7 omogućit će relativno skromno ali nužno uređenje stana. (Jasno pojedinac je mogao i cijeli iznos 51.413,17 kuna koristit na uređenje stana).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Razliku između mjesečne mogućnosti štednje 2.500,00 kn i mjesečnoga anuiteta otplate kredita 2.053,12 kn pojedinac može oročavati po modelu oročene štednje narednih osam godina (do kraja razdoblja otplate kredita). Uz mjesečnu štednju u iznosu 446,88 kn i kamatnu stopu 2,25% pojedinac će za osam godina kumulirati konačnu vrijednost </w:t>
            </w:r>
            <w:r w:rsidR="00925F13">
              <w:rPr>
                <w:rFonts w:asciiTheme="minorHAnsi" w:hAnsiTheme="minorHAnsi"/>
                <w:sz w:val="24"/>
                <w:szCs w:val="24"/>
              </w:rPr>
              <w:t xml:space="preserve">štedne </w:t>
            </w:r>
            <w:r w:rsidRPr="0099218E">
              <w:rPr>
                <w:rFonts w:asciiTheme="minorHAnsi" w:hAnsiTheme="minorHAnsi"/>
                <w:sz w:val="24"/>
                <w:szCs w:val="24"/>
              </w:rPr>
              <w:t xml:space="preserve">u iznosu 46.999,28 kuna.  </w:t>
            </w:r>
          </w:p>
          <w:p w:rsidR="003C04B8" w:rsidRPr="00AC4CE0" w:rsidRDefault="00EB3EDE" w:rsidP="00F12963">
            <w:pPr>
              <w:spacing w:before="120" w:after="120"/>
              <w:jc w:val="both"/>
              <w:rPr>
                <w:sz w:val="24"/>
                <w:szCs w:val="24"/>
              </w:rPr>
            </w:pPr>
            <w:r>
              <w:rPr>
                <w:rFonts w:asciiTheme="minorHAnsi" w:hAnsiTheme="minorHAnsi"/>
              </w:rPr>
              <w:t xml:space="preserve">* </w:t>
            </w:r>
            <w:r w:rsidR="00F12963" w:rsidRPr="00F12963">
              <w:rPr>
                <w:rFonts w:asciiTheme="minorHAnsi" w:hAnsiTheme="minorHAnsi" w:cs="Arial"/>
                <w:color w:val="000000"/>
                <w:shd w:val="clear" w:color="auto" w:fill="FFFFFF"/>
              </w:rPr>
              <w:t>* Izračun je informativan i ne može se koristiti u druge svrhe.</w:t>
            </w:r>
          </w:p>
        </w:tc>
      </w:tr>
    </w:tbl>
    <w:p w:rsidR="003C04B8" w:rsidRPr="00AC4CE0" w:rsidRDefault="003C04B8" w:rsidP="003C04B8">
      <w:pPr>
        <w:jc w:val="both"/>
        <w:rPr>
          <w:rFonts w:ascii="Times New Roman" w:hAnsi="Times New Roman"/>
          <w:sz w:val="24"/>
          <w:szCs w:val="24"/>
        </w:rPr>
      </w:pPr>
    </w:p>
    <w:tbl>
      <w:tblPr>
        <w:tblStyle w:val="Reetkatablice"/>
        <w:tblW w:w="0" w:type="auto"/>
        <w:tblInd w:w="108" w:type="dxa"/>
        <w:tblLook w:val="04A0" w:firstRow="1" w:lastRow="0" w:firstColumn="1" w:lastColumn="0" w:noHBand="0" w:noVBand="1"/>
      </w:tblPr>
      <w:tblGrid>
        <w:gridCol w:w="9180"/>
      </w:tblGrid>
      <w:tr w:rsidR="003C04B8" w:rsidRPr="00AC4CE0" w:rsidTr="00E31870">
        <w:tc>
          <w:tcPr>
            <w:tcW w:w="9180" w:type="dxa"/>
          </w:tcPr>
          <w:p w:rsidR="003C04B8" w:rsidRDefault="003C04B8" w:rsidP="0099218E">
            <w:pPr>
              <w:spacing w:before="120" w:after="120"/>
              <w:jc w:val="both"/>
              <w:rPr>
                <w:rFonts w:asciiTheme="minorHAnsi" w:hAnsiTheme="minorHAnsi"/>
                <w:sz w:val="24"/>
                <w:szCs w:val="24"/>
              </w:rPr>
            </w:pPr>
            <w:r w:rsidRPr="0099218E">
              <w:rPr>
                <w:rFonts w:asciiTheme="minorHAnsi" w:hAnsiTheme="minorHAnsi"/>
                <w:sz w:val="24"/>
                <w:szCs w:val="24"/>
              </w:rPr>
              <w:t xml:space="preserve">RAZDOBLJE ŠTEDNJE KROZ 30 GODINA </w:t>
            </w:r>
          </w:p>
          <w:p w:rsidR="00275543" w:rsidRPr="0099218E" w:rsidRDefault="00C66EBE" w:rsidP="0099218E">
            <w:pPr>
              <w:spacing w:before="120" w:after="120"/>
              <w:jc w:val="both"/>
              <w:rPr>
                <w:rFonts w:asciiTheme="minorHAnsi" w:hAnsiTheme="minorHAnsi"/>
                <w:sz w:val="24"/>
                <w:szCs w:val="24"/>
              </w:rPr>
            </w:pPr>
            <w:r>
              <w:rPr>
                <w:rFonts w:asciiTheme="minorHAnsi" w:hAnsiTheme="minorHAnsi"/>
                <w:sz w:val="24"/>
                <w:szCs w:val="24"/>
              </w:rPr>
              <w:t>PLAN A</w:t>
            </w:r>
          </w:p>
          <w:p w:rsidR="003C04B8" w:rsidRPr="00DB34EF" w:rsidRDefault="003C04B8" w:rsidP="0099218E">
            <w:pPr>
              <w:spacing w:before="120" w:after="120"/>
              <w:jc w:val="both"/>
              <w:rPr>
                <w:rFonts w:asciiTheme="minorHAnsi" w:hAnsiTheme="minorHAnsi"/>
                <w:color w:val="C00000"/>
                <w:sz w:val="24"/>
                <w:szCs w:val="24"/>
              </w:rPr>
            </w:pPr>
            <w:r w:rsidRPr="00DB34EF">
              <w:rPr>
                <w:rFonts w:asciiTheme="minorHAnsi" w:hAnsiTheme="minorHAnsi"/>
                <w:color w:val="C00000"/>
                <w:sz w:val="24"/>
                <w:szCs w:val="24"/>
              </w:rPr>
              <w:t>Štednja u banci</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Pojedinac je završio prvo petogodišnje razdoblje štednje prije stambenog zaduživanja. Nadalje tijekom narednih 10 godina otplate kredita kumulirao je dodatnu štednju u iznosu 46.999,28  kuna. Sada je u 42 godini života i ima pred sobom još 15 planiranih godina štednje.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Pretpostavimo da je dobro vrijeme za ulaganje u dionice i da će polovicu kumulirane ušteđevine uložiti u dionički fond 23.499,64 kuna, a drugu polovicu 23.499,64 kuna uložiti u oročenu štednju kako bi zadržao likvidnu štednju za </w:t>
            </w:r>
            <w:r w:rsidR="004A6062">
              <w:rPr>
                <w:rFonts w:asciiTheme="minorHAnsi" w:hAnsiTheme="minorHAnsi"/>
                <w:sz w:val="24"/>
                <w:szCs w:val="24"/>
              </w:rPr>
              <w:t>„</w:t>
            </w:r>
            <w:r w:rsidRPr="0099218E">
              <w:rPr>
                <w:rFonts w:asciiTheme="minorHAnsi" w:hAnsiTheme="minorHAnsi"/>
                <w:sz w:val="24"/>
                <w:szCs w:val="24"/>
              </w:rPr>
              <w:t>crne dane</w:t>
            </w:r>
            <w:r w:rsidR="004A6062">
              <w:rPr>
                <w:rFonts w:asciiTheme="minorHAnsi" w:hAnsiTheme="minorHAnsi"/>
                <w:sz w:val="24"/>
                <w:szCs w:val="24"/>
              </w:rPr>
              <w:t>“</w:t>
            </w:r>
            <w:r w:rsidRPr="0099218E">
              <w:rPr>
                <w:rFonts w:asciiTheme="minorHAnsi" w:hAnsiTheme="minorHAnsi"/>
                <w:sz w:val="24"/>
                <w:szCs w:val="24"/>
              </w:rPr>
              <w:t xml:space="preserve">. Ulaganje u fond (uz prosječan prinos oko 4,71% godišnje) </w:t>
            </w:r>
            <w:r w:rsidR="004A6062">
              <w:rPr>
                <w:rFonts w:asciiTheme="minorHAnsi" w:hAnsiTheme="minorHAnsi"/>
                <w:sz w:val="24"/>
                <w:szCs w:val="24"/>
              </w:rPr>
              <w:t>bi</w:t>
            </w:r>
            <w:r w:rsidRPr="0099218E">
              <w:rPr>
                <w:rFonts w:asciiTheme="minorHAnsi" w:hAnsiTheme="minorHAnsi"/>
                <w:sz w:val="24"/>
                <w:szCs w:val="24"/>
              </w:rPr>
              <w:t xml:space="preserve"> mu moglo omogućiti da u nominalnim terminima za 15 godina udvostruči svoj ulog pa da imovina u dioničkom fondu iznosi 46.999,28 kuna u njegovoj 57 godini života (prema planu tada prestaje razdoblje ciljane štednje). S druge strane 23.499,64 kuna oročenih u banci kroz narednih 15 godina oročenja s kamatama (uz k.s. 2,25%) daje konačnu vrijednost 32.810,36 kuna. I uz otplatu kredita, štednju i kasnije ulaganje naš pojedinac u svojoj 57 godini života raspolaže štednjom u nominalnom iznosu 79.809,64 kuna. </w:t>
            </w:r>
            <w:r w:rsidR="00925F13">
              <w:rPr>
                <w:rFonts w:asciiTheme="minorHAnsi" w:hAnsiTheme="minorHAnsi"/>
                <w:sz w:val="24"/>
                <w:szCs w:val="24"/>
              </w:rPr>
              <w:t xml:space="preserve">(Napomena: Nerealnost primjera se odnosi na činjenicu da se i </w:t>
            </w:r>
            <w:r w:rsidR="00925F13" w:rsidRPr="00925F13">
              <w:rPr>
                <w:rFonts w:asciiTheme="minorHAnsi" w:hAnsiTheme="minorHAnsi"/>
                <w:color w:val="C00000"/>
                <w:sz w:val="24"/>
                <w:szCs w:val="24"/>
              </w:rPr>
              <w:t>kamatne stope na oročenu štednju bitno mijenjaju kroz vrijeme, ali to se u primjeru ne uzima u obzir</w:t>
            </w:r>
            <w:r w:rsidR="00925F13">
              <w:rPr>
                <w:rFonts w:asciiTheme="minorHAnsi" w:hAnsiTheme="minorHAnsi"/>
                <w:sz w:val="24"/>
                <w:szCs w:val="24"/>
              </w:rPr>
              <w:t>.)</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Dodatno, nakon što je naš pojedinac otplatio kredit (u svojoj 42 godini života) ponovno su mu raspoložive mogućnosti mjesečne štednje u iznosu 2.500,00 kuna. U skladu s uputama iz zadatka </w:t>
            </w:r>
            <w:r w:rsidR="00DB34EF">
              <w:rPr>
                <w:rFonts w:asciiTheme="minorHAnsi" w:hAnsiTheme="minorHAnsi"/>
                <w:sz w:val="24"/>
                <w:szCs w:val="24"/>
              </w:rPr>
              <w:t xml:space="preserve">može se </w:t>
            </w:r>
            <w:r w:rsidRPr="0099218E">
              <w:rPr>
                <w:rFonts w:asciiTheme="minorHAnsi" w:hAnsiTheme="minorHAnsi"/>
                <w:sz w:val="24"/>
                <w:szCs w:val="24"/>
              </w:rPr>
              <w:t>pretpostavi</w:t>
            </w:r>
            <w:r w:rsidR="00DB34EF">
              <w:rPr>
                <w:rFonts w:asciiTheme="minorHAnsi" w:hAnsiTheme="minorHAnsi"/>
                <w:sz w:val="24"/>
                <w:szCs w:val="24"/>
              </w:rPr>
              <w:t>ti</w:t>
            </w:r>
            <w:r w:rsidRPr="0099218E">
              <w:rPr>
                <w:rFonts w:asciiTheme="minorHAnsi" w:hAnsiTheme="minorHAnsi"/>
                <w:sz w:val="24"/>
                <w:szCs w:val="24"/>
              </w:rPr>
              <w:t xml:space="preserve"> da ih je oročava narednih 15 godina, što će (uz </w:t>
            </w:r>
            <w:r w:rsidR="00AD7003">
              <w:rPr>
                <w:rFonts w:asciiTheme="minorHAnsi" w:hAnsiTheme="minorHAnsi"/>
                <w:sz w:val="24"/>
                <w:szCs w:val="24"/>
              </w:rPr>
              <w:t xml:space="preserve">dekurzivan obračun kamata i </w:t>
            </w:r>
            <w:r w:rsidRPr="0099218E">
              <w:rPr>
                <w:rFonts w:asciiTheme="minorHAnsi" w:hAnsiTheme="minorHAnsi"/>
                <w:sz w:val="24"/>
                <w:szCs w:val="24"/>
              </w:rPr>
              <w:t xml:space="preserve">konformnu metodu) donijeti konačan nominalni iznos 534.692,21 kn kojim će pojedinac raspolagati sa svojih 57 godina života. Kada </w:t>
            </w:r>
            <w:r w:rsidR="00DB34EF">
              <w:rPr>
                <w:rFonts w:asciiTheme="minorHAnsi" w:hAnsiTheme="minorHAnsi"/>
                <w:sz w:val="24"/>
                <w:szCs w:val="24"/>
              </w:rPr>
              <w:t xml:space="preserve">se </w:t>
            </w:r>
            <w:r w:rsidRPr="0099218E">
              <w:rPr>
                <w:rFonts w:asciiTheme="minorHAnsi" w:hAnsiTheme="minorHAnsi"/>
                <w:sz w:val="24"/>
                <w:szCs w:val="24"/>
              </w:rPr>
              <w:t>tome pridoda vrijednost ulaganja u fondove te ranije spomenut</w:t>
            </w:r>
            <w:r w:rsidR="00DB34EF">
              <w:rPr>
                <w:rFonts w:asciiTheme="minorHAnsi" w:hAnsiTheme="minorHAnsi"/>
                <w:sz w:val="24"/>
                <w:szCs w:val="24"/>
              </w:rPr>
              <w:t>a</w:t>
            </w:r>
            <w:r w:rsidRPr="0099218E">
              <w:rPr>
                <w:rFonts w:asciiTheme="minorHAnsi" w:hAnsiTheme="minorHAnsi"/>
                <w:sz w:val="24"/>
                <w:szCs w:val="24"/>
              </w:rPr>
              <w:t xml:space="preserve"> štednju u banci, ukupna štednja u nominalnim terminima iznosi 614.501,85 kuna u njegovoj 57 godini života.</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Čak i uz </w:t>
            </w:r>
            <w:r w:rsidR="00925F13">
              <w:rPr>
                <w:rFonts w:asciiTheme="minorHAnsi" w:hAnsiTheme="minorHAnsi"/>
                <w:sz w:val="24"/>
                <w:szCs w:val="24"/>
              </w:rPr>
              <w:t xml:space="preserve">nominalni </w:t>
            </w:r>
            <w:r w:rsidRPr="0099218E">
              <w:rPr>
                <w:rFonts w:asciiTheme="minorHAnsi" w:hAnsiTheme="minorHAnsi"/>
                <w:sz w:val="24"/>
                <w:szCs w:val="24"/>
              </w:rPr>
              <w:t xml:space="preserve">prinos 0% godišnje kada bi </w:t>
            </w:r>
            <w:r w:rsidR="00DB34EF">
              <w:rPr>
                <w:rFonts w:asciiTheme="minorHAnsi" w:hAnsiTheme="minorHAnsi"/>
                <w:sz w:val="24"/>
                <w:szCs w:val="24"/>
              </w:rPr>
              <w:t xml:space="preserve">u </w:t>
            </w:r>
            <w:r w:rsidRPr="0099218E">
              <w:rPr>
                <w:rFonts w:asciiTheme="minorHAnsi" w:hAnsiTheme="minorHAnsi"/>
                <w:sz w:val="24"/>
                <w:szCs w:val="24"/>
              </w:rPr>
              <w:t>57</w:t>
            </w:r>
            <w:r w:rsidR="00DB34EF">
              <w:rPr>
                <w:rFonts w:asciiTheme="minorHAnsi" w:hAnsiTheme="minorHAnsi"/>
                <w:sz w:val="24"/>
                <w:szCs w:val="24"/>
              </w:rPr>
              <w:t xml:space="preserve"> godini života</w:t>
            </w:r>
            <w:r w:rsidRPr="0099218E">
              <w:rPr>
                <w:rFonts w:asciiTheme="minorHAnsi" w:hAnsiTheme="minorHAnsi"/>
                <w:sz w:val="24"/>
                <w:szCs w:val="24"/>
              </w:rPr>
              <w:t xml:space="preserve"> pojedinac taj iznos rasporedio na narednih 240 mjeseci (20 godina) imao bi dodatne izvore primitaka u visini 2.560,42 kuna mjesečno što je u nominalnim terminima daleko više od ciljanog iznosa. S obzirom na upute dane u zadatku, tu bi priča mogla završiti.</w:t>
            </w:r>
          </w:p>
          <w:p w:rsidR="003C04B8" w:rsidRPr="00925F13"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Međutim, u realnim terminima za 30 godina (od trenutka početka sastavljanja štednog </w:t>
            </w:r>
            <w:r w:rsidRPr="0099218E">
              <w:rPr>
                <w:rFonts w:asciiTheme="minorHAnsi" w:hAnsiTheme="minorHAnsi"/>
                <w:sz w:val="24"/>
                <w:szCs w:val="24"/>
              </w:rPr>
              <w:lastRenderedPageBreak/>
              <w:t xml:space="preserve">plana i uz očekivanu stopu inflacije 2,25% godišnje) nominalni iznos 2.560,42 kune vrijedi realno svega 1.313,44 kuna. Za 50 godina kada će pojedinac imati 77 godina života taj iznos realno bi vrijedio samo 841,68 kuna što je pak bitno manje od ciljanog iznosa u realnim terminima, </w:t>
            </w:r>
            <w:r w:rsidRPr="00925F13">
              <w:rPr>
                <w:rFonts w:asciiTheme="minorHAnsi" w:hAnsiTheme="minorHAnsi"/>
                <w:color w:val="C00000"/>
                <w:sz w:val="24"/>
                <w:szCs w:val="24"/>
              </w:rPr>
              <w:t xml:space="preserve">Kako bi se pojedinac zaštitio od rizika inflacije </w:t>
            </w:r>
            <w:r w:rsidRPr="00925F13">
              <w:rPr>
                <w:rFonts w:asciiTheme="minorHAnsi" w:hAnsiTheme="minorHAnsi"/>
                <w:sz w:val="24"/>
                <w:szCs w:val="24"/>
              </w:rPr>
              <w:t xml:space="preserve">stoga je važno da raspoloživu kumuliranu štednju cijelo vrijeme i dalje </w:t>
            </w:r>
            <w:r w:rsidRPr="002D082A">
              <w:rPr>
                <w:rFonts w:asciiTheme="minorHAnsi" w:hAnsiTheme="minorHAnsi"/>
                <w:sz w:val="24"/>
                <w:szCs w:val="24"/>
              </w:rPr>
              <w:t xml:space="preserve">oplođuje kroz kamate </w:t>
            </w:r>
            <w:r w:rsidR="00925F13" w:rsidRPr="002D082A">
              <w:rPr>
                <w:rFonts w:asciiTheme="minorHAnsi" w:hAnsiTheme="minorHAnsi"/>
                <w:sz w:val="24"/>
                <w:szCs w:val="24"/>
              </w:rPr>
              <w:t>(</w:t>
            </w:r>
            <w:r w:rsidRPr="002D082A">
              <w:rPr>
                <w:rFonts w:asciiTheme="minorHAnsi" w:hAnsiTheme="minorHAnsi"/>
                <w:sz w:val="24"/>
                <w:szCs w:val="24"/>
              </w:rPr>
              <w:t>ili p</w:t>
            </w:r>
            <w:r w:rsidR="00925F13" w:rsidRPr="002D082A">
              <w:rPr>
                <w:rFonts w:asciiTheme="minorHAnsi" w:hAnsiTheme="minorHAnsi"/>
                <w:sz w:val="24"/>
                <w:szCs w:val="24"/>
              </w:rPr>
              <w:t>rihode</w:t>
            </w:r>
            <w:r w:rsidRPr="002D082A">
              <w:rPr>
                <w:rFonts w:asciiTheme="minorHAnsi" w:hAnsiTheme="minorHAnsi"/>
                <w:sz w:val="24"/>
                <w:szCs w:val="24"/>
              </w:rPr>
              <w:t xml:space="preserve"> na druge financijske proizvode)</w:t>
            </w:r>
            <w:r w:rsidR="00925F13" w:rsidRPr="002D082A">
              <w:rPr>
                <w:rFonts w:asciiTheme="minorHAnsi" w:hAnsiTheme="minorHAnsi"/>
                <w:sz w:val="24"/>
                <w:szCs w:val="24"/>
              </w:rPr>
              <w:t xml:space="preserve"> koji nadoknađuju gubitke uzrokovane inflacijom</w:t>
            </w:r>
            <w:r w:rsidRPr="00925F13">
              <w:rPr>
                <w:rFonts w:asciiTheme="minorHAnsi" w:hAnsiTheme="minorHAnsi"/>
                <w:sz w:val="24"/>
                <w:szCs w:val="24"/>
              </w:rPr>
              <w:t>, odnosno uz kamatnu stopu (prinos) koji je uvijek barem jednaka a poželjno i veća od</w:t>
            </w:r>
            <w:r w:rsidR="00925F13">
              <w:rPr>
                <w:rFonts w:asciiTheme="minorHAnsi" w:hAnsiTheme="minorHAnsi"/>
                <w:sz w:val="24"/>
                <w:szCs w:val="24"/>
              </w:rPr>
              <w:t xml:space="preserve"> tada aktualne stope inflacije. </w:t>
            </w:r>
            <w:r w:rsidR="00925F13" w:rsidRPr="00925F13">
              <w:rPr>
                <w:rFonts w:asciiTheme="minorHAnsi" w:hAnsiTheme="minorHAnsi"/>
                <w:color w:val="C00000"/>
                <w:sz w:val="24"/>
                <w:szCs w:val="24"/>
              </w:rPr>
              <w:t xml:space="preserve">Realna kamatna stopa je približno jednaka </w:t>
            </w:r>
            <w:r w:rsidRPr="00925F13">
              <w:rPr>
                <w:rFonts w:asciiTheme="minorHAnsi" w:hAnsiTheme="minorHAnsi"/>
                <w:color w:val="C00000"/>
                <w:sz w:val="24"/>
                <w:szCs w:val="24"/>
              </w:rPr>
              <w:t xml:space="preserve"> </w:t>
            </w:r>
            <w:r w:rsidR="00925F13" w:rsidRPr="00925F13">
              <w:rPr>
                <w:rFonts w:asciiTheme="minorHAnsi" w:hAnsiTheme="minorHAnsi"/>
                <w:color w:val="C00000"/>
                <w:sz w:val="24"/>
                <w:szCs w:val="24"/>
              </w:rPr>
              <w:t>razlici nominalne k</w:t>
            </w:r>
            <w:r w:rsidR="00925F13">
              <w:rPr>
                <w:rFonts w:asciiTheme="minorHAnsi" w:hAnsiTheme="minorHAnsi"/>
                <w:color w:val="C00000"/>
                <w:sz w:val="24"/>
                <w:szCs w:val="24"/>
              </w:rPr>
              <w:t>amatne stope</w:t>
            </w:r>
            <w:r w:rsidR="00925F13" w:rsidRPr="00925F13">
              <w:rPr>
                <w:rFonts w:asciiTheme="minorHAnsi" w:hAnsiTheme="minorHAnsi"/>
                <w:color w:val="C00000"/>
                <w:sz w:val="24"/>
                <w:szCs w:val="24"/>
              </w:rPr>
              <w:t xml:space="preserve"> i stope inflacije</w:t>
            </w:r>
            <w:r w:rsidR="00925F13">
              <w:rPr>
                <w:rFonts w:asciiTheme="minorHAnsi" w:hAnsiTheme="minorHAnsi"/>
                <w:sz w:val="24"/>
                <w:szCs w:val="24"/>
              </w:rPr>
              <w:t>.</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Tako čak i pod pretpostavkom da se u dobi između 57 i 77 godine života, svaki mjesec iz kumulirane štednje oduzima realno vrijednih 1.000 kuna, a da se preostala štednja i dalje oročava uz godišnju kamatnu stopu jednaku očekivanoj stopi inflacije 2,25% godišnje, pojedinac će ipak ostvariti svoje ciljeve vezane uz štednju za starost. </w:t>
            </w:r>
          </w:p>
          <w:p w:rsidR="003C04B8" w:rsidRPr="0099218E" w:rsidRDefault="003C04B8" w:rsidP="009325D2">
            <w:pPr>
              <w:spacing w:before="100"/>
              <w:jc w:val="both"/>
              <w:rPr>
                <w:rFonts w:asciiTheme="minorHAnsi" w:hAnsiTheme="minorHAnsi"/>
                <w:sz w:val="24"/>
                <w:szCs w:val="24"/>
              </w:rPr>
            </w:pPr>
            <w:r w:rsidRPr="00DB34EF">
              <w:rPr>
                <w:rFonts w:asciiTheme="minorHAnsi" w:hAnsiTheme="minorHAnsi"/>
                <w:color w:val="C00000"/>
                <w:sz w:val="24"/>
                <w:szCs w:val="24"/>
              </w:rPr>
              <w:t xml:space="preserve">Dodatak: </w:t>
            </w:r>
            <w:r w:rsidRPr="0099218E">
              <w:rPr>
                <w:rFonts w:asciiTheme="minorHAnsi" w:hAnsiTheme="minorHAnsi"/>
                <w:sz w:val="24"/>
                <w:szCs w:val="24"/>
              </w:rPr>
              <w:t>Uz godišnju stopu inflacije 2,25%, odnosno mjesečnu stopu inflacije 0,1875%, izuzimanje realne sadašnje vrijednosti 1.000 kuna, nakon 30 godina (360 mjeseci) znači nominalnu vrijednost budućeg novčanog toka u visini 1.962,79. Razlika preostale štednje 612.535,38 kune (614.501,85 – 1.962,79)  i dalje se oročava, no radi jednostavnosti izračuna može</w:t>
            </w:r>
            <w:r w:rsidR="00DB34EF">
              <w:rPr>
                <w:rFonts w:asciiTheme="minorHAnsi" w:hAnsiTheme="minorHAnsi"/>
                <w:sz w:val="24"/>
                <w:szCs w:val="24"/>
              </w:rPr>
              <w:t xml:space="preserve"> se</w:t>
            </w:r>
            <w:r w:rsidRPr="0099218E">
              <w:rPr>
                <w:rFonts w:asciiTheme="minorHAnsi" w:hAnsiTheme="minorHAnsi"/>
                <w:sz w:val="24"/>
                <w:szCs w:val="24"/>
              </w:rPr>
              <w:t xml:space="preserve"> pretpostaviti uz relativni mjesečni kamatnjak 0,1875% što za prvi mjesec znači kamate u visini 1.148,50 kuna. Za naredni 361 mjesec potreban je nominalni iznos dodatnih primitaka pojedinca u visini 1.966,47 kune koji se dijelom financira iz kamata a dijelom iz ranije kumulirane štednje. Za novo mjesečno razdoblje štednje st</w:t>
            </w:r>
            <w:r w:rsidR="002D082A">
              <w:rPr>
                <w:rFonts w:asciiTheme="minorHAnsi" w:hAnsiTheme="minorHAnsi"/>
                <w:sz w:val="24"/>
                <w:szCs w:val="24"/>
              </w:rPr>
              <w:t>oga preostaje iznos 611.717,41 kn</w:t>
            </w:r>
            <w:r w:rsidRPr="0099218E">
              <w:rPr>
                <w:rFonts w:asciiTheme="minorHAnsi" w:hAnsiTheme="minorHAnsi"/>
                <w:sz w:val="24"/>
                <w:szCs w:val="24"/>
              </w:rPr>
              <w:t xml:space="preserve"> koje uz proporcionalnu metodu donose mjesečne kamate u visini 1.146,97 k</w:t>
            </w:r>
            <w:r w:rsidR="002D082A">
              <w:rPr>
                <w:rFonts w:asciiTheme="minorHAnsi" w:hAnsiTheme="minorHAnsi"/>
                <w:sz w:val="24"/>
                <w:szCs w:val="24"/>
              </w:rPr>
              <w:t>n</w:t>
            </w:r>
            <w:r w:rsidRPr="0099218E">
              <w:rPr>
                <w:rFonts w:asciiTheme="minorHAnsi" w:hAnsiTheme="minorHAnsi"/>
                <w:sz w:val="24"/>
                <w:szCs w:val="24"/>
              </w:rPr>
              <w:t xml:space="preserve">.  </w:t>
            </w:r>
          </w:p>
          <w:p w:rsidR="003C04B8"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Ako </w:t>
            </w:r>
            <w:r w:rsidR="00DB34EF">
              <w:rPr>
                <w:rFonts w:asciiTheme="minorHAnsi" w:hAnsiTheme="minorHAnsi"/>
                <w:sz w:val="24"/>
                <w:szCs w:val="24"/>
              </w:rPr>
              <w:t xml:space="preserve">se </w:t>
            </w:r>
            <w:r w:rsidRPr="0099218E">
              <w:rPr>
                <w:rFonts w:asciiTheme="minorHAnsi" w:hAnsiTheme="minorHAnsi"/>
                <w:sz w:val="24"/>
                <w:szCs w:val="24"/>
              </w:rPr>
              <w:t xml:space="preserve">opisani postupak ponavlja do kraja proteka zadanih 20 godina (240 mjeseci) a kamatna stopa ostane ista ili veća od stope inflacije pojedinac će biti osiguran od gubitka vrijednosti novca u uvjetima inflacije, a moći će iz ranije kumulirane štednje (do 57 godine života) te potom oplođivane preostale štednje (od 57 do 77 godine života) ostvariti realnu vrijednost dodatnih izvora primitaka koji je postavio kao cilj. Međutim, u ovoj računici ne vodi se računa o neizvjesnosti koju donosi starost </w:t>
            </w:r>
            <w:r w:rsidR="002D082A">
              <w:rPr>
                <w:rFonts w:asciiTheme="minorHAnsi" w:hAnsiTheme="minorHAnsi"/>
                <w:sz w:val="24"/>
                <w:szCs w:val="24"/>
              </w:rPr>
              <w:t xml:space="preserve">(rizik dugovječnosti) </w:t>
            </w:r>
            <w:r w:rsidRPr="0099218E">
              <w:rPr>
                <w:rFonts w:asciiTheme="minorHAnsi" w:hAnsiTheme="minorHAnsi"/>
                <w:sz w:val="24"/>
                <w:szCs w:val="24"/>
              </w:rPr>
              <w:t xml:space="preserve">i činjenici da pojedinac ne zna svoje godine doživljenja, a nisu osigurani izvori dodatnih primitaka nakon 77 godine života. Njegov životni vijek može trajati i 97 godina. Stoga je primjereno da </w:t>
            </w:r>
            <w:r w:rsidRPr="002D082A">
              <w:rPr>
                <w:rFonts w:asciiTheme="minorHAnsi" w:hAnsiTheme="minorHAnsi"/>
                <w:color w:val="C00000"/>
                <w:sz w:val="24"/>
                <w:szCs w:val="24"/>
              </w:rPr>
              <w:t xml:space="preserve">dinamiku štednje pojedinac nastavi i </w:t>
            </w:r>
            <w:r w:rsidR="002D082A" w:rsidRPr="002D082A">
              <w:rPr>
                <w:rFonts w:asciiTheme="minorHAnsi" w:hAnsiTheme="minorHAnsi"/>
                <w:color w:val="C00000"/>
                <w:sz w:val="24"/>
                <w:szCs w:val="24"/>
              </w:rPr>
              <w:t xml:space="preserve">znatno duže </w:t>
            </w:r>
            <w:r w:rsidRPr="002D082A">
              <w:rPr>
                <w:rFonts w:asciiTheme="minorHAnsi" w:hAnsiTheme="minorHAnsi"/>
                <w:color w:val="C00000"/>
                <w:sz w:val="24"/>
                <w:szCs w:val="24"/>
              </w:rPr>
              <w:t>nego što je p</w:t>
            </w:r>
            <w:r w:rsidR="002D082A" w:rsidRPr="002D082A">
              <w:rPr>
                <w:rFonts w:asciiTheme="minorHAnsi" w:hAnsiTheme="minorHAnsi"/>
                <w:color w:val="C00000"/>
                <w:sz w:val="24"/>
                <w:szCs w:val="24"/>
              </w:rPr>
              <w:t>retp</w:t>
            </w:r>
            <w:r w:rsidRPr="002D082A">
              <w:rPr>
                <w:rFonts w:asciiTheme="minorHAnsi" w:hAnsiTheme="minorHAnsi"/>
                <w:color w:val="C00000"/>
                <w:sz w:val="24"/>
                <w:szCs w:val="24"/>
              </w:rPr>
              <w:t>ostavljeno u zadatku</w:t>
            </w:r>
            <w:r w:rsidRPr="0099218E">
              <w:rPr>
                <w:rFonts w:asciiTheme="minorHAnsi" w:hAnsiTheme="minorHAnsi"/>
                <w:sz w:val="24"/>
                <w:szCs w:val="24"/>
              </w:rPr>
              <w:t>.</w:t>
            </w:r>
          </w:p>
          <w:p w:rsidR="00F12963" w:rsidRPr="0099218E" w:rsidRDefault="00F12963" w:rsidP="009325D2">
            <w:pPr>
              <w:spacing w:before="100"/>
              <w:jc w:val="both"/>
              <w:rPr>
                <w:rFonts w:asciiTheme="minorHAnsi" w:hAnsiTheme="minorHAnsi"/>
                <w:sz w:val="24"/>
                <w:szCs w:val="24"/>
              </w:rPr>
            </w:pPr>
            <w:r w:rsidRPr="00060663">
              <w:rPr>
                <w:rFonts w:asciiTheme="minorHAnsi" w:hAnsiTheme="minorHAnsi"/>
              </w:rPr>
              <w:t xml:space="preserve">* </w:t>
            </w:r>
            <w:r w:rsidRPr="00681F41">
              <w:rPr>
                <w:rFonts w:asciiTheme="minorHAnsi" w:hAnsiTheme="minorHAnsi" w:cs="Arial"/>
                <w:color w:val="000000"/>
                <w:shd w:val="clear" w:color="auto" w:fill="FFFFFF"/>
              </w:rPr>
              <w:t>Izračun je informativan i ne može se koristiti u druge svrhe</w:t>
            </w:r>
          </w:p>
          <w:p w:rsidR="003C04B8" w:rsidRPr="00AC4CE0" w:rsidRDefault="003C04B8" w:rsidP="0066075A">
            <w:pPr>
              <w:jc w:val="both"/>
              <w:rPr>
                <w:sz w:val="24"/>
                <w:szCs w:val="24"/>
              </w:rPr>
            </w:pPr>
          </w:p>
        </w:tc>
      </w:tr>
      <w:tr w:rsidR="003C04B8" w:rsidRPr="0099218E" w:rsidTr="00E31870">
        <w:tc>
          <w:tcPr>
            <w:tcW w:w="9180" w:type="dxa"/>
          </w:tcPr>
          <w:p w:rsidR="003C04B8" w:rsidRDefault="003C04B8" w:rsidP="0099218E">
            <w:pPr>
              <w:spacing w:before="120" w:after="120"/>
              <w:jc w:val="both"/>
              <w:rPr>
                <w:rFonts w:asciiTheme="minorHAnsi" w:hAnsiTheme="minorHAnsi"/>
                <w:sz w:val="24"/>
                <w:szCs w:val="24"/>
              </w:rPr>
            </w:pPr>
            <w:r w:rsidRPr="0099218E">
              <w:rPr>
                <w:rFonts w:asciiTheme="minorHAnsi" w:hAnsiTheme="minorHAnsi"/>
                <w:sz w:val="24"/>
                <w:szCs w:val="24"/>
              </w:rPr>
              <w:lastRenderedPageBreak/>
              <w:t xml:space="preserve">RAZDOBLJE ŠTEDNJE KROZ 30 GODINA </w:t>
            </w:r>
          </w:p>
          <w:p w:rsidR="00275543" w:rsidRPr="0099218E" w:rsidRDefault="00C66EBE" w:rsidP="009325D2">
            <w:pPr>
              <w:spacing w:before="100"/>
              <w:jc w:val="both"/>
              <w:rPr>
                <w:rFonts w:asciiTheme="minorHAnsi" w:hAnsiTheme="minorHAnsi"/>
                <w:sz w:val="24"/>
                <w:szCs w:val="24"/>
              </w:rPr>
            </w:pPr>
            <w:r w:rsidRPr="0099218E">
              <w:rPr>
                <w:rFonts w:asciiTheme="minorHAnsi" w:hAnsiTheme="minorHAnsi"/>
                <w:sz w:val="24"/>
                <w:szCs w:val="24"/>
              </w:rPr>
              <w:t>PLAN</w:t>
            </w:r>
            <w:r w:rsidR="00275543" w:rsidRPr="0099218E">
              <w:rPr>
                <w:rFonts w:asciiTheme="minorHAnsi" w:hAnsiTheme="minorHAnsi"/>
                <w:sz w:val="24"/>
                <w:szCs w:val="24"/>
              </w:rPr>
              <w:t xml:space="preserve"> B</w:t>
            </w:r>
          </w:p>
          <w:p w:rsidR="003C04B8" w:rsidRPr="0099218E" w:rsidRDefault="003C04B8" w:rsidP="009325D2">
            <w:pPr>
              <w:spacing w:before="100"/>
              <w:jc w:val="both"/>
              <w:rPr>
                <w:rFonts w:asciiTheme="minorHAnsi" w:hAnsiTheme="minorHAnsi"/>
                <w:color w:val="C00000"/>
                <w:sz w:val="24"/>
                <w:szCs w:val="24"/>
              </w:rPr>
            </w:pPr>
            <w:r w:rsidRPr="0099218E">
              <w:rPr>
                <w:rFonts w:asciiTheme="minorHAnsi" w:hAnsiTheme="minorHAnsi"/>
                <w:color w:val="C00000"/>
                <w:sz w:val="24"/>
                <w:szCs w:val="24"/>
              </w:rPr>
              <w:t>Štednja kr</w:t>
            </w:r>
            <w:r w:rsidR="00E679BA">
              <w:rPr>
                <w:rFonts w:asciiTheme="minorHAnsi" w:hAnsiTheme="minorHAnsi"/>
                <w:color w:val="C00000"/>
                <w:sz w:val="24"/>
                <w:szCs w:val="24"/>
              </w:rPr>
              <w:t xml:space="preserve">oz dobrovoljni mirovinski fond u usporedbi s </w:t>
            </w:r>
            <w:r w:rsidRPr="0099218E">
              <w:rPr>
                <w:rFonts w:asciiTheme="minorHAnsi" w:hAnsiTheme="minorHAnsi"/>
                <w:color w:val="C00000"/>
                <w:sz w:val="24"/>
                <w:szCs w:val="24"/>
              </w:rPr>
              <w:t>životn</w:t>
            </w:r>
            <w:r w:rsidR="00E679BA">
              <w:rPr>
                <w:rFonts w:asciiTheme="minorHAnsi" w:hAnsiTheme="minorHAnsi"/>
                <w:color w:val="C00000"/>
                <w:sz w:val="24"/>
                <w:szCs w:val="24"/>
              </w:rPr>
              <w:t>im osiguranjem</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Pojedinac je završio prvo petogodišnje razdoblje štednje prije stambenog zaduživanja. Nadalje tijekom narednih 10 godina otplate kredita kumulirao je dodatnu štednju u iznosu 46.999,28  kuna. Pretpostavimo ih i dalje oročava u banci. Sada je u 42 godini života i ima pred sobom još 15 planiranih godina štednje, u kojima može mjesečno na štednju izdvajati 2.500 kn.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Alternativno, umjesto ulaganja u fondove ili oročene štednje u banci</w:t>
            </w:r>
            <w:r w:rsidR="00E679BA">
              <w:rPr>
                <w:rFonts w:asciiTheme="minorHAnsi" w:hAnsiTheme="minorHAnsi"/>
                <w:sz w:val="24"/>
                <w:szCs w:val="24"/>
              </w:rPr>
              <w:t>,</w:t>
            </w:r>
            <w:r w:rsidRPr="0099218E">
              <w:rPr>
                <w:rFonts w:asciiTheme="minorHAnsi" w:hAnsiTheme="minorHAnsi"/>
                <w:sz w:val="24"/>
                <w:szCs w:val="24"/>
              </w:rPr>
              <w:t xml:space="preserve"> kako bi kumulirao štednju za </w:t>
            </w:r>
            <w:r w:rsidR="00E679BA">
              <w:rPr>
                <w:rFonts w:asciiTheme="minorHAnsi" w:hAnsiTheme="minorHAnsi"/>
                <w:sz w:val="24"/>
                <w:szCs w:val="24"/>
              </w:rPr>
              <w:t xml:space="preserve">razdoblje nakon 57 godine života i za starost, </w:t>
            </w:r>
            <w:r w:rsidRPr="0099218E">
              <w:rPr>
                <w:rFonts w:asciiTheme="minorHAnsi" w:hAnsiTheme="minorHAnsi"/>
                <w:sz w:val="24"/>
                <w:szCs w:val="24"/>
              </w:rPr>
              <w:t xml:space="preserve">pojedinac može (u 42 godini života </w:t>
            </w:r>
            <w:r w:rsidRPr="0099218E">
              <w:rPr>
                <w:rFonts w:asciiTheme="minorHAnsi" w:hAnsiTheme="minorHAnsi"/>
                <w:sz w:val="24"/>
                <w:szCs w:val="24"/>
              </w:rPr>
              <w:lastRenderedPageBreak/>
              <w:t xml:space="preserve">nakon što otplati kredit) izabrati ponudu dobrovoljnog mirovinskog fonda. </w:t>
            </w:r>
          </w:p>
          <w:p w:rsidR="003C04B8" w:rsidRPr="00E679BA" w:rsidRDefault="003C04B8" w:rsidP="009325D2">
            <w:pPr>
              <w:spacing w:before="100"/>
              <w:jc w:val="both"/>
              <w:rPr>
                <w:rFonts w:asciiTheme="minorHAnsi" w:hAnsiTheme="minorHAnsi"/>
                <w:color w:val="C00000"/>
                <w:sz w:val="24"/>
                <w:szCs w:val="24"/>
              </w:rPr>
            </w:pPr>
            <w:r w:rsidRPr="0099218E">
              <w:rPr>
                <w:rFonts w:asciiTheme="minorHAnsi" w:hAnsiTheme="minorHAnsi"/>
                <w:sz w:val="24"/>
                <w:szCs w:val="24"/>
              </w:rPr>
              <w:t xml:space="preserve">Gledano iz postojeće pozicije, atraktivnost ulaganja u dobrovoljnu mirovinsku štednju potiče i država kroz </w:t>
            </w:r>
            <w:r w:rsidRPr="00E679BA">
              <w:rPr>
                <w:rFonts w:asciiTheme="minorHAnsi" w:hAnsiTheme="minorHAnsi"/>
                <w:color w:val="C00000"/>
                <w:sz w:val="24"/>
                <w:szCs w:val="24"/>
              </w:rPr>
              <w:t xml:space="preserve">državna poticajna sredstva </w:t>
            </w:r>
            <w:r w:rsidRPr="0099218E">
              <w:rPr>
                <w:rFonts w:asciiTheme="minorHAnsi" w:hAnsiTheme="minorHAnsi"/>
                <w:sz w:val="24"/>
                <w:szCs w:val="24"/>
              </w:rPr>
              <w:t xml:space="preserve">u iznosu maksimalno 750 kuna godišnje za mirovinske doprinose u maksimalnom iznosu </w:t>
            </w:r>
            <w:r w:rsidR="00E679BA">
              <w:rPr>
                <w:rFonts w:asciiTheme="minorHAnsi" w:hAnsiTheme="minorHAnsi"/>
                <w:sz w:val="24"/>
                <w:szCs w:val="24"/>
              </w:rPr>
              <w:t xml:space="preserve">do </w:t>
            </w:r>
            <w:r w:rsidRPr="0099218E">
              <w:rPr>
                <w:rFonts w:asciiTheme="minorHAnsi" w:hAnsiTheme="minorHAnsi"/>
                <w:sz w:val="24"/>
                <w:szCs w:val="24"/>
              </w:rPr>
              <w:t>5.000,00 kuna</w:t>
            </w:r>
            <w:r w:rsidR="00E679BA">
              <w:rPr>
                <w:rFonts w:asciiTheme="minorHAnsi" w:hAnsiTheme="minorHAnsi"/>
                <w:sz w:val="24"/>
                <w:szCs w:val="24"/>
              </w:rPr>
              <w:t xml:space="preserve"> godišnje, odnosno ako se radi o manjim iznosima </w:t>
            </w:r>
            <w:r w:rsidRPr="0099218E">
              <w:rPr>
                <w:rFonts w:asciiTheme="minorHAnsi" w:hAnsiTheme="minorHAnsi"/>
                <w:sz w:val="24"/>
                <w:szCs w:val="24"/>
              </w:rPr>
              <w:t xml:space="preserve">najviše </w:t>
            </w:r>
            <w:r w:rsidR="00E679BA">
              <w:rPr>
                <w:rFonts w:asciiTheme="minorHAnsi" w:hAnsiTheme="minorHAnsi"/>
                <w:sz w:val="24"/>
                <w:szCs w:val="24"/>
              </w:rPr>
              <w:t xml:space="preserve">do </w:t>
            </w:r>
            <w:r w:rsidRPr="0099218E">
              <w:rPr>
                <w:rFonts w:asciiTheme="minorHAnsi" w:hAnsiTheme="minorHAnsi"/>
                <w:sz w:val="24"/>
                <w:szCs w:val="24"/>
              </w:rPr>
              <w:t>15% godišnje</w:t>
            </w:r>
            <w:r w:rsidR="00E679BA">
              <w:rPr>
                <w:rFonts w:asciiTheme="minorHAnsi" w:hAnsiTheme="minorHAnsi"/>
                <w:sz w:val="24"/>
                <w:szCs w:val="24"/>
              </w:rPr>
              <w:t>g iznosa</w:t>
            </w:r>
            <w:r w:rsidRPr="0099218E">
              <w:rPr>
                <w:rFonts w:asciiTheme="minorHAnsi" w:hAnsiTheme="minorHAnsi"/>
                <w:sz w:val="24"/>
                <w:szCs w:val="24"/>
              </w:rPr>
              <w:t xml:space="preserve"> mirovinske štednje. </w:t>
            </w:r>
            <w:r w:rsidRPr="00E679BA">
              <w:rPr>
                <w:rFonts w:asciiTheme="minorHAnsi" w:hAnsiTheme="minorHAnsi"/>
                <w:color w:val="C00000"/>
                <w:sz w:val="24"/>
                <w:szCs w:val="24"/>
              </w:rPr>
              <w:t>Dobrovoljna mirovinska štednja stoga je atraktivnija od npr. životnog osiguranja</w:t>
            </w:r>
            <w:r w:rsidRPr="0099218E">
              <w:rPr>
                <w:rFonts w:asciiTheme="minorHAnsi" w:hAnsiTheme="minorHAnsi"/>
                <w:sz w:val="24"/>
                <w:szCs w:val="24"/>
              </w:rPr>
              <w:t>, a posebno za samca koji nema djecu ili druge članove obitelji koji su o njemu financijski ovisni</w:t>
            </w:r>
            <w:r w:rsidR="00E679BA">
              <w:rPr>
                <w:rFonts w:asciiTheme="minorHAnsi" w:hAnsiTheme="minorHAnsi"/>
                <w:sz w:val="24"/>
                <w:szCs w:val="24"/>
              </w:rPr>
              <w:t xml:space="preserve">. U protivnom bi možda radije izabrao </w:t>
            </w:r>
            <w:r w:rsidR="003F12C4">
              <w:rPr>
                <w:rFonts w:asciiTheme="minorHAnsi" w:hAnsiTheme="minorHAnsi"/>
                <w:sz w:val="24"/>
                <w:szCs w:val="24"/>
              </w:rPr>
              <w:t xml:space="preserve">mješovito </w:t>
            </w:r>
            <w:r w:rsidR="00E679BA">
              <w:rPr>
                <w:rFonts w:asciiTheme="minorHAnsi" w:hAnsiTheme="minorHAnsi"/>
                <w:sz w:val="24"/>
                <w:szCs w:val="24"/>
              </w:rPr>
              <w:t>životno osiguranje u namjeri da zaštiti financijsku sigurnost djece.</w:t>
            </w:r>
            <w:r w:rsidRPr="0099218E">
              <w:rPr>
                <w:rFonts w:asciiTheme="minorHAnsi" w:hAnsiTheme="minorHAnsi"/>
                <w:sz w:val="24"/>
                <w:szCs w:val="24"/>
              </w:rPr>
              <w:t xml:space="preserve"> </w:t>
            </w:r>
            <w:r w:rsidR="00E679BA">
              <w:rPr>
                <w:rFonts w:asciiTheme="minorHAnsi" w:hAnsiTheme="minorHAnsi"/>
                <w:sz w:val="24"/>
                <w:szCs w:val="24"/>
              </w:rPr>
              <w:t xml:space="preserve">Pri tome </w:t>
            </w:r>
            <w:r w:rsidRPr="0099218E">
              <w:rPr>
                <w:rFonts w:asciiTheme="minorHAnsi" w:hAnsiTheme="minorHAnsi"/>
                <w:sz w:val="24"/>
                <w:szCs w:val="24"/>
              </w:rPr>
              <w:t xml:space="preserve">treba voditi računa da </w:t>
            </w:r>
            <w:r w:rsidRPr="00E679BA">
              <w:rPr>
                <w:rFonts w:asciiTheme="minorHAnsi" w:hAnsiTheme="minorHAnsi"/>
                <w:color w:val="C00000"/>
                <w:sz w:val="24"/>
                <w:szCs w:val="24"/>
              </w:rPr>
              <w:t xml:space="preserve">rizici koje pokriva dobrovoljno mirovinsko osiguranje nisu isti kao u slučaju životnog osiguranja </w:t>
            </w:r>
            <w:r w:rsidRPr="0099218E">
              <w:rPr>
                <w:rFonts w:asciiTheme="minorHAnsi" w:hAnsiTheme="minorHAnsi"/>
                <w:sz w:val="24"/>
                <w:szCs w:val="24"/>
              </w:rPr>
              <w:t>npr. mješovitog životnog osiguranja</w:t>
            </w:r>
            <w:r w:rsidR="00E679BA">
              <w:rPr>
                <w:rFonts w:asciiTheme="minorHAnsi" w:hAnsiTheme="minorHAnsi"/>
                <w:sz w:val="24"/>
                <w:szCs w:val="24"/>
              </w:rPr>
              <w:t xml:space="preserve">, </w:t>
            </w:r>
            <w:r w:rsidR="00AD7003">
              <w:rPr>
                <w:rFonts w:asciiTheme="minorHAnsi" w:hAnsiTheme="minorHAnsi"/>
                <w:sz w:val="24"/>
                <w:szCs w:val="24"/>
              </w:rPr>
              <w:t xml:space="preserve">odnosno </w:t>
            </w:r>
            <w:r w:rsidRPr="0099218E">
              <w:rPr>
                <w:rFonts w:asciiTheme="minorHAnsi" w:hAnsiTheme="minorHAnsi"/>
                <w:sz w:val="24"/>
                <w:szCs w:val="24"/>
              </w:rPr>
              <w:t xml:space="preserve">da </w:t>
            </w:r>
            <w:r w:rsidRPr="00E679BA">
              <w:rPr>
                <w:rFonts w:asciiTheme="minorHAnsi" w:hAnsiTheme="minorHAnsi"/>
                <w:color w:val="C00000"/>
                <w:sz w:val="24"/>
                <w:szCs w:val="24"/>
              </w:rPr>
              <w:t>t</w:t>
            </w:r>
            <w:r w:rsidR="00AD7003" w:rsidRPr="00E679BA">
              <w:rPr>
                <w:rFonts w:asciiTheme="minorHAnsi" w:hAnsiTheme="minorHAnsi"/>
                <w:color w:val="C00000"/>
                <w:sz w:val="24"/>
                <w:szCs w:val="24"/>
              </w:rPr>
              <w:t xml:space="preserve">a dva proizvoda </w:t>
            </w:r>
            <w:r w:rsidRPr="00E679BA">
              <w:rPr>
                <w:rFonts w:asciiTheme="minorHAnsi" w:hAnsiTheme="minorHAnsi"/>
                <w:color w:val="C00000"/>
                <w:sz w:val="24"/>
                <w:szCs w:val="24"/>
              </w:rPr>
              <w:t>nisu</w:t>
            </w:r>
            <w:r w:rsidR="00C66EBE" w:rsidRPr="00E679BA">
              <w:rPr>
                <w:rFonts w:asciiTheme="minorHAnsi" w:hAnsiTheme="minorHAnsi"/>
                <w:color w:val="C00000"/>
                <w:sz w:val="24"/>
                <w:szCs w:val="24"/>
              </w:rPr>
              <w:t xml:space="preserve"> supstituti</w:t>
            </w:r>
            <w:r w:rsidRPr="00E679BA">
              <w:rPr>
                <w:rFonts w:asciiTheme="minorHAnsi" w:hAnsiTheme="minorHAnsi"/>
                <w:color w:val="C00000"/>
                <w:sz w:val="24"/>
                <w:szCs w:val="24"/>
              </w:rPr>
              <w:t xml:space="preserv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Kroz mješovito životno osiguranje na 20 godina uz pretpostavku da je osigurana svota za doživljenje jednaka osiguranoj svoti za slučaj smrti</w:t>
            </w:r>
            <w:r w:rsidR="00F05900">
              <w:rPr>
                <w:rFonts w:asciiTheme="minorHAnsi" w:hAnsiTheme="minorHAnsi"/>
                <w:sz w:val="24"/>
                <w:szCs w:val="24"/>
              </w:rPr>
              <w:t xml:space="preserve"> (</w:t>
            </w:r>
            <w:r w:rsidRPr="0099218E">
              <w:rPr>
                <w:rFonts w:asciiTheme="minorHAnsi" w:hAnsiTheme="minorHAnsi"/>
                <w:sz w:val="24"/>
                <w:szCs w:val="24"/>
              </w:rPr>
              <w:t xml:space="preserve">što najčešće odgovara </w:t>
            </w:r>
            <w:r w:rsidR="00F05900">
              <w:rPr>
                <w:rFonts w:asciiTheme="minorHAnsi" w:hAnsiTheme="minorHAnsi"/>
                <w:sz w:val="24"/>
                <w:szCs w:val="24"/>
              </w:rPr>
              <w:t xml:space="preserve">prvoj ili tipičnoj </w:t>
            </w:r>
            <w:r w:rsidRPr="0099218E">
              <w:rPr>
                <w:rFonts w:asciiTheme="minorHAnsi" w:hAnsiTheme="minorHAnsi"/>
                <w:sz w:val="24"/>
                <w:szCs w:val="24"/>
              </w:rPr>
              <w:t xml:space="preserve">ponudi </w:t>
            </w:r>
            <w:r w:rsidR="00F05900">
              <w:rPr>
                <w:rFonts w:asciiTheme="minorHAnsi" w:hAnsiTheme="minorHAnsi"/>
                <w:sz w:val="24"/>
                <w:szCs w:val="24"/>
              </w:rPr>
              <w:t xml:space="preserve">agenata </w:t>
            </w:r>
            <w:r w:rsidRPr="0099218E">
              <w:rPr>
                <w:rFonts w:asciiTheme="minorHAnsi" w:hAnsiTheme="minorHAnsi"/>
                <w:sz w:val="24"/>
                <w:szCs w:val="24"/>
              </w:rPr>
              <w:t xml:space="preserve">društva za osiguranje), kapitalizirana štednja definirana visinom osigurane svota za doživljenje u nominalnim terminima je približno ista zbroju svih uplaćenih premija, ali taj iznos nakon 20 godina zbog inflacije realno vrijedi daleko manje. (Uz stopu inflacije 2,25% godišnje,  diskontni faktor je 0,64, što znači da 1 nominalna kuna za 20 godina realno vrijedi 64 lipe, dok za 30 godina diskontni faktor iznosi 0,51 pa 1 kuna u nominalnim terminima realno vrijedi samo 51 lipu). </w:t>
            </w:r>
          </w:p>
          <w:p w:rsidR="003C04B8" w:rsidRPr="0099218E" w:rsidRDefault="00F05900" w:rsidP="009325D2">
            <w:pPr>
              <w:spacing w:before="100"/>
              <w:jc w:val="both"/>
              <w:rPr>
                <w:rFonts w:asciiTheme="minorHAnsi" w:hAnsiTheme="minorHAnsi"/>
                <w:sz w:val="24"/>
                <w:szCs w:val="24"/>
              </w:rPr>
            </w:pPr>
            <w:r w:rsidRPr="003F12C4">
              <w:rPr>
                <w:rFonts w:asciiTheme="minorHAnsi" w:hAnsiTheme="minorHAnsi"/>
                <w:color w:val="C00000"/>
                <w:sz w:val="24"/>
                <w:szCs w:val="24"/>
              </w:rPr>
              <w:t xml:space="preserve">U ovom primjeru </w:t>
            </w:r>
            <w:r w:rsidR="003C04B8" w:rsidRPr="0099218E">
              <w:rPr>
                <w:rFonts w:asciiTheme="minorHAnsi" w:hAnsiTheme="minorHAnsi"/>
                <w:sz w:val="24"/>
                <w:szCs w:val="24"/>
              </w:rPr>
              <w:t xml:space="preserve">je </w:t>
            </w:r>
            <w:r>
              <w:rPr>
                <w:rFonts w:asciiTheme="minorHAnsi" w:hAnsiTheme="minorHAnsi"/>
                <w:sz w:val="24"/>
                <w:szCs w:val="24"/>
              </w:rPr>
              <w:t xml:space="preserve">za pojedinca </w:t>
            </w:r>
            <w:r w:rsidR="003C04B8" w:rsidRPr="0099218E">
              <w:rPr>
                <w:rFonts w:asciiTheme="minorHAnsi" w:hAnsiTheme="minorHAnsi"/>
                <w:sz w:val="24"/>
                <w:szCs w:val="24"/>
              </w:rPr>
              <w:t xml:space="preserve">stoga primjerenije </w:t>
            </w:r>
            <w:r>
              <w:rPr>
                <w:rFonts w:asciiTheme="minorHAnsi" w:hAnsiTheme="minorHAnsi"/>
                <w:sz w:val="24"/>
                <w:szCs w:val="24"/>
              </w:rPr>
              <w:t xml:space="preserve">izabrati </w:t>
            </w:r>
            <w:r w:rsidR="003C04B8" w:rsidRPr="0099218E">
              <w:rPr>
                <w:rFonts w:asciiTheme="minorHAnsi" w:hAnsiTheme="minorHAnsi"/>
                <w:sz w:val="24"/>
                <w:szCs w:val="24"/>
              </w:rPr>
              <w:t xml:space="preserve">dobrovoljno mirovinsko osiguranje. Međutim, svakako treba voditi računa da je ono </w:t>
            </w:r>
            <w:r w:rsidR="003C04B8" w:rsidRPr="003F12C4">
              <w:rPr>
                <w:rFonts w:asciiTheme="minorHAnsi" w:hAnsiTheme="minorHAnsi"/>
                <w:color w:val="C00000"/>
                <w:sz w:val="24"/>
                <w:szCs w:val="24"/>
              </w:rPr>
              <w:t>prilično nelikvidan oblik imovine /štednje jer se sredstvima može raspolagati tek nakon navršenih 50 godina života</w:t>
            </w:r>
            <w:r w:rsidR="003C04B8" w:rsidRPr="0099218E">
              <w:rPr>
                <w:rFonts w:asciiTheme="minorHAnsi" w:hAnsiTheme="minorHAnsi"/>
                <w:sz w:val="24"/>
                <w:szCs w:val="24"/>
              </w:rPr>
              <w:t>.</w:t>
            </w:r>
            <w:r>
              <w:rPr>
                <w:rFonts w:asciiTheme="minorHAnsi" w:hAnsiTheme="minorHAnsi"/>
                <w:sz w:val="24"/>
                <w:szCs w:val="24"/>
              </w:rPr>
              <w:t xml:space="preserve"> (S druge strane </w:t>
            </w:r>
            <w:r w:rsidR="003F12C4">
              <w:rPr>
                <w:rFonts w:asciiTheme="minorHAnsi" w:hAnsiTheme="minorHAnsi"/>
                <w:sz w:val="24"/>
                <w:szCs w:val="24"/>
              </w:rPr>
              <w:t xml:space="preserve">mješovito </w:t>
            </w:r>
            <w:r>
              <w:rPr>
                <w:rFonts w:asciiTheme="minorHAnsi" w:hAnsiTheme="minorHAnsi"/>
                <w:sz w:val="24"/>
                <w:szCs w:val="24"/>
              </w:rPr>
              <w:t>životno osiguranje sklopljeno na kraće rokove 5</w:t>
            </w:r>
            <w:r w:rsidR="003F12C4">
              <w:rPr>
                <w:rFonts w:asciiTheme="minorHAnsi" w:hAnsiTheme="minorHAnsi"/>
                <w:sz w:val="24"/>
                <w:szCs w:val="24"/>
              </w:rPr>
              <w:t xml:space="preserve"> do 10 godina može omogućiti priju dostupnost </w:t>
            </w:r>
            <w:r>
              <w:rPr>
                <w:rFonts w:asciiTheme="minorHAnsi" w:hAnsiTheme="minorHAnsi"/>
                <w:sz w:val="24"/>
                <w:szCs w:val="24"/>
              </w:rPr>
              <w:t>štednje</w:t>
            </w:r>
            <w:r w:rsidR="003F12C4">
              <w:rPr>
                <w:rFonts w:asciiTheme="minorHAnsi" w:hAnsiTheme="minorHAnsi"/>
                <w:sz w:val="24"/>
                <w:szCs w:val="24"/>
              </w:rPr>
              <w:t>, dok životno osiguranje samo za slučaj doživljenja može predstavljati i oblik štednje s visokim prinosom, ali nema isplate ako osoba ne doživi ugovoreni rok</w:t>
            </w:r>
            <w:r>
              <w:rPr>
                <w:rFonts w:asciiTheme="minorHAnsi" w:hAnsiTheme="minorHAnsi"/>
                <w:sz w:val="24"/>
                <w:szCs w:val="24"/>
              </w:rPr>
              <w:t>).</w:t>
            </w:r>
            <w:r w:rsidR="003F12C4">
              <w:rPr>
                <w:rFonts w:asciiTheme="minorHAnsi" w:hAnsiTheme="minorHAnsi"/>
                <w:sz w:val="24"/>
                <w:szCs w:val="24"/>
              </w:rPr>
              <w:t xml:space="preserve"> Kod mirovinskih fondova uobičajeno postoji </w:t>
            </w:r>
            <w:r w:rsidR="003F12C4" w:rsidRPr="0099218E">
              <w:rPr>
                <w:rFonts w:asciiTheme="minorHAnsi" w:hAnsiTheme="minorHAnsi"/>
                <w:sz w:val="24"/>
                <w:szCs w:val="24"/>
              </w:rPr>
              <w:t xml:space="preserve"> </w:t>
            </w:r>
            <w:r w:rsidR="003C04B8" w:rsidRPr="0099218E">
              <w:rPr>
                <w:rFonts w:asciiTheme="minorHAnsi" w:hAnsiTheme="minorHAnsi"/>
                <w:sz w:val="24"/>
                <w:szCs w:val="24"/>
              </w:rPr>
              <w:t>ulazna naknada u jednokratnom iznosu 1.250,00 kuna. Naknada</w:t>
            </w:r>
            <w:r w:rsidR="003F12C4">
              <w:rPr>
                <w:rFonts w:asciiTheme="minorHAnsi" w:hAnsiTheme="minorHAnsi"/>
                <w:sz w:val="24"/>
                <w:szCs w:val="24"/>
              </w:rPr>
              <w:t xml:space="preserve">, </w:t>
            </w:r>
            <w:r w:rsidR="003C04B8" w:rsidRPr="0099218E">
              <w:rPr>
                <w:rFonts w:asciiTheme="minorHAnsi" w:hAnsiTheme="minorHAnsi"/>
                <w:sz w:val="24"/>
                <w:szCs w:val="24"/>
              </w:rPr>
              <w:t>za upravljanje je oko 1,8% godišnje, a financira se iz ukupne imovine fonda umanjene za iznos svih obveza fonda s osnove ulaganja. Ukoliko član prekida članstvo u fondu ili prenosi sredstva na osobni račun otvoren u  drugom fondu kojim ne upravlja isto društvo u razdoblju štednje kraćem od 10 godina plaća uobičajeno izlaznu naknadu u visini 10% sredstava na osobnom računu, a ako je razdoblje izlaska iz fonda nakon 10 godina članstva</w:t>
            </w:r>
            <w:r w:rsidR="003F12C4">
              <w:rPr>
                <w:rFonts w:asciiTheme="minorHAnsi" w:hAnsiTheme="minorHAnsi"/>
                <w:sz w:val="24"/>
                <w:szCs w:val="24"/>
              </w:rPr>
              <w:t>,</w:t>
            </w:r>
            <w:r w:rsidR="003C04B8" w:rsidRPr="0099218E">
              <w:rPr>
                <w:rFonts w:asciiTheme="minorHAnsi" w:hAnsiTheme="minorHAnsi"/>
                <w:sz w:val="24"/>
                <w:szCs w:val="24"/>
              </w:rPr>
              <w:t xml:space="preserve"> izlazna naknada je uobičajeno 5%. </w:t>
            </w:r>
            <w:r w:rsidR="003C04B8" w:rsidRPr="003F12C4">
              <w:rPr>
                <w:rFonts w:asciiTheme="minorHAnsi" w:hAnsiTheme="minorHAnsi"/>
                <w:color w:val="C00000"/>
                <w:sz w:val="24"/>
                <w:szCs w:val="24"/>
              </w:rPr>
              <w:t>Dobrovoljna mirovinska štednja stoga je namijenjena osobama koje su spremne prihvatiti dugoročnu ugovornu štednju i svjesne da će sredstvima moći raspolagati tek nakon navršenih 50 godina života</w:t>
            </w:r>
            <w:r w:rsidR="003C04B8" w:rsidRPr="0099218E">
              <w:rPr>
                <w:rFonts w:asciiTheme="minorHAnsi" w:hAnsiTheme="minorHAnsi"/>
                <w:sz w:val="24"/>
                <w:szCs w:val="24"/>
              </w:rPr>
              <w:t>.</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Uz uplate 2.500 kuna mirovinskih doprinosa mjesečno (odnosno 30.000,00 kn godišnje), kroz narednih 15 godina i uz prinos fonda na razini 5% ukupan iznos kapitalizirane mirovinske štednje iznosit će 628.662,67 kuna (nisu uzete u obzir naknade), što u 57 godini života pojedinca (ali i kasnije) omogućava </w:t>
            </w:r>
            <w:r w:rsidR="00EF1C31">
              <w:rPr>
                <w:rFonts w:asciiTheme="minorHAnsi" w:hAnsiTheme="minorHAnsi"/>
                <w:sz w:val="24"/>
                <w:szCs w:val="24"/>
              </w:rPr>
              <w:t xml:space="preserve">npr. </w:t>
            </w:r>
            <w:r w:rsidRPr="0099218E">
              <w:rPr>
                <w:rFonts w:asciiTheme="minorHAnsi" w:hAnsiTheme="minorHAnsi"/>
                <w:sz w:val="24"/>
                <w:szCs w:val="24"/>
              </w:rPr>
              <w:t xml:space="preserve">jednokratnu isplatu 30% u iznosu 204.282,82 kuna te </w:t>
            </w:r>
            <w:r w:rsidR="00EF1C31">
              <w:rPr>
                <w:rFonts w:asciiTheme="minorHAnsi" w:hAnsiTheme="minorHAnsi"/>
                <w:sz w:val="24"/>
                <w:szCs w:val="24"/>
              </w:rPr>
              <w:t xml:space="preserve">periodične </w:t>
            </w:r>
            <w:r w:rsidRPr="0099218E">
              <w:rPr>
                <w:rFonts w:asciiTheme="minorHAnsi" w:hAnsiTheme="minorHAnsi"/>
                <w:sz w:val="24"/>
                <w:szCs w:val="24"/>
              </w:rPr>
              <w:t xml:space="preserve">isplate u visini 7.954,09 kn mjesečno kroz narednih pet godina (između njegove 57 i 62 godine života). Ako se u nominalnim terminima sva ta sredstva ravnomjerno rasporede (podijele) na narednih 15 godina i uz prinos 0% pojedinac može svaki mjesec raspolagati nominalnim iznosom od čak 3.786,27 kuna što je znatno više nego što je postavljeno ciljevima ulaganja u nominalnim terminima, ali znatno manje u realnim terminima ako uzmemo u obzir učinke inflacije na vremensku vrijednost novca. Zato je potrebno razmisliti i o drugim opcijama, npr. da se cijeli iznos mjesečnih mirovinskim </w:t>
            </w:r>
            <w:r w:rsidRPr="0099218E">
              <w:rPr>
                <w:rFonts w:asciiTheme="minorHAnsi" w:hAnsiTheme="minorHAnsi"/>
                <w:sz w:val="24"/>
                <w:szCs w:val="24"/>
              </w:rPr>
              <w:lastRenderedPageBreak/>
              <w:t>primanja ne koristi za potrošnju nego da se veći dio i dalje štedi.</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Primijetite da će u 57 godini života pojedinca i uz prosječnu godišnju stopu inflacije 2,25%  iznos 7.954,09 kn (koliko je pravo na mjesečne mirovinske isplate kroz pet godina) realno vrijediti 4.080,29 kuna. To znači da se </w:t>
            </w:r>
            <w:r w:rsidRPr="00C66EBE">
              <w:rPr>
                <w:rFonts w:asciiTheme="minorHAnsi" w:hAnsiTheme="minorHAnsi"/>
                <w:sz w:val="28"/>
                <w:szCs w:val="28"/>
              </w:rPr>
              <w:t>¾</w:t>
            </w:r>
            <w:r w:rsidRPr="0099218E">
              <w:rPr>
                <w:rFonts w:asciiTheme="minorHAnsi" w:hAnsiTheme="minorHAnsi"/>
                <w:sz w:val="24"/>
                <w:szCs w:val="24"/>
              </w:rPr>
              <w:t xml:space="preserve"> mjesečnog iznosa privremene mirovine mogu dalje oročavati a da pojedinac ispunjava svoj cilj mjesečnih dodatnih izvora primitaka u realnom iznosu oko 1.000,00 kuna).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Oročavanjem </w:t>
            </w:r>
            <w:r w:rsidRPr="00C66EBE">
              <w:rPr>
                <w:rFonts w:asciiTheme="minorHAnsi" w:hAnsiTheme="minorHAnsi"/>
                <w:sz w:val="28"/>
                <w:szCs w:val="28"/>
              </w:rPr>
              <w:t>¾</w:t>
            </w:r>
            <w:r w:rsidRPr="0099218E">
              <w:rPr>
                <w:rFonts w:asciiTheme="minorHAnsi" w:hAnsiTheme="minorHAnsi"/>
                <w:sz w:val="24"/>
                <w:szCs w:val="24"/>
              </w:rPr>
              <w:t xml:space="preserve"> iznosa, što znači  5.965,57 kuna svaki mjesec, pojedinac može za pet godina s kamatama kumulirati 378.955,33 kn, a i dalje ima mjesečne dodatne izvore primitaka u realnom iznosu oko 1.000 kuna te visoko likvidnu štednju. Dodatno, ukoliko iznos 204.282,82 kuna (koje su mu isplaćene u 57 godini života) oroči na pet godina raspolagat će u 62 godini života s 228.322,35 kuna. Zajedno s prethodnim iznosom</w:t>
            </w:r>
            <w:r w:rsidR="00EF1C31">
              <w:rPr>
                <w:rFonts w:asciiTheme="minorHAnsi" w:hAnsiTheme="minorHAnsi"/>
                <w:sz w:val="24"/>
                <w:szCs w:val="24"/>
              </w:rPr>
              <w:t>,</w:t>
            </w:r>
            <w:r w:rsidRPr="0099218E">
              <w:rPr>
                <w:rFonts w:asciiTheme="minorHAnsi" w:hAnsiTheme="minorHAnsi"/>
                <w:sz w:val="24"/>
                <w:szCs w:val="24"/>
              </w:rPr>
              <w:t xml:space="preserve"> ukupno kumulirana štednja (kroz kombinaciju dobrovoljnog mirovinskog osiguranja i oročenja u banci) u 62 godini života iznosi 607.277,68. No, to nije sve, </w:t>
            </w:r>
            <w:r w:rsidR="00C66EBE">
              <w:rPr>
                <w:rFonts w:asciiTheme="minorHAnsi" w:hAnsiTheme="minorHAnsi"/>
                <w:sz w:val="24"/>
                <w:szCs w:val="24"/>
              </w:rPr>
              <w:t>postoji još</w:t>
            </w:r>
            <w:r w:rsidRPr="0099218E">
              <w:rPr>
                <w:rFonts w:asciiTheme="minorHAnsi" w:hAnsiTheme="minorHAnsi"/>
                <w:sz w:val="24"/>
                <w:szCs w:val="24"/>
              </w:rPr>
              <w:t xml:space="preserve"> 46.999,28  kuna koje je pojedinac kumulirao do 42 godine života (tijekom razdoblja otplate kredita). Njihovim kontinuiranim oročavanjem do 62 godine života (tj. 20 godina) pojedinac je kumulirao 73.342,81 kn.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Kada se sve to zbroji, ako se iznos 680. 620,49 kuna ravnomjerno rasporedi na preostalih 15 godina (180 mjeseci) koje su postavljene u ciljevima (od 62 do 77 godine života pojedinca), čak i uz prinos 0% svaki mjesec u nominalnim terminima ima na raspolaganju 3.781,22 kn. Pri tome će (uz prosječnu stopu inflacije 2,25% godišnje) u 62 godini života pojedinca (odnosno 35 godina nakon početka priče) to realno vrijediti 1735,47 kn, a u 77 godini života 1.242,97 kn.</w:t>
            </w:r>
          </w:p>
          <w:p w:rsidR="003C04B8"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Cilj je postignut čak uz premašenje željenog iznosa, ali sredstva i dalje cijelo vrijeme treba oplođivati, npr. kroz kontinuirana oročenja </w:t>
            </w:r>
            <w:r w:rsidR="00C66EBE">
              <w:rPr>
                <w:rFonts w:asciiTheme="minorHAnsi" w:hAnsiTheme="minorHAnsi"/>
                <w:sz w:val="24"/>
                <w:szCs w:val="24"/>
              </w:rPr>
              <w:t>„</w:t>
            </w:r>
            <w:r w:rsidRPr="0099218E">
              <w:rPr>
                <w:rFonts w:asciiTheme="minorHAnsi" w:hAnsiTheme="minorHAnsi"/>
                <w:sz w:val="24"/>
                <w:szCs w:val="24"/>
              </w:rPr>
              <w:t>ne</w:t>
            </w:r>
            <w:r w:rsidR="00C66EBE">
              <w:rPr>
                <w:rFonts w:asciiTheme="minorHAnsi" w:hAnsiTheme="minorHAnsi"/>
                <w:sz w:val="24"/>
                <w:szCs w:val="24"/>
              </w:rPr>
              <w:t>konzumirane“</w:t>
            </w:r>
            <w:r w:rsidRPr="0099218E">
              <w:rPr>
                <w:rFonts w:asciiTheme="minorHAnsi" w:hAnsiTheme="minorHAnsi"/>
                <w:sz w:val="24"/>
                <w:szCs w:val="24"/>
              </w:rPr>
              <w:t xml:space="preserve"> štednje u banci. Znači povlačiti iz štednje onoliko sredstava koliko će mu trebati na mjesečnoj ili polugodišnjoj ili pak godišnjoj razini</w:t>
            </w:r>
            <w:r w:rsidR="00C66EBE">
              <w:rPr>
                <w:rFonts w:asciiTheme="minorHAnsi" w:hAnsiTheme="minorHAnsi"/>
                <w:sz w:val="24"/>
                <w:szCs w:val="24"/>
              </w:rPr>
              <w:t>,</w:t>
            </w:r>
            <w:r w:rsidRPr="0099218E">
              <w:rPr>
                <w:rFonts w:asciiTheme="minorHAnsi" w:hAnsiTheme="minorHAnsi"/>
                <w:sz w:val="24"/>
                <w:szCs w:val="24"/>
              </w:rPr>
              <w:t xml:space="preserve"> a razliku preostale štednje stalno i dalje oročavati. S obzirom da je kamatna stopa na </w:t>
            </w:r>
            <w:r w:rsidR="00EF1C31">
              <w:rPr>
                <w:rFonts w:asciiTheme="minorHAnsi" w:hAnsiTheme="minorHAnsi"/>
                <w:sz w:val="24"/>
                <w:szCs w:val="24"/>
              </w:rPr>
              <w:t xml:space="preserve">oročenu </w:t>
            </w:r>
            <w:r w:rsidRPr="0099218E">
              <w:rPr>
                <w:rFonts w:asciiTheme="minorHAnsi" w:hAnsiTheme="minorHAnsi"/>
                <w:sz w:val="24"/>
                <w:szCs w:val="24"/>
              </w:rPr>
              <w:t>štednju jednaka a</w:t>
            </w:r>
            <w:r w:rsidR="00EF1C31">
              <w:rPr>
                <w:rFonts w:asciiTheme="minorHAnsi" w:hAnsiTheme="minorHAnsi"/>
                <w:sz w:val="24"/>
                <w:szCs w:val="24"/>
              </w:rPr>
              <w:t xml:space="preserve"> (</w:t>
            </w:r>
            <w:r w:rsidRPr="0099218E">
              <w:rPr>
                <w:rFonts w:asciiTheme="minorHAnsi" w:hAnsiTheme="minorHAnsi"/>
                <w:sz w:val="24"/>
                <w:szCs w:val="24"/>
              </w:rPr>
              <w:t>u praksi</w:t>
            </w:r>
            <w:r w:rsidR="00EF1C31">
              <w:rPr>
                <w:rFonts w:asciiTheme="minorHAnsi" w:hAnsiTheme="minorHAnsi"/>
                <w:sz w:val="24"/>
                <w:szCs w:val="24"/>
              </w:rPr>
              <w:t>)</w:t>
            </w:r>
            <w:r w:rsidRPr="0099218E">
              <w:rPr>
                <w:rFonts w:asciiTheme="minorHAnsi" w:hAnsiTheme="minorHAnsi"/>
                <w:sz w:val="24"/>
                <w:szCs w:val="24"/>
              </w:rPr>
              <w:t xml:space="preserve"> obično i </w:t>
            </w:r>
            <w:r w:rsidR="00EF1C31">
              <w:rPr>
                <w:rFonts w:asciiTheme="minorHAnsi" w:hAnsiTheme="minorHAnsi"/>
                <w:sz w:val="24"/>
                <w:szCs w:val="24"/>
              </w:rPr>
              <w:t xml:space="preserve">nešto </w:t>
            </w:r>
            <w:r w:rsidRPr="0099218E">
              <w:rPr>
                <w:rFonts w:asciiTheme="minorHAnsi" w:hAnsiTheme="minorHAnsi"/>
                <w:sz w:val="24"/>
                <w:szCs w:val="24"/>
              </w:rPr>
              <w:t xml:space="preserve">veća od stope inflacije, kapitalizacija se odvija na zadovoljavajući način do razdoblja koje je postavljeno u zadatku, ali ipak nisu u dostatnom iznosu osigurana sredstva dodatnih izvora primitaka nakon 77 godine života, a tko zna možda pojedinac doživi i 97 godinu života. </w:t>
            </w:r>
          </w:p>
          <w:p w:rsidR="00F12963" w:rsidRDefault="00F12963" w:rsidP="009325D2">
            <w:pPr>
              <w:spacing w:before="100"/>
              <w:jc w:val="both"/>
              <w:rPr>
                <w:rFonts w:asciiTheme="minorHAnsi" w:hAnsiTheme="minorHAnsi" w:cs="Arial"/>
                <w:color w:val="000000"/>
                <w:shd w:val="clear" w:color="auto" w:fill="FFFFFF"/>
              </w:rPr>
            </w:pPr>
            <w:r w:rsidRPr="00060663">
              <w:rPr>
                <w:rFonts w:asciiTheme="minorHAnsi" w:hAnsiTheme="minorHAnsi"/>
              </w:rPr>
              <w:t xml:space="preserve">* </w:t>
            </w:r>
            <w:r w:rsidRPr="00681F41">
              <w:rPr>
                <w:rFonts w:asciiTheme="minorHAnsi" w:hAnsiTheme="minorHAnsi" w:cs="Arial"/>
                <w:color w:val="000000"/>
                <w:shd w:val="clear" w:color="auto" w:fill="FFFFFF"/>
              </w:rPr>
              <w:t>Izračun je informativan i ne može se koristiti u druge svrhe</w:t>
            </w:r>
            <w:r>
              <w:rPr>
                <w:rFonts w:asciiTheme="minorHAnsi" w:hAnsiTheme="minorHAnsi" w:cs="Arial"/>
                <w:color w:val="000000"/>
                <w:shd w:val="clear" w:color="auto" w:fill="FFFFFF"/>
              </w:rPr>
              <w:t>.</w:t>
            </w:r>
          </w:p>
          <w:p w:rsidR="00F12963" w:rsidRPr="0099218E" w:rsidRDefault="00F12963" w:rsidP="009325D2">
            <w:pPr>
              <w:spacing w:before="100"/>
              <w:jc w:val="both"/>
              <w:rPr>
                <w:rFonts w:asciiTheme="minorHAnsi" w:hAnsiTheme="minorHAnsi"/>
                <w:sz w:val="24"/>
                <w:szCs w:val="24"/>
              </w:rPr>
            </w:pP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PLAN C</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Alternativno</w:t>
            </w:r>
            <w:r w:rsidR="00EF1C31">
              <w:rPr>
                <w:rFonts w:asciiTheme="minorHAnsi" w:hAnsiTheme="minorHAnsi"/>
                <w:sz w:val="24"/>
                <w:szCs w:val="24"/>
              </w:rPr>
              <w:t xml:space="preserve"> svem navedenom, </w:t>
            </w:r>
            <w:r w:rsidRPr="00EF1C31">
              <w:rPr>
                <w:rFonts w:asciiTheme="minorHAnsi" w:hAnsiTheme="minorHAnsi"/>
                <w:color w:val="C00000"/>
                <w:sz w:val="24"/>
                <w:szCs w:val="24"/>
              </w:rPr>
              <w:t>dobrovoljno mirovinsko osiguranje omogućuje i drugačije modalitete isplata mirovinskih davanja</w:t>
            </w:r>
            <w:r w:rsidR="00EF1C31">
              <w:rPr>
                <w:rFonts w:asciiTheme="minorHAnsi" w:hAnsiTheme="minorHAnsi"/>
                <w:color w:val="C00000"/>
                <w:sz w:val="24"/>
                <w:szCs w:val="24"/>
              </w:rPr>
              <w:t xml:space="preserve"> </w:t>
            </w:r>
            <w:r w:rsidR="00EF1C31" w:rsidRPr="00EF1C31">
              <w:rPr>
                <w:rFonts w:asciiTheme="minorHAnsi" w:hAnsiTheme="minorHAnsi"/>
                <w:color w:val="C00000"/>
                <w:sz w:val="24"/>
                <w:szCs w:val="24"/>
              </w:rPr>
              <w:t>(preko mirovinskog osiguravajućeg društva</w:t>
            </w:r>
            <w:r w:rsidR="00EF1C31">
              <w:rPr>
                <w:rFonts w:asciiTheme="minorHAnsi" w:hAnsiTheme="minorHAnsi"/>
                <w:color w:val="C00000"/>
                <w:sz w:val="24"/>
                <w:szCs w:val="24"/>
              </w:rPr>
              <w:t>)</w:t>
            </w:r>
            <w:r w:rsidRPr="0099218E">
              <w:rPr>
                <w:rFonts w:asciiTheme="minorHAnsi" w:hAnsiTheme="minorHAnsi"/>
                <w:sz w:val="24"/>
                <w:szCs w:val="24"/>
              </w:rPr>
              <w:t xml:space="preserve">. Možda </w:t>
            </w:r>
            <w:r w:rsidR="00EF1C31">
              <w:rPr>
                <w:rFonts w:asciiTheme="minorHAnsi" w:hAnsiTheme="minorHAnsi"/>
                <w:sz w:val="24"/>
                <w:szCs w:val="24"/>
              </w:rPr>
              <w:t xml:space="preserve">pojedincu </w:t>
            </w:r>
            <w:r w:rsidRPr="0099218E">
              <w:rPr>
                <w:rFonts w:asciiTheme="minorHAnsi" w:hAnsiTheme="minorHAnsi"/>
                <w:sz w:val="24"/>
                <w:szCs w:val="24"/>
              </w:rPr>
              <w:t xml:space="preserve">svi </w:t>
            </w:r>
            <w:r w:rsidR="00E63D72">
              <w:rPr>
                <w:rFonts w:asciiTheme="minorHAnsi" w:hAnsiTheme="minorHAnsi"/>
                <w:sz w:val="24"/>
                <w:szCs w:val="24"/>
              </w:rPr>
              <w:t xml:space="preserve">mogući </w:t>
            </w:r>
            <w:r w:rsidRPr="0099218E">
              <w:rPr>
                <w:rFonts w:asciiTheme="minorHAnsi" w:hAnsiTheme="minorHAnsi"/>
                <w:sz w:val="24"/>
                <w:szCs w:val="24"/>
              </w:rPr>
              <w:t xml:space="preserve">modaliteti </w:t>
            </w:r>
            <w:r w:rsidR="00E63D72">
              <w:rPr>
                <w:rFonts w:asciiTheme="minorHAnsi" w:hAnsiTheme="minorHAnsi"/>
                <w:sz w:val="24"/>
                <w:szCs w:val="24"/>
              </w:rPr>
              <w:t xml:space="preserve">isplata </w:t>
            </w:r>
            <w:r w:rsidRPr="0099218E">
              <w:rPr>
                <w:rFonts w:asciiTheme="minorHAnsi" w:hAnsiTheme="minorHAnsi"/>
                <w:sz w:val="24"/>
                <w:szCs w:val="24"/>
              </w:rPr>
              <w:t>neće odgovarati, ali njegovo je pravo biti informiran i razmotriti sve opcije.</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Uz pretpostavku uplaćivanja mjesečnih doprinosa u iznosu 2.500 </w:t>
            </w:r>
            <w:r w:rsidR="00E63D72">
              <w:rPr>
                <w:rFonts w:asciiTheme="minorHAnsi" w:hAnsiTheme="minorHAnsi"/>
                <w:sz w:val="24"/>
                <w:szCs w:val="24"/>
              </w:rPr>
              <w:t xml:space="preserve">kuna </w:t>
            </w:r>
            <w:r w:rsidRPr="0099218E">
              <w:rPr>
                <w:rFonts w:asciiTheme="minorHAnsi" w:hAnsiTheme="minorHAnsi"/>
                <w:sz w:val="24"/>
                <w:szCs w:val="24"/>
              </w:rPr>
              <w:t xml:space="preserve">kroz 15 godina i prosječni prinos 5% moguća je npr. doživotna mirovina nakon 65 godine života u nominalnom iznosu 3.386,33 kn mjesečno, što je znatno više od cilja koji je pojedinac postavio u nominalnim terminima. Za 38 godina (kada će pojedinac imati 65 godina života) uz stopu inflacije 2,25% godišnje u realnim terminima to vrijedi 1.453,86 kn. Za 50 godina kada će pojedinac imati 77 godina života taj iznos </w:t>
            </w:r>
            <w:r w:rsidR="00E63D72">
              <w:rPr>
                <w:rFonts w:asciiTheme="minorHAnsi" w:hAnsiTheme="minorHAnsi"/>
                <w:sz w:val="24"/>
                <w:szCs w:val="24"/>
              </w:rPr>
              <w:t xml:space="preserve">realno </w:t>
            </w:r>
            <w:r w:rsidRPr="0099218E">
              <w:rPr>
                <w:rFonts w:asciiTheme="minorHAnsi" w:hAnsiTheme="minorHAnsi"/>
                <w:sz w:val="24"/>
                <w:szCs w:val="24"/>
              </w:rPr>
              <w:t>vrijedi 1</w:t>
            </w:r>
            <w:r w:rsidR="00E63D72">
              <w:rPr>
                <w:rFonts w:asciiTheme="minorHAnsi" w:hAnsiTheme="minorHAnsi"/>
                <w:sz w:val="24"/>
                <w:szCs w:val="24"/>
              </w:rPr>
              <w:t>.</w:t>
            </w:r>
            <w:r w:rsidRPr="0099218E">
              <w:rPr>
                <w:rFonts w:asciiTheme="minorHAnsi" w:hAnsiTheme="minorHAnsi"/>
                <w:sz w:val="24"/>
                <w:szCs w:val="24"/>
              </w:rPr>
              <w:t xml:space="preserve">113,18 kn, ali za 60 godina kada će pojedinac imati 87 godina svega 891,11 kn. No, bez obzira na sve osigurana je doživotna mirovina, a osoba je ipak barem djelomično financijski zaštićena od rizika </w:t>
            </w:r>
            <w:r w:rsidRPr="0099218E">
              <w:rPr>
                <w:rFonts w:asciiTheme="minorHAnsi" w:hAnsiTheme="minorHAnsi"/>
                <w:sz w:val="24"/>
                <w:szCs w:val="24"/>
              </w:rPr>
              <w:lastRenderedPageBreak/>
              <w:t>dohotka u godinama starosti</w:t>
            </w:r>
            <w:r w:rsidR="00E63D72">
              <w:rPr>
                <w:rFonts w:asciiTheme="minorHAnsi" w:hAnsiTheme="minorHAnsi"/>
                <w:sz w:val="24"/>
                <w:szCs w:val="24"/>
              </w:rPr>
              <w:t xml:space="preserve"> (odnosno rizika dugovječnosti)</w:t>
            </w:r>
            <w:r w:rsidRPr="0099218E">
              <w:rPr>
                <w:rFonts w:asciiTheme="minorHAnsi" w:hAnsiTheme="minorHAnsi"/>
                <w:sz w:val="24"/>
                <w:szCs w:val="24"/>
              </w:rPr>
              <w:t xml:space="preserve">. </w:t>
            </w:r>
          </w:p>
          <w:p w:rsidR="003C04B8" w:rsidRPr="00C66EBE" w:rsidRDefault="003C04B8" w:rsidP="009325D2">
            <w:pPr>
              <w:spacing w:before="100"/>
              <w:jc w:val="both"/>
              <w:rPr>
                <w:rFonts w:asciiTheme="minorHAnsi" w:hAnsiTheme="minorHAnsi"/>
                <w:i/>
                <w:sz w:val="24"/>
                <w:szCs w:val="24"/>
              </w:rPr>
            </w:pPr>
            <w:r w:rsidRPr="00C66EBE">
              <w:rPr>
                <w:rFonts w:asciiTheme="minorHAnsi" w:hAnsiTheme="minorHAnsi"/>
                <w:i/>
                <w:sz w:val="24"/>
                <w:szCs w:val="24"/>
              </w:rPr>
              <w:t xml:space="preserve">Napomena: Primijetite da u ovom  modelu nisu u dostatnom iznosu osigurana financijska sredstva za razdoblje između 57 i 65 godine života.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PLAN D</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S druge strane, uz pretpostavku uplaćivanja mjesečnih doprinosa u iznosu 2.000 kuna (manje nego što je prije pretpostavljeno kako bi pojedinac ipak dio štednje zadržao u likvidnom obliku)</w:t>
            </w:r>
            <w:r w:rsidR="0004025D">
              <w:rPr>
                <w:rFonts w:asciiTheme="minorHAnsi" w:hAnsiTheme="minorHAnsi"/>
                <w:sz w:val="24"/>
                <w:szCs w:val="24"/>
              </w:rPr>
              <w:t>,</w:t>
            </w:r>
            <w:r w:rsidRPr="0099218E">
              <w:rPr>
                <w:rFonts w:asciiTheme="minorHAnsi" w:hAnsiTheme="minorHAnsi"/>
                <w:sz w:val="24"/>
                <w:szCs w:val="24"/>
              </w:rPr>
              <w:t xml:space="preserve"> kroz 15 godina i prosječni prinos 5% moguća je npr. doživotna mirovina nakon 65 godine života u nominalnom iznosu 2.694,47 kn mjesečno, što je također više od cilja koji je pojedinac postavio u nominalnim terminima. Međutim, za 38 godina (kada će pojedinac imati 65 godina života) uz stopu inflacije 2,25% godišnje u realnim terminima to vrijedi svega 1.156,82 kune, a</w:t>
            </w:r>
            <w:r w:rsidR="0004025D">
              <w:rPr>
                <w:rFonts w:asciiTheme="minorHAnsi" w:hAnsiTheme="minorHAnsi"/>
                <w:sz w:val="24"/>
                <w:szCs w:val="24"/>
              </w:rPr>
              <w:t xml:space="preserve"> </w:t>
            </w:r>
            <w:r w:rsidRPr="0099218E">
              <w:rPr>
                <w:rFonts w:asciiTheme="minorHAnsi" w:hAnsiTheme="minorHAnsi"/>
                <w:sz w:val="24"/>
                <w:szCs w:val="24"/>
              </w:rPr>
              <w:t>za 50 godina kada će pojedinac imati 77 godina života taj iznos vrijedi samo 885,74. To je ipak manje od cilja dodatnih izvora primitaka koji je pojedinac postavio  za starost ako se oni promatraju u realnim terminima. (</w:t>
            </w:r>
            <w:r w:rsidRPr="0004025D">
              <w:rPr>
                <w:rFonts w:asciiTheme="minorHAnsi" w:hAnsiTheme="minorHAnsi"/>
                <w:color w:val="C00000"/>
                <w:sz w:val="24"/>
                <w:szCs w:val="24"/>
              </w:rPr>
              <w:t>Problem većine pojedinaca, kao i ponude financijskih proizvoda je što se uobičajeno razmišlja i govori u nominalnim terminima, bez sagledavanja realne vrijednosti.</w:t>
            </w:r>
            <w:r w:rsidRPr="0099218E">
              <w:rPr>
                <w:rFonts w:asciiTheme="minorHAnsi" w:hAnsiTheme="minorHAnsi"/>
                <w:sz w:val="24"/>
                <w:szCs w:val="24"/>
              </w:rPr>
              <w:t xml:space="preserve"> Ako je stopa inflacije 2,25%, a kamatna stopa na štednju 2,25% realni prinos je približno jednak nuli, ali je barem sačuvana realna vrijednost imovine.)</w:t>
            </w:r>
          </w:p>
          <w:p w:rsidR="003C04B8" w:rsidRPr="0004025D" w:rsidRDefault="003C04B8" w:rsidP="009325D2">
            <w:pPr>
              <w:spacing w:before="100"/>
              <w:jc w:val="both"/>
              <w:rPr>
                <w:rFonts w:asciiTheme="minorHAnsi" w:hAnsiTheme="minorHAnsi"/>
                <w:sz w:val="24"/>
                <w:szCs w:val="24"/>
              </w:rPr>
            </w:pPr>
            <w:r w:rsidRPr="0099218E">
              <w:rPr>
                <w:rFonts w:asciiTheme="minorHAnsi" w:hAnsiTheme="minorHAnsi"/>
                <w:sz w:val="24"/>
                <w:szCs w:val="24"/>
              </w:rPr>
              <w:t xml:space="preserve">Kako je pojedincu s 42 godine života ostalo raspoloživo još 500 kuna mjesečne mogućnosti štednje kroz narednih 15 godina, pretpostavimo da ih oročava u banci čime je u 57 godini života ostvario 106.938,44  kn štednje. </w:t>
            </w:r>
            <w:r w:rsidRPr="0004025D">
              <w:rPr>
                <w:rFonts w:asciiTheme="minorHAnsi" w:hAnsiTheme="minorHAnsi"/>
                <w:color w:val="C00000"/>
                <w:sz w:val="24"/>
                <w:szCs w:val="24"/>
              </w:rPr>
              <w:t>Time je ujedno cijelo vrijeme jedan dio svoje imovine za</w:t>
            </w:r>
            <w:r w:rsidR="0004025D">
              <w:rPr>
                <w:rFonts w:asciiTheme="minorHAnsi" w:hAnsiTheme="minorHAnsi"/>
                <w:color w:val="C00000"/>
                <w:sz w:val="24"/>
                <w:szCs w:val="24"/>
              </w:rPr>
              <w:t>državao u vrlo likvidnom obliku</w:t>
            </w:r>
            <w:r w:rsidR="0004025D" w:rsidRPr="0004025D">
              <w:rPr>
                <w:rFonts w:asciiTheme="minorHAnsi" w:hAnsiTheme="minorHAnsi"/>
                <w:sz w:val="24"/>
                <w:szCs w:val="24"/>
              </w:rPr>
              <w:t>, a može služiti kao štednja za</w:t>
            </w:r>
            <w:r w:rsidR="0004025D">
              <w:rPr>
                <w:rFonts w:asciiTheme="minorHAnsi" w:hAnsiTheme="minorHAnsi"/>
                <w:sz w:val="24"/>
                <w:szCs w:val="24"/>
              </w:rPr>
              <w:t xml:space="preserve"> „</w:t>
            </w:r>
            <w:r w:rsidR="0004025D" w:rsidRPr="0004025D">
              <w:rPr>
                <w:rFonts w:asciiTheme="minorHAnsi" w:hAnsiTheme="minorHAnsi"/>
                <w:sz w:val="24"/>
                <w:szCs w:val="24"/>
              </w:rPr>
              <w:t>crne dane</w:t>
            </w:r>
            <w:r w:rsidR="0004025D">
              <w:rPr>
                <w:rFonts w:asciiTheme="minorHAnsi" w:hAnsiTheme="minorHAnsi"/>
                <w:sz w:val="24"/>
                <w:szCs w:val="24"/>
              </w:rPr>
              <w:t>“</w:t>
            </w:r>
            <w:r w:rsidR="0004025D" w:rsidRPr="0004025D">
              <w:rPr>
                <w:rFonts w:asciiTheme="minorHAnsi" w:hAnsiTheme="minorHAnsi"/>
                <w:sz w:val="24"/>
                <w:szCs w:val="24"/>
              </w:rPr>
              <w:t>.</w:t>
            </w:r>
            <w:r w:rsidRPr="0004025D">
              <w:rPr>
                <w:rFonts w:asciiTheme="minorHAnsi" w:hAnsiTheme="minorHAnsi"/>
                <w:sz w:val="24"/>
                <w:szCs w:val="24"/>
              </w:rPr>
              <w:t xml:space="preserve"> </w:t>
            </w:r>
          </w:p>
          <w:p w:rsidR="003C04B8" w:rsidRPr="0099218E" w:rsidRDefault="003C04B8" w:rsidP="009325D2">
            <w:pPr>
              <w:spacing w:before="100"/>
              <w:jc w:val="both"/>
              <w:rPr>
                <w:rFonts w:asciiTheme="minorHAnsi" w:hAnsiTheme="minorHAnsi"/>
                <w:sz w:val="24"/>
                <w:szCs w:val="24"/>
              </w:rPr>
            </w:pPr>
            <w:r w:rsidRPr="0099218E">
              <w:rPr>
                <w:rFonts w:asciiTheme="minorHAnsi" w:hAnsiTheme="minorHAnsi"/>
                <w:sz w:val="24"/>
                <w:szCs w:val="24"/>
              </w:rPr>
              <w:t>Tome treba pridodati  iznos štednje koji je pojedinac ostvario oročavanjem 46.999,28  kuna u svojoj 42 godini života, a koje u njegovoj 57 godini života imaju kapitaliziranu vrijednost 65.620, 71 kn.  Sveukupna štednja tako iznosi sveukupno daje iznos od 172.559,15 kn koje pojedinac može koristiti kao dodatni izvor primitaka od 57 do 65 godine života. Ako se taj iznos ravnomjerno rasporedi na spomenuto razdoblje od 8 godina svaki mjesec čak i uz prinos 0% može imati 1.797,49 kuna dodatnih izvora primitaka u nominalnim terminima. No i tada sredstava štednje koja se ne konzumiraju na mjesečnoj razini treba kontinuirano oročavati po kamatnoj stopi koja pokriva inflacijske gubitke kako bi što više sredstava ostalo raspoloživo za starost.</w:t>
            </w:r>
          </w:p>
          <w:p w:rsidR="003C04B8" w:rsidRPr="0099218E" w:rsidRDefault="003C04B8" w:rsidP="009325D2">
            <w:pPr>
              <w:spacing w:before="100"/>
              <w:jc w:val="both"/>
              <w:rPr>
                <w:rFonts w:asciiTheme="minorHAnsi" w:hAnsiTheme="minorHAnsi"/>
                <w:i/>
                <w:sz w:val="24"/>
                <w:szCs w:val="24"/>
              </w:rPr>
            </w:pPr>
            <w:r w:rsidRPr="00AD7003">
              <w:rPr>
                <w:rFonts w:asciiTheme="minorHAnsi" w:hAnsiTheme="minorHAnsi"/>
                <w:i/>
                <w:color w:val="C00000"/>
                <w:sz w:val="24"/>
                <w:szCs w:val="24"/>
              </w:rPr>
              <w:t xml:space="preserve">Napomena: </w:t>
            </w:r>
            <w:r w:rsidRPr="0099218E">
              <w:rPr>
                <w:rFonts w:asciiTheme="minorHAnsi" w:hAnsiTheme="minorHAnsi"/>
                <w:i/>
                <w:sz w:val="24"/>
                <w:szCs w:val="24"/>
              </w:rPr>
              <w:t xml:space="preserve">Na kraju, </w:t>
            </w:r>
            <w:r w:rsidR="00F36B9B">
              <w:rPr>
                <w:rFonts w:asciiTheme="minorHAnsi" w:hAnsiTheme="minorHAnsi"/>
                <w:i/>
                <w:sz w:val="24"/>
                <w:szCs w:val="24"/>
              </w:rPr>
              <w:t xml:space="preserve">treba voditi </w:t>
            </w:r>
            <w:r w:rsidRPr="0099218E">
              <w:rPr>
                <w:rFonts w:asciiTheme="minorHAnsi" w:hAnsiTheme="minorHAnsi"/>
                <w:i/>
                <w:sz w:val="24"/>
                <w:szCs w:val="24"/>
              </w:rPr>
              <w:t>računa da u praksi RH od 2015. postoji porez na kamate</w:t>
            </w:r>
            <w:r w:rsidR="0004025D">
              <w:rPr>
                <w:rFonts w:asciiTheme="minorHAnsi" w:hAnsiTheme="minorHAnsi"/>
                <w:i/>
                <w:sz w:val="24"/>
                <w:szCs w:val="24"/>
              </w:rPr>
              <w:t xml:space="preserve"> što umanjuje atraktivnost štednje u bankama, dok su od navedenog izuzeti prihoda ostvarenih kroz dobrovoljno mirovinsko i životno osiguranje</w:t>
            </w:r>
            <w:r w:rsidRPr="0099218E">
              <w:rPr>
                <w:rFonts w:asciiTheme="minorHAnsi" w:hAnsiTheme="minorHAnsi"/>
                <w:i/>
                <w:sz w:val="24"/>
                <w:szCs w:val="24"/>
              </w:rPr>
              <w:t xml:space="preserve">.  Ugovoreni prinos na oročenu štednju ili druge oblike kamatno oporezivih oblika štednje stoga mora biti dovoljno veći da s jedne strane pokriva gubitak vrijednosti novca zbog inflacije, a s druge strane porezna davanja. Kako bi </w:t>
            </w:r>
            <w:r w:rsidR="00F36B9B">
              <w:rPr>
                <w:rFonts w:asciiTheme="minorHAnsi" w:hAnsiTheme="minorHAnsi"/>
                <w:i/>
                <w:sz w:val="24"/>
                <w:szCs w:val="24"/>
              </w:rPr>
              <w:t xml:space="preserve">neto </w:t>
            </w:r>
            <w:r w:rsidRPr="0099218E">
              <w:rPr>
                <w:rFonts w:asciiTheme="minorHAnsi" w:hAnsiTheme="minorHAnsi"/>
                <w:i/>
                <w:sz w:val="24"/>
                <w:szCs w:val="24"/>
              </w:rPr>
              <w:t xml:space="preserve">prinos </w:t>
            </w:r>
            <w:r w:rsidR="00F36B9B">
              <w:rPr>
                <w:rFonts w:asciiTheme="minorHAnsi" w:hAnsiTheme="minorHAnsi"/>
                <w:i/>
                <w:sz w:val="24"/>
                <w:szCs w:val="24"/>
              </w:rPr>
              <w:t>(</w:t>
            </w:r>
            <w:r w:rsidRPr="0099218E">
              <w:rPr>
                <w:rFonts w:asciiTheme="minorHAnsi" w:hAnsiTheme="minorHAnsi"/>
                <w:i/>
                <w:sz w:val="24"/>
                <w:szCs w:val="24"/>
              </w:rPr>
              <w:t>nakon poreza</w:t>
            </w:r>
            <w:r w:rsidR="00F36B9B">
              <w:rPr>
                <w:rFonts w:asciiTheme="minorHAnsi" w:hAnsiTheme="minorHAnsi"/>
                <w:i/>
                <w:sz w:val="24"/>
                <w:szCs w:val="24"/>
              </w:rPr>
              <w:t>)</w:t>
            </w:r>
            <w:r w:rsidRPr="0099218E">
              <w:rPr>
                <w:rFonts w:asciiTheme="minorHAnsi" w:hAnsiTheme="minorHAnsi"/>
                <w:i/>
                <w:sz w:val="24"/>
                <w:szCs w:val="24"/>
              </w:rPr>
              <w:t xml:space="preserve"> iznosio oko 2,25% ugovorena kamatna stopa treba biti oko 2,62% (ovisno i o godinama složenog ukamaćivanja, primjeni konformne ili proporcionalne metode te izboru dekurzivnog ili anticipativnog obračuna kamata). Jasno visina prireza se razlikuje između gradova pa je i porezni teret različiti u Zagrebu ili Varaždinu. </w:t>
            </w:r>
          </w:p>
          <w:p w:rsidR="003C04B8" w:rsidRPr="00060663" w:rsidRDefault="00060663" w:rsidP="00F12963">
            <w:pPr>
              <w:spacing w:before="120" w:after="120"/>
              <w:jc w:val="both"/>
              <w:rPr>
                <w:rFonts w:asciiTheme="minorHAnsi" w:hAnsiTheme="minorHAnsi"/>
                <w:color w:val="FF0000"/>
              </w:rPr>
            </w:pPr>
            <w:r>
              <w:rPr>
                <w:rFonts w:asciiTheme="minorHAnsi" w:hAnsiTheme="minorHAnsi"/>
              </w:rPr>
              <w:t xml:space="preserve">* </w:t>
            </w:r>
            <w:r w:rsidR="00681F41" w:rsidRPr="00681F41">
              <w:rPr>
                <w:rFonts w:asciiTheme="minorHAnsi" w:hAnsiTheme="minorHAnsi" w:cs="Arial"/>
                <w:color w:val="000000"/>
                <w:shd w:val="clear" w:color="auto" w:fill="FFFFFF"/>
              </w:rPr>
              <w:t>Izračun je informativan i ne može se koristiti u druge svrhe</w:t>
            </w:r>
          </w:p>
        </w:tc>
      </w:tr>
    </w:tbl>
    <w:p w:rsidR="003C04B8" w:rsidRDefault="003C04B8" w:rsidP="003C04B8">
      <w:pPr>
        <w:jc w:val="both"/>
        <w:rPr>
          <w:rFonts w:ascii="Times New Roman" w:hAnsi="Times New Roman"/>
          <w:color w:val="FF0000"/>
          <w:sz w:val="24"/>
          <w:szCs w:val="24"/>
        </w:rPr>
      </w:pPr>
    </w:p>
    <w:p w:rsidR="00F12963" w:rsidRDefault="00F12963" w:rsidP="003C04B8">
      <w:pPr>
        <w:jc w:val="both"/>
        <w:rPr>
          <w:rFonts w:ascii="Times New Roman" w:hAnsi="Times New Roman"/>
          <w:color w:val="FF0000"/>
          <w:sz w:val="24"/>
          <w:szCs w:val="24"/>
        </w:rPr>
      </w:pPr>
    </w:p>
    <w:tbl>
      <w:tblPr>
        <w:tblStyle w:val="Reetkatablice"/>
        <w:tblW w:w="0" w:type="auto"/>
        <w:tblLook w:val="04A0" w:firstRow="1" w:lastRow="0" w:firstColumn="1" w:lastColumn="0" w:noHBand="0" w:noVBand="1"/>
      </w:tblPr>
      <w:tblGrid>
        <w:gridCol w:w="9288"/>
      </w:tblGrid>
      <w:tr w:rsidR="00681F41" w:rsidTr="00681F41">
        <w:tc>
          <w:tcPr>
            <w:tcW w:w="9288" w:type="dxa"/>
          </w:tcPr>
          <w:p w:rsidR="00681F41" w:rsidRPr="0099218E" w:rsidRDefault="00681F41" w:rsidP="00681F41">
            <w:pPr>
              <w:spacing w:before="120" w:after="120"/>
              <w:jc w:val="both"/>
              <w:rPr>
                <w:rFonts w:asciiTheme="minorHAnsi" w:hAnsiTheme="minorHAnsi"/>
                <w:sz w:val="24"/>
                <w:szCs w:val="24"/>
              </w:rPr>
            </w:pPr>
            <w:r w:rsidRPr="0099218E">
              <w:rPr>
                <w:rFonts w:asciiTheme="minorHAnsi" w:hAnsiTheme="minorHAnsi"/>
                <w:sz w:val="24"/>
                <w:szCs w:val="24"/>
              </w:rPr>
              <w:lastRenderedPageBreak/>
              <w:t xml:space="preserve">DODATAK: </w:t>
            </w:r>
            <w:r w:rsidRPr="0099218E">
              <w:rPr>
                <w:rFonts w:asciiTheme="minorHAnsi" w:hAnsiTheme="minorHAnsi"/>
                <w:color w:val="C00000"/>
                <w:sz w:val="24"/>
                <w:szCs w:val="24"/>
              </w:rPr>
              <w:t>Primjer obračuna poreza na kamate u Zagrebu – vrijedi od 2015.</w:t>
            </w:r>
          </w:p>
          <w:p w:rsidR="00681F41" w:rsidRDefault="00681F41" w:rsidP="00681F41">
            <w:pPr>
              <w:spacing w:before="80"/>
              <w:jc w:val="both"/>
              <w:rPr>
                <w:rFonts w:asciiTheme="minorHAnsi" w:hAnsiTheme="minorHAnsi"/>
                <w:sz w:val="24"/>
                <w:szCs w:val="24"/>
              </w:rPr>
            </w:pPr>
            <w:r>
              <w:rPr>
                <w:rFonts w:asciiTheme="minorHAnsi" w:hAnsiTheme="minorHAnsi"/>
                <w:sz w:val="24"/>
                <w:szCs w:val="24"/>
              </w:rPr>
              <w:t>Pretpostavlja se</w:t>
            </w:r>
            <w:r w:rsidRPr="0099218E">
              <w:rPr>
                <w:rFonts w:asciiTheme="minorHAnsi" w:hAnsiTheme="minorHAnsi"/>
                <w:sz w:val="24"/>
                <w:szCs w:val="24"/>
              </w:rPr>
              <w:t xml:space="preserve"> početn</w:t>
            </w:r>
            <w:r>
              <w:rPr>
                <w:rFonts w:asciiTheme="minorHAnsi" w:hAnsiTheme="minorHAnsi"/>
                <w:sz w:val="24"/>
                <w:szCs w:val="24"/>
              </w:rPr>
              <w:t>a štednja</w:t>
            </w:r>
            <w:r w:rsidRPr="0099218E">
              <w:rPr>
                <w:rFonts w:asciiTheme="minorHAnsi" w:hAnsiTheme="minorHAnsi"/>
                <w:sz w:val="24"/>
                <w:szCs w:val="24"/>
              </w:rPr>
              <w:t xml:space="preserve"> 46.000 kuna koja se oročava na pet godina uz složeno ukamaćivanje, dekurzivni obračun kamata jednom godišnje te primjenu konformne metode.</w:t>
            </w:r>
            <w:r>
              <w:rPr>
                <w:rFonts w:asciiTheme="minorHAnsi" w:hAnsiTheme="minorHAnsi"/>
                <w:sz w:val="24"/>
                <w:szCs w:val="24"/>
              </w:rPr>
              <w:t xml:space="preserve"> </w:t>
            </w:r>
            <w:r w:rsidRPr="0099218E">
              <w:rPr>
                <w:rFonts w:asciiTheme="minorHAnsi" w:hAnsiTheme="minorHAnsi"/>
                <w:sz w:val="24"/>
                <w:szCs w:val="24"/>
              </w:rPr>
              <w:t xml:space="preserve">Uz ugovorenu kamatnu stopu 2,63% kamate u prvoj godini iznose 1.209,80 kuna. </w:t>
            </w:r>
          </w:p>
          <w:p w:rsidR="00681F41" w:rsidRPr="0099218E" w:rsidRDefault="00681F41" w:rsidP="00681F41">
            <w:pPr>
              <w:spacing w:before="80"/>
              <w:jc w:val="both"/>
              <w:rPr>
                <w:rFonts w:asciiTheme="minorHAnsi" w:hAnsiTheme="minorHAnsi"/>
                <w:sz w:val="24"/>
                <w:szCs w:val="24"/>
              </w:rPr>
            </w:pPr>
            <w:r w:rsidRPr="0099218E">
              <w:rPr>
                <w:rFonts w:asciiTheme="minorHAnsi" w:hAnsiTheme="minorHAnsi"/>
                <w:sz w:val="24"/>
                <w:szCs w:val="24"/>
              </w:rPr>
              <w:t>Štednja koja se ulaže u drugoj godini ima glavnicu 47.209,80 i donosi kamate u iznosu 1.241,62 kunu. U trećoj godini ulaže se štednja i visini 48.451,42 kn te donosi kamate 1.274,27 kn. U četvrtoj godini glavnica je 49.725,69 kn te daje kamate u iznosu 1307,79 kn. U petoj godini glavnica u iznosu 51.033,48 kn donosi kamate 1.342,18 kn.</w:t>
            </w:r>
          </w:p>
          <w:p w:rsidR="00681F41" w:rsidRPr="0099218E" w:rsidRDefault="00681F41" w:rsidP="00681F41">
            <w:pPr>
              <w:spacing w:before="80"/>
              <w:jc w:val="both"/>
              <w:rPr>
                <w:rFonts w:asciiTheme="minorHAnsi" w:hAnsiTheme="minorHAnsi"/>
                <w:sz w:val="24"/>
                <w:szCs w:val="24"/>
              </w:rPr>
            </w:pPr>
            <w:r w:rsidRPr="0099218E">
              <w:rPr>
                <w:rFonts w:asciiTheme="minorHAnsi" w:hAnsiTheme="minorHAnsi"/>
                <w:sz w:val="24"/>
                <w:szCs w:val="24"/>
              </w:rPr>
              <w:t>Zbroj kamata kroz pet godina je 6375,66.</w:t>
            </w:r>
          </w:p>
          <w:p w:rsidR="00681F41" w:rsidRDefault="00681F41" w:rsidP="00681F41">
            <w:pPr>
              <w:spacing w:before="80"/>
              <w:jc w:val="both"/>
              <w:rPr>
                <w:rFonts w:asciiTheme="minorHAnsi" w:hAnsiTheme="minorHAnsi"/>
                <w:sz w:val="24"/>
                <w:szCs w:val="24"/>
              </w:rPr>
            </w:pPr>
            <w:r w:rsidRPr="0099218E">
              <w:rPr>
                <w:rFonts w:asciiTheme="minorHAnsi" w:hAnsiTheme="minorHAnsi"/>
                <w:sz w:val="24"/>
                <w:szCs w:val="24"/>
              </w:rPr>
              <w:t xml:space="preserve">Porez se plaća po stopi 12% na obračunate kamate (u </w:t>
            </w:r>
            <w:r>
              <w:rPr>
                <w:rFonts w:asciiTheme="minorHAnsi" w:hAnsiTheme="minorHAnsi"/>
                <w:sz w:val="24"/>
                <w:szCs w:val="24"/>
              </w:rPr>
              <w:t xml:space="preserve">ovom </w:t>
            </w:r>
            <w:r w:rsidRPr="0099218E">
              <w:rPr>
                <w:rFonts w:asciiTheme="minorHAnsi" w:hAnsiTheme="minorHAnsi"/>
                <w:sz w:val="24"/>
                <w:szCs w:val="24"/>
              </w:rPr>
              <w:t>primjeru i praksi banke jednom godišnje). Na izračunati iznos poreza potrebno je dodati prirez koji se npr. u Zagrebu obračunava po stopi 18%.</w:t>
            </w:r>
          </w:p>
          <w:p w:rsidR="00681F41" w:rsidRPr="0099218E" w:rsidRDefault="00681F41" w:rsidP="00681F41">
            <w:pPr>
              <w:spacing w:before="80"/>
              <w:jc w:val="both"/>
              <w:rPr>
                <w:rFonts w:asciiTheme="minorHAnsi" w:hAnsiTheme="minorHAnsi"/>
                <w:sz w:val="24"/>
                <w:szCs w:val="24"/>
              </w:rPr>
            </w:pPr>
            <w:r w:rsidRPr="0099218E">
              <w:rPr>
                <w:rFonts w:asciiTheme="minorHAnsi" w:hAnsiTheme="minorHAnsi"/>
                <w:sz w:val="24"/>
                <w:szCs w:val="24"/>
              </w:rPr>
              <w:t xml:space="preserve">Zbroj kamata kroz pet godina je 6375,66, a ukupne obveze za porez i prirez koje je banka u ime poreznog obveznika obračunala i platila (prije isplate i pripisa u korist depozitnog računa štediše) iznose 902,69 kuna. </w:t>
            </w:r>
          </w:p>
          <w:p w:rsidR="00681F41" w:rsidRPr="0099218E" w:rsidRDefault="00681F41" w:rsidP="00681F41">
            <w:pPr>
              <w:spacing w:before="80"/>
              <w:jc w:val="both"/>
              <w:rPr>
                <w:rFonts w:asciiTheme="minorHAnsi" w:hAnsiTheme="minorHAnsi"/>
                <w:sz w:val="24"/>
                <w:szCs w:val="24"/>
              </w:rPr>
            </w:pPr>
            <w:r>
              <w:rPr>
                <w:rFonts w:asciiTheme="minorHAnsi" w:hAnsiTheme="minorHAnsi"/>
                <w:sz w:val="24"/>
                <w:szCs w:val="24"/>
              </w:rPr>
              <w:t>Neto</w:t>
            </w:r>
            <w:r w:rsidRPr="0099218E">
              <w:rPr>
                <w:rFonts w:asciiTheme="minorHAnsi" w:hAnsiTheme="minorHAnsi"/>
                <w:sz w:val="24"/>
                <w:szCs w:val="24"/>
              </w:rPr>
              <w:t xml:space="preserve"> raspoloživi prihodi koje je deponent ostvario iznose 5472,97 kn. </w:t>
            </w:r>
          </w:p>
          <w:p w:rsidR="00681F41" w:rsidRPr="0099218E" w:rsidRDefault="00681F41" w:rsidP="00681F41">
            <w:pPr>
              <w:spacing w:before="280" w:after="120"/>
              <w:jc w:val="both"/>
              <w:rPr>
                <w:rFonts w:asciiTheme="minorHAnsi" w:hAnsiTheme="minorHAnsi"/>
              </w:rPr>
            </w:pPr>
            <w:r w:rsidRPr="0099218E">
              <w:rPr>
                <w:rFonts w:asciiTheme="minorHAnsi" w:hAnsiTheme="minorHAnsi"/>
              </w:rPr>
              <w:t>1.209,80 * 0,12 = 145,09 porez na kamate;      145,09 * 0,18 = 26,12 prirez porezu;     ukupno 171,21 kn</w:t>
            </w:r>
          </w:p>
          <w:p w:rsidR="00681F41" w:rsidRPr="0099218E" w:rsidRDefault="00681F41" w:rsidP="00681F41">
            <w:pPr>
              <w:spacing w:before="120" w:after="120"/>
              <w:jc w:val="both"/>
              <w:rPr>
                <w:rFonts w:asciiTheme="minorHAnsi" w:hAnsiTheme="minorHAnsi"/>
              </w:rPr>
            </w:pPr>
            <w:r w:rsidRPr="0099218E">
              <w:rPr>
                <w:rFonts w:asciiTheme="minorHAnsi" w:hAnsiTheme="minorHAnsi"/>
              </w:rPr>
              <w:t>1.241,62 * 0,12 = 148,99 porez na kamate;      148,99 * 0,18 = 26,82 prirez porezu;     ukupno 175,81 kn</w:t>
            </w:r>
          </w:p>
          <w:p w:rsidR="00681F41" w:rsidRPr="0099218E" w:rsidRDefault="00681F41" w:rsidP="00681F41">
            <w:pPr>
              <w:spacing w:before="120" w:after="120"/>
              <w:jc w:val="both"/>
              <w:rPr>
                <w:rFonts w:asciiTheme="minorHAnsi" w:hAnsiTheme="minorHAnsi"/>
              </w:rPr>
            </w:pPr>
            <w:r w:rsidRPr="0099218E">
              <w:rPr>
                <w:rFonts w:asciiTheme="minorHAnsi" w:hAnsiTheme="minorHAnsi"/>
              </w:rPr>
              <w:t xml:space="preserve">1.274,27 * 0,12 = 152,91                                                               27,52                            </w:t>
            </w:r>
            <w:r>
              <w:rPr>
                <w:rFonts w:asciiTheme="minorHAnsi" w:hAnsiTheme="minorHAnsi"/>
              </w:rPr>
              <w:t xml:space="preserve">        </w:t>
            </w:r>
            <w:r w:rsidRPr="0099218E">
              <w:rPr>
                <w:rFonts w:asciiTheme="minorHAnsi" w:hAnsiTheme="minorHAnsi"/>
              </w:rPr>
              <w:t>ukupno 180,44 kn</w:t>
            </w:r>
          </w:p>
          <w:p w:rsidR="00681F41" w:rsidRPr="0099218E" w:rsidRDefault="00681F41" w:rsidP="00681F41">
            <w:pPr>
              <w:spacing w:before="120" w:after="120"/>
              <w:jc w:val="both"/>
              <w:rPr>
                <w:rFonts w:asciiTheme="minorHAnsi" w:hAnsiTheme="minorHAnsi"/>
              </w:rPr>
            </w:pPr>
            <w:r w:rsidRPr="0099218E">
              <w:rPr>
                <w:rFonts w:asciiTheme="minorHAnsi" w:hAnsiTheme="minorHAnsi"/>
              </w:rPr>
              <w:t xml:space="preserve">1307,79 * 0,12 =  156,93                                                               28,23                             </w:t>
            </w:r>
            <w:r>
              <w:rPr>
                <w:rFonts w:asciiTheme="minorHAnsi" w:hAnsiTheme="minorHAnsi"/>
              </w:rPr>
              <w:t xml:space="preserve">        </w:t>
            </w:r>
            <w:r w:rsidRPr="0099218E">
              <w:rPr>
                <w:rFonts w:asciiTheme="minorHAnsi" w:hAnsiTheme="minorHAnsi"/>
              </w:rPr>
              <w:t>ukupno 185,18 kn</w:t>
            </w:r>
          </w:p>
          <w:p w:rsidR="00681F41" w:rsidRPr="0099218E" w:rsidRDefault="00681F41" w:rsidP="00681F41">
            <w:pPr>
              <w:spacing w:before="120" w:after="120"/>
              <w:jc w:val="both"/>
              <w:rPr>
                <w:rFonts w:asciiTheme="minorHAnsi" w:hAnsiTheme="minorHAnsi"/>
              </w:rPr>
            </w:pPr>
            <w:r w:rsidRPr="0099218E">
              <w:rPr>
                <w:rFonts w:asciiTheme="minorHAnsi" w:hAnsiTheme="minorHAnsi"/>
              </w:rPr>
              <w:t xml:space="preserve">1.342,18 * 0,12 = 161,06                                                               28,99                             </w:t>
            </w:r>
            <w:r>
              <w:rPr>
                <w:rFonts w:asciiTheme="minorHAnsi" w:hAnsiTheme="minorHAnsi"/>
              </w:rPr>
              <w:t xml:space="preserve">       </w:t>
            </w:r>
            <w:r w:rsidRPr="0099218E">
              <w:rPr>
                <w:rFonts w:asciiTheme="minorHAnsi" w:hAnsiTheme="minorHAnsi"/>
              </w:rPr>
              <w:t>ukupno 190,05 kn</w:t>
            </w:r>
          </w:p>
          <w:p w:rsidR="00681F41" w:rsidRDefault="00681F41" w:rsidP="00681F41">
            <w:pPr>
              <w:jc w:val="both"/>
              <w:rPr>
                <w:rFonts w:asciiTheme="minorHAnsi" w:hAnsiTheme="minorHAnsi"/>
                <w:sz w:val="24"/>
                <w:szCs w:val="24"/>
              </w:rPr>
            </w:pPr>
            <w:r w:rsidRPr="0099218E">
              <w:rPr>
                <w:rFonts w:asciiTheme="minorHAnsi" w:hAnsiTheme="minorHAnsi"/>
                <w:sz w:val="24"/>
                <w:szCs w:val="24"/>
              </w:rPr>
              <w:t xml:space="preserve">Kada ne bi postojao porez na kamate otprilike isti iznos </w:t>
            </w:r>
            <w:r>
              <w:rPr>
                <w:rFonts w:asciiTheme="minorHAnsi" w:hAnsiTheme="minorHAnsi"/>
                <w:sz w:val="24"/>
                <w:szCs w:val="24"/>
              </w:rPr>
              <w:t xml:space="preserve">neto kamatnih </w:t>
            </w:r>
            <w:r w:rsidRPr="0099218E">
              <w:rPr>
                <w:rFonts w:asciiTheme="minorHAnsi" w:hAnsiTheme="minorHAnsi"/>
                <w:sz w:val="24"/>
                <w:szCs w:val="24"/>
              </w:rPr>
              <w:t>prihoda deponent bi ostvario uz kamatnu stopu 2,27% (kamate bi tada iznosile 5463,48 kn).</w:t>
            </w:r>
          </w:p>
          <w:p w:rsidR="00F12963" w:rsidRPr="00F12963" w:rsidRDefault="00F12963" w:rsidP="00F12963">
            <w:pPr>
              <w:spacing w:before="120"/>
              <w:jc w:val="both"/>
              <w:rPr>
                <w:rFonts w:asciiTheme="minorHAnsi" w:hAnsiTheme="minorHAnsi"/>
                <w:color w:val="FF0000"/>
                <w:sz w:val="24"/>
                <w:szCs w:val="24"/>
              </w:rPr>
            </w:pPr>
            <w:r w:rsidRPr="00F12963">
              <w:rPr>
                <w:rFonts w:asciiTheme="minorHAnsi" w:hAnsiTheme="minorHAnsi" w:cs="Arial"/>
                <w:color w:val="000000"/>
                <w:shd w:val="clear" w:color="auto" w:fill="FFFFFF"/>
              </w:rPr>
              <w:t>* Izračun je informativan i ne može se koristiti u druge svrhe.</w:t>
            </w:r>
          </w:p>
        </w:tc>
      </w:tr>
    </w:tbl>
    <w:p w:rsidR="00681F41" w:rsidRDefault="00681F41" w:rsidP="003C04B8">
      <w:pPr>
        <w:jc w:val="both"/>
        <w:rPr>
          <w:rFonts w:ascii="Times New Roman" w:hAnsi="Times New Roman"/>
          <w:color w:val="FF0000"/>
          <w:sz w:val="24"/>
          <w:szCs w:val="24"/>
        </w:rPr>
      </w:pPr>
    </w:p>
    <w:p w:rsidR="003C04B8" w:rsidRPr="00FC71DD" w:rsidRDefault="00F36B9B" w:rsidP="003C04B8">
      <w:pPr>
        <w:jc w:val="both"/>
        <w:rPr>
          <w:b/>
          <w:sz w:val="24"/>
          <w:szCs w:val="24"/>
        </w:rPr>
      </w:pPr>
      <w:r w:rsidRPr="00FC71DD">
        <w:rPr>
          <w:b/>
          <w:sz w:val="24"/>
          <w:szCs w:val="24"/>
        </w:rPr>
        <w:t>2.</w:t>
      </w:r>
      <w:r w:rsidR="00C103F2">
        <w:rPr>
          <w:b/>
          <w:sz w:val="24"/>
          <w:szCs w:val="24"/>
        </w:rPr>
        <w:t>8</w:t>
      </w:r>
      <w:r w:rsidRPr="00FC71DD">
        <w:rPr>
          <w:b/>
          <w:sz w:val="24"/>
          <w:szCs w:val="24"/>
        </w:rPr>
        <w:t>. Planiranje porezne pozicije pojedinca – učinci poreznog tereta na ekonomsku snagu pojedinca</w:t>
      </w:r>
    </w:p>
    <w:p w:rsidR="00266805" w:rsidRDefault="00266805" w:rsidP="00B8521F">
      <w:pPr>
        <w:spacing w:before="240"/>
        <w:jc w:val="both"/>
        <w:rPr>
          <w:sz w:val="24"/>
          <w:szCs w:val="24"/>
        </w:rPr>
      </w:pPr>
      <w:r>
        <w:rPr>
          <w:sz w:val="24"/>
          <w:szCs w:val="24"/>
        </w:rPr>
        <w:t>Glavninu poreza odnosno sveukupnih fiskalnih nameta koji postoj</w:t>
      </w:r>
      <w:r w:rsidR="005853AA">
        <w:rPr>
          <w:sz w:val="24"/>
          <w:szCs w:val="24"/>
        </w:rPr>
        <w:t>e</w:t>
      </w:r>
      <w:r>
        <w:rPr>
          <w:sz w:val="24"/>
          <w:szCs w:val="24"/>
        </w:rPr>
        <w:t xml:space="preserve"> u pojedinoj zemlji snosi sektor stanovništvo. Pri tome je kod nekih oblika fiskalnog nameta to jasno naglašeno</w:t>
      </w:r>
      <w:r w:rsidR="008E7C61">
        <w:rPr>
          <w:sz w:val="24"/>
          <w:szCs w:val="24"/>
        </w:rPr>
        <w:t xml:space="preserve"> jer fizička osoba ima status poreznog obveznika</w:t>
      </w:r>
      <w:r>
        <w:rPr>
          <w:sz w:val="24"/>
          <w:szCs w:val="24"/>
        </w:rPr>
        <w:t xml:space="preserve">, a kod drugih nije jer se porezna obveza formalno veže uz npr. poduzeća, ali teret </w:t>
      </w:r>
      <w:r w:rsidR="008E7C61">
        <w:rPr>
          <w:sz w:val="24"/>
          <w:szCs w:val="24"/>
        </w:rPr>
        <w:t xml:space="preserve">poreza </w:t>
      </w:r>
      <w:r>
        <w:rPr>
          <w:sz w:val="24"/>
          <w:szCs w:val="24"/>
        </w:rPr>
        <w:t>snosi stanovništvo</w:t>
      </w:r>
      <w:r w:rsidR="008E7C61">
        <w:rPr>
          <w:sz w:val="24"/>
          <w:szCs w:val="24"/>
        </w:rPr>
        <w:t xml:space="preserve"> (kao porezni platac)</w:t>
      </w:r>
      <w:r>
        <w:rPr>
          <w:sz w:val="24"/>
          <w:szCs w:val="24"/>
        </w:rPr>
        <w:t xml:space="preserve">. Pojam koji se s time u vezi javlja je </w:t>
      </w:r>
      <w:r w:rsidRPr="008E7C61">
        <w:rPr>
          <w:color w:val="C00000"/>
          <w:sz w:val="24"/>
          <w:szCs w:val="24"/>
        </w:rPr>
        <w:t>prevaljivanje poreza</w:t>
      </w:r>
      <w:r>
        <w:rPr>
          <w:sz w:val="24"/>
          <w:szCs w:val="24"/>
        </w:rPr>
        <w:t xml:space="preserve">. Na primjer porezni obveznici u slučaju poreza na dodanu vrijednost su poduzetnici, ali teret PDV-a snose građani kao krajnji potrošači – </w:t>
      </w:r>
      <w:r w:rsidRPr="008E7C61">
        <w:rPr>
          <w:color w:val="C00000"/>
          <w:sz w:val="24"/>
          <w:szCs w:val="24"/>
        </w:rPr>
        <w:t>porez se prevaljuje unaprijed</w:t>
      </w:r>
      <w:r>
        <w:rPr>
          <w:sz w:val="24"/>
          <w:szCs w:val="24"/>
        </w:rPr>
        <w:t xml:space="preserve">. Obveze poreza na dobit formalno se vežu uz banke, poduzeća i druge profitno orijentirane </w:t>
      </w:r>
      <w:r w:rsidR="00A8696A">
        <w:rPr>
          <w:sz w:val="24"/>
          <w:szCs w:val="24"/>
        </w:rPr>
        <w:t xml:space="preserve">ekonomske </w:t>
      </w:r>
      <w:r>
        <w:rPr>
          <w:sz w:val="24"/>
          <w:szCs w:val="24"/>
        </w:rPr>
        <w:t>subjekte, ali je uvijek pitanje tko u tekućem i narednom razdoblju stvarno snosi teret tog poreza</w:t>
      </w:r>
      <w:r w:rsidR="00A8696A">
        <w:rPr>
          <w:sz w:val="24"/>
          <w:szCs w:val="24"/>
        </w:rPr>
        <w:t>. P</w:t>
      </w:r>
      <w:r>
        <w:rPr>
          <w:sz w:val="24"/>
          <w:szCs w:val="24"/>
        </w:rPr>
        <w:t xml:space="preserve">oduzeća nastoje sve troškove poslovnih procesa uključiti u cijenu robe te je stoga moguće da </w:t>
      </w:r>
      <w:r w:rsidR="00A8696A">
        <w:rPr>
          <w:sz w:val="24"/>
          <w:szCs w:val="24"/>
        </w:rPr>
        <w:t xml:space="preserve">dio tereta </w:t>
      </w:r>
      <w:r>
        <w:rPr>
          <w:sz w:val="24"/>
          <w:szCs w:val="24"/>
        </w:rPr>
        <w:t>snose potrošači. Također je moguće da ga d</w:t>
      </w:r>
      <w:r w:rsidR="00A8696A">
        <w:rPr>
          <w:sz w:val="24"/>
          <w:szCs w:val="24"/>
        </w:rPr>
        <w:t>ijelom snose i radnici kroz niže</w:t>
      </w:r>
      <w:r>
        <w:rPr>
          <w:sz w:val="24"/>
          <w:szCs w:val="24"/>
        </w:rPr>
        <w:t xml:space="preserve"> plaće za svoj rad </w:t>
      </w:r>
      <w:r w:rsidR="00A8696A">
        <w:rPr>
          <w:sz w:val="24"/>
          <w:szCs w:val="24"/>
        </w:rPr>
        <w:t xml:space="preserve"> </w:t>
      </w:r>
      <w:r>
        <w:rPr>
          <w:sz w:val="24"/>
          <w:szCs w:val="24"/>
        </w:rPr>
        <w:t xml:space="preserve">– </w:t>
      </w:r>
      <w:r w:rsidRPr="008E7C61">
        <w:rPr>
          <w:color w:val="C00000"/>
          <w:sz w:val="24"/>
          <w:szCs w:val="24"/>
        </w:rPr>
        <w:t xml:space="preserve">prevaljivanje </w:t>
      </w:r>
      <w:r w:rsidR="002F07EC" w:rsidRPr="008E7C61">
        <w:rPr>
          <w:color w:val="C00000"/>
          <w:sz w:val="24"/>
          <w:szCs w:val="24"/>
        </w:rPr>
        <w:t xml:space="preserve">poreznog tereta </w:t>
      </w:r>
      <w:r w:rsidRPr="008E7C61">
        <w:rPr>
          <w:color w:val="C00000"/>
          <w:sz w:val="24"/>
          <w:szCs w:val="24"/>
        </w:rPr>
        <w:t>unazad</w:t>
      </w:r>
      <w:r>
        <w:rPr>
          <w:sz w:val="24"/>
          <w:szCs w:val="24"/>
        </w:rPr>
        <w:t xml:space="preserve">. </w:t>
      </w:r>
    </w:p>
    <w:p w:rsidR="00B46AF3" w:rsidRDefault="00EE504A" w:rsidP="00B8521F">
      <w:pPr>
        <w:spacing w:before="240"/>
        <w:jc w:val="both"/>
        <w:rPr>
          <w:sz w:val="24"/>
          <w:szCs w:val="24"/>
        </w:rPr>
      </w:pPr>
      <w:r>
        <w:rPr>
          <w:sz w:val="24"/>
          <w:szCs w:val="24"/>
        </w:rPr>
        <w:lastRenderedPageBreak/>
        <w:t>Uz fiskalne namete vežu se gotovo sve ekonomske aktivnosti kućanstva. Zbog uključivanja PDV-a i trošarina u cijenu rob</w:t>
      </w:r>
      <w:r w:rsidR="00B33088">
        <w:rPr>
          <w:sz w:val="24"/>
          <w:szCs w:val="24"/>
        </w:rPr>
        <w:t>a i usluga</w:t>
      </w:r>
      <w:r>
        <w:rPr>
          <w:sz w:val="24"/>
          <w:szCs w:val="24"/>
        </w:rPr>
        <w:t xml:space="preserve">, rastom izdataka za potrošnju kućanstvo praktično plaća i </w:t>
      </w:r>
      <w:r w:rsidR="00A8644F">
        <w:rPr>
          <w:sz w:val="24"/>
          <w:szCs w:val="24"/>
        </w:rPr>
        <w:t xml:space="preserve">sve </w:t>
      </w:r>
      <w:r>
        <w:rPr>
          <w:sz w:val="24"/>
          <w:szCs w:val="24"/>
        </w:rPr>
        <w:t>veće iznose poreza</w:t>
      </w:r>
      <w:r w:rsidR="006D0834">
        <w:rPr>
          <w:sz w:val="24"/>
          <w:szCs w:val="24"/>
        </w:rPr>
        <w:t xml:space="preserve">, posebno u slučaju one robe na koju se odnosi opća stopa PDV-a 25%, </w:t>
      </w:r>
      <w:r w:rsidR="008E7C61">
        <w:rPr>
          <w:sz w:val="24"/>
          <w:szCs w:val="24"/>
        </w:rPr>
        <w:t>dok</w:t>
      </w:r>
      <w:r w:rsidR="006D0834">
        <w:rPr>
          <w:sz w:val="24"/>
          <w:szCs w:val="24"/>
        </w:rPr>
        <w:t xml:space="preserve"> u manjoj mjeri u slučaju kruha, mlijeka, udžbenika</w:t>
      </w:r>
      <w:r w:rsidR="00B46AF3">
        <w:rPr>
          <w:sz w:val="24"/>
          <w:szCs w:val="24"/>
        </w:rPr>
        <w:t xml:space="preserve">, </w:t>
      </w:r>
      <w:r w:rsidR="003A04DD">
        <w:rPr>
          <w:sz w:val="24"/>
          <w:szCs w:val="24"/>
        </w:rPr>
        <w:t>knjiga i časopisa znanstvenog sadržaja</w:t>
      </w:r>
      <w:r w:rsidR="006D0834">
        <w:rPr>
          <w:sz w:val="24"/>
          <w:szCs w:val="24"/>
        </w:rPr>
        <w:t xml:space="preserve"> i</w:t>
      </w:r>
      <w:r w:rsidR="003A04DD">
        <w:rPr>
          <w:sz w:val="24"/>
          <w:szCs w:val="24"/>
        </w:rPr>
        <w:t>li</w:t>
      </w:r>
      <w:r w:rsidR="006D0834">
        <w:rPr>
          <w:sz w:val="24"/>
          <w:szCs w:val="24"/>
        </w:rPr>
        <w:t xml:space="preserve"> lijekova na koje se odnosi snižena stopa PDV-a 5%</w:t>
      </w:r>
      <w:r w:rsidR="003A04DD">
        <w:rPr>
          <w:sz w:val="24"/>
          <w:szCs w:val="24"/>
        </w:rPr>
        <w:t>, odnosno</w:t>
      </w:r>
      <w:r w:rsidR="006D0834">
        <w:rPr>
          <w:sz w:val="24"/>
          <w:szCs w:val="24"/>
        </w:rPr>
        <w:t xml:space="preserve"> jestivih ulja, </w:t>
      </w:r>
      <w:r w:rsidR="00B46AF3">
        <w:rPr>
          <w:sz w:val="24"/>
          <w:szCs w:val="24"/>
        </w:rPr>
        <w:t>bijelog šećera, dječje hrane</w:t>
      </w:r>
      <w:r w:rsidR="003A04DD">
        <w:rPr>
          <w:sz w:val="24"/>
          <w:szCs w:val="24"/>
        </w:rPr>
        <w:t xml:space="preserve"> ili</w:t>
      </w:r>
      <w:r w:rsidR="00B46AF3">
        <w:rPr>
          <w:sz w:val="24"/>
          <w:szCs w:val="24"/>
        </w:rPr>
        <w:t xml:space="preserve"> turističkih usluga smještaja i pripreme hrane na koje se odnosi snižena stopa PDV-a 13%.</w:t>
      </w:r>
      <w:r w:rsidR="005853AA">
        <w:rPr>
          <w:sz w:val="24"/>
          <w:szCs w:val="24"/>
        </w:rPr>
        <w:t xml:space="preserve"> Razlike u visini opće stope PDV-a stoga mogu biti motiv za odlazak u kupovinu u geografski manje udaljenu susjednu zemlju koja ima nižu stopu poreza, ali jedno ako to opravdavaju troškovi puta i drugi koji se usporedno javljaju.</w:t>
      </w:r>
    </w:p>
    <w:p w:rsidR="003A04DD" w:rsidRPr="008A2C17" w:rsidRDefault="00B33088" w:rsidP="003A04DD">
      <w:pPr>
        <w:spacing w:before="240"/>
        <w:jc w:val="both"/>
        <w:rPr>
          <w:sz w:val="24"/>
          <w:szCs w:val="24"/>
        </w:rPr>
      </w:pPr>
      <w:r>
        <w:rPr>
          <w:sz w:val="24"/>
          <w:szCs w:val="24"/>
        </w:rPr>
        <w:t xml:space="preserve">Brojne investicije u realna dobra </w:t>
      </w:r>
      <w:r w:rsidR="00C92952">
        <w:rPr>
          <w:sz w:val="24"/>
          <w:szCs w:val="24"/>
        </w:rPr>
        <w:t>mogu biti</w:t>
      </w:r>
      <w:r>
        <w:rPr>
          <w:sz w:val="24"/>
          <w:szCs w:val="24"/>
        </w:rPr>
        <w:t xml:space="preserve"> </w:t>
      </w:r>
      <w:r w:rsidR="00C92952">
        <w:rPr>
          <w:sz w:val="24"/>
          <w:szCs w:val="24"/>
        </w:rPr>
        <w:t xml:space="preserve">formalno </w:t>
      </w:r>
      <w:r>
        <w:rPr>
          <w:sz w:val="24"/>
          <w:szCs w:val="24"/>
        </w:rPr>
        <w:t>obuhvaćene porezom na dodan</w:t>
      </w:r>
      <w:r w:rsidR="00C16E58">
        <w:rPr>
          <w:sz w:val="24"/>
          <w:szCs w:val="24"/>
        </w:rPr>
        <w:t>u vrijednost</w:t>
      </w:r>
      <w:r w:rsidR="00C92952">
        <w:rPr>
          <w:sz w:val="24"/>
          <w:szCs w:val="24"/>
        </w:rPr>
        <w:t xml:space="preserve">, </w:t>
      </w:r>
      <w:r w:rsidR="005853AA">
        <w:rPr>
          <w:sz w:val="24"/>
          <w:szCs w:val="24"/>
        </w:rPr>
        <w:t xml:space="preserve">npr. kupnja stana </w:t>
      </w:r>
      <w:r w:rsidR="00916639">
        <w:rPr>
          <w:sz w:val="24"/>
          <w:szCs w:val="24"/>
        </w:rPr>
        <w:t>ako</w:t>
      </w:r>
      <w:r>
        <w:rPr>
          <w:sz w:val="24"/>
          <w:szCs w:val="24"/>
        </w:rPr>
        <w:t xml:space="preserve"> se smatra </w:t>
      </w:r>
      <w:r w:rsidR="00A8644F">
        <w:rPr>
          <w:sz w:val="24"/>
          <w:szCs w:val="24"/>
        </w:rPr>
        <w:t>prvim nastanom (prvim korištenjem stana)</w:t>
      </w:r>
      <w:r w:rsidR="00916639">
        <w:rPr>
          <w:sz w:val="24"/>
          <w:szCs w:val="24"/>
        </w:rPr>
        <w:t xml:space="preserve"> ili </w:t>
      </w:r>
      <w:r w:rsidR="006D0834">
        <w:rPr>
          <w:sz w:val="24"/>
          <w:szCs w:val="24"/>
        </w:rPr>
        <w:t xml:space="preserve">građevinskog zemljišta </w:t>
      </w:r>
      <w:r w:rsidR="005853AA">
        <w:rPr>
          <w:sz w:val="24"/>
          <w:szCs w:val="24"/>
        </w:rPr>
        <w:t xml:space="preserve">– a u oba slučaja </w:t>
      </w:r>
      <w:r w:rsidR="00C92952">
        <w:rPr>
          <w:sz w:val="24"/>
          <w:szCs w:val="24"/>
        </w:rPr>
        <w:t xml:space="preserve">ukoliko se </w:t>
      </w:r>
      <w:r w:rsidR="006D0834">
        <w:rPr>
          <w:sz w:val="24"/>
          <w:szCs w:val="24"/>
        </w:rPr>
        <w:t>oni kupuj</w:t>
      </w:r>
      <w:r w:rsidR="00C92952">
        <w:rPr>
          <w:sz w:val="24"/>
          <w:szCs w:val="24"/>
        </w:rPr>
        <w:t>u</w:t>
      </w:r>
      <w:r w:rsidR="006D0834">
        <w:rPr>
          <w:sz w:val="24"/>
          <w:szCs w:val="24"/>
        </w:rPr>
        <w:t xml:space="preserve"> od isporu</w:t>
      </w:r>
      <w:r w:rsidR="00C92952">
        <w:rPr>
          <w:sz w:val="24"/>
          <w:szCs w:val="24"/>
        </w:rPr>
        <w:t>čitelja koji je u sustavu PDV-a</w:t>
      </w:r>
      <w:r w:rsidR="008E7C61">
        <w:rPr>
          <w:sz w:val="24"/>
          <w:szCs w:val="24"/>
        </w:rPr>
        <w:t xml:space="preserve">. Formalno to nije slučaj </w:t>
      </w:r>
      <w:r w:rsidR="00C92952">
        <w:rPr>
          <w:sz w:val="24"/>
          <w:szCs w:val="24"/>
        </w:rPr>
        <w:t xml:space="preserve">ukoliko se </w:t>
      </w:r>
      <w:r w:rsidR="008E7C61">
        <w:rPr>
          <w:sz w:val="24"/>
          <w:szCs w:val="24"/>
        </w:rPr>
        <w:t xml:space="preserve">stan </w:t>
      </w:r>
      <w:r w:rsidR="005853AA">
        <w:rPr>
          <w:sz w:val="24"/>
          <w:szCs w:val="24"/>
        </w:rPr>
        <w:t>i/</w:t>
      </w:r>
      <w:r w:rsidR="008E7C61">
        <w:rPr>
          <w:sz w:val="24"/>
          <w:szCs w:val="24"/>
        </w:rPr>
        <w:t>i</w:t>
      </w:r>
      <w:r w:rsidR="005853AA">
        <w:rPr>
          <w:sz w:val="24"/>
          <w:szCs w:val="24"/>
        </w:rPr>
        <w:t>li</w:t>
      </w:r>
      <w:r w:rsidR="008E7C61">
        <w:rPr>
          <w:sz w:val="24"/>
          <w:szCs w:val="24"/>
        </w:rPr>
        <w:t xml:space="preserve"> građevinsko zemljište </w:t>
      </w:r>
      <w:r w:rsidR="00C92952">
        <w:rPr>
          <w:sz w:val="24"/>
          <w:szCs w:val="24"/>
        </w:rPr>
        <w:t>kupuj</w:t>
      </w:r>
      <w:r w:rsidR="005853AA">
        <w:rPr>
          <w:sz w:val="24"/>
          <w:szCs w:val="24"/>
        </w:rPr>
        <w:t>e</w:t>
      </w:r>
      <w:r w:rsidR="00C92952">
        <w:rPr>
          <w:sz w:val="24"/>
          <w:szCs w:val="24"/>
        </w:rPr>
        <w:t xml:space="preserve"> od osobe koja nije u sustavu PDV-a</w:t>
      </w:r>
      <w:r w:rsidR="005853AA">
        <w:rPr>
          <w:sz w:val="24"/>
          <w:szCs w:val="24"/>
        </w:rPr>
        <w:t>. N</w:t>
      </w:r>
      <w:r w:rsidR="00C92952">
        <w:rPr>
          <w:sz w:val="24"/>
          <w:szCs w:val="24"/>
        </w:rPr>
        <w:t>o</w:t>
      </w:r>
      <w:r w:rsidR="005D1D0D">
        <w:rPr>
          <w:sz w:val="24"/>
          <w:szCs w:val="24"/>
        </w:rPr>
        <w:t>,</w:t>
      </w:r>
      <w:r w:rsidR="00C92952">
        <w:rPr>
          <w:sz w:val="24"/>
          <w:szCs w:val="24"/>
        </w:rPr>
        <w:t xml:space="preserve"> to ne znači </w:t>
      </w:r>
      <w:r w:rsidR="005853AA">
        <w:rPr>
          <w:sz w:val="24"/>
          <w:szCs w:val="24"/>
        </w:rPr>
        <w:t xml:space="preserve">da u tom slučaju </w:t>
      </w:r>
      <w:r w:rsidR="00C92952">
        <w:rPr>
          <w:sz w:val="24"/>
          <w:szCs w:val="24"/>
        </w:rPr>
        <w:t>nema prevaljivanja poreznog tereta</w:t>
      </w:r>
      <w:r w:rsidR="008E7C61">
        <w:rPr>
          <w:sz w:val="24"/>
          <w:szCs w:val="24"/>
        </w:rPr>
        <w:t xml:space="preserve"> na krajnjeg kupca (pojedinca)</w:t>
      </w:r>
      <w:r w:rsidR="00C92952">
        <w:rPr>
          <w:sz w:val="24"/>
          <w:szCs w:val="24"/>
        </w:rPr>
        <w:t>. Naime poduzetnik koji nije u sustavu PDV-a (</w:t>
      </w:r>
      <w:r w:rsidR="006B0DBC">
        <w:rPr>
          <w:sz w:val="24"/>
          <w:szCs w:val="24"/>
        </w:rPr>
        <w:t>jer ima isporuke manje od graničnog praga 200.000 kuna godišnje</w:t>
      </w:r>
      <w:r w:rsidR="00C92952">
        <w:rPr>
          <w:sz w:val="24"/>
          <w:szCs w:val="24"/>
        </w:rPr>
        <w:t>) nema pravo odbiti pretporez</w:t>
      </w:r>
      <w:r w:rsidR="00916639">
        <w:rPr>
          <w:sz w:val="24"/>
          <w:szCs w:val="24"/>
        </w:rPr>
        <w:t>,</w:t>
      </w:r>
      <w:r w:rsidR="00C92952">
        <w:rPr>
          <w:sz w:val="24"/>
          <w:szCs w:val="24"/>
        </w:rPr>
        <w:t xml:space="preserve"> ali i dalje </w:t>
      </w:r>
      <w:r w:rsidR="006B0DBC">
        <w:rPr>
          <w:sz w:val="24"/>
          <w:szCs w:val="24"/>
        </w:rPr>
        <w:t xml:space="preserve">svoje </w:t>
      </w:r>
      <w:r w:rsidR="00C92952">
        <w:rPr>
          <w:sz w:val="24"/>
          <w:szCs w:val="24"/>
        </w:rPr>
        <w:t xml:space="preserve">ukupne troškove nabavke inputa </w:t>
      </w:r>
      <w:r w:rsidR="006B0DBC">
        <w:rPr>
          <w:sz w:val="24"/>
          <w:szCs w:val="24"/>
        </w:rPr>
        <w:t xml:space="preserve">(s uključenim PDV-om na inpute) </w:t>
      </w:r>
      <w:r w:rsidR="00C92952">
        <w:rPr>
          <w:sz w:val="24"/>
          <w:szCs w:val="24"/>
        </w:rPr>
        <w:t>prenosi na svojeg kupca</w:t>
      </w:r>
      <w:r w:rsidR="006D0834">
        <w:rPr>
          <w:sz w:val="24"/>
          <w:szCs w:val="24"/>
        </w:rPr>
        <w:t>. U slučaju kada se prodaja i kupnja nekretnina odvija između fizičkih osoba međusobno</w:t>
      </w:r>
      <w:r w:rsidR="003A04DD">
        <w:rPr>
          <w:sz w:val="24"/>
          <w:szCs w:val="24"/>
        </w:rPr>
        <w:t xml:space="preserve">, kao i </w:t>
      </w:r>
      <w:r w:rsidR="006B0DBC">
        <w:rPr>
          <w:sz w:val="24"/>
          <w:szCs w:val="24"/>
        </w:rPr>
        <w:t xml:space="preserve">slučaju transakcije </w:t>
      </w:r>
      <w:r w:rsidR="003A04DD">
        <w:rPr>
          <w:sz w:val="24"/>
          <w:szCs w:val="24"/>
        </w:rPr>
        <w:t xml:space="preserve">između </w:t>
      </w:r>
      <w:r w:rsidR="006D0834">
        <w:rPr>
          <w:sz w:val="24"/>
          <w:szCs w:val="24"/>
        </w:rPr>
        <w:t xml:space="preserve">poduzetnika koji nije u sustavu PDV-a i fizičke osobe </w:t>
      </w:r>
      <w:r w:rsidR="006B0DBC">
        <w:rPr>
          <w:sz w:val="24"/>
          <w:szCs w:val="24"/>
        </w:rPr>
        <w:t xml:space="preserve">(kupca) </w:t>
      </w:r>
      <w:r w:rsidR="00916639">
        <w:rPr>
          <w:sz w:val="24"/>
          <w:szCs w:val="24"/>
        </w:rPr>
        <w:t xml:space="preserve">- </w:t>
      </w:r>
      <w:r w:rsidR="006D0834">
        <w:rPr>
          <w:sz w:val="24"/>
          <w:szCs w:val="24"/>
        </w:rPr>
        <w:t>plaća se porez na promet nekretnina</w:t>
      </w:r>
      <w:r w:rsidR="003A04DD">
        <w:rPr>
          <w:sz w:val="24"/>
          <w:szCs w:val="24"/>
        </w:rPr>
        <w:t xml:space="preserve"> po stopi 5%</w:t>
      </w:r>
      <w:r w:rsidR="00916639">
        <w:rPr>
          <w:sz w:val="24"/>
          <w:szCs w:val="24"/>
        </w:rPr>
        <w:t xml:space="preserve"> (u tom slučaju ne plaća se PDV)</w:t>
      </w:r>
      <w:r w:rsidR="006D0834">
        <w:rPr>
          <w:sz w:val="24"/>
          <w:szCs w:val="24"/>
        </w:rPr>
        <w:t xml:space="preserve">.  </w:t>
      </w:r>
    </w:p>
    <w:p w:rsidR="00426677" w:rsidRDefault="00B8521F" w:rsidP="00B8521F">
      <w:pPr>
        <w:spacing w:before="240"/>
        <w:jc w:val="both"/>
        <w:rPr>
          <w:sz w:val="24"/>
          <w:szCs w:val="24"/>
        </w:rPr>
      </w:pPr>
      <w:r w:rsidRPr="008A2C17">
        <w:rPr>
          <w:sz w:val="24"/>
          <w:szCs w:val="24"/>
        </w:rPr>
        <w:t xml:space="preserve">Posjedovanje i angažman psiho-fizičkih sposobnosti za obavljanje određenih poslova po nalogu poslodavca donosi </w:t>
      </w:r>
      <w:r w:rsidRPr="00426677">
        <w:rPr>
          <w:color w:val="C00000"/>
          <w:sz w:val="24"/>
          <w:szCs w:val="24"/>
        </w:rPr>
        <w:t xml:space="preserve">dohodak </w:t>
      </w:r>
      <w:r w:rsidR="0095703E" w:rsidRPr="00426677">
        <w:rPr>
          <w:color w:val="C00000"/>
          <w:sz w:val="24"/>
          <w:szCs w:val="24"/>
        </w:rPr>
        <w:t xml:space="preserve">od rada </w:t>
      </w:r>
      <w:r w:rsidRPr="00426677">
        <w:rPr>
          <w:color w:val="C00000"/>
          <w:sz w:val="24"/>
          <w:szCs w:val="24"/>
        </w:rPr>
        <w:t>u formi bruto plaće</w:t>
      </w:r>
      <w:r w:rsidRPr="008A2C17">
        <w:rPr>
          <w:sz w:val="24"/>
          <w:szCs w:val="24"/>
        </w:rPr>
        <w:t xml:space="preserve">, a koji se </w:t>
      </w:r>
      <w:r w:rsidR="0095703E">
        <w:rPr>
          <w:sz w:val="24"/>
          <w:szCs w:val="24"/>
        </w:rPr>
        <w:t xml:space="preserve">u Hrvatskoj </w:t>
      </w:r>
      <w:r w:rsidRPr="008A2C17">
        <w:rPr>
          <w:sz w:val="24"/>
          <w:szCs w:val="24"/>
        </w:rPr>
        <w:t xml:space="preserve">prije konačne isplate </w:t>
      </w:r>
      <w:r w:rsidR="0095703E">
        <w:rPr>
          <w:sz w:val="24"/>
          <w:szCs w:val="24"/>
        </w:rPr>
        <w:t xml:space="preserve">radniku </w:t>
      </w:r>
      <w:r w:rsidRPr="008A2C17">
        <w:rPr>
          <w:sz w:val="24"/>
          <w:szCs w:val="24"/>
        </w:rPr>
        <w:t xml:space="preserve">umanjuje za iznos </w:t>
      </w:r>
      <w:r w:rsidR="00426677">
        <w:rPr>
          <w:sz w:val="24"/>
          <w:szCs w:val="24"/>
        </w:rPr>
        <w:t xml:space="preserve">mirovinskih </w:t>
      </w:r>
      <w:r w:rsidRPr="008A2C17">
        <w:rPr>
          <w:sz w:val="24"/>
          <w:szCs w:val="24"/>
        </w:rPr>
        <w:t xml:space="preserve">doprinosa, porez na dohodak i prirez porezu na dohodak </w:t>
      </w:r>
      <w:r w:rsidR="0095703E">
        <w:rPr>
          <w:sz w:val="24"/>
          <w:szCs w:val="24"/>
        </w:rPr>
        <w:t xml:space="preserve">pa </w:t>
      </w:r>
      <w:r w:rsidR="00F54293">
        <w:rPr>
          <w:sz w:val="24"/>
          <w:szCs w:val="24"/>
        </w:rPr>
        <w:t xml:space="preserve">se </w:t>
      </w:r>
      <w:r w:rsidRPr="00426677">
        <w:rPr>
          <w:color w:val="C00000"/>
          <w:sz w:val="24"/>
          <w:szCs w:val="24"/>
        </w:rPr>
        <w:t xml:space="preserve">u financijama pojedinca javlja kao </w:t>
      </w:r>
      <w:r w:rsidR="0095703E" w:rsidRPr="00426677">
        <w:rPr>
          <w:color w:val="C00000"/>
          <w:sz w:val="24"/>
          <w:szCs w:val="24"/>
        </w:rPr>
        <w:t xml:space="preserve">neto </w:t>
      </w:r>
      <w:r w:rsidRPr="00426677">
        <w:rPr>
          <w:color w:val="C00000"/>
          <w:sz w:val="24"/>
          <w:szCs w:val="24"/>
        </w:rPr>
        <w:t>prihod</w:t>
      </w:r>
      <w:r w:rsidRPr="008A2C17">
        <w:rPr>
          <w:sz w:val="24"/>
          <w:szCs w:val="24"/>
        </w:rPr>
        <w:t xml:space="preserve">. </w:t>
      </w:r>
      <w:r w:rsidR="00426677">
        <w:rPr>
          <w:sz w:val="24"/>
          <w:szCs w:val="24"/>
        </w:rPr>
        <w:t>Međutim, to nije kraj priče o fiskalnim nametima. Po</w:t>
      </w:r>
      <w:r w:rsidR="00283C46">
        <w:rPr>
          <w:sz w:val="24"/>
          <w:szCs w:val="24"/>
        </w:rPr>
        <w:t xml:space="preserve">slodavci </w:t>
      </w:r>
      <w:r w:rsidR="00916639">
        <w:rPr>
          <w:sz w:val="24"/>
          <w:szCs w:val="24"/>
        </w:rPr>
        <w:t xml:space="preserve">dodatno </w:t>
      </w:r>
      <w:r w:rsidR="00283C46">
        <w:rPr>
          <w:sz w:val="24"/>
          <w:szCs w:val="24"/>
        </w:rPr>
        <w:t>na bruto plaću trebaju obračunati i podmiriti obveze za doprinose na plaću (zdravstveni doprinos i drugi).</w:t>
      </w:r>
      <w:r w:rsidR="00426677">
        <w:rPr>
          <w:sz w:val="24"/>
          <w:szCs w:val="24"/>
        </w:rPr>
        <w:t xml:space="preserve"> Ukupni trošak poslodavca tzv. bruto 2 je stoga znatno veći od neto plaće koju prima radnik, dok Hrvatska po tom kriteriju bilježi troškove rada znatno veće nego druge nove članice Europske unije. </w:t>
      </w:r>
    </w:p>
    <w:p w:rsidR="00283C46" w:rsidRDefault="00426677" w:rsidP="00B8521F">
      <w:pPr>
        <w:spacing w:before="240"/>
        <w:jc w:val="both"/>
        <w:rPr>
          <w:sz w:val="24"/>
          <w:szCs w:val="24"/>
        </w:rPr>
      </w:pPr>
      <w:r w:rsidRPr="008A2C17">
        <w:rPr>
          <w:sz w:val="24"/>
          <w:szCs w:val="24"/>
        </w:rPr>
        <w:t>Ulaganje u samostalnu poduzetničku aktivnost omogućuje ostvarivanje dohotka od samostalne djelatnosti te je također obuhvaćeno sustavom oporezivanja dohotka</w:t>
      </w:r>
      <w:r>
        <w:rPr>
          <w:sz w:val="24"/>
          <w:szCs w:val="24"/>
        </w:rPr>
        <w:t xml:space="preserve">, odnosno izdvajanima obveznih doprinosa. </w:t>
      </w:r>
      <w:r w:rsidR="00283C46">
        <w:rPr>
          <w:sz w:val="24"/>
          <w:szCs w:val="24"/>
        </w:rPr>
        <w:t xml:space="preserve">S obzirom na primjenu progresivnih stopa u oporezivanju </w:t>
      </w:r>
      <w:r>
        <w:rPr>
          <w:sz w:val="24"/>
          <w:szCs w:val="24"/>
        </w:rPr>
        <w:t>dohotka (</w:t>
      </w:r>
      <w:r w:rsidR="00283C46">
        <w:rPr>
          <w:sz w:val="24"/>
          <w:szCs w:val="24"/>
        </w:rPr>
        <w:t>12%, 25% i 40%</w:t>
      </w:r>
      <w:r>
        <w:rPr>
          <w:sz w:val="24"/>
          <w:szCs w:val="24"/>
        </w:rPr>
        <w:t>)</w:t>
      </w:r>
      <w:r w:rsidR="00283C46">
        <w:rPr>
          <w:sz w:val="24"/>
          <w:szCs w:val="24"/>
        </w:rPr>
        <w:t xml:space="preserve"> </w:t>
      </w:r>
      <w:r w:rsidR="00283C46" w:rsidRPr="00426677">
        <w:rPr>
          <w:color w:val="C00000"/>
          <w:sz w:val="24"/>
          <w:szCs w:val="24"/>
        </w:rPr>
        <w:t xml:space="preserve">interes </w:t>
      </w:r>
      <w:r w:rsidR="00283C46" w:rsidRPr="005D1D0D">
        <w:rPr>
          <w:sz w:val="24"/>
          <w:szCs w:val="24"/>
        </w:rPr>
        <w:t xml:space="preserve">pojedinca ili obrtnika </w:t>
      </w:r>
      <w:r w:rsidR="00283C46" w:rsidRPr="005D1D0D">
        <w:rPr>
          <w:color w:val="C00000"/>
          <w:sz w:val="24"/>
          <w:szCs w:val="24"/>
        </w:rPr>
        <w:t>za dodatnim poslovnim angažmanom može biti bitno smanjen ako</w:t>
      </w:r>
      <w:r w:rsidR="005D1D0D">
        <w:rPr>
          <w:sz w:val="24"/>
          <w:szCs w:val="24"/>
        </w:rPr>
        <w:t>,</w:t>
      </w:r>
      <w:r w:rsidR="00283C46" w:rsidRPr="005D1D0D">
        <w:rPr>
          <w:sz w:val="24"/>
          <w:szCs w:val="24"/>
        </w:rPr>
        <w:t xml:space="preserve"> nakon dostizanja određenih iznosa po poreznim razredima, </w:t>
      </w:r>
      <w:r w:rsidR="00283C46" w:rsidRPr="005D1D0D">
        <w:rPr>
          <w:color w:val="C00000"/>
          <w:sz w:val="24"/>
          <w:szCs w:val="24"/>
        </w:rPr>
        <w:t>porezni teret raste znatno brže od stope rasta bruto prihoda</w:t>
      </w:r>
      <w:r w:rsidR="00283C46" w:rsidRPr="005D1D0D">
        <w:rPr>
          <w:sz w:val="24"/>
          <w:szCs w:val="24"/>
        </w:rPr>
        <w:t xml:space="preserve">. </w:t>
      </w:r>
    </w:p>
    <w:p w:rsidR="00560C57" w:rsidRDefault="00B8521F" w:rsidP="00B8521F">
      <w:pPr>
        <w:spacing w:before="240"/>
        <w:jc w:val="both"/>
        <w:rPr>
          <w:sz w:val="24"/>
          <w:szCs w:val="24"/>
        </w:rPr>
      </w:pPr>
      <w:r w:rsidRPr="008A2C17">
        <w:rPr>
          <w:sz w:val="24"/>
          <w:szCs w:val="24"/>
        </w:rPr>
        <w:t>Posjedovanje apartmana na moru koji se iznajmljuje turistima donosi dohodak od iznajmljivanja nekretnine i paušalno se oporezuje</w:t>
      </w:r>
      <w:r w:rsidR="0095703E">
        <w:rPr>
          <w:sz w:val="24"/>
          <w:szCs w:val="24"/>
        </w:rPr>
        <w:t>, dok iznajmljivanja nekretnina izvan turističke namjene predstavljaju oporeziv dohodak od imovine</w:t>
      </w:r>
      <w:r w:rsidRPr="008A2C17">
        <w:rPr>
          <w:sz w:val="24"/>
          <w:szCs w:val="24"/>
        </w:rPr>
        <w:t xml:space="preserve">. U novijoj povijesti </w:t>
      </w:r>
      <w:r w:rsidR="0095703E">
        <w:rPr>
          <w:sz w:val="24"/>
          <w:szCs w:val="24"/>
        </w:rPr>
        <w:t xml:space="preserve">također se </w:t>
      </w:r>
      <w:r w:rsidR="0095703E" w:rsidRPr="00560C57">
        <w:rPr>
          <w:color w:val="C00000"/>
          <w:sz w:val="24"/>
          <w:szCs w:val="24"/>
        </w:rPr>
        <w:lastRenderedPageBreak/>
        <w:t xml:space="preserve">oporezuje </w:t>
      </w:r>
      <w:r w:rsidRPr="00560C57">
        <w:rPr>
          <w:color w:val="C00000"/>
          <w:sz w:val="24"/>
          <w:szCs w:val="24"/>
        </w:rPr>
        <w:t>dohodak od kamata na štedne i oročene depozite</w:t>
      </w:r>
      <w:r w:rsidR="00141DE7" w:rsidRPr="00560C57">
        <w:rPr>
          <w:color w:val="C00000"/>
          <w:sz w:val="24"/>
          <w:szCs w:val="24"/>
        </w:rPr>
        <w:t xml:space="preserve"> </w:t>
      </w:r>
      <w:r w:rsidR="00141DE7">
        <w:rPr>
          <w:sz w:val="24"/>
          <w:szCs w:val="24"/>
        </w:rPr>
        <w:t>(kao oblik dohotka od kapitala)</w:t>
      </w:r>
      <w:r w:rsidR="00F54293">
        <w:rPr>
          <w:sz w:val="24"/>
          <w:szCs w:val="24"/>
        </w:rPr>
        <w:t>. Kako je oporezivanje kamata najavljeno tijekom 2014., a implementirano u 2015. brojni imućni pojedinci iskoristili su mogućnost anticipativnog obračuna kamata za oročeni štednju za određeni budući rok oročenja (kraći od pet godina), a s namjerom da legalno izbjegnu porezne rashode u budućnosti.</w:t>
      </w:r>
      <w:r w:rsidR="0095703E">
        <w:rPr>
          <w:sz w:val="24"/>
          <w:szCs w:val="24"/>
        </w:rPr>
        <w:t xml:space="preserve"> </w:t>
      </w:r>
    </w:p>
    <w:p w:rsidR="00961116" w:rsidRDefault="00F54293" w:rsidP="00B8521F">
      <w:pPr>
        <w:spacing w:before="240"/>
        <w:jc w:val="both"/>
        <w:rPr>
          <w:sz w:val="24"/>
          <w:szCs w:val="24"/>
        </w:rPr>
      </w:pPr>
      <w:r>
        <w:rPr>
          <w:sz w:val="24"/>
          <w:szCs w:val="24"/>
        </w:rPr>
        <w:t>O</w:t>
      </w:r>
      <w:r w:rsidR="0095703E">
        <w:rPr>
          <w:sz w:val="24"/>
          <w:szCs w:val="24"/>
        </w:rPr>
        <w:t xml:space="preserve">d 2016. </w:t>
      </w:r>
      <w:r>
        <w:rPr>
          <w:sz w:val="24"/>
          <w:szCs w:val="24"/>
        </w:rPr>
        <w:t xml:space="preserve">godine </w:t>
      </w:r>
      <w:r w:rsidR="00C84315">
        <w:rPr>
          <w:sz w:val="24"/>
          <w:szCs w:val="24"/>
        </w:rPr>
        <w:t xml:space="preserve">u Hrvatskoj </w:t>
      </w:r>
      <w:r>
        <w:rPr>
          <w:sz w:val="24"/>
          <w:szCs w:val="24"/>
        </w:rPr>
        <w:t>počinje</w:t>
      </w:r>
      <w:r w:rsidR="00C84315">
        <w:rPr>
          <w:sz w:val="24"/>
          <w:szCs w:val="24"/>
        </w:rPr>
        <w:t xml:space="preserve"> primjena </w:t>
      </w:r>
      <w:r>
        <w:rPr>
          <w:sz w:val="24"/>
          <w:szCs w:val="24"/>
        </w:rPr>
        <w:t xml:space="preserve"> </w:t>
      </w:r>
      <w:r w:rsidR="0095703E" w:rsidRPr="00560C57">
        <w:rPr>
          <w:color w:val="C00000"/>
          <w:sz w:val="24"/>
          <w:szCs w:val="24"/>
        </w:rPr>
        <w:t>o</w:t>
      </w:r>
      <w:r w:rsidR="00916639" w:rsidRPr="00560C57">
        <w:rPr>
          <w:color w:val="C00000"/>
          <w:sz w:val="24"/>
          <w:szCs w:val="24"/>
        </w:rPr>
        <w:t>porezivanje kapitalnih dobitaka</w:t>
      </w:r>
      <w:r w:rsidR="00B8521F" w:rsidRPr="008A2C17">
        <w:rPr>
          <w:sz w:val="24"/>
          <w:szCs w:val="24"/>
        </w:rPr>
        <w:t xml:space="preserve">. </w:t>
      </w:r>
      <w:r>
        <w:rPr>
          <w:sz w:val="24"/>
          <w:szCs w:val="24"/>
        </w:rPr>
        <w:t xml:space="preserve">Prilika da se smanje </w:t>
      </w:r>
      <w:r w:rsidR="00426677">
        <w:rPr>
          <w:sz w:val="24"/>
          <w:szCs w:val="24"/>
        </w:rPr>
        <w:t xml:space="preserve">eventualni </w:t>
      </w:r>
      <w:r>
        <w:rPr>
          <w:sz w:val="24"/>
          <w:szCs w:val="24"/>
        </w:rPr>
        <w:t>budući porezni rashodi vezani uz kapitalne dobitke (razlike između prodajne cijene imovine i nabavne cijene</w:t>
      </w:r>
      <w:r w:rsidR="00426677">
        <w:rPr>
          <w:sz w:val="24"/>
          <w:szCs w:val="24"/>
        </w:rPr>
        <w:t xml:space="preserve"> ako je imovina stečena u razdoblju kraćem od tri godine</w:t>
      </w:r>
      <w:r>
        <w:rPr>
          <w:sz w:val="24"/>
          <w:szCs w:val="24"/>
        </w:rPr>
        <w:t xml:space="preserve">) stoga se trebaju iskoristit do kraja 2015. </w:t>
      </w:r>
      <w:r w:rsidR="0095703E">
        <w:rPr>
          <w:sz w:val="24"/>
          <w:szCs w:val="24"/>
        </w:rPr>
        <w:t xml:space="preserve">Dok se ranije nisu oporezivali primici od </w:t>
      </w:r>
      <w:r w:rsidR="00C84315">
        <w:rPr>
          <w:sz w:val="24"/>
          <w:szCs w:val="24"/>
        </w:rPr>
        <w:t xml:space="preserve">isplaćene </w:t>
      </w:r>
      <w:r w:rsidR="0095703E">
        <w:rPr>
          <w:sz w:val="24"/>
          <w:szCs w:val="24"/>
        </w:rPr>
        <w:t xml:space="preserve">dividende u godišnjem iznosu do 12.000 kuna, od 2015. svi iznosi </w:t>
      </w:r>
      <w:r w:rsidR="00C84315">
        <w:rPr>
          <w:sz w:val="24"/>
          <w:szCs w:val="24"/>
        </w:rPr>
        <w:t xml:space="preserve">isplaćenih </w:t>
      </w:r>
      <w:r w:rsidR="0095703E">
        <w:rPr>
          <w:sz w:val="24"/>
          <w:szCs w:val="24"/>
        </w:rPr>
        <w:t>dividenda se oporezuju porezom na dohodak i pripadajućim prirezom</w:t>
      </w:r>
      <w:r>
        <w:rPr>
          <w:sz w:val="24"/>
          <w:szCs w:val="24"/>
        </w:rPr>
        <w:t xml:space="preserve">. </w:t>
      </w:r>
      <w:r w:rsidRPr="00426677">
        <w:rPr>
          <w:color w:val="C00000"/>
          <w:sz w:val="24"/>
          <w:szCs w:val="24"/>
        </w:rPr>
        <w:t>S obzirom da se porezne izmjene uobičajeno najavljuju nekoliko mjeseci unaprijed, važno je na vrijeme poduzeti poteze koje ć</w:t>
      </w:r>
      <w:r w:rsidR="002A6133" w:rsidRPr="00426677">
        <w:rPr>
          <w:color w:val="C00000"/>
          <w:sz w:val="24"/>
          <w:szCs w:val="24"/>
        </w:rPr>
        <w:t>e legalno omogućiti smanjenje budućih poreznih davanja</w:t>
      </w:r>
      <w:r w:rsidR="0095703E" w:rsidRPr="00426677">
        <w:rPr>
          <w:color w:val="C00000"/>
          <w:sz w:val="24"/>
          <w:szCs w:val="24"/>
        </w:rPr>
        <w:t xml:space="preserve">. </w:t>
      </w:r>
      <w:r w:rsidR="008F6131">
        <w:rPr>
          <w:sz w:val="24"/>
          <w:szCs w:val="24"/>
        </w:rPr>
        <w:t xml:space="preserve">Također važno je voditi računa da sustav oporezivanja dohotka podrazumijeva i određene primitke koji se ne smatraju oporezivim dohotkom ili na koje se ne plaća porez na dohodak ukoliko ne premašuju definirane iznose. (Vidjeti Zakon o porezu na dohodak.) </w:t>
      </w:r>
    </w:p>
    <w:p w:rsidR="00F54293" w:rsidRPr="00426677" w:rsidRDefault="0095703E" w:rsidP="00B8521F">
      <w:pPr>
        <w:spacing w:before="240"/>
        <w:jc w:val="both"/>
        <w:rPr>
          <w:sz w:val="24"/>
          <w:szCs w:val="24"/>
        </w:rPr>
      </w:pPr>
      <w:r>
        <w:rPr>
          <w:sz w:val="24"/>
          <w:szCs w:val="24"/>
        </w:rPr>
        <w:t xml:space="preserve">Kako se </w:t>
      </w:r>
      <w:r w:rsidRPr="00141DE7">
        <w:rPr>
          <w:color w:val="C00000"/>
          <w:sz w:val="24"/>
          <w:szCs w:val="24"/>
        </w:rPr>
        <w:t xml:space="preserve">stopa prireza </w:t>
      </w:r>
      <w:r w:rsidR="00141DE7">
        <w:rPr>
          <w:color w:val="C00000"/>
          <w:sz w:val="24"/>
          <w:szCs w:val="24"/>
        </w:rPr>
        <w:t xml:space="preserve">porezu na dohodak </w:t>
      </w:r>
      <w:r>
        <w:rPr>
          <w:sz w:val="24"/>
          <w:szCs w:val="24"/>
        </w:rPr>
        <w:t>razlikuje od grada do grada i kreće se od 0% preko 5%, 10%, 12% do čak 18% u Zagrebu, doho</w:t>
      </w:r>
      <w:r w:rsidR="00961116">
        <w:rPr>
          <w:sz w:val="24"/>
          <w:szCs w:val="24"/>
        </w:rPr>
        <w:t>ci</w:t>
      </w:r>
      <w:r>
        <w:rPr>
          <w:sz w:val="24"/>
          <w:szCs w:val="24"/>
        </w:rPr>
        <w:t xml:space="preserve"> od</w:t>
      </w:r>
      <w:r w:rsidR="00916639">
        <w:rPr>
          <w:sz w:val="24"/>
          <w:szCs w:val="24"/>
        </w:rPr>
        <w:t xml:space="preserve"> imovine poput kamata, dividendi</w:t>
      </w:r>
      <w:r>
        <w:rPr>
          <w:sz w:val="24"/>
          <w:szCs w:val="24"/>
        </w:rPr>
        <w:t xml:space="preserve"> ili najamnina </w:t>
      </w:r>
      <w:r w:rsidR="00961116">
        <w:rPr>
          <w:sz w:val="24"/>
          <w:szCs w:val="24"/>
        </w:rPr>
        <w:t xml:space="preserve">(ali i svi drugi dohoci </w:t>
      </w:r>
      <w:r w:rsidR="005D1D0D">
        <w:rPr>
          <w:sz w:val="24"/>
          <w:szCs w:val="24"/>
        </w:rPr>
        <w:t>fizičkih osoba</w:t>
      </w:r>
      <w:r w:rsidR="00961116">
        <w:rPr>
          <w:sz w:val="24"/>
          <w:szCs w:val="24"/>
        </w:rPr>
        <w:t xml:space="preserve"> uključujući i dohodak od rada) </w:t>
      </w:r>
      <w:r>
        <w:rPr>
          <w:sz w:val="24"/>
          <w:szCs w:val="24"/>
        </w:rPr>
        <w:t>mo</w:t>
      </w:r>
      <w:r w:rsidR="00961116">
        <w:rPr>
          <w:sz w:val="24"/>
          <w:szCs w:val="24"/>
        </w:rPr>
        <w:t>gu</w:t>
      </w:r>
      <w:r>
        <w:rPr>
          <w:sz w:val="24"/>
          <w:szCs w:val="24"/>
        </w:rPr>
        <w:t xml:space="preserve"> biti izložen</w:t>
      </w:r>
      <w:r w:rsidR="00961116">
        <w:rPr>
          <w:sz w:val="24"/>
          <w:szCs w:val="24"/>
        </w:rPr>
        <w:t>i</w:t>
      </w:r>
      <w:r>
        <w:rPr>
          <w:sz w:val="24"/>
          <w:szCs w:val="24"/>
        </w:rPr>
        <w:t xml:space="preserve"> djelomično različitom fiskalnom tretmanu koji proizlazi iz razlika u </w:t>
      </w:r>
      <w:r w:rsidRPr="00141DE7">
        <w:rPr>
          <w:color w:val="000000" w:themeColor="text1"/>
          <w:sz w:val="24"/>
          <w:szCs w:val="24"/>
        </w:rPr>
        <w:t xml:space="preserve">stopi prireza </w:t>
      </w:r>
      <w:r w:rsidR="00916639">
        <w:rPr>
          <w:color w:val="000000" w:themeColor="text1"/>
          <w:sz w:val="24"/>
          <w:szCs w:val="24"/>
        </w:rPr>
        <w:t>između gradova i općina</w:t>
      </w:r>
      <w:r>
        <w:rPr>
          <w:sz w:val="24"/>
          <w:szCs w:val="24"/>
        </w:rPr>
        <w:t xml:space="preserve">. </w:t>
      </w:r>
      <w:r w:rsidR="00F54293" w:rsidRPr="00426677">
        <w:rPr>
          <w:color w:val="C00000"/>
          <w:sz w:val="24"/>
          <w:szCs w:val="24"/>
        </w:rPr>
        <w:t xml:space="preserve">Preseljenje u drugo mjesto stoga može </w:t>
      </w:r>
      <w:r w:rsidR="0057393E" w:rsidRPr="00426677">
        <w:rPr>
          <w:color w:val="C00000"/>
          <w:sz w:val="24"/>
          <w:szCs w:val="24"/>
        </w:rPr>
        <w:t xml:space="preserve">pridonijeti </w:t>
      </w:r>
      <w:r w:rsidR="008F6131" w:rsidRPr="00426677">
        <w:rPr>
          <w:color w:val="C00000"/>
          <w:sz w:val="24"/>
          <w:szCs w:val="24"/>
        </w:rPr>
        <w:t>smanjenj</w:t>
      </w:r>
      <w:r w:rsidR="0057393E" w:rsidRPr="00426677">
        <w:rPr>
          <w:color w:val="C00000"/>
          <w:sz w:val="24"/>
          <w:szCs w:val="24"/>
        </w:rPr>
        <w:t>u</w:t>
      </w:r>
      <w:r w:rsidR="008F6131" w:rsidRPr="00426677">
        <w:rPr>
          <w:color w:val="C00000"/>
          <w:sz w:val="24"/>
          <w:szCs w:val="24"/>
        </w:rPr>
        <w:t xml:space="preserve"> rashoda za prirez</w:t>
      </w:r>
      <w:r w:rsidR="005D1D0D">
        <w:rPr>
          <w:color w:val="C00000"/>
          <w:sz w:val="24"/>
          <w:szCs w:val="24"/>
        </w:rPr>
        <w:t>,</w:t>
      </w:r>
      <w:r w:rsidR="008F6131" w:rsidRPr="00426677">
        <w:rPr>
          <w:color w:val="C00000"/>
          <w:sz w:val="24"/>
          <w:szCs w:val="24"/>
        </w:rPr>
        <w:t xml:space="preserve"> koji se obračunava na sve porezne obveze u oporezivanju dohotka pojedinca.</w:t>
      </w:r>
      <w:r w:rsidR="00426677">
        <w:rPr>
          <w:color w:val="C00000"/>
          <w:sz w:val="24"/>
          <w:szCs w:val="24"/>
        </w:rPr>
        <w:t xml:space="preserve"> </w:t>
      </w:r>
      <w:r w:rsidR="00426677" w:rsidRPr="00426677">
        <w:rPr>
          <w:sz w:val="24"/>
          <w:szCs w:val="24"/>
        </w:rPr>
        <w:t>Osim toga i troškovi života mogu biti znatno niži u manjim sredinama</w:t>
      </w:r>
      <w:r w:rsidR="005D1D0D">
        <w:rPr>
          <w:sz w:val="24"/>
          <w:szCs w:val="24"/>
        </w:rPr>
        <w:t xml:space="preserve"> i manje atraktivnim lokacijama pa stoga isti iznos plaće može imati bitno različitu kupovnu moć.</w:t>
      </w:r>
    </w:p>
    <w:p w:rsidR="006D7DC4" w:rsidRDefault="00B8521F" w:rsidP="00B8521F">
      <w:pPr>
        <w:spacing w:before="240"/>
        <w:jc w:val="both"/>
        <w:rPr>
          <w:sz w:val="24"/>
          <w:szCs w:val="24"/>
        </w:rPr>
      </w:pPr>
      <w:r w:rsidRPr="008A2C17">
        <w:rPr>
          <w:sz w:val="24"/>
          <w:szCs w:val="24"/>
        </w:rPr>
        <w:t xml:space="preserve">Uz brojne oblike imovine vežu </w:t>
      </w:r>
      <w:r w:rsidR="00F54293">
        <w:rPr>
          <w:sz w:val="24"/>
          <w:szCs w:val="24"/>
        </w:rPr>
        <w:t xml:space="preserve">se </w:t>
      </w:r>
      <w:r w:rsidR="00916639">
        <w:rPr>
          <w:sz w:val="24"/>
          <w:szCs w:val="24"/>
        </w:rPr>
        <w:t xml:space="preserve">kako mogući </w:t>
      </w:r>
      <w:r w:rsidRPr="008A2C17">
        <w:rPr>
          <w:sz w:val="24"/>
          <w:szCs w:val="24"/>
        </w:rPr>
        <w:t xml:space="preserve">prihodi (ili specifične koristi), </w:t>
      </w:r>
      <w:r w:rsidR="00916639">
        <w:rPr>
          <w:sz w:val="24"/>
          <w:szCs w:val="24"/>
        </w:rPr>
        <w:t xml:space="preserve">tako i </w:t>
      </w:r>
      <w:r w:rsidRPr="008A2C17">
        <w:rPr>
          <w:sz w:val="24"/>
          <w:szCs w:val="24"/>
        </w:rPr>
        <w:t xml:space="preserve">mogući </w:t>
      </w:r>
      <w:r>
        <w:rPr>
          <w:sz w:val="24"/>
          <w:szCs w:val="24"/>
        </w:rPr>
        <w:t xml:space="preserve">porezni i drugi </w:t>
      </w:r>
      <w:r w:rsidRPr="008A2C17">
        <w:rPr>
          <w:sz w:val="24"/>
          <w:szCs w:val="24"/>
        </w:rPr>
        <w:t>rashodi.</w:t>
      </w:r>
      <w:r w:rsidR="00961116">
        <w:rPr>
          <w:sz w:val="24"/>
          <w:szCs w:val="24"/>
        </w:rPr>
        <w:t xml:space="preserve"> Između ostalog u Hrvatskoj je već duže vrijeme aktualna tema mogućnosti uvođenja </w:t>
      </w:r>
      <w:r w:rsidR="00961116" w:rsidRPr="00560C57">
        <w:rPr>
          <w:color w:val="C00000"/>
          <w:sz w:val="24"/>
          <w:szCs w:val="24"/>
        </w:rPr>
        <w:t>poreza na nekretnine</w:t>
      </w:r>
      <w:r w:rsidR="00961116">
        <w:rPr>
          <w:sz w:val="24"/>
          <w:szCs w:val="24"/>
        </w:rPr>
        <w:t>, kao oblika poreza na imovinu. To će biti vjerojatno i provedeno kada se za ispune uvjeti vezani uz točnu ev</w:t>
      </w:r>
      <w:r w:rsidR="00F54293">
        <w:rPr>
          <w:sz w:val="24"/>
          <w:szCs w:val="24"/>
        </w:rPr>
        <w:t>idenciju vlasništva nekretnina</w:t>
      </w:r>
      <w:r w:rsidR="008F6131">
        <w:rPr>
          <w:sz w:val="24"/>
          <w:szCs w:val="24"/>
        </w:rPr>
        <w:t xml:space="preserve"> pa je </w:t>
      </w:r>
      <w:r w:rsidR="00F54293">
        <w:rPr>
          <w:sz w:val="24"/>
          <w:szCs w:val="24"/>
        </w:rPr>
        <w:t>to je dodatni oblik poreznog tereta na imovinu o kojem treba voditi računa već danas</w:t>
      </w:r>
      <w:r w:rsidR="008F6131">
        <w:rPr>
          <w:sz w:val="24"/>
          <w:szCs w:val="24"/>
        </w:rPr>
        <w:t xml:space="preserve"> i u skladu s time planirati buduća ulaganja i odluke koje se vežu uz buduće korištenje nekretnine od strane članova kućanstva. </w:t>
      </w:r>
    </w:p>
    <w:p w:rsidR="00283C46" w:rsidRDefault="00283C46" w:rsidP="00B8521F">
      <w:pPr>
        <w:spacing w:before="240"/>
        <w:jc w:val="both"/>
        <w:rPr>
          <w:sz w:val="24"/>
          <w:szCs w:val="24"/>
        </w:rPr>
      </w:pPr>
      <w:r w:rsidRPr="00C84315">
        <w:rPr>
          <w:color w:val="C00000"/>
          <w:sz w:val="24"/>
          <w:szCs w:val="24"/>
        </w:rPr>
        <w:t xml:space="preserve">Porezni propisi vrlo često se mijenjaju te je stoga i otežano planiranje buduće porezne pozicije. </w:t>
      </w:r>
      <w:r>
        <w:rPr>
          <w:sz w:val="24"/>
          <w:szCs w:val="24"/>
        </w:rPr>
        <w:t xml:space="preserve">Na primjer ulaganje u investicijsko zlato je do ulaska </w:t>
      </w:r>
      <w:r w:rsidR="00174E3D">
        <w:rPr>
          <w:sz w:val="24"/>
          <w:szCs w:val="24"/>
        </w:rPr>
        <w:t xml:space="preserve">Hrvatske </w:t>
      </w:r>
      <w:r>
        <w:rPr>
          <w:sz w:val="24"/>
          <w:szCs w:val="24"/>
        </w:rPr>
        <w:t xml:space="preserve">u EU bilo obuhvaćeno PDV-om, carinom i trošarinom na luksuzne proizvode pa su se transakcije ulaganja u investicijsko zlato uglavnom odvijale ilegalnim prenošenjem zlatnih poluga preko granice. </w:t>
      </w:r>
      <w:r w:rsidR="00174E3D">
        <w:rPr>
          <w:sz w:val="24"/>
          <w:szCs w:val="24"/>
        </w:rPr>
        <w:t>S druge strane izmjenom poreznih propisa nakon ulaska u EU</w:t>
      </w:r>
      <w:r w:rsidR="00916639">
        <w:rPr>
          <w:sz w:val="24"/>
          <w:szCs w:val="24"/>
        </w:rPr>
        <w:t>,</w:t>
      </w:r>
      <w:r w:rsidR="00174E3D">
        <w:rPr>
          <w:sz w:val="24"/>
          <w:szCs w:val="24"/>
        </w:rPr>
        <w:t xml:space="preserve"> isporuke stjecanja i uvoza investicijskog zlata unutar EU (uključujući i „investicijsko zlato“ u obliku potvrda o pojedinačnoj ili skupnoj pohrani zlata, zajmove u zlatu te swap poslove zlatom) oslobođene </w:t>
      </w:r>
      <w:r w:rsidR="00174E3D">
        <w:rPr>
          <w:sz w:val="24"/>
          <w:szCs w:val="24"/>
        </w:rPr>
        <w:lastRenderedPageBreak/>
        <w:t xml:space="preserve">su od PDV-a. Tako </w:t>
      </w:r>
      <w:r w:rsidR="001105A3">
        <w:rPr>
          <w:sz w:val="24"/>
          <w:szCs w:val="24"/>
        </w:rPr>
        <w:t xml:space="preserve">dok </w:t>
      </w:r>
      <w:r w:rsidR="00174E3D">
        <w:rPr>
          <w:sz w:val="24"/>
          <w:szCs w:val="24"/>
        </w:rPr>
        <w:t xml:space="preserve">je nedugo nakon ulaska u EU postalo aktualno pitanje oporezivanja kamata na štednju što je umanjilo atraktivnost tog oblika financijske imovine te aktualizirano pitanje ulaganja u nekretnine, istodobno </w:t>
      </w:r>
      <w:r w:rsidR="0054141C">
        <w:rPr>
          <w:sz w:val="24"/>
          <w:szCs w:val="24"/>
        </w:rPr>
        <w:t xml:space="preserve">je smanjen porezni teret </w:t>
      </w:r>
      <w:r w:rsidR="00174E3D">
        <w:rPr>
          <w:sz w:val="24"/>
          <w:szCs w:val="24"/>
        </w:rPr>
        <w:t xml:space="preserve">koji </w:t>
      </w:r>
      <w:r w:rsidR="0054141C">
        <w:rPr>
          <w:sz w:val="24"/>
          <w:szCs w:val="24"/>
        </w:rPr>
        <w:t>je</w:t>
      </w:r>
      <w:r w:rsidR="00174E3D">
        <w:rPr>
          <w:sz w:val="24"/>
          <w:szCs w:val="24"/>
        </w:rPr>
        <w:t xml:space="preserve"> ranij</w:t>
      </w:r>
      <w:r w:rsidR="0054141C">
        <w:rPr>
          <w:sz w:val="24"/>
          <w:szCs w:val="24"/>
        </w:rPr>
        <w:t>e</w:t>
      </w:r>
      <w:r w:rsidR="00174E3D">
        <w:rPr>
          <w:sz w:val="24"/>
          <w:szCs w:val="24"/>
        </w:rPr>
        <w:t xml:space="preserve"> demotivira</w:t>
      </w:r>
      <w:r w:rsidR="0054141C">
        <w:rPr>
          <w:sz w:val="24"/>
          <w:szCs w:val="24"/>
        </w:rPr>
        <w:t>o</w:t>
      </w:r>
      <w:r w:rsidR="00174E3D">
        <w:rPr>
          <w:sz w:val="24"/>
          <w:szCs w:val="24"/>
        </w:rPr>
        <w:t xml:space="preserve"> ulaganja u investicijsko zlato. </w:t>
      </w:r>
    </w:p>
    <w:p w:rsidR="0054141C" w:rsidRDefault="0054141C" w:rsidP="00B8521F">
      <w:pPr>
        <w:spacing w:before="240"/>
        <w:jc w:val="both"/>
        <w:rPr>
          <w:sz w:val="24"/>
          <w:szCs w:val="24"/>
        </w:rPr>
      </w:pPr>
      <w:r>
        <w:rPr>
          <w:sz w:val="24"/>
          <w:szCs w:val="24"/>
        </w:rPr>
        <w:t xml:space="preserve">Primjer </w:t>
      </w:r>
      <w:r w:rsidRPr="000A2FF9">
        <w:rPr>
          <w:color w:val="C00000"/>
          <w:sz w:val="24"/>
          <w:szCs w:val="24"/>
        </w:rPr>
        <w:t xml:space="preserve">promjenjivosti poreznog tretmana imovine i dohotka pojedinca </w:t>
      </w:r>
      <w:r>
        <w:rPr>
          <w:sz w:val="24"/>
          <w:szCs w:val="24"/>
        </w:rPr>
        <w:t xml:space="preserve">predstavljaju porezne pogodnosti koje su ranije postojale u slučaju životnog osiguranja te potom ukinute, što npr. znači da je </w:t>
      </w:r>
      <w:r w:rsidR="007A4822">
        <w:rPr>
          <w:sz w:val="24"/>
          <w:szCs w:val="24"/>
        </w:rPr>
        <w:t xml:space="preserve">u slučaju dvadesetogodišnjeg </w:t>
      </w:r>
      <w:r>
        <w:rPr>
          <w:sz w:val="24"/>
          <w:szCs w:val="24"/>
        </w:rPr>
        <w:t xml:space="preserve">mješovitog </w:t>
      </w:r>
      <w:r w:rsidR="007A4822">
        <w:rPr>
          <w:sz w:val="24"/>
          <w:szCs w:val="24"/>
        </w:rPr>
        <w:t xml:space="preserve">životnog </w:t>
      </w:r>
      <w:r>
        <w:rPr>
          <w:sz w:val="24"/>
          <w:szCs w:val="24"/>
        </w:rPr>
        <w:t>osiguranja pojedin</w:t>
      </w:r>
      <w:r w:rsidR="0033003F">
        <w:rPr>
          <w:sz w:val="24"/>
          <w:szCs w:val="24"/>
        </w:rPr>
        <w:t>a</w:t>
      </w:r>
      <w:r>
        <w:rPr>
          <w:sz w:val="24"/>
          <w:szCs w:val="24"/>
        </w:rPr>
        <w:t>c možda prvih pet godina mogao koristit porezn</w:t>
      </w:r>
      <w:r w:rsidR="0033003F">
        <w:rPr>
          <w:sz w:val="24"/>
          <w:szCs w:val="24"/>
        </w:rPr>
        <w:t>e</w:t>
      </w:r>
      <w:r>
        <w:rPr>
          <w:sz w:val="24"/>
          <w:szCs w:val="24"/>
        </w:rPr>
        <w:t xml:space="preserve"> pogodnost</w:t>
      </w:r>
      <w:r w:rsidR="0033003F">
        <w:rPr>
          <w:sz w:val="24"/>
          <w:szCs w:val="24"/>
        </w:rPr>
        <w:t>i</w:t>
      </w:r>
      <w:r>
        <w:rPr>
          <w:sz w:val="24"/>
          <w:szCs w:val="24"/>
        </w:rPr>
        <w:t>, a kasnije ne</w:t>
      </w:r>
      <w:r w:rsidR="0033003F">
        <w:rPr>
          <w:sz w:val="24"/>
          <w:szCs w:val="24"/>
        </w:rPr>
        <w:t>. Pri tome na</w:t>
      </w:r>
      <w:r>
        <w:rPr>
          <w:sz w:val="24"/>
          <w:szCs w:val="24"/>
        </w:rPr>
        <w:t xml:space="preserve"> sve porezne pogodnosti koje su ranije iskorištene postoji porezna obveza koja se mora podmiriti u trenutku isplate po polici osiguranja. Na sličan način stambena štednja je svojedobno uživala pogodnost značajnih iznosa državnih poticajnih</w:t>
      </w:r>
      <w:r w:rsidR="0033003F">
        <w:rPr>
          <w:sz w:val="24"/>
          <w:szCs w:val="24"/>
        </w:rPr>
        <w:t xml:space="preserve"> sredstva</w:t>
      </w:r>
      <w:r>
        <w:rPr>
          <w:sz w:val="24"/>
          <w:szCs w:val="24"/>
        </w:rPr>
        <w:t xml:space="preserve">. Kasnije je iznos DPS-a bitno smanjen, za 2014. je zakonom definirano da neće bit isplaćen, a u 2015. je maksimalni iznos DPS-a snižen na vrlo nisku razinu </w:t>
      </w:r>
      <w:r w:rsidR="002D59B2">
        <w:rPr>
          <w:sz w:val="24"/>
          <w:szCs w:val="24"/>
        </w:rPr>
        <w:t xml:space="preserve">koja nema ni blizu motivirajuće </w:t>
      </w:r>
      <w:r>
        <w:rPr>
          <w:sz w:val="24"/>
          <w:szCs w:val="24"/>
        </w:rPr>
        <w:t xml:space="preserve">efekte kao ranije. </w:t>
      </w:r>
    </w:p>
    <w:p w:rsidR="00DE7568" w:rsidRDefault="00DC5755" w:rsidP="00B8521F">
      <w:pPr>
        <w:spacing w:before="240"/>
        <w:jc w:val="both"/>
        <w:rPr>
          <w:sz w:val="24"/>
          <w:szCs w:val="24"/>
        </w:rPr>
      </w:pPr>
      <w:r>
        <w:rPr>
          <w:sz w:val="24"/>
          <w:szCs w:val="24"/>
        </w:rPr>
        <w:t xml:space="preserve">Jedno od obilježja promjena u sustavu fiskalnih nameta </w:t>
      </w:r>
      <w:r w:rsidR="00265D2F">
        <w:rPr>
          <w:sz w:val="24"/>
          <w:szCs w:val="24"/>
        </w:rPr>
        <w:t xml:space="preserve">u Hrvatskoj </w:t>
      </w:r>
      <w:r>
        <w:rPr>
          <w:sz w:val="24"/>
          <w:szCs w:val="24"/>
        </w:rPr>
        <w:t xml:space="preserve">jest da se </w:t>
      </w:r>
      <w:r w:rsidRPr="00B978C7">
        <w:rPr>
          <w:color w:val="C00000"/>
          <w:sz w:val="24"/>
          <w:szCs w:val="24"/>
        </w:rPr>
        <w:t xml:space="preserve">porezno opterećenje </w:t>
      </w:r>
      <w:r w:rsidR="00B978C7" w:rsidRPr="00B978C7">
        <w:rPr>
          <w:color w:val="C00000"/>
          <w:sz w:val="24"/>
          <w:szCs w:val="24"/>
        </w:rPr>
        <w:t xml:space="preserve">povećava i </w:t>
      </w:r>
      <w:r w:rsidRPr="00B978C7">
        <w:rPr>
          <w:color w:val="C00000"/>
          <w:sz w:val="24"/>
          <w:szCs w:val="24"/>
        </w:rPr>
        <w:t xml:space="preserve">uvijek </w:t>
      </w:r>
      <w:r w:rsidR="00B978C7" w:rsidRPr="00B978C7">
        <w:rPr>
          <w:color w:val="C00000"/>
          <w:sz w:val="24"/>
          <w:szCs w:val="24"/>
        </w:rPr>
        <w:t xml:space="preserve">orijentira </w:t>
      </w:r>
      <w:r w:rsidRPr="00B978C7">
        <w:rPr>
          <w:color w:val="C00000"/>
          <w:sz w:val="24"/>
          <w:szCs w:val="24"/>
        </w:rPr>
        <w:t>u smjeru gdje postoji veća ek</w:t>
      </w:r>
      <w:r w:rsidR="00B978C7" w:rsidRPr="00B978C7">
        <w:rPr>
          <w:color w:val="C00000"/>
          <w:sz w:val="24"/>
          <w:szCs w:val="24"/>
        </w:rPr>
        <w:t xml:space="preserve">onomska snaga koja se može oporezivati </w:t>
      </w:r>
      <w:r w:rsidR="00B978C7">
        <w:rPr>
          <w:sz w:val="24"/>
          <w:szCs w:val="24"/>
        </w:rPr>
        <w:t>– npr. u smislu brojnosti osoba koje su uključene, a na isti način u većoj mjeri zahvaća i one aktivnosti u kojima građani više sudjeluju poput potrošnje (uz koju se vežu PDV i trošarine), možebitno oporezivanje nekretnina (u Hrvatskoj preko 80% kućanstva živi u vlastitim nekretninama te općenito raspolažu značajnim iznosima vrijednosti koje su do sada bile tek dijelom porezno tretirane na lokalnoj razini), odnosno zahvaća izvore dohotka kod kojih postoji kapacitet za oporezivanje uključujući kamate na značajne iznose štednje u kreditnim institucijama i slično.</w:t>
      </w:r>
    </w:p>
    <w:p w:rsidR="00094EDF" w:rsidRDefault="00094EDF" w:rsidP="00B8521F">
      <w:pPr>
        <w:spacing w:before="240"/>
        <w:jc w:val="both"/>
        <w:rPr>
          <w:sz w:val="24"/>
          <w:szCs w:val="24"/>
        </w:rPr>
      </w:pPr>
      <w:r>
        <w:rPr>
          <w:sz w:val="24"/>
          <w:szCs w:val="24"/>
        </w:rPr>
        <w:t>Slična je situacija u slučaju trošarina uključujući u Hrvatskoj: posebni porez na motorna vozila, posebni porez na kavu i bezalkoholna pića, porez na premije osiguranja od automobilske odgovornosti i premije kasko osiguranja cestovnih vozila te trošarinski sustav oporezivanja alkohola, alkoholnih pića duhanskih proizvoda, energenata i električne energije</w:t>
      </w:r>
      <w:r w:rsidR="007E1FFE">
        <w:rPr>
          <w:sz w:val="24"/>
          <w:szCs w:val="24"/>
        </w:rPr>
        <w:t xml:space="preserve">, a gdje u svim navedenim slučajevima porezni teret snose potrošači (neovisno uz koga se formalno veže porezna obveza i tko će porez </w:t>
      </w:r>
      <w:r w:rsidR="001C1B97">
        <w:rPr>
          <w:sz w:val="24"/>
          <w:szCs w:val="24"/>
        </w:rPr>
        <w:t xml:space="preserve">uplatiti </w:t>
      </w:r>
      <w:r w:rsidR="007E1FFE">
        <w:rPr>
          <w:sz w:val="24"/>
          <w:szCs w:val="24"/>
        </w:rPr>
        <w:t>u korist državnog proračuna)</w:t>
      </w:r>
      <w:r>
        <w:rPr>
          <w:sz w:val="24"/>
          <w:szCs w:val="24"/>
        </w:rPr>
        <w:t xml:space="preserve">. </w:t>
      </w:r>
    </w:p>
    <w:p w:rsidR="00585BC4" w:rsidRPr="007E1FFE" w:rsidRDefault="00094EDF" w:rsidP="00B8521F">
      <w:pPr>
        <w:spacing w:before="240"/>
        <w:jc w:val="both"/>
        <w:rPr>
          <w:color w:val="C00000"/>
          <w:sz w:val="24"/>
          <w:szCs w:val="24"/>
        </w:rPr>
      </w:pPr>
      <w:r>
        <w:rPr>
          <w:sz w:val="24"/>
          <w:szCs w:val="24"/>
        </w:rPr>
        <w:t xml:space="preserve">Pored PDV-a, poreza na dobit i trošarina kao tzv. </w:t>
      </w:r>
      <w:r w:rsidR="001C1B97">
        <w:rPr>
          <w:color w:val="C00000"/>
          <w:sz w:val="24"/>
          <w:szCs w:val="24"/>
        </w:rPr>
        <w:t>državnih poreza</w:t>
      </w:r>
      <w:r w:rsidR="001C1B97" w:rsidRPr="001C1B97">
        <w:rPr>
          <w:sz w:val="24"/>
          <w:szCs w:val="24"/>
        </w:rPr>
        <w:t>,</w:t>
      </w:r>
      <w:r w:rsidR="001C1B97">
        <w:rPr>
          <w:color w:val="C00000"/>
          <w:sz w:val="24"/>
          <w:szCs w:val="24"/>
        </w:rPr>
        <w:t xml:space="preserve"> </w:t>
      </w:r>
      <w:r w:rsidR="00585BC4">
        <w:rPr>
          <w:sz w:val="24"/>
          <w:szCs w:val="24"/>
        </w:rPr>
        <w:t xml:space="preserve">u poreznom sustavu RH </w:t>
      </w:r>
      <w:r>
        <w:rPr>
          <w:sz w:val="24"/>
          <w:szCs w:val="24"/>
        </w:rPr>
        <w:t xml:space="preserve">postoje i </w:t>
      </w:r>
      <w:r w:rsidRPr="007E1FFE">
        <w:rPr>
          <w:color w:val="C00000"/>
          <w:sz w:val="24"/>
          <w:szCs w:val="24"/>
        </w:rPr>
        <w:t xml:space="preserve">županijski porezi </w:t>
      </w:r>
      <w:r w:rsidR="001C1B97">
        <w:rPr>
          <w:sz w:val="24"/>
          <w:szCs w:val="24"/>
        </w:rPr>
        <w:t>u koje ulaze;</w:t>
      </w:r>
      <w:r>
        <w:rPr>
          <w:sz w:val="24"/>
          <w:szCs w:val="24"/>
        </w:rPr>
        <w:t xml:space="preserve"> porez na nasljedstva i darove (koji </w:t>
      </w:r>
      <w:r w:rsidR="007E1FFE">
        <w:rPr>
          <w:sz w:val="24"/>
          <w:szCs w:val="24"/>
        </w:rPr>
        <w:t xml:space="preserve">stjecatelj plaća </w:t>
      </w:r>
      <w:r w:rsidR="00585BC4">
        <w:rPr>
          <w:sz w:val="24"/>
          <w:szCs w:val="24"/>
        </w:rPr>
        <w:t>po stopi 5% tržišne neto vrijednosti imovine veće od 50.000 kuna</w:t>
      </w:r>
      <w:r>
        <w:rPr>
          <w:sz w:val="24"/>
          <w:szCs w:val="24"/>
        </w:rPr>
        <w:t>), porez na cestovna motorna vozila</w:t>
      </w:r>
      <w:r w:rsidR="00585BC4">
        <w:rPr>
          <w:sz w:val="24"/>
          <w:szCs w:val="24"/>
        </w:rPr>
        <w:t xml:space="preserve"> (npr. u slučaju automobila u godišnjem iznosu od 200 do 1.500 kuna ovisno o snazi motora</w:t>
      </w:r>
      <w:r w:rsidR="007E1FFE">
        <w:rPr>
          <w:sz w:val="24"/>
          <w:szCs w:val="24"/>
        </w:rPr>
        <w:t>, a plaćaju svi vlasnici registriranih vozila</w:t>
      </w:r>
      <w:r w:rsidR="00585BC4">
        <w:rPr>
          <w:sz w:val="24"/>
          <w:szCs w:val="24"/>
        </w:rPr>
        <w:t>)</w:t>
      </w:r>
      <w:r>
        <w:rPr>
          <w:sz w:val="24"/>
          <w:szCs w:val="24"/>
        </w:rPr>
        <w:t>, porez na plovila</w:t>
      </w:r>
      <w:r w:rsidR="00585BC4">
        <w:rPr>
          <w:sz w:val="24"/>
          <w:szCs w:val="24"/>
        </w:rPr>
        <w:t xml:space="preserve"> i</w:t>
      </w:r>
      <w:r>
        <w:rPr>
          <w:sz w:val="24"/>
          <w:szCs w:val="24"/>
        </w:rPr>
        <w:t xml:space="preserve"> porez na automate za zabavne igre</w:t>
      </w:r>
      <w:r w:rsidR="00585BC4">
        <w:rPr>
          <w:sz w:val="24"/>
          <w:szCs w:val="24"/>
        </w:rPr>
        <w:t>.</w:t>
      </w:r>
      <w:r w:rsidR="00FC71DD" w:rsidRPr="00086C6D">
        <w:rPr>
          <w:sz w:val="24"/>
          <w:szCs w:val="24"/>
          <w:vertAlign w:val="superscript"/>
        </w:rPr>
        <w:footnoteReference w:id="51"/>
      </w:r>
      <w:r w:rsidR="00585BC4">
        <w:rPr>
          <w:sz w:val="24"/>
          <w:szCs w:val="24"/>
        </w:rPr>
        <w:t xml:space="preserve"> Pri tome dio navedenih poreza predstavlja svojevrsne oblike </w:t>
      </w:r>
      <w:r w:rsidR="00585BC4" w:rsidRPr="007E1FFE">
        <w:rPr>
          <w:color w:val="C00000"/>
          <w:sz w:val="24"/>
          <w:szCs w:val="24"/>
        </w:rPr>
        <w:t>poreza na imovinu.</w:t>
      </w:r>
    </w:p>
    <w:p w:rsidR="00585BC4" w:rsidRDefault="00585BC4" w:rsidP="00B8521F">
      <w:pPr>
        <w:spacing w:before="240"/>
        <w:jc w:val="both"/>
        <w:rPr>
          <w:sz w:val="24"/>
          <w:szCs w:val="24"/>
        </w:rPr>
      </w:pPr>
      <w:r>
        <w:rPr>
          <w:sz w:val="24"/>
          <w:szCs w:val="24"/>
        </w:rPr>
        <w:lastRenderedPageBreak/>
        <w:t xml:space="preserve">U kategoriju tzv. </w:t>
      </w:r>
      <w:r w:rsidRPr="007E1FFE">
        <w:rPr>
          <w:color w:val="C00000"/>
          <w:sz w:val="24"/>
          <w:szCs w:val="24"/>
        </w:rPr>
        <w:t xml:space="preserve">gradskih ili općinskih poreza </w:t>
      </w:r>
      <w:r>
        <w:rPr>
          <w:sz w:val="24"/>
          <w:szCs w:val="24"/>
        </w:rPr>
        <w:t>(kojima se financiraju općine i gradovi) ulaze prirez porezu na dohodak, porez na potrošnju (3% ugrađen u cijenu pića u ugostiteljskim objektima), porez na kuće za odmor (također kao oblik imovinskog poreza</w:t>
      </w:r>
      <w:r w:rsidR="001C1B97">
        <w:rPr>
          <w:sz w:val="24"/>
          <w:szCs w:val="24"/>
        </w:rPr>
        <w:t>,</w:t>
      </w:r>
      <w:r>
        <w:rPr>
          <w:sz w:val="24"/>
          <w:szCs w:val="24"/>
        </w:rPr>
        <w:t xml:space="preserve"> ali ga lokalne jedince vlasti uglavnom ne implementiraju), porez na tvrtku ili naziv te porez na korištenje javnih površina. </w:t>
      </w:r>
    </w:p>
    <w:p w:rsidR="00585BC4" w:rsidRDefault="00585BC4" w:rsidP="00B8521F">
      <w:pPr>
        <w:spacing w:before="240"/>
        <w:jc w:val="both"/>
        <w:rPr>
          <w:sz w:val="24"/>
          <w:szCs w:val="24"/>
        </w:rPr>
      </w:pPr>
      <w:r>
        <w:rPr>
          <w:sz w:val="24"/>
          <w:szCs w:val="24"/>
        </w:rPr>
        <w:t xml:space="preserve">Četvrtu kategoriju poreznih primanja čine tzv. </w:t>
      </w:r>
      <w:r w:rsidRPr="007E1FFE">
        <w:rPr>
          <w:color w:val="C00000"/>
          <w:sz w:val="24"/>
          <w:szCs w:val="24"/>
        </w:rPr>
        <w:t xml:space="preserve">zajednički porezi </w:t>
      </w:r>
      <w:r w:rsidR="007E1FFE">
        <w:rPr>
          <w:sz w:val="24"/>
          <w:szCs w:val="24"/>
        </w:rPr>
        <w:t>(</w:t>
      </w:r>
      <w:r>
        <w:rPr>
          <w:sz w:val="24"/>
          <w:szCs w:val="24"/>
        </w:rPr>
        <w:t xml:space="preserve">koji se kao izvor javnih </w:t>
      </w:r>
      <w:r w:rsidR="007E1FFE">
        <w:rPr>
          <w:sz w:val="24"/>
          <w:szCs w:val="24"/>
        </w:rPr>
        <w:t>prihoda dijele na središnjoj, lokaln</w:t>
      </w:r>
      <w:r w:rsidR="001C1B97">
        <w:rPr>
          <w:sz w:val="24"/>
          <w:szCs w:val="24"/>
        </w:rPr>
        <w:t>oj</w:t>
      </w:r>
      <w:r w:rsidR="007E1FFE">
        <w:rPr>
          <w:sz w:val="24"/>
          <w:szCs w:val="24"/>
        </w:rPr>
        <w:t xml:space="preserve"> i regionalnoj razini)</w:t>
      </w:r>
      <w:r>
        <w:rPr>
          <w:sz w:val="24"/>
          <w:szCs w:val="24"/>
        </w:rPr>
        <w:t xml:space="preserve">  </w:t>
      </w:r>
      <w:r w:rsidR="007E1FFE">
        <w:rPr>
          <w:sz w:val="24"/>
          <w:szCs w:val="24"/>
        </w:rPr>
        <w:t>uključujući</w:t>
      </w:r>
      <w:r w:rsidR="001C1B97">
        <w:rPr>
          <w:sz w:val="24"/>
          <w:szCs w:val="24"/>
        </w:rPr>
        <w:t>:</w:t>
      </w:r>
      <w:r w:rsidR="007E1FFE">
        <w:rPr>
          <w:sz w:val="24"/>
          <w:szCs w:val="24"/>
        </w:rPr>
        <w:t xml:space="preserve"> porez na dohodak i porez na promet nekretnina (plaća </w:t>
      </w:r>
      <w:r w:rsidR="00A14FC8">
        <w:rPr>
          <w:sz w:val="24"/>
          <w:szCs w:val="24"/>
        </w:rPr>
        <w:t xml:space="preserve">ga </w:t>
      </w:r>
      <w:r w:rsidR="007E1FFE">
        <w:rPr>
          <w:sz w:val="24"/>
          <w:szCs w:val="24"/>
        </w:rPr>
        <w:t xml:space="preserve">stjecatelj nekretnine po stopi 5% na tržišnu vrijednost nekretnine koja je predmet prometa osim novosagrađenih nekretnina koje su u sustavu PDV-a). Posebnu petu i šestu kategoriju </w:t>
      </w:r>
      <w:r w:rsidR="001C1B97">
        <w:rPr>
          <w:sz w:val="24"/>
          <w:szCs w:val="24"/>
        </w:rPr>
        <w:t xml:space="preserve">poreznih nameta </w:t>
      </w:r>
      <w:r w:rsidR="007E1FFE">
        <w:rPr>
          <w:sz w:val="24"/>
          <w:szCs w:val="24"/>
        </w:rPr>
        <w:t>čine</w:t>
      </w:r>
      <w:r w:rsidR="001C1B97">
        <w:rPr>
          <w:sz w:val="24"/>
          <w:szCs w:val="24"/>
        </w:rPr>
        <w:t>:</w:t>
      </w:r>
      <w:r w:rsidR="007E1FFE">
        <w:rPr>
          <w:sz w:val="24"/>
          <w:szCs w:val="24"/>
        </w:rPr>
        <w:t xml:space="preserve"> porezi na dobitke od igara na sreću i naknade za priređivanje igara na sreću i nagradnih igara.</w:t>
      </w:r>
      <w:r w:rsidR="00A14FC8">
        <w:rPr>
          <w:sz w:val="24"/>
          <w:szCs w:val="24"/>
        </w:rPr>
        <w:t xml:space="preserve"> Porez na dobitke od lutrijskih igara na sreću, kao i porez na dobitke od ig</w:t>
      </w:r>
      <w:r w:rsidR="001C1B97">
        <w:rPr>
          <w:sz w:val="24"/>
          <w:szCs w:val="24"/>
        </w:rPr>
        <w:t>a</w:t>
      </w:r>
      <w:r w:rsidR="00A14FC8">
        <w:rPr>
          <w:sz w:val="24"/>
          <w:szCs w:val="24"/>
        </w:rPr>
        <w:t>ra k</w:t>
      </w:r>
      <w:r w:rsidR="001C1B97">
        <w:rPr>
          <w:sz w:val="24"/>
          <w:szCs w:val="24"/>
        </w:rPr>
        <w:t>lađenja</w:t>
      </w:r>
      <w:r w:rsidR="00A14FC8">
        <w:rPr>
          <w:sz w:val="24"/>
          <w:szCs w:val="24"/>
        </w:rPr>
        <w:t xml:space="preserve"> plaća se po stopi 10%, 15% 20% ili 30% ovisno o iznosu dobitka</w:t>
      </w:r>
      <w:r w:rsidR="00F03E66">
        <w:rPr>
          <w:sz w:val="24"/>
          <w:szCs w:val="24"/>
        </w:rPr>
        <w:t>.</w:t>
      </w:r>
      <w:r w:rsidR="00F03E66" w:rsidRPr="00086C6D">
        <w:rPr>
          <w:sz w:val="24"/>
          <w:szCs w:val="24"/>
          <w:vertAlign w:val="superscript"/>
        </w:rPr>
        <w:footnoteReference w:id="52"/>
      </w:r>
    </w:p>
    <w:p w:rsidR="00094EDF" w:rsidRDefault="00476A31" w:rsidP="00B8521F">
      <w:pPr>
        <w:spacing w:before="240"/>
        <w:jc w:val="both"/>
        <w:rPr>
          <w:b/>
          <w:sz w:val="24"/>
          <w:szCs w:val="24"/>
        </w:rPr>
      </w:pPr>
      <w:r w:rsidRPr="00476A31">
        <w:rPr>
          <w:b/>
          <w:sz w:val="24"/>
          <w:szCs w:val="24"/>
        </w:rPr>
        <w:t>2.</w:t>
      </w:r>
      <w:r w:rsidR="00C103F2">
        <w:rPr>
          <w:b/>
          <w:sz w:val="24"/>
          <w:szCs w:val="24"/>
        </w:rPr>
        <w:t>9</w:t>
      </w:r>
      <w:r w:rsidRPr="00476A31">
        <w:rPr>
          <w:b/>
          <w:sz w:val="24"/>
          <w:szCs w:val="24"/>
        </w:rPr>
        <w:t>. Oporezivanje dohotka pojedinca</w:t>
      </w:r>
    </w:p>
    <w:p w:rsidR="00E75933" w:rsidRDefault="00885593" w:rsidP="00B8521F">
      <w:pPr>
        <w:spacing w:before="240"/>
        <w:jc w:val="both"/>
        <w:rPr>
          <w:sz w:val="24"/>
          <w:szCs w:val="24"/>
        </w:rPr>
      </w:pPr>
      <w:r w:rsidRPr="00885593">
        <w:rPr>
          <w:sz w:val="24"/>
          <w:szCs w:val="24"/>
        </w:rPr>
        <w:t xml:space="preserve">Dohodak fizičke osobe </w:t>
      </w:r>
      <w:r>
        <w:rPr>
          <w:sz w:val="24"/>
          <w:szCs w:val="24"/>
        </w:rPr>
        <w:t xml:space="preserve">može proizlaziti iz različitih izvora koji se prema hrvatskom Zakonu o porezu na dohodak dijele u </w:t>
      </w:r>
      <w:r w:rsidRPr="00885593">
        <w:rPr>
          <w:color w:val="C00000"/>
          <w:sz w:val="24"/>
          <w:szCs w:val="24"/>
        </w:rPr>
        <w:t>šest skupina izvora dohotka</w:t>
      </w:r>
      <w:r>
        <w:rPr>
          <w:sz w:val="24"/>
          <w:szCs w:val="24"/>
        </w:rPr>
        <w:t>:</w:t>
      </w:r>
    </w:p>
    <w:p w:rsidR="00885593" w:rsidRDefault="00885593" w:rsidP="006F1C04">
      <w:pPr>
        <w:pStyle w:val="Odlomakpopisa"/>
        <w:numPr>
          <w:ilvl w:val="0"/>
          <w:numId w:val="25"/>
        </w:numPr>
        <w:spacing w:before="240"/>
        <w:rPr>
          <w:sz w:val="24"/>
          <w:szCs w:val="24"/>
        </w:rPr>
      </w:pPr>
      <w:r w:rsidRPr="00885593">
        <w:rPr>
          <w:sz w:val="24"/>
          <w:szCs w:val="24"/>
        </w:rPr>
        <w:t>dohod</w:t>
      </w:r>
      <w:r>
        <w:rPr>
          <w:sz w:val="24"/>
          <w:szCs w:val="24"/>
        </w:rPr>
        <w:t>ak od nesamostalnog rada,</w:t>
      </w:r>
    </w:p>
    <w:p w:rsidR="00885593" w:rsidRDefault="00885593" w:rsidP="006F1C04">
      <w:pPr>
        <w:pStyle w:val="Odlomakpopisa"/>
        <w:numPr>
          <w:ilvl w:val="0"/>
          <w:numId w:val="25"/>
        </w:numPr>
        <w:spacing w:before="240"/>
        <w:rPr>
          <w:sz w:val="24"/>
          <w:szCs w:val="24"/>
        </w:rPr>
      </w:pPr>
      <w:r w:rsidRPr="00885593">
        <w:rPr>
          <w:sz w:val="24"/>
          <w:szCs w:val="24"/>
        </w:rPr>
        <w:t>dohodak od samostalne djelatnosti,</w:t>
      </w:r>
    </w:p>
    <w:p w:rsidR="00885593" w:rsidRDefault="00885593" w:rsidP="006F1C04">
      <w:pPr>
        <w:pStyle w:val="Odlomakpopisa"/>
        <w:numPr>
          <w:ilvl w:val="0"/>
          <w:numId w:val="25"/>
        </w:numPr>
        <w:spacing w:before="240"/>
        <w:rPr>
          <w:sz w:val="24"/>
          <w:szCs w:val="24"/>
        </w:rPr>
      </w:pPr>
      <w:r w:rsidRPr="00885593">
        <w:rPr>
          <w:sz w:val="24"/>
          <w:szCs w:val="24"/>
        </w:rPr>
        <w:t>dohodak od imovine i imovinskih prava,</w:t>
      </w:r>
    </w:p>
    <w:p w:rsidR="00885593" w:rsidRDefault="00885593" w:rsidP="006F1C04">
      <w:pPr>
        <w:pStyle w:val="Odlomakpopisa"/>
        <w:numPr>
          <w:ilvl w:val="0"/>
          <w:numId w:val="25"/>
        </w:numPr>
        <w:spacing w:before="240"/>
        <w:rPr>
          <w:sz w:val="24"/>
          <w:szCs w:val="24"/>
        </w:rPr>
      </w:pPr>
      <w:r w:rsidRPr="00885593">
        <w:rPr>
          <w:sz w:val="24"/>
          <w:szCs w:val="24"/>
        </w:rPr>
        <w:t>dohodak od kapitala,</w:t>
      </w:r>
    </w:p>
    <w:p w:rsidR="00885593" w:rsidRDefault="00885593" w:rsidP="006F1C04">
      <w:pPr>
        <w:pStyle w:val="Odlomakpopisa"/>
        <w:numPr>
          <w:ilvl w:val="0"/>
          <w:numId w:val="25"/>
        </w:numPr>
        <w:spacing w:before="240"/>
        <w:rPr>
          <w:sz w:val="24"/>
          <w:szCs w:val="24"/>
        </w:rPr>
      </w:pPr>
      <w:r w:rsidRPr="00885593">
        <w:rPr>
          <w:sz w:val="24"/>
          <w:szCs w:val="24"/>
        </w:rPr>
        <w:t>dohodak od osiguranja,</w:t>
      </w:r>
    </w:p>
    <w:p w:rsidR="00885593" w:rsidRPr="00885593" w:rsidRDefault="00885593" w:rsidP="006F1C04">
      <w:pPr>
        <w:pStyle w:val="Odlomakpopisa"/>
        <w:numPr>
          <w:ilvl w:val="0"/>
          <w:numId w:val="25"/>
        </w:numPr>
        <w:spacing w:before="240"/>
        <w:rPr>
          <w:sz w:val="24"/>
          <w:szCs w:val="24"/>
        </w:rPr>
      </w:pPr>
      <w:r w:rsidRPr="00885593">
        <w:rPr>
          <w:sz w:val="24"/>
          <w:szCs w:val="24"/>
        </w:rPr>
        <w:t xml:space="preserve">drugi dohodak. </w:t>
      </w:r>
    </w:p>
    <w:p w:rsidR="00DE0C61" w:rsidRDefault="00DE0C61" w:rsidP="00DE0C61">
      <w:pPr>
        <w:spacing w:before="240"/>
        <w:jc w:val="both"/>
        <w:rPr>
          <w:sz w:val="24"/>
          <w:szCs w:val="24"/>
        </w:rPr>
      </w:pPr>
      <w:r w:rsidRPr="00DE0C61">
        <w:rPr>
          <w:sz w:val="24"/>
          <w:szCs w:val="24"/>
        </w:rPr>
        <w:t xml:space="preserve">Kod većine izvora dohotka (odnosno vrsta oporezivih primitaka) </w:t>
      </w:r>
      <w:r w:rsidR="00440466" w:rsidRPr="00B45B9F">
        <w:rPr>
          <w:color w:val="C00000"/>
          <w:sz w:val="24"/>
          <w:szCs w:val="24"/>
        </w:rPr>
        <w:t>predujam</w:t>
      </w:r>
      <w:r w:rsidR="00440466" w:rsidRPr="00440466">
        <w:rPr>
          <w:color w:val="FF0000"/>
          <w:sz w:val="24"/>
          <w:szCs w:val="24"/>
        </w:rPr>
        <w:t xml:space="preserve"> </w:t>
      </w:r>
      <w:r w:rsidRPr="00DE0C61">
        <w:rPr>
          <w:color w:val="C00000"/>
          <w:sz w:val="24"/>
          <w:szCs w:val="24"/>
        </w:rPr>
        <w:t>porez</w:t>
      </w:r>
      <w:r w:rsidR="00440466">
        <w:rPr>
          <w:color w:val="C00000"/>
          <w:sz w:val="24"/>
          <w:szCs w:val="24"/>
        </w:rPr>
        <w:t>a</w:t>
      </w:r>
      <w:r w:rsidRPr="00DE0C61">
        <w:rPr>
          <w:sz w:val="24"/>
          <w:szCs w:val="24"/>
        </w:rPr>
        <w:t xml:space="preserve"> obračunava, obustavlja i </w:t>
      </w:r>
      <w:r w:rsidR="000E455F">
        <w:rPr>
          <w:sz w:val="24"/>
          <w:szCs w:val="24"/>
        </w:rPr>
        <w:t xml:space="preserve">uplaćuje </w:t>
      </w:r>
      <w:r w:rsidRPr="00DE0C61">
        <w:rPr>
          <w:sz w:val="24"/>
          <w:szCs w:val="24"/>
        </w:rPr>
        <w:t xml:space="preserve">poslodavac ili </w:t>
      </w:r>
      <w:r>
        <w:rPr>
          <w:sz w:val="24"/>
          <w:szCs w:val="24"/>
        </w:rPr>
        <w:t xml:space="preserve">drugi </w:t>
      </w:r>
      <w:r w:rsidR="00440466">
        <w:rPr>
          <w:sz w:val="24"/>
          <w:szCs w:val="24"/>
        </w:rPr>
        <w:t>isplatitelj primit</w:t>
      </w:r>
      <w:r w:rsidRPr="00DE0C61">
        <w:rPr>
          <w:sz w:val="24"/>
          <w:szCs w:val="24"/>
        </w:rPr>
        <w:t>ka (plaće, mirovine</w:t>
      </w:r>
      <w:r>
        <w:rPr>
          <w:sz w:val="24"/>
          <w:szCs w:val="24"/>
        </w:rPr>
        <w:t>, autorskog honorara</w:t>
      </w:r>
      <w:r w:rsidRPr="00DE0C61">
        <w:rPr>
          <w:sz w:val="24"/>
          <w:szCs w:val="24"/>
        </w:rPr>
        <w:t xml:space="preserve"> itd.), dok eventualno kod nekih slučajeva to treba učiniti sam porezni obveznik (</w:t>
      </w:r>
      <w:r w:rsidR="000E455F">
        <w:rPr>
          <w:sz w:val="24"/>
          <w:szCs w:val="24"/>
        </w:rPr>
        <w:t xml:space="preserve">fizička osoba, </w:t>
      </w:r>
      <w:r w:rsidRPr="00DE0C61">
        <w:rPr>
          <w:sz w:val="24"/>
          <w:szCs w:val="24"/>
        </w:rPr>
        <w:t>npr. inozemnog dohotka).</w:t>
      </w:r>
      <w:r>
        <w:rPr>
          <w:sz w:val="24"/>
          <w:szCs w:val="24"/>
        </w:rPr>
        <w:t xml:space="preserve"> </w:t>
      </w:r>
      <w:r w:rsidR="000E455F">
        <w:rPr>
          <w:sz w:val="24"/>
          <w:szCs w:val="24"/>
        </w:rPr>
        <w:t>Pri tome,</w:t>
      </w:r>
      <w:r>
        <w:rPr>
          <w:sz w:val="24"/>
          <w:szCs w:val="24"/>
        </w:rPr>
        <w:t xml:space="preserve"> samo u nekim slučajevima postoji obveza podnošenja godišnje porezne prijave</w:t>
      </w:r>
      <w:r w:rsidR="00B45B9F">
        <w:rPr>
          <w:sz w:val="24"/>
          <w:szCs w:val="24"/>
        </w:rPr>
        <w:t>, dok kod većine poreznih obveznika to nije slučaj jer se predujmovi plaćenog poreza (porez po odbitku) smatra konačnom poreznom obvezom</w:t>
      </w:r>
      <w:r>
        <w:rPr>
          <w:sz w:val="24"/>
          <w:szCs w:val="24"/>
        </w:rPr>
        <w:t>.</w:t>
      </w:r>
      <w:r w:rsidR="00307B24">
        <w:rPr>
          <w:sz w:val="24"/>
          <w:szCs w:val="24"/>
        </w:rPr>
        <w:t xml:space="preserve"> </w:t>
      </w:r>
      <w:r w:rsidR="00B45B9F" w:rsidRPr="00B45B9F">
        <w:rPr>
          <w:sz w:val="24"/>
          <w:szCs w:val="24"/>
        </w:rPr>
        <w:t>K</w:t>
      </w:r>
      <w:r w:rsidR="00307B24" w:rsidRPr="00B45B9F">
        <w:rPr>
          <w:sz w:val="24"/>
          <w:szCs w:val="24"/>
        </w:rPr>
        <w:t xml:space="preserve">od </w:t>
      </w:r>
      <w:r w:rsidR="00307B24" w:rsidRPr="00B45B9F">
        <w:rPr>
          <w:color w:val="C00000"/>
          <w:sz w:val="24"/>
          <w:szCs w:val="24"/>
        </w:rPr>
        <w:t>svih izvora dohotka</w:t>
      </w:r>
      <w:r w:rsidR="00B45B9F" w:rsidRPr="00B45B9F">
        <w:rPr>
          <w:color w:val="C00000"/>
          <w:sz w:val="24"/>
          <w:szCs w:val="24"/>
        </w:rPr>
        <w:t xml:space="preserve">, na utvrđeni porez na dohodak dodatno se </w:t>
      </w:r>
      <w:r w:rsidR="00307B24" w:rsidRPr="00C47259">
        <w:rPr>
          <w:color w:val="C00000"/>
          <w:sz w:val="24"/>
          <w:szCs w:val="24"/>
        </w:rPr>
        <w:t>obračunava i</w:t>
      </w:r>
      <w:r w:rsidR="00307B24">
        <w:rPr>
          <w:sz w:val="24"/>
          <w:szCs w:val="24"/>
        </w:rPr>
        <w:t xml:space="preserve"> </w:t>
      </w:r>
      <w:r w:rsidR="00307B24" w:rsidRPr="00C47259">
        <w:rPr>
          <w:color w:val="C00000"/>
          <w:sz w:val="24"/>
          <w:szCs w:val="24"/>
        </w:rPr>
        <w:t xml:space="preserve">prirez </w:t>
      </w:r>
      <w:r w:rsidR="00C47259" w:rsidRPr="00C47259">
        <w:rPr>
          <w:color w:val="C00000"/>
          <w:sz w:val="24"/>
          <w:szCs w:val="24"/>
        </w:rPr>
        <w:t xml:space="preserve">porezu na dohodak </w:t>
      </w:r>
      <w:r w:rsidR="000E455F">
        <w:rPr>
          <w:sz w:val="24"/>
          <w:szCs w:val="24"/>
        </w:rPr>
        <w:t>ukoliko su ga</w:t>
      </w:r>
      <w:r w:rsidR="00307B24">
        <w:rPr>
          <w:sz w:val="24"/>
          <w:szCs w:val="24"/>
        </w:rPr>
        <w:t xml:space="preserve"> gradovi i općine definirali, npr. prirez u Zagrebu iznosi 18%</w:t>
      </w:r>
      <w:r w:rsidR="000E455F">
        <w:rPr>
          <w:sz w:val="24"/>
          <w:szCs w:val="24"/>
        </w:rPr>
        <w:t>, u Varaždinu 10%</w:t>
      </w:r>
      <w:r w:rsidR="005E4888">
        <w:rPr>
          <w:sz w:val="24"/>
          <w:szCs w:val="24"/>
        </w:rPr>
        <w:t>,</w:t>
      </w:r>
      <w:r w:rsidR="000E455F">
        <w:rPr>
          <w:sz w:val="24"/>
          <w:szCs w:val="24"/>
        </w:rPr>
        <w:t xml:space="preserve"> u Kloštar Ivaniću 2%</w:t>
      </w:r>
      <w:r w:rsidR="005E4888">
        <w:rPr>
          <w:sz w:val="24"/>
          <w:szCs w:val="24"/>
        </w:rPr>
        <w:t xml:space="preserve"> itd.</w:t>
      </w:r>
      <w:r w:rsidR="00307B24">
        <w:rPr>
          <w:sz w:val="24"/>
          <w:szCs w:val="24"/>
        </w:rPr>
        <w:t>.</w:t>
      </w:r>
    </w:p>
    <w:p w:rsidR="00885593" w:rsidRDefault="00885593" w:rsidP="00B8521F">
      <w:pPr>
        <w:spacing w:before="240"/>
        <w:jc w:val="both"/>
        <w:rPr>
          <w:sz w:val="24"/>
          <w:szCs w:val="24"/>
        </w:rPr>
      </w:pPr>
      <w:r>
        <w:rPr>
          <w:sz w:val="24"/>
          <w:szCs w:val="24"/>
        </w:rPr>
        <w:t>Primjena poreznih stopa razlikuje</w:t>
      </w:r>
      <w:r w:rsidR="00AE6EEA">
        <w:rPr>
          <w:sz w:val="24"/>
          <w:szCs w:val="24"/>
        </w:rPr>
        <w:t xml:space="preserve"> se</w:t>
      </w:r>
      <w:r>
        <w:rPr>
          <w:sz w:val="24"/>
          <w:szCs w:val="24"/>
        </w:rPr>
        <w:t xml:space="preserve"> od jedne do druge vrste izvora dohotka. Tako se za prve dvije grupe izvora dohotka te za obračun dohotka po godišnjoj poreznoj prijavi primjenjuju tri </w:t>
      </w:r>
      <w:r w:rsidR="009B2A47">
        <w:rPr>
          <w:sz w:val="24"/>
          <w:szCs w:val="24"/>
        </w:rPr>
        <w:t xml:space="preserve">porezne </w:t>
      </w:r>
      <w:r>
        <w:rPr>
          <w:sz w:val="24"/>
          <w:szCs w:val="24"/>
        </w:rPr>
        <w:t xml:space="preserve">stope: 12%, 25% i 40% ovisno o poreznom razredu tj. visini porezne osnovice. Poreznu osnovicu </w:t>
      </w:r>
      <w:r w:rsidR="00DE0C61">
        <w:rPr>
          <w:sz w:val="24"/>
          <w:szCs w:val="24"/>
        </w:rPr>
        <w:t xml:space="preserve">u slučaju dohotka od nesamostalnog rada i samostalne djelatnosti </w:t>
      </w:r>
      <w:r>
        <w:rPr>
          <w:sz w:val="24"/>
          <w:szCs w:val="24"/>
        </w:rPr>
        <w:lastRenderedPageBreak/>
        <w:t xml:space="preserve">predstavlja </w:t>
      </w:r>
      <w:r w:rsidRPr="00885593">
        <w:rPr>
          <w:color w:val="C00000"/>
          <w:sz w:val="24"/>
          <w:szCs w:val="24"/>
        </w:rPr>
        <w:t xml:space="preserve">oporeziv dohodak </w:t>
      </w:r>
      <w:r>
        <w:rPr>
          <w:sz w:val="24"/>
          <w:szCs w:val="24"/>
        </w:rPr>
        <w:t xml:space="preserve">koji se utvrđuje kao razlika između primitka </w:t>
      </w:r>
      <w:r w:rsidR="00DE0C61">
        <w:rPr>
          <w:sz w:val="24"/>
          <w:szCs w:val="24"/>
        </w:rPr>
        <w:t xml:space="preserve">(u bruto iznosu) </w:t>
      </w:r>
      <w:r>
        <w:rPr>
          <w:sz w:val="24"/>
          <w:szCs w:val="24"/>
        </w:rPr>
        <w:t xml:space="preserve">i pripadajućih izdataka za obvezno mirovinsko osiguranje te umanjeno za iznos pripadajućeg osobnog odbitka. Pojam </w:t>
      </w:r>
      <w:r w:rsidRPr="009B2A47">
        <w:rPr>
          <w:color w:val="C00000"/>
          <w:sz w:val="24"/>
          <w:szCs w:val="24"/>
        </w:rPr>
        <w:t>osobn</w:t>
      </w:r>
      <w:r w:rsidR="009B2A47">
        <w:rPr>
          <w:color w:val="C00000"/>
          <w:sz w:val="24"/>
          <w:szCs w:val="24"/>
        </w:rPr>
        <w:t>i</w:t>
      </w:r>
      <w:r w:rsidRPr="009B2A47">
        <w:rPr>
          <w:color w:val="C00000"/>
          <w:sz w:val="24"/>
          <w:szCs w:val="24"/>
        </w:rPr>
        <w:t xml:space="preserve"> odbit</w:t>
      </w:r>
      <w:r w:rsidR="009B2A47">
        <w:rPr>
          <w:color w:val="C00000"/>
          <w:sz w:val="24"/>
          <w:szCs w:val="24"/>
        </w:rPr>
        <w:t>a</w:t>
      </w:r>
      <w:r w:rsidRPr="009B2A47">
        <w:rPr>
          <w:color w:val="C00000"/>
          <w:sz w:val="24"/>
          <w:szCs w:val="24"/>
        </w:rPr>
        <w:t xml:space="preserve">k </w:t>
      </w:r>
      <w:r>
        <w:rPr>
          <w:sz w:val="24"/>
          <w:szCs w:val="24"/>
        </w:rPr>
        <w:t>označava neoporeziv dohodak</w:t>
      </w:r>
      <w:r w:rsidR="009B2A47">
        <w:rPr>
          <w:sz w:val="24"/>
          <w:szCs w:val="24"/>
        </w:rPr>
        <w:t xml:space="preserve"> (tj. egzistencijski minimum koji se ne oporezuje)</w:t>
      </w:r>
      <w:r>
        <w:rPr>
          <w:sz w:val="24"/>
          <w:szCs w:val="24"/>
        </w:rPr>
        <w:t>, a utvrđuje se s obzirom na visinu faktora osobnog odbitka (npr. kao zbroj faktora 1 za poreznog obveznika, 0,5 za prvo dijete, 0,7 za drugo dijete itd.) koji se množi s iznosom osnovnog osobnog odbitka (npr. 2.600 kuna u 2015.)</w:t>
      </w:r>
      <w:r w:rsidR="00141DE7">
        <w:rPr>
          <w:sz w:val="24"/>
          <w:szCs w:val="24"/>
        </w:rPr>
        <w:t>.</w:t>
      </w:r>
    </w:p>
    <w:p w:rsidR="00DE0C61" w:rsidRDefault="00885593" w:rsidP="00B8521F">
      <w:pPr>
        <w:spacing w:before="240"/>
        <w:jc w:val="both"/>
        <w:rPr>
          <w:sz w:val="24"/>
          <w:szCs w:val="24"/>
        </w:rPr>
      </w:pPr>
      <w:r>
        <w:rPr>
          <w:sz w:val="24"/>
          <w:szCs w:val="24"/>
        </w:rPr>
        <w:t xml:space="preserve">Prema regulativi u 2015. godini porezna stopa 12% obračunava se na poreznu osnovicu </w:t>
      </w:r>
      <w:r w:rsidR="009B2A47">
        <w:rPr>
          <w:sz w:val="24"/>
          <w:szCs w:val="24"/>
        </w:rPr>
        <w:t xml:space="preserve">do visine 2.200 kuna; stopa 25% na razliku porezne osnovice 2.200 kuna i 13.200 kuna; a porezna stopa 40% na osnovicu iznad 13.200 kuna. </w:t>
      </w:r>
    </w:p>
    <w:p w:rsidR="0008231C" w:rsidRDefault="009B2A47" w:rsidP="00B8521F">
      <w:pPr>
        <w:spacing w:before="240"/>
        <w:jc w:val="both"/>
        <w:rPr>
          <w:sz w:val="24"/>
          <w:szCs w:val="24"/>
        </w:rPr>
      </w:pPr>
      <w:r>
        <w:rPr>
          <w:sz w:val="24"/>
          <w:szCs w:val="24"/>
        </w:rPr>
        <w:t xml:space="preserve">Tipični </w:t>
      </w:r>
      <w:r w:rsidRPr="00141DE7">
        <w:rPr>
          <w:color w:val="C00000"/>
          <w:sz w:val="24"/>
          <w:szCs w:val="24"/>
        </w:rPr>
        <w:t xml:space="preserve">primitak po osnovi nesamostalnog rada je plaća </w:t>
      </w:r>
      <w:r>
        <w:rPr>
          <w:sz w:val="24"/>
          <w:szCs w:val="24"/>
        </w:rPr>
        <w:t>(bilo u novcu ili naturi</w:t>
      </w:r>
      <w:r w:rsidR="0008231C">
        <w:rPr>
          <w:sz w:val="24"/>
          <w:szCs w:val="24"/>
        </w:rPr>
        <w:t>)</w:t>
      </w:r>
      <w:r w:rsidR="00307B24">
        <w:rPr>
          <w:sz w:val="24"/>
          <w:szCs w:val="24"/>
        </w:rPr>
        <w:t>, dok se  nesamostalnim radom smatra svaki rad iz radnog odnosa ili po uputama poslodavca</w:t>
      </w:r>
      <w:r>
        <w:rPr>
          <w:sz w:val="24"/>
          <w:szCs w:val="24"/>
        </w:rPr>
        <w:t>. Dodatno</w:t>
      </w:r>
      <w:r w:rsidR="00307B24">
        <w:rPr>
          <w:sz w:val="24"/>
          <w:szCs w:val="24"/>
        </w:rPr>
        <w:t>,</w:t>
      </w:r>
      <w:r>
        <w:rPr>
          <w:sz w:val="24"/>
          <w:szCs w:val="24"/>
        </w:rPr>
        <w:t xml:space="preserve"> postoje i drugi oblici primitaka koji </w:t>
      </w:r>
      <w:r w:rsidR="0008231C">
        <w:rPr>
          <w:sz w:val="24"/>
          <w:szCs w:val="24"/>
        </w:rPr>
        <w:t xml:space="preserve">se smatraju </w:t>
      </w:r>
      <w:r>
        <w:rPr>
          <w:sz w:val="24"/>
          <w:szCs w:val="24"/>
        </w:rPr>
        <w:t xml:space="preserve">oporezivim primicima po osnovi nesamostalnog rada npr. premije </w:t>
      </w:r>
      <w:r w:rsidR="0008231C">
        <w:rPr>
          <w:sz w:val="24"/>
          <w:szCs w:val="24"/>
        </w:rPr>
        <w:t xml:space="preserve">osiguranja </w:t>
      </w:r>
      <w:r>
        <w:rPr>
          <w:sz w:val="24"/>
          <w:szCs w:val="24"/>
        </w:rPr>
        <w:t xml:space="preserve">koje poslodavci plaćaju za radnike iznad propisanih iznosa ili </w:t>
      </w:r>
      <w:r w:rsidR="0008231C">
        <w:rPr>
          <w:sz w:val="24"/>
          <w:szCs w:val="24"/>
        </w:rPr>
        <w:t xml:space="preserve">kamate na kredite dane radnicima </w:t>
      </w:r>
      <w:r>
        <w:rPr>
          <w:sz w:val="24"/>
          <w:szCs w:val="24"/>
        </w:rPr>
        <w:t>uz kamatnu stopu nižu od 3% godišnje. Isto tako kod ovog i drugi</w:t>
      </w:r>
      <w:r w:rsidR="0008231C">
        <w:rPr>
          <w:sz w:val="24"/>
          <w:szCs w:val="24"/>
        </w:rPr>
        <w:t xml:space="preserve">h izvora dohotka postoje i određeni oblici primitaka </w:t>
      </w:r>
      <w:r>
        <w:rPr>
          <w:sz w:val="24"/>
          <w:szCs w:val="24"/>
        </w:rPr>
        <w:t xml:space="preserve">koji se uopće ne smatraju oporezivim primicima </w:t>
      </w:r>
      <w:r w:rsidR="0008231C">
        <w:rPr>
          <w:sz w:val="24"/>
          <w:szCs w:val="24"/>
        </w:rPr>
        <w:t>(npr. sistematski kontrolni liječnički pregled organiziran za sve radnike, radna odjeća obilježena znakom/nazivom poslodav</w:t>
      </w:r>
      <w:r w:rsidR="00681B37">
        <w:rPr>
          <w:sz w:val="24"/>
          <w:szCs w:val="24"/>
        </w:rPr>
        <w:t>c</w:t>
      </w:r>
      <w:r w:rsidR="0008231C">
        <w:rPr>
          <w:sz w:val="24"/>
          <w:szCs w:val="24"/>
        </w:rPr>
        <w:t xml:space="preserve">a) </w:t>
      </w:r>
      <w:r>
        <w:rPr>
          <w:sz w:val="24"/>
          <w:szCs w:val="24"/>
        </w:rPr>
        <w:t>ili ne postoji porezni tretman do određenog iznosa</w:t>
      </w:r>
      <w:r w:rsidR="0008231C">
        <w:rPr>
          <w:sz w:val="24"/>
          <w:szCs w:val="24"/>
        </w:rPr>
        <w:t xml:space="preserve"> (npr. jubilarne nagrade do određenog iznosa)</w:t>
      </w:r>
      <w:r>
        <w:rPr>
          <w:sz w:val="24"/>
          <w:szCs w:val="24"/>
        </w:rPr>
        <w:t xml:space="preserve">. </w:t>
      </w:r>
    </w:p>
    <w:p w:rsidR="00E31870" w:rsidRDefault="00C47259" w:rsidP="00E31870">
      <w:pPr>
        <w:spacing w:before="240"/>
        <w:jc w:val="both"/>
        <w:rPr>
          <w:sz w:val="24"/>
          <w:szCs w:val="24"/>
        </w:rPr>
      </w:pPr>
      <w:r>
        <w:rPr>
          <w:sz w:val="24"/>
          <w:szCs w:val="24"/>
        </w:rPr>
        <w:t xml:space="preserve">Osim poreza na dohodak i prireza, uz dohodak od nesamostalnog rada </w:t>
      </w:r>
      <w:r w:rsidR="00681B37">
        <w:rPr>
          <w:sz w:val="24"/>
          <w:szCs w:val="24"/>
        </w:rPr>
        <w:t xml:space="preserve">(plaću) </w:t>
      </w:r>
      <w:r>
        <w:rPr>
          <w:sz w:val="24"/>
          <w:szCs w:val="24"/>
        </w:rPr>
        <w:t>vežu se dodatne fiskalne obveze uključujući „</w:t>
      </w:r>
      <w:r w:rsidRPr="00962481">
        <w:rPr>
          <w:color w:val="C00000"/>
          <w:sz w:val="24"/>
          <w:szCs w:val="24"/>
        </w:rPr>
        <w:t xml:space="preserve">obvezne </w:t>
      </w:r>
      <w:r w:rsidR="00681B37" w:rsidRPr="00962481">
        <w:rPr>
          <w:color w:val="C00000"/>
          <w:sz w:val="24"/>
          <w:szCs w:val="24"/>
        </w:rPr>
        <w:t xml:space="preserve">socijalne </w:t>
      </w:r>
      <w:r w:rsidRPr="00962481">
        <w:rPr>
          <w:color w:val="C00000"/>
          <w:sz w:val="24"/>
          <w:szCs w:val="24"/>
        </w:rPr>
        <w:t>doprinose iz plaće</w:t>
      </w:r>
      <w:r>
        <w:rPr>
          <w:sz w:val="24"/>
          <w:szCs w:val="24"/>
        </w:rPr>
        <w:t xml:space="preserve">“ za mirovinsko osiguranje koji se obračunavaju na bruto plaću u visini 20% </w:t>
      </w:r>
      <w:r w:rsidR="00681B37">
        <w:rPr>
          <w:sz w:val="24"/>
          <w:szCs w:val="24"/>
        </w:rPr>
        <w:t>(</w:t>
      </w:r>
      <w:r>
        <w:rPr>
          <w:sz w:val="24"/>
          <w:szCs w:val="24"/>
        </w:rPr>
        <w:t>ali se tretiraju kao izdatak smanjujući poreznu osnovicu</w:t>
      </w:r>
      <w:r w:rsidR="00681B37">
        <w:rPr>
          <w:sz w:val="24"/>
          <w:szCs w:val="24"/>
        </w:rPr>
        <w:t>)</w:t>
      </w:r>
      <w:r>
        <w:rPr>
          <w:sz w:val="24"/>
          <w:szCs w:val="24"/>
        </w:rPr>
        <w:t xml:space="preserve"> te „</w:t>
      </w:r>
      <w:r w:rsidR="00962481" w:rsidRPr="00962481">
        <w:rPr>
          <w:color w:val="C00000"/>
          <w:sz w:val="24"/>
          <w:szCs w:val="24"/>
        </w:rPr>
        <w:t xml:space="preserve">obvezne </w:t>
      </w:r>
      <w:r w:rsidRPr="00962481">
        <w:rPr>
          <w:color w:val="C00000"/>
          <w:sz w:val="24"/>
          <w:szCs w:val="24"/>
        </w:rPr>
        <w:t>doprinose na plaću</w:t>
      </w:r>
      <w:r>
        <w:rPr>
          <w:sz w:val="24"/>
          <w:szCs w:val="24"/>
        </w:rPr>
        <w:t xml:space="preserve">“ </w:t>
      </w:r>
      <w:r w:rsidR="00681B37">
        <w:rPr>
          <w:sz w:val="24"/>
          <w:szCs w:val="24"/>
        </w:rPr>
        <w:t>(koji su formalno neutralni na visinu neto plaće pojedinca, ali predstavljaju značajan</w:t>
      </w:r>
      <w:r>
        <w:rPr>
          <w:sz w:val="24"/>
          <w:szCs w:val="24"/>
        </w:rPr>
        <w:t xml:space="preserve"> dodatni trošak za </w:t>
      </w:r>
      <w:r w:rsidR="00681B37">
        <w:rPr>
          <w:sz w:val="24"/>
          <w:szCs w:val="24"/>
        </w:rPr>
        <w:t>poslodavce</w:t>
      </w:r>
      <w:r>
        <w:rPr>
          <w:sz w:val="24"/>
          <w:szCs w:val="24"/>
        </w:rPr>
        <w:t xml:space="preserve"> te se također računaju s obzirom na visinu bruto plaće</w:t>
      </w:r>
      <w:r w:rsidR="00681B37">
        <w:rPr>
          <w:sz w:val="24"/>
          <w:szCs w:val="24"/>
        </w:rPr>
        <w:t>)</w:t>
      </w:r>
      <w:r>
        <w:rPr>
          <w:sz w:val="24"/>
          <w:szCs w:val="24"/>
        </w:rPr>
        <w:t>.</w:t>
      </w:r>
      <w:r w:rsidR="009325D2">
        <w:rPr>
          <w:sz w:val="24"/>
          <w:szCs w:val="24"/>
        </w:rPr>
        <w:t xml:space="preserve"> </w:t>
      </w:r>
      <w:r w:rsidR="00E31870">
        <w:rPr>
          <w:sz w:val="24"/>
          <w:szCs w:val="24"/>
        </w:rPr>
        <w:t xml:space="preserve">U doprinose koji se obračunavaju na Bruto 1 ulaze: doprinos za zdravstveno osiguranje, doprinos za zapošljavanje i doprinos za zaštitu na radu. </w:t>
      </w:r>
    </w:p>
    <w:p w:rsidR="00E31870" w:rsidRDefault="00CF76CA" w:rsidP="00CF76CA">
      <w:pPr>
        <w:spacing w:before="240"/>
        <w:jc w:val="both"/>
        <w:rPr>
          <w:sz w:val="24"/>
          <w:szCs w:val="24"/>
        </w:rPr>
      </w:pPr>
      <w:r w:rsidRPr="00CF76CA">
        <w:rPr>
          <w:i/>
          <w:color w:val="C00000"/>
          <w:sz w:val="24"/>
          <w:szCs w:val="24"/>
        </w:rPr>
        <w:t>Primjer:</w:t>
      </w:r>
      <w:r>
        <w:rPr>
          <w:color w:val="C00000"/>
          <w:sz w:val="24"/>
          <w:szCs w:val="24"/>
        </w:rPr>
        <w:t xml:space="preserve"> </w:t>
      </w:r>
      <w:r w:rsidRPr="00CF76CA">
        <w:rPr>
          <w:color w:val="000000" w:themeColor="text1"/>
          <w:sz w:val="24"/>
          <w:szCs w:val="24"/>
        </w:rPr>
        <w:t xml:space="preserve">Oporezivanja dohotka od nesamostalnog rada u skladu s poreznom regulativom u 2015. godini. </w:t>
      </w:r>
      <w:r>
        <w:rPr>
          <w:sz w:val="24"/>
          <w:szCs w:val="24"/>
        </w:rPr>
        <w:t xml:space="preserve">Porezni obveznik je osoba iz Zagreba, stara 45 godina s dvoje uzdržavane djece (za koje koristi osobni odbitak). </w:t>
      </w:r>
    </w:p>
    <w:p w:rsidR="00E70BD6" w:rsidRDefault="00CF76CA" w:rsidP="00CF76CA">
      <w:pPr>
        <w:spacing w:before="240"/>
        <w:jc w:val="both"/>
        <w:rPr>
          <w:sz w:val="24"/>
          <w:szCs w:val="24"/>
        </w:rPr>
      </w:pPr>
      <w:r w:rsidRPr="00CF76CA">
        <w:rPr>
          <w:color w:val="C00000"/>
          <w:sz w:val="24"/>
          <w:szCs w:val="24"/>
        </w:rPr>
        <w:t xml:space="preserve">Osobni odbitak je neoporeziv dio dohotka. </w:t>
      </w:r>
      <w:r>
        <w:rPr>
          <w:sz w:val="24"/>
          <w:szCs w:val="24"/>
        </w:rPr>
        <w:t>U njegovom obračunu, z</w:t>
      </w:r>
      <w:r w:rsidRPr="00CF76CA">
        <w:rPr>
          <w:sz w:val="24"/>
          <w:szCs w:val="24"/>
        </w:rPr>
        <w:t xml:space="preserve">a poreznog obveznika </w:t>
      </w:r>
      <w:r>
        <w:rPr>
          <w:sz w:val="24"/>
          <w:szCs w:val="24"/>
        </w:rPr>
        <w:t>primjenjuje se</w:t>
      </w:r>
      <w:r w:rsidRPr="00CF76CA">
        <w:rPr>
          <w:sz w:val="24"/>
          <w:szCs w:val="24"/>
        </w:rPr>
        <w:t xml:space="preserve"> faktor 1; osobni odbitak za prvo dijete ima faktor 0,5; osobni odbitak</w:t>
      </w:r>
      <w:r>
        <w:rPr>
          <w:sz w:val="24"/>
          <w:szCs w:val="24"/>
        </w:rPr>
        <w:t xml:space="preserve"> za drugo dijete ima faktor 0,7 itd. </w:t>
      </w:r>
      <w:r w:rsidR="00E70BD6">
        <w:rPr>
          <w:sz w:val="24"/>
          <w:szCs w:val="24"/>
        </w:rPr>
        <w:t xml:space="preserve"> </w:t>
      </w:r>
    </w:p>
    <w:p w:rsidR="00CF76CA" w:rsidRDefault="00CF76CA" w:rsidP="00CF76CA">
      <w:pPr>
        <w:spacing w:before="240"/>
        <w:jc w:val="both"/>
        <w:rPr>
          <w:sz w:val="24"/>
          <w:szCs w:val="24"/>
        </w:rPr>
      </w:pPr>
      <w:r>
        <w:rPr>
          <w:sz w:val="24"/>
          <w:szCs w:val="24"/>
        </w:rPr>
        <w:t xml:space="preserve">Bruto plaća poreznog obveznika je 27.100,00 kuna, iz čega nakon odbitka obveznih mirovinskih doprinosa te obveza za porez i prirez porezu na dohodak, slijedi neto plaća u iznosu 16.820,76 kuna. No. ukupni trošak poslodavca koji isplaćuje plaću je znatno veći i iznosi 31.761,20 kuna, što čini zbroj bruto plaće (Bruto 1) i obveznih doprinosa na plaću.   </w:t>
      </w:r>
    </w:p>
    <w:tbl>
      <w:tblPr>
        <w:tblW w:w="9072" w:type="dxa"/>
        <w:tblInd w:w="150" w:type="dxa"/>
        <w:tblBorders>
          <w:bottom w:val="single" w:sz="12" w:space="0" w:color="D51B1B"/>
        </w:tblBorders>
        <w:shd w:val="clear" w:color="auto" w:fill="FFFFFF"/>
        <w:tblLayout w:type="fixed"/>
        <w:tblCellMar>
          <w:left w:w="0" w:type="dxa"/>
          <w:right w:w="0" w:type="dxa"/>
        </w:tblCellMar>
        <w:tblLook w:val="04A0" w:firstRow="1" w:lastRow="0" w:firstColumn="1" w:lastColumn="0" w:noHBand="0" w:noVBand="1"/>
      </w:tblPr>
      <w:tblGrid>
        <w:gridCol w:w="6376"/>
        <w:gridCol w:w="138"/>
        <w:gridCol w:w="1143"/>
        <w:gridCol w:w="1415"/>
      </w:tblGrid>
      <w:tr w:rsidR="00CF76CA" w:rsidRPr="00DF40B4" w:rsidTr="00681F41">
        <w:trPr>
          <w:tblHeader/>
        </w:trPr>
        <w:tc>
          <w:tcPr>
            <w:tcW w:w="7657" w:type="dxa"/>
            <w:gridSpan w:val="3"/>
            <w:tcBorders>
              <w:top w:val="nil"/>
              <w:left w:val="nil"/>
              <w:bottom w:val="single" w:sz="12" w:space="0" w:color="DDDDDD"/>
              <w:right w:val="nil"/>
            </w:tcBorders>
            <w:shd w:val="clear" w:color="auto" w:fill="4F81BD" w:themeFill="accent1"/>
            <w:noWrap/>
            <w:tcMar>
              <w:top w:w="90" w:type="dxa"/>
              <w:left w:w="150" w:type="dxa"/>
              <w:bottom w:w="90" w:type="dxa"/>
              <w:right w:w="150" w:type="dxa"/>
            </w:tcMar>
            <w:vAlign w:val="center"/>
            <w:hideMark/>
          </w:tcPr>
          <w:p w:rsidR="00CF76CA" w:rsidRPr="00DF40B4" w:rsidRDefault="00CF76CA" w:rsidP="00CF76CA">
            <w:pPr>
              <w:spacing w:after="0" w:line="240" w:lineRule="atLeast"/>
              <w:rPr>
                <w:rFonts w:eastAsia="Times New Roman" w:cs="Tahoma"/>
                <w:b/>
                <w:bCs/>
                <w:color w:val="FFFFFF" w:themeColor="background1"/>
                <w:sz w:val="24"/>
                <w:szCs w:val="24"/>
                <w:lang w:eastAsia="hr-HR"/>
              </w:rPr>
            </w:pPr>
            <w:r>
              <w:lastRenderedPageBreak/>
              <w:t xml:space="preserve">  </w:t>
            </w:r>
            <w:r w:rsidRPr="00DF40B4">
              <w:rPr>
                <w:color w:val="FFFFFF" w:themeColor="background1"/>
                <w:sz w:val="20"/>
                <w:szCs w:val="20"/>
              </w:rPr>
              <w:t xml:space="preserve">  </w:t>
            </w:r>
            <w:r w:rsidRPr="00DF40B4">
              <w:rPr>
                <w:rFonts w:eastAsia="Times New Roman" w:cs="Tahoma"/>
                <w:b/>
                <w:bCs/>
                <w:color w:val="FFFFFF" w:themeColor="background1"/>
                <w:sz w:val="24"/>
                <w:szCs w:val="24"/>
                <w:lang w:eastAsia="hr-HR"/>
              </w:rPr>
              <w:t>BRUTO PLAĆA (tzv. Bruto 1)</w:t>
            </w:r>
          </w:p>
        </w:tc>
        <w:tc>
          <w:tcPr>
            <w:tcW w:w="1415" w:type="dxa"/>
            <w:tcBorders>
              <w:top w:val="nil"/>
              <w:left w:val="nil"/>
              <w:bottom w:val="single" w:sz="12" w:space="0" w:color="DDDDDD"/>
              <w:right w:val="nil"/>
            </w:tcBorders>
            <w:shd w:val="clear" w:color="auto" w:fill="4F81BD" w:themeFill="accent1"/>
            <w:noWrap/>
            <w:tcMar>
              <w:top w:w="90" w:type="dxa"/>
              <w:left w:w="150" w:type="dxa"/>
              <w:bottom w:w="90" w:type="dxa"/>
              <w:right w:w="150" w:type="dxa"/>
            </w:tcMar>
            <w:vAlign w:val="center"/>
            <w:hideMark/>
          </w:tcPr>
          <w:p w:rsidR="00CF76CA" w:rsidRPr="00DF40B4" w:rsidRDefault="00CF76CA" w:rsidP="00CF76CA">
            <w:pPr>
              <w:spacing w:after="0" w:line="240" w:lineRule="atLeast"/>
              <w:jc w:val="right"/>
              <w:rPr>
                <w:rFonts w:eastAsia="Times New Roman" w:cs="Tahoma"/>
                <w:b/>
                <w:bCs/>
                <w:color w:val="FFFFFF" w:themeColor="background1"/>
                <w:sz w:val="24"/>
                <w:szCs w:val="24"/>
                <w:lang w:eastAsia="hr-HR"/>
              </w:rPr>
            </w:pPr>
            <w:r w:rsidRPr="00DF40B4">
              <w:rPr>
                <w:rFonts w:eastAsia="Times New Roman" w:cs="Tahoma"/>
                <w:b/>
                <w:bCs/>
                <w:color w:val="FFFFFF" w:themeColor="background1"/>
                <w:sz w:val="24"/>
                <w:szCs w:val="24"/>
                <w:lang w:eastAsia="hr-HR"/>
              </w:rPr>
              <w:t>27.100,00</w:t>
            </w:r>
          </w:p>
        </w:tc>
      </w:tr>
      <w:tr w:rsidR="00CF76CA" w:rsidRPr="00C06F66" w:rsidTr="00681F41">
        <w:tc>
          <w:tcPr>
            <w:tcW w:w="6376"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sz w:val="24"/>
                <w:szCs w:val="24"/>
                <w:lang w:eastAsia="hr-HR"/>
              </w:rPr>
            </w:pPr>
            <w:r w:rsidRPr="00243958">
              <w:rPr>
                <w:rFonts w:eastAsia="Times New Roman" w:cs="Tahoma"/>
                <w:sz w:val="24"/>
                <w:szCs w:val="24"/>
                <w:lang w:eastAsia="hr-HR"/>
              </w:rPr>
              <w:t>DOPRINOSI IZ PLAĆE</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sz w:val="24"/>
                <w:szCs w:val="24"/>
                <w:lang w:eastAsia="hr-HR"/>
              </w:rPr>
            </w:pP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sz w:val="24"/>
                <w:szCs w:val="24"/>
                <w:lang w:eastAsia="hr-HR"/>
              </w:rPr>
            </w:pPr>
          </w:p>
        </w:tc>
      </w:tr>
      <w:tr w:rsidR="00CF76CA" w:rsidRPr="00C06F66" w:rsidTr="00681F41">
        <w:tc>
          <w:tcPr>
            <w:tcW w:w="6376"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C06F66">
              <w:rPr>
                <w:rFonts w:eastAsia="Times New Roman" w:cs="Tahoma"/>
                <w:sz w:val="24"/>
                <w:szCs w:val="24"/>
                <w:lang w:eastAsia="hr-HR"/>
              </w:rPr>
              <w:t>I. stup mirovinskog osiguranja</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b/>
                <w:sz w:val="24"/>
                <w:szCs w:val="24"/>
                <w:lang w:eastAsia="hr-HR"/>
              </w:rPr>
            </w:pPr>
            <w:r w:rsidRPr="00C06F66">
              <w:rPr>
                <w:rFonts w:eastAsia="Times New Roman" w:cs="Tahoma"/>
                <w:b/>
                <w:sz w:val="24"/>
                <w:szCs w:val="24"/>
                <w:lang w:eastAsia="hr-HR"/>
              </w:rPr>
              <w:t>15,00%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sz w:val="24"/>
                <w:szCs w:val="24"/>
                <w:lang w:eastAsia="hr-HR"/>
              </w:rPr>
            </w:pPr>
            <w:r w:rsidRPr="00C06F66">
              <w:rPr>
                <w:rFonts w:eastAsia="Times New Roman" w:cs="Tahoma"/>
                <w:sz w:val="24"/>
                <w:szCs w:val="24"/>
                <w:lang w:eastAsia="hr-HR"/>
              </w:rPr>
              <w:t>4.065,00</w:t>
            </w:r>
          </w:p>
        </w:tc>
      </w:tr>
      <w:tr w:rsidR="00CF76CA" w:rsidRPr="00C06F66" w:rsidTr="00681F41">
        <w:tc>
          <w:tcPr>
            <w:tcW w:w="6376"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C06F66">
              <w:rPr>
                <w:rFonts w:eastAsia="Times New Roman" w:cs="Tahoma"/>
                <w:sz w:val="24"/>
                <w:szCs w:val="24"/>
                <w:lang w:eastAsia="hr-HR"/>
              </w:rPr>
              <w:t>II. stup mirovinskog osiguranja</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b/>
                <w:sz w:val="24"/>
                <w:szCs w:val="24"/>
                <w:lang w:eastAsia="hr-HR"/>
              </w:rPr>
            </w:pPr>
            <w:r w:rsidRPr="00C06F66">
              <w:rPr>
                <w:rFonts w:eastAsia="Times New Roman" w:cs="Tahoma"/>
                <w:b/>
                <w:sz w:val="24"/>
                <w:szCs w:val="24"/>
                <w:lang w:eastAsia="hr-HR"/>
              </w:rPr>
              <w:t>5,00%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sz w:val="24"/>
                <w:szCs w:val="24"/>
                <w:lang w:eastAsia="hr-HR"/>
              </w:rPr>
            </w:pPr>
            <w:r w:rsidRPr="00C06F66">
              <w:rPr>
                <w:rFonts w:eastAsia="Times New Roman" w:cs="Tahoma"/>
                <w:sz w:val="24"/>
                <w:szCs w:val="24"/>
                <w:lang w:eastAsia="hr-HR"/>
              </w:rPr>
              <w:t>1.355,00</w:t>
            </w:r>
          </w:p>
        </w:tc>
      </w:tr>
      <w:tr w:rsidR="00CF76CA" w:rsidRPr="00C06F66" w:rsidTr="00681F41">
        <w:tc>
          <w:tcPr>
            <w:tcW w:w="6376"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243958">
              <w:rPr>
                <w:rFonts w:eastAsia="Times New Roman" w:cs="Tahoma"/>
                <w:b/>
                <w:bCs/>
                <w:sz w:val="24"/>
                <w:szCs w:val="24"/>
                <w:bdr w:val="none" w:sz="0" w:space="0" w:color="auto" w:frame="1"/>
                <w:lang w:eastAsia="hr-HR"/>
              </w:rPr>
              <w:t>Ukupno doprinosi iz bruta</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C06F66">
              <w:rPr>
                <w:rFonts w:eastAsia="Times New Roman" w:cs="Tahoma"/>
                <w:sz w:val="24"/>
                <w:szCs w:val="24"/>
                <w:lang w:eastAsia="hr-HR"/>
              </w:rPr>
              <w:t>20,00%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sz w:val="24"/>
                <w:szCs w:val="24"/>
                <w:lang w:eastAsia="hr-HR"/>
              </w:rPr>
            </w:pPr>
            <w:r w:rsidRPr="00243958">
              <w:rPr>
                <w:rFonts w:eastAsia="Times New Roman" w:cs="Tahoma"/>
                <w:b/>
                <w:bCs/>
                <w:sz w:val="24"/>
                <w:szCs w:val="24"/>
                <w:bdr w:val="none" w:sz="0" w:space="0" w:color="auto" w:frame="1"/>
                <w:lang w:eastAsia="hr-HR"/>
              </w:rPr>
              <w:t>5.420,00</w:t>
            </w: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b/>
                <w:sz w:val="24"/>
                <w:szCs w:val="24"/>
                <w:lang w:eastAsia="hr-HR"/>
              </w:rPr>
            </w:pPr>
            <w:r w:rsidRPr="00243958">
              <w:rPr>
                <w:rFonts w:eastAsia="Times New Roman" w:cs="Tahoma"/>
                <w:b/>
                <w:sz w:val="24"/>
                <w:szCs w:val="24"/>
                <w:lang w:eastAsia="hr-HR"/>
              </w:rPr>
              <w:t xml:space="preserve">DOHODAK                                                                        </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b/>
                <w:sz w:val="24"/>
                <w:szCs w:val="24"/>
                <w:lang w:eastAsia="hr-HR"/>
              </w:rPr>
            </w:pPr>
            <w:r w:rsidRPr="00243958">
              <w:rPr>
                <w:rFonts w:eastAsia="Times New Roman" w:cs="Tahoma"/>
                <w:b/>
                <w:sz w:val="24"/>
                <w:szCs w:val="24"/>
                <w:lang w:eastAsia="hr-HR"/>
              </w:rPr>
              <w:t>21.680,00</w:t>
            </w: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b/>
                <w:sz w:val="24"/>
                <w:szCs w:val="24"/>
                <w:lang w:eastAsia="hr-HR"/>
              </w:rPr>
            </w:pPr>
            <w:r w:rsidRPr="00243958">
              <w:rPr>
                <w:rFonts w:eastAsia="Times New Roman" w:cs="Tahoma"/>
                <w:b/>
                <w:sz w:val="24"/>
                <w:szCs w:val="24"/>
                <w:lang w:eastAsia="hr-HR"/>
              </w:rPr>
              <w:t>Osobni odbitak</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b/>
                <w:sz w:val="24"/>
                <w:szCs w:val="24"/>
                <w:lang w:eastAsia="hr-HR"/>
              </w:rPr>
            </w:pPr>
            <w:r w:rsidRPr="00C06F66">
              <w:rPr>
                <w:rFonts w:eastAsia="Times New Roman" w:cs="Tahoma"/>
                <w:b/>
                <w:sz w:val="24"/>
                <w:szCs w:val="24"/>
                <w:lang w:eastAsia="hr-HR"/>
              </w:rPr>
              <w:t>5.720,00</w:t>
            </w: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1B169F">
            <w:pPr>
              <w:spacing w:after="0" w:line="240" w:lineRule="auto"/>
              <w:rPr>
                <w:rFonts w:eastAsia="Times New Roman" w:cs="Tahoma"/>
                <w:b/>
                <w:bCs/>
                <w:sz w:val="20"/>
                <w:szCs w:val="20"/>
                <w:bdr w:val="none" w:sz="0" w:space="0" w:color="auto" w:frame="1"/>
                <w:lang w:eastAsia="hr-HR"/>
              </w:rPr>
            </w:pPr>
            <w:r w:rsidRPr="00CF76CA">
              <w:rPr>
                <w:sz w:val="20"/>
                <w:szCs w:val="20"/>
              </w:rPr>
              <w:t>* U ovom primjeru neoporeziv dohodak računa se s faktorom 2,2  koji pomnožen s iznosom osobnog odbitka 2.600,00 kuna (vrijedi od 2015. godine) daje ukupni neoporeziv dohodak u iznosu 5.720,00 kn.</w:t>
            </w:r>
            <w:r w:rsidR="001B169F">
              <w:rPr>
                <w:sz w:val="20"/>
                <w:szCs w:val="20"/>
              </w:rPr>
              <w:t xml:space="preserve"> Kada se od dohotka oduzme osobni odbitak razlika je oporeziv dohodak.</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bCs/>
                <w:sz w:val="24"/>
                <w:szCs w:val="24"/>
                <w:bdr w:val="none" w:sz="0" w:space="0" w:color="auto" w:frame="1"/>
                <w:lang w:eastAsia="hr-HR"/>
              </w:rPr>
            </w:pP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243958">
              <w:rPr>
                <w:rFonts w:eastAsia="Times New Roman" w:cs="Tahoma"/>
                <w:b/>
                <w:bCs/>
                <w:sz w:val="24"/>
                <w:szCs w:val="24"/>
                <w:bdr w:val="none" w:sz="0" w:space="0" w:color="auto" w:frame="1"/>
                <w:lang w:eastAsia="hr-HR"/>
              </w:rPr>
              <w:t>OPOREZIVI DOHODAK</w:t>
            </w:r>
            <w:r w:rsidRPr="00243958">
              <w:rPr>
                <w:rFonts w:eastAsia="Times New Roman" w:cs="Tahoma"/>
                <w:bCs/>
                <w:sz w:val="24"/>
                <w:szCs w:val="24"/>
                <w:bdr w:val="none" w:sz="0" w:space="0" w:color="auto" w:frame="1"/>
                <w:lang w:eastAsia="hr-HR"/>
              </w:rPr>
              <w:t xml:space="preserve"> (Porezna osnovica)                         </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b/>
                <w:sz w:val="24"/>
                <w:szCs w:val="24"/>
                <w:lang w:eastAsia="hr-HR"/>
              </w:rPr>
            </w:pPr>
            <w:r w:rsidRPr="00243958">
              <w:rPr>
                <w:rFonts w:eastAsia="Times New Roman" w:cs="Tahoma"/>
                <w:b/>
                <w:bCs/>
                <w:sz w:val="24"/>
                <w:szCs w:val="24"/>
                <w:bdr w:val="none" w:sz="0" w:space="0" w:color="auto" w:frame="1"/>
                <w:lang w:eastAsia="hr-HR"/>
              </w:rPr>
              <w:t>15.960,00</w:t>
            </w: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sz w:val="24"/>
                <w:szCs w:val="24"/>
                <w:lang w:eastAsia="hr-HR"/>
              </w:rPr>
            </w:pPr>
            <w:r w:rsidRPr="00243958">
              <w:rPr>
                <w:rFonts w:eastAsia="Times New Roman" w:cs="Tahoma"/>
                <w:sz w:val="24"/>
                <w:szCs w:val="24"/>
                <w:lang w:eastAsia="hr-HR"/>
              </w:rPr>
              <w:t>Porez po stopi 12% (osnovica 2.200,00)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sz w:val="24"/>
                <w:szCs w:val="24"/>
                <w:lang w:eastAsia="hr-HR"/>
              </w:rPr>
            </w:pPr>
            <w:r w:rsidRPr="00243958">
              <w:rPr>
                <w:rFonts w:eastAsia="Times New Roman" w:cs="Tahoma"/>
                <w:sz w:val="24"/>
                <w:szCs w:val="24"/>
                <w:lang w:eastAsia="hr-HR"/>
              </w:rPr>
              <w:t>264,00</w:t>
            </w: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sz w:val="24"/>
                <w:szCs w:val="24"/>
                <w:lang w:eastAsia="hr-HR"/>
              </w:rPr>
            </w:pPr>
            <w:r w:rsidRPr="00243958">
              <w:rPr>
                <w:rFonts w:eastAsia="Times New Roman" w:cs="Tahoma"/>
                <w:sz w:val="24"/>
                <w:szCs w:val="24"/>
                <w:lang w:eastAsia="hr-HR"/>
              </w:rPr>
              <w:t>Porez po stopi 25% (osnovica 11.000,00)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sz w:val="24"/>
                <w:szCs w:val="24"/>
                <w:lang w:eastAsia="hr-HR"/>
              </w:rPr>
            </w:pPr>
            <w:r w:rsidRPr="00243958">
              <w:rPr>
                <w:rFonts w:eastAsia="Times New Roman" w:cs="Tahoma"/>
                <w:sz w:val="24"/>
                <w:szCs w:val="24"/>
                <w:lang w:eastAsia="hr-HR"/>
              </w:rPr>
              <w:t>2,750,00</w:t>
            </w: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sz w:val="24"/>
                <w:szCs w:val="24"/>
                <w:lang w:eastAsia="hr-HR"/>
              </w:rPr>
            </w:pPr>
            <w:r w:rsidRPr="00243958">
              <w:rPr>
                <w:rFonts w:eastAsia="Times New Roman" w:cs="Tahoma"/>
                <w:sz w:val="24"/>
                <w:szCs w:val="24"/>
                <w:lang w:eastAsia="hr-HR"/>
              </w:rPr>
              <w:t>Porez po stopi 40% (osnovica 2.760,00)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sz w:val="24"/>
                <w:szCs w:val="24"/>
                <w:lang w:eastAsia="hr-HR"/>
              </w:rPr>
            </w:pPr>
            <w:r w:rsidRPr="00243958">
              <w:rPr>
                <w:rFonts w:eastAsia="Times New Roman" w:cs="Tahoma"/>
                <w:sz w:val="24"/>
                <w:szCs w:val="24"/>
                <w:lang w:eastAsia="hr-HR"/>
              </w:rPr>
              <w:t>1,104,00</w:t>
            </w: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both"/>
              <w:rPr>
                <w:rFonts w:eastAsia="Times New Roman" w:cs="Tahoma"/>
                <w:b/>
                <w:sz w:val="20"/>
                <w:szCs w:val="20"/>
                <w:lang w:eastAsia="hr-HR"/>
              </w:rPr>
            </w:pPr>
            <w:r w:rsidRPr="00243958">
              <w:rPr>
                <w:sz w:val="20"/>
                <w:szCs w:val="20"/>
              </w:rPr>
              <w:t>* Porezna stopa 12% obračunava se na poreznu osnovicu do visine 2.200 kuna; stopa 25% na razliku porezne osnovice između 2.200 kuna i 13.200 kuna; a porezna stopa 40% na osnovicu iznad 13.200 kuna.</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b/>
                <w:sz w:val="24"/>
                <w:szCs w:val="24"/>
                <w:lang w:eastAsia="hr-HR"/>
              </w:rPr>
            </w:pP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b/>
                <w:sz w:val="24"/>
                <w:szCs w:val="24"/>
                <w:lang w:eastAsia="hr-HR"/>
              </w:rPr>
            </w:pPr>
            <w:r w:rsidRPr="00C06F66">
              <w:rPr>
                <w:rFonts w:eastAsia="Times New Roman" w:cs="Tahoma"/>
                <w:b/>
                <w:sz w:val="24"/>
                <w:szCs w:val="24"/>
                <w:lang w:eastAsia="hr-HR"/>
              </w:rPr>
              <w:t>Ukupni porez</w:t>
            </w:r>
            <w:r w:rsidRPr="00243958">
              <w:rPr>
                <w:rFonts w:eastAsia="Times New Roman" w:cs="Tahoma"/>
                <w:b/>
                <w:sz w:val="24"/>
                <w:szCs w:val="24"/>
                <w:lang w:eastAsia="hr-HR"/>
              </w:rPr>
              <w:t xml:space="preserve">                                                                        </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sz w:val="24"/>
                <w:szCs w:val="24"/>
                <w:lang w:eastAsia="hr-HR"/>
              </w:rPr>
            </w:pPr>
            <w:r w:rsidRPr="00C06F66">
              <w:rPr>
                <w:rFonts w:eastAsia="Times New Roman" w:cs="Tahoma"/>
                <w:b/>
                <w:sz w:val="24"/>
                <w:szCs w:val="24"/>
                <w:lang w:eastAsia="hr-HR"/>
              </w:rPr>
              <w:t>4.118,00</w:t>
            </w:r>
          </w:p>
        </w:tc>
      </w:tr>
      <w:tr w:rsidR="00CF76CA" w:rsidRPr="00C06F66" w:rsidTr="00681F41">
        <w:tc>
          <w:tcPr>
            <w:tcW w:w="6376"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b/>
                <w:sz w:val="24"/>
                <w:szCs w:val="24"/>
                <w:lang w:eastAsia="hr-HR"/>
              </w:rPr>
            </w:pPr>
            <w:r w:rsidRPr="00C06F66">
              <w:rPr>
                <w:rFonts w:eastAsia="Times New Roman" w:cs="Tahoma"/>
                <w:b/>
                <w:sz w:val="24"/>
                <w:szCs w:val="24"/>
                <w:lang w:eastAsia="hr-HR"/>
              </w:rPr>
              <w:t>Ukupni prirez</w:t>
            </w:r>
          </w:p>
        </w:tc>
        <w:tc>
          <w:tcPr>
            <w:tcW w:w="1281"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b/>
                <w:sz w:val="24"/>
                <w:szCs w:val="24"/>
                <w:lang w:eastAsia="hr-HR"/>
              </w:rPr>
            </w:pPr>
            <w:r w:rsidRPr="00C06F66">
              <w:rPr>
                <w:rFonts w:eastAsia="Times New Roman" w:cs="Tahoma"/>
                <w:b/>
                <w:sz w:val="24"/>
                <w:szCs w:val="24"/>
                <w:lang w:eastAsia="hr-HR"/>
              </w:rPr>
              <w:t>18,00%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b/>
                <w:sz w:val="24"/>
                <w:szCs w:val="24"/>
                <w:lang w:eastAsia="hr-HR"/>
              </w:rPr>
            </w:pPr>
            <w:r w:rsidRPr="00C06F66">
              <w:rPr>
                <w:rFonts w:eastAsia="Times New Roman" w:cs="Tahoma"/>
                <w:b/>
                <w:sz w:val="24"/>
                <w:szCs w:val="24"/>
                <w:lang w:eastAsia="hr-HR"/>
              </w:rPr>
              <w:t>741,24</w:t>
            </w: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b/>
                <w:bCs/>
                <w:sz w:val="20"/>
                <w:szCs w:val="20"/>
                <w:bdr w:val="none" w:sz="0" w:space="0" w:color="auto" w:frame="1"/>
                <w:lang w:eastAsia="hr-HR"/>
              </w:rPr>
            </w:pPr>
            <w:r w:rsidRPr="00243958">
              <w:rPr>
                <w:rFonts w:eastAsia="Times New Roman" w:cs="Tahoma"/>
                <w:b/>
                <w:bCs/>
                <w:sz w:val="20"/>
                <w:szCs w:val="20"/>
                <w:bdr w:val="none" w:sz="0" w:space="0" w:color="auto" w:frame="1"/>
                <w:lang w:eastAsia="hr-HR"/>
              </w:rPr>
              <w:t xml:space="preserve">* </w:t>
            </w:r>
            <w:r w:rsidRPr="00243958">
              <w:rPr>
                <w:sz w:val="20"/>
                <w:szCs w:val="20"/>
              </w:rPr>
              <w:t>Prirez porezu na dohodak u Zagrebu obračunava se po stopi 18%. (Iznos uk. poreza se množi s 0,18.)</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b/>
                <w:bCs/>
                <w:sz w:val="24"/>
                <w:szCs w:val="24"/>
                <w:bdr w:val="none" w:sz="0" w:space="0" w:color="auto" w:frame="1"/>
                <w:lang w:eastAsia="hr-HR"/>
              </w:rPr>
            </w:pP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243958">
              <w:rPr>
                <w:rFonts w:eastAsia="Times New Roman" w:cs="Tahoma"/>
                <w:b/>
                <w:bCs/>
                <w:sz w:val="24"/>
                <w:szCs w:val="24"/>
                <w:bdr w:val="none" w:sz="0" w:space="0" w:color="auto" w:frame="1"/>
                <w:lang w:eastAsia="hr-HR"/>
              </w:rPr>
              <w:t>Ukupni porez i prirez</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sz w:val="24"/>
                <w:szCs w:val="24"/>
                <w:lang w:eastAsia="hr-HR"/>
              </w:rPr>
            </w:pPr>
            <w:r w:rsidRPr="00243958">
              <w:rPr>
                <w:rFonts w:eastAsia="Times New Roman" w:cs="Tahoma"/>
                <w:b/>
                <w:bCs/>
                <w:sz w:val="24"/>
                <w:szCs w:val="24"/>
                <w:bdr w:val="none" w:sz="0" w:space="0" w:color="auto" w:frame="1"/>
                <w:lang w:eastAsia="hr-HR"/>
              </w:rPr>
              <w:t>4.859,24</w:t>
            </w:r>
          </w:p>
        </w:tc>
      </w:tr>
      <w:tr w:rsidR="00CF76CA" w:rsidRPr="00C06F66" w:rsidTr="00681F41">
        <w:tc>
          <w:tcPr>
            <w:tcW w:w="7657" w:type="dxa"/>
            <w:gridSpan w:val="3"/>
            <w:tcBorders>
              <w:top w:val="nil"/>
              <w:left w:val="nil"/>
              <w:bottom w:val="nil"/>
              <w:right w:val="nil"/>
            </w:tcBorders>
            <w:shd w:val="clear" w:color="auto" w:fill="4F81BD" w:themeFill="accent1"/>
            <w:noWrap/>
            <w:tcMar>
              <w:top w:w="90" w:type="dxa"/>
              <w:left w:w="150" w:type="dxa"/>
              <w:bottom w:w="90" w:type="dxa"/>
              <w:right w:w="150" w:type="dxa"/>
            </w:tcMar>
            <w:vAlign w:val="center"/>
          </w:tcPr>
          <w:p w:rsidR="00CF76CA" w:rsidRPr="00243958" w:rsidRDefault="00CF76CA" w:rsidP="00CF76CA">
            <w:pPr>
              <w:spacing w:after="0" w:line="240" w:lineRule="atLeast"/>
              <w:rPr>
                <w:rFonts w:eastAsia="Times New Roman" w:cs="Tahoma"/>
                <w:b/>
                <w:bCs/>
                <w:color w:val="FFFFFF" w:themeColor="background1"/>
                <w:sz w:val="24"/>
                <w:szCs w:val="24"/>
                <w:lang w:eastAsia="hr-HR"/>
              </w:rPr>
            </w:pPr>
            <w:r w:rsidRPr="00243958">
              <w:rPr>
                <w:rFonts w:eastAsia="Times New Roman" w:cs="Tahoma"/>
                <w:b/>
                <w:bCs/>
                <w:color w:val="FFFFFF" w:themeColor="background1"/>
                <w:sz w:val="24"/>
                <w:szCs w:val="24"/>
                <w:lang w:eastAsia="hr-HR"/>
              </w:rPr>
              <w:t>NETO PLAĆA (po obračunu iz 2015.)</w:t>
            </w:r>
          </w:p>
        </w:tc>
        <w:tc>
          <w:tcPr>
            <w:tcW w:w="1415" w:type="dxa"/>
            <w:tcBorders>
              <w:top w:val="nil"/>
              <w:left w:val="nil"/>
              <w:bottom w:val="nil"/>
              <w:right w:val="nil"/>
            </w:tcBorders>
            <w:shd w:val="clear" w:color="auto" w:fill="4F81BD" w:themeFill="accent1"/>
            <w:noWrap/>
            <w:tcMar>
              <w:top w:w="90" w:type="dxa"/>
              <w:left w:w="150" w:type="dxa"/>
              <w:bottom w:w="90" w:type="dxa"/>
              <w:right w:w="150" w:type="dxa"/>
            </w:tcMar>
            <w:vAlign w:val="center"/>
          </w:tcPr>
          <w:p w:rsidR="00CF76CA" w:rsidRPr="00243958" w:rsidRDefault="00CF76CA" w:rsidP="00CF76CA">
            <w:pPr>
              <w:spacing w:after="0" w:line="240" w:lineRule="atLeast"/>
              <w:jc w:val="right"/>
              <w:rPr>
                <w:rFonts w:eastAsia="Times New Roman" w:cs="Tahoma"/>
                <w:b/>
                <w:bCs/>
                <w:color w:val="FFFFFF" w:themeColor="background1"/>
                <w:sz w:val="24"/>
                <w:szCs w:val="24"/>
                <w:lang w:eastAsia="hr-HR"/>
              </w:rPr>
            </w:pPr>
            <w:r w:rsidRPr="00C06F66">
              <w:rPr>
                <w:rFonts w:eastAsia="Times New Roman" w:cs="Tahoma"/>
                <w:b/>
                <w:bCs/>
                <w:color w:val="FFFFFF" w:themeColor="background1"/>
                <w:sz w:val="24"/>
                <w:szCs w:val="24"/>
                <w:lang w:eastAsia="hr-HR"/>
              </w:rPr>
              <w:t>16.820,76</w:t>
            </w:r>
          </w:p>
        </w:tc>
      </w:tr>
      <w:tr w:rsidR="00CF76CA" w:rsidRPr="00C06F66" w:rsidTr="00681F41">
        <w:tc>
          <w:tcPr>
            <w:tcW w:w="6514"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sz w:val="20"/>
                <w:szCs w:val="20"/>
                <w:lang w:eastAsia="hr-HR"/>
              </w:rPr>
            </w:pPr>
            <w:r w:rsidRPr="00243958">
              <w:rPr>
                <w:sz w:val="20"/>
                <w:szCs w:val="20"/>
              </w:rPr>
              <w:t>* Neto plaća jednaka je razlici dohotka (21.680,00 kn) i ukupnih obveza za porez i prirez (4.859,24). Na bruto plaću (tzv. Bruto 1) poslodavac mora obračunati i doprinose na plaću što sve zajedno daje ukupni trošak poslodavca u iznosu 31.761,20 kuna.</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sz w:val="24"/>
                <w:szCs w:val="24"/>
                <w:lang w:eastAsia="hr-HR"/>
              </w:rPr>
            </w:pP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sz w:val="24"/>
                <w:szCs w:val="24"/>
                <w:lang w:eastAsia="hr-HR"/>
              </w:rPr>
            </w:pPr>
          </w:p>
        </w:tc>
      </w:tr>
      <w:tr w:rsidR="00CF76CA" w:rsidRPr="00C06F66" w:rsidTr="00681F41">
        <w:tc>
          <w:tcPr>
            <w:tcW w:w="6514"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sz w:val="24"/>
                <w:szCs w:val="24"/>
                <w:lang w:eastAsia="hr-HR"/>
              </w:rPr>
            </w:pPr>
            <w:r w:rsidRPr="00243958">
              <w:rPr>
                <w:rFonts w:eastAsia="Times New Roman" w:cs="Tahoma"/>
                <w:sz w:val="24"/>
                <w:szCs w:val="24"/>
                <w:lang w:eastAsia="hr-HR"/>
              </w:rPr>
              <w:t>DOPRINOSI NA PLAĆU</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rPr>
                <w:rFonts w:eastAsia="Times New Roman" w:cs="Tahoma"/>
                <w:sz w:val="24"/>
                <w:szCs w:val="24"/>
                <w:lang w:eastAsia="hr-HR"/>
              </w:rPr>
            </w:pP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tcPr>
          <w:p w:rsidR="00CF76CA" w:rsidRPr="00243958" w:rsidRDefault="00CF76CA" w:rsidP="00CF76CA">
            <w:pPr>
              <w:spacing w:after="0" w:line="240" w:lineRule="auto"/>
              <w:jc w:val="right"/>
              <w:rPr>
                <w:rFonts w:eastAsia="Times New Roman" w:cs="Tahoma"/>
                <w:sz w:val="24"/>
                <w:szCs w:val="24"/>
                <w:lang w:eastAsia="hr-HR"/>
              </w:rPr>
            </w:pPr>
          </w:p>
        </w:tc>
      </w:tr>
      <w:tr w:rsidR="00CF76CA" w:rsidRPr="00C06F66" w:rsidTr="00681F41">
        <w:tc>
          <w:tcPr>
            <w:tcW w:w="6514"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C06F66">
              <w:rPr>
                <w:rFonts w:eastAsia="Times New Roman" w:cs="Tahoma"/>
                <w:sz w:val="24"/>
                <w:szCs w:val="24"/>
                <w:lang w:eastAsia="hr-HR"/>
              </w:rPr>
              <w:t>Doprinos za zdravstveno osiguranje</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C06F66">
              <w:rPr>
                <w:rFonts w:eastAsia="Times New Roman" w:cs="Tahoma"/>
                <w:sz w:val="24"/>
                <w:szCs w:val="24"/>
                <w:lang w:eastAsia="hr-HR"/>
              </w:rPr>
              <w:t>15.00%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sz w:val="24"/>
                <w:szCs w:val="24"/>
                <w:lang w:eastAsia="hr-HR"/>
              </w:rPr>
            </w:pPr>
            <w:r w:rsidRPr="00C06F66">
              <w:rPr>
                <w:rFonts w:eastAsia="Times New Roman" w:cs="Tahoma"/>
                <w:sz w:val="24"/>
                <w:szCs w:val="24"/>
                <w:lang w:eastAsia="hr-HR"/>
              </w:rPr>
              <w:t>4.065,00</w:t>
            </w:r>
          </w:p>
        </w:tc>
      </w:tr>
      <w:tr w:rsidR="00CF76CA" w:rsidRPr="00C06F66" w:rsidTr="00681F41">
        <w:tc>
          <w:tcPr>
            <w:tcW w:w="6514"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9325D2">
            <w:pPr>
              <w:spacing w:after="0" w:line="240" w:lineRule="auto"/>
              <w:rPr>
                <w:rFonts w:eastAsia="Times New Roman" w:cs="Tahoma"/>
                <w:sz w:val="24"/>
                <w:szCs w:val="24"/>
                <w:lang w:eastAsia="hr-HR"/>
              </w:rPr>
            </w:pPr>
            <w:r w:rsidRPr="00C06F66">
              <w:rPr>
                <w:rFonts w:eastAsia="Times New Roman" w:cs="Tahoma"/>
                <w:sz w:val="24"/>
                <w:szCs w:val="24"/>
                <w:lang w:eastAsia="hr-HR"/>
              </w:rPr>
              <w:t xml:space="preserve">Doprinos za </w:t>
            </w:r>
            <w:r w:rsidR="009325D2">
              <w:rPr>
                <w:rFonts w:eastAsia="Times New Roman" w:cs="Tahoma"/>
                <w:sz w:val="24"/>
                <w:szCs w:val="24"/>
                <w:lang w:eastAsia="hr-HR"/>
              </w:rPr>
              <w:t>z</w:t>
            </w:r>
            <w:r w:rsidRPr="00C06F66">
              <w:rPr>
                <w:rFonts w:eastAsia="Times New Roman" w:cs="Tahoma"/>
                <w:sz w:val="24"/>
                <w:szCs w:val="24"/>
                <w:lang w:eastAsia="hr-HR"/>
              </w:rPr>
              <w:t>apošljavanje</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C06F66">
              <w:rPr>
                <w:rFonts w:eastAsia="Times New Roman" w:cs="Tahoma"/>
                <w:sz w:val="24"/>
                <w:szCs w:val="24"/>
                <w:lang w:eastAsia="hr-HR"/>
              </w:rPr>
              <w:t>1,70%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sz w:val="24"/>
                <w:szCs w:val="24"/>
                <w:lang w:eastAsia="hr-HR"/>
              </w:rPr>
            </w:pPr>
            <w:r w:rsidRPr="00C06F66">
              <w:rPr>
                <w:rFonts w:eastAsia="Times New Roman" w:cs="Tahoma"/>
                <w:sz w:val="24"/>
                <w:szCs w:val="24"/>
                <w:lang w:eastAsia="hr-HR"/>
              </w:rPr>
              <w:t>460,70</w:t>
            </w:r>
          </w:p>
        </w:tc>
      </w:tr>
      <w:tr w:rsidR="00CF76CA" w:rsidRPr="00C06F66" w:rsidTr="00681F41">
        <w:tc>
          <w:tcPr>
            <w:tcW w:w="6514" w:type="dxa"/>
            <w:gridSpan w:val="2"/>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E70BD6">
            <w:pPr>
              <w:spacing w:after="0" w:line="240" w:lineRule="auto"/>
              <w:rPr>
                <w:rFonts w:eastAsia="Times New Roman" w:cs="Tahoma"/>
                <w:sz w:val="24"/>
                <w:szCs w:val="24"/>
                <w:lang w:eastAsia="hr-HR"/>
              </w:rPr>
            </w:pPr>
            <w:r w:rsidRPr="00C06F66">
              <w:rPr>
                <w:rFonts w:eastAsia="Times New Roman" w:cs="Tahoma"/>
                <w:sz w:val="24"/>
                <w:szCs w:val="24"/>
                <w:lang w:eastAsia="hr-HR"/>
              </w:rPr>
              <w:t xml:space="preserve">Doprinos u </w:t>
            </w:r>
            <w:r w:rsidR="00E70BD6">
              <w:rPr>
                <w:rFonts w:eastAsia="Times New Roman" w:cs="Tahoma"/>
                <w:sz w:val="24"/>
                <w:szCs w:val="24"/>
                <w:lang w:eastAsia="hr-HR"/>
              </w:rPr>
              <w:t xml:space="preserve">zaštitu </w:t>
            </w:r>
            <w:r w:rsidRPr="00C06F66">
              <w:rPr>
                <w:rFonts w:eastAsia="Times New Roman" w:cs="Tahoma"/>
                <w:sz w:val="24"/>
                <w:szCs w:val="24"/>
                <w:lang w:eastAsia="hr-HR"/>
              </w:rPr>
              <w:t>na radu</w:t>
            </w:r>
          </w:p>
        </w:tc>
        <w:tc>
          <w:tcPr>
            <w:tcW w:w="1143"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C06F66">
              <w:rPr>
                <w:rFonts w:eastAsia="Times New Roman" w:cs="Tahoma"/>
                <w:sz w:val="24"/>
                <w:szCs w:val="24"/>
                <w:lang w:eastAsia="hr-HR"/>
              </w:rPr>
              <w:t>0,50%</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sz w:val="24"/>
                <w:szCs w:val="24"/>
                <w:lang w:eastAsia="hr-HR"/>
              </w:rPr>
            </w:pPr>
            <w:r w:rsidRPr="00C06F66">
              <w:rPr>
                <w:rFonts w:eastAsia="Times New Roman" w:cs="Tahoma"/>
                <w:sz w:val="24"/>
                <w:szCs w:val="24"/>
                <w:lang w:eastAsia="hr-HR"/>
              </w:rPr>
              <w:t>135,50</w:t>
            </w:r>
          </w:p>
        </w:tc>
      </w:tr>
      <w:tr w:rsidR="00CF76CA" w:rsidRPr="00C06F66" w:rsidTr="00681F41">
        <w:tc>
          <w:tcPr>
            <w:tcW w:w="7657" w:type="dxa"/>
            <w:gridSpan w:val="3"/>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rPr>
                <w:rFonts w:eastAsia="Times New Roman" w:cs="Tahoma"/>
                <w:sz w:val="24"/>
                <w:szCs w:val="24"/>
                <w:lang w:eastAsia="hr-HR"/>
              </w:rPr>
            </w:pPr>
            <w:r w:rsidRPr="00243958">
              <w:rPr>
                <w:rFonts w:eastAsia="Times New Roman" w:cs="Tahoma"/>
                <w:b/>
                <w:bCs/>
                <w:sz w:val="24"/>
                <w:szCs w:val="24"/>
                <w:bdr w:val="none" w:sz="0" w:space="0" w:color="auto" w:frame="1"/>
                <w:lang w:eastAsia="hr-HR"/>
              </w:rPr>
              <w:t>Ukupno doprinosi na bruto</w:t>
            </w:r>
          </w:p>
        </w:tc>
        <w:tc>
          <w:tcPr>
            <w:tcW w:w="1415" w:type="dxa"/>
            <w:tcBorders>
              <w:top w:val="nil"/>
              <w:left w:val="nil"/>
              <w:bottom w:val="single" w:sz="6" w:space="0" w:color="FFFFFF"/>
              <w:right w:val="nil"/>
            </w:tcBorders>
            <w:shd w:val="clear" w:color="auto" w:fill="F5F5F5"/>
            <w:tcMar>
              <w:top w:w="90" w:type="dxa"/>
              <w:left w:w="150" w:type="dxa"/>
              <w:bottom w:w="90" w:type="dxa"/>
              <w:right w:w="150" w:type="dxa"/>
            </w:tcMar>
            <w:vAlign w:val="center"/>
            <w:hideMark/>
          </w:tcPr>
          <w:p w:rsidR="00CF76CA" w:rsidRPr="00C06F66" w:rsidRDefault="00CF76CA" w:rsidP="00CF76CA">
            <w:pPr>
              <w:spacing w:after="0" w:line="240" w:lineRule="auto"/>
              <w:jc w:val="right"/>
              <w:rPr>
                <w:rFonts w:eastAsia="Times New Roman" w:cs="Tahoma"/>
                <w:sz w:val="24"/>
                <w:szCs w:val="24"/>
                <w:lang w:eastAsia="hr-HR"/>
              </w:rPr>
            </w:pPr>
            <w:r w:rsidRPr="00243958">
              <w:rPr>
                <w:rFonts w:eastAsia="Times New Roman" w:cs="Tahoma"/>
                <w:b/>
                <w:bCs/>
                <w:sz w:val="24"/>
                <w:szCs w:val="24"/>
                <w:bdr w:val="none" w:sz="0" w:space="0" w:color="auto" w:frame="1"/>
                <w:lang w:eastAsia="hr-HR"/>
              </w:rPr>
              <w:t>4.661,20</w:t>
            </w:r>
          </w:p>
        </w:tc>
      </w:tr>
      <w:tr w:rsidR="00CF76CA" w:rsidRPr="00C06F66" w:rsidTr="00681F41">
        <w:tc>
          <w:tcPr>
            <w:tcW w:w="7657" w:type="dxa"/>
            <w:gridSpan w:val="3"/>
            <w:tcBorders>
              <w:top w:val="nil"/>
              <w:left w:val="nil"/>
              <w:bottom w:val="nil"/>
              <w:right w:val="nil"/>
            </w:tcBorders>
            <w:shd w:val="clear" w:color="auto" w:fill="4F81BD" w:themeFill="accent1"/>
            <w:noWrap/>
            <w:tcMar>
              <w:top w:w="90" w:type="dxa"/>
              <w:left w:w="150" w:type="dxa"/>
              <w:bottom w:w="90" w:type="dxa"/>
              <w:right w:w="150" w:type="dxa"/>
            </w:tcMar>
            <w:vAlign w:val="center"/>
            <w:hideMark/>
          </w:tcPr>
          <w:p w:rsidR="00CF76CA" w:rsidRPr="00C06F66" w:rsidRDefault="00CF76CA" w:rsidP="00681F41">
            <w:pPr>
              <w:spacing w:after="0" w:line="240" w:lineRule="atLeast"/>
              <w:rPr>
                <w:rFonts w:eastAsia="Times New Roman" w:cs="Tahoma"/>
                <w:b/>
                <w:bCs/>
                <w:color w:val="FFFFFF" w:themeColor="background1"/>
                <w:sz w:val="24"/>
                <w:szCs w:val="24"/>
                <w:lang w:eastAsia="hr-HR"/>
              </w:rPr>
            </w:pPr>
            <w:r w:rsidRPr="00243958">
              <w:rPr>
                <w:rFonts w:eastAsia="Times New Roman" w:cs="Tahoma"/>
                <w:b/>
                <w:bCs/>
                <w:color w:val="FFFFFF" w:themeColor="background1"/>
                <w:sz w:val="24"/>
                <w:szCs w:val="24"/>
                <w:lang w:eastAsia="hr-HR"/>
              </w:rPr>
              <w:t xml:space="preserve">UKUPNI TROŠAK POSLODAVCA (odnosno ukupni trošak plaće, </w:t>
            </w:r>
            <w:r w:rsidR="00681F41">
              <w:rPr>
                <w:rFonts w:eastAsia="Times New Roman" w:cs="Tahoma"/>
                <w:b/>
                <w:bCs/>
                <w:color w:val="FFFFFF" w:themeColor="background1"/>
                <w:sz w:val="24"/>
                <w:szCs w:val="24"/>
                <w:lang w:eastAsia="hr-HR"/>
              </w:rPr>
              <w:t xml:space="preserve">tj. </w:t>
            </w:r>
            <w:r w:rsidRPr="00C06F66">
              <w:rPr>
                <w:rFonts w:eastAsia="Times New Roman" w:cs="Tahoma"/>
                <w:b/>
                <w:bCs/>
                <w:color w:val="FFFFFF" w:themeColor="background1"/>
                <w:sz w:val="24"/>
                <w:szCs w:val="24"/>
                <w:lang w:eastAsia="hr-HR"/>
              </w:rPr>
              <w:t>Bruto 2</w:t>
            </w:r>
          </w:p>
        </w:tc>
        <w:tc>
          <w:tcPr>
            <w:tcW w:w="1415" w:type="dxa"/>
            <w:tcBorders>
              <w:top w:val="nil"/>
              <w:left w:val="nil"/>
              <w:bottom w:val="nil"/>
              <w:right w:val="nil"/>
            </w:tcBorders>
            <w:shd w:val="clear" w:color="auto" w:fill="4F81BD" w:themeFill="accent1"/>
            <w:noWrap/>
            <w:tcMar>
              <w:top w:w="90" w:type="dxa"/>
              <w:left w:w="150" w:type="dxa"/>
              <w:bottom w:w="90" w:type="dxa"/>
              <w:right w:w="150" w:type="dxa"/>
            </w:tcMar>
            <w:vAlign w:val="center"/>
            <w:hideMark/>
          </w:tcPr>
          <w:p w:rsidR="00CF76CA" w:rsidRPr="00C06F66" w:rsidRDefault="00CF76CA" w:rsidP="00CF76CA">
            <w:pPr>
              <w:spacing w:after="0" w:line="240" w:lineRule="atLeast"/>
              <w:jc w:val="right"/>
              <w:rPr>
                <w:rFonts w:eastAsia="Times New Roman" w:cs="Tahoma"/>
                <w:b/>
                <w:bCs/>
                <w:color w:val="FFFFFF" w:themeColor="background1"/>
                <w:sz w:val="24"/>
                <w:szCs w:val="24"/>
                <w:lang w:eastAsia="hr-HR"/>
              </w:rPr>
            </w:pPr>
            <w:r w:rsidRPr="00C06F66">
              <w:rPr>
                <w:rFonts w:eastAsia="Times New Roman" w:cs="Tahoma"/>
                <w:b/>
                <w:bCs/>
                <w:color w:val="FFFFFF" w:themeColor="background1"/>
                <w:sz w:val="24"/>
                <w:szCs w:val="24"/>
                <w:lang w:eastAsia="hr-HR"/>
              </w:rPr>
              <w:t>31.761,20</w:t>
            </w:r>
          </w:p>
        </w:tc>
      </w:tr>
    </w:tbl>
    <w:p w:rsidR="00E31870" w:rsidRDefault="00E31870" w:rsidP="00E31870">
      <w:pPr>
        <w:spacing w:before="240"/>
        <w:jc w:val="both"/>
        <w:rPr>
          <w:sz w:val="24"/>
          <w:szCs w:val="24"/>
        </w:rPr>
      </w:pPr>
      <w:r>
        <w:rPr>
          <w:sz w:val="24"/>
          <w:szCs w:val="24"/>
        </w:rPr>
        <w:lastRenderedPageBreak/>
        <w:t xml:space="preserve">Stope po kojima se obračunavaju doprinosi, porezi, prirez, iznos osobnog odbitka, visina razreda za obračun poreza po određenoj stopi itd. </w:t>
      </w:r>
      <w:r w:rsidRPr="00962481">
        <w:rPr>
          <w:color w:val="C00000"/>
          <w:sz w:val="24"/>
          <w:szCs w:val="24"/>
        </w:rPr>
        <w:t>podložne su zakonskim promjenama</w:t>
      </w:r>
      <w:r>
        <w:rPr>
          <w:sz w:val="24"/>
          <w:szCs w:val="24"/>
        </w:rPr>
        <w:t xml:space="preserve"> (tzv. porezni rizik) koje mogu i ne moraju ići u prilog poreznom obvezniku ili njegovom poslodavcu. Jedna od boljih trenutno važećih novosti je da p</w:t>
      </w:r>
      <w:r w:rsidRPr="00E70BD6">
        <w:rPr>
          <w:sz w:val="24"/>
          <w:szCs w:val="24"/>
        </w:rPr>
        <w:t xml:space="preserve">oslodavac koji od 1. siječnja 2015. zaposli </w:t>
      </w:r>
      <w:r w:rsidRPr="00E70BD6">
        <w:rPr>
          <w:color w:val="C00000"/>
          <w:sz w:val="24"/>
          <w:szCs w:val="24"/>
        </w:rPr>
        <w:t xml:space="preserve">mladog radnika </w:t>
      </w:r>
      <w:r w:rsidRPr="00E70BD6">
        <w:rPr>
          <w:sz w:val="24"/>
          <w:szCs w:val="24"/>
        </w:rPr>
        <w:t>za tog je radnika oslobođen plaćanja doprinosa na plaću do pet godina</w:t>
      </w:r>
      <w:r>
        <w:rPr>
          <w:sz w:val="24"/>
          <w:szCs w:val="24"/>
        </w:rPr>
        <w:t xml:space="preserve">, a slična je situacija kod </w:t>
      </w:r>
      <w:r w:rsidRPr="00E70BD6">
        <w:rPr>
          <w:sz w:val="24"/>
          <w:szCs w:val="24"/>
        </w:rPr>
        <w:t xml:space="preserve">radnika koji prvi put stječu status mirovinskog osiguranika, koji nemaju više od godinu dana staža u zanimanju za koje su se školovale </w:t>
      </w:r>
      <w:r>
        <w:rPr>
          <w:sz w:val="24"/>
          <w:szCs w:val="24"/>
        </w:rPr>
        <w:t>(</w:t>
      </w:r>
      <w:r w:rsidRPr="00E70BD6">
        <w:rPr>
          <w:sz w:val="24"/>
          <w:szCs w:val="24"/>
        </w:rPr>
        <w:t>i najmanje se trideset dana vode u evidenciji Zavoda za zapošljavanje</w:t>
      </w:r>
      <w:r>
        <w:rPr>
          <w:sz w:val="24"/>
          <w:szCs w:val="24"/>
        </w:rPr>
        <w:t>)</w:t>
      </w:r>
      <w:r w:rsidRPr="00E70BD6">
        <w:rPr>
          <w:sz w:val="24"/>
          <w:szCs w:val="24"/>
        </w:rPr>
        <w:t xml:space="preserve"> i za dugotrajno nezaposlene osobe. </w:t>
      </w:r>
    </w:p>
    <w:p w:rsidR="001A4954" w:rsidRDefault="009B2A47" w:rsidP="00B8521F">
      <w:pPr>
        <w:spacing w:before="240"/>
        <w:jc w:val="both"/>
        <w:rPr>
          <w:sz w:val="24"/>
          <w:szCs w:val="24"/>
        </w:rPr>
      </w:pPr>
      <w:r w:rsidRPr="00141DE7">
        <w:rPr>
          <w:color w:val="C00000"/>
          <w:sz w:val="24"/>
          <w:szCs w:val="24"/>
        </w:rPr>
        <w:t xml:space="preserve">Dohodak od samostalne djelatnosti </w:t>
      </w:r>
      <w:r>
        <w:rPr>
          <w:sz w:val="24"/>
          <w:szCs w:val="24"/>
        </w:rPr>
        <w:t>uključuje dohodak od obrta i s obrtom izjednačenih djelatnosti, dohodak od slobodnih zanimanja te poljoprivrede i šumarstva</w:t>
      </w:r>
      <w:r w:rsidR="00141DE7">
        <w:rPr>
          <w:sz w:val="24"/>
          <w:szCs w:val="24"/>
        </w:rPr>
        <w:t>, a odnosi se na porezne obveznike koji ulaze u grupu  fizičkih osoba (i nisu izabrali mogućnost oporezivanja porezom na dobit kao alternative)</w:t>
      </w:r>
      <w:r>
        <w:rPr>
          <w:sz w:val="24"/>
          <w:szCs w:val="24"/>
        </w:rPr>
        <w:t xml:space="preserve">. </w:t>
      </w:r>
      <w:r w:rsidR="001A4954">
        <w:rPr>
          <w:sz w:val="24"/>
          <w:szCs w:val="24"/>
        </w:rPr>
        <w:t>Oporezuje se po stopama kao dohodak od nesamostalnog rada. Dodatno i u ovom slučaju kao i kod svih drugih oblika dohotka neovisno o izvoru postoji i obveza prireza (kod kojeg je porezna osnovica ukupni obračunati porez na dohodak).</w:t>
      </w:r>
    </w:p>
    <w:p w:rsidR="0035641B" w:rsidRDefault="00141DE7" w:rsidP="00B8521F">
      <w:pPr>
        <w:spacing w:before="240"/>
        <w:jc w:val="both"/>
        <w:rPr>
          <w:sz w:val="24"/>
          <w:szCs w:val="24"/>
        </w:rPr>
      </w:pPr>
      <w:r w:rsidRPr="003B4FE2">
        <w:rPr>
          <w:color w:val="C00000"/>
          <w:sz w:val="24"/>
          <w:szCs w:val="24"/>
        </w:rPr>
        <w:t xml:space="preserve">Dohodak od imovine i imovinskih prava </w:t>
      </w:r>
      <w:r>
        <w:rPr>
          <w:sz w:val="24"/>
          <w:szCs w:val="24"/>
        </w:rPr>
        <w:t>kao oporezivu veličinu čini razlika između primitaka (od najamnina, zakupnina, iznajmljivanja stanova, otuđenja imovine, imovinskih prava itd.) i njima pripadajućih porezno priznatih izdataka (koji su nastali vezano uz ostvarivanje primitaka)</w:t>
      </w:r>
      <w:r w:rsidR="00B45B9F">
        <w:rPr>
          <w:sz w:val="24"/>
          <w:szCs w:val="24"/>
        </w:rPr>
        <w:t xml:space="preserve"> ukoliko se kao takvi priznaju</w:t>
      </w:r>
      <w:r>
        <w:rPr>
          <w:sz w:val="24"/>
          <w:szCs w:val="24"/>
        </w:rPr>
        <w:t xml:space="preserve">. Na primjer u slučaju iznajmljivanja stanova, soba i slično priznaju se paušalno izdaci u visini 30% primitaka </w:t>
      </w:r>
      <w:r w:rsidR="00DE0C61">
        <w:rPr>
          <w:sz w:val="24"/>
          <w:szCs w:val="24"/>
        </w:rPr>
        <w:t xml:space="preserve">(najamnine) </w:t>
      </w:r>
      <w:r>
        <w:rPr>
          <w:sz w:val="24"/>
          <w:szCs w:val="24"/>
        </w:rPr>
        <w:t xml:space="preserve">čime se smanjuje porezna osnovica. </w:t>
      </w:r>
      <w:r w:rsidR="00B45B9F">
        <w:rPr>
          <w:sz w:val="24"/>
          <w:szCs w:val="24"/>
        </w:rPr>
        <w:t xml:space="preserve">U tom slučaju, temeljem rješenja Porezne uprave, porez plaća sam porezni obveznik do posljednjeg dana u mjesecu za tekući mjesec. </w:t>
      </w:r>
      <w:r>
        <w:rPr>
          <w:sz w:val="24"/>
          <w:szCs w:val="24"/>
        </w:rPr>
        <w:t>Pri tome ne postoji pravo korištenja osobnog odbitka, a porezna osnovica se oporezuje stopom 12%</w:t>
      </w:r>
      <w:r w:rsidR="00B45B9F">
        <w:rPr>
          <w:sz w:val="24"/>
          <w:szCs w:val="24"/>
        </w:rPr>
        <w:t xml:space="preserve"> (plus prirez)</w:t>
      </w:r>
      <w:r>
        <w:rPr>
          <w:sz w:val="24"/>
          <w:szCs w:val="24"/>
        </w:rPr>
        <w:t>.</w:t>
      </w:r>
      <w:r w:rsidR="00B45B9F">
        <w:rPr>
          <w:sz w:val="24"/>
          <w:szCs w:val="24"/>
        </w:rPr>
        <w:t xml:space="preserve"> S druge strane</w:t>
      </w:r>
      <w:r w:rsidR="00DE0C61">
        <w:rPr>
          <w:sz w:val="24"/>
          <w:szCs w:val="24"/>
        </w:rPr>
        <w:t xml:space="preserve">, primici vezani uz dohodak </w:t>
      </w:r>
      <w:r w:rsidR="00B45B9F">
        <w:rPr>
          <w:sz w:val="24"/>
          <w:szCs w:val="24"/>
        </w:rPr>
        <w:t xml:space="preserve">od </w:t>
      </w:r>
      <w:r w:rsidR="00DE0C61">
        <w:rPr>
          <w:sz w:val="24"/>
          <w:szCs w:val="24"/>
        </w:rPr>
        <w:t>imovinski</w:t>
      </w:r>
      <w:r w:rsidR="001A4954">
        <w:rPr>
          <w:sz w:val="24"/>
          <w:szCs w:val="24"/>
        </w:rPr>
        <w:t xml:space="preserve">h prava oporezuju se stopom 25%, </w:t>
      </w:r>
      <w:r w:rsidR="00DE0C61">
        <w:rPr>
          <w:sz w:val="24"/>
          <w:szCs w:val="24"/>
        </w:rPr>
        <w:t>tako</w:t>
      </w:r>
      <w:r w:rsidR="00B45B9F">
        <w:rPr>
          <w:sz w:val="24"/>
          <w:szCs w:val="24"/>
        </w:rPr>
        <w:t>đer bez prava na osobni odbitak, a porez obračunava, obustavlja i plaća isplatitelj primitka.</w:t>
      </w:r>
    </w:p>
    <w:p w:rsidR="006D7DC4" w:rsidRDefault="006D7DC4" w:rsidP="006D7DC4">
      <w:pPr>
        <w:spacing w:before="240"/>
        <w:jc w:val="both"/>
        <w:rPr>
          <w:sz w:val="24"/>
          <w:szCs w:val="24"/>
        </w:rPr>
      </w:pPr>
      <w:r>
        <w:rPr>
          <w:sz w:val="24"/>
          <w:szCs w:val="24"/>
        </w:rPr>
        <w:t xml:space="preserve">Dodatno, oporezivanje dohotka od imovine i imovinskih prava uključuje i </w:t>
      </w:r>
      <w:r w:rsidRPr="00560C57">
        <w:rPr>
          <w:color w:val="C00000"/>
          <w:sz w:val="24"/>
          <w:szCs w:val="24"/>
        </w:rPr>
        <w:t xml:space="preserve">dohodak koji porezni obveznik ostvari od otuđenja nekretnine ili imovinskih prava </w:t>
      </w:r>
      <w:r>
        <w:rPr>
          <w:sz w:val="24"/>
          <w:szCs w:val="24"/>
        </w:rPr>
        <w:t xml:space="preserve">(prodaje, zamjene, prijenosa) kao razlike tekuće tržišne vrijednosti imovine i njene nabavne vrijednosti (uvećane za rast proizvođačkih cijena industrijskih proizvoda), a u slučaju ako nekretnina nije služila za stanovanje poreznog obveznika i uzdržavanih članova njegove obitelji, ako je otuđena u razdoblju kraćem od tri godine od trenutka njegove nabavke, ako se otuđenje nije izvršeno između bračnih drugova i srodnika u prvoj liniji, ako se radi o otuđenju tri ili više nekretnine/ imovinskih prava iste vrste u razdoblju kraćem od pet godina, kao i ako je nekretnina/ nekretnine stečena darovanjem i otuđena u razdoblju kraćem od tri (odnosno pet) godina od </w:t>
      </w:r>
      <w:r>
        <w:rPr>
          <w:sz w:val="24"/>
          <w:szCs w:val="24"/>
        </w:rPr>
        <w:lastRenderedPageBreak/>
        <w:t>njenog stjecanja. Pri tome se kao porezno priznati izdatak mogu priznati troškovi vezani uz otuđenje nekretnine ili imovinskog prava.</w:t>
      </w:r>
      <w:r w:rsidR="006D21FD" w:rsidRPr="006D21FD">
        <w:rPr>
          <w:sz w:val="24"/>
          <w:szCs w:val="24"/>
          <w:vertAlign w:val="superscript"/>
        </w:rPr>
        <w:t xml:space="preserve"> </w:t>
      </w:r>
      <w:r w:rsidR="006D21FD" w:rsidRPr="00086C6D">
        <w:rPr>
          <w:sz w:val="24"/>
          <w:szCs w:val="24"/>
          <w:vertAlign w:val="superscript"/>
        </w:rPr>
        <w:footnoteReference w:id="53"/>
      </w:r>
    </w:p>
    <w:p w:rsidR="00553995" w:rsidRDefault="003B4FE2" w:rsidP="00B8521F">
      <w:pPr>
        <w:spacing w:before="240"/>
        <w:jc w:val="both"/>
        <w:rPr>
          <w:sz w:val="24"/>
          <w:szCs w:val="24"/>
        </w:rPr>
      </w:pPr>
      <w:r w:rsidRPr="00512412">
        <w:rPr>
          <w:color w:val="C00000"/>
          <w:sz w:val="24"/>
          <w:szCs w:val="24"/>
        </w:rPr>
        <w:t xml:space="preserve">Dohodak od kapitala </w:t>
      </w:r>
      <w:r>
        <w:rPr>
          <w:sz w:val="24"/>
          <w:szCs w:val="24"/>
        </w:rPr>
        <w:t xml:space="preserve">uključuje </w:t>
      </w:r>
      <w:r w:rsidR="009B4214">
        <w:rPr>
          <w:sz w:val="24"/>
          <w:szCs w:val="24"/>
        </w:rPr>
        <w:t xml:space="preserve">npr. primitke po osnovi </w:t>
      </w:r>
      <w:r w:rsidR="009B4214" w:rsidRPr="00512412">
        <w:rPr>
          <w:color w:val="C00000"/>
          <w:sz w:val="24"/>
          <w:szCs w:val="24"/>
        </w:rPr>
        <w:t xml:space="preserve">kamata, </w:t>
      </w:r>
      <w:r w:rsidR="00373A46">
        <w:rPr>
          <w:color w:val="C00000"/>
          <w:sz w:val="24"/>
          <w:szCs w:val="24"/>
        </w:rPr>
        <w:t xml:space="preserve">isplaćenih </w:t>
      </w:r>
      <w:r w:rsidR="009B4214" w:rsidRPr="00512412">
        <w:rPr>
          <w:color w:val="C00000"/>
          <w:sz w:val="24"/>
          <w:szCs w:val="24"/>
        </w:rPr>
        <w:t>dividend</w:t>
      </w:r>
      <w:r w:rsidR="00512412">
        <w:rPr>
          <w:color w:val="C00000"/>
          <w:sz w:val="24"/>
          <w:szCs w:val="24"/>
        </w:rPr>
        <w:t>i</w:t>
      </w:r>
      <w:r w:rsidR="006D7DC4">
        <w:rPr>
          <w:color w:val="C00000"/>
          <w:sz w:val="24"/>
          <w:szCs w:val="24"/>
        </w:rPr>
        <w:t>,</w:t>
      </w:r>
      <w:r w:rsidR="009B4214">
        <w:rPr>
          <w:sz w:val="24"/>
          <w:szCs w:val="24"/>
        </w:rPr>
        <w:t xml:space="preserve"> </w:t>
      </w:r>
      <w:r w:rsidR="006D7DC4" w:rsidRPr="00373A46">
        <w:rPr>
          <w:color w:val="C00000"/>
          <w:sz w:val="24"/>
          <w:szCs w:val="24"/>
        </w:rPr>
        <w:t>opcijskih prava kupnje dionica,</w:t>
      </w:r>
      <w:r w:rsidR="006D7DC4">
        <w:rPr>
          <w:sz w:val="24"/>
          <w:szCs w:val="24"/>
        </w:rPr>
        <w:t xml:space="preserve"> </w:t>
      </w:r>
      <w:r w:rsidR="009B4214" w:rsidRPr="00C84315">
        <w:rPr>
          <w:color w:val="C00000"/>
          <w:sz w:val="24"/>
          <w:szCs w:val="24"/>
        </w:rPr>
        <w:t>kapitalnih dobitaka</w:t>
      </w:r>
      <w:r w:rsidR="006D7DC4" w:rsidRPr="00C84315">
        <w:rPr>
          <w:color w:val="C00000"/>
          <w:sz w:val="24"/>
          <w:szCs w:val="24"/>
        </w:rPr>
        <w:t xml:space="preserve"> </w:t>
      </w:r>
      <w:r w:rsidR="006D7DC4">
        <w:rPr>
          <w:sz w:val="24"/>
          <w:szCs w:val="24"/>
        </w:rPr>
        <w:t>i slično</w:t>
      </w:r>
      <w:r w:rsidR="009B4214">
        <w:rPr>
          <w:sz w:val="24"/>
          <w:szCs w:val="24"/>
        </w:rPr>
        <w:t xml:space="preserve">. </w:t>
      </w:r>
      <w:r w:rsidR="0016181A">
        <w:rPr>
          <w:sz w:val="24"/>
          <w:szCs w:val="24"/>
        </w:rPr>
        <w:t>U skladu s primjenom od početka 2015. godine, o</w:t>
      </w:r>
      <w:r w:rsidR="009B4214">
        <w:rPr>
          <w:sz w:val="24"/>
          <w:szCs w:val="24"/>
        </w:rPr>
        <w:t xml:space="preserve">porezive kamate uključuju kamate na štedne, oročene ili druge oblike depozita u domaćoj ili stranoj valuti, kao i bilo koji drugi oblik prinosa, nagrade ili premije koju bi banka isplatila klijentu na štednju te dodatno mogu uključiti i kamate na depozite po tekućim ili žiro računima ako je primijenjena kamatna stopa veća od 0,5% godišnje (što u pravilu nije slučaj jer se te kamatne stope uglavnom kreću na razini oko 0,15% godišnje). U oporezive primitke ulaze i </w:t>
      </w:r>
      <w:r w:rsidR="006D7DC4">
        <w:rPr>
          <w:sz w:val="24"/>
          <w:szCs w:val="24"/>
        </w:rPr>
        <w:t xml:space="preserve">primici od </w:t>
      </w:r>
      <w:r w:rsidR="009B4214">
        <w:rPr>
          <w:sz w:val="24"/>
          <w:szCs w:val="24"/>
        </w:rPr>
        <w:t>kamat</w:t>
      </w:r>
      <w:r w:rsidR="006D7DC4">
        <w:rPr>
          <w:sz w:val="24"/>
          <w:szCs w:val="24"/>
        </w:rPr>
        <w:t>a</w:t>
      </w:r>
      <w:r w:rsidR="009B4214">
        <w:rPr>
          <w:sz w:val="24"/>
          <w:szCs w:val="24"/>
        </w:rPr>
        <w:t xml:space="preserve"> po danim zajmovima</w:t>
      </w:r>
      <w:r w:rsidR="006D7DC4">
        <w:rPr>
          <w:sz w:val="24"/>
          <w:szCs w:val="24"/>
        </w:rPr>
        <w:t>, primici na osnovu podjele prihoda investicijskog fonda u obliku kamata ako se ne oporezuju kao udjeli u dobiti na temelju podjele dobiti i prihoda fonda te primici od kamata po vrijednosnim papirima</w:t>
      </w:r>
      <w:r w:rsidR="009B4214">
        <w:rPr>
          <w:sz w:val="24"/>
          <w:szCs w:val="24"/>
        </w:rPr>
        <w:t xml:space="preserve">, ali </w:t>
      </w:r>
      <w:r w:rsidR="001A4954">
        <w:rPr>
          <w:sz w:val="24"/>
          <w:szCs w:val="24"/>
        </w:rPr>
        <w:t xml:space="preserve">to ne vrijedi </w:t>
      </w:r>
      <w:r w:rsidR="009B4214">
        <w:rPr>
          <w:sz w:val="24"/>
          <w:szCs w:val="24"/>
        </w:rPr>
        <w:t>u slučaju kamata ostvarenih ulaganjem u obveznice n</w:t>
      </w:r>
      <w:r w:rsidR="001A4954">
        <w:rPr>
          <w:sz w:val="24"/>
          <w:szCs w:val="24"/>
        </w:rPr>
        <w:t xml:space="preserve">eovisno o njihovom izdavatelju – odnosno u tom slučaju kamate </w:t>
      </w:r>
      <w:r w:rsidR="009B4214">
        <w:rPr>
          <w:sz w:val="24"/>
          <w:szCs w:val="24"/>
        </w:rPr>
        <w:t xml:space="preserve">nisu oporezive. </w:t>
      </w:r>
    </w:p>
    <w:p w:rsidR="00094EDF" w:rsidRDefault="009B4214" w:rsidP="00B8521F">
      <w:pPr>
        <w:spacing w:before="240"/>
        <w:jc w:val="both"/>
        <w:rPr>
          <w:sz w:val="24"/>
          <w:szCs w:val="24"/>
        </w:rPr>
      </w:pPr>
      <w:r>
        <w:rPr>
          <w:sz w:val="24"/>
          <w:szCs w:val="24"/>
        </w:rPr>
        <w:t xml:space="preserve">U kategoriju neoporezivih primitaka od kapitala ulaze primici po osnovi prinosa na mirovinsko dobrovoljno osiguranje i životno osiguranje s obilježjima štednje, a na sličan način ne oporezuju se ni zatezne kamate, naplaćene kamate po sudskim rješenjima i slično. </w:t>
      </w:r>
      <w:r w:rsidR="006D7DC4">
        <w:rPr>
          <w:sz w:val="24"/>
          <w:szCs w:val="24"/>
        </w:rPr>
        <w:t xml:space="preserve">Sve navedeno ukazuje da </w:t>
      </w:r>
      <w:r w:rsidR="006D7DC4" w:rsidRPr="0016181A">
        <w:rPr>
          <w:color w:val="C00000"/>
          <w:sz w:val="24"/>
          <w:szCs w:val="24"/>
        </w:rPr>
        <w:t>pri planiranju ulaganja u pojedine štedno-ulagačke proizvode i planiranju porezne pozicije treba voditi računa o razlikama u poreznom tretmanu za poje</w:t>
      </w:r>
      <w:r w:rsidR="00365A9E" w:rsidRPr="0016181A">
        <w:rPr>
          <w:color w:val="C00000"/>
          <w:sz w:val="24"/>
          <w:szCs w:val="24"/>
        </w:rPr>
        <w:t>dine oblike dohotka od kapitala</w:t>
      </w:r>
      <w:r w:rsidR="00365A9E">
        <w:rPr>
          <w:sz w:val="24"/>
          <w:szCs w:val="24"/>
        </w:rPr>
        <w:t>, kao i</w:t>
      </w:r>
      <w:r w:rsidR="00553995">
        <w:rPr>
          <w:sz w:val="24"/>
          <w:szCs w:val="24"/>
        </w:rPr>
        <w:t xml:space="preserve"> činjenici da </w:t>
      </w:r>
      <w:r w:rsidR="00365A9E">
        <w:rPr>
          <w:sz w:val="24"/>
          <w:szCs w:val="24"/>
        </w:rPr>
        <w:t>u slučaju oporezivanja dohotka od kapitala n</w:t>
      </w:r>
      <w:r w:rsidR="00553995">
        <w:rPr>
          <w:sz w:val="24"/>
          <w:szCs w:val="24"/>
        </w:rPr>
        <w:t xml:space="preserve">ije predviđena mogućnost </w:t>
      </w:r>
      <w:r w:rsidR="00365A9E">
        <w:rPr>
          <w:sz w:val="24"/>
          <w:szCs w:val="24"/>
        </w:rPr>
        <w:t>porezno priznati</w:t>
      </w:r>
      <w:r w:rsidR="00553995">
        <w:rPr>
          <w:sz w:val="24"/>
          <w:szCs w:val="24"/>
        </w:rPr>
        <w:t>h</w:t>
      </w:r>
      <w:r w:rsidR="00365A9E">
        <w:rPr>
          <w:sz w:val="24"/>
          <w:szCs w:val="24"/>
        </w:rPr>
        <w:t xml:space="preserve"> izda</w:t>
      </w:r>
      <w:r w:rsidR="00553995">
        <w:rPr>
          <w:sz w:val="24"/>
          <w:szCs w:val="24"/>
        </w:rPr>
        <w:t>taka poreznog obveznika</w:t>
      </w:r>
      <w:r w:rsidR="001B169F">
        <w:rPr>
          <w:sz w:val="24"/>
          <w:szCs w:val="24"/>
        </w:rPr>
        <w:t>.</w:t>
      </w:r>
    </w:p>
    <w:p w:rsidR="009B4214" w:rsidRDefault="009B4214" w:rsidP="00B8521F">
      <w:pPr>
        <w:spacing w:before="240"/>
        <w:jc w:val="both"/>
        <w:rPr>
          <w:sz w:val="24"/>
          <w:szCs w:val="24"/>
        </w:rPr>
      </w:pPr>
      <w:r>
        <w:rPr>
          <w:sz w:val="24"/>
          <w:szCs w:val="24"/>
        </w:rPr>
        <w:t xml:space="preserve">Predujam poreza na dohodak od kamata obračunavaju, obustavljaju i uplaćuju isplatitelji </w:t>
      </w:r>
      <w:r w:rsidR="001A4954">
        <w:rPr>
          <w:sz w:val="24"/>
          <w:szCs w:val="24"/>
        </w:rPr>
        <w:t>(npr. banke)</w:t>
      </w:r>
      <w:r w:rsidR="00C84315">
        <w:rPr>
          <w:sz w:val="24"/>
          <w:szCs w:val="24"/>
        </w:rPr>
        <w:t xml:space="preserve"> i to</w:t>
      </w:r>
      <w:r w:rsidR="001A4954">
        <w:rPr>
          <w:sz w:val="24"/>
          <w:szCs w:val="24"/>
        </w:rPr>
        <w:t xml:space="preserve"> </w:t>
      </w:r>
      <w:r>
        <w:rPr>
          <w:sz w:val="24"/>
          <w:szCs w:val="24"/>
        </w:rPr>
        <w:t xml:space="preserve">istodobno </w:t>
      </w:r>
      <w:r w:rsidR="00C84315">
        <w:rPr>
          <w:sz w:val="24"/>
          <w:szCs w:val="24"/>
        </w:rPr>
        <w:t xml:space="preserve">kada se vrši isplata ili pripis </w:t>
      </w:r>
      <w:r>
        <w:rPr>
          <w:sz w:val="24"/>
          <w:szCs w:val="24"/>
        </w:rPr>
        <w:t>primitka</w:t>
      </w:r>
      <w:r w:rsidR="00C84315">
        <w:rPr>
          <w:sz w:val="24"/>
          <w:szCs w:val="24"/>
        </w:rPr>
        <w:t xml:space="preserve"> (kamata). Kamate se oporezuju</w:t>
      </w:r>
      <w:r>
        <w:rPr>
          <w:sz w:val="24"/>
          <w:szCs w:val="24"/>
        </w:rPr>
        <w:t xml:space="preserve"> po stopi 12%</w:t>
      </w:r>
      <w:r w:rsidR="00512412">
        <w:rPr>
          <w:sz w:val="24"/>
          <w:szCs w:val="24"/>
        </w:rPr>
        <w:t xml:space="preserve"> </w:t>
      </w:r>
      <w:r w:rsidR="001A4954">
        <w:rPr>
          <w:sz w:val="24"/>
          <w:szCs w:val="24"/>
        </w:rPr>
        <w:t xml:space="preserve">i to </w:t>
      </w:r>
      <w:r w:rsidR="00512412">
        <w:rPr>
          <w:sz w:val="24"/>
          <w:szCs w:val="24"/>
        </w:rPr>
        <w:t xml:space="preserve">bez priznavanja osobnog odbitka. Isto vrijedi i u slučaju primitaka od </w:t>
      </w:r>
      <w:r w:rsidR="00C84315">
        <w:rPr>
          <w:sz w:val="24"/>
          <w:szCs w:val="24"/>
        </w:rPr>
        <w:t xml:space="preserve">isplaćenih </w:t>
      </w:r>
      <w:r w:rsidR="00512412">
        <w:rPr>
          <w:sz w:val="24"/>
          <w:szCs w:val="24"/>
        </w:rPr>
        <w:t xml:space="preserve">dividendi. </w:t>
      </w:r>
      <w:r w:rsidR="004E213F">
        <w:rPr>
          <w:sz w:val="24"/>
          <w:szCs w:val="24"/>
        </w:rPr>
        <w:t xml:space="preserve">Uz </w:t>
      </w:r>
      <w:r w:rsidR="001A4954">
        <w:rPr>
          <w:sz w:val="24"/>
          <w:szCs w:val="24"/>
        </w:rPr>
        <w:t xml:space="preserve">jednak porezni </w:t>
      </w:r>
      <w:r w:rsidR="004E213F">
        <w:rPr>
          <w:sz w:val="24"/>
          <w:szCs w:val="24"/>
        </w:rPr>
        <w:t>tretman, o</w:t>
      </w:r>
      <w:r w:rsidR="00512412">
        <w:rPr>
          <w:sz w:val="24"/>
          <w:szCs w:val="24"/>
        </w:rPr>
        <w:t xml:space="preserve">d siječnja 2016. predviđeno je i oporezivanje </w:t>
      </w:r>
      <w:r w:rsidR="00512412" w:rsidRPr="004E213F">
        <w:rPr>
          <w:color w:val="C00000"/>
          <w:sz w:val="24"/>
          <w:szCs w:val="24"/>
        </w:rPr>
        <w:t xml:space="preserve">kapitalnih dobitaka </w:t>
      </w:r>
      <w:r w:rsidR="00512412">
        <w:rPr>
          <w:sz w:val="24"/>
          <w:szCs w:val="24"/>
        </w:rPr>
        <w:t>kao razlike između prodajne i nabavne cijene dionice ili bilo kojeg drugog prenosivog vrijednosnog papira, strukturiranog proizvoda, instrumenta tržišta novca, izvedenice, jedinica u subjektima za zajednička ulaganja (investicijskim fondovima) te vlasnički</w:t>
      </w:r>
      <w:r w:rsidR="00D47BA5">
        <w:rPr>
          <w:sz w:val="24"/>
          <w:szCs w:val="24"/>
        </w:rPr>
        <w:t>h</w:t>
      </w:r>
      <w:r w:rsidR="00512412">
        <w:rPr>
          <w:sz w:val="24"/>
          <w:szCs w:val="24"/>
        </w:rPr>
        <w:t xml:space="preserve"> udjela u kapitalu trgovačkog društva</w:t>
      </w:r>
      <w:r w:rsidR="00553995">
        <w:rPr>
          <w:sz w:val="24"/>
          <w:szCs w:val="24"/>
        </w:rPr>
        <w:t>, a koji su predmet otuđenja (prodaje, zamjene, darovanja i ostalih oblika prijenosa – osim u slučajevima kada je predviđen izuzetak, npr. pri prijenosu udjela iz jednog dobrovoljnog mirovinskog fonda u drugi, u slučaju podjele dionica istog izdavatelja, zamjene udjela između investicijskih pod-fondova istog krovnog investicijskog fonda ili kojima upravlja isto društvo za upravljanje investicijskim fondom i slično)</w:t>
      </w:r>
      <w:r w:rsidR="00512412">
        <w:rPr>
          <w:sz w:val="24"/>
          <w:szCs w:val="24"/>
        </w:rPr>
        <w:t>.</w:t>
      </w:r>
      <w:r w:rsidR="004E213F">
        <w:rPr>
          <w:sz w:val="24"/>
          <w:szCs w:val="24"/>
        </w:rPr>
        <w:t xml:space="preserve"> </w:t>
      </w:r>
      <w:r w:rsidR="00553995">
        <w:rPr>
          <w:sz w:val="24"/>
          <w:szCs w:val="24"/>
        </w:rPr>
        <w:t>Sve navedeno, p</w:t>
      </w:r>
      <w:r w:rsidR="004E213F">
        <w:rPr>
          <w:sz w:val="24"/>
          <w:szCs w:val="24"/>
        </w:rPr>
        <w:t xml:space="preserve">red poreznog obveznika postavlja dodatne zahtjeve informiranja o obvezama koje iz navedenog proizlaze, kao i vođenja evidencija za potrebe istog odnosno obračuna, obustavljanja i plaćanja poreza po odbitku (ukoliko to ne vodi ili </w:t>
      </w:r>
      <w:r w:rsidR="001A4954">
        <w:rPr>
          <w:sz w:val="24"/>
          <w:szCs w:val="24"/>
        </w:rPr>
        <w:t>n</w:t>
      </w:r>
      <w:r w:rsidR="004E213F">
        <w:rPr>
          <w:sz w:val="24"/>
          <w:szCs w:val="24"/>
        </w:rPr>
        <w:t>e učini isplatitelj primitka).</w:t>
      </w:r>
    </w:p>
    <w:p w:rsidR="00365A9E" w:rsidRDefault="006D21FD" w:rsidP="00B8521F">
      <w:pPr>
        <w:spacing w:before="240"/>
        <w:jc w:val="both"/>
        <w:rPr>
          <w:sz w:val="24"/>
          <w:szCs w:val="24"/>
        </w:rPr>
      </w:pPr>
      <w:r w:rsidRPr="006D21FD">
        <w:rPr>
          <w:i/>
          <w:sz w:val="24"/>
          <w:szCs w:val="24"/>
        </w:rPr>
        <w:lastRenderedPageBreak/>
        <w:t>„</w:t>
      </w:r>
      <w:r w:rsidR="00365A9E" w:rsidRPr="006D21FD">
        <w:rPr>
          <w:i/>
          <w:sz w:val="24"/>
          <w:szCs w:val="24"/>
        </w:rPr>
        <w:t>Dohodak od kapitala po osnovi primitaka ostvarenih od jedinica u subjektima za zajednička ulaganja utvrđuje se u visini ostvarenih, odnosno realiziranih prinosa umanjenih za troškove upravljanja investicijama, odnosno troškove upravljanja imovinom investicijskog fonda (netoprinos)</w:t>
      </w:r>
      <w:r w:rsidRPr="006D21FD">
        <w:rPr>
          <w:i/>
          <w:sz w:val="24"/>
          <w:szCs w:val="24"/>
        </w:rPr>
        <w:t>. … Dohodak od kapitala po osnovi kapitalnih dobitaka ostvarenih od ulaganja financijske imovine u portfelje, sukladno propisu koji uređuje tržište kapitala, utvrđuje se u trenutku realizacije prinosa iz portfelja umanjenog za troškove upravljanja portfeljem (neto prinos).“</w:t>
      </w:r>
      <w:r w:rsidRPr="006D21FD">
        <w:rPr>
          <w:sz w:val="24"/>
          <w:szCs w:val="24"/>
          <w:vertAlign w:val="superscript"/>
        </w:rPr>
        <w:t xml:space="preserve"> </w:t>
      </w:r>
      <w:r w:rsidRPr="00086C6D">
        <w:rPr>
          <w:sz w:val="24"/>
          <w:szCs w:val="24"/>
          <w:vertAlign w:val="superscript"/>
        </w:rPr>
        <w:footnoteReference w:id="54"/>
      </w:r>
    </w:p>
    <w:p w:rsidR="00365A9E" w:rsidRDefault="00365A9E" w:rsidP="00B8521F">
      <w:pPr>
        <w:spacing w:before="240"/>
        <w:jc w:val="both"/>
        <w:rPr>
          <w:sz w:val="24"/>
          <w:szCs w:val="24"/>
        </w:rPr>
      </w:pPr>
      <w:r>
        <w:rPr>
          <w:sz w:val="24"/>
          <w:szCs w:val="24"/>
        </w:rPr>
        <w:t>S obzirom da nasuprot kapitalnih dobitaka mogu postojati kapitalni gubici</w:t>
      </w:r>
      <w:r w:rsidR="00C84315">
        <w:rPr>
          <w:sz w:val="24"/>
          <w:szCs w:val="24"/>
        </w:rPr>
        <w:t>,</w:t>
      </w:r>
      <w:r>
        <w:rPr>
          <w:sz w:val="24"/>
          <w:szCs w:val="24"/>
        </w:rPr>
        <w:t xml:space="preserve"> </w:t>
      </w:r>
      <w:r w:rsidR="006D21FD">
        <w:rPr>
          <w:sz w:val="24"/>
          <w:szCs w:val="24"/>
        </w:rPr>
        <w:t xml:space="preserve">Zakonom o porezu na dohodak predviđena je mogućnost </w:t>
      </w:r>
      <w:r w:rsidR="006D21FD" w:rsidRPr="00224569">
        <w:rPr>
          <w:color w:val="C00000"/>
          <w:sz w:val="24"/>
          <w:szCs w:val="24"/>
        </w:rPr>
        <w:t>odbitka kapitalnih gubitaka</w:t>
      </w:r>
      <w:r w:rsidR="006D21FD">
        <w:rPr>
          <w:sz w:val="24"/>
          <w:szCs w:val="24"/>
        </w:rPr>
        <w:t xml:space="preserve">. Oni se mogu odbiti </w:t>
      </w:r>
      <w:r w:rsidR="00C84315">
        <w:rPr>
          <w:sz w:val="24"/>
          <w:szCs w:val="24"/>
        </w:rPr>
        <w:t xml:space="preserve">(umanjiti poreznu osnovicu) </w:t>
      </w:r>
      <w:r w:rsidR="006D21FD">
        <w:rPr>
          <w:sz w:val="24"/>
          <w:szCs w:val="24"/>
        </w:rPr>
        <w:t>samo od dohotka od kapitalnih dobitaka koji je ostvaren u istoj kalendarskoj godini i najviše do visine porezne osnovice.</w:t>
      </w:r>
    </w:p>
    <w:p w:rsidR="00C84315" w:rsidRDefault="00B442E9" w:rsidP="00B8521F">
      <w:pPr>
        <w:spacing w:before="240"/>
        <w:jc w:val="both"/>
        <w:rPr>
          <w:sz w:val="24"/>
          <w:szCs w:val="24"/>
        </w:rPr>
      </w:pPr>
      <w:r>
        <w:rPr>
          <w:sz w:val="24"/>
          <w:szCs w:val="24"/>
        </w:rPr>
        <w:t xml:space="preserve">Kao i u slučaju dohotka od otuđenja nekretnina i imovinskih prava, </w:t>
      </w:r>
      <w:r w:rsidRPr="0016181A">
        <w:rPr>
          <w:color w:val="C00000"/>
          <w:sz w:val="24"/>
          <w:szCs w:val="24"/>
        </w:rPr>
        <w:t>dohodak od kapitala se ne oporezuje</w:t>
      </w:r>
      <w:r>
        <w:rPr>
          <w:sz w:val="24"/>
          <w:szCs w:val="24"/>
        </w:rPr>
        <w:t xml:space="preserve"> ukoliko se radi o otuđenju izvršenog između bračnih drugova i srodnika u prvoj liniji i drugih članova uže obitelji te između razvedenih bračnih drugova ako je otuđenje u ne</w:t>
      </w:r>
      <w:r w:rsidR="00553995">
        <w:rPr>
          <w:sz w:val="24"/>
          <w:szCs w:val="24"/>
        </w:rPr>
        <w:t>posrednoj vezi s razvodom braka, nasljeđivanjem financijske imovine</w:t>
      </w:r>
      <w:r w:rsidR="00C84315">
        <w:rPr>
          <w:sz w:val="24"/>
          <w:szCs w:val="24"/>
        </w:rPr>
        <w:t>. Dodatno dohodak od kapitalnih dobitaka se ne oporezuje</w:t>
      </w:r>
      <w:r w:rsidR="00553995">
        <w:rPr>
          <w:sz w:val="24"/>
          <w:szCs w:val="24"/>
        </w:rPr>
        <w:t xml:space="preserve"> </w:t>
      </w:r>
      <w:r w:rsidR="00553995" w:rsidRPr="0016181A">
        <w:rPr>
          <w:color w:val="C00000"/>
          <w:sz w:val="24"/>
          <w:szCs w:val="24"/>
        </w:rPr>
        <w:t xml:space="preserve">u slučaju ako je financijska imovina </w:t>
      </w:r>
      <w:r w:rsidR="00C84315" w:rsidRPr="00C84315">
        <w:rPr>
          <w:color w:val="000000" w:themeColor="text1"/>
          <w:sz w:val="24"/>
          <w:szCs w:val="24"/>
        </w:rPr>
        <w:t xml:space="preserve">(dionica, udjel u fondu za zajednička ulaganja itd.) </w:t>
      </w:r>
      <w:r w:rsidR="00553995" w:rsidRPr="0016181A">
        <w:rPr>
          <w:color w:val="C00000"/>
          <w:sz w:val="24"/>
          <w:szCs w:val="24"/>
        </w:rPr>
        <w:t>otuđena nakon tri godine od dana nabave odnosno stjecanja</w:t>
      </w:r>
      <w:r w:rsidR="00553995">
        <w:rPr>
          <w:sz w:val="24"/>
          <w:szCs w:val="24"/>
        </w:rPr>
        <w:t xml:space="preserve">. </w:t>
      </w:r>
    </w:p>
    <w:p w:rsidR="005E4888" w:rsidRDefault="004E213F" w:rsidP="00B8521F">
      <w:pPr>
        <w:spacing w:before="240"/>
        <w:jc w:val="both"/>
        <w:rPr>
          <w:sz w:val="24"/>
          <w:szCs w:val="24"/>
        </w:rPr>
      </w:pPr>
      <w:r>
        <w:rPr>
          <w:sz w:val="24"/>
          <w:szCs w:val="24"/>
        </w:rPr>
        <w:t xml:space="preserve">Kao </w:t>
      </w:r>
      <w:r w:rsidRPr="004E213F">
        <w:rPr>
          <w:color w:val="C00000"/>
          <w:sz w:val="24"/>
          <w:szCs w:val="24"/>
        </w:rPr>
        <w:t xml:space="preserve">dohodak od osiguranja </w:t>
      </w:r>
      <w:r>
        <w:rPr>
          <w:sz w:val="24"/>
          <w:szCs w:val="24"/>
        </w:rPr>
        <w:t>oporezuju se o iznosi premija životnog i dobrovoljnog mirovinskog osiguranja koji su bili prethodno (ranije) priznavani kao porezna olakšica ili oslobođen</w:t>
      </w:r>
      <w:r w:rsidR="001A4954">
        <w:rPr>
          <w:sz w:val="24"/>
          <w:szCs w:val="24"/>
        </w:rPr>
        <w:t>i</w:t>
      </w:r>
      <w:r>
        <w:rPr>
          <w:sz w:val="24"/>
          <w:szCs w:val="24"/>
        </w:rPr>
        <w:t xml:space="preserve"> od plaćanja poreza na dohodak. Primjenjuje se porezna stopa 12% bez prava na osobni odbitak. </w:t>
      </w:r>
    </w:p>
    <w:p w:rsidR="004E213F" w:rsidRDefault="004E213F" w:rsidP="00B8521F">
      <w:pPr>
        <w:spacing w:before="240"/>
        <w:jc w:val="both"/>
        <w:rPr>
          <w:sz w:val="24"/>
          <w:szCs w:val="24"/>
        </w:rPr>
      </w:pPr>
      <w:r>
        <w:rPr>
          <w:sz w:val="24"/>
          <w:szCs w:val="24"/>
        </w:rPr>
        <w:t xml:space="preserve">U kategoriju </w:t>
      </w:r>
      <w:r w:rsidRPr="004E213F">
        <w:rPr>
          <w:color w:val="C00000"/>
          <w:sz w:val="24"/>
          <w:szCs w:val="24"/>
        </w:rPr>
        <w:t xml:space="preserve">drugog dohotka </w:t>
      </w:r>
      <w:r>
        <w:rPr>
          <w:sz w:val="24"/>
          <w:szCs w:val="24"/>
        </w:rPr>
        <w:t>ulaze primici koji nisu obuhvaćeni nekom od ranije navedenih kategorija izvora dohotka</w:t>
      </w:r>
      <w:r w:rsidR="00B30529">
        <w:rPr>
          <w:sz w:val="24"/>
          <w:szCs w:val="24"/>
        </w:rPr>
        <w:t xml:space="preserve"> (npr. zato što se vežu za povremeni </w:t>
      </w:r>
      <w:r w:rsidR="0055647E">
        <w:rPr>
          <w:sz w:val="24"/>
          <w:szCs w:val="24"/>
        </w:rPr>
        <w:t xml:space="preserve">ili dodatni </w:t>
      </w:r>
      <w:r w:rsidR="00B30529">
        <w:rPr>
          <w:sz w:val="24"/>
          <w:szCs w:val="24"/>
        </w:rPr>
        <w:t>rad izvan radnog odnosa</w:t>
      </w:r>
      <w:r w:rsidR="0055647E">
        <w:rPr>
          <w:sz w:val="24"/>
          <w:szCs w:val="24"/>
        </w:rPr>
        <w:t xml:space="preserve"> odnosno rad koji se ne odvija po uputama poslodavca – praktično jasnije rečeno koje ne isplaćuje poslodavac kod kojeg je osoba zaposlena</w:t>
      </w:r>
      <w:r w:rsidR="00B30529">
        <w:rPr>
          <w:sz w:val="24"/>
          <w:szCs w:val="24"/>
        </w:rPr>
        <w:t>)</w:t>
      </w:r>
      <w:r w:rsidR="0055647E">
        <w:rPr>
          <w:sz w:val="24"/>
          <w:szCs w:val="24"/>
        </w:rPr>
        <w:t xml:space="preserve">. Dodatno uključuje i primitke koji se </w:t>
      </w:r>
      <w:r>
        <w:rPr>
          <w:sz w:val="24"/>
          <w:szCs w:val="24"/>
        </w:rPr>
        <w:t>smatraju oporezivim primi</w:t>
      </w:r>
      <w:r w:rsidR="0008231C">
        <w:rPr>
          <w:sz w:val="24"/>
          <w:szCs w:val="24"/>
        </w:rPr>
        <w:t xml:space="preserve">tkom </w:t>
      </w:r>
      <w:r w:rsidR="00B30529">
        <w:rPr>
          <w:sz w:val="24"/>
          <w:szCs w:val="24"/>
        </w:rPr>
        <w:t xml:space="preserve">kada godišnjim iznosom </w:t>
      </w:r>
      <w:r w:rsidR="0008231C">
        <w:rPr>
          <w:sz w:val="24"/>
          <w:szCs w:val="24"/>
        </w:rPr>
        <w:t xml:space="preserve">premašuju </w:t>
      </w:r>
      <w:r w:rsidR="00B30529">
        <w:rPr>
          <w:sz w:val="24"/>
          <w:szCs w:val="24"/>
        </w:rPr>
        <w:t xml:space="preserve">definirane </w:t>
      </w:r>
      <w:r w:rsidR="0008231C">
        <w:rPr>
          <w:sz w:val="24"/>
          <w:szCs w:val="24"/>
        </w:rPr>
        <w:t xml:space="preserve">maksimalne neoporezive vrijednosti, npr. stipendije i primici učenika ili studenata na praktičnom radu ili radu preko studentskih udruga iznad određenog iznosa. </w:t>
      </w:r>
      <w:r w:rsidR="00B30529">
        <w:rPr>
          <w:sz w:val="24"/>
          <w:szCs w:val="24"/>
        </w:rPr>
        <w:t xml:space="preserve">Većina oblika drugog dohotka oporezuje se stopom 25%, a izuzetak su dohodak po osnovi povrata doprinosa te „drugi dohodak po </w:t>
      </w:r>
      <w:r w:rsidR="00B30529" w:rsidRPr="00450A7C">
        <w:rPr>
          <w:color w:val="C00000"/>
          <w:sz w:val="24"/>
          <w:szCs w:val="24"/>
        </w:rPr>
        <w:t>osnovi razlike vrijednosti imovine i visine sredst</w:t>
      </w:r>
      <w:r w:rsidR="00440466" w:rsidRPr="00450A7C">
        <w:rPr>
          <w:color w:val="C00000"/>
          <w:sz w:val="24"/>
          <w:szCs w:val="24"/>
        </w:rPr>
        <w:t>a</w:t>
      </w:r>
      <w:r w:rsidR="00B30529" w:rsidRPr="00450A7C">
        <w:rPr>
          <w:color w:val="C00000"/>
          <w:sz w:val="24"/>
          <w:szCs w:val="24"/>
        </w:rPr>
        <w:t>va kojima je stečana</w:t>
      </w:r>
      <w:r w:rsidR="00B30529">
        <w:rPr>
          <w:sz w:val="24"/>
          <w:szCs w:val="24"/>
        </w:rPr>
        <w:t xml:space="preserve">“ kod kojih se primjenjuje porezna stopa </w:t>
      </w:r>
      <w:r w:rsidR="00BF2A85">
        <w:rPr>
          <w:sz w:val="24"/>
          <w:szCs w:val="24"/>
        </w:rPr>
        <w:t>4</w:t>
      </w:r>
      <w:r w:rsidR="00B30529">
        <w:rPr>
          <w:sz w:val="24"/>
          <w:szCs w:val="24"/>
        </w:rPr>
        <w:t xml:space="preserve">0%. </w:t>
      </w:r>
      <w:r w:rsidR="0008231C">
        <w:rPr>
          <w:sz w:val="24"/>
          <w:szCs w:val="24"/>
        </w:rPr>
        <w:t xml:space="preserve">Kod </w:t>
      </w:r>
      <w:r w:rsidR="00B30529">
        <w:rPr>
          <w:sz w:val="24"/>
          <w:szCs w:val="24"/>
        </w:rPr>
        <w:t xml:space="preserve">autorskih honorara </w:t>
      </w:r>
      <w:r w:rsidR="00307B24">
        <w:rPr>
          <w:sz w:val="24"/>
          <w:szCs w:val="24"/>
        </w:rPr>
        <w:t xml:space="preserve">(ali isključivo ako se oni tretiraju kao drugi dohodak) </w:t>
      </w:r>
      <w:r w:rsidR="00B30529">
        <w:rPr>
          <w:sz w:val="24"/>
          <w:szCs w:val="24"/>
        </w:rPr>
        <w:t xml:space="preserve">postoji mogućnost </w:t>
      </w:r>
      <w:r w:rsidR="0008231C">
        <w:rPr>
          <w:sz w:val="24"/>
          <w:szCs w:val="24"/>
        </w:rPr>
        <w:t xml:space="preserve">paušalnog priznavanja </w:t>
      </w:r>
      <w:r w:rsidR="00B30529">
        <w:rPr>
          <w:sz w:val="24"/>
          <w:szCs w:val="24"/>
        </w:rPr>
        <w:t xml:space="preserve">izdataka u visini </w:t>
      </w:r>
      <w:r w:rsidR="00307B24">
        <w:rPr>
          <w:sz w:val="24"/>
          <w:szCs w:val="24"/>
        </w:rPr>
        <w:t>30%</w:t>
      </w:r>
      <w:r w:rsidR="00B30529">
        <w:rPr>
          <w:sz w:val="24"/>
          <w:szCs w:val="24"/>
        </w:rPr>
        <w:t xml:space="preserve">, </w:t>
      </w:r>
      <w:r w:rsidR="00E50A4D">
        <w:rPr>
          <w:sz w:val="24"/>
          <w:szCs w:val="24"/>
        </w:rPr>
        <w:t>što smanjuje poreznu osnovicu</w:t>
      </w:r>
      <w:r w:rsidR="00307B24">
        <w:rPr>
          <w:sz w:val="24"/>
          <w:szCs w:val="24"/>
        </w:rPr>
        <w:t xml:space="preserve"> te ne postoji obveza obračuna i plaćanja obveznih doprinosa i</w:t>
      </w:r>
      <w:r w:rsidR="00C86D78">
        <w:rPr>
          <w:sz w:val="24"/>
          <w:szCs w:val="24"/>
        </w:rPr>
        <w:t>z plaće (mirovinskih doprinosa), dok za poslodavca ne postoji obveza doprinosa na plaću.</w:t>
      </w:r>
    </w:p>
    <w:p w:rsidR="006D6A66" w:rsidRDefault="00E31870" w:rsidP="006D6A66">
      <w:pPr>
        <w:spacing w:before="240"/>
        <w:jc w:val="both"/>
        <w:rPr>
          <w:sz w:val="24"/>
          <w:szCs w:val="24"/>
        </w:rPr>
      </w:pPr>
      <w:r w:rsidRPr="00E31870">
        <w:rPr>
          <w:i/>
          <w:color w:val="C00000"/>
          <w:sz w:val="24"/>
          <w:szCs w:val="24"/>
        </w:rPr>
        <w:lastRenderedPageBreak/>
        <w:t>Primjer:</w:t>
      </w:r>
      <w:r w:rsidRPr="00E31870">
        <w:rPr>
          <w:color w:val="C00000"/>
          <w:sz w:val="24"/>
          <w:szCs w:val="24"/>
        </w:rPr>
        <w:t xml:space="preserve"> </w:t>
      </w:r>
      <w:r>
        <w:rPr>
          <w:sz w:val="24"/>
          <w:szCs w:val="24"/>
        </w:rPr>
        <w:t xml:space="preserve">Obračun poreza, prireza i doprinosa u slučaju </w:t>
      </w:r>
      <w:r w:rsidRPr="00E31870">
        <w:rPr>
          <w:color w:val="C00000"/>
          <w:sz w:val="24"/>
          <w:szCs w:val="24"/>
        </w:rPr>
        <w:t xml:space="preserve">ugovora o djelu </w:t>
      </w:r>
      <w:r>
        <w:rPr>
          <w:sz w:val="24"/>
          <w:szCs w:val="24"/>
        </w:rPr>
        <w:t>pojedinca starog 30 godina koji je uključen u prvi i drugi stupu mirovinskog sustava</w:t>
      </w:r>
    </w:p>
    <w:p w:rsidR="006D6A66" w:rsidRDefault="006D6A66" w:rsidP="006D6A66">
      <w:pPr>
        <w:spacing w:before="240"/>
        <w:jc w:val="both"/>
        <w:rPr>
          <w:sz w:val="20"/>
          <w:szCs w:val="20"/>
        </w:rPr>
      </w:pPr>
      <w:r>
        <w:rPr>
          <w:noProof/>
          <w:sz w:val="20"/>
          <w:szCs w:val="20"/>
          <w:lang w:eastAsia="hr-HR"/>
        </w:rPr>
        <w:drawing>
          <wp:inline distT="0" distB="0" distL="0" distR="0" wp14:anchorId="2E57313C" wp14:editId="6208938D">
            <wp:extent cx="4410075" cy="2552700"/>
            <wp:effectExtent l="0" t="0" r="9525"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10075" cy="2552700"/>
                    </a:xfrm>
                    <a:prstGeom prst="rect">
                      <a:avLst/>
                    </a:prstGeom>
                    <a:noFill/>
                    <a:ln>
                      <a:noFill/>
                    </a:ln>
                  </pic:spPr>
                </pic:pic>
              </a:graphicData>
            </a:graphic>
          </wp:inline>
        </w:drawing>
      </w:r>
    </w:p>
    <w:p w:rsidR="00E31870" w:rsidRPr="00E31870" w:rsidRDefault="00E31870" w:rsidP="006D6A66">
      <w:pPr>
        <w:spacing w:before="240"/>
        <w:jc w:val="both"/>
        <w:rPr>
          <w:sz w:val="20"/>
          <w:szCs w:val="20"/>
        </w:rPr>
      </w:pPr>
      <w:r w:rsidRPr="00E31870">
        <w:rPr>
          <w:sz w:val="20"/>
          <w:szCs w:val="20"/>
        </w:rPr>
        <w:t>*</w:t>
      </w:r>
      <w:r w:rsidR="00C86D78">
        <w:rPr>
          <w:sz w:val="20"/>
          <w:szCs w:val="20"/>
        </w:rPr>
        <w:t xml:space="preserve"> </w:t>
      </w:r>
      <w:r w:rsidRPr="00E31870">
        <w:rPr>
          <w:rFonts w:cs="Arial"/>
          <w:color w:val="000000"/>
          <w:sz w:val="20"/>
          <w:szCs w:val="20"/>
          <w:shd w:val="clear" w:color="auto" w:fill="FFFFFF"/>
        </w:rPr>
        <w:t>Izračun je informativan i ne može se koristiti u druge svrhe.</w:t>
      </w:r>
    </w:p>
    <w:p w:rsidR="006D6A66" w:rsidRDefault="00E31870" w:rsidP="006D6A66">
      <w:pPr>
        <w:spacing w:before="240"/>
        <w:jc w:val="both"/>
        <w:rPr>
          <w:sz w:val="24"/>
          <w:szCs w:val="24"/>
        </w:rPr>
      </w:pPr>
      <w:r w:rsidRPr="00E31870">
        <w:rPr>
          <w:i/>
          <w:color w:val="C00000"/>
          <w:sz w:val="24"/>
          <w:szCs w:val="24"/>
        </w:rPr>
        <w:t>Primjer:</w:t>
      </w:r>
      <w:r w:rsidRPr="00E31870">
        <w:rPr>
          <w:color w:val="C00000"/>
          <w:sz w:val="24"/>
          <w:szCs w:val="24"/>
        </w:rPr>
        <w:t xml:space="preserve"> </w:t>
      </w:r>
      <w:r>
        <w:rPr>
          <w:sz w:val="24"/>
          <w:szCs w:val="24"/>
        </w:rPr>
        <w:t xml:space="preserve">Obračun poreza, prireza i doprinosa u slučaju </w:t>
      </w:r>
      <w:r w:rsidRPr="00E31870">
        <w:rPr>
          <w:color w:val="C00000"/>
          <w:sz w:val="24"/>
          <w:szCs w:val="24"/>
        </w:rPr>
        <w:t xml:space="preserve">autorskog honorara </w:t>
      </w:r>
      <w:r>
        <w:rPr>
          <w:sz w:val="24"/>
          <w:szCs w:val="24"/>
        </w:rPr>
        <w:t>pojedinca starog 30 godina koji je uključen u prvi i drugi stupu mirovinskog sustava</w:t>
      </w:r>
    </w:p>
    <w:p w:rsidR="006D6A66" w:rsidRDefault="006D6A66" w:rsidP="006D6A66">
      <w:pPr>
        <w:spacing w:before="240"/>
        <w:jc w:val="both"/>
        <w:rPr>
          <w:rFonts w:cs="Arial"/>
          <w:color w:val="000000"/>
          <w:sz w:val="20"/>
          <w:szCs w:val="20"/>
          <w:shd w:val="clear" w:color="auto" w:fill="FFFFFF"/>
        </w:rPr>
      </w:pPr>
      <w:r>
        <w:rPr>
          <w:rFonts w:cs="Arial"/>
          <w:noProof/>
          <w:color w:val="000000"/>
          <w:sz w:val="20"/>
          <w:szCs w:val="20"/>
          <w:shd w:val="clear" w:color="auto" w:fill="FFFFFF"/>
          <w:lang w:eastAsia="hr-HR"/>
        </w:rPr>
        <w:drawing>
          <wp:inline distT="0" distB="0" distL="0" distR="0" wp14:anchorId="7E11705F" wp14:editId="7E10D8C8">
            <wp:extent cx="4457700" cy="2076450"/>
            <wp:effectExtent l="0" t="0" r="0" b="0"/>
            <wp:docPr id="29698" name="Slika 2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57700" cy="2076450"/>
                    </a:xfrm>
                    <a:prstGeom prst="rect">
                      <a:avLst/>
                    </a:prstGeom>
                    <a:noFill/>
                    <a:ln>
                      <a:noFill/>
                    </a:ln>
                  </pic:spPr>
                </pic:pic>
              </a:graphicData>
            </a:graphic>
          </wp:inline>
        </w:drawing>
      </w:r>
    </w:p>
    <w:p w:rsidR="00C86D78" w:rsidRPr="006D6A66" w:rsidRDefault="006D6A66" w:rsidP="006D6A66">
      <w:pPr>
        <w:spacing w:before="240"/>
        <w:jc w:val="both"/>
        <w:rPr>
          <w:sz w:val="20"/>
          <w:szCs w:val="20"/>
        </w:rPr>
      </w:pPr>
      <w:r>
        <w:rPr>
          <w:rFonts w:cs="Arial"/>
          <w:color w:val="000000"/>
          <w:sz w:val="20"/>
          <w:szCs w:val="20"/>
          <w:shd w:val="clear" w:color="auto" w:fill="FFFFFF"/>
        </w:rPr>
        <w:t xml:space="preserve">* </w:t>
      </w:r>
      <w:r w:rsidR="00C86D78" w:rsidRPr="006D6A66">
        <w:rPr>
          <w:rFonts w:cs="Arial"/>
          <w:color w:val="000000"/>
          <w:sz w:val="20"/>
          <w:szCs w:val="20"/>
          <w:shd w:val="clear" w:color="auto" w:fill="FFFFFF"/>
        </w:rPr>
        <w:t>Izračun je informativan i ne može se koristiti u druge svrhe.</w:t>
      </w:r>
    </w:p>
    <w:p w:rsidR="00C86D78" w:rsidRDefault="00C86D78" w:rsidP="00B8521F">
      <w:pPr>
        <w:spacing w:before="240"/>
        <w:jc w:val="both"/>
        <w:rPr>
          <w:sz w:val="24"/>
          <w:szCs w:val="24"/>
        </w:rPr>
      </w:pPr>
      <w:r>
        <w:rPr>
          <w:sz w:val="24"/>
          <w:szCs w:val="24"/>
        </w:rPr>
        <w:t xml:space="preserve">Iz navedenih nekoliko primjera vidljivo je da se </w:t>
      </w:r>
      <w:r w:rsidRPr="00C86D78">
        <w:rPr>
          <w:color w:val="C00000"/>
          <w:sz w:val="24"/>
          <w:szCs w:val="24"/>
        </w:rPr>
        <w:t>obračun poreza i doprinosa za različite izvore provodi na različite načine</w:t>
      </w:r>
      <w:r>
        <w:rPr>
          <w:sz w:val="24"/>
          <w:szCs w:val="24"/>
        </w:rPr>
        <w:t xml:space="preserve">. Osim ovdje spomenutih postoji i niz drugih specifičnosti koje se odražavaju na visinu fiskalnog tereta kod različitih kategorija izvora i vrsta dohotka, odnosno koje treba uzeti u obzir pri planiranju porezne pozicije pojedinca. Kako se </w:t>
      </w:r>
      <w:r w:rsidRPr="00C86D78">
        <w:rPr>
          <w:color w:val="C00000"/>
          <w:sz w:val="24"/>
          <w:szCs w:val="24"/>
        </w:rPr>
        <w:t xml:space="preserve">porezni propisi relativno često mijenjaju </w:t>
      </w:r>
      <w:r>
        <w:rPr>
          <w:sz w:val="24"/>
          <w:szCs w:val="24"/>
        </w:rPr>
        <w:t xml:space="preserve">treba imati na umu da propisi koji su vrijedili u trenutku pisanja ovog teksta možda neće biti na snazi u trenutku kada pojedincu zatrebaju. Dodatno u ovom tekstu nisu opisane sve specifičnosti. Stoga je potrebno dodatno se informirati o aktualnim uvjetima, odnosno posjetiti urede Porezne uprave. </w:t>
      </w:r>
    </w:p>
    <w:p w:rsidR="00106BF6" w:rsidRDefault="00106BF6" w:rsidP="00B8521F">
      <w:pPr>
        <w:spacing w:before="240"/>
        <w:jc w:val="both"/>
        <w:rPr>
          <w:sz w:val="24"/>
          <w:szCs w:val="24"/>
        </w:rPr>
      </w:pPr>
      <w:r>
        <w:rPr>
          <w:sz w:val="24"/>
          <w:szCs w:val="24"/>
        </w:rPr>
        <w:lastRenderedPageBreak/>
        <w:t xml:space="preserve">S obzirom da je u slučaju </w:t>
      </w:r>
      <w:r w:rsidR="007D01A9">
        <w:rPr>
          <w:sz w:val="24"/>
          <w:szCs w:val="24"/>
        </w:rPr>
        <w:t xml:space="preserve">većine </w:t>
      </w:r>
      <w:r>
        <w:rPr>
          <w:sz w:val="24"/>
          <w:szCs w:val="24"/>
        </w:rPr>
        <w:t xml:space="preserve">oporezivih primitaka građana iznos pripadajućeg poreza i prireza obračunat, obustavljen i uplaćen kao porez po odbitku, za većinu građana ne postoji obveza podnošenja porezne prijave. Zakon predviđa tek </w:t>
      </w:r>
      <w:r w:rsidRPr="00E324A5">
        <w:rPr>
          <w:color w:val="C00000"/>
          <w:sz w:val="24"/>
          <w:szCs w:val="24"/>
        </w:rPr>
        <w:t xml:space="preserve">nekoliko situacija kada postoji </w:t>
      </w:r>
      <w:r w:rsidRPr="00106BF6">
        <w:rPr>
          <w:color w:val="C00000"/>
          <w:sz w:val="24"/>
          <w:szCs w:val="24"/>
        </w:rPr>
        <w:t>obveza podnošenja godišnje porezne prijave</w:t>
      </w:r>
      <w:r>
        <w:rPr>
          <w:sz w:val="24"/>
          <w:szCs w:val="24"/>
        </w:rPr>
        <w:t>, konkretno :</w:t>
      </w:r>
    </w:p>
    <w:p w:rsidR="00106BF6" w:rsidRPr="00106BF6" w:rsidRDefault="00106BF6" w:rsidP="006F1C04">
      <w:pPr>
        <w:pStyle w:val="Odlomakpopisa"/>
        <w:numPr>
          <w:ilvl w:val="0"/>
          <w:numId w:val="27"/>
        </w:numPr>
        <w:spacing w:before="120"/>
        <w:ind w:left="714" w:hanging="357"/>
        <w:jc w:val="both"/>
        <w:rPr>
          <w:sz w:val="24"/>
          <w:szCs w:val="24"/>
        </w:rPr>
      </w:pPr>
      <w:r>
        <w:rPr>
          <w:sz w:val="24"/>
          <w:szCs w:val="24"/>
        </w:rPr>
        <w:t>u</w:t>
      </w:r>
      <w:r w:rsidRPr="00106BF6">
        <w:rPr>
          <w:sz w:val="24"/>
          <w:szCs w:val="24"/>
        </w:rPr>
        <w:t xml:space="preserve"> slučaju osoba koje dohodak od nesamostalnog rada ostvaruju kod dva ili više poslodavaca istodobno u tijeku istog mjeseca poreznog razdoblja;</w:t>
      </w:r>
    </w:p>
    <w:p w:rsidR="00106BF6" w:rsidRPr="00106BF6" w:rsidRDefault="00106BF6" w:rsidP="006F1C04">
      <w:pPr>
        <w:pStyle w:val="Odlomakpopisa"/>
        <w:numPr>
          <w:ilvl w:val="0"/>
          <w:numId w:val="27"/>
        </w:numPr>
        <w:spacing w:before="240"/>
        <w:jc w:val="both"/>
        <w:rPr>
          <w:sz w:val="24"/>
          <w:szCs w:val="24"/>
        </w:rPr>
      </w:pPr>
      <w:r>
        <w:rPr>
          <w:sz w:val="24"/>
          <w:szCs w:val="24"/>
        </w:rPr>
        <w:t>u</w:t>
      </w:r>
      <w:r w:rsidRPr="00106BF6">
        <w:rPr>
          <w:sz w:val="24"/>
          <w:szCs w:val="24"/>
        </w:rPr>
        <w:t xml:space="preserve"> slučaju osoba koje ostvaruju dohodak od samostalne djelatnosti</w:t>
      </w:r>
    </w:p>
    <w:p w:rsidR="00106BF6" w:rsidRDefault="00106BF6" w:rsidP="006F1C04">
      <w:pPr>
        <w:pStyle w:val="Odlomakpopisa"/>
        <w:numPr>
          <w:ilvl w:val="0"/>
          <w:numId w:val="27"/>
        </w:numPr>
        <w:spacing w:before="240"/>
        <w:jc w:val="both"/>
        <w:rPr>
          <w:sz w:val="24"/>
          <w:szCs w:val="24"/>
        </w:rPr>
      </w:pPr>
      <w:r>
        <w:rPr>
          <w:sz w:val="24"/>
          <w:szCs w:val="24"/>
        </w:rPr>
        <w:t>t</w:t>
      </w:r>
      <w:r w:rsidRPr="00106BF6">
        <w:rPr>
          <w:sz w:val="24"/>
          <w:szCs w:val="24"/>
        </w:rPr>
        <w:t>e u slučaju osoba koje ostvaruju inozemni dohodak izravno iz inozemstva ukoliko  predujmovi pripadajućeg poreza nisu plaćeni u tuzemstvu ili su u tuzemstvu plaćeni u manjem iznosu od pripadajućeg</w:t>
      </w:r>
      <w:r>
        <w:rPr>
          <w:sz w:val="24"/>
          <w:szCs w:val="24"/>
        </w:rPr>
        <w:t>.</w:t>
      </w:r>
    </w:p>
    <w:p w:rsidR="00E324A5" w:rsidRDefault="00106BF6" w:rsidP="00106BF6">
      <w:pPr>
        <w:spacing w:before="240"/>
        <w:jc w:val="both"/>
        <w:rPr>
          <w:sz w:val="24"/>
          <w:szCs w:val="24"/>
        </w:rPr>
      </w:pPr>
      <w:r>
        <w:rPr>
          <w:sz w:val="24"/>
          <w:szCs w:val="24"/>
        </w:rPr>
        <w:t>Dodatno godišnju poreznu prijavu obvezno podnosi i porezni obveznik ukoliko je Porezna uprava zatražila da naknadno plati porez na dohodak, kao i u slučaju da poslodavac, isplatitelj primitka ili sam porezni obveznik nije obračunao, obustavio i uplatio predujam poreza na dohodak i prirez porezu na dohodak</w:t>
      </w:r>
      <w:r w:rsidR="00E324A5">
        <w:rPr>
          <w:sz w:val="24"/>
          <w:szCs w:val="24"/>
        </w:rPr>
        <w:t xml:space="preserve">. U godišnjoj poreznoj prijavi porezni obveznik dužan je iskazati dohodak za koji je obvezan podnijeti godišnju poreznu prijavu i dohodak od nesamostalnog rada. </w:t>
      </w:r>
    </w:p>
    <w:p w:rsidR="00E324A5" w:rsidRDefault="00E324A5" w:rsidP="00B8521F">
      <w:pPr>
        <w:spacing w:before="240"/>
        <w:jc w:val="both"/>
        <w:rPr>
          <w:sz w:val="24"/>
          <w:szCs w:val="24"/>
        </w:rPr>
      </w:pPr>
      <w:r>
        <w:rPr>
          <w:sz w:val="24"/>
          <w:szCs w:val="24"/>
        </w:rPr>
        <w:t xml:space="preserve">Nasuprot tome postoj i mogućnost podnošenja godišnje porezne prijave na dobrovoljnoj bazi, npr. radi ostvarivanja prava na neiskorišteni osobni odbitak, prava na godišnje izravnanje porezne osnovice (ravnomjernije godišnje oporezivanje) ili drugih prava propisanih zakonima. </w:t>
      </w:r>
    </w:p>
    <w:tbl>
      <w:tblPr>
        <w:tblStyle w:val="Reetkatablice"/>
        <w:tblW w:w="0" w:type="auto"/>
        <w:tblLook w:val="04A0" w:firstRow="1" w:lastRow="0" w:firstColumn="1" w:lastColumn="0" w:noHBand="0" w:noVBand="1"/>
      </w:tblPr>
      <w:tblGrid>
        <w:gridCol w:w="6486"/>
        <w:gridCol w:w="2802"/>
      </w:tblGrid>
      <w:tr w:rsidR="00224569" w:rsidTr="00224569">
        <w:tc>
          <w:tcPr>
            <w:tcW w:w="4644" w:type="dxa"/>
          </w:tcPr>
          <w:p w:rsidR="00224569" w:rsidRPr="00224569" w:rsidRDefault="00224569" w:rsidP="00B8521F">
            <w:pPr>
              <w:spacing w:before="240"/>
              <w:jc w:val="both"/>
              <w:rPr>
                <w:rFonts w:asciiTheme="minorHAnsi" w:eastAsiaTheme="minorHAnsi" w:hAnsiTheme="minorHAnsi" w:cstheme="minorBidi"/>
                <w:sz w:val="24"/>
                <w:szCs w:val="24"/>
                <w:lang w:eastAsia="en-US"/>
              </w:rPr>
            </w:pPr>
            <w:r w:rsidRPr="00224569">
              <w:rPr>
                <w:noProof/>
                <w:sz w:val="24"/>
                <w:szCs w:val="24"/>
              </w:rPr>
              <w:drawing>
                <wp:inline distT="0" distB="0" distL="0" distR="0" wp14:anchorId="67595CA0" wp14:editId="6A435C96">
                  <wp:extent cx="3979160" cy="2647950"/>
                  <wp:effectExtent l="0" t="0" r="2540" b="0"/>
                  <wp:docPr id="60" name="Slika 60" descr="http://www.ugostitelj.hr/wp-content/uploads/2015/01/porez_prij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ugostitelj.hr/wp-content/uploads/2015/01/porez_prijav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79160" cy="2647950"/>
                          </a:xfrm>
                          <a:prstGeom prst="rect">
                            <a:avLst/>
                          </a:prstGeom>
                          <a:noFill/>
                          <a:ln>
                            <a:noFill/>
                          </a:ln>
                        </pic:spPr>
                      </pic:pic>
                    </a:graphicData>
                  </a:graphic>
                </wp:inline>
              </w:drawing>
            </w:r>
          </w:p>
        </w:tc>
        <w:tc>
          <w:tcPr>
            <w:tcW w:w="4644" w:type="dxa"/>
          </w:tcPr>
          <w:p w:rsidR="00224569" w:rsidRDefault="00224569" w:rsidP="00224569">
            <w:pPr>
              <w:spacing w:before="120" w:after="120"/>
              <w:jc w:val="both"/>
              <w:rPr>
                <w:rFonts w:asciiTheme="minorHAnsi" w:eastAsiaTheme="minorHAnsi" w:hAnsiTheme="minorHAnsi" w:cstheme="minorBidi"/>
                <w:sz w:val="24"/>
                <w:szCs w:val="24"/>
                <w:lang w:eastAsia="en-US"/>
              </w:rPr>
            </w:pPr>
            <w:r w:rsidRPr="00224569">
              <w:rPr>
                <w:rFonts w:asciiTheme="minorHAnsi" w:eastAsiaTheme="minorHAnsi" w:hAnsiTheme="minorHAnsi" w:cstheme="minorBidi"/>
                <w:sz w:val="24"/>
                <w:szCs w:val="24"/>
                <w:lang w:eastAsia="en-US"/>
              </w:rPr>
              <w:t xml:space="preserve">Tijekom 2015. najavljene su izmjene u poreznom sustavu </w:t>
            </w:r>
            <w:r>
              <w:rPr>
                <w:rFonts w:asciiTheme="minorHAnsi" w:eastAsiaTheme="minorHAnsi" w:hAnsiTheme="minorHAnsi" w:cstheme="minorBidi"/>
                <w:sz w:val="24"/>
                <w:szCs w:val="24"/>
                <w:lang w:eastAsia="en-US"/>
              </w:rPr>
              <w:t xml:space="preserve">RH </w:t>
            </w:r>
            <w:r w:rsidRPr="00224569">
              <w:rPr>
                <w:rFonts w:asciiTheme="minorHAnsi" w:eastAsiaTheme="minorHAnsi" w:hAnsiTheme="minorHAnsi" w:cstheme="minorBidi"/>
                <w:sz w:val="24"/>
                <w:szCs w:val="24"/>
                <w:lang w:eastAsia="en-US"/>
              </w:rPr>
              <w:t>koje predviđaju da u buduće neće trebati podnositi godišnju poreznu prijavu niti u slučaju osoba koje su ranije navedene.</w:t>
            </w:r>
          </w:p>
          <w:p w:rsidR="00224569" w:rsidRPr="00224569" w:rsidRDefault="00224569" w:rsidP="00224569">
            <w:pPr>
              <w:spacing w:before="120" w:after="120"/>
              <w:jc w:val="both"/>
              <w:rPr>
                <w:rFonts w:asciiTheme="minorHAnsi" w:eastAsiaTheme="minorHAnsi" w:hAnsiTheme="minorHAnsi" w:cstheme="minorBidi"/>
                <w:sz w:val="24"/>
                <w:szCs w:val="24"/>
                <w:lang w:eastAsia="en-US"/>
              </w:rPr>
            </w:pPr>
            <w:r w:rsidRPr="00224569">
              <w:rPr>
                <w:rFonts w:asciiTheme="minorHAnsi" w:eastAsiaTheme="minorHAnsi" w:hAnsiTheme="minorHAnsi" w:cstheme="minorBidi"/>
                <w:sz w:val="24"/>
                <w:szCs w:val="24"/>
                <w:lang w:eastAsia="en-US"/>
              </w:rPr>
              <w:t>Međutim, oslanjanje na ovu informaciju ima važnost jedino ako će to doista vrijediti u veljači 2016. kada se podnosi godišnja porezna prijava za 2015. godinu.</w:t>
            </w:r>
          </w:p>
        </w:tc>
      </w:tr>
    </w:tbl>
    <w:p w:rsidR="00224569" w:rsidRDefault="00224569" w:rsidP="00B8521F">
      <w:pPr>
        <w:spacing w:before="240"/>
        <w:jc w:val="both"/>
        <w:rPr>
          <w:sz w:val="24"/>
          <w:szCs w:val="24"/>
        </w:rPr>
      </w:pPr>
    </w:p>
    <w:p w:rsidR="00224569" w:rsidRDefault="00224569" w:rsidP="00B8521F">
      <w:pPr>
        <w:spacing w:before="240"/>
        <w:jc w:val="both"/>
        <w:rPr>
          <w:sz w:val="24"/>
          <w:szCs w:val="24"/>
        </w:rPr>
      </w:pPr>
    </w:p>
    <w:p w:rsidR="00496361" w:rsidRPr="00A83A77" w:rsidRDefault="00A83A77" w:rsidP="00A83A77">
      <w:pPr>
        <w:spacing w:before="240"/>
        <w:jc w:val="both"/>
        <w:rPr>
          <w:b/>
          <w:sz w:val="24"/>
          <w:szCs w:val="24"/>
        </w:rPr>
      </w:pPr>
      <w:r w:rsidRPr="00A83A77">
        <w:rPr>
          <w:b/>
          <w:sz w:val="24"/>
          <w:szCs w:val="24"/>
        </w:rPr>
        <w:lastRenderedPageBreak/>
        <w:t xml:space="preserve">3. </w:t>
      </w:r>
      <w:r w:rsidR="00496361" w:rsidRPr="00A83A77">
        <w:rPr>
          <w:b/>
          <w:sz w:val="24"/>
          <w:szCs w:val="24"/>
        </w:rPr>
        <w:t>UPRAVLJANJE OSOBNIM FINANCIJAMA</w:t>
      </w:r>
    </w:p>
    <w:p w:rsidR="008005C0" w:rsidRDefault="00F633B4" w:rsidP="003B7607">
      <w:pPr>
        <w:jc w:val="both"/>
        <w:rPr>
          <w:sz w:val="24"/>
          <w:szCs w:val="24"/>
        </w:rPr>
      </w:pPr>
      <w:r>
        <w:rPr>
          <w:sz w:val="24"/>
          <w:szCs w:val="24"/>
        </w:rPr>
        <w:t xml:space="preserve">Sastavljanje kućnog budžeta s ciljem ostvarivanja kontrole nad budućim prihodima i rashodima, odnosno ukupnim primicima i izdacima u novčanom toku kućanstva prvi je korak upravljanja osobnim financijama. </w:t>
      </w:r>
      <w:r w:rsidR="008005C0">
        <w:rPr>
          <w:sz w:val="24"/>
          <w:szCs w:val="24"/>
        </w:rPr>
        <w:t>Potom je potrebno kontinuirano i svakodnevno bilježiti „sve na što se troši i/ili ulaže novac“ te provjeravati da li to odgovara planiranim rashodima i izdacima, da li postoje premašena, može li se novcem još racionalnije raspolagati.</w:t>
      </w:r>
    </w:p>
    <w:p w:rsidR="003B7607" w:rsidRDefault="00F633B4" w:rsidP="003B7607">
      <w:pPr>
        <w:jc w:val="both"/>
        <w:rPr>
          <w:sz w:val="24"/>
          <w:szCs w:val="24"/>
        </w:rPr>
      </w:pPr>
      <w:r>
        <w:rPr>
          <w:sz w:val="24"/>
          <w:szCs w:val="24"/>
        </w:rPr>
        <w:t>Nadalje</w:t>
      </w:r>
      <w:r w:rsidR="008005C0">
        <w:rPr>
          <w:sz w:val="24"/>
          <w:szCs w:val="24"/>
        </w:rPr>
        <w:t>,</w:t>
      </w:r>
      <w:r>
        <w:rPr>
          <w:sz w:val="24"/>
          <w:szCs w:val="24"/>
        </w:rPr>
        <w:t xml:space="preserve"> </w:t>
      </w:r>
      <w:r w:rsidR="008005C0">
        <w:rPr>
          <w:sz w:val="24"/>
          <w:szCs w:val="24"/>
        </w:rPr>
        <w:t xml:space="preserve">u aktivnosti upravljanja osobnim financijama ulazi i </w:t>
      </w:r>
      <w:r>
        <w:rPr>
          <w:sz w:val="24"/>
          <w:szCs w:val="24"/>
        </w:rPr>
        <w:t>sagledavanje trenutne financijske pozicije pojedinca s osvrtom na strukturu,</w:t>
      </w:r>
      <w:r w:rsidR="008005C0">
        <w:rPr>
          <w:sz w:val="24"/>
          <w:szCs w:val="24"/>
        </w:rPr>
        <w:t xml:space="preserve"> obilježja i pokazatelje osobne bilance (bilance kućanstva)</w:t>
      </w:r>
      <w:r>
        <w:rPr>
          <w:sz w:val="24"/>
          <w:szCs w:val="24"/>
        </w:rPr>
        <w:t>, kao i sagledavanje ostvarenih učinaka na štednju kućanstva kao razliku prihoda i rashoda u prethodnom razdoblju</w:t>
      </w:r>
      <w:r w:rsidR="008005C0">
        <w:rPr>
          <w:sz w:val="24"/>
          <w:szCs w:val="24"/>
        </w:rPr>
        <w:t>, odnosno prenošenje štednje u bilancu kućanstva s učincima na rast bogatstva</w:t>
      </w:r>
      <w:r>
        <w:rPr>
          <w:sz w:val="24"/>
          <w:szCs w:val="24"/>
        </w:rPr>
        <w:t>. Kada se sagleda ukupna financijska pozicija kućanstva moguće je postaviti i određene ekonomske i financijske ciljeve koji će se određenom financijskom strategijom ostvarivati u budućnosti u kratkom, srednjem i dugom roku, uključujući štednju za starost, financiranje kupovine stana kroz stambeni kredit</w:t>
      </w:r>
      <w:r w:rsidR="008005C0">
        <w:rPr>
          <w:sz w:val="24"/>
          <w:szCs w:val="24"/>
        </w:rPr>
        <w:t>, kupnju novog automobila, televizora, računala, udžbenika za djecu</w:t>
      </w:r>
      <w:r>
        <w:rPr>
          <w:sz w:val="24"/>
          <w:szCs w:val="24"/>
        </w:rPr>
        <w:t xml:space="preserve"> i </w:t>
      </w:r>
      <w:r w:rsidR="008005C0">
        <w:rPr>
          <w:sz w:val="24"/>
          <w:szCs w:val="24"/>
        </w:rPr>
        <w:t>drugo</w:t>
      </w:r>
      <w:r w:rsidR="003B7607">
        <w:rPr>
          <w:sz w:val="24"/>
          <w:szCs w:val="24"/>
        </w:rPr>
        <w:t xml:space="preserve"> – ali jasno </w:t>
      </w:r>
      <w:r w:rsidR="008005C0">
        <w:rPr>
          <w:sz w:val="24"/>
          <w:szCs w:val="24"/>
        </w:rPr>
        <w:t xml:space="preserve">vodeći računa o prioritetima i hijerarhiji ciljeva te </w:t>
      </w:r>
      <w:r w:rsidR="003B7607">
        <w:rPr>
          <w:sz w:val="24"/>
          <w:szCs w:val="24"/>
        </w:rPr>
        <w:t>u skladu s realnim mogućnostima</w:t>
      </w:r>
      <w:r>
        <w:rPr>
          <w:sz w:val="24"/>
          <w:szCs w:val="24"/>
        </w:rPr>
        <w:t xml:space="preserve">. Pri tome nije dovoljno samo sastaviti financijski plan nego ga se treba pridržavati, kontrolirati njegovo izvršavanje te kontrolirati ispunjenje postavljenih ciljeva. </w:t>
      </w:r>
    </w:p>
    <w:p w:rsidR="00441DD1" w:rsidRDefault="00441DD1" w:rsidP="00441DD1">
      <w:pPr>
        <w:jc w:val="both"/>
        <w:rPr>
          <w:sz w:val="24"/>
          <w:szCs w:val="24"/>
        </w:rPr>
      </w:pPr>
      <w:r w:rsidRPr="003A1D00">
        <w:rPr>
          <w:color w:val="C00000"/>
          <w:sz w:val="24"/>
          <w:szCs w:val="24"/>
        </w:rPr>
        <w:t xml:space="preserve">Važno je i raditi na povećanju vlastitih znanja, informiranosti i iskustva. </w:t>
      </w:r>
      <w:r w:rsidR="00113DE1">
        <w:rPr>
          <w:sz w:val="24"/>
          <w:szCs w:val="24"/>
        </w:rPr>
        <w:t xml:space="preserve">Za uspješno upravljanje osobnim financijama </w:t>
      </w:r>
      <w:r w:rsidRPr="00441DD1">
        <w:rPr>
          <w:sz w:val="24"/>
          <w:szCs w:val="24"/>
        </w:rPr>
        <w:t>važn</w:t>
      </w:r>
      <w:r w:rsidR="00113DE1">
        <w:rPr>
          <w:sz w:val="24"/>
          <w:szCs w:val="24"/>
        </w:rPr>
        <w:t>a</w:t>
      </w:r>
      <w:r w:rsidRPr="00441DD1">
        <w:rPr>
          <w:sz w:val="24"/>
          <w:szCs w:val="24"/>
        </w:rPr>
        <w:t xml:space="preserve"> su</w:t>
      </w:r>
      <w:r>
        <w:rPr>
          <w:sz w:val="24"/>
          <w:szCs w:val="24"/>
        </w:rPr>
        <w:t>,</w:t>
      </w:r>
      <w:r w:rsidRPr="00441DD1">
        <w:rPr>
          <w:sz w:val="24"/>
          <w:szCs w:val="24"/>
        </w:rPr>
        <w:t xml:space="preserve"> </w:t>
      </w:r>
      <w:r>
        <w:rPr>
          <w:sz w:val="24"/>
          <w:szCs w:val="24"/>
        </w:rPr>
        <w:t xml:space="preserve">kako samostalna istraživanja, zaključivanja i proučavanja financijske literature sa što više praktičnog sadržaja, tako i </w:t>
      </w:r>
      <w:r w:rsidRPr="00441DD1">
        <w:rPr>
          <w:sz w:val="24"/>
          <w:szCs w:val="24"/>
        </w:rPr>
        <w:t xml:space="preserve">savjeti stručnjaka koji rade u financijskim institucijama, savjetodavnim uredima (consulting kuće), agencijama za prodaju osiguranja ili stambene štednje, savjeti računovođa, poreznih savjetnika i odvjetnika. Važni izvori informacija su </w:t>
      </w:r>
      <w:r w:rsidR="00113DE1">
        <w:rPr>
          <w:sz w:val="24"/>
          <w:szCs w:val="24"/>
        </w:rPr>
        <w:t>stoga</w:t>
      </w:r>
      <w:r w:rsidRPr="00441DD1">
        <w:rPr>
          <w:sz w:val="24"/>
          <w:szCs w:val="24"/>
        </w:rPr>
        <w:t xml:space="preserve"> </w:t>
      </w:r>
      <w:r>
        <w:rPr>
          <w:sz w:val="24"/>
          <w:szCs w:val="24"/>
        </w:rPr>
        <w:t xml:space="preserve">znanstvene i </w:t>
      </w:r>
      <w:r w:rsidRPr="00441DD1">
        <w:rPr>
          <w:sz w:val="24"/>
          <w:szCs w:val="24"/>
        </w:rPr>
        <w:t>stručne knjige, edukacijski programi i seminari, dnevne novine, specijalizirani časopisi</w:t>
      </w:r>
      <w:r w:rsidR="00113DE1">
        <w:rPr>
          <w:sz w:val="24"/>
          <w:szCs w:val="24"/>
        </w:rPr>
        <w:t xml:space="preserve"> posebno oni koji prate nove trendove u području oporezivanja, računovodstva, bankarstva itd.</w:t>
      </w:r>
      <w:r w:rsidRPr="00441DD1">
        <w:rPr>
          <w:sz w:val="24"/>
          <w:szCs w:val="24"/>
        </w:rPr>
        <w:t xml:space="preserve">, Internet </w:t>
      </w:r>
      <w:r w:rsidR="00113DE1">
        <w:rPr>
          <w:sz w:val="24"/>
          <w:szCs w:val="24"/>
        </w:rPr>
        <w:t xml:space="preserve">(dostupni su brojni web portali s korisnim i praktičnim savjetima) </w:t>
      </w:r>
      <w:r w:rsidRPr="00441DD1">
        <w:rPr>
          <w:sz w:val="24"/>
          <w:szCs w:val="24"/>
        </w:rPr>
        <w:t xml:space="preserve">te stečena temeljna ekonomska znanja o ponašanju ekonomije i kretanju vrijednosti različitih oblika imovine u fazama poslovnog i financijskog ciklusa. </w:t>
      </w:r>
      <w:r w:rsidR="00113DE1" w:rsidRPr="003A1D00">
        <w:rPr>
          <w:color w:val="C00000"/>
          <w:sz w:val="24"/>
          <w:szCs w:val="24"/>
        </w:rPr>
        <w:t>Potrebna su i određena znanja iz matematike</w:t>
      </w:r>
      <w:r w:rsidR="002441E3" w:rsidRPr="003A1D00">
        <w:rPr>
          <w:color w:val="C00000"/>
          <w:sz w:val="24"/>
          <w:szCs w:val="24"/>
        </w:rPr>
        <w:t xml:space="preserve"> i</w:t>
      </w:r>
      <w:r w:rsidR="00113DE1" w:rsidRPr="003A1D00">
        <w:rPr>
          <w:color w:val="C00000"/>
          <w:sz w:val="24"/>
          <w:szCs w:val="24"/>
        </w:rPr>
        <w:t xml:space="preserve"> kamatnog računa, kao i psihologije – </w:t>
      </w:r>
      <w:r w:rsidR="00113DE1" w:rsidRPr="003A1D00">
        <w:rPr>
          <w:sz w:val="24"/>
          <w:szCs w:val="24"/>
        </w:rPr>
        <w:t>kako bi osoba postala svjesna vlastitih iracionalnosti u financijskom ponašanju</w:t>
      </w:r>
      <w:r w:rsidR="002441E3" w:rsidRPr="003A1D00">
        <w:rPr>
          <w:sz w:val="24"/>
          <w:szCs w:val="24"/>
        </w:rPr>
        <w:t xml:space="preserve">, </w:t>
      </w:r>
      <w:r w:rsidR="003A1D00">
        <w:rPr>
          <w:sz w:val="24"/>
          <w:szCs w:val="24"/>
        </w:rPr>
        <w:t>načina kako se impleme</w:t>
      </w:r>
      <w:r w:rsidR="003A1D00" w:rsidRPr="003A1D00">
        <w:rPr>
          <w:sz w:val="24"/>
          <w:szCs w:val="24"/>
        </w:rPr>
        <w:t>ntiraju prakse upravljanja ponašanjem potrošača</w:t>
      </w:r>
      <w:r w:rsidR="002441E3" w:rsidRPr="003A1D00">
        <w:rPr>
          <w:sz w:val="24"/>
          <w:szCs w:val="24"/>
        </w:rPr>
        <w:t xml:space="preserve"> s ciljem unapređenja prodaje te posebno</w:t>
      </w:r>
      <w:r w:rsidR="003A1D00" w:rsidRPr="003A1D00">
        <w:rPr>
          <w:sz w:val="24"/>
          <w:szCs w:val="24"/>
        </w:rPr>
        <w:t>,</w:t>
      </w:r>
      <w:r w:rsidR="002441E3" w:rsidRPr="003A1D00">
        <w:rPr>
          <w:sz w:val="24"/>
          <w:szCs w:val="24"/>
        </w:rPr>
        <w:t xml:space="preserve"> kako bi svoje </w:t>
      </w:r>
      <w:r w:rsidR="003A1D00" w:rsidRPr="003A1D00">
        <w:rPr>
          <w:sz w:val="24"/>
          <w:szCs w:val="24"/>
        </w:rPr>
        <w:t xml:space="preserve">nenamjeravane i </w:t>
      </w:r>
      <w:r w:rsidR="002441E3" w:rsidRPr="003A1D00">
        <w:rPr>
          <w:sz w:val="24"/>
          <w:szCs w:val="24"/>
        </w:rPr>
        <w:t xml:space="preserve">nesvjesne </w:t>
      </w:r>
      <w:r w:rsidR="00113DE1" w:rsidRPr="003A1D00">
        <w:rPr>
          <w:sz w:val="24"/>
          <w:szCs w:val="24"/>
        </w:rPr>
        <w:t>loše financijske navike zamijeni</w:t>
      </w:r>
      <w:r w:rsidR="002441E3" w:rsidRPr="003A1D00">
        <w:rPr>
          <w:sz w:val="24"/>
          <w:szCs w:val="24"/>
        </w:rPr>
        <w:t>la</w:t>
      </w:r>
      <w:r w:rsidR="00113DE1" w:rsidRPr="003A1D00">
        <w:rPr>
          <w:sz w:val="24"/>
          <w:szCs w:val="24"/>
        </w:rPr>
        <w:t xml:space="preserve"> </w:t>
      </w:r>
      <w:r w:rsidR="002441E3" w:rsidRPr="003A1D00">
        <w:rPr>
          <w:sz w:val="24"/>
          <w:szCs w:val="24"/>
        </w:rPr>
        <w:t xml:space="preserve">svjesnim </w:t>
      </w:r>
      <w:r w:rsidR="00113DE1" w:rsidRPr="003A1D00">
        <w:rPr>
          <w:sz w:val="24"/>
          <w:szCs w:val="24"/>
        </w:rPr>
        <w:t>dobrim</w:t>
      </w:r>
      <w:r w:rsidR="002441E3" w:rsidRPr="003A1D00">
        <w:rPr>
          <w:sz w:val="24"/>
          <w:szCs w:val="24"/>
        </w:rPr>
        <w:t xml:space="preserve"> financijskim navikama</w:t>
      </w:r>
      <w:r w:rsidR="00113DE1" w:rsidRPr="003A1D00">
        <w:rPr>
          <w:sz w:val="24"/>
          <w:szCs w:val="24"/>
        </w:rPr>
        <w:t xml:space="preserve">. </w:t>
      </w:r>
    </w:p>
    <w:p w:rsidR="004E1450" w:rsidRDefault="002C42D7" w:rsidP="00441DD1">
      <w:pPr>
        <w:jc w:val="both"/>
        <w:rPr>
          <w:sz w:val="24"/>
          <w:szCs w:val="24"/>
        </w:rPr>
      </w:pPr>
      <w:r>
        <w:rPr>
          <w:sz w:val="24"/>
          <w:szCs w:val="24"/>
        </w:rPr>
        <w:t xml:space="preserve">Povećanjem </w:t>
      </w:r>
      <w:r w:rsidRPr="00201C71">
        <w:rPr>
          <w:color w:val="C00000"/>
          <w:sz w:val="24"/>
          <w:szCs w:val="24"/>
        </w:rPr>
        <w:t>financijske pismenosti i financijskih znanja pridonosi se većoj financijskoj uključenosti pojedinca</w:t>
      </w:r>
      <w:r>
        <w:rPr>
          <w:sz w:val="24"/>
          <w:szCs w:val="24"/>
        </w:rPr>
        <w:t xml:space="preserve">. Iako je općeniti stav da građani Hrvatske nisu financijski isključeni (kao što je to slučaj u brojnim nerazvijenim zemljama) jer su im dostupne brojne financijske usluge i proizvodi </w:t>
      </w:r>
      <w:r w:rsidR="004E1450">
        <w:rPr>
          <w:sz w:val="24"/>
          <w:szCs w:val="24"/>
        </w:rPr>
        <w:t>te</w:t>
      </w:r>
      <w:r>
        <w:rPr>
          <w:sz w:val="24"/>
          <w:szCs w:val="24"/>
        </w:rPr>
        <w:t xml:space="preserve"> oni ih uvelike koriste, npr. tekuće račune i štedne račune u bankama, kreditne kartice </w:t>
      </w:r>
      <w:r w:rsidR="004E1450">
        <w:rPr>
          <w:sz w:val="24"/>
          <w:szCs w:val="24"/>
        </w:rPr>
        <w:t>te stambene i druge</w:t>
      </w:r>
      <w:r>
        <w:rPr>
          <w:sz w:val="24"/>
          <w:szCs w:val="24"/>
        </w:rPr>
        <w:t xml:space="preserve"> kredite banaka, </w:t>
      </w:r>
      <w:r w:rsidRPr="003A1D00">
        <w:rPr>
          <w:color w:val="C00000"/>
          <w:sz w:val="24"/>
          <w:szCs w:val="24"/>
        </w:rPr>
        <w:t>financijska uključenost je još uvijek vrlo niska kod dijela ljudi koji žive u ruralnim krajevima, kod starijeg stanovništva ali i mladih</w:t>
      </w:r>
      <w:r>
        <w:rPr>
          <w:sz w:val="24"/>
          <w:szCs w:val="24"/>
        </w:rPr>
        <w:t xml:space="preserve">. </w:t>
      </w:r>
      <w:r>
        <w:rPr>
          <w:sz w:val="24"/>
          <w:szCs w:val="24"/>
        </w:rPr>
        <w:lastRenderedPageBreak/>
        <w:t xml:space="preserve">Dodatno financijska uključenost je niska i po pitanju korištenja proizvoda i usluga koje nisu klasična štednja ili kredit. Tako još uvijek mali broj građana ima životno osiguranje, dobrovoljno mirovinsko osiguranje, dobrovoljno zdravstveno osiguranje, osiguranje od nezgode, osiguranje stana ili druge imovine. Isto tako relativno malo se ulaže u investicijske fondove, kao i stamenu štednju, dok su direktna samostalna ulaganja u dionice prisutna kod relativno malog broja </w:t>
      </w:r>
      <w:r w:rsidR="004E1450">
        <w:rPr>
          <w:sz w:val="24"/>
          <w:szCs w:val="24"/>
        </w:rPr>
        <w:t xml:space="preserve">osoba iz viših i visokih dohodovnih razreda. </w:t>
      </w:r>
    </w:p>
    <w:p w:rsidR="00837621" w:rsidRDefault="004E1450" w:rsidP="00441DD1">
      <w:pPr>
        <w:jc w:val="both"/>
        <w:rPr>
          <w:sz w:val="24"/>
          <w:szCs w:val="24"/>
        </w:rPr>
      </w:pPr>
      <w:r>
        <w:rPr>
          <w:sz w:val="24"/>
          <w:szCs w:val="24"/>
        </w:rPr>
        <w:t xml:space="preserve">S druge strane, </w:t>
      </w:r>
      <w:r w:rsidRPr="003A1D00">
        <w:rPr>
          <w:color w:val="C00000"/>
          <w:sz w:val="24"/>
          <w:szCs w:val="24"/>
        </w:rPr>
        <w:t xml:space="preserve">financijska isključenost </w:t>
      </w:r>
      <w:r>
        <w:rPr>
          <w:sz w:val="24"/>
          <w:szCs w:val="24"/>
        </w:rPr>
        <w:t xml:space="preserve">je rizik koji danas prijeti mnogim obiteljima koje ne mogu servisirati dugove, nad kojima se provode postupci pljenidbe sredstava i ovrhe, koji zbog neurednosti otplaćivanja kredita i loše kreditne povijesti možda više nikada neće biti u poziciji da mogu realizirati kredit ili koristiti kreditne kartice. </w:t>
      </w:r>
    </w:p>
    <w:p w:rsidR="002C42D7" w:rsidRPr="00441DD1" w:rsidRDefault="00837621" w:rsidP="00441DD1">
      <w:pPr>
        <w:jc w:val="both"/>
        <w:rPr>
          <w:sz w:val="24"/>
          <w:szCs w:val="24"/>
        </w:rPr>
      </w:pPr>
      <w:r>
        <w:rPr>
          <w:sz w:val="24"/>
          <w:szCs w:val="24"/>
        </w:rPr>
        <w:t>F</w:t>
      </w:r>
      <w:r w:rsidR="004E1450">
        <w:rPr>
          <w:sz w:val="24"/>
          <w:szCs w:val="24"/>
        </w:rPr>
        <w:t xml:space="preserve">inancijska uključenost po određenim kategorijama financijskih proizvoda kao što su krediti nije samo pozitivan fenomen, nego može poprimiti i negativna obilježja kao što je slučaj prekomjernog zaduživanja dijela građana u </w:t>
      </w:r>
      <w:r w:rsidR="001D49CA">
        <w:rPr>
          <w:sz w:val="24"/>
          <w:szCs w:val="24"/>
        </w:rPr>
        <w:t>predkriz</w:t>
      </w:r>
      <w:r w:rsidR="004E1450">
        <w:rPr>
          <w:sz w:val="24"/>
          <w:szCs w:val="24"/>
        </w:rPr>
        <w:t xml:space="preserve">nom razdoblju čija je kreditna sposobnost u međuvremenu bitno smanjena, dok je istodobno danas prilično jasno da su brojne procjene banaka o kreditnoj sposobnosti njihovih dužnika </w:t>
      </w:r>
      <w:r w:rsidR="00201C71">
        <w:rPr>
          <w:sz w:val="24"/>
          <w:szCs w:val="24"/>
        </w:rPr>
        <w:t xml:space="preserve">ranije </w:t>
      </w:r>
      <w:r w:rsidR="004E1450">
        <w:rPr>
          <w:sz w:val="24"/>
          <w:szCs w:val="24"/>
        </w:rPr>
        <w:t xml:space="preserve">bile preoptimistične. Pri tome se </w:t>
      </w:r>
      <w:r w:rsidR="004E1450" w:rsidRPr="00201C71">
        <w:rPr>
          <w:color w:val="C00000"/>
          <w:sz w:val="24"/>
          <w:szCs w:val="24"/>
        </w:rPr>
        <w:t>tek tijekom kriznog razdoblja pokazalo da većina građana ne poznaje i ne razumije rizike koje su prihvatili potpisivanjem ugovora o stambenom ili drugom kreditu</w:t>
      </w:r>
      <w:r w:rsidR="004E1450">
        <w:rPr>
          <w:sz w:val="24"/>
          <w:szCs w:val="24"/>
        </w:rPr>
        <w:t>.</w:t>
      </w:r>
    </w:p>
    <w:p w:rsidR="003B7607" w:rsidRDefault="004E1450" w:rsidP="003B7607">
      <w:pPr>
        <w:jc w:val="both"/>
        <w:rPr>
          <w:sz w:val="24"/>
          <w:szCs w:val="24"/>
        </w:rPr>
      </w:pPr>
      <w:r>
        <w:rPr>
          <w:sz w:val="24"/>
          <w:szCs w:val="24"/>
        </w:rPr>
        <w:t>Međutim, niti z</w:t>
      </w:r>
      <w:r w:rsidR="00441DD1">
        <w:rPr>
          <w:sz w:val="24"/>
          <w:szCs w:val="24"/>
        </w:rPr>
        <w:t xml:space="preserve">nanja, informiranost </w:t>
      </w:r>
      <w:r>
        <w:rPr>
          <w:sz w:val="24"/>
          <w:szCs w:val="24"/>
        </w:rPr>
        <w:t xml:space="preserve">kao niti </w:t>
      </w:r>
      <w:r w:rsidR="003B7607">
        <w:rPr>
          <w:sz w:val="24"/>
          <w:szCs w:val="24"/>
        </w:rPr>
        <w:t>d</w:t>
      </w:r>
      <w:r w:rsidR="00F633B4">
        <w:rPr>
          <w:sz w:val="24"/>
          <w:szCs w:val="24"/>
        </w:rPr>
        <w:t>ob</w:t>
      </w:r>
      <w:r w:rsidR="003B7607">
        <w:rPr>
          <w:sz w:val="24"/>
          <w:szCs w:val="24"/>
        </w:rPr>
        <w:t>a</w:t>
      </w:r>
      <w:r w:rsidR="00F633B4">
        <w:rPr>
          <w:sz w:val="24"/>
          <w:szCs w:val="24"/>
        </w:rPr>
        <w:t xml:space="preserve">r financijski plan s adekvatno analiziranim i vrednovanim alternativama u postizanju ciljeva </w:t>
      </w:r>
      <w:r w:rsidR="00441DD1">
        <w:rPr>
          <w:sz w:val="24"/>
          <w:szCs w:val="24"/>
        </w:rPr>
        <w:t xml:space="preserve">nisu </w:t>
      </w:r>
      <w:r w:rsidR="003B7607">
        <w:rPr>
          <w:sz w:val="24"/>
          <w:szCs w:val="24"/>
        </w:rPr>
        <w:t>garancija da će se ciljevi zaista ostvariti kao što je planirano. Naime, pojedinca u tome mogu spriječiti različit</w:t>
      </w:r>
      <w:r w:rsidR="00076FE1">
        <w:rPr>
          <w:sz w:val="24"/>
          <w:szCs w:val="24"/>
        </w:rPr>
        <w:t>i</w:t>
      </w:r>
      <w:r w:rsidR="003B7607">
        <w:rPr>
          <w:sz w:val="24"/>
          <w:szCs w:val="24"/>
        </w:rPr>
        <w:t xml:space="preserve"> faktori nepovoljnih utjecaja iz interne ili eksterne okoline koji se manifestiraju kroz rizike nastupa štetnih događaja uzrokovanih različitim mogućim </w:t>
      </w:r>
      <w:r w:rsidR="00076FE1">
        <w:rPr>
          <w:sz w:val="24"/>
          <w:szCs w:val="24"/>
        </w:rPr>
        <w:t>uzrocima</w:t>
      </w:r>
      <w:r w:rsidR="003B7607">
        <w:rPr>
          <w:sz w:val="24"/>
          <w:szCs w:val="24"/>
        </w:rPr>
        <w:t xml:space="preserve">. To je i osnovni razlog zbog čega je povremeno potrebna revizija financijskog plana te definiranje ciljeva i strategije sukladno promjenama u okruženju odnosno faktorima koji se odražavaju na osobne financije.  </w:t>
      </w:r>
    </w:p>
    <w:p w:rsidR="006116A6" w:rsidRDefault="003B7607" w:rsidP="006116A6">
      <w:pPr>
        <w:jc w:val="both"/>
        <w:rPr>
          <w:sz w:val="24"/>
          <w:szCs w:val="24"/>
        </w:rPr>
      </w:pPr>
      <w:r>
        <w:rPr>
          <w:sz w:val="24"/>
          <w:szCs w:val="24"/>
        </w:rPr>
        <w:t>U</w:t>
      </w:r>
      <w:r w:rsidR="00A83A77" w:rsidRPr="00A83A77">
        <w:rPr>
          <w:sz w:val="24"/>
          <w:szCs w:val="24"/>
        </w:rPr>
        <w:t>z svaku financijsku odluku veže se određeni stupanj nesigurnosti (rizika)</w:t>
      </w:r>
      <w:r>
        <w:rPr>
          <w:sz w:val="24"/>
          <w:szCs w:val="24"/>
        </w:rPr>
        <w:t xml:space="preserve">. Njihovo zanemarivanje, nepravovremeno anticipiranje ili odsustvo adekvatne zaštite </w:t>
      </w:r>
      <w:r w:rsidR="00A83A77">
        <w:rPr>
          <w:sz w:val="24"/>
          <w:szCs w:val="24"/>
        </w:rPr>
        <w:t>može biti razlogom brojnih promašaja i loših odluka u upravljanju osobnim financijama</w:t>
      </w:r>
      <w:r>
        <w:rPr>
          <w:sz w:val="24"/>
          <w:szCs w:val="24"/>
        </w:rPr>
        <w:t>, ali i razlogom značajnih financijskih šokova.</w:t>
      </w:r>
      <w:r w:rsidR="00A83A77">
        <w:rPr>
          <w:sz w:val="24"/>
          <w:szCs w:val="24"/>
        </w:rPr>
        <w:t xml:space="preserve"> </w:t>
      </w:r>
      <w:r w:rsidR="00F04C7F" w:rsidRPr="009C0A55">
        <w:rPr>
          <w:color w:val="C00000"/>
          <w:sz w:val="24"/>
          <w:szCs w:val="24"/>
        </w:rPr>
        <w:t>Rizici u upravljanju osobnim financijama su brojni, a mogu se podijeliti na makroekonomske rizike, financijske rizike i osobne rizike</w:t>
      </w:r>
      <w:r w:rsidR="00F04C7F" w:rsidRPr="00A83A77">
        <w:rPr>
          <w:sz w:val="24"/>
          <w:szCs w:val="24"/>
        </w:rPr>
        <w:t>.</w:t>
      </w:r>
    </w:p>
    <w:p w:rsidR="00B40EFE" w:rsidRDefault="006116A6" w:rsidP="006116A6">
      <w:pPr>
        <w:jc w:val="both"/>
        <w:rPr>
          <w:sz w:val="24"/>
          <w:szCs w:val="24"/>
        </w:rPr>
      </w:pPr>
      <w:r w:rsidRPr="00A83A77">
        <w:rPr>
          <w:sz w:val="24"/>
          <w:szCs w:val="24"/>
        </w:rPr>
        <w:t xml:space="preserve">Najčešći </w:t>
      </w:r>
      <w:r>
        <w:rPr>
          <w:sz w:val="24"/>
          <w:szCs w:val="24"/>
        </w:rPr>
        <w:t xml:space="preserve">oblici rizika </w:t>
      </w:r>
      <w:r w:rsidRPr="00A83A77">
        <w:rPr>
          <w:sz w:val="24"/>
          <w:szCs w:val="24"/>
        </w:rPr>
        <w:t>koji treba uzeti u obzir pri planiranju osobnih financija</w:t>
      </w:r>
      <w:r>
        <w:rPr>
          <w:sz w:val="24"/>
          <w:szCs w:val="24"/>
        </w:rPr>
        <w:t xml:space="preserve"> (planiranju kućnog budžeta, visine i strukture imovine i obveza), formiranju i alokaciji štednje</w:t>
      </w:r>
      <w:r w:rsidRPr="00A83A77">
        <w:rPr>
          <w:sz w:val="24"/>
          <w:szCs w:val="24"/>
        </w:rPr>
        <w:t xml:space="preserve">, </w:t>
      </w:r>
      <w:r w:rsidR="00201C71">
        <w:rPr>
          <w:sz w:val="24"/>
          <w:szCs w:val="24"/>
        </w:rPr>
        <w:t xml:space="preserve">ulaganju u financijsku i realnu imovinu, </w:t>
      </w:r>
      <w:r w:rsidRPr="00A83A77">
        <w:rPr>
          <w:sz w:val="24"/>
          <w:szCs w:val="24"/>
        </w:rPr>
        <w:t>od</w:t>
      </w:r>
      <w:r>
        <w:rPr>
          <w:sz w:val="24"/>
          <w:szCs w:val="24"/>
        </w:rPr>
        <w:t xml:space="preserve">ređivanju financijskih ciljeva te drugim aktivnostima u procesu upravljanja osobnim financijama </w:t>
      </w:r>
      <w:r w:rsidRPr="00A83A77">
        <w:rPr>
          <w:sz w:val="24"/>
          <w:szCs w:val="24"/>
        </w:rPr>
        <w:t xml:space="preserve">su: </w:t>
      </w:r>
      <w:r>
        <w:rPr>
          <w:sz w:val="24"/>
          <w:szCs w:val="24"/>
        </w:rPr>
        <w:t>rizik inflacije, kamatni rizi</w:t>
      </w:r>
      <w:r w:rsidR="00C357E4">
        <w:rPr>
          <w:sz w:val="24"/>
          <w:szCs w:val="24"/>
        </w:rPr>
        <w:t>k</w:t>
      </w:r>
      <w:r>
        <w:rPr>
          <w:sz w:val="24"/>
          <w:szCs w:val="24"/>
        </w:rPr>
        <w:t>, valutni rizik, tržišni rizici, rizici likvidnosti, rizik dohotka</w:t>
      </w:r>
      <w:r w:rsidR="00D25203">
        <w:rPr>
          <w:sz w:val="24"/>
          <w:szCs w:val="24"/>
        </w:rPr>
        <w:t xml:space="preserve">, rizik </w:t>
      </w:r>
      <w:r>
        <w:rPr>
          <w:sz w:val="24"/>
          <w:szCs w:val="24"/>
        </w:rPr>
        <w:t>nezaposlenosti, porezni rizici, osobn</w:t>
      </w:r>
      <w:r w:rsidR="00607D7C">
        <w:rPr>
          <w:sz w:val="24"/>
          <w:szCs w:val="24"/>
        </w:rPr>
        <w:t xml:space="preserve">i rizici te rizici neočekivanih </w:t>
      </w:r>
      <w:r>
        <w:rPr>
          <w:sz w:val="24"/>
          <w:szCs w:val="24"/>
        </w:rPr>
        <w:t xml:space="preserve">događaja. </w:t>
      </w:r>
    </w:p>
    <w:p w:rsidR="006116A6" w:rsidRPr="00A83A77" w:rsidRDefault="006116A6" w:rsidP="006116A6">
      <w:pPr>
        <w:jc w:val="both"/>
        <w:rPr>
          <w:sz w:val="24"/>
          <w:szCs w:val="24"/>
        </w:rPr>
      </w:pPr>
      <w:r>
        <w:rPr>
          <w:sz w:val="24"/>
          <w:szCs w:val="24"/>
        </w:rPr>
        <w:t>Dok su posljednje dvije kategorije prvenstveno određene faktorima interne okoline, svi ostali pojavni oblici rizika determinirani su eksternom okolinom</w:t>
      </w:r>
      <w:r w:rsidR="00201C71">
        <w:rPr>
          <w:sz w:val="24"/>
          <w:szCs w:val="24"/>
        </w:rPr>
        <w:t>,</w:t>
      </w:r>
      <w:r>
        <w:rPr>
          <w:sz w:val="24"/>
          <w:szCs w:val="24"/>
        </w:rPr>
        <w:t xml:space="preserve"> a poglavito promjenama na </w:t>
      </w:r>
      <w:r>
        <w:rPr>
          <w:sz w:val="24"/>
          <w:szCs w:val="24"/>
        </w:rPr>
        <w:lastRenderedPageBreak/>
        <w:t>makroekonomskoj razini koje se očituju učincima na sva tržišta uključujući tržite roba i usluga, tržište rada te financijska tržišta. Financijski rizici, odnosno rizici vezani uz promjene na financijskim tržištima su u značajnoj mjeri determinirani makroekonomskim zbivanjima u zemlji i/ili (sve češće) na globalnoj razini. Stoga je se neke kategorije istodobno vežu i za makroekonomske rizike i za financijske rizike, npr. kamatni rizik, valutni rizik, rizik promjene cijena imovine (tržišni rizik)</w:t>
      </w:r>
      <w:r w:rsidR="00B40EFE">
        <w:rPr>
          <w:sz w:val="24"/>
          <w:szCs w:val="24"/>
        </w:rPr>
        <w:t xml:space="preserve"> i</w:t>
      </w:r>
      <w:r>
        <w:rPr>
          <w:sz w:val="24"/>
          <w:szCs w:val="24"/>
        </w:rPr>
        <w:t xml:space="preserve"> rizik likvidnosti</w:t>
      </w:r>
      <w:r w:rsidR="00B40EFE">
        <w:rPr>
          <w:sz w:val="24"/>
          <w:szCs w:val="24"/>
        </w:rPr>
        <w:t>.</w:t>
      </w:r>
    </w:p>
    <w:p w:rsidR="003B7607" w:rsidRDefault="00A83A77" w:rsidP="00A83A77">
      <w:pPr>
        <w:jc w:val="both"/>
        <w:rPr>
          <w:sz w:val="24"/>
          <w:szCs w:val="24"/>
        </w:rPr>
      </w:pPr>
      <w:r>
        <w:rPr>
          <w:sz w:val="24"/>
          <w:szCs w:val="24"/>
        </w:rPr>
        <w:t xml:space="preserve">U praktičnom smislu svijest o </w:t>
      </w:r>
      <w:r w:rsidR="00B40EFE">
        <w:rPr>
          <w:sz w:val="24"/>
          <w:szCs w:val="24"/>
        </w:rPr>
        <w:t xml:space="preserve">čimbenicima rizičnosti </w:t>
      </w:r>
      <w:r>
        <w:rPr>
          <w:sz w:val="24"/>
          <w:szCs w:val="24"/>
        </w:rPr>
        <w:t>važna koliko i znanja / informiranost o različitim oblicima financijske imovine ili zaduživanja koji se vežu uz financije pojedinca (kućanstva)</w:t>
      </w:r>
      <w:r w:rsidR="003B7607">
        <w:rPr>
          <w:sz w:val="24"/>
          <w:szCs w:val="24"/>
        </w:rPr>
        <w:t>. Stoga će se ovo poglavlje prvo orijentirati na oblike i faktore rizika u osobnim financijama te potom na tematiku vremenske vrijednosti novca i mogućnosti kapitalizaci</w:t>
      </w:r>
      <w:r w:rsidR="006E4C6C">
        <w:rPr>
          <w:sz w:val="24"/>
          <w:szCs w:val="24"/>
        </w:rPr>
        <w:t xml:space="preserve">je štednje kroz različite štedne </w:t>
      </w:r>
      <w:r w:rsidR="003B7607">
        <w:rPr>
          <w:sz w:val="24"/>
          <w:szCs w:val="24"/>
        </w:rPr>
        <w:t>instrumente</w:t>
      </w:r>
      <w:r w:rsidR="006E4C6C">
        <w:rPr>
          <w:sz w:val="24"/>
          <w:szCs w:val="24"/>
        </w:rPr>
        <w:t xml:space="preserve"> banaka i stambenih štedionica kao najčešće korištene financijske proizvode u Hrvatskoj, dok će u drugim poglavljima biti razmotrene ostale štedno-ulagačke mogućnosti</w:t>
      </w:r>
      <w:r w:rsidR="003B7607">
        <w:rPr>
          <w:sz w:val="24"/>
          <w:szCs w:val="24"/>
        </w:rPr>
        <w:t xml:space="preserve">. </w:t>
      </w:r>
    </w:p>
    <w:p w:rsidR="00A83A77" w:rsidRPr="00E40E29" w:rsidRDefault="00E40E29" w:rsidP="00A83A77">
      <w:pPr>
        <w:jc w:val="both"/>
        <w:rPr>
          <w:b/>
          <w:sz w:val="24"/>
          <w:szCs w:val="24"/>
        </w:rPr>
      </w:pPr>
      <w:r w:rsidRPr="00E40E29">
        <w:rPr>
          <w:b/>
          <w:sz w:val="24"/>
          <w:szCs w:val="24"/>
        </w:rPr>
        <w:t xml:space="preserve">3.1. </w:t>
      </w:r>
      <w:r w:rsidR="005650BF">
        <w:rPr>
          <w:b/>
          <w:sz w:val="24"/>
          <w:szCs w:val="24"/>
        </w:rPr>
        <w:t>Makroekonomski r</w:t>
      </w:r>
      <w:r w:rsidR="000F0521">
        <w:rPr>
          <w:b/>
          <w:sz w:val="24"/>
          <w:szCs w:val="24"/>
        </w:rPr>
        <w:t xml:space="preserve">izici </w:t>
      </w:r>
      <w:r w:rsidRPr="00E40E29">
        <w:rPr>
          <w:b/>
          <w:sz w:val="24"/>
          <w:szCs w:val="24"/>
        </w:rPr>
        <w:t>u upravljanju osobnim financijama</w:t>
      </w:r>
    </w:p>
    <w:p w:rsidR="000F0521" w:rsidRDefault="00A83A77" w:rsidP="00A83A77">
      <w:pPr>
        <w:autoSpaceDE w:val="0"/>
        <w:autoSpaceDN w:val="0"/>
        <w:adjustRightInd w:val="0"/>
        <w:jc w:val="both"/>
        <w:rPr>
          <w:sz w:val="24"/>
          <w:szCs w:val="24"/>
        </w:rPr>
      </w:pPr>
      <w:r w:rsidRPr="00A83A77">
        <w:rPr>
          <w:sz w:val="24"/>
          <w:szCs w:val="24"/>
        </w:rPr>
        <w:t xml:space="preserve">Poslovni ciklus uključuje ciklička kretanja ekonomske aktivnosti u okviru koje se smjenjuju razdoblja ekspanzije i recesije, dok se </w:t>
      </w:r>
      <w:r w:rsidRPr="00F212EC">
        <w:rPr>
          <w:color w:val="C00000"/>
          <w:sz w:val="24"/>
          <w:szCs w:val="24"/>
        </w:rPr>
        <w:t xml:space="preserve">financijski ciklus </w:t>
      </w:r>
      <w:r w:rsidRPr="00A83A77">
        <w:rPr>
          <w:sz w:val="24"/>
          <w:szCs w:val="24"/>
        </w:rPr>
        <w:t xml:space="preserve">odnosi na ciklička kretanja tržišne vrijednosti dionica, kretanja ponude bankovnih kredita te ponude novca. U razdoblju ekspanzije raste obujam proizvodnje, </w:t>
      </w:r>
      <w:r w:rsidR="000F0521">
        <w:rPr>
          <w:sz w:val="24"/>
          <w:szCs w:val="24"/>
        </w:rPr>
        <w:t>povećavaju se investicije i potrošnja te</w:t>
      </w:r>
      <w:r w:rsidRPr="00A83A77">
        <w:rPr>
          <w:sz w:val="24"/>
          <w:szCs w:val="24"/>
        </w:rPr>
        <w:t xml:space="preserve"> zarada kućanstva i zaposlenost. Ova kretanja uobičajeno prati rast količine novca u optjecaju, snažna kreditna aktivnost banaka, rast cijena dionica, pad kamatnjaka te veći ili manji porast opće razine cijena roba i usluga (inflacija). </w:t>
      </w:r>
    </w:p>
    <w:p w:rsidR="00A83A77" w:rsidRDefault="00A83A77" w:rsidP="00A83A77">
      <w:pPr>
        <w:autoSpaceDE w:val="0"/>
        <w:autoSpaceDN w:val="0"/>
        <w:adjustRightInd w:val="0"/>
        <w:jc w:val="both"/>
        <w:rPr>
          <w:sz w:val="24"/>
          <w:szCs w:val="24"/>
        </w:rPr>
      </w:pPr>
      <w:r w:rsidRPr="00A83A77">
        <w:rPr>
          <w:sz w:val="24"/>
          <w:szCs w:val="24"/>
        </w:rPr>
        <w:t xml:space="preserve">Iako je rast ekonomske aktivnosti isprva vrlo snažan, intenzitet ekonomskog rasta s vremenom se sve više smanjuje, dostupnost kredita je manja, kamatnjaci se povećavaju, a investicije smanjuju. </w:t>
      </w:r>
      <w:r w:rsidRPr="00F212EC">
        <w:rPr>
          <w:color w:val="C00000"/>
          <w:sz w:val="24"/>
          <w:szCs w:val="24"/>
        </w:rPr>
        <w:t xml:space="preserve">Nakon što je privreda dostigla „vrhunac“započinje faza kontrakcije. </w:t>
      </w:r>
      <w:r w:rsidRPr="00A83A77">
        <w:rPr>
          <w:sz w:val="24"/>
          <w:szCs w:val="24"/>
        </w:rPr>
        <w:t>Pojava recesije vidljiva je u padu proizvodnje, dohotka i zaposlenosti. Potrošnja se smanjuje, zalihe neprodane robe se povećavaju, dok se rast cijena usporava. Navedeno tipično prati značajan pad cijena dionica i nekretnina te oskudica kredita</w:t>
      </w:r>
      <w:r w:rsidR="00525B69">
        <w:rPr>
          <w:sz w:val="24"/>
          <w:szCs w:val="24"/>
        </w:rPr>
        <w:t xml:space="preserve"> i pad transakcijske potražnje za novcem</w:t>
      </w:r>
      <w:r w:rsidRPr="00A83A77">
        <w:rPr>
          <w:sz w:val="24"/>
          <w:szCs w:val="24"/>
        </w:rPr>
        <w:t>.</w:t>
      </w:r>
      <w:r w:rsidRPr="000F0521">
        <w:rPr>
          <w:sz w:val="24"/>
          <w:szCs w:val="24"/>
          <w:vertAlign w:val="superscript"/>
        </w:rPr>
        <w:footnoteReference w:id="55"/>
      </w:r>
      <w:r w:rsidRPr="00A83A77">
        <w:rPr>
          <w:sz w:val="24"/>
          <w:szCs w:val="24"/>
        </w:rPr>
        <w:t xml:space="preserve">  Nakon što privreda dostigne „dno“ započinje uzlazna faza poslovnog ciklusa, odnosno novo razdoblje ekspanzije. </w:t>
      </w:r>
    </w:p>
    <w:p w:rsidR="007F34DC" w:rsidRDefault="00477187" w:rsidP="00477187">
      <w:pPr>
        <w:jc w:val="both"/>
        <w:rPr>
          <w:sz w:val="24"/>
          <w:szCs w:val="24"/>
        </w:rPr>
      </w:pPr>
      <w:r w:rsidRPr="007F1CE8">
        <w:rPr>
          <w:sz w:val="24"/>
          <w:szCs w:val="24"/>
        </w:rPr>
        <w:t xml:space="preserve">Sve navedeno odgovara opisu biblijskih sedam debelih krava pa sedam mršavih krava, pa onda opet još većih sedam debelih krava i jako ružnih polumrtvih mršavih krava. Smjene dobrih i loših vremena kroz 28 do 30 godina traju skoro toliko koliko traje </w:t>
      </w:r>
      <w:r>
        <w:rPr>
          <w:sz w:val="24"/>
          <w:szCs w:val="24"/>
        </w:rPr>
        <w:t xml:space="preserve">npr. </w:t>
      </w:r>
      <w:r w:rsidRPr="007F1CE8">
        <w:rPr>
          <w:sz w:val="24"/>
          <w:szCs w:val="24"/>
        </w:rPr>
        <w:t>otplata stambenog ili investicijskog kredita, ili koliko će otprilike proći od 50 godine života</w:t>
      </w:r>
      <w:r>
        <w:rPr>
          <w:sz w:val="24"/>
          <w:szCs w:val="24"/>
        </w:rPr>
        <w:t xml:space="preserve"> pojedinca</w:t>
      </w:r>
      <w:r w:rsidRPr="007F1CE8">
        <w:rPr>
          <w:sz w:val="24"/>
          <w:szCs w:val="24"/>
        </w:rPr>
        <w:t xml:space="preserve"> (vrhunca stjecanja materijalnih dobara) do prosječne godine doživljenja</w:t>
      </w:r>
      <w:r>
        <w:rPr>
          <w:sz w:val="24"/>
          <w:szCs w:val="24"/>
        </w:rPr>
        <w:t>, a između je razdoblje starosti za koju na vrijeme treba formirati štednju</w:t>
      </w:r>
      <w:r w:rsidRPr="007F1CE8">
        <w:rPr>
          <w:sz w:val="24"/>
          <w:szCs w:val="24"/>
        </w:rPr>
        <w:t xml:space="preserve">. </w:t>
      </w:r>
      <w:r w:rsidR="00733AB9">
        <w:rPr>
          <w:sz w:val="24"/>
          <w:szCs w:val="24"/>
        </w:rPr>
        <w:t xml:space="preserve">Dugoročno planiranje stoga mora predvidjeti smjene faza poslovnog i financijskog ciklusa, ali i drugih vrsta ciklusa koji  s </w:t>
      </w:r>
      <w:r w:rsidR="00733AB9">
        <w:rPr>
          <w:sz w:val="24"/>
          <w:szCs w:val="24"/>
        </w:rPr>
        <w:lastRenderedPageBreak/>
        <w:t>njima najčešće povezani (</w:t>
      </w:r>
      <w:r w:rsidR="00FD1560">
        <w:rPr>
          <w:sz w:val="24"/>
          <w:szCs w:val="24"/>
        </w:rPr>
        <w:t xml:space="preserve">investicijski ciklusi i tehnološki ciklusi vođeni razvojem inovacija ali s posljedičnim učincima na razvoj pojedinih djelatnosti i odumiranje drugih te učincima na potražnju za radnom snagom specifičnih kvalifikacija; </w:t>
      </w:r>
      <w:r w:rsidR="00733AB9">
        <w:rPr>
          <w:sz w:val="24"/>
          <w:szCs w:val="24"/>
        </w:rPr>
        <w:t xml:space="preserve">prirodni ciklusi </w:t>
      </w:r>
      <w:r w:rsidR="00FD1560">
        <w:rPr>
          <w:sz w:val="24"/>
          <w:szCs w:val="24"/>
        </w:rPr>
        <w:t xml:space="preserve">poput </w:t>
      </w:r>
      <w:r w:rsidR="00FD1560" w:rsidRPr="00FD1560">
        <w:rPr>
          <w:sz w:val="24"/>
          <w:szCs w:val="24"/>
        </w:rPr>
        <w:t>suše ili</w:t>
      </w:r>
      <w:r w:rsidR="00733AB9" w:rsidRPr="00FD1560">
        <w:rPr>
          <w:sz w:val="24"/>
          <w:szCs w:val="24"/>
        </w:rPr>
        <w:t xml:space="preserve"> poplave, ratovi, epidemije</w:t>
      </w:r>
      <w:r w:rsidR="00FD1560" w:rsidRPr="00FD1560">
        <w:rPr>
          <w:sz w:val="24"/>
          <w:szCs w:val="24"/>
        </w:rPr>
        <w:t xml:space="preserve"> itd.</w:t>
      </w:r>
      <w:r w:rsidR="00733AB9" w:rsidRPr="00FD1560">
        <w:rPr>
          <w:sz w:val="24"/>
          <w:szCs w:val="24"/>
        </w:rPr>
        <w:t xml:space="preserve">). </w:t>
      </w:r>
    </w:p>
    <w:p w:rsidR="00477187" w:rsidRDefault="00733AB9" w:rsidP="00477187">
      <w:pPr>
        <w:jc w:val="both"/>
        <w:rPr>
          <w:sz w:val="24"/>
          <w:szCs w:val="24"/>
        </w:rPr>
      </w:pPr>
      <w:r w:rsidRPr="00FD1560">
        <w:rPr>
          <w:sz w:val="24"/>
          <w:szCs w:val="24"/>
        </w:rPr>
        <w:t xml:space="preserve">Pri tome </w:t>
      </w:r>
      <w:r w:rsidR="007F34DC">
        <w:rPr>
          <w:sz w:val="24"/>
          <w:szCs w:val="24"/>
        </w:rPr>
        <w:t xml:space="preserve">problem </w:t>
      </w:r>
      <w:r>
        <w:rPr>
          <w:sz w:val="24"/>
          <w:szCs w:val="24"/>
        </w:rPr>
        <w:t xml:space="preserve">predstavlja činjenica da se točno ne može utvrditi kada će pojedine </w:t>
      </w:r>
      <w:r w:rsidR="00FD1560">
        <w:rPr>
          <w:sz w:val="24"/>
          <w:szCs w:val="24"/>
        </w:rPr>
        <w:t>f</w:t>
      </w:r>
      <w:r>
        <w:rPr>
          <w:sz w:val="24"/>
          <w:szCs w:val="24"/>
        </w:rPr>
        <w:t>az</w:t>
      </w:r>
      <w:r w:rsidR="00FD1560">
        <w:rPr>
          <w:sz w:val="24"/>
          <w:szCs w:val="24"/>
        </w:rPr>
        <w:t>e</w:t>
      </w:r>
      <w:r w:rsidR="008826D0">
        <w:rPr>
          <w:sz w:val="24"/>
          <w:szCs w:val="24"/>
        </w:rPr>
        <w:t xml:space="preserve"> i </w:t>
      </w:r>
      <w:r>
        <w:rPr>
          <w:sz w:val="24"/>
          <w:szCs w:val="24"/>
        </w:rPr>
        <w:t>ciklusa nastupiti</w:t>
      </w:r>
      <w:r w:rsidR="00201C71">
        <w:rPr>
          <w:sz w:val="24"/>
          <w:szCs w:val="24"/>
        </w:rPr>
        <w:t>. Z</w:t>
      </w:r>
      <w:r w:rsidR="00FD1560">
        <w:rPr>
          <w:sz w:val="24"/>
          <w:szCs w:val="24"/>
        </w:rPr>
        <w:t xml:space="preserve">a krizu se </w:t>
      </w:r>
      <w:r w:rsidR="00310553">
        <w:rPr>
          <w:sz w:val="24"/>
          <w:szCs w:val="24"/>
        </w:rPr>
        <w:t xml:space="preserve">stoga </w:t>
      </w:r>
      <w:r w:rsidR="00FD1560">
        <w:rPr>
          <w:sz w:val="24"/>
          <w:szCs w:val="24"/>
        </w:rPr>
        <w:t xml:space="preserve">treba prilagođavati kao da će ona biti </w:t>
      </w:r>
      <w:r w:rsidR="00201C71">
        <w:rPr>
          <w:sz w:val="24"/>
          <w:szCs w:val="24"/>
        </w:rPr>
        <w:t>„</w:t>
      </w:r>
      <w:r w:rsidR="00FD1560">
        <w:rPr>
          <w:sz w:val="24"/>
          <w:szCs w:val="24"/>
        </w:rPr>
        <w:t xml:space="preserve">sutra“ i u tom ne posustati neovisno o izljevima </w:t>
      </w:r>
      <w:r w:rsidR="00FD1560" w:rsidRPr="008826D0">
        <w:rPr>
          <w:color w:val="C00000"/>
          <w:sz w:val="24"/>
          <w:szCs w:val="24"/>
        </w:rPr>
        <w:t xml:space="preserve">euforija optimizma </w:t>
      </w:r>
      <w:r w:rsidR="00FD1560">
        <w:rPr>
          <w:sz w:val="24"/>
          <w:szCs w:val="24"/>
        </w:rPr>
        <w:t xml:space="preserve">koji se ponekad javljaju u društvu </w:t>
      </w:r>
      <w:r w:rsidR="007F34DC">
        <w:rPr>
          <w:sz w:val="24"/>
          <w:szCs w:val="24"/>
        </w:rPr>
        <w:t>(</w:t>
      </w:r>
      <w:r w:rsidR="00FD1560">
        <w:rPr>
          <w:sz w:val="24"/>
          <w:szCs w:val="24"/>
        </w:rPr>
        <w:t>i to upravo u fazi kulminacije pozitivnih ekonomskih kretanja koja prethode početku faze kontrakcije</w:t>
      </w:r>
      <w:r w:rsidR="007F34DC">
        <w:rPr>
          <w:sz w:val="24"/>
          <w:szCs w:val="24"/>
        </w:rPr>
        <w:t>)</w:t>
      </w:r>
      <w:r>
        <w:rPr>
          <w:sz w:val="24"/>
          <w:szCs w:val="24"/>
        </w:rPr>
        <w:t xml:space="preserve">. </w:t>
      </w:r>
      <w:r w:rsidR="007F34DC">
        <w:rPr>
          <w:sz w:val="24"/>
          <w:szCs w:val="24"/>
        </w:rPr>
        <w:t xml:space="preserve">Isto tako važno je zadržati racionalnost prosuđivanja i odlučivanja u vremenima kada </w:t>
      </w:r>
      <w:r w:rsidR="00201C71">
        <w:rPr>
          <w:sz w:val="24"/>
          <w:szCs w:val="24"/>
        </w:rPr>
        <w:t>se gospodarstvo i društvo nalaze u stanju</w:t>
      </w:r>
      <w:r w:rsidR="007F34DC">
        <w:rPr>
          <w:sz w:val="24"/>
          <w:szCs w:val="24"/>
        </w:rPr>
        <w:t xml:space="preserve"> </w:t>
      </w:r>
      <w:r w:rsidR="007F34DC" w:rsidRPr="008826D0">
        <w:rPr>
          <w:color w:val="C00000"/>
          <w:sz w:val="24"/>
          <w:szCs w:val="24"/>
        </w:rPr>
        <w:t>euforije prekomjernog pesimizma</w:t>
      </w:r>
      <w:r w:rsidR="007F34DC">
        <w:rPr>
          <w:sz w:val="24"/>
          <w:szCs w:val="24"/>
        </w:rPr>
        <w:t>.</w:t>
      </w:r>
    </w:p>
    <w:tbl>
      <w:tblPr>
        <w:tblStyle w:val="Reetkatablice"/>
        <w:tblW w:w="0" w:type="auto"/>
        <w:tblInd w:w="108" w:type="dxa"/>
        <w:tblLook w:val="04A0" w:firstRow="1" w:lastRow="0" w:firstColumn="1" w:lastColumn="0" w:noHBand="0" w:noVBand="1"/>
      </w:tblPr>
      <w:tblGrid>
        <w:gridCol w:w="9180"/>
      </w:tblGrid>
      <w:tr w:rsidR="007F34DC" w:rsidTr="007F34DC">
        <w:trPr>
          <w:trHeight w:val="134"/>
        </w:trPr>
        <w:tc>
          <w:tcPr>
            <w:tcW w:w="9180" w:type="dxa"/>
            <w:shd w:val="clear" w:color="auto" w:fill="F2F2F2" w:themeFill="background1" w:themeFillShade="F2"/>
          </w:tcPr>
          <w:p w:rsidR="007F34DC" w:rsidRDefault="007F34DC" w:rsidP="00201C71">
            <w:pPr>
              <w:spacing w:before="120" w:after="120"/>
              <w:jc w:val="both"/>
              <w:rPr>
                <w:sz w:val="24"/>
                <w:szCs w:val="24"/>
              </w:rPr>
            </w:pPr>
            <w:r w:rsidRPr="007F34DC">
              <w:rPr>
                <w:rFonts w:asciiTheme="minorHAnsi" w:eastAsiaTheme="minorHAnsi" w:hAnsiTheme="minorHAnsi" w:cstheme="minorBidi"/>
                <w:color w:val="C00000"/>
                <w:sz w:val="24"/>
                <w:szCs w:val="24"/>
                <w:lang w:eastAsia="en-US"/>
              </w:rPr>
              <w:t xml:space="preserve">Učinak utjelovljenja </w:t>
            </w:r>
            <w:r w:rsidRPr="007F34DC">
              <w:rPr>
                <w:rFonts w:asciiTheme="minorHAnsi" w:eastAsiaTheme="minorHAnsi" w:hAnsiTheme="minorHAnsi" w:cstheme="minorBidi"/>
                <w:sz w:val="24"/>
                <w:szCs w:val="24"/>
                <w:lang w:eastAsia="en-US"/>
              </w:rPr>
              <w:t xml:space="preserve">predstavlja psihološki fenomen vezan uz tendenciju ljudi </w:t>
            </w:r>
            <w:r>
              <w:rPr>
                <w:rFonts w:asciiTheme="minorHAnsi" w:eastAsiaTheme="minorHAnsi" w:hAnsiTheme="minorHAnsi" w:cstheme="minorBidi"/>
                <w:sz w:val="24"/>
                <w:szCs w:val="24"/>
                <w:lang w:eastAsia="en-US"/>
              </w:rPr>
              <w:t>razmišljanju</w:t>
            </w:r>
            <w:r w:rsidRPr="007F34DC">
              <w:rPr>
                <w:rFonts w:asciiTheme="minorHAnsi" w:eastAsiaTheme="minorHAnsi" w:hAnsiTheme="minorHAnsi" w:cstheme="minorBidi"/>
                <w:sz w:val="24"/>
                <w:szCs w:val="24"/>
                <w:lang w:eastAsia="en-US"/>
              </w:rPr>
              <w:t xml:space="preserve"> da će se trendovi koji trenutno postoje  vječno nastaviti.</w:t>
            </w:r>
            <w:r w:rsidR="00201C71">
              <w:rPr>
                <w:rFonts w:asciiTheme="minorHAnsi" w:eastAsiaTheme="minorHAnsi" w:hAnsiTheme="minorHAnsi" w:cstheme="minorBidi"/>
                <w:sz w:val="24"/>
                <w:szCs w:val="24"/>
                <w:lang w:eastAsia="en-US"/>
              </w:rPr>
              <w:t xml:space="preserve"> Smjene faza uzleta i padova u poslovnom i financijskom ciklusu su upravo dokaz da to nije točno.</w:t>
            </w:r>
          </w:p>
        </w:tc>
      </w:tr>
    </w:tbl>
    <w:p w:rsidR="00F212EC" w:rsidRDefault="00A83A77" w:rsidP="007F34DC">
      <w:pPr>
        <w:spacing w:before="240"/>
        <w:jc w:val="both"/>
        <w:rPr>
          <w:sz w:val="24"/>
          <w:szCs w:val="24"/>
        </w:rPr>
      </w:pPr>
      <w:r w:rsidRPr="00A83A77">
        <w:rPr>
          <w:sz w:val="24"/>
          <w:szCs w:val="24"/>
        </w:rPr>
        <w:t xml:space="preserve">Ciklusi su prirodno obilježje ekonomskog sustava, ali isto tako i financijskih tržišta. Prema teoriji unutarnjih izvora </w:t>
      </w:r>
      <w:r w:rsidRPr="00F212EC">
        <w:rPr>
          <w:i/>
          <w:sz w:val="24"/>
          <w:szCs w:val="24"/>
        </w:rPr>
        <w:t>„svaki procvat dovodi do recesije i krize, a svaka kriza dovodi do obnove i ekspanzije</w:t>
      </w:r>
      <w:r w:rsidRPr="00A83A77">
        <w:rPr>
          <w:sz w:val="24"/>
          <w:szCs w:val="24"/>
        </w:rPr>
        <w:t xml:space="preserve">“. Navedeno podrazumijeva da pri planiranju financijskih aktivnosti, posebice u srednjem i dugom roku, treba voditi računa o smjeni </w:t>
      </w:r>
      <w:r w:rsidR="00865503">
        <w:rPr>
          <w:sz w:val="24"/>
          <w:szCs w:val="24"/>
        </w:rPr>
        <w:t xml:space="preserve">„dobrih i loših vremena“, odnosno </w:t>
      </w:r>
      <w:r w:rsidRPr="00A83A77">
        <w:rPr>
          <w:sz w:val="24"/>
          <w:szCs w:val="24"/>
        </w:rPr>
        <w:t xml:space="preserve">faza poslovnog i financijskog ciklusa koje se značajno mogu odraziti na tržišnu vrijednost imovine, mogućnosti potrošnje i štednje, kako i mogućnosti otplate kredita. </w:t>
      </w:r>
    </w:p>
    <w:p w:rsidR="00D306AF" w:rsidRDefault="00D306AF" w:rsidP="007F34DC">
      <w:pPr>
        <w:spacing w:before="240"/>
        <w:jc w:val="both"/>
        <w:rPr>
          <w:sz w:val="24"/>
          <w:szCs w:val="24"/>
        </w:rPr>
      </w:pPr>
      <w:r>
        <w:rPr>
          <w:sz w:val="24"/>
          <w:szCs w:val="24"/>
        </w:rPr>
        <w:t xml:space="preserve">Stoga financijski plan kućanstva sastavljen u jednom makroekonomskom okruženju traži određene promjene u novonastalim okolnostima. </w:t>
      </w:r>
      <w:r w:rsidRPr="00A83A77">
        <w:rPr>
          <w:sz w:val="24"/>
          <w:szCs w:val="24"/>
        </w:rPr>
        <w:t>Kako su okolnosti promjenjive važno je s vremenom na vrijeme provoditi recenziju vlastitog financijskog plana, uz sagledavanje svih novo-izraženih rizika i prijetnje koje stoje na putu ostvarenja financijskih ciljeva te po potrebi izvršiti reviziju plana financijskih aktivnosti i nadogradnju poduzete strategije.</w:t>
      </w:r>
    </w:p>
    <w:p w:rsidR="00C33904" w:rsidRDefault="00C33904" w:rsidP="00C33904">
      <w:pPr>
        <w:jc w:val="both"/>
        <w:rPr>
          <w:sz w:val="24"/>
          <w:szCs w:val="24"/>
        </w:rPr>
      </w:pPr>
      <w:r w:rsidRPr="008826D0">
        <w:rPr>
          <w:color w:val="C00000"/>
          <w:sz w:val="24"/>
          <w:szCs w:val="24"/>
        </w:rPr>
        <w:t xml:space="preserve">Vrijeme tijekom kojeg treba akumulirati štednju </w:t>
      </w:r>
      <w:r>
        <w:rPr>
          <w:sz w:val="24"/>
          <w:szCs w:val="24"/>
        </w:rPr>
        <w:t xml:space="preserve">(odnosno stvoriti zaštitne amortizere) </w:t>
      </w:r>
      <w:r w:rsidRPr="008826D0">
        <w:rPr>
          <w:color w:val="C00000"/>
          <w:sz w:val="24"/>
          <w:szCs w:val="24"/>
        </w:rPr>
        <w:t xml:space="preserve">su godine ekspanzije </w:t>
      </w:r>
      <w:r>
        <w:rPr>
          <w:sz w:val="24"/>
          <w:szCs w:val="24"/>
        </w:rPr>
        <w:t xml:space="preserve">popraćene većim dohocima i prilikama za njegovo povećanje. (Na slici 20 koja pokazuje kretanje financijskog (poslovnog) ciklusa to se odnosi na fazu stvaranja zaštitnih amortizera u fazi ekspanzije.) Tada se trebaju kumulirati rezerve koje će se po potrebi koristiti tijekom razdoblja recesije (faze otpuštanja zaštitnih amortizera) - odnosno olakšati nošenje s nepovoljnim ekonomskim kretanjima te povećati otpornost kućanstva na financijske šokove. To znači da </w:t>
      </w:r>
      <w:r w:rsidRPr="00D641DC">
        <w:rPr>
          <w:color w:val="C00000"/>
          <w:sz w:val="24"/>
          <w:szCs w:val="24"/>
        </w:rPr>
        <w:t>financijsko ponašanje subjekta treba biti protuciklič</w:t>
      </w:r>
      <w:r>
        <w:rPr>
          <w:color w:val="C00000"/>
          <w:sz w:val="24"/>
          <w:szCs w:val="24"/>
        </w:rPr>
        <w:t>n</w:t>
      </w:r>
      <w:r w:rsidRPr="00D641DC">
        <w:rPr>
          <w:color w:val="C00000"/>
          <w:sz w:val="24"/>
          <w:szCs w:val="24"/>
        </w:rPr>
        <w:t>o</w:t>
      </w:r>
      <w:r>
        <w:rPr>
          <w:color w:val="C00000"/>
          <w:sz w:val="24"/>
          <w:szCs w:val="24"/>
        </w:rPr>
        <w:t xml:space="preserve"> -</w:t>
      </w:r>
      <w:r>
        <w:rPr>
          <w:sz w:val="24"/>
          <w:szCs w:val="24"/>
        </w:rPr>
        <w:t xml:space="preserve"> smanjivati nepotrebnu potrošnju i kontrolirati nagone za pretjeranom potrošnjom ili nepotrebnim ulaganjima u dobrim vremenima te </w:t>
      </w:r>
      <w:r w:rsidRPr="00D641DC">
        <w:rPr>
          <w:color w:val="C00000"/>
          <w:sz w:val="24"/>
          <w:szCs w:val="24"/>
        </w:rPr>
        <w:t>stvarati financijske zalihe za loša vremena</w:t>
      </w:r>
      <w:r>
        <w:rPr>
          <w:sz w:val="24"/>
          <w:szCs w:val="24"/>
        </w:rPr>
        <w:t xml:space="preserve">, kako kućanstvo ne bi bilo izloženo pretjeranom pritisku na pad potrošnje i investicija u godinama recesije, odnosno bilo izloženo riziku siromaštva zbog smanjenja ili izostanka redovnih prihoda. Dodatno, godine kulminacije recesije uobičajeno su razdoblje kada nad brojnom financijskom  i realnim oblicima imovine piše natpis „rasprodaja“, diskont 40%, 60% </w:t>
      </w:r>
      <w:r>
        <w:rPr>
          <w:sz w:val="24"/>
          <w:szCs w:val="24"/>
        </w:rPr>
        <w:lastRenderedPageBreak/>
        <w:t xml:space="preserve">pa i 70% pa se upravo tada otvaraju prilike za ulaganje u brojne podcijenjene dionice, nekretnine čija je tržišna vrijednost znatno niža od realne itd., a takve prilike je moguće iskoristiti prvenstveno ako postoje zalihe viškova rezervi štednje kumulirane iz prethodnih razdoblja. </w:t>
      </w:r>
    </w:p>
    <w:p w:rsidR="008826D0" w:rsidRPr="008826D0" w:rsidRDefault="008826D0" w:rsidP="007F34DC">
      <w:pPr>
        <w:spacing w:before="240"/>
        <w:jc w:val="both"/>
        <w:rPr>
          <w:b/>
          <w:sz w:val="24"/>
          <w:szCs w:val="24"/>
        </w:rPr>
      </w:pPr>
      <w:r w:rsidRPr="008826D0">
        <w:rPr>
          <w:b/>
          <w:sz w:val="24"/>
          <w:szCs w:val="24"/>
        </w:rPr>
        <w:t>Slika 20: Protuciklič</w:t>
      </w:r>
      <w:r w:rsidR="00F808C4">
        <w:rPr>
          <w:b/>
          <w:sz w:val="24"/>
          <w:szCs w:val="24"/>
        </w:rPr>
        <w:t>n</w:t>
      </w:r>
      <w:r w:rsidRPr="008826D0">
        <w:rPr>
          <w:b/>
          <w:sz w:val="24"/>
          <w:szCs w:val="24"/>
        </w:rPr>
        <w:t>o ponašanje tijekom smjena faza poslovnog i financijskog ciklusa</w:t>
      </w:r>
    </w:p>
    <w:p w:rsidR="00F212EC" w:rsidRDefault="00733AB9" w:rsidP="00A83A77">
      <w:pPr>
        <w:jc w:val="both"/>
        <w:rPr>
          <w:sz w:val="24"/>
          <w:szCs w:val="24"/>
        </w:rPr>
      </w:pPr>
      <w:r>
        <w:rPr>
          <w:noProof/>
          <w:sz w:val="24"/>
          <w:szCs w:val="24"/>
          <w:lang w:eastAsia="hr-HR"/>
        </w:rPr>
        <w:drawing>
          <wp:inline distT="0" distB="0" distL="0" distR="0" wp14:anchorId="3543C700" wp14:editId="0436230B">
            <wp:extent cx="5762625" cy="3438525"/>
            <wp:effectExtent l="0" t="0" r="9525" b="952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2625" cy="3438525"/>
                    </a:xfrm>
                    <a:prstGeom prst="rect">
                      <a:avLst/>
                    </a:prstGeom>
                    <a:noFill/>
                    <a:ln>
                      <a:noFill/>
                    </a:ln>
                  </pic:spPr>
                </pic:pic>
              </a:graphicData>
            </a:graphic>
          </wp:inline>
        </w:drawing>
      </w:r>
    </w:p>
    <w:p w:rsidR="008826D0" w:rsidRDefault="0055460E" w:rsidP="00A83A77">
      <w:pPr>
        <w:jc w:val="both"/>
        <w:rPr>
          <w:sz w:val="24"/>
          <w:szCs w:val="24"/>
        </w:rPr>
      </w:pPr>
      <w:r>
        <w:rPr>
          <w:sz w:val="24"/>
          <w:szCs w:val="24"/>
        </w:rPr>
        <w:t xml:space="preserve">S druge strane, ekonomski podaci pokazuju da je ponašanje kućanstva kao i svih drugih sektora </w:t>
      </w:r>
      <w:r w:rsidR="00733AB9">
        <w:rPr>
          <w:sz w:val="24"/>
          <w:szCs w:val="24"/>
        </w:rPr>
        <w:t>(</w:t>
      </w:r>
      <w:r>
        <w:rPr>
          <w:sz w:val="24"/>
          <w:szCs w:val="24"/>
        </w:rPr>
        <w:t>poduzeća, banaka i države</w:t>
      </w:r>
      <w:r w:rsidR="00733AB9">
        <w:rPr>
          <w:sz w:val="24"/>
          <w:szCs w:val="24"/>
        </w:rPr>
        <w:t>)</w:t>
      </w:r>
      <w:r>
        <w:rPr>
          <w:sz w:val="24"/>
          <w:szCs w:val="24"/>
        </w:rPr>
        <w:t xml:space="preserve"> upravo suprotno. Oni se ponašaju </w:t>
      </w:r>
      <w:r w:rsidRPr="00455882">
        <w:rPr>
          <w:color w:val="C00000"/>
          <w:sz w:val="24"/>
          <w:szCs w:val="24"/>
        </w:rPr>
        <w:t>prociklič</w:t>
      </w:r>
      <w:r w:rsidR="00F808C4" w:rsidRPr="00455882">
        <w:rPr>
          <w:color w:val="C00000"/>
          <w:sz w:val="24"/>
          <w:szCs w:val="24"/>
        </w:rPr>
        <w:t>no</w:t>
      </w:r>
      <w:r w:rsidRPr="00455882">
        <w:rPr>
          <w:color w:val="C00000"/>
          <w:sz w:val="24"/>
          <w:szCs w:val="24"/>
        </w:rPr>
        <w:t xml:space="preserve"> </w:t>
      </w:r>
      <w:r>
        <w:rPr>
          <w:sz w:val="24"/>
          <w:szCs w:val="24"/>
        </w:rPr>
        <w:t xml:space="preserve">produbljujući fazu poslovnog ciklusa u kojoj se gospodarstvo nalazi. Građani </w:t>
      </w:r>
      <w:r w:rsidRPr="00455882">
        <w:rPr>
          <w:color w:val="C00000"/>
          <w:sz w:val="24"/>
          <w:szCs w:val="24"/>
        </w:rPr>
        <w:t>prekomjerno troše i prekomjerno se zadužuju upravo u godinama ekspanzije kada bi trebali štedjeti i stvarati zaštitne amortizere</w:t>
      </w:r>
      <w:r>
        <w:rPr>
          <w:sz w:val="24"/>
          <w:szCs w:val="24"/>
        </w:rPr>
        <w:t xml:space="preserve">. Kada nastupi kriza svi ranije akumulirani rizici se počinju materijalizirati. Stanovništvo tada bilježi značajno smanjenje sklonosti zaduživanju odnosno averziju prema kreditima, smanjuje potrošnju i povećava štednju (posebno povećava preferencije likvidnosti zbog čega rastu depoziti u bankama a smanjuju se ulaganja u dionice, nekretnine itd.). </w:t>
      </w:r>
    </w:p>
    <w:p w:rsidR="00796B66" w:rsidRDefault="0055460E" w:rsidP="00A83A77">
      <w:pPr>
        <w:jc w:val="both"/>
        <w:rPr>
          <w:sz w:val="24"/>
          <w:szCs w:val="24"/>
        </w:rPr>
      </w:pPr>
      <w:r>
        <w:rPr>
          <w:sz w:val="24"/>
          <w:szCs w:val="24"/>
        </w:rPr>
        <w:t xml:space="preserve">Jasno da </w:t>
      </w:r>
      <w:r w:rsidR="008826D0">
        <w:rPr>
          <w:sz w:val="24"/>
          <w:szCs w:val="24"/>
        </w:rPr>
        <w:t xml:space="preserve">u godinama recesije </w:t>
      </w:r>
      <w:r>
        <w:rPr>
          <w:sz w:val="24"/>
          <w:szCs w:val="24"/>
        </w:rPr>
        <w:t>na navedeno kod brojnih obitelji djeluje niži raspoloživ dohodak ili izos</w:t>
      </w:r>
      <w:r w:rsidR="00527A99">
        <w:rPr>
          <w:sz w:val="24"/>
          <w:szCs w:val="24"/>
        </w:rPr>
        <w:t>tanak plaće zbog nezaposlenosti. N</w:t>
      </w:r>
      <w:r>
        <w:rPr>
          <w:sz w:val="24"/>
          <w:szCs w:val="24"/>
        </w:rPr>
        <w:t xml:space="preserve">o ista ponašanja bilježe i ona kućanstva čiji se prihodi i dalje uredno </w:t>
      </w:r>
      <w:r w:rsidR="00796B66">
        <w:rPr>
          <w:sz w:val="24"/>
          <w:szCs w:val="24"/>
        </w:rPr>
        <w:t>realiziraju,</w:t>
      </w:r>
      <w:r>
        <w:rPr>
          <w:sz w:val="24"/>
          <w:szCs w:val="24"/>
        </w:rPr>
        <w:t xml:space="preserve"> koja nisu pogođena financijskim šokom</w:t>
      </w:r>
      <w:r w:rsidR="00796B66">
        <w:rPr>
          <w:sz w:val="24"/>
          <w:szCs w:val="24"/>
        </w:rPr>
        <w:t xml:space="preserve"> i imaju značajne zalihe kumuliranog bogatstva. U</w:t>
      </w:r>
      <w:r w:rsidR="00525B69">
        <w:rPr>
          <w:sz w:val="24"/>
          <w:szCs w:val="24"/>
        </w:rPr>
        <w:t xml:space="preserve"> ekonomiji</w:t>
      </w:r>
      <w:r w:rsidR="00796B66">
        <w:rPr>
          <w:sz w:val="24"/>
          <w:szCs w:val="24"/>
        </w:rPr>
        <w:t xml:space="preserve"> se navedeno</w:t>
      </w:r>
      <w:r w:rsidR="00525B69">
        <w:rPr>
          <w:sz w:val="24"/>
          <w:szCs w:val="24"/>
        </w:rPr>
        <w:t xml:space="preserve"> veže uz fenomen </w:t>
      </w:r>
      <w:r w:rsidR="00796B66">
        <w:rPr>
          <w:sz w:val="24"/>
          <w:szCs w:val="24"/>
        </w:rPr>
        <w:t xml:space="preserve">promjena u sklonostima potrošnji i štednji </w:t>
      </w:r>
      <w:r w:rsidR="003F3803">
        <w:rPr>
          <w:sz w:val="24"/>
          <w:szCs w:val="24"/>
        </w:rPr>
        <w:t xml:space="preserve">na makro razini </w:t>
      </w:r>
      <w:r w:rsidR="00796B66">
        <w:rPr>
          <w:sz w:val="24"/>
          <w:szCs w:val="24"/>
        </w:rPr>
        <w:t>tijekom smjena faza poslovnog ciklusa te uz psihološk</w:t>
      </w:r>
      <w:r w:rsidR="003F3803">
        <w:rPr>
          <w:sz w:val="24"/>
          <w:szCs w:val="24"/>
        </w:rPr>
        <w:t>o-ekonomsku</w:t>
      </w:r>
      <w:r w:rsidR="00796B66">
        <w:rPr>
          <w:sz w:val="24"/>
          <w:szCs w:val="24"/>
        </w:rPr>
        <w:t xml:space="preserve"> pojavu </w:t>
      </w:r>
      <w:r w:rsidR="00525B69">
        <w:rPr>
          <w:sz w:val="24"/>
          <w:szCs w:val="24"/>
        </w:rPr>
        <w:t>tzv. animal spirist</w:t>
      </w:r>
      <w:r w:rsidR="003F3803">
        <w:rPr>
          <w:sz w:val="24"/>
          <w:szCs w:val="24"/>
        </w:rPr>
        <w:t>s</w:t>
      </w:r>
      <w:r w:rsidR="00525B69">
        <w:rPr>
          <w:sz w:val="24"/>
          <w:szCs w:val="24"/>
        </w:rPr>
        <w:t xml:space="preserve"> koj</w:t>
      </w:r>
      <w:r w:rsidR="00796B66">
        <w:rPr>
          <w:sz w:val="24"/>
          <w:szCs w:val="24"/>
        </w:rPr>
        <w:t xml:space="preserve">e je u ekonomsku teoriju uveo </w:t>
      </w:r>
      <w:r w:rsidR="00525B69">
        <w:rPr>
          <w:sz w:val="24"/>
          <w:szCs w:val="24"/>
        </w:rPr>
        <w:t xml:space="preserve">J. M. Keynes, </w:t>
      </w:r>
      <w:r w:rsidR="00796B66">
        <w:rPr>
          <w:sz w:val="24"/>
          <w:szCs w:val="24"/>
        </w:rPr>
        <w:t>a danas se tipično mjeri</w:t>
      </w:r>
      <w:r w:rsidR="003F3803">
        <w:rPr>
          <w:sz w:val="24"/>
          <w:szCs w:val="24"/>
        </w:rPr>
        <w:t xml:space="preserve"> različitim indeksima ekonomskog raspoloženja kao što su </w:t>
      </w:r>
      <w:r w:rsidR="00796B66">
        <w:rPr>
          <w:sz w:val="24"/>
          <w:szCs w:val="24"/>
        </w:rPr>
        <w:t xml:space="preserve"> </w:t>
      </w:r>
      <w:r w:rsidR="003F3803">
        <w:rPr>
          <w:color w:val="C00000"/>
          <w:sz w:val="24"/>
          <w:szCs w:val="24"/>
        </w:rPr>
        <w:lastRenderedPageBreak/>
        <w:t>indeks</w:t>
      </w:r>
      <w:r w:rsidR="00525B69" w:rsidRPr="000526A0">
        <w:rPr>
          <w:color w:val="C00000"/>
          <w:sz w:val="24"/>
          <w:szCs w:val="24"/>
        </w:rPr>
        <w:t xml:space="preserve"> povjerenja potrošača </w:t>
      </w:r>
      <w:r w:rsidR="00525B69">
        <w:rPr>
          <w:sz w:val="24"/>
          <w:szCs w:val="24"/>
        </w:rPr>
        <w:t xml:space="preserve">i </w:t>
      </w:r>
      <w:r w:rsidR="00525B69" w:rsidRPr="000526A0">
        <w:rPr>
          <w:color w:val="C00000"/>
          <w:sz w:val="24"/>
          <w:szCs w:val="24"/>
        </w:rPr>
        <w:t>indek</w:t>
      </w:r>
      <w:r w:rsidR="00796B66" w:rsidRPr="000526A0">
        <w:rPr>
          <w:color w:val="C00000"/>
          <w:sz w:val="24"/>
          <w:szCs w:val="24"/>
        </w:rPr>
        <w:t>s</w:t>
      </w:r>
      <w:r w:rsidR="00525B69" w:rsidRPr="000526A0">
        <w:rPr>
          <w:color w:val="C00000"/>
          <w:sz w:val="24"/>
          <w:szCs w:val="24"/>
        </w:rPr>
        <w:t xml:space="preserve"> povjerenja investitora</w:t>
      </w:r>
      <w:r w:rsidR="00796B66" w:rsidRPr="000526A0">
        <w:rPr>
          <w:color w:val="C00000"/>
          <w:sz w:val="24"/>
          <w:szCs w:val="24"/>
        </w:rPr>
        <w:t xml:space="preserve"> </w:t>
      </w:r>
      <w:r w:rsidR="003F3803">
        <w:rPr>
          <w:color w:val="C00000"/>
          <w:sz w:val="24"/>
          <w:szCs w:val="24"/>
        </w:rPr>
        <w:t xml:space="preserve">- </w:t>
      </w:r>
      <w:r w:rsidR="00796B66">
        <w:rPr>
          <w:sz w:val="24"/>
          <w:szCs w:val="24"/>
        </w:rPr>
        <w:t>koji se koriste kao barometar u procjenjivanju budućih ekonomskih kretanja</w:t>
      </w:r>
      <w:r w:rsidR="00525B69">
        <w:rPr>
          <w:sz w:val="24"/>
          <w:szCs w:val="24"/>
        </w:rPr>
        <w:t xml:space="preserve">. </w:t>
      </w:r>
    </w:p>
    <w:p w:rsidR="00525B69" w:rsidRDefault="0055460E" w:rsidP="00A83A77">
      <w:pPr>
        <w:jc w:val="both"/>
        <w:rPr>
          <w:sz w:val="24"/>
          <w:szCs w:val="24"/>
        </w:rPr>
      </w:pPr>
      <w:r>
        <w:rPr>
          <w:sz w:val="24"/>
          <w:szCs w:val="24"/>
        </w:rPr>
        <w:t>Uz smanjenu potrošnju i investicije stanovništva nepovoljni efekti šire se ekonomijom i odražavaju na pad prihoda poduzeća</w:t>
      </w:r>
      <w:r w:rsidR="008826D0">
        <w:rPr>
          <w:sz w:val="24"/>
          <w:szCs w:val="24"/>
        </w:rPr>
        <w:t xml:space="preserve"> i</w:t>
      </w:r>
      <w:r>
        <w:rPr>
          <w:sz w:val="24"/>
          <w:szCs w:val="24"/>
        </w:rPr>
        <w:t xml:space="preserve"> rast nezaposlenosti, pad investicija </w:t>
      </w:r>
      <w:r w:rsidR="008826D0">
        <w:rPr>
          <w:sz w:val="24"/>
          <w:szCs w:val="24"/>
        </w:rPr>
        <w:t xml:space="preserve">i </w:t>
      </w:r>
      <w:r w:rsidR="00C33904">
        <w:rPr>
          <w:sz w:val="24"/>
          <w:szCs w:val="24"/>
        </w:rPr>
        <w:t xml:space="preserve">pad </w:t>
      </w:r>
      <w:r w:rsidR="008826D0">
        <w:rPr>
          <w:sz w:val="24"/>
          <w:szCs w:val="24"/>
        </w:rPr>
        <w:t xml:space="preserve">sklonosti poduzeća zaduživanju </w:t>
      </w:r>
      <w:r>
        <w:rPr>
          <w:sz w:val="24"/>
          <w:szCs w:val="24"/>
        </w:rPr>
        <w:t xml:space="preserve">itd. </w:t>
      </w:r>
      <w:r w:rsidR="00C33904">
        <w:rPr>
          <w:sz w:val="24"/>
          <w:szCs w:val="24"/>
        </w:rPr>
        <w:t xml:space="preserve">– sve zajedno </w:t>
      </w:r>
      <w:r>
        <w:rPr>
          <w:sz w:val="24"/>
          <w:szCs w:val="24"/>
        </w:rPr>
        <w:t xml:space="preserve">produbljujući amplitudu snage recesije i njenog trajanja. </w:t>
      </w:r>
      <w:r w:rsidR="00525B69">
        <w:rPr>
          <w:sz w:val="24"/>
          <w:szCs w:val="24"/>
        </w:rPr>
        <w:t xml:space="preserve">U isto vrijeme štednja kao pozitivan fenomen dobiva konotaciju </w:t>
      </w:r>
      <w:r w:rsidR="00C33904">
        <w:rPr>
          <w:sz w:val="24"/>
          <w:szCs w:val="24"/>
        </w:rPr>
        <w:t xml:space="preserve">makroekonomskog </w:t>
      </w:r>
      <w:r w:rsidR="00525B69">
        <w:rPr>
          <w:sz w:val="24"/>
          <w:szCs w:val="24"/>
        </w:rPr>
        <w:t xml:space="preserve">problema. Značajni iznosi štednje „stoje u bankama“ ali se ne investiraju jer je smanjena potražnja za kreditima, nema dobrih dužnika i projekata, a i banke uviđaju da su se prekomjerno izložile rizicima pa više vode računa o očuvanju vlastite stabilnosti i likvidnosti nego o mogućnostima zarade. </w:t>
      </w:r>
    </w:p>
    <w:p w:rsidR="00F808C4" w:rsidRPr="00C33904" w:rsidRDefault="00F808C4" w:rsidP="00C357E4">
      <w:pPr>
        <w:spacing w:after="120"/>
        <w:jc w:val="both"/>
        <w:rPr>
          <w:b/>
          <w:sz w:val="24"/>
          <w:szCs w:val="24"/>
        </w:rPr>
      </w:pPr>
      <w:r w:rsidRPr="00C33904">
        <w:rPr>
          <w:b/>
          <w:sz w:val="24"/>
          <w:szCs w:val="24"/>
        </w:rPr>
        <w:t xml:space="preserve">Slika </w:t>
      </w:r>
      <w:r w:rsidR="00C33904" w:rsidRPr="00C33904">
        <w:rPr>
          <w:b/>
          <w:sz w:val="24"/>
          <w:szCs w:val="24"/>
        </w:rPr>
        <w:t>21: Kretanje indeksa ekonomskog raspoloženja i poslovnog pouzdanja</w:t>
      </w:r>
    </w:p>
    <w:p w:rsidR="00A83A77" w:rsidRPr="00A83A77" w:rsidRDefault="00F808C4" w:rsidP="00527A99">
      <w:pPr>
        <w:spacing w:after="0" w:line="240" w:lineRule="auto"/>
        <w:jc w:val="both"/>
        <w:rPr>
          <w:sz w:val="24"/>
          <w:szCs w:val="24"/>
        </w:rPr>
      </w:pPr>
      <w:r>
        <w:rPr>
          <w:noProof/>
          <w:sz w:val="24"/>
          <w:szCs w:val="24"/>
          <w:lang w:eastAsia="hr-HR"/>
        </w:rPr>
        <w:drawing>
          <wp:inline distT="0" distB="0" distL="0" distR="0" wp14:anchorId="2BEB20E2" wp14:editId="7659474E">
            <wp:extent cx="5850062" cy="3448050"/>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0062" cy="3448050"/>
                    </a:xfrm>
                    <a:prstGeom prst="rect">
                      <a:avLst/>
                    </a:prstGeom>
                    <a:noFill/>
                    <a:ln>
                      <a:noFill/>
                    </a:ln>
                  </pic:spPr>
                </pic:pic>
              </a:graphicData>
            </a:graphic>
          </wp:inline>
        </w:drawing>
      </w:r>
      <w:r w:rsidR="00A83A77" w:rsidRPr="00A83A77">
        <w:rPr>
          <w:sz w:val="24"/>
          <w:szCs w:val="24"/>
        </w:rPr>
        <w:t xml:space="preserve"> </w:t>
      </w:r>
    </w:p>
    <w:p w:rsidR="00C33904" w:rsidRPr="00555A45" w:rsidRDefault="001A23EC" w:rsidP="00A83A77">
      <w:pPr>
        <w:jc w:val="both"/>
        <w:rPr>
          <w:sz w:val="20"/>
          <w:szCs w:val="20"/>
        </w:rPr>
      </w:pPr>
      <w:r>
        <w:rPr>
          <w:sz w:val="20"/>
          <w:szCs w:val="20"/>
        </w:rPr>
        <w:t>Izvor: p</w:t>
      </w:r>
      <w:r w:rsidR="00374C83">
        <w:rPr>
          <w:sz w:val="20"/>
          <w:szCs w:val="20"/>
        </w:rPr>
        <w:t xml:space="preserve">reuzeto iz: </w:t>
      </w:r>
      <w:r w:rsidR="00C33904" w:rsidRPr="00555A45">
        <w:rPr>
          <w:sz w:val="20"/>
          <w:szCs w:val="20"/>
        </w:rPr>
        <w:t>HNB (2015.): „Financijska stabilnost“, br. 15</w:t>
      </w:r>
    </w:p>
    <w:p w:rsidR="00C33904" w:rsidRDefault="00BD72B0" w:rsidP="00C33904">
      <w:pPr>
        <w:jc w:val="both"/>
        <w:rPr>
          <w:sz w:val="24"/>
          <w:szCs w:val="24"/>
        </w:rPr>
      </w:pPr>
      <w:r>
        <w:rPr>
          <w:sz w:val="24"/>
          <w:szCs w:val="24"/>
        </w:rPr>
        <w:t>Djelomičan uvid u ciklička kretanja ekonomske aktivnosti vidljiv je iz slike 2</w:t>
      </w:r>
      <w:r w:rsidR="00C33904">
        <w:rPr>
          <w:sz w:val="24"/>
          <w:szCs w:val="24"/>
        </w:rPr>
        <w:t>2</w:t>
      </w:r>
      <w:r>
        <w:rPr>
          <w:sz w:val="24"/>
          <w:szCs w:val="24"/>
        </w:rPr>
        <w:t xml:space="preserve"> na kojoj su prikazane stope rast realnog BDP-a u Hrvatskoj posljednjih nekoliko godina. </w:t>
      </w:r>
      <w:r w:rsidR="00C33904">
        <w:rPr>
          <w:sz w:val="24"/>
          <w:szCs w:val="24"/>
        </w:rPr>
        <w:t xml:space="preserve">U nastavku na slici 23 su prikazani i podaci o kretanju aktive kreditnih institucija koja je u razdoblju ekonomske ekspanzije također ekspandirala </w:t>
      </w:r>
      <w:r w:rsidR="00527A99">
        <w:rPr>
          <w:sz w:val="24"/>
          <w:szCs w:val="24"/>
        </w:rPr>
        <w:t>zbog snažne kreditne ekspanzije (poglavito prema sektoru stanovništvo. V</w:t>
      </w:r>
      <w:r w:rsidR="00C33904">
        <w:rPr>
          <w:sz w:val="24"/>
          <w:szCs w:val="24"/>
        </w:rPr>
        <w:t xml:space="preserve">eći ekonomski rast </w:t>
      </w:r>
      <w:r w:rsidR="00527A99">
        <w:rPr>
          <w:sz w:val="24"/>
          <w:szCs w:val="24"/>
        </w:rPr>
        <w:t xml:space="preserve">tako je </w:t>
      </w:r>
      <w:r w:rsidR="00C33904">
        <w:rPr>
          <w:sz w:val="24"/>
          <w:szCs w:val="24"/>
        </w:rPr>
        <w:t xml:space="preserve">s jedne strane poticao veću kreditnu aktivnost banaka (vezanu uz rast ponude i potražnje za kreditima), a s druge strane </w:t>
      </w:r>
      <w:r w:rsidR="00527A99">
        <w:rPr>
          <w:sz w:val="24"/>
          <w:szCs w:val="24"/>
        </w:rPr>
        <w:t xml:space="preserve">je </w:t>
      </w:r>
      <w:r w:rsidR="00C33904">
        <w:rPr>
          <w:sz w:val="24"/>
          <w:szCs w:val="24"/>
        </w:rPr>
        <w:t>već</w:t>
      </w:r>
      <w:r w:rsidR="00527A99">
        <w:rPr>
          <w:sz w:val="24"/>
          <w:szCs w:val="24"/>
        </w:rPr>
        <w:t>i</w:t>
      </w:r>
      <w:r w:rsidR="00C33904">
        <w:rPr>
          <w:sz w:val="24"/>
          <w:szCs w:val="24"/>
        </w:rPr>
        <w:t xml:space="preserve"> kreditni rast omogućavao optjecaj veće količine novca koj</w:t>
      </w:r>
      <w:r w:rsidR="00527A99">
        <w:rPr>
          <w:sz w:val="24"/>
          <w:szCs w:val="24"/>
        </w:rPr>
        <w:t>a</w:t>
      </w:r>
      <w:r w:rsidR="00C33904">
        <w:rPr>
          <w:sz w:val="24"/>
          <w:szCs w:val="24"/>
        </w:rPr>
        <w:t xml:space="preserve"> je korišten</w:t>
      </w:r>
      <w:r w:rsidR="00527A99">
        <w:rPr>
          <w:sz w:val="24"/>
          <w:szCs w:val="24"/>
        </w:rPr>
        <w:t>a</w:t>
      </w:r>
      <w:r w:rsidR="00C33904">
        <w:rPr>
          <w:sz w:val="24"/>
          <w:szCs w:val="24"/>
        </w:rPr>
        <w:t xml:space="preserve"> za financiranje investicija (uvelike ulaganja u nekretnine), osobne i budžetske potrošnje te uvoza roba i usluga. </w:t>
      </w:r>
    </w:p>
    <w:p w:rsidR="00C33904" w:rsidRDefault="00C33904" w:rsidP="00C33904">
      <w:pPr>
        <w:jc w:val="both"/>
        <w:rPr>
          <w:sz w:val="24"/>
          <w:szCs w:val="24"/>
        </w:rPr>
      </w:pPr>
      <w:r>
        <w:rPr>
          <w:sz w:val="24"/>
          <w:szCs w:val="24"/>
        </w:rPr>
        <w:lastRenderedPageBreak/>
        <w:t>Podaci za razdoblje između 2000. i 2007. ukazuju na pozitivna ekonomska zbivanja te ekspanziju u realnom i financijskom ciklusu. Međutim</w:t>
      </w:r>
      <w:r w:rsidRPr="00527A99">
        <w:rPr>
          <w:color w:val="C00000"/>
          <w:sz w:val="24"/>
          <w:szCs w:val="24"/>
        </w:rPr>
        <w:t>, upravo u istom razdoblju su svi sektori akumulirali najveći dio rizika koji su se materijalizirali nakon 2008., a posebno nakon 2009.</w:t>
      </w:r>
      <w:r>
        <w:rPr>
          <w:sz w:val="24"/>
          <w:szCs w:val="24"/>
        </w:rPr>
        <w:t xml:space="preserve"> karakteristične po značajnom padu BDP-a i ulasku gospodarstva u stanje recesije. Iako je kriza iz 2008. počela u SAD-u kao financijska kriza te potom prerasla u globalnu krizu, najdestruktivniji učinci prelijevanja krize na ekonomiju </w:t>
      </w:r>
      <w:r w:rsidR="00742284">
        <w:rPr>
          <w:sz w:val="24"/>
          <w:szCs w:val="24"/>
        </w:rPr>
        <w:t xml:space="preserve">RH </w:t>
      </w:r>
      <w:r>
        <w:rPr>
          <w:sz w:val="24"/>
          <w:szCs w:val="24"/>
        </w:rPr>
        <w:t xml:space="preserve">zabilježeni su u realnom sektoru. </w:t>
      </w:r>
    </w:p>
    <w:p w:rsidR="00BD72B0" w:rsidRPr="00BD72B0" w:rsidRDefault="00BD72B0" w:rsidP="00C357E4">
      <w:pPr>
        <w:spacing w:after="120"/>
        <w:jc w:val="both"/>
        <w:rPr>
          <w:b/>
          <w:sz w:val="24"/>
          <w:szCs w:val="24"/>
        </w:rPr>
      </w:pPr>
      <w:r w:rsidRPr="00BD72B0">
        <w:rPr>
          <w:b/>
          <w:sz w:val="24"/>
          <w:szCs w:val="24"/>
        </w:rPr>
        <w:t>Slika 2</w:t>
      </w:r>
      <w:r w:rsidR="00C33904">
        <w:rPr>
          <w:b/>
          <w:sz w:val="24"/>
          <w:szCs w:val="24"/>
        </w:rPr>
        <w:t>2</w:t>
      </w:r>
      <w:r w:rsidRPr="00BD72B0">
        <w:rPr>
          <w:b/>
          <w:sz w:val="24"/>
          <w:szCs w:val="24"/>
        </w:rPr>
        <w:t>: Stope promjene realnog BDP-a u Hrvatskoj</w:t>
      </w:r>
    </w:p>
    <w:p w:rsidR="00BD72B0" w:rsidRDefault="00BD72B0" w:rsidP="00527A99">
      <w:pPr>
        <w:spacing w:after="0"/>
        <w:jc w:val="both"/>
        <w:rPr>
          <w:sz w:val="24"/>
          <w:szCs w:val="24"/>
        </w:rPr>
      </w:pPr>
      <w:r w:rsidRPr="00BD72B0">
        <w:rPr>
          <w:noProof/>
          <w:sz w:val="24"/>
          <w:szCs w:val="24"/>
          <w:lang w:eastAsia="hr-HR"/>
        </w:rPr>
        <w:drawing>
          <wp:inline distT="0" distB="0" distL="0" distR="0" wp14:anchorId="5A1166EF" wp14:editId="68A6B25E">
            <wp:extent cx="5191125" cy="2752725"/>
            <wp:effectExtent l="0" t="0" r="9525" b="9525"/>
            <wp:docPr id="47" name="Grafikon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BD72B0" w:rsidRPr="00BD72B0" w:rsidRDefault="00BD72B0" w:rsidP="00BD72B0">
      <w:pPr>
        <w:rPr>
          <w:sz w:val="20"/>
          <w:szCs w:val="20"/>
        </w:rPr>
      </w:pPr>
      <w:r w:rsidRPr="00BD72B0">
        <w:rPr>
          <w:sz w:val="20"/>
          <w:szCs w:val="20"/>
          <w:lang w:val="pl-PL"/>
        </w:rPr>
        <w:t>* Podaci za 2014. se odnose na prva tri tromjesečja 2014.</w:t>
      </w:r>
      <w:r w:rsidRPr="00BD72B0">
        <w:rPr>
          <w:sz w:val="20"/>
          <w:szCs w:val="20"/>
          <w:lang w:val="pl-PL"/>
        </w:rPr>
        <w:br/>
      </w:r>
      <w:r w:rsidRPr="00BD72B0">
        <w:rPr>
          <w:sz w:val="20"/>
          <w:szCs w:val="20"/>
        </w:rPr>
        <w:t>Izvor</w:t>
      </w:r>
      <w:r w:rsidR="001A23EC">
        <w:rPr>
          <w:sz w:val="20"/>
          <w:szCs w:val="20"/>
        </w:rPr>
        <w:t xml:space="preserve"> podataka</w:t>
      </w:r>
      <w:r w:rsidRPr="00BD72B0">
        <w:rPr>
          <w:sz w:val="20"/>
          <w:szCs w:val="20"/>
        </w:rPr>
        <w:t>: DZS</w:t>
      </w:r>
    </w:p>
    <w:p w:rsidR="00BD72B0" w:rsidRPr="00DF27E8" w:rsidRDefault="00DF27E8" w:rsidP="00C357E4">
      <w:pPr>
        <w:spacing w:after="0"/>
        <w:jc w:val="both"/>
        <w:rPr>
          <w:b/>
          <w:sz w:val="24"/>
          <w:szCs w:val="24"/>
        </w:rPr>
      </w:pPr>
      <w:r w:rsidRPr="00DF27E8">
        <w:rPr>
          <w:b/>
          <w:sz w:val="24"/>
          <w:szCs w:val="24"/>
        </w:rPr>
        <w:t>Slika 2</w:t>
      </w:r>
      <w:r w:rsidR="00C33904">
        <w:rPr>
          <w:b/>
          <w:sz w:val="24"/>
          <w:szCs w:val="24"/>
        </w:rPr>
        <w:t>3</w:t>
      </w:r>
      <w:r w:rsidRPr="00DF27E8">
        <w:rPr>
          <w:b/>
          <w:sz w:val="24"/>
          <w:szCs w:val="24"/>
        </w:rPr>
        <w:t xml:space="preserve">: Aktiva kreditnih institucija u Hrvatskoj </w:t>
      </w:r>
    </w:p>
    <w:p w:rsidR="00BD72B0" w:rsidRDefault="00C33904" w:rsidP="00527A99">
      <w:pPr>
        <w:spacing w:after="0" w:line="240" w:lineRule="auto"/>
        <w:jc w:val="both"/>
        <w:rPr>
          <w:sz w:val="24"/>
          <w:szCs w:val="24"/>
        </w:rPr>
      </w:pPr>
      <w:r w:rsidRPr="00C33904">
        <w:rPr>
          <w:noProof/>
          <w:sz w:val="24"/>
          <w:szCs w:val="24"/>
          <w:lang w:eastAsia="hr-HR"/>
        </w:rPr>
        <w:drawing>
          <wp:inline distT="0" distB="0" distL="0" distR="0" wp14:anchorId="5E15AE4B" wp14:editId="00CC4D8A">
            <wp:extent cx="5105400" cy="3455920"/>
            <wp:effectExtent l="0" t="0" r="0" b="0"/>
            <wp:docPr id="29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18457" cy="3464758"/>
                    </a:xfrm>
                    <a:prstGeom prst="rect">
                      <a:avLst/>
                    </a:prstGeom>
                    <a:noFill/>
                    <a:ln>
                      <a:noFill/>
                    </a:ln>
                    <a:extLst/>
                  </pic:spPr>
                </pic:pic>
              </a:graphicData>
            </a:graphic>
          </wp:inline>
        </w:drawing>
      </w:r>
    </w:p>
    <w:p w:rsidR="001A23EC" w:rsidRPr="00BD72B0" w:rsidRDefault="001A23EC" w:rsidP="001A23EC">
      <w:pPr>
        <w:rPr>
          <w:sz w:val="20"/>
          <w:szCs w:val="20"/>
        </w:rPr>
      </w:pPr>
      <w:r>
        <w:rPr>
          <w:sz w:val="20"/>
          <w:szCs w:val="20"/>
        </w:rPr>
        <w:t xml:space="preserve">Izvor: preuzeto iz: HNB, SPF,  dostupno na: </w:t>
      </w:r>
      <w:r w:rsidRPr="00742284">
        <w:rPr>
          <w:sz w:val="20"/>
          <w:szCs w:val="20"/>
        </w:rPr>
        <w:t>http://www.hnb.hr/publikac/hpublikac.htm</w:t>
      </w:r>
    </w:p>
    <w:p w:rsidR="00B809D7" w:rsidRDefault="009C61BB" w:rsidP="00C33904">
      <w:pPr>
        <w:jc w:val="both"/>
        <w:rPr>
          <w:sz w:val="24"/>
          <w:szCs w:val="24"/>
        </w:rPr>
      </w:pPr>
      <w:r>
        <w:rPr>
          <w:sz w:val="24"/>
          <w:szCs w:val="24"/>
        </w:rPr>
        <w:lastRenderedPageBreak/>
        <w:t xml:space="preserve">Razloge zbog kojih je najveći dio rizika akumuliran u godinama ekspanzije prvenstveno treba tražiti u sferi aktivnosti koje su tu ekspanziju omogućile. Na prvom mjestu to je </w:t>
      </w:r>
      <w:r w:rsidR="00527A99">
        <w:rPr>
          <w:sz w:val="24"/>
          <w:szCs w:val="24"/>
        </w:rPr>
        <w:t>izraženo inozemno zaduživanje</w:t>
      </w:r>
      <w:r>
        <w:rPr>
          <w:sz w:val="24"/>
          <w:szCs w:val="24"/>
        </w:rPr>
        <w:t xml:space="preserve"> </w:t>
      </w:r>
      <w:r w:rsidR="00742284">
        <w:rPr>
          <w:sz w:val="24"/>
          <w:szCs w:val="24"/>
        </w:rPr>
        <w:t xml:space="preserve">(slika 24) </w:t>
      </w:r>
      <w:r>
        <w:rPr>
          <w:sz w:val="24"/>
          <w:szCs w:val="24"/>
        </w:rPr>
        <w:t>kojem su direktno pridon</w:t>
      </w:r>
      <w:r w:rsidR="00527A99">
        <w:rPr>
          <w:sz w:val="24"/>
          <w:szCs w:val="24"/>
        </w:rPr>
        <w:t>osile</w:t>
      </w:r>
      <w:r>
        <w:rPr>
          <w:sz w:val="24"/>
          <w:szCs w:val="24"/>
        </w:rPr>
        <w:t xml:space="preserve"> banke, poduzeća i država kroz</w:t>
      </w:r>
      <w:r w:rsidR="00527A99">
        <w:rPr>
          <w:sz w:val="24"/>
          <w:szCs w:val="24"/>
        </w:rPr>
        <w:t xml:space="preserve"> financiranje u inozemstvu</w:t>
      </w:r>
      <w:r>
        <w:rPr>
          <w:sz w:val="24"/>
          <w:szCs w:val="24"/>
        </w:rPr>
        <w:t xml:space="preserve">, a indirektno i građani kroz veliku potražnju za stambenim kreditima, kreditima </w:t>
      </w:r>
      <w:r w:rsidR="006C26E8">
        <w:rPr>
          <w:sz w:val="24"/>
          <w:szCs w:val="24"/>
        </w:rPr>
        <w:t>za kupovinu automobila i drugima koji su motivirali banke na još veće inozemno zaduživanje. Veći priljevi deviza odrazili su se na jačanje domaće valute prema euru</w:t>
      </w:r>
      <w:r w:rsidR="00527A99">
        <w:rPr>
          <w:sz w:val="24"/>
          <w:szCs w:val="24"/>
        </w:rPr>
        <w:t xml:space="preserve"> (aprecijaciju u nominalnim, a posebno realnim terminima)</w:t>
      </w:r>
      <w:r w:rsidR="00742284">
        <w:rPr>
          <w:sz w:val="24"/>
          <w:szCs w:val="24"/>
        </w:rPr>
        <w:t xml:space="preserve">, </w:t>
      </w:r>
      <w:r w:rsidR="00527A99">
        <w:rPr>
          <w:sz w:val="24"/>
          <w:szCs w:val="24"/>
        </w:rPr>
        <w:t xml:space="preserve">na </w:t>
      </w:r>
      <w:r w:rsidR="00742284">
        <w:rPr>
          <w:sz w:val="24"/>
          <w:szCs w:val="24"/>
        </w:rPr>
        <w:t>pad domaćih kamatnjaka</w:t>
      </w:r>
      <w:r w:rsidR="006C26E8">
        <w:rPr>
          <w:sz w:val="24"/>
          <w:szCs w:val="24"/>
        </w:rPr>
        <w:t xml:space="preserve">, rast plaća u većini domaćih sektora te rast cijena roba i usluga što je </w:t>
      </w:r>
      <w:r w:rsidR="00527A99">
        <w:rPr>
          <w:sz w:val="24"/>
          <w:szCs w:val="24"/>
        </w:rPr>
        <w:t xml:space="preserve">kroz pad konkurentnosti </w:t>
      </w:r>
      <w:r w:rsidR="006C26E8">
        <w:rPr>
          <w:sz w:val="24"/>
          <w:szCs w:val="24"/>
        </w:rPr>
        <w:t xml:space="preserve">nepovoljno djelovalo na izvoz i stimuliralo rast uvoza roba i usluga. </w:t>
      </w:r>
    </w:p>
    <w:p w:rsidR="00B809D7" w:rsidRPr="00B809D7" w:rsidRDefault="00B809D7" w:rsidP="00C357E4">
      <w:pPr>
        <w:spacing w:after="120"/>
        <w:jc w:val="both"/>
        <w:rPr>
          <w:b/>
          <w:sz w:val="24"/>
          <w:szCs w:val="24"/>
        </w:rPr>
      </w:pPr>
      <w:r w:rsidRPr="00B809D7">
        <w:rPr>
          <w:b/>
          <w:sz w:val="24"/>
          <w:szCs w:val="24"/>
        </w:rPr>
        <w:t>Slika 2</w:t>
      </w:r>
      <w:r w:rsidR="00C33904">
        <w:rPr>
          <w:b/>
          <w:sz w:val="24"/>
          <w:szCs w:val="24"/>
        </w:rPr>
        <w:t>4</w:t>
      </w:r>
      <w:r w:rsidRPr="00B809D7">
        <w:rPr>
          <w:b/>
          <w:sz w:val="24"/>
          <w:szCs w:val="24"/>
        </w:rPr>
        <w:t xml:space="preserve">: Bruto inozemni dug </w:t>
      </w:r>
      <w:r w:rsidR="00527A99">
        <w:rPr>
          <w:b/>
          <w:sz w:val="24"/>
          <w:szCs w:val="24"/>
        </w:rPr>
        <w:t xml:space="preserve">RH </w:t>
      </w:r>
      <w:r w:rsidRPr="00B809D7">
        <w:rPr>
          <w:b/>
          <w:sz w:val="24"/>
          <w:szCs w:val="24"/>
        </w:rPr>
        <w:t>prema sektoru dužnika (u milijunima EUR)</w:t>
      </w:r>
    </w:p>
    <w:p w:rsidR="00BD72B0" w:rsidRDefault="00B809D7" w:rsidP="00A83A77">
      <w:pPr>
        <w:jc w:val="both"/>
        <w:rPr>
          <w:sz w:val="24"/>
          <w:szCs w:val="24"/>
        </w:rPr>
      </w:pPr>
      <w:r w:rsidRPr="00B809D7">
        <w:rPr>
          <w:noProof/>
          <w:sz w:val="24"/>
          <w:szCs w:val="24"/>
          <w:lang w:eastAsia="hr-HR"/>
        </w:rPr>
        <w:drawing>
          <wp:inline distT="0" distB="0" distL="0" distR="0" wp14:anchorId="38C755E4" wp14:editId="5236CC7E">
            <wp:extent cx="5212652" cy="2829455"/>
            <wp:effectExtent l="0" t="0" r="26670" b="9525"/>
            <wp:docPr id="49" name="Grafikon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809D7" w:rsidRPr="00BD72B0" w:rsidRDefault="00B809D7" w:rsidP="00B809D7">
      <w:pPr>
        <w:rPr>
          <w:sz w:val="20"/>
          <w:szCs w:val="20"/>
        </w:rPr>
      </w:pPr>
      <w:r w:rsidRPr="00BD72B0">
        <w:rPr>
          <w:sz w:val="20"/>
          <w:szCs w:val="20"/>
        </w:rPr>
        <w:t>Izvor</w:t>
      </w:r>
      <w:r w:rsidR="001A23EC">
        <w:rPr>
          <w:sz w:val="20"/>
          <w:szCs w:val="20"/>
        </w:rPr>
        <w:t xml:space="preserve"> podataka</w:t>
      </w:r>
      <w:r w:rsidRPr="00BD72B0">
        <w:rPr>
          <w:sz w:val="20"/>
          <w:szCs w:val="20"/>
        </w:rPr>
        <w:t xml:space="preserve">: </w:t>
      </w:r>
      <w:r>
        <w:rPr>
          <w:sz w:val="20"/>
          <w:szCs w:val="20"/>
        </w:rPr>
        <w:t>HNB</w:t>
      </w:r>
    </w:p>
    <w:p w:rsidR="00C33904" w:rsidRDefault="00C33904" w:rsidP="00C33904">
      <w:pPr>
        <w:jc w:val="both"/>
        <w:rPr>
          <w:sz w:val="24"/>
          <w:szCs w:val="24"/>
        </w:rPr>
      </w:pPr>
      <w:r>
        <w:rPr>
          <w:sz w:val="24"/>
          <w:szCs w:val="24"/>
        </w:rPr>
        <w:t xml:space="preserve">Dodatno rast kupovne moći za ulaganje u nekretnine te povoljniji uvjeti stambenih kredita uz niže kamatne stope (blizu razine kao u članicama eurozone) omogućili su značajan rast cijena  nekretnina, što je djelovalo i na rast iznosa potrebnih kredita za kupnju stanova ili drugih nekretnina. Početak krize u 2008. Hrvatska je tako dočekala u stanju brojnih makroekonomskih i strukturnih neravnoteža koje su prisutne i danas, dok je nošenje s njima tijekom godina recesije postalo sve veći problem, a dodatno tijekom krize neravnoteže su akumulirane u većoj mjeri i u javnim financijama </w:t>
      </w:r>
      <w:r w:rsidR="00742284">
        <w:rPr>
          <w:sz w:val="24"/>
          <w:szCs w:val="24"/>
        </w:rPr>
        <w:t xml:space="preserve">(visok javni dug i prekomjerni budžetski deficit) </w:t>
      </w:r>
      <w:r>
        <w:rPr>
          <w:sz w:val="24"/>
          <w:szCs w:val="24"/>
        </w:rPr>
        <w:t>što stvara potrebu za većom poreznom presijom u funkciji financiranja ogromnih javnih rashoda</w:t>
      </w:r>
      <w:r w:rsidR="00742284">
        <w:rPr>
          <w:sz w:val="24"/>
          <w:szCs w:val="24"/>
        </w:rPr>
        <w:t>, a gdje značajan dio javnih rashoda čine kamate na obveze države</w:t>
      </w:r>
      <w:r>
        <w:rPr>
          <w:sz w:val="24"/>
          <w:szCs w:val="24"/>
        </w:rPr>
        <w:t xml:space="preserve">. </w:t>
      </w:r>
    </w:p>
    <w:p w:rsidR="00C33904" w:rsidRDefault="00C33904" w:rsidP="00C33904">
      <w:pPr>
        <w:jc w:val="both"/>
        <w:rPr>
          <w:sz w:val="24"/>
          <w:szCs w:val="24"/>
        </w:rPr>
      </w:pPr>
      <w:r>
        <w:rPr>
          <w:sz w:val="24"/>
          <w:szCs w:val="24"/>
        </w:rPr>
        <w:t xml:space="preserve">Svi navedeni učinci odražavaju </w:t>
      </w:r>
      <w:r w:rsidR="00E134BD">
        <w:rPr>
          <w:sz w:val="24"/>
          <w:szCs w:val="24"/>
        </w:rPr>
        <w:t xml:space="preserve">se na financije kućanstva na različite načine: </w:t>
      </w:r>
      <w:r>
        <w:rPr>
          <w:sz w:val="24"/>
          <w:szCs w:val="24"/>
        </w:rPr>
        <w:t>zbog rasta nezaposlenosti tijekom godina recesije, pada realne mase isplaćenih plaća, smanjenih mogućnosti potrošnje</w:t>
      </w:r>
      <w:r w:rsidR="00742284">
        <w:rPr>
          <w:sz w:val="24"/>
          <w:szCs w:val="24"/>
        </w:rPr>
        <w:t>, povećanja opće stope PDV-a</w:t>
      </w:r>
      <w:r>
        <w:rPr>
          <w:sz w:val="24"/>
          <w:szCs w:val="24"/>
        </w:rPr>
        <w:t xml:space="preserve"> </w:t>
      </w:r>
      <w:r w:rsidR="00742284">
        <w:rPr>
          <w:sz w:val="24"/>
          <w:szCs w:val="24"/>
        </w:rPr>
        <w:t xml:space="preserve">s efektima na rast izdataka za potrošnju </w:t>
      </w:r>
      <w:r>
        <w:rPr>
          <w:sz w:val="24"/>
          <w:szCs w:val="24"/>
        </w:rPr>
        <w:t>te visokog tereta zaduženosti</w:t>
      </w:r>
      <w:r w:rsidR="00742284">
        <w:rPr>
          <w:sz w:val="24"/>
          <w:szCs w:val="24"/>
        </w:rPr>
        <w:t xml:space="preserve"> građana. Nekretnine koje su kupovane u razdoblju njihove najveće precijenjenosti (i za koje jo</w:t>
      </w:r>
      <w:r>
        <w:rPr>
          <w:sz w:val="24"/>
          <w:szCs w:val="24"/>
        </w:rPr>
        <w:t>š godinama treba otplaćivati visoke iznose glavnica duga</w:t>
      </w:r>
      <w:r w:rsidR="00742284">
        <w:rPr>
          <w:sz w:val="24"/>
          <w:szCs w:val="24"/>
        </w:rPr>
        <w:t>)</w:t>
      </w:r>
      <w:r>
        <w:rPr>
          <w:sz w:val="24"/>
          <w:szCs w:val="24"/>
        </w:rPr>
        <w:t xml:space="preserve"> </w:t>
      </w:r>
      <w:r>
        <w:rPr>
          <w:sz w:val="24"/>
          <w:szCs w:val="24"/>
        </w:rPr>
        <w:lastRenderedPageBreak/>
        <w:t>danas bilježe znatno nižu tržišnu vrijednost, brojni izgrađeni stanovi su neprodani, a potencijalnih kupaca i tražitelja stambenih kredita s adekvatnom kreditnom sposobnošću je vrlo malo.</w:t>
      </w:r>
    </w:p>
    <w:p w:rsidR="00C33904" w:rsidRDefault="00C33904" w:rsidP="00C33904">
      <w:pPr>
        <w:jc w:val="both"/>
        <w:rPr>
          <w:sz w:val="24"/>
          <w:szCs w:val="24"/>
        </w:rPr>
      </w:pPr>
      <w:r>
        <w:rPr>
          <w:sz w:val="24"/>
          <w:szCs w:val="24"/>
        </w:rPr>
        <w:t xml:space="preserve">Usporedno sa svim opisanim </w:t>
      </w:r>
      <w:r w:rsidR="00742284">
        <w:rPr>
          <w:sz w:val="24"/>
          <w:szCs w:val="24"/>
        </w:rPr>
        <w:t xml:space="preserve">makroekonomski </w:t>
      </w:r>
      <w:r>
        <w:rPr>
          <w:sz w:val="24"/>
          <w:szCs w:val="24"/>
        </w:rPr>
        <w:t xml:space="preserve">promjenama tijekom razdoblja ekspanzije i recesije </w:t>
      </w:r>
      <w:r w:rsidR="00742284">
        <w:rPr>
          <w:sz w:val="24"/>
          <w:szCs w:val="24"/>
        </w:rPr>
        <w:t xml:space="preserve">u RH </w:t>
      </w:r>
      <w:r>
        <w:rPr>
          <w:sz w:val="24"/>
          <w:szCs w:val="24"/>
        </w:rPr>
        <w:t>mijenjala se i izloženost građana različitim pojavnim oblicima makroekonomskih,</w:t>
      </w:r>
      <w:r w:rsidR="00742284">
        <w:rPr>
          <w:sz w:val="24"/>
          <w:szCs w:val="24"/>
        </w:rPr>
        <w:t xml:space="preserve"> financijskih i osobnih rizika koji su opisani u nastavku.</w:t>
      </w:r>
    </w:p>
    <w:p w:rsidR="00742284" w:rsidRPr="00C103F2" w:rsidRDefault="00C103F2" w:rsidP="00C103F2">
      <w:pPr>
        <w:spacing w:before="240" w:after="0" w:line="240" w:lineRule="auto"/>
        <w:jc w:val="both"/>
        <w:rPr>
          <w:b/>
          <w:sz w:val="24"/>
          <w:szCs w:val="24"/>
        </w:rPr>
      </w:pPr>
      <w:r>
        <w:rPr>
          <w:b/>
          <w:sz w:val="24"/>
          <w:szCs w:val="24"/>
        </w:rPr>
        <w:t xml:space="preserve">3.2. </w:t>
      </w:r>
      <w:r w:rsidR="00B00391" w:rsidRPr="00C103F2">
        <w:rPr>
          <w:b/>
          <w:sz w:val="24"/>
          <w:szCs w:val="24"/>
        </w:rPr>
        <w:t>Rizik inflacije</w:t>
      </w:r>
    </w:p>
    <w:p w:rsidR="00742284" w:rsidRDefault="00742284" w:rsidP="00742284">
      <w:pPr>
        <w:spacing w:after="0" w:line="240" w:lineRule="auto"/>
        <w:jc w:val="both"/>
        <w:rPr>
          <w:sz w:val="24"/>
          <w:szCs w:val="24"/>
        </w:rPr>
      </w:pPr>
    </w:p>
    <w:p w:rsidR="00742284" w:rsidRDefault="00837942" w:rsidP="00742284">
      <w:pPr>
        <w:jc w:val="both"/>
        <w:rPr>
          <w:sz w:val="24"/>
          <w:szCs w:val="24"/>
        </w:rPr>
      </w:pPr>
      <w:r w:rsidRPr="00E134BD">
        <w:rPr>
          <w:color w:val="C00000"/>
          <w:sz w:val="24"/>
          <w:szCs w:val="24"/>
        </w:rPr>
        <w:t xml:space="preserve">Rizik inflacije </w:t>
      </w:r>
      <w:r>
        <w:rPr>
          <w:sz w:val="24"/>
          <w:szCs w:val="24"/>
        </w:rPr>
        <w:t xml:space="preserve">je rizik gubitka koji proizlazi iz mogućih promjena stope inflacije. </w:t>
      </w:r>
      <w:r w:rsidRPr="00742284">
        <w:rPr>
          <w:sz w:val="24"/>
          <w:szCs w:val="24"/>
        </w:rPr>
        <w:t>Realna kupovna moć novca</w:t>
      </w:r>
      <w:r w:rsidR="009D2B26">
        <w:rPr>
          <w:sz w:val="24"/>
          <w:szCs w:val="24"/>
        </w:rPr>
        <w:t xml:space="preserve"> (i prihoda)</w:t>
      </w:r>
      <w:r w:rsidRPr="00742284">
        <w:rPr>
          <w:sz w:val="24"/>
          <w:szCs w:val="24"/>
        </w:rPr>
        <w:t xml:space="preserve"> smanjuje u uvjetima inflacije</w:t>
      </w:r>
      <w:r>
        <w:rPr>
          <w:sz w:val="24"/>
          <w:szCs w:val="24"/>
        </w:rPr>
        <w:t>, a povećava u uvjetima deflacije</w:t>
      </w:r>
      <w:r w:rsidRPr="00742284">
        <w:rPr>
          <w:sz w:val="24"/>
          <w:szCs w:val="24"/>
        </w:rPr>
        <w:t xml:space="preserve">. </w:t>
      </w:r>
      <w:r w:rsidR="00A83A77" w:rsidRPr="00742284">
        <w:rPr>
          <w:sz w:val="24"/>
          <w:szCs w:val="24"/>
        </w:rPr>
        <w:t xml:space="preserve">Zbog porasta opće razine cijena, ista nominalna količina novca zamjenjiva je za sve manju količinu roba i usluga. Inflacija je </w:t>
      </w:r>
      <w:r w:rsidR="00742284">
        <w:rPr>
          <w:sz w:val="24"/>
          <w:szCs w:val="24"/>
        </w:rPr>
        <w:t xml:space="preserve">stoga </w:t>
      </w:r>
      <w:r w:rsidR="00A83A77" w:rsidRPr="00742284">
        <w:rPr>
          <w:sz w:val="24"/>
          <w:szCs w:val="24"/>
        </w:rPr>
        <w:t xml:space="preserve">fenomen koji posebno pogađa subjekte s fiksnim nominalnim dohotkom, koji povećane novčane izdatke ne mogu namiriti većim prihodima. </w:t>
      </w:r>
    </w:p>
    <w:tbl>
      <w:tblPr>
        <w:tblStyle w:val="Reetkatablice"/>
        <w:tblW w:w="0" w:type="auto"/>
        <w:tblInd w:w="108" w:type="dxa"/>
        <w:tblLook w:val="04A0" w:firstRow="1" w:lastRow="0" w:firstColumn="1" w:lastColumn="0" w:noHBand="0" w:noVBand="1"/>
      </w:tblPr>
      <w:tblGrid>
        <w:gridCol w:w="9180"/>
      </w:tblGrid>
      <w:tr w:rsidR="003D2796" w:rsidTr="00B838B6">
        <w:tc>
          <w:tcPr>
            <w:tcW w:w="9180" w:type="dxa"/>
            <w:shd w:val="clear" w:color="auto" w:fill="F2F2F2" w:themeFill="background1" w:themeFillShade="F2"/>
          </w:tcPr>
          <w:p w:rsidR="003D2796" w:rsidRDefault="00990954" w:rsidP="00531328">
            <w:pPr>
              <w:spacing w:before="120" w:after="120" w:line="264" w:lineRule="auto"/>
              <w:jc w:val="both"/>
              <w:rPr>
                <w:rFonts w:asciiTheme="minorHAnsi" w:eastAsiaTheme="minorHAnsi" w:hAnsiTheme="minorHAnsi" w:cstheme="minorBidi"/>
                <w:sz w:val="24"/>
                <w:szCs w:val="24"/>
                <w:lang w:eastAsia="en-US"/>
              </w:rPr>
            </w:pPr>
            <w:r w:rsidRPr="003D2796">
              <w:rPr>
                <w:rFonts w:asciiTheme="minorHAnsi" w:eastAsiaTheme="minorHAnsi" w:hAnsiTheme="minorHAnsi" w:cstheme="minorBidi"/>
                <w:sz w:val="24"/>
                <w:szCs w:val="24"/>
                <w:lang w:eastAsia="en-US"/>
              </w:rPr>
              <w:t xml:space="preserve">Pojam </w:t>
            </w:r>
            <w:r w:rsidRPr="00531328">
              <w:rPr>
                <w:rFonts w:asciiTheme="minorHAnsi" w:eastAsiaTheme="minorHAnsi" w:hAnsiTheme="minorHAnsi" w:cstheme="minorBidi"/>
                <w:color w:val="C00000"/>
                <w:sz w:val="24"/>
                <w:szCs w:val="24"/>
                <w:lang w:eastAsia="en-US"/>
              </w:rPr>
              <w:t>inflacija</w:t>
            </w:r>
            <w:r w:rsidRPr="003D2796">
              <w:rPr>
                <w:rFonts w:asciiTheme="minorHAnsi" w:eastAsiaTheme="minorHAnsi" w:hAnsiTheme="minorHAnsi" w:cstheme="minorBidi"/>
                <w:sz w:val="24"/>
                <w:szCs w:val="24"/>
                <w:lang w:eastAsia="en-US"/>
              </w:rPr>
              <w:t xml:space="preserve"> označava rast opće razine cijena</w:t>
            </w:r>
            <w:r w:rsidR="00837942">
              <w:rPr>
                <w:rFonts w:asciiTheme="minorHAnsi" w:eastAsiaTheme="minorHAnsi" w:hAnsiTheme="minorHAnsi" w:cstheme="minorBidi"/>
                <w:sz w:val="24"/>
                <w:szCs w:val="24"/>
                <w:lang w:eastAsia="en-US"/>
              </w:rPr>
              <w:t>, a deflacija pad opće razine cijena (uz negativne stope inflacije)</w:t>
            </w:r>
            <w:r w:rsidR="00531328">
              <w:rPr>
                <w:rFonts w:asciiTheme="minorHAnsi" w:eastAsiaTheme="minorHAnsi" w:hAnsiTheme="minorHAnsi" w:cstheme="minorBidi"/>
                <w:sz w:val="24"/>
                <w:szCs w:val="24"/>
                <w:lang w:eastAsia="en-US"/>
              </w:rPr>
              <w:t>. T</w:t>
            </w:r>
            <w:r w:rsidR="003D2796" w:rsidRPr="003D2796">
              <w:rPr>
                <w:rFonts w:asciiTheme="minorHAnsi" w:eastAsiaTheme="minorHAnsi" w:hAnsiTheme="minorHAnsi" w:cstheme="minorBidi"/>
                <w:sz w:val="24"/>
                <w:szCs w:val="24"/>
                <w:lang w:eastAsia="en-US"/>
              </w:rPr>
              <w:t xml:space="preserve">ipično se </w:t>
            </w:r>
            <w:r w:rsidRPr="003D2796">
              <w:rPr>
                <w:rFonts w:asciiTheme="minorHAnsi" w:eastAsiaTheme="minorHAnsi" w:hAnsiTheme="minorHAnsi" w:cstheme="minorBidi"/>
                <w:sz w:val="24"/>
                <w:szCs w:val="24"/>
                <w:lang w:eastAsia="en-US"/>
              </w:rPr>
              <w:t>mjer</w:t>
            </w:r>
            <w:r w:rsidR="00837942">
              <w:rPr>
                <w:rFonts w:asciiTheme="minorHAnsi" w:eastAsiaTheme="minorHAnsi" w:hAnsiTheme="minorHAnsi" w:cstheme="minorBidi"/>
                <w:sz w:val="24"/>
                <w:szCs w:val="24"/>
                <w:lang w:eastAsia="en-US"/>
              </w:rPr>
              <w:t>e</w:t>
            </w:r>
            <w:r w:rsidRPr="003D2796">
              <w:rPr>
                <w:rFonts w:asciiTheme="minorHAnsi" w:eastAsiaTheme="minorHAnsi" w:hAnsiTheme="minorHAnsi" w:cstheme="minorBidi"/>
                <w:sz w:val="24"/>
                <w:szCs w:val="24"/>
                <w:lang w:eastAsia="en-US"/>
              </w:rPr>
              <w:t xml:space="preserve"> </w:t>
            </w:r>
            <w:r w:rsidRPr="00531328">
              <w:rPr>
                <w:rFonts w:asciiTheme="minorHAnsi" w:eastAsiaTheme="minorHAnsi" w:hAnsiTheme="minorHAnsi" w:cstheme="minorBidi"/>
                <w:color w:val="C00000"/>
                <w:sz w:val="24"/>
                <w:szCs w:val="24"/>
                <w:lang w:eastAsia="en-US"/>
              </w:rPr>
              <w:t>indeksom potrošačkih cijena – CPI</w:t>
            </w:r>
            <w:r w:rsidR="003D2796" w:rsidRPr="003D2796">
              <w:rPr>
                <w:rFonts w:asciiTheme="minorHAnsi" w:eastAsiaTheme="minorHAnsi" w:hAnsiTheme="minorHAnsi" w:cstheme="minorBidi"/>
                <w:sz w:val="24"/>
                <w:szCs w:val="24"/>
                <w:lang w:eastAsia="en-US"/>
              </w:rPr>
              <w:t xml:space="preserve">. </w:t>
            </w:r>
            <w:r w:rsidRPr="003D2796">
              <w:rPr>
                <w:rFonts w:asciiTheme="minorHAnsi" w:eastAsiaTheme="minorHAnsi" w:hAnsiTheme="minorHAnsi" w:cstheme="minorBidi"/>
                <w:sz w:val="24"/>
                <w:szCs w:val="24"/>
                <w:lang w:eastAsia="en-US"/>
              </w:rPr>
              <w:t>U novijoj</w:t>
            </w:r>
            <w:r w:rsidR="00C22287">
              <w:rPr>
                <w:rFonts w:asciiTheme="minorHAnsi" w:eastAsiaTheme="minorHAnsi" w:hAnsiTheme="minorHAnsi" w:cstheme="minorBidi"/>
                <w:sz w:val="24"/>
                <w:szCs w:val="24"/>
                <w:lang w:eastAsia="en-US"/>
              </w:rPr>
              <w:t xml:space="preserve"> povijesti razvoj inflacije je često</w:t>
            </w:r>
            <w:r w:rsidRPr="003D2796">
              <w:rPr>
                <w:rFonts w:asciiTheme="minorHAnsi" w:eastAsiaTheme="minorHAnsi" w:hAnsiTheme="minorHAnsi" w:cstheme="minorBidi"/>
                <w:sz w:val="24"/>
                <w:szCs w:val="24"/>
                <w:lang w:eastAsia="en-US"/>
              </w:rPr>
              <w:t xml:space="preserve"> determiniran kretanjem cijena nafte i drugih energenata na svjetskom tržištu</w:t>
            </w:r>
            <w:r w:rsidR="003D2796" w:rsidRPr="003D2796">
              <w:rPr>
                <w:rFonts w:asciiTheme="minorHAnsi" w:eastAsiaTheme="minorHAnsi" w:hAnsiTheme="minorHAnsi" w:cstheme="minorBidi"/>
                <w:sz w:val="24"/>
                <w:szCs w:val="24"/>
                <w:lang w:eastAsia="en-US"/>
              </w:rPr>
              <w:t xml:space="preserve">. </w:t>
            </w:r>
            <w:r w:rsidRPr="003D2796">
              <w:rPr>
                <w:rFonts w:asciiTheme="minorHAnsi" w:eastAsiaTheme="minorHAnsi" w:hAnsiTheme="minorHAnsi" w:cstheme="minorBidi"/>
                <w:sz w:val="24"/>
                <w:szCs w:val="24"/>
                <w:lang w:eastAsia="en-US"/>
              </w:rPr>
              <w:t xml:space="preserve">Međutim, navedeno je značajno </w:t>
            </w:r>
            <w:r w:rsidR="003D2796" w:rsidRPr="003D2796">
              <w:rPr>
                <w:rFonts w:asciiTheme="minorHAnsi" w:eastAsiaTheme="minorHAnsi" w:hAnsiTheme="minorHAnsi" w:cstheme="minorBidi"/>
                <w:sz w:val="24"/>
                <w:szCs w:val="24"/>
                <w:lang w:eastAsia="en-US"/>
              </w:rPr>
              <w:t xml:space="preserve">i </w:t>
            </w:r>
            <w:r w:rsidRPr="003D2796">
              <w:rPr>
                <w:rFonts w:asciiTheme="minorHAnsi" w:eastAsiaTheme="minorHAnsi" w:hAnsiTheme="minorHAnsi" w:cstheme="minorBidi"/>
                <w:sz w:val="24"/>
                <w:szCs w:val="24"/>
                <w:lang w:eastAsia="en-US"/>
              </w:rPr>
              <w:t>pod djelovanjem monetarne politike vodećih svjetskih središnjih banaka (Fed-a, ECB-a i drugih)</w:t>
            </w:r>
            <w:r w:rsidR="003D2796" w:rsidRPr="003D2796">
              <w:rPr>
                <w:rFonts w:asciiTheme="minorHAnsi" w:eastAsiaTheme="minorHAnsi" w:hAnsiTheme="minorHAnsi" w:cstheme="minorBidi"/>
                <w:sz w:val="24"/>
                <w:szCs w:val="24"/>
                <w:lang w:eastAsia="en-US"/>
              </w:rPr>
              <w:t xml:space="preserve"> koje povremen</w:t>
            </w:r>
            <w:r w:rsidR="00531328">
              <w:rPr>
                <w:rFonts w:asciiTheme="minorHAnsi" w:eastAsiaTheme="minorHAnsi" w:hAnsiTheme="minorHAnsi" w:cstheme="minorBidi"/>
                <w:sz w:val="24"/>
                <w:szCs w:val="24"/>
                <w:lang w:eastAsia="en-US"/>
              </w:rPr>
              <w:t xml:space="preserve">o kroz </w:t>
            </w:r>
            <w:r w:rsidR="003D2796" w:rsidRPr="003D2796">
              <w:rPr>
                <w:rFonts w:asciiTheme="minorHAnsi" w:eastAsiaTheme="minorHAnsi" w:hAnsiTheme="minorHAnsi" w:cstheme="minorBidi"/>
                <w:sz w:val="24"/>
                <w:szCs w:val="24"/>
                <w:lang w:eastAsia="en-US"/>
              </w:rPr>
              <w:t>izrazito ekspanzivne monetarne politike omoguć</w:t>
            </w:r>
            <w:r w:rsidR="00531328">
              <w:rPr>
                <w:rFonts w:asciiTheme="minorHAnsi" w:eastAsiaTheme="minorHAnsi" w:hAnsiTheme="minorHAnsi" w:cstheme="minorBidi"/>
                <w:sz w:val="24"/>
                <w:szCs w:val="24"/>
                <w:lang w:eastAsia="en-US"/>
              </w:rPr>
              <w:t>ava</w:t>
            </w:r>
            <w:r w:rsidR="003D2796" w:rsidRPr="003D2796">
              <w:rPr>
                <w:rFonts w:asciiTheme="minorHAnsi" w:eastAsiaTheme="minorHAnsi" w:hAnsiTheme="minorHAnsi" w:cstheme="minorBidi"/>
                <w:sz w:val="24"/>
                <w:szCs w:val="24"/>
                <w:lang w:eastAsia="en-US"/>
              </w:rPr>
              <w:t>ju rast globalne likvidnost</w:t>
            </w:r>
            <w:r w:rsidR="00531328">
              <w:rPr>
                <w:rFonts w:asciiTheme="minorHAnsi" w:eastAsiaTheme="minorHAnsi" w:hAnsiTheme="minorHAnsi" w:cstheme="minorBidi"/>
                <w:sz w:val="24"/>
                <w:szCs w:val="24"/>
                <w:lang w:eastAsia="en-US"/>
              </w:rPr>
              <w:t>,</w:t>
            </w:r>
            <w:r w:rsidR="003D2796">
              <w:rPr>
                <w:rFonts w:asciiTheme="minorHAnsi" w:eastAsiaTheme="minorHAnsi" w:hAnsiTheme="minorHAnsi" w:cstheme="minorBidi"/>
                <w:sz w:val="24"/>
                <w:szCs w:val="24"/>
                <w:lang w:eastAsia="en-US"/>
              </w:rPr>
              <w:t xml:space="preserve"> što u uvjetima slobode međunarodnih tokova kapitala omogućuje priljev deviza i rast količine novca u optjecaju i u drugim gospodarstvima, neovisno što na domaća monetarna kretanja prvenstveno djeluje nacionalna središnja banka</w:t>
            </w:r>
            <w:r w:rsidR="003D2796" w:rsidRPr="003D2796">
              <w:rPr>
                <w:rFonts w:asciiTheme="minorHAnsi" w:eastAsiaTheme="minorHAnsi" w:hAnsiTheme="minorHAnsi" w:cstheme="minorBidi"/>
                <w:sz w:val="24"/>
                <w:szCs w:val="24"/>
                <w:lang w:eastAsia="en-US"/>
              </w:rPr>
              <w:t xml:space="preserve">. </w:t>
            </w:r>
          </w:p>
          <w:p w:rsidR="00990954" w:rsidRDefault="00990954" w:rsidP="00531328">
            <w:pPr>
              <w:spacing w:before="120" w:after="120" w:line="264" w:lineRule="auto"/>
              <w:jc w:val="both"/>
              <w:rPr>
                <w:rFonts w:asciiTheme="minorHAnsi" w:eastAsiaTheme="minorHAnsi" w:hAnsiTheme="minorHAnsi" w:cstheme="minorBidi"/>
                <w:sz w:val="24"/>
                <w:szCs w:val="24"/>
                <w:lang w:eastAsia="en-US"/>
              </w:rPr>
            </w:pPr>
            <w:r w:rsidRPr="003D2796">
              <w:rPr>
                <w:rFonts w:asciiTheme="minorHAnsi" w:eastAsiaTheme="minorHAnsi" w:hAnsiTheme="minorHAnsi" w:cstheme="minorBidi"/>
                <w:sz w:val="24"/>
                <w:szCs w:val="24"/>
                <w:lang w:eastAsia="en-US"/>
              </w:rPr>
              <w:t xml:space="preserve">Razvoj inflacije tipično se veže uz </w:t>
            </w:r>
            <w:r w:rsidRPr="00531328">
              <w:rPr>
                <w:rFonts w:asciiTheme="minorHAnsi" w:eastAsiaTheme="minorHAnsi" w:hAnsiTheme="minorHAnsi" w:cstheme="minorBidi"/>
                <w:color w:val="C00000"/>
                <w:sz w:val="24"/>
                <w:szCs w:val="24"/>
                <w:lang w:eastAsia="en-US"/>
              </w:rPr>
              <w:t xml:space="preserve">nadimanje monetarno-kreditnih kanala </w:t>
            </w:r>
            <w:r w:rsidRPr="003D2796">
              <w:rPr>
                <w:rFonts w:asciiTheme="minorHAnsi" w:eastAsiaTheme="minorHAnsi" w:hAnsiTheme="minorHAnsi" w:cstheme="minorBidi"/>
                <w:sz w:val="24"/>
                <w:szCs w:val="24"/>
                <w:lang w:eastAsia="en-US"/>
              </w:rPr>
              <w:t>kroz pretjeranu kreditnu aktivnost banaka koja omogućuje stvaranje i optjecaj prekomjerne (nominalne) količine novca (monetarnog agregata M1)</w:t>
            </w:r>
            <w:r w:rsidR="003D2796">
              <w:rPr>
                <w:rFonts w:asciiTheme="minorHAnsi" w:eastAsiaTheme="minorHAnsi" w:hAnsiTheme="minorHAnsi" w:cstheme="minorBidi"/>
                <w:sz w:val="24"/>
                <w:szCs w:val="24"/>
                <w:lang w:eastAsia="en-US"/>
              </w:rPr>
              <w:t>, stoga inflacijski pritisci uobičajen jačaju u uvjetima nižih kamatnih stopa koje povećavaju potražnju za zaduživanjem. Ekspanzivne monetarne politike tako prvo dovode do pada nominalnih kamatnjaka, a potom nakon što se razviju inflacijska očekivanja rezultiraju rastom nominalnih kamatnjaka.</w:t>
            </w:r>
            <w:r w:rsidR="00531328">
              <w:rPr>
                <w:rFonts w:asciiTheme="minorHAnsi" w:eastAsiaTheme="minorHAnsi" w:hAnsiTheme="minorHAnsi" w:cstheme="minorBidi"/>
                <w:sz w:val="24"/>
                <w:szCs w:val="24"/>
                <w:lang w:eastAsia="en-US"/>
              </w:rPr>
              <w:t xml:space="preserve"> Međutim, osim količine novca na inflaciju djeluje i brzina optjecaja novca, kao i ponuda realnih fondova roba i usluga. Dio </w:t>
            </w:r>
            <w:r w:rsidR="00531328" w:rsidRPr="00531328">
              <w:rPr>
                <w:rFonts w:asciiTheme="minorHAnsi" w:eastAsiaTheme="minorHAnsi" w:hAnsiTheme="minorHAnsi" w:cstheme="minorBidi"/>
                <w:color w:val="C00000"/>
                <w:sz w:val="24"/>
                <w:szCs w:val="24"/>
                <w:lang w:eastAsia="en-US"/>
              </w:rPr>
              <w:t>uzroka inflacije stoga je na strani agregatne potražnje, a dio na strani agregatne ponude</w:t>
            </w:r>
            <w:r w:rsidR="00531328">
              <w:rPr>
                <w:rFonts w:asciiTheme="minorHAnsi" w:eastAsiaTheme="minorHAnsi" w:hAnsiTheme="minorHAnsi" w:cstheme="minorBidi"/>
                <w:sz w:val="24"/>
                <w:szCs w:val="24"/>
                <w:lang w:eastAsia="en-US"/>
              </w:rPr>
              <w:t>. Šokovi ponude vezani uz pad produktivnosti, tehnološko nazadovanje, rast porezne presije koja povećava troškove poduzeća, rast cijene nafte i drugi faktori rasta troškova značajno utječu na opću razinu cijena.</w:t>
            </w:r>
          </w:p>
          <w:p w:rsidR="003D2796" w:rsidRDefault="003D2796" w:rsidP="00133E4F">
            <w:pPr>
              <w:spacing w:before="120" w:after="120" w:line="264" w:lineRule="auto"/>
              <w:jc w:val="both"/>
              <w:rPr>
                <w:sz w:val="24"/>
                <w:szCs w:val="24"/>
              </w:rPr>
            </w:pPr>
            <w:r>
              <w:rPr>
                <w:rFonts w:asciiTheme="minorHAnsi" w:eastAsiaTheme="minorHAnsi" w:hAnsiTheme="minorHAnsi" w:cstheme="minorBidi"/>
                <w:sz w:val="24"/>
                <w:szCs w:val="24"/>
                <w:lang w:eastAsia="en-US"/>
              </w:rPr>
              <w:t xml:space="preserve">Iako se inflacija tipično mjeri indeksom potrošačkih cijena, </w:t>
            </w:r>
            <w:r w:rsidRPr="00531328">
              <w:rPr>
                <w:rFonts w:asciiTheme="minorHAnsi" w:eastAsiaTheme="minorHAnsi" w:hAnsiTheme="minorHAnsi" w:cstheme="minorBidi"/>
                <w:color w:val="C00000"/>
                <w:sz w:val="24"/>
                <w:szCs w:val="24"/>
                <w:lang w:eastAsia="en-US"/>
              </w:rPr>
              <w:t>nadimanja cijena mogu postojati i na drugim tržištima</w:t>
            </w:r>
            <w:r>
              <w:rPr>
                <w:rFonts w:asciiTheme="minorHAnsi" w:eastAsiaTheme="minorHAnsi" w:hAnsiTheme="minorHAnsi" w:cstheme="minorBidi"/>
                <w:sz w:val="24"/>
                <w:szCs w:val="24"/>
                <w:lang w:eastAsia="en-US"/>
              </w:rPr>
              <w:t>, npr. na tržištu nekretnina, na tržištu rada kroz rast plaća iznad rasta produkti</w:t>
            </w:r>
            <w:r w:rsidR="00531328">
              <w:rPr>
                <w:rFonts w:asciiTheme="minorHAnsi" w:eastAsiaTheme="minorHAnsi" w:hAnsiTheme="minorHAnsi" w:cstheme="minorBidi"/>
                <w:sz w:val="24"/>
                <w:szCs w:val="24"/>
                <w:lang w:eastAsia="en-US"/>
              </w:rPr>
              <w:t>vnosti rada itd. š</w:t>
            </w:r>
            <w:r>
              <w:rPr>
                <w:rFonts w:asciiTheme="minorHAnsi" w:eastAsiaTheme="minorHAnsi" w:hAnsiTheme="minorHAnsi" w:cstheme="minorBidi"/>
                <w:sz w:val="24"/>
                <w:szCs w:val="24"/>
                <w:lang w:eastAsia="en-US"/>
              </w:rPr>
              <w:t>to znači da postoje brojni uzroci inflacije</w:t>
            </w:r>
            <w:r w:rsidR="00531328">
              <w:rPr>
                <w:rFonts w:asciiTheme="minorHAnsi" w:eastAsiaTheme="minorHAnsi" w:hAnsiTheme="minorHAnsi" w:cstheme="minorBidi"/>
                <w:sz w:val="24"/>
                <w:szCs w:val="24"/>
                <w:lang w:eastAsia="en-US"/>
              </w:rPr>
              <w:t xml:space="preserve"> čija kombinacija dovodi do razmimoilaženja nominalnih vrijednosti od realnih.</w:t>
            </w:r>
            <w:r w:rsidR="00133E4F">
              <w:rPr>
                <w:rFonts w:asciiTheme="minorHAnsi" w:eastAsiaTheme="minorHAnsi" w:hAnsiTheme="minorHAnsi" w:cstheme="minorBidi"/>
                <w:sz w:val="24"/>
                <w:szCs w:val="24"/>
                <w:lang w:eastAsia="en-US"/>
              </w:rPr>
              <w:t xml:space="preserve"> Međutim, </w:t>
            </w:r>
            <w:r w:rsidR="00531328">
              <w:rPr>
                <w:rFonts w:asciiTheme="minorHAnsi" w:eastAsiaTheme="minorHAnsi" w:hAnsiTheme="minorHAnsi" w:cstheme="minorBidi"/>
                <w:sz w:val="24"/>
                <w:szCs w:val="24"/>
                <w:lang w:eastAsia="en-US"/>
              </w:rPr>
              <w:t xml:space="preserve">ljudi </w:t>
            </w:r>
            <w:r w:rsidR="00133E4F">
              <w:rPr>
                <w:rFonts w:asciiTheme="minorHAnsi" w:eastAsiaTheme="minorHAnsi" w:hAnsiTheme="minorHAnsi" w:cstheme="minorBidi"/>
                <w:sz w:val="24"/>
                <w:szCs w:val="24"/>
                <w:lang w:eastAsia="en-US"/>
              </w:rPr>
              <w:t xml:space="preserve">pate od </w:t>
            </w:r>
            <w:r w:rsidR="00531328" w:rsidRPr="00133E4F">
              <w:rPr>
                <w:rFonts w:asciiTheme="minorHAnsi" w:eastAsiaTheme="minorHAnsi" w:hAnsiTheme="minorHAnsi" w:cstheme="minorBidi"/>
                <w:color w:val="C00000"/>
                <w:sz w:val="24"/>
                <w:szCs w:val="24"/>
                <w:lang w:eastAsia="en-US"/>
              </w:rPr>
              <w:t>novčan</w:t>
            </w:r>
            <w:r w:rsidR="00133E4F" w:rsidRPr="00133E4F">
              <w:rPr>
                <w:rFonts w:asciiTheme="minorHAnsi" w:eastAsiaTheme="minorHAnsi" w:hAnsiTheme="minorHAnsi" w:cstheme="minorBidi"/>
                <w:color w:val="C00000"/>
                <w:sz w:val="24"/>
                <w:szCs w:val="24"/>
                <w:lang w:eastAsia="en-US"/>
              </w:rPr>
              <w:t>e</w:t>
            </w:r>
            <w:r w:rsidR="00531328" w:rsidRPr="00133E4F">
              <w:rPr>
                <w:rFonts w:asciiTheme="minorHAnsi" w:eastAsiaTheme="minorHAnsi" w:hAnsiTheme="minorHAnsi" w:cstheme="minorBidi"/>
                <w:color w:val="C00000"/>
                <w:sz w:val="24"/>
                <w:szCs w:val="24"/>
                <w:lang w:eastAsia="en-US"/>
              </w:rPr>
              <w:t xml:space="preserve"> iluzij</w:t>
            </w:r>
            <w:r w:rsidR="00133E4F" w:rsidRPr="00133E4F">
              <w:rPr>
                <w:rFonts w:asciiTheme="minorHAnsi" w:eastAsiaTheme="minorHAnsi" w:hAnsiTheme="minorHAnsi" w:cstheme="minorBidi"/>
                <w:color w:val="C00000"/>
                <w:sz w:val="24"/>
                <w:szCs w:val="24"/>
                <w:lang w:eastAsia="en-US"/>
              </w:rPr>
              <w:t>e</w:t>
            </w:r>
            <w:r w:rsidR="00531328" w:rsidRPr="00133E4F">
              <w:rPr>
                <w:rFonts w:asciiTheme="minorHAnsi" w:eastAsiaTheme="minorHAnsi" w:hAnsiTheme="minorHAnsi" w:cstheme="minorBidi"/>
                <w:color w:val="C00000"/>
                <w:sz w:val="24"/>
                <w:szCs w:val="24"/>
                <w:lang w:eastAsia="en-US"/>
              </w:rPr>
              <w:t xml:space="preserve"> </w:t>
            </w:r>
            <w:r w:rsidR="00531328">
              <w:rPr>
                <w:rFonts w:asciiTheme="minorHAnsi" w:eastAsiaTheme="minorHAnsi" w:hAnsiTheme="minorHAnsi" w:cstheme="minorBidi"/>
                <w:sz w:val="24"/>
                <w:szCs w:val="24"/>
                <w:lang w:eastAsia="en-US"/>
              </w:rPr>
              <w:t xml:space="preserve">u smislu sklonosti razmišljanju u nominalnim umjesto u realnim terminima, npr. u </w:t>
            </w:r>
            <w:r w:rsidR="00531328">
              <w:rPr>
                <w:rFonts w:asciiTheme="minorHAnsi" w:eastAsiaTheme="minorHAnsi" w:hAnsiTheme="minorHAnsi" w:cstheme="minorBidi"/>
                <w:sz w:val="24"/>
                <w:szCs w:val="24"/>
                <w:lang w:eastAsia="en-US"/>
              </w:rPr>
              <w:lastRenderedPageBreak/>
              <w:t>smislu kretanja nominalnih kamatnjaka koji mogu biti znatno veći od realnih kamatnjaka (kada se nominalni korigiraju za inflacijska očekivanja). Ljudi su vrlo često skloni rast (nominalnih) plaća pripisivati vlastitim zaslugama, a ne činjenici da inflacija obezvrjeđuje novac.</w:t>
            </w:r>
          </w:p>
        </w:tc>
      </w:tr>
    </w:tbl>
    <w:p w:rsidR="00B838B6" w:rsidRDefault="00A83A77" w:rsidP="000C2E32">
      <w:pPr>
        <w:spacing w:before="240"/>
        <w:jc w:val="both"/>
        <w:rPr>
          <w:sz w:val="24"/>
          <w:szCs w:val="24"/>
        </w:rPr>
      </w:pPr>
      <w:r w:rsidRPr="00742284">
        <w:rPr>
          <w:sz w:val="24"/>
          <w:szCs w:val="24"/>
        </w:rPr>
        <w:lastRenderedPageBreak/>
        <w:t>U relativnom smislu inflacija najviše pogađa subjekte niske ekonomske snage (niže dohodovne razrede) čije novčane izdatke gotovo u potpunosti čine izdaci za kupovinu dobara potrošnje. S druge strane, ona relativno manje pogađa subjekte s višom ekonomskom snagom koji dio dohotka štede i kroz ostvarenu kamatu kompenziraju dio učinaka inflacije ili koji investiraju u nekretnine</w:t>
      </w:r>
      <w:r w:rsidRPr="00742284">
        <w:rPr>
          <w:sz w:val="24"/>
          <w:szCs w:val="24"/>
          <w:vertAlign w:val="superscript"/>
        </w:rPr>
        <w:footnoteReference w:id="56"/>
      </w:r>
      <w:r w:rsidRPr="00742284">
        <w:rPr>
          <w:sz w:val="24"/>
          <w:szCs w:val="24"/>
        </w:rPr>
        <w:t xml:space="preserve">, dionice ili fondove specijalizirane za ulaganje u zlato ili druge dragocjenosti. </w:t>
      </w:r>
    </w:p>
    <w:p w:rsidR="00C357E4" w:rsidRDefault="00A83A77" w:rsidP="000C2E32">
      <w:pPr>
        <w:spacing w:before="240"/>
        <w:jc w:val="both"/>
        <w:rPr>
          <w:sz w:val="24"/>
          <w:szCs w:val="24"/>
        </w:rPr>
      </w:pPr>
      <w:r w:rsidRPr="00742284">
        <w:rPr>
          <w:sz w:val="24"/>
          <w:szCs w:val="24"/>
        </w:rPr>
        <w:t>U svrhu očuvanj</w:t>
      </w:r>
      <w:r w:rsidR="00742284">
        <w:rPr>
          <w:sz w:val="24"/>
          <w:szCs w:val="24"/>
        </w:rPr>
        <w:t xml:space="preserve">a vrijednosti </w:t>
      </w:r>
      <w:r w:rsidR="00E81713">
        <w:rPr>
          <w:sz w:val="24"/>
          <w:szCs w:val="24"/>
        </w:rPr>
        <w:t>novčane imovine</w:t>
      </w:r>
      <w:r w:rsidR="004B17ED">
        <w:rPr>
          <w:sz w:val="24"/>
          <w:szCs w:val="24"/>
        </w:rPr>
        <w:t xml:space="preserve">, zaštita od inflacijskog rizika može se provoditi indeksacijom potraživanja (obveza) uz kretanje pokazatelja inflacije (indeksa potrošačkih cijena ili drugih). </w:t>
      </w:r>
      <w:r w:rsidR="00E81713">
        <w:rPr>
          <w:sz w:val="24"/>
          <w:szCs w:val="24"/>
        </w:rPr>
        <w:t xml:space="preserve"> </w:t>
      </w:r>
      <w:r w:rsidR="004B17ED">
        <w:rPr>
          <w:sz w:val="24"/>
          <w:szCs w:val="24"/>
        </w:rPr>
        <w:t xml:space="preserve">Alternativno, </w:t>
      </w:r>
      <w:r w:rsidR="00E81713">
        <w:rPr>
          <w:sz w:val="24"/>
          <w:szCs w:val="24"/>
        </w:rPr>
        <w:t>u uvjetima snažnog inflacijskog pritiska (npr. hiperinflacije)</w:t>
      </w:r>
      <w:r w:rsidR="004B17ED">
        <w:rPr>
          <w:sz w:val="24"/>
          <w:szCs w:val="24"/>
        </w:rPr>
        <w:t xml:space="preserve"> i čestih devalvacija</w:t>
      </w:r>
      <w:r w:rsidR="00742284">
        <w:rPr>
          <w:sz w:val="24"/>
          <w:szCs w:val="24"/>
        </w:rPr>
        <w:t xml:space="preserve">, </w:t>
      </w:r>
      <w:r w:rsidR="00742284" w:rsidRPr="00133E4F">
        <w:rPr>
          <w:color w:val="C00000"/>
          <w:sz w:val="24"/>
          <w:szCs w:val="24"/>
        </w:rPr>
        <w:t>zaštita</w:t>
      </w:r>
      <w:r w:rsidRPr="00133E4F">
        <w:rPr>
          <w:color w:val="C00000"/>
          <w:sz w:val="24"/>
          <w:szCs w:val="24"/>
        </w:rPr>
        <w:t xml:space="preserve"> od </w:t>
      </w:r>
      <w:r w:rsidR="004B17ED">
        <w:rPr>
          <w:color w:val="C00000"/>
          <w:sz w:val="24"/>
          <w:szCs w:val="24"/>
        </w:rPr>
        <w:t xml:space="preserve">unutarnjeg i vanjskog pada vrijednosti domaće valute </w:t>
      </w:r>
      <w:r w:rsidR="004B17ED" w:rsidRPr="004B17ED">
        <w:rPr>
          <w:sz w:val="24"/>
          <w:szCs w:val="24"/>
        </w:rPr>
        <w:t xml:space="preserve">može </w:t>
      </w:r>
      <w:r w:rsidR="004B17ED">
        <w:rPr>
          <w:sz w:val="24"/>
          <w:szCs w:val="24"/>
        </w:rPr>
        <w:t xml:space="preserve">se </w:t>
      </w:r>
      <w:r w:rsidR="004B17ED" w:rsidRPr="004B17ED">
        <w:rPr>
          <w:sz w:val="24"/>
          <w:szCs w:val="24"/>
        </w:rPr>
        <w:t xml:space="preserve">postići </w:t>
      </w:r>
      <w:r w:rsidR="00E81713">
        <w:rPr>
          <w:sz w:val="24"/>
          <w:szCs w:val="24"/>
        </w:rPr>
        <w:t xml:space="preserve">indeksiranjem ili denominacijom potraživanja i obveza za stranu </w:t>
      </w:r>
      <w:r w:rsidR="004B17ED">
        <w:rPr>
          <w:sz w:val="24"/>
          <w:szCs w:val="24"/>
        </w:rPr>
        <w:t xml:space="preserve">stabilnu </w:t>
      </w:r>
      <w:r w:rsidR="00E81713">
        <w:rPr>
          <w:sz w:val="24"/>
          <w:szCs w:val="24"/>
        </w:rPr>
        <w:t>valutu.</w:t>
      </w:r>
      <w:r w:rsidR="00B838B6">
        <w:rPr>
          <w:sz w:val="24"/>
          <w:szCs w:val="24"/>
        </w:rPr>
        <w:t xml:space="preserve"> Valutna (monetarna) klauzula stoga postoji tipično u zemljama koje imaju ili su u ranijoj povijesti imale vrlo visoku inflaciju koja je smanjila povjerenje u domaću valutu i novac. Dodatno vrlo čest slučaj zaštite od rizika inflacije je </w:t>
      </w:r>
      <w:r w:rsidRPr="00742284">
        <w:rPr>
          <w:sz w:val="24"/>
          <w:szCs w:val="24"/>
        </w:rPr>
        <w:t>pretvaranje</w:t>
      </w:r>
      <w:r w:rsidR="00B838B6">
        <w:rPr>
          <w:sz w:val="24"/>
          <w:szCs w:val="24"/>
        </w:rPr>
        <w:t xml:space="preserve"> viškova </w:t>
      </w:r>
      <w:r w:rsidRPr="00742284">
        <w:rPr>
          <w:sz w:val="24"/>
          <w:szCs w:val="24"/>
        </w:rPr>
        <w:t xml:space="preserve">novčanih vrijednosti </w:t>
      </w:r>
      <w:r w:rsidR="00B838B6">
        <w:rPr>
          <w:sz w:val="24"/>
          <w:szCs w:val="24"/>
        </w:rPr>
        <w:t xml:space="preserve">(štednje) </w:t>
      </w:r>
      <w:r w:rsidRPr="00742284">
        <w:rPr>
          <w:sz w:val="24"/>
          <w:szCs w:val="24"/>
        </w:rPr>
        <w:t>u realna dobra</w:t>
      </w:r>
      <w:r w:rsidR="001546E1">
        <w:rPr>
          <w:sz w:val="24"/>
          <w:szCs w:val="24"/>
        </w:rPr>
        <w:t xml:space="preserve"> </w:t>
      </w:r>
      <w:r w:rsidR="00133E4F">
        <w:rPr>
          <w:sz w:val="24"/>
          <w:szCs w:val="24"/>
        </w:rPr>
        <w:t>(investicijsko zlato, nekretnine)</w:t>
      </w:r>
      <w:r w:rsidR="00B838B6">
        <w:rPr>
          <w:sz w:val="24"/>
          <w:szCs w:val="24"/>
        </w:rPr>
        <w:t>. Ukoliko se radi o relativno niskim stopa</w:t>
      </w:r>
      <w:r w:rsidR="005F2126">
        <w:rPr>
          <w:sz w:val="24"/>
          <w:szCs w:val="24"/>
        </w:rPr>
        <w:t>ma</w:t>
      </w:r>
      <w:r w:rsidR="00B838B6">
        <w:rPr>
          <w:sz w:val="24"/>
          <w:szCs w:val="24"/>
        </w:rPr>
        <w:t xml:space="preserve"> inflacije čije buduće kretanje </w:t>
      </w:r>
      <w:r w:rsidR="005F2126">
        <w:rPr>
          <w:sz w:val="24"/>
          <w:szCs w:val="24"/>
        </w:rPr>
        <w:t xml:space="preserve">se </w:t>
      </w:r>
      <w:r w:rsidR="00B838B6">
        <w:rPr>
          <w:sz w:val="24"/>
          <w:szCs w:val="24"/>
        </w:rPr>
        <w:t xml:space="preserve">može predvidjeti s većim stupnjem sigurnosti, zaštita se postiže </w:t>
      </w:r>
      <w:r w:rsidR="001546E1">
        <w:rPr>
          <w:sz w:val="24"/>
          <w:szCs w:val="24"/>
        </w:rPr>
        <w:t xml:space="preserve">oročavanjem štednje ili drugim </w:t>
      </w:r>
      <w:r w:rsidR="001546E1" w:rsidRPr="00E134BD">
        <w:rPr>
          <w:color w:val="C00000"/>
          <w:sz w:val="24"/>
          <w:szCs w:val="24"/>
        </w:rPr>
        <w:t>oblicima kapitalizacije koji čuvaju realnu vrijednost novca</w:t>
      </w:r>
      <w:r w:rsidR="00133E4F" w:rsidRPr="00E134BD">
        <w:rPr>
          <w:color w:val="C00000"/>
          <w:sz w:val="24"/>
          <w:szCs w:val="24"/>
        </w:rPr>
        <w:t xml:space="preserve"> </w:t>
      </w:r>
      <w:r w:rsidR="00133E4F">
        <w:rPr>
          <w:sz w:val="24"/>
          <w:szCs w:val="24"/>
        </w:rPr>
        <w:t>- imaju prinos veći od stope inflacije</w:t>
      </w:r>
      <w:r w:rsidR="00B838B6">
        <w:rPr>
          <w:sz w:val="24"/>
          <w:szCs w:val="24"/>
        </w:rPr>
        <w:t>, odnosno pozitivan realni prinos</w:t>
      </w:r>
      <w:r w:rsidRPr="00742284">
        <w:rPr>
          <w:sz w:val="24"/>
          <w:szCs w:val="24"/>
        </w:rPr>
        <w:t>.</w:t>
      </w:r>
      <w:r w:rsidR="000C2E32">
        <w:rPr>
          <w:sz w:val="24"/>
          <w:szCs w:val="24"/>
        </w:rPr>
        <w:t xml:space="preserve"> </w:t>
      </w:r>
    </w:p>
    <w:p w:rsidR="000C2E32" w:rsidRDefault="000C2E32" w:rsidP="000C2E32">
      <w:pPr>
        <w:spacing w:before="240"/>
        <w:jc w:val="both"/>
        <w:rPr>
          <w:sz w:val="24"/>
          <w:szCs w:val="24"/>
        </w:rPr>
      </w:pPr>
      <w:r>
        <w:rPr>
          <w:sz w:val="24"/>
          <w:szCs w:val="24"/>
        </w:rPr>
        <w:t xml:space="preserve">Dodatni, eventualni način </w:t>
      </w:r>
      <w:r w:rsidRPr="00742284">
        <w:rPr>
          <w:sz w:val="24"/>
          <w:szCs w:val="24"/>
        </w:rPr>
        <w:t>zaštite je ugovara</w:t>
      </w:r>
      <w:r>
        <w:rPr>
          <w:sz w:val="24"/>
          <w:szCs w:val="24"/>
        </w:rPr>
        <w:t>nje fiksnih</w:t>
      </w:r>
      <w:r w:rsidRPr="00742284">
        <w:rPr>
          <w:sz w:val="24"/>
          <w:szCs w:val="24"/>
        </w:rPr>
        <w:t xml:space="preserve"> realn</w:t>
      </w:r>
      <w:r>
        <w:rPr>
          <w:sz w:val="24"/>
          <w:szCs w:val="24"/>
        </w:rPr>
        <w:t>ih iznosa dohotka</w:t>
      </w:r>
      <w:r w:rsidRPr="00742284">
        <w:rPr>
          <w:sz w:val="24"/>
          <w:szCs w:val="24"/>
        </w:rPr>
        <w:t xml:space="preserve"> (fiksnu realnu plaću i druge realne dohotke, primitke od prodaje itd.)</w:t>
      </w:r>
      <w:r>
        <w:rPr>
          <w:sz w:val="24"/>
          <w:szCs w:val="24"/>
        </w:rPr>
        <w:t>, kao alternativa uobičajeno ugovorenih nominalnih plaća i dohodaka</w:t>
      </w:r>
      <w:r w:rsidRPr="00742284">
        <w:rPr>
          <w:sz w:val="24"/>
          <w:szCs w:val="24"/>
        </w:rPr>
        <w:t xml:space="preserve">. Međutim, ovaj vid zaštite moguć je tek za </w:t>
      </w:r>
      <w:r>
        <w:rPr>
          <w:sz w:val="24"/>
          <w:szCs w:val="24"/>
        </w:rPr>
        <w:t xml:space="preserve">vrlo mali </w:t>
      </w:r>
      <w:r w:rsidRPr="00742284">
        <w:rPr>
          <w:sz w:val="24"/>
          <w:szCs w:val="24"/>
        </w:rPr>
        <w:t xml:space="preserve">broj pojedinaca, dok većina zaposlenih na tržištu rada nema pregovaračku moć za ugovaranje dohodaka u fiksnom realnom iznosu. </w:t>
      </w:r>
    </w:p>
    <w:tbl>
      <w:tblPr>
        <w:tblStyle w:val="Reetkatablice"/>
        <w:tblW w:w="0" w:type="auto"/>
        <w:tblInd w:w="108" w:type="dxa"/>
        <w:tblLook w:val="01E0" w:firstRow="1" w:lastRow="1" w:firstColumn="1" w:lastColumn="1" w:noHBand="0" w:noVBand="0"/>
      </w:tblPr>
      <w:tblGrid>
        <w:gridCol w:w="9180"/>
      </w:tblGrid>
      <w:tr w:rsidR="00837942" w:rsidRPr="00742284" w:rsidTr="00B86258">
        <w:tc>
          <w:tcPr>
            <w:tcW w:w="9180" w:type="dxa"/>
            <w:shd w:val="clear" w:color="auto" w:fill="F2F2F2" w:themeFill="background1" w:themeFillShade="F2"/>
          </w:tcPr>
          <w:p w:rsidR="000C2E32" w:rsidRDefault="00837942" w:rsidP="00792054">
            <w:pPr>
              <w:jc w:val="both"/>
              <w:rPr>
                <w:rFonts w:asciiTheme="minorHAnsi" w:eastAsiaTheme="minorHAnsi" w:hAnsiTheme="minorHAnsi" w:cstheme="minorBidi"/>
                <w:color w:val="C00000"/>
                <w:sz w:val="24"/>
                <w:szCs w:val="24"/>
                <w:lang w:eastAsia="en-US"/>
              </w:rPr>
            </w:pPr>
            <w:r w:rsidRPr="001546E1">
              <w:rPr>
                <w:rFonts w:asciiTheme="minorHAnsi" w:eastAsiaTheme="minorHAnsi" w:hAnsiTheme="minorHAnsi" w:cstheme="minorBidi"/>
                <w:color w:val="C00000"/>
                <w:sz w:val="24"/>
                <w:szCs w:val="24"/>
                <w:lang w:eastAsia="en-US"/>
              </w:rPr>
              <w:t>Pravilo 72</w:t>
            </w:r>
          </w:p>
          <w:p w:rsidR="00837942" w:rsidRDefault="00837942" w:rsidP="00792054">
            <w:pPr>
              <w:jc w:val="both"/>
              <w:rPr>
                <w:rFonts w:asciiTheme="minorHAnsi" w:eastAsiaTheme="minorHAnsi" w:hAnsiTheme="minorHAnsi" w:cstheme="minorBidi"/>
                <w:sz w:val="24"/>
                <w:szCs w:val="24"/>
                <w:lang w:eastAsia="en-US"/>
              </w:rPr>
            </w:pPr>
            <w:r w:rsidRPr="00A83A77">
              <w:rPr>
                <w:rFonts w:asciiTheme="minorHAnsi" w:eastAsiaTheme="minorHAnsi" w:hAnsiTheme="minorHAnsi" w:cstheme="minorBidi"/>
                <w:sz w:val="24"/>
                <w:szCs w:val="24"/>
                <w:lang w:eastAsia="en-US"/>
              </w:rPr>
              <w:t xml:space="preserve">Ako je godišnja stopa inflacije 8% cijene će se udvostručiti za 9 godina. </w:t>
            </w:r>
            <w:r>
              <w:rPr>
                <w:rFonts w:asciiTheme="minorHAnsi" w:eastAsiaTheme="minorHAnsi" w:hAnsiTheme="minorHAnsi" w:cstheme="minorBidi"/>
                <w:sz w:val="24"/>
                <w:szCs w:val="24"/>
                <w:lang w:eastAsia="en-US"/>
              </w:rPr>
              <w:t>72: 8</w:t>
            </w:r>
            <w:r w:rsidRPr="00A83A77">
              <w:rPr>
                <w:rFonts w:asciiTheme="minorHAnsi" w:eastAsiaTheme="minorHAnsi" w:hAnsiTheme="minorHAnsi" w:cstheme="minorBidi"/>
                <w:sz w:val="24"/>
                <w:szCs w:val="24"/>
                <w:lang w:eastAsia="en-US"/>
              </w:rPr>
              <w:t>= 9</w:t>
            </w:r>
          </w:p>
          <w:p w:rsidR="00837942" w:rsidRPr="00A83A77" w:rsidRDefault="00837942" w:rsidP="00792054">
            <w:pPr>
              <w:jc w:val="both"/>
              <w:rPr>
                <w:rFonts w:asciiTheme="minorHAnsi" w:eastAsiaTheme="minorHAnsi" w:hAnsiTheme="minorHAnsi" w:cstheme="minorBidi"/>
                <w:sz w:val="24"/>
                <w:szCs w:val="24"/>
                <w:lang w:eastAsia="en-US"/>
              </w:rPr>
            </w:pPr>
            <w:r w:rsidRPr="00A83A77">
              <w:rPr>
                <w:rFonts w:asciiTheme="minorHAnsi" w:eastAsiaTheme="minorHAnsi" w:hAnsiTheme="minorHAnsi" w:cstheme="minorBidi"/>
                <w:sz w:val="24"/>
                <w:szCs w:val="24"/>
                <w:lang w:eastAsia="en-US"/>
              </w:rPr>
              <w:t>Automobil koji danas košta 130.000,00 k</w:t>
            </w:r>
            <w:r>
              <w:rPr>
                <w:rFonts w:asciiTheme="minorHAnsi" w:eastAsiaTheme="minorHAnsi" w:hAnsiTheme="minorHAnsi" w:cstheme="minorBidi"/>
                <w:sz w:val="24"/>
                <w:szCs w:val="24"/>
                <w:lang w:eastAsia="en-US"/>
              </w:rPr>
              <w:t>n</w:t>
            </w:r>
            <w:r w:rsidRPr="00A83A77">
              <w:rPr>
                <w:rFonts w:asciiTheme="minorHAnsi" w:eastAsiaTheme="minorHAnsi" w:hAnsiTheme="minorHAnsi" w:cstheme="minorBidi"/>
                <w:sz w:val="24"/>
                <w:szCs w:val="24"/>
                <w:lang w:eastAsia="en-US"/>
              </w:rPr>
              <w:t xml:space="preserve"> za devet godina imat će cijenu 260.000,00 k</w:t>
            </w:r>
            <w:r>
              <w:rPr>
                <w:rFonts w:asciiTheme="minorHAnsi" w:eastAsiaTheme="minorHAnsi" w:hAnsiTheme="minorHAnsi" w:cstheme="minorBidi"/>
                <w:sz w:val="24"/>
                <w:szCs w:val="24"/>
                <w:lang w:eastAsia="en-US"/>
              </w:rPr>
              <w:t>n</w:t>
            </w:r>
            <w:r w:rsidRPr="00A83A77">
              <w:rPr>
                <w:rFonts w:asciiTheme="minorHAnsi" w:eastAsiaTheme="minorHAnsi" w:hAnsiTheme="minorHAnsi" w:cstheme="minorBidi"/>
                <w:sz w:val="24"/>
                <w:szCs w:val="24"/>
                <w:lang w:eastAsia="en-US"/>
              </w:rPr>
              <w:t>.</w:t>
            </w:r>
          </w:p>
        </w:tc>
      </w:tr>
    </w:tbl>
    <w:p w:rsidR="00B838B6" w:rsidRDefault="00B838B6" w:rsidP="00C357E4">
      <w:pPr>
        <w:spacing w:before="280" w:after="0"/>
        <w:jc w:val="both"/>
        <w:rPr>
          <w:sz w:val="24"/>
          <w:szCs w:val="24"/>
        </w:rPr>
      </w:pPr>
      <w:r>
        <w:rPr>
          <w:sz w:val="24"/>
          <w:szCs w:val="24"/>
        </w:rPr>
        <w:t xml:space="preserve">Na slici 25 prikazano je kretanje inflacije u Hrvatskoj mjereno indeksom potrošačkih cijena. Dva razdoblja većeg inflacijskog pritiska tijekom 2008. i 2012. bila su prvenstveno determinirana značajnim rastom cijene nafte na svjetskom tržištu, a tijekom 2012. dodatno i povećanjem opće stope PDV-a te cijena komunalija. </w:t>
      </w:r>
      <w:r w:rsidR="00792054" w:rsidRPr="00792054">
        <w:rPr>
          <w:sz w:val="24"/>
          <w:szCs w:val="24"/>
        </w:rPr>
        <w:t xml:space="preserve">U novijoj povijesti u Hrvatskoj i brojnim drugim članicama EU prisutan je </w:t>
      </w:r>
      <w:r w:rsidR="005938E4">
        <w:rPr>
          <w:sz w:val="24"/>
          <w:szCs w:val="24"/>
        </w:rPr>
        <w:t>problem deflacije. Konkretno u kolovozu</w:t>
      </w:r>
      <w:r w:rsidR="00792054" w:rsidRPr="00792054">
        <w:rPr>
          <w:sz w:val="24"/>
          <w:szCs w:val="24"/>
        </w:rPr>
        <w:t xml:space="preserve"> 2015. u Hrvatskoj je zabilježena godišnja stopa promjene potrošačkih cijena na razini -0,</w:t>
      </w:r>
      <w:r w:rsidR="005938E4">
        <w:rPr>
          <w:sz w:val="24"/>
          <w:szCs w:val="24"/>
        </w:rPr>
        <w:t>6</w:t>
      </w:r>
      <w:r w:rsidR="00792054" w:rsidRPr="00792054">
        <w:rPr>
          <w:sz w:val="24"/>
          <w:szCs w:val="24"/>
        </w:rPr>
        <w:t>%.</w:t>
      </w:r>
    </w:p>
    <w:tbl>
      <w:tblPr>
        <w:tblStyle w:val="Reetkatablice"/>
        <w:tblW w:w="0" w:type="auto"/>
        <w:tblLayout w:type="fixed"/>
        <w:tblLook w:val="04A0" w:firstRow="1" w:lastRow="0" w:firstColumn="1" w:lastColumn="0" w:noHBand="0" w:noVBand="1"/>
      </w:tblPr>
      <w:tblGrid>
        <w:gridCol w:w="5637"/>
        <w:gridCol w:w="3651"/>
      </w:tblGrid>
      <w:tr w:rsidR="009D2B26" w:rsidTr="00792054">
        <w:tc>
          <w:tcPr>
            <w:tcW w:w="5637" w:type="dxa"/>
          </w:tcPr>
          <w:p w:rsidR="009D2B26" w:rsidRPr="00F256E7" w:rsidRDefault="009D2B26" w:rsidP="009D2B26">
            <w:pPr>
              <w:spacing w:before="280"/>
              <w:jc w:val="both"/>
              <w:rPr>
                <w:b/>
                <w:sz w:val="24"/>
                <w:szCs w:val="24"/>
              </w:rPr>
            </w:pPr>
            <w:r w:rsidRPr="00F256E7">
              <w:rPr>
                <w:b/>
                <w:sz w:val="24"/>
                <w:szCs w:val="24"/>
              </w:rPr>
              <w:lastRenderedPageBreak/>
              <w:t>Slika 25: Indeks potrošačkih cijena u Hrvatskoj (godišnja stopa promjene)</w:t>
            </w:r>
          </w:p>
          <w:p w:rsidR="009D2B26" w:rsidRDefault="005938E4" w:rsidP="009D2B26">
            <w:pPr>
              <w:jc w:val="both"/>
              <w:rPr>
                <w:sz w:val="24"/>
                <w:szCs w:val="24"/>
              </w:rPr>
            </w:pPr>
            <w:r>
              <w:rPr>
                <w:noProof/>
              </w:rPr>
              <w:drawing>
                <wp:inline distT="0" distB="0" distL="0" distR="0">
                  <wp:extent cx="3467100" cy="2625669"/>
                  <wp:effectExtent l="0" t="0" r="0" b="3810"/>
                  <wp:docPr id="29703" name="Slika 29703" descr="pokazatelj inflac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okazatelj inflacij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67100" cy="2625669"/>
                          </a:xfrm>
                          <a:prstGeom prst="rect">
                            <a:avLst/>
                          </a:prstGeom>
                          <a:noFill/>
                          <a:ln>
                            <a:noFill/>
                          </a:ln>
                        </pic:spPr>
                      </pic:pic>
                    </a:graphicData>
                  </a:graphic>
                </wp:inline>
              </w:drawing>
            </w:r>
          </w:p>
          <w:p w:rsidR="009D2B26" w:rsidRDefault="009D2B26" w:rsidP="009D2B26">
            <w:pPr>
              <w:jc w:val="both"/>
            </w:pPr>
            <w:r w:rsidRPr="00F256E7">
              <w:t xml:space="preserve">Izvor: DZS, </w:t>
            </w:r>
            <w:r w:rsidR="001A23EC">
              <w:t>p</w:t>
            </w:r>
            <w:r w:rsidRPr="00F256E7">
              <w:t xml:space="preserve">reuzeto sa stranica HNB, </w:t>
            </w:r>
            <w:r w:rsidR="00792054" w:rsidRPr="00792054">
              <w:t>www.hnb.hr</w:t>
            </w:r>
          </w:p>
          <w:p w:rsidR="00792054" w:rsidRPr="00792054" w:rsidRDefault="00792054" w:rsidP="00792054">
            <w:pPr>
              <w:spacing w:before="240"/>
              <w:jc w:val="both"/>
              <w:rPr>
                <w:rFonts w:asciiTheme="minorHAnsi" w:hAnsiTheme="minorHAnsi"/>
                <w:b/>
                <w:sz w:val="24"/>
                <w:szCs w:val="24"/>
              </w:rPr>
            </w:pPr>
          </w:p>
        </w:tc>
        <w:tc>
          <w:tcPr>
            <w:tcW w:w="3651" w:type="dxa"/>
          </w:tcPr>
          <w:p w:rsidR="009D2B26" w:rsidRPr="009D2B26" w:rsidRDefault="009D2B26" w:rsidP="00792054">
            <w:pPr>
              <w:jc w:val="both"/>
              <w:rPr>
                <w:rFonts w:asciiTheme="minorHAnsi" w:hAnsiTheme="minorHAnsi"/>
                <w:sz w:val="24"/>
                <w:szCs w:val="24"/>
              </w:rPr>
            </w:pPr>
            <w:r w:rsidRPr="009D2B26">
              <w:rPr>
                <w:rFonts w:asciiTheme="minorHAnsi" w:hAnsiTheme="minorHAnsi"/>
                <w:sz w:val="24"/>
                <w:szCs w:val="24"/>
              </w:rPr>
              <w:t xml:space="preserve">Jedan od problema inflacije i deflacije je što </w:t>
            </w:r>
            <w:r w:rsidRPr="008E26FD">
              <w:rPr>
                <w:rFonts w:asciiTheme="minorHAnsi" w:hAnsiTheme="minorHAnsi"/>
                <w:color w:val="C00000"/>
                <w:sz w:val="24"/>
                <w:szCs w:val="24"/>
              </w:rPr>
              <w:t>iskrivljuju sliku o kretanju brojnih ekonomskih varijabla</w:t>
            </w:r>
            <w:r w:rsidRPr="009D2B26">
              <w:rPr>
                <w:rFonts w:asciiTheme="minorHAnsi" w:hAnsiTheme="minorHAnsi"/>
                <w:sz w:val="24"/>
                <w:szCs w:val="24"/>
              </w:rPr>
              <w:t xml:space="preserve">. Na primjer moguće je da se nominalne plaće </w:t>
            </w:r>
            <w:r w:rsidR="00792054">
              <w:rPr>
                <w:rFonts w:asciiTheme="minorHAnsi" w:hAnsiTheme="minorHAnsi"/>
                <w:sz w:val="24"/>
                <w:szCs w:val="24"/>
              </w:rPr>
              <w:t xml:space="preserve">rastu sporije od rasta cijena, </w:t>
            </w:r>
            <w:r w:rsidRPr="009D2B26">
              <w:rPr>
                <w:rFonts w:asciiTheme="minorHAnsi" w:hAnsiTheme="minorHAnsi"/>
                <w:sz w:val="24"/>
                <w:szCs w:val="24"/>
              </w:rPr>
              <w:t>zbog čega se realn</w:t>
            </w:r>
            <w:r w:rsidR="00792054">
              <w:rPr>
                <w:rFonts w:asciiTheme="minorHAnsi" w:hAnsiTheme="minorHAnsi"/>
                <w:sz w:val="24"/>
                <w:szCs w:val="24"/>
              </w:rPr>
              <w:t>e</w:t>
            </w:r>
            <w:r w:rsidRPr="009D2B26">
              <w:rPr>
                <w:rFonts w:asciiTheme="minorHAnsi" w:hAnsiTheme="minorHAnsi"/>
                <w:sz w:val="24"/>
                <w:szCs w:val="24"/>
              </w:rPr>
              <w:t xml:space="preserve"> plać</w:t>
            </w:r>
            <w:r w:rsidR="00792054">
              <w:rPr>
                <w:rFonts w:asciiTheme="minorHAnsi" w:hAnsiTheme="minorHAnsi"/>
                <w:sz w:val="24"/>
                <w:szCs w:val="24"/>
              </w:rPr>
              <w:t>e</w:t>
            </w:r>
            <w:r w:rsidRPr="009D2B26">
              <w:rPr>
                <w:rFonts w:asciiTheme="minorHAnsi" w:hAnsiTheme="minorHAnsi"/>
                <w:sz w:val="24"/>
                <w:szCs w:val="24"/>
              </w:rPr>
              <w:t xml:space="preserve"> u stvari smanjuj</w:t>
            </w:r>
            <w:r w:rsidR="00792054">
              <w:rPr>
                <w:rFonts w:asciiTheme="minorHAnsi" w:hAnsiTheme="minorHAnsi"/>
                <w:sz w:val="24"/>
                <w:szCs w:val="24"/>
              </w:rPr>
              <w:t>u</w:t>
            </w:r>
            <w:r w:rsidRPr="009D2B26">
              <w:rPr>
                <w:rFonts w:asciiTheme="minorHAnsi" w:hAnsiTheme="minorHAnsi"/>
                <w:sz w:val="24"/>
                <w:szCs w:val="24"/>
              </w:rPr>
              <w:t xml:space="preserve">. Nadalje, u uvjetima veće inflacije, realne stopa rasta BDP-a ili njegovih pojedinačnih komponenti (poput potrošnje građana) mogu biti znatno niže od nominalnih stopa rasta. Suprotno tome, u uvjetima deflacije, realne stope rasta BDP-a su veće od nominalnih pa </w:t>
            </w:r>
            <w:r w:rsidR="00792054">
              <w:rPr>
                <w:rFonts w:asciiTheme="minorHAnsi" w:hAnsiTheme="minorHAnsi"/>
                <w:sz w:val="24"/>
                <w:szCs w:val="24"/>
              </w:rPr>
              <w:t xml:space="preserve">statistika realnih promjena ukazuje na veći oporavak ekonomije nego što </w:t>
            </w:r>
            <w:r w:rsidRPr="009D2B26">
              <w:rPr>
                <w:rFonts w:asciiTheme="minorHAnsi" w:hAnsiTheme="minorHAnsi"/>
                <w:sz w:val="24"/>
                <w:szCs w:val="24"/>
              </w:rPr>
              <w:t>javnost</w:t>
            </w:r>
            <w:r w:rsidR="00792054">
              <w:rPr>
                <w:rFonts w:asciiTheme="minorHAnsi" w:hAnsiTheme="minorHAnsi"/>
                <w:sz w:val="24"/>
                <w:szCs w:val="24"/>
              </w:rPr>
              <w:t xml:space="preserve"> i računovodstvo poduzetnika </w:t>
            </w:r>
            <w:r w:rsidR="00540F93">
              <w:rPr>
                <w:rFonts w:asciiTheme="minorHAnsi" w:hAnsiTheme="minorHAnsi"/>
                <w:sz w:val="24"/>
                <w:szCs w:val="24"/>
              </w:rPr>
              <w:t xml:space="preserve">bilježi i/ ili </w:t>
            </w:r>
            <w:r w:rsidR="00792054">
              <w:rPr>
                <w:rFonts w:asciiTheme="minorHAnsi" w:hAnsiTheme="minorHAnsi"/>
                <w:sz w:val="24"/>
                <w:szCs w:val="24"/>
              </w:rPr>
              <w:t xml:space="preserve">percipira. </w:t>
            </w:r>
            <w:r w:rsidRPr="009D2B26">
              <w:rPr>
                <w:rFonts w:asciiTheme="minorHAnsi" w:hAnsiTheme="minorHAnsi"/>
                <w:sz w:val="24"/>
                <w:szCs w:val="24"/>
              </w:rPr>
              <w:t xml:space="preserve"> </w:t>
            </w:r>
          </w:p>
        </w:tc>
      </w:tr>
    </w:tbl>
    <w:p w:rsidR="00F256E7" w:rsidRPr="009139D2" w:rsidRDefault="00F256E7" w:rsidP="009D2B26">
      <w:pPr>
        <w:spacing w:before="240"/>
        <w:jc w:val="both"/>
        <w:rPr>
          <w:sz w:val="24"/>
          <w:szCs w:val="24"/>
        </w:rPr>
      </w:pPr>
      <w:r>
        <w:rPr>
          <w:sz w:val="24"/>
          <w:szCs w:val="24"/>
        </w:rPr>
        <w:t xml:space="preserve">Iako </w:t>
      </w:r>
      <w:r w:rsidRPr="00837942">
        <w:rPr>
          <w:sz w:val="24"/>
          <w:szCs w:val="24"/>
        </w:rPr>
        <w:t xml:space="preserve">vrijednost novca raste u uvjetima deflacije, </w:t>
      </w:r>
      <w:r w:rsidRPr="00837942">
        <w:rPr>
          <w:color w:val="C00000"/>
          <w:sz w:val="24"/>
          <w:szCs w:val="24"/>
        </w:rPr>
        <w:t>makroekonomski gledano d</w:t>
      </w:r>
      <w:r w:rsidRPr="00837942">
        <w:rPr>
          <w:color w:val="C00000"/>
        </w:rPr>
        <w:t>eflacija može biti teži problem od inflacije</w:t>
      </w:r>
      <w:r w:rsidRPr="00F256E7">
        <w:t xml:space="preserve">. </w:t>
      </w:r>
      <w:r w:rsidR="000C2E32">
        <w:rPr>
          <w:sz w:val="24"/>
          <w:szCs w:val="24"/>
        </w:rPr>
        <w:t xml:space="preserve">Deflacija </w:t>
      </w:r>
      <w:r w:rsidR="00527A99">
        <w:rPr>
          <w:sz w:val="24"/>
          <w:szCs w:val="24"/>
        </w:rPr>
        <w:t xml:space="preserve">pridonosi dužem trajanju </w:t>
      </w:r>
      <w:r w:rsidR="000C2E32">
        <w:rPr>
          <w:sz w:val="24"/>
          <w:szCs w:val="24"/>
        </w:rPr>
        <w:t>recesij</w:t>
      </w:r>
      <w:r w:rsidR="00527A99">
        <w:rPr>
          <w:sz w:val="24"/>
          <w:szCs w:val="24"/>
        </w:rPr>
        <w:t>e</w:t>
      </w:r>
      <w:r w:rsidRPr="000C2E32">
        <w:rPr>
          <w:sz w:val="24"/>
          <w:szCs w:val="24"/>
        </w:rPr>
        <w:t xml:space="preserve">, rezultira padom prihoda poduzetnika te rastom nezaposlenosti. U novijoj povijesti razvoju deflacijskih zbivanja pogoduje niska cijena nafte, a dodatno je i rezultat nedovoljne ekonomske aktivnosti </w:t>
      </w:r>
      <w:r w:rsidR="00527A99">
        <w:rPr>
          <w:sz w:val="24"/>
          <w:szCs w:val="24"/>
        </w:rPr>
        <w:t xml:space="preserve">u Hrvatskoj </w:t>
      </w:r>
      <w:r w:rsidRPr="000C2E32">
        <w:rPr>
          <w:sz w:val="24"/>
          <w:szCs w:val="24"/>
        </w:rPr>
        <w:t xml:space="preserve">i niske kupovne moći </w:t>
      </w:r>
      <w:r w:rsidR="00527A99">
        <w:rPr>
          <w:sz w:val="24"/>
          <w:szCs w:val="24"/>
        </w:rPr>
        <w:t xml:space="preserve">ekonomskih subjekta </w:t>
      </w:r>
      <w:r w:rsidRPr="000C2E32">
        <w:rPr>
          <w:sz w:val="24"/>
          <w:szCs w:val="24"/>
        </w:rPr>
        <w:t xml:space="preserve">koja </w:t>
      </w:r>
      <w:r w:rsidRPr="009139D2">
        <w:rPr>
          <w:sz w:val="24"/>
          <w:szCs w:val="24"/>
        </w:rPr>
        <w:t>podržava nisku potražnju.</w:t>
      </w:r>
    </w:p>
    <w:p w:rsidR="000C2E32" w:rsidRPr="00C103F2" w:rsidRDefault="00C103F2" w:rsidP="00C103F2">
      <w:pPr>
        <w:spacing w:before="240" w:after="0"/>
        <w:jc w:val="both"/>
        <w:rPr>
          <w:b/>
          <w:sz w:val="24"/>
          <w:szCs w:val="24"/>
        </w:rPr>
      </w:pPr>
      <w:r>
        <w:rPr>
          <w:b/>
          <w:sz w:val="24"/>
          <w:szCs w:val="24"/>
        </w:rPr>
        <w:t xml:space="preserve">3.3. </w:t>
      </w:r>
      <w:r w:rsidR="000C2E32" w:rsidRPr="00C103F2">
        <w:rPr>
          <w:b/>
          <w:sz w:val="24"/>
          <w:szCs w:val="24"/>
        </w:rPr>
        <w:t>Ka</w:t>
      </w:r>
      <w:r w:rsidR="00B00391" w:rsidRPr="00C103F2">
        <w:rPr>
          <w:b/>
          <w:sz w:val="24"/>
          <w:szCs w:val="24"/>
        </w:rPr>
        <w:t>matn</w:t>
      </w:r>
      <w:r w:rsidR="000C2E32" w:rsidRPr="00C103F2">
        <w:rPr>
          <w:b/>
          <w:sz w:val="24"/>
          <w:szCs w:val="24"/>
        </w:rPr>
        <w:t>i rizik</w:t>
      </w:r>
    </w:p>
    <w:p w:rsidR="00672CD5" w:rsidRDefault="00837942" w:rsidP="000C2E32">
      <w:pPr>
        <w:spacing w:before="240"/>
        <w:jc w:val="both"/>
        <w:rPr>
          <w:sz w:val="24"/>
          <w:szCs w:val="24"/>
        </w:rPr>
      </w:pPr>
      <w:r w:rsidRPr="000C2E32">
        <w:rPr>
          <w:color w:val="C00000"/>
          <w:sz w:val="24"/>
          <w:szCs w:val="24"/>
        </w:rPr>
        <w:t xml:space="preserve">Kamatni rizik </w:t>
      </w:r>
      <w:r w:rsidRPr="000C2E32">
        <w:rPr>
          <w:sz w:val="24"/>
          <w:szCs w:val="24"/>
        </w:rPr>
        <w:t>je rizik gubitka koji proizlazi iz mogućih promjena kamatnih stopa. Na primjer uz</w:t>
      </w:r>
      <w:r w:rsidR="00A83A77" w:rsidRPr="000C2E32">
        <w:rPr>
          <w:sz w:val="24"/>
          <w:szCs w:val="24"/>
        </w:rPr>
        <w:t xml:space="preserve"> viši kamatnjak </w:t>
      </w:r>
      <w:r w:rsidR="00672CD5" w:rsidRPr="000C2E32">
        <w:rPr>
          <w:sz w:val="24"/>
          <w:szCs w:val="24"/>
        </w:rPr>
        <w:t xml:space="preserve">raste </w:t>
      </w:r>
      <w:r w:rsidR="00A83A77" w:rsidRPr="000C2E32">
        <w:rPr>
          <w:sz w:val="24"/>
          <w:szCs w:val="24"/>
        </w:rPr>
        <w:t xml:space="preserve">teret otplate kredita odobrenih s </w:t>
      </w:r>
      <w:r w:rsidR="00A83A77" w:rsidRPr="000C2E32">
        <w:rPr>
          <w:color w:val="C00000"/>
          <w:sz w:val="24"/>
          <w:szCs w:val="24"/>
        </w:rPr>
        <w:t>promjenjivom kamatnom stopom</w:t>
      </w:r>
      <w:r w:rsidR="00A83A77" w:rsidRPr="000C2E32">
        <w:rPr>
          <w:sz w:val="24"/>
          <w:szCs w:val="24"/>
        </w:rPr>
        <w:t xml:space="preserve">, jer uz primjenu veće kamatne stope rastu </w:t>
      </w:r>
      <w:r w:rsidR="00ED776F">
        <w:rPr>
          <w:sz w:val="24"/>
          <w:szCs w:val="24"/>
        </w:rPr>
        <w:t xml:space="preserve">kamatni troškovi i </w:t>
      </w:r>
      <w:r w:rsidR="00A83A77" w:rsidRPr="000C2E32">
        <w:rPr>
          <w:sz w:val="24"/>
          <w:szCs w:val="24"/>
        </w:rPr>
        <w:t>mjesečn</w:t>
      </w:r>
      <w:r w:rsidR="00ED776F">
        <w:rPr>
          <w:sz w:val="24"/>
          <w:szCs w:val="24"/>
        </w:rPr>
        <w:t>i</w:t>
      </w:r>
      <w:r w:rsidR="00A83A77" w:rsidRPr="000C2E32">
        <w:rPr>
          <w:sz w:val="24"/>
          <w:szCs w:val="24"/>
        </w:rPr>
        <w:t xml:space="preserve"> anuiteti </w:t>
      </w:r>
      <w:r w:rsidR="00ED776F">
        <w:rPr>
          <w:sz w:val="24"/>
          <w:szCs w:val="24"/>
        </w:rPr>
        <w:t xml:space="preserve">(kao i rate) </w:t>
      </w:r>
      <w:r w:rsidR="00A83A77" w:rsidRPr="000C2E32">
        <w:rPr>
          <w:sz w:val="24"/>
          <w:szCs w:val="24"/>
        </w:rPr>
        <w:t xml:space="preserve">otplate kredita. Kako je dohodak kućanstva uobičajeno fiksan, promjene kamatnjaka i iznosa otplate kredita mogu imati značajan učinak na strukturu izdataka zaduženih kućanstva. S druge strane, u razdobljima visokih realnih kamatnjaka i oskudice izvora sredstava banaka, oročena štednja može biti vrlo atraktivni oblik ulaganja te ukoliko </w:t>
      </w:r>
      <w:r w:rsidR="00221DE0">
        <w:rPr>
          <w:sz w:val="24"/>
          <w:szCs w:val="24"/>
        </w:rPr>
        <w:t xml:space="preserve">osobna </w:t>
      </w:r>
      <w:r w:rsidR="00A83A77" w:rsidRPr="000C2E32">
        <w:rPr>
          <w:sz w:val="24"/>
          <w:szCs w:val="24"/>
        </w:rPr>
        <w:t xml:space="preserve">financijska situacija to dopušta, valja pravovremeno iskoristit mogućnosti za oplođivanje vlastite ušteđevine. Pravovremeno reagiranje je važno iz razloga što </w:t>
      </w:r>
      <w:r w:rsidR="00A83A77" w:rsidRPr="000C2E32">
        <w:rPr>
          <w:color w:val="C00000"/>
          <w:sz w:val="24"/>
          <w:szCs w:val="24"/>
        </w:rPr>
        <w:t xml:space="preserve">razdoblja visokih kamatnjaka na oročenu štednju u pravilu traju relativno kratko </w:t>
      </w:r>
      <w:r w:rsidR="00A83A77" w:rsidRPr="000C2E32">
        <w:rPr>
          <w:sz w:val="24"/>
          <w:szCs w:val="24"/>
        </w:rPr>
        <w:t xml:space="preserve">pa kasno uključivanje </w:t>
      </w:r>
      <w:r w:rsidR="004A7643">
        <w:rPr>
          <w:sz w:val="24"/>
          <w:szCs w:val="24"/>
        </w:rPr>
        <w:t xml:space="preserve">znači </w:t>
      </w:r>
      <w:r w:rsidR="00A83A77" w:rsidRPr="000C2E32">
        <w:rPr>
          <w:sz w:val="24"/>
          <w:szCs w:val="24"/>
        </w:rPr>
        <w:t xml:space="preserve">propuštene prilike. </w:t>
      </w:r>
    </w:p>
    <w:p w:rsidR="00B838B6" w:rsidRDefault="00B838B6" w:rsidP="00B838B6">
      <w:pPr>
        <w:spacing w:before="240"/>
        <w:jc w:val="both"/>
        <w:rPr>
          <w:b/>
          <w:sz w:val="24"/>
          <w:szCs w:val="24"/>
        </w:rPr>
      </w:pPr>
      <w:r>
        <w:rPr>
          <w:sz w:val="24"/>
          <w:szCs w:val="24"/>
        </w:rPr>
        <w:t xml:space="preserve">Iako se o kamatnom riziku uglavnom govori s aspekta ugovorenih promjenjivih kamatnih stopa (uglavnom zbog neizvjesnosti njihovog budućeg povećanja), </w:t>
      </w:r>
      <w:r w:rsidRPr="000C2E32">
        <w:rPr>
          <w:color w:val="C00000"/>
          <w:sz w:val="24"/>
          <w:szCs w:val="24"/>
        </w:rPr>
        <w:t>kamatni rizik postoji i kod fiksnih kamatnih stopa</w:t>
      </w:r>
      <w:r w:rsidRPr="00672CD5">
        <w:rPr>
          <w:sz w:val="24"/>
          <w:szCs w:val="24"/>
        </w:rPr>
        <w:t>. Moguća je situacija ugovaranja kredita u uvjetima vrlo visokih fiksnih kamatnih stopa, a koje su s vremenom  znatno veće od prevladavajućih na tržištu. U tom slučaju treba razmotriti mogućnosti</w:t>
      </w:r>
      <w:r w:rsidR="00221DE0">
        <w:rPr>
          <w:sz w:val="24"/>
          <w:szCs w:val="24"/>
        </w:rPr>
        <w:t>,</w:t>
      </w:r>
      <w:r w:rsidRPr="00672CD5">
        <w:rPr>
          <w:sz w:val="24"/>
          <w:szCs w:val="24"/>
        </w:rPr>
        <w:t xml:space="preserve"> ali i opravdanost refinanciranja postojećeg kredita po </w:t>
      </w:r>
      <w:r w:rsidRPr="00672CD5">
        <w:rPr>
          <w:sz w:val="24"/>
          <w:szCs w:val="24"/>
        </w:rPr>
        <w:lastRenderedPageBreak/>
        <w:t>nižim fiksnim kamatnim stopama.</w:t>
      </w:r>
      <w:r>
        <w:rPr>
          <w:sz w:val="24"/>
          <w:szCs w:val="24"/>
        </w:rPr>
        <w:t xml:space="preserve"> </w:t>
      </w:r>
      <w:r w:rsidR="00221DE0">
        <w:rPr>
          <w:sz w:val="24"/>
          <w:szCs w:val="24"/>
        </w:rPr>
        <w:t xml:space="preserve">Opravdanost </w:t>
      </w:r>
      <w:r>
        <w:rPr>
          <w:sz w:val="24"/>
          <w:szCs w:val="24"/>
        </w:rPr>
        <w:t>može bit upitana npr. u slučaju dvadesetogodišnjeg kredita koji se otplaćuje u modelu standardnih mjesečnih anuitetskih otplata pa je značajan dio kamata plaćan u prvih 15 godina (kada npr. na tržištu prevladavaju znatno niži kamatnjaci), a refinanciranje bi značilo ponovnu procjenu kreditne sposobnosti dužnika i novo definiranje uvjeta i strukture otplate te moguće dodatne troškove.</w:t>
      </w:r>
      <w:r>
        <w:rPr>
          <w:b/>
          <w:sz w:val="24"/>
          <w:szCs w:val="24"/>
        </w:rPr>
        <w:t xml:space="preserve"> </w:t>
      </w:r>
    </w:p>
    <w:p w:rsidR="000C2E32" w:rsidRDefault="0014593A" w:rsidP="009D2B26">
      <w:pPr>
        <w:spacing w:after="0" w:line="264" w:lineRule="auto"/>
        <w:jc w:val="both"/>
        <w:rPr>
          <w:b/>
          <w:sz w:val="24"/>
          <w:szCs w:val="24"/>
        </w:rPr>
      </w:pPr>
      <w:r w:rsidRPr="0014593A">
        <w:rPr>
          <w:b/>
          <w:sz w:val="24"/>
          <w:szCs w:val="24"/>
        </w:rPr>
        <w:t>Slika 26</w:t>
      </w:r>
      <w:r w:rsidR="00EC43FD">
        <w:rPr>
          <w:b/>
          <w:sz w:val="24"/>
          <w:szCs w:val="24"/>
        </w:rPr>
        <w:t>-a</w:t>
      </w:r>
      <w:r w:rsidRPr="0014593A">
        <w:rPr>
          <w:b/>
          <w:sz w:val="24"/>
          <w:szCs w:val="24"/>
        </w:rPr>
        <w:t>: Prosječne pasivne kamatne stope banaka u RH</w:t>
      </w:r>
    </w:p>
    <w:p w:rsidR="0014593A" w:rsidRDefault="0014593A" w:rsidP="009A7888">
      <w:pPr>
        <w:spacing w:after="0"/>
        <w:jc w:val="both"/>
        <w:rPr>
          <w:sz w:val="24"/>
          <w:szCs w:val="24"/>
        </w:rPr>
      </w:pPr>
      <w:r w:rsidRPr="0014593A">
        <w:rPr>
          <w:noProof/>
          <w:sz w:val="24"/>
          <w:szCs w:val="24"/>
          <w:lang w:eastAsia="hr-HR"/>
        </w:rPr>
        <w:drawing>
          <wp:inline distT="0" distB="0" distL="0" distR="0" wp14:anchorId="388A5515" wp14:editId="2DEEDF58">
            <wp:extent cx="4840432" cy="3276600"/>
            <wp:effectExtent l="0" t="0" r="0" b="0"/>
            <wp:docPr id="37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1"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7064" cy="3281089"/>
                    </a:xfrm>
                    <a:prstGeom prst="rect">
                      <a:avLst/>
                    </a:prstGeom>
                    <a:noFill/>
                    <a:ln>
                      <a:noFill/>
                    </a:ln>
                    <a:extLst/>
                  </pic:spPr>
                </pic:pic>
              </a:graphicData>
            </a:graphic>
          </wp:inline>
        </w:drawing>
      </w:r>
    </w:p>
    <w:p w:rsidR="0085593B" w:rsidRDefault="0085593B" w:rsidP="00221DE0">
      <w:pPr>
        <w:spacing w:before="200" w:after="0" w:line="240" w:lineRule="auto"/>
        <w:jc w:val="both"/>
        <w:rPr>
          <w:b/>
          <w:sz w:val="24"/>
          <w:szCs w:val="24"/>
        </w:rPr>
      </w:pPr>
      <w:r w:rsidRPr="0014593A">
        <w:rPr>
          <w:b/>
          <w:sz w:val="24"/>
          <w:szCs w:val="24"/>
        </w:rPr>
        <w:t>Slika 26</w:t>
      </w:r>
      <w:r w:rsidR="00EC43FD">
        <w:rPr>
          <w:b/>
          <w:sz w:val="24"/>
          <w:szCs w:val="24"/>
        </w:rPr>
        <w:t>-b</w:t>
      </w:r>
      <w:r w:rsidRPr="0014593A">
        <w:rPr>
          <w:b/>
          <w:sz w:val="24"/>
          <w:szCs w:val="24"/>
        </w:rPr>
        <w:t xml:space="preserve">: Prosječne </w:t>
      </w:r>
      <w:r>
        <w:rPr>
          <w:b/>
          <w:sz w:val="24"/>
          <w:szCs w:val="24"/>
        </w:rPr>
        <w:t xml:space="preserve">aktivne </w:t>
      </w:r>
      <w:r w:rsidRPr="0014593A">
        <w:rPr>
          <w:b/>
          <w:sz w:val="24"/>
          <w:szCs w:val="24"/>
        </w:rPr>
        <w:t>kamatne stope banaka u RH</w:t>
      </w:r>
    </w:p>
    <w:p w:rsidR="0085593B" w:rsidRDefault="0085593B" w:rsidP="0085593B">
      <w:pPr>
        <w:spacing w:after="0"/>
        <w:jc w:val="both"/>
        <w:rPr>
          <w:sz w:val="24"/>
          <w:szCs w:val="24"/>
        </w:rPr>
      </w:pPr>
      <w:r w:rsidRPr="0014593A">
        <w:rPr>
          <w:noProof/>
          <w:sz w:val="24"/>
          <w:szCs w:val="24"/>
          <w:lang w:eastAsia="hr-HR"/>
        </w:rPr>
        <w:drawing>
          <wp:inline distT="0" distB="0" distL="0" distR="0" wp14:anchorId="3FFB0F35" wp14:editId="1D832EBC">
            <wp:extent cx="5107781" cy="3457575"/>
            <wp:effectExtent l="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04514" cy="3455363"/>
                    </a:xfrm>
                    <a:prstGeom prst="rect">
                      <a:avLst/>
                    </a:prstGeom>
                    <a:noFill/>
                    <a:ln>
                      <a:noFill/>
                    </a:ln>
                    <a:extLst/>
                  </pic:spPr>
                </pic:pic>
              </a:graphicData>
            </a:graphic>
          </wp:inline>
        </w:drawing>
      </w:r>
    </w:p>
    <w:p w:rsidR="0085593B" w:rsidRPr="00BD72B0" w:rsidRDefault="001A23EC" w:rsidP="0085593B">
      <w:pPr>
        <w:rPr>
          <w:sz w:val="20"/>
          <w:szCs w:val="20"/>
        </w:rPr>
      </w:pPr>
      <w:r>
        <w:rPr>
          <w:sz w:val="20"/>
          <w:szCs w:val="20"/>
        </w:rPr>
        <w:t>Izvor: p</w:t>
      </w:r>
      <w:r w:rsidR="00374C83">
        <w:rPr>
          <w:sz w:val="20"/>
          <w:szCs w:val="20"/>
        </w:rPr>
        <w:t xml:space="preserve">reuzeto iz: </w:t>
      </w:r>
      <w:r w:rsidR="0085593B">
        <w:rPr>
          <w:sz w:val="20"/>
          <w:szCs w:val="20"/>
        </w:rPr>
        <w:t>HNB, S</w:t>
      </w:r>
      <w:r>
        <w:rPr>
          <w:sz w:val="20"/>
          <w:szCs w:val="20"/>
        </w:rPr>
        <w:t xml:space="preserve">PF, </w:t>
      </w:r>
      <w:r w:rsidR="0085593B">
        <w:rPr>
          <w:sz w:val="20"/>
          <w:szCs w:val="20"/>
        </w:rPr>
        <w:t xml:space="preserve"> dostupno na: </w:t>
      </w:r>
      <w:r w:rsidR="0085593B" w:rsidRPr="00742284">
        <w:rPr>
          <w:sz w:val="20"/>
          <w:szCs w:val="20"/>
        </w:rPr>
        <w:t>http://www.hnb.hr/publikac/hpublikac.htm</w:t>
      </w:r>
    </w:p>
    <w:tbl>
      <w:tblPr>
        <w:tblStyle w:val="Reetkatablice"/>
        <w:tblW w:w="0" w:type="auto"/>
        <w:tblInd w:w="108" w:type="dxa"/>
        <w:tblLook w:val="04A0" w:firstRow="1" w:lastRow="0" w:firstColumn="1" w:lastColumn="0" w:noHBand="0" w:noVBand="1"/>
      </w:tblPr>
      <w:tblGrid>
        <w:gridCol w:w="9180"/>
      </w:tblGrid>
      <w:tr w:rsidR="00B838B6" w:rsidTr="00A13592">
        <w:tc>
          <w:tcPr>
            <w:tcW w:w="9180" w:type="dxa"/>
            <w:shd w:val="clear" w:color="auto" w:fill="F2F2F2" w:themeFill="background1" w:themeFillShade="F2"/>
          </w:tcPr>
          <w:p w:rsidR="00B838B6" w:rsidRDefault="00B838B6" w:rsidP="00A13592">
            <w:pPr>
              <w:autoSpaceDE w:val="0"/>
              <w:autoSpaceDN w:val="0"/>
              <w:adjustRightInd w:val="0"/>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color w:val="C00000"/>
                <w:sz w:val="24"/>
                <w:szCs w:val="24"/>
                <w:lang w:eastAsia="en-US"/>
              </w:rPr>
              <w:lastRenderedPageBreak/>
              <w:t>Kamate</w:t>
            </w:r>
            <w:r w:rsidRPr="00ED776F">
              <w:rPr>
                <w:rFonts w:asciiTheme="minorHAnsi" w:eastAsiaTheme="minorHAnsi" w:hAnsiTheme="minorHAnsi" w:cstheme="minorBidi"/>
                <w:sz w:val="24"/>
                <w:szCs w:val="24"/>
                <w:lang w:eastAsia="en-US"/>
              </w:rPr>
              <w:t xml:space="preserve"> predstavljaju naknadu koju dužnik plaća vjerovniku za pozajmljen iznos na određeno vrijeme. Ovise o iznosu glavnice (na primjer iznosu oročenog štednog uloga</w:t>
            </w:r>
            <w:r>
              <w:rPr>
                <w:rFonts w:asciiTheme="minorHAnsi" w:eastAsiaTheme="minorHAnsi" w:hAnsiTheme="minorHAnsi" w:cstheme="minorBidi"/>
                <w:sz w:val="24"/>
                <w:szCs w:val="24"/>
                <w:lang w:eastAsia="en-US"/>
              </w:rPr>
              <w:t xml:space="preserve"> ili glavnice duga</w:t>
            </w:r>
            <w:r w:rsidRPr="00ED776F">
              <w:rPr>
                <w:rFonts w:asciiTheme="minorHAnsi" w:eastAsiaTheme="minorHAnsi" w:hAnsiTheme="minorHAnsi" w:cstheme="minorBidi"/>
                <w:sz w:val="24"/>
                <w:szCs w:val="24"/>
                <w:lang w:eastAsia="en-US"/>
              </w:rPr>
              <w:t xml:space="preserve">), načinu i rokovima povrata glavnice te visini ugovorene kamatne stope uz koju se </w:t>
            </w:r>
            <w:r w:rsidR="00D602A4">
              <w:rPr>
                <w:rFonts w:asciiTheme="minorHAnsi" w:eastAsiaTheme="minorHAnsi" w:hAnsiTheme="minorHAnsi" w:cstheme="minorBidi"/>
                <w:sz w:val="24"/>
                <w:szCs w:val="24"/>
                <w:lang w:eastAsia="en-US"/>
              </w:rPr>
              <w:t>obračunavaju</w:t>
            </w:r>
            <w:r w:rsidRPr="00ED776F">
              <w:rPr>
                <w:rFonts w:asciiTheme="minorHAnsi" w:eastAsiaTheme="minorHAnsi" w:hAnsiTheme="minorHAnsi" w:cstheme="minorBidi"/>
                <w:sz w:val="24"/>
                <w:szCs w:val="24"/>
                <w:lang w:eastAsia="en-US"/>
              </w:rPr>
              <w:t xml:space="preserve"> kamate. Dodatno na visinu kamat</w:t>
            </w:r>
            <w:r w:rsidR="00D602A4">
              <w:rPr>
                <w:rFonts w:asciiTheme="minorHAnsi" w:eastAsiaTheme="minorHAnsi" w:hAnsiTheme="minorHAnsi" w:cstheme="minorBidi"/>
                <w:sz w:val="24"/>
                <w:szCs w:val="24"/>
                <w:lang w:eastAsia="en-US"/>
              </w:rPr>
              <w:t>a</w:t>
            </w:r>
            <w:r w:rsidRPr="00ED776F">
              <w:rPr>
                <w:rFonts w:asciiTheme="minorHAnsi" w:eastAsiaTheme="minorHAnsi" w:hAnsiTheme="minorHAnsi" w:cstheme="minorBidi"/>
                <w:sz w:val="24"/>
                <w:szCs w:val="24"/>
                <w:lang w:eastAsia="en-US"/>
              </w:rPr>
              <w:t xml:space="preserve"> djeluje učinak metoda obračuna koji se primjenjuje.</w:t>
            </w:r>
          </w:p>
          <w:p w:rsidR="00B838B6" w:rsidRPr="00ED776F" w:rsidRDefault="00B838B6" w:rsidP="00A13592">
            <w:pPr>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color w:val="C00000"/>
                <w:sz w:val="24"/>
                <w:szCs w:val="24"/>
                <w:lang w:eastAsia="en-US"/>
              </w:rPr>
              <w:t xml:space="preserve">Kamatna stopa (kamatnjak) </w:t>
            </w:r>
            <w:r w:rsidRPr="00ED776F">
              <w:rPr>
                <w:rFonts w:asciiTheme="minorHAnsi" w:eastAsiaTheme="minorHAnsi" w:hAnsiTheme="minorHAnsi" w:cstheme="minorBidi"/>
                <w:sz w:val="24"/>
                <w:szCs w:val="24"/>
                <w:lang w:eastAsia="en-US"/>
              </w:rPr>
              <w:t>pokazuje prinos koji donosi iznos od 100 novčanih jedinica u određenom vremenskom razdoblju (na primjer jednoj godini). Jednostavnije rečeno pokazuje  koliko posto više novca dužnik treba vratiti vjerovniku u odnosu na iznos novca koji je po</w:t>
            </w:r>
            <w:r>
              <w:rPr>
                <w:rFonts w:asciiTheme="minorHAnsi" w:eastAsiaTheme="minorHAnsi" w:hAnsiTheme="minorHAnsi" w:cstheme="minorBidi"/>
                <w:sz w:val="24"/>
                <w:szCs w:val="24"/>
                <w:lang w:eastAsia="en-US"/>
              </w:rPr>
              <w:t>zajmio</w:t>
            </w:r>
            <w:r w:rsidRPr="00ED776F">
              <w:rPr>
                <w:rFonts w:asciiTheme="minorHAnsi" w:eastAsiaTheme="minorHAnsi" w:hAnsiTheme="minorHAnsi" w:cstheme="minorBidi"/>
                <w:sz w:val="24"/>
                <w:szCs w:val="24"/>
                <w:lang w:eastAsia="en-US"/>
              </w:rPr>
              <w:t xml:space="preserve">. U tom smislu kamatne stope predstavljaju cijenu (posudbe) novca. </w:t>
            </w:r>
          </w:p>
          <w:p w:rsidR="00B838B6" w:rsidRPr="00ED776F" w:rsidRDefault="00B838B6" w:rsidP="00A13592">
            <w:pPr>
              <w:autoSpaceDE w:val="0"/>
              <w:autoSpaceDN w:val="0"/>
              <w:adjustRightInd w:val="0"/>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sz w:val="24"/>
                <w:szCs w:val="24"/>
                <w:lang w:eastAsia="en-US"/>
              </w:rPr>
              <w:t xml:space="preserve">Kamatne stope se tipično ugovaraju kao godišnje nominalne stope, a izražavaju  u postotku, na primjer 3% godišnje. (3% je isto što i 3/100, odnosno 0,03 izraženo u decimalnom zapisu.). </w:t>
            </w:r>
          </w:p>
          <w:p w:rsidR="00B838B6" w:rsidRPr="00ED776F" w:rsidRDefault="00B838B6" w:rsidP="00A13592">
            <w:pPr>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sz w:val="24"/>
                <w:szCs w:val="24"/>
                <w:lang w:eastAsia="en-US"/>
              </w:rPr>
              <w:t xml:space="preserve">Kamate na </w:t>
            </w:r>
            <w:r>
              <w:rPr>
                <w:rFonts w:asciiTheme="minorHAnsi" w:eastAsiaTheme="minorHAnsi" w:hAnsiTheme="minorHAnsi" w:cstheme="minorBidi"/>
                <w:sz w:val="24"/>
                <w:szCs w:val="24"/>
                <w:lang w:eastAsia="en-US"/>
              </w:rPr>
              <w:t xml:space="preserve">oročenu </w:t>
            </w:r>
            <w:r w:rsidRPr="00ED776F">
              <w:rPr>
                <w:rFonts w:asciiTheme="minorHAnsi" w:eastAsiaTheme="minorHAnsi" w:hAnsiTheme="minorHAnsi" w:cstheme="minorBidi"/>
                <w:sz w:val="24"/>
                <w:szCs w:val="24"/>
                <w:lang w:eastAsia="en-US"/>
              </w:rPr>
              <w:t xml:space="preserve">štednju mogu djelomično ili u potpunosti korigirati negativne učinke pada realne vrijednosti novčane imovine zbog utjecaja inflacije. Kako bi </w:t>
            </w:r>
            <w:r>
              <w:rPr>
                <w:rFonts w:asciiTheme="minorHAnsi" w:eastAsiaTheme="minorHAnsi" w:hAnsiTheme="minorHAnsi" w:cstheme="minorBidi"/>
                <w:sz w:val="24"/>
                <w:szCs w:val="24"/>
                <w:lang w:eastAsia="en-US"/>
              </w:rPr>
              <w:t xml:space="preserve">se </w:t>
            </w:r>
            <w:r w:rsidRPr="00ED776F">
              <w:rPr>
                <w:rFonts w:asciiTheme="minorHAnsi" w:eastAsiaTheme="minorHAnsi" w:hAnsiTheme="minorHAnsi" w:cstheme="minorBidi"/>
                <w:sz w:val="24"/>
                <w:szCs w:val="24"/>
                <w:lang w:eastAsia="en-US"/>
              </w:rPr>
              <w:t>utvrdil</w:t>
            </w:r>
            <w:r>
              <w:rPr>
                <w:rFonts w:asciiTheme="minorHAnsi" w:eastAsiaTheme="minorHAnsi" w:hAnsiTheme="minorHAnsi" w:cstheme="minorBidi"/>
                <w:sz w:val="24"/>
                <w:szCs w:val="24"/>
                <w:lang w:eastAsia="en-US"/>
              </w:rPr>
              <w:t xml:space="preserve">o </w:t>
            </w:r>
            <w:r w:rsidRPr="00ED776F">
              <w:rPr>
                <w:rFonts w:asciiTheme="minorHAnsi" w:eastAsiaTheme="minorHAnsi" w:hAnsiTheme="minorHAnsi" w:cstheme="minorBidi"/>
                <w:sz w:val="24"/>
                <w:szCs w:val="24"/>
                <w:lang w:eastAsia="en-US"/>
              </w:rPr>
              <w:t xml:space="preserve">da li </w:t>
            </w:r>
            <w:r>
              <w:rPr>
                <w:rFonts w:asciiTheme="minorHAnsi" w:eastAsiaTheme="minorHAnsi" w:hAnsiTheme="minorHAnsi" w:cstheme="minorBidi"/>
                <w:sz w:val="24"/>
                <w:szCs w:val="24"/>
                <w:lang w:eastAsia="en-US"/>
              </w:rPr>
              <w:t xml:space="preserve">kamate na oročenu </w:t>
            </w:r>
            <w:r w:rsidRPr="00ED776F">
              <w:rPr>
                <w:rFonts w:asciiTheme="minorHAnsi" w:eastAsiaTheme="minorHAnsi" w:hAnsiTheme="minorHAnsi" w:cstheme="minorBidi"/>
                <w:sz w:val="24"/>
                <w:szCs w:val="24"/>
                <w:lang w:eastAsia="en-US"/>
              </w:rPr>
              <w:t>štednj</w:t>
            </w:r>
            <w:r>
              <w:rPr>
                <w:rFonts w:asciiTheme="minorHAnsi" w:eastAsiaTheme="minorHAnsi" w:hAnsiTheme="minorHAnsi" w:cstheme="minorBidi"/>
                <w:sz w:val="24"/>
                <w:szCs w:val="24"/>
                <w:lang w:eastAsia="en-US"/>
              </w:rPr>
              <w:t xml:space="preserve">u </w:t>
            </w:r>
            <w:r w:rsidRPr="00ED776F">
              <w:rPr>
                <w:rFonts w:asciiTheme="minorHAnsi" w:eastAsiaTheme="minorHAnsi" w:hAnsiTheme="minorHAnsi" w:cstheme="minorBidi"/>
                <w:sz w:val="24"/>
                <w:szCs w:val="24"/>
                <w:lang w:eastAsia="en-US"/>
              </w:rPr>
              <w:t>pokriva</w:t>
            </w:r>
            <w:r>
              <w:rPr>
                <w:rFonts w:asciiTheme="minorHAnsi" w:eastAsiaTheme="minorHAnsi" w:hAnsiTheme="minorHAnsi" w:cstheme="minorBidi"/>
                <w:sz w:val="24"/>
                <w:szCs w:val="24"/>
                <w:lang w:eastAsia="en-US"/>
              </w:rPr>
              <w:t>ju</w:t>
            </w:r>
            <w:r w:rsidRPr="00ED776F">
              <w:rPr>
                <w:rFonts w:asciiTheme="minorHAnsi" w:eastAsiaTheme="minorHAnsi" w:hAnsiTheme="minorHAnsi" w:cstheme="minorBidi"/>
                <w:sz w:val="24"/>
                <w:szCs w:val="24"/>
                <w:lang w:eastAsia="en-US"/>
              </w:rPr>
              <w:t xml:space="preserve"> pad realne kupovne moći novca potrebno je usporediti godišnju nominalnu kamatnu stopu na oročeni depozit i godišnju stopu inflacije. </w:t>
            </w:r>
          </w:p>
          <w:p w:rsidR="00B838B6" w:rsidRPr="00ED776F" w:rsidRDefault="00B838B6" w:rsidP="00A13592">
            <w:pPr>
              <w:spacing w:before="120" w:after="120"/>
              <w:jc w:val="both"/>
              <w:rPr>
                <w:rFonts w:asciiTheme="minorHAnsi" w:eastAsiaTheme="minorHAnsi" w:hAnsiTheme="minorHAnsi" w:cstheme="minorBidi"/>
                <w:sz w:val="24"/>
                <w:szCs w:val="24"/>
                <w:lang w:eastAsia="en-US"/>
              </w:rPr>
            </w:pPr>
            <w:r w:rsidRPr="00ED776F">
              <w:rPr>
                <w:rFonts w:asciiTheme="minorHAnsi" w:eastAsiaTheme="minorHAnsi" w:hAnsiTheme="minorHAnsi" w:cstheme="minorBidi"/>
                <w:sz w:val="24"/>
                <w:szCs w:val="24"/>
                <w:lang w:eastAsia="en-US"/>
              </w:rPr>
              <w:t xml:space="preserve">Aproksimativno </w:t>
            </w:r>
            <w:r w:rsidR="00D602A4">
              <w:rPr>
                <w:rFonts w:asciiTheme="minorHAnsi" w:eastAsiaTheme="minorHAnsi" w:hAnsiTheme="minorHAnsi" w:cstheme="minorBidi"/>
                <w:sz w:val="24"/>
                <w:szCs w:val="24"/>
                <w:lang w:eastAsia="en-US"/>
              </w:rPr>
              <w:t xml:space="preserve">se </w:t>
            </w:r>
            <w:r w:rsidRPr="00ED776F">
              <w:rPr>
                <w:rFonts w:asciiTheme="minorHAnsi" w:eastAsiaTheme="minorHAnsi" w:hAnsiTheme="minorHAnsi" w:cstheme="minorBidi"/>
                <w:sz w:val="24"/>
                <w:szCs w:val="24"/>
                <w:lang w:eastAsia="en-US"/>
              </w:rPr>
              <w:t>taj odnos se može iskazati na sljedeći način:</w:t>
            </w:r>
          </w:p>
          <w:p w:rsidR="00B838B6" w:rsidRPr="00ED776F" w:rsidRDefault="00B838B6" w:rsidP="00A13592">
            <w:pPr>
              <w:spacing w:before="120" w:after="120"/>
              <w:jc w:val="center"/>
              <w:rPr>
                <w:rFonts w:asciiTheme="minorHAnsi" w:eastAsiaTheme="minorHAnsi" w:hAnsiTheme="minorHAnsi" w:cstheme="minorBidi"/>
                <w:sz w:val="24"/>
                <w:szCs w:val="24"/>
                <w:lang w:eastAsia="en-US"/>
              </w:rPr>
            </w:pPr>
            <w:r w:rsidRPr="00A056A5">
              <w:rPr>
                <w:rFonts w:asciiTheme="minorHAnsi" w:eastAsiaTheme="minorHAnsi" w:hAnsiTheme="minorHAnsi" w:cstheme="minorBidi"/>
                <w:b/>
                <w:sz w:val="24"/>
                <w:szCs w:val="24"/>
                <w:lang w:eastAsia="en-US"/>
              </w:rPr>
              <w:t>realna kamatna stopa ≈ nominalna kamatna stopa – stopa inflacije</w:t>
            </w:r>
            <w:r w:rsidRPr="00ED776F">
              <w:rPr>
                <w:rFonts w:asciiTheme="minorHAnsi" w:eastAsiaTheme="minorHAnsi" w:hAnsiTheme="minorHAnsi" w:cstheme="minorBidi"/>
                <w:sz w:val="24"/>
                <w:szCs w:val="24"/>
                <w:lang w:eastAsia="en-US"/>
              </w:rPr>
              <w:t>.</w:t>
            </w:r>
          </w:p>
          <w:p w:rsidR="00B838B6" w:rsidRDefault="00B838B6" w:rsidP="00A13592">
            <w:pPr>
              <w:spacing w:before="120" w:after="120"/>
              <w:jc w:val="both"/>
              <w:rPr>
                <w:rFonts w:asciiTheme="minorHAnsi" w:eastAsiaTheme="minorHAnsi" w:hAnsiTheme="minorHAnsi" w:cstheme="minorBidi"/>
                <w:sz w:val="24"/>
                <w:szCs w:val="24"/>
                <w:lang w:eastAsia="en-US"/>
              </w:rPr>
            </w:pPr>
            <w:r w:rsidRPr="00D602A4">
              <w:rPr>
                <w:rFonts w:asciiTheme="minorHAnsi" w:eastAsiaTheme="minorHAnsi" w:hAnsiTheme="minorHAnsi" w:cstheme="minorBidi"/>
                <w:color w:val="C00000"/>
                <w:sz w:val="24"/>
                <w:szCs w:val="24"/>
                <w:lang w:eastAsia="en-US"/>
              </w:rPr>
              <w:t>Kamate pokrivaju pad realne kupovne moći novca jedino kada je kada je realna kamatna stopa ≥ 0</w:t>
            </w:r>
            <w:r w:rsidRPr="00ED776F">
              <w:rPr>
                <w:rFonts w:asciiTheme="minorHAnsi" w:eastAsiaTheme="minorHAnsi" w:hAnsiTheme="minorHAnsi" w:cstheme="minorBidi"/>
                <w:sz w:val="24"/>
                <w:szCs w:val="24"/>
                <w:lang w:eastAsia="en-US"/>
              </w:rPr>
              <w:t>.</w:t>
            </w:r>
            <w:r>
              <w:rPr>
                <w:rFonts w:asciiTheme="minorHAnsi" w:eastAsiaTheme="minorHAnsi" w:hAnsiTheme="minorHAnsi" w:cstheme="minorBidi"/>
                <w:sz w:val="24"/>
                <w:szCs w:val="24"/>
                <w:lang w:eastAsia="en-US"/>
              </w:rPr>
              <w:t xml:space="preserve"> Na primjer ako banka obračunava nominalni kamatnjak 2% a stopa inflacije je 3% u tom slučaju realna kamatna stopa je negativna i štednja nije zaštićena od pada realne vrijednosti. U uvjetima deflacije kada stopa promjene opće razine cijena bilježi negativne vrijednosti npr. -1%, a banka obračunava nominalnu kamatnu stopu 2%, realna kamatna stopa je 3%</w:t>
            </w:r>
            <w:r w:rsidR="00D602A4">
              <w:rPr>
                <w:rFonts w:asciiTheme="minorHAnsi" w:eastAsiaTheme="minorHAnsi" w:hAnsiTheme="minorHAnsi" w:cstheme="minorBidi"/>
                <w:sz w:val="24"/>
                <w:szCs w:val="24"/>
                <w:lang w:eastAsia="en-US"/>
              </w:rPr>
              <w:t xml:space="preserve"> (veća je od nominalne, no problem je što većina štediša toga nije svjesna)</w:t>
            </w:r>
            <w:r>
              <w:rPr>
                <w:rFonts w:asciiTheme="minorHAnsi" w:eastAsiaTheme="minorHAnsi" w:hAnsiTheme="minorHAnsi" w:cstheme="minorBidi"/>
                <w:sz w:val="24"/>
                <w:szCs w:val="24"/>
                <w:lang w:eastAsia="en-US"/>
              </w:rPr>
              <w:t xml:space="preserve">. </w:t>
            </w:r>
          </w:p>
          <w:p w:rsidR="00B838B6" w:rsidRDefault="00B838B6" w:rsidP="00D602A4">
            <w:pPr>
              <w:spacing w:before="120" w:after="120"/>
              <w:jc w:val="both"/>
              <w:rPr>
                <w:sz w:val="24"/>
                <w:szCs w:val="24"/>
              </w:rPr>
            </w:pPr>
            <w:r>
              <w:rPr>
                <w:rFonts w:asciiTheme="minorHAnsi" w:eastAsiaTheme="minorHAnsi" w:hAnsiTheme="minorHAnsi" w:cstheme="minorBidi"/>
                <w:sz w:val="24"/>
                <w:szCs w:val="24"/>
                <w:lang w:eastAsia="en-US"/>
              </w:rPr>
              <w:t xml:space="preserve">U uvjetima većeg inflacijskog pritiska realni kamatnjaci na kredite mogu biti značajno niži od nominalnih, dok su </w:t>
            </w:r>
            <w:r w:rsidRPr="004A7643">
              <w:rPr>
                <w:rFonts w:asciiTheme="minorHAnsi" w:eastAsiaTheme="minorHAnsi" w:hAnsiTheme="minorHAnsi" w:cstheme="minorBidi"/>
                <w:color w:val="C00000"/>
                <w:sz w:val="24"/>
                <w:szCs w:val="24"/>
                <w:lang w:eastAsia="en-US"/>
              </w:rPr>
              <w:t>u uvjetima deflacije realne kamatne stope na kredite veće od nominalnih</w:t>
            </w:r>
            <w:r w:rsidR="008E26FD">
              <w:rPr>
                <w:rFonts w:asciiTheme="minorHAnsi" w:eastAsiaTheme="minorHAnsi" w:hAnsiTheme="minorHAnsi" w:cstheme="minorBidi"/>
                <w:color w:val="C00000"/>
                <w:sz w:val="24"/>
                <w:szCs w:val="24"/>
                <w:lang w:eastAsia="en-US"/>
              </w:rPr>
              <w:t xml:space="preserve"> </w:t>
            </w:r>
            <w:r w:rsidR="008E26FD" w:rsidRPr="008E26FD">
              <w:rPr>
                <w:rFonts w:asciiTheme="minorHAnsi" w:eastAsiaTheme="minorHAnsi" w:hAnsiTheme="minorHAnsi" w:cstheme="minorBidi"/>
                <w:sz w:val="24"/>
                <w:szCs w:val="24"/>
                <w:lang w:eastAsia="en-US"/>
              </w:rPr>
              <w:t>(što znači da se povećava teret otplate kredita i realni trošak novih investicija)</w:t>
            </w:r>
            <w:r w:rsidRPr="008E26FD">
              <w:rPr>
                <w:rFonts w:asciiTheme="minorHAnsi" w:eastAsiaTheme="minorHAnsi" w:hAnsiTheme="minorHAnsi" w:cstheme="minorBidi"/>
                <w:sz w:val="24"/>
                <w:szCs w:val="24"/>
                <w:lang w:eastAsia="en-US"/>
              </w:rPr>
              <w:t>.</w:t>
            </w:r>
            <w:r w:rsidR="00D602A4">
              <w:rPr>
                <w:rFonts w:asciiTheme="minorHAnsi" w:eastAsiaTheme="minorHAnsi" w:hAnsiTheme="minorHAnsi" w:cstheme="minorBidi"/>
                <w:sz w:val="24"/>
                <w:szCs w:val="24"/>
                <w:lang w:eastAsia="en-US"/>
              </w:rPr>
              <w:t xml:space="preserve"> To je još jedan od razloga zbog kojih deflacija može predstavljati veće „zlo“ od inflacije.</w:t>
            </w:r>
          </w:p>
        </w:tc>
      </w:tr>
    </w:tbl>
    <w:p w:rsidR="00B838B6" w:rsidRDefault="00B838B6" w:rsidP="00B838B6">
      <w:pPr>
        <w:spacing w:before="240"/>
        <w:jc w:val="both"/>
        <w:rPr>
          <w:sz w:val="24"/>
          <w:szCs w:val="24"/>
        </w:rPr>
      </w:pPr>
      <w:r w:rsidRPr="009139D2">
        <w:rPr>
          <w:sz w:val="24"/>
          <w:szCs w:val="24"/>
        </w:rPr>
        <w:t xml:space="preserve">Kamatni rizik jedan je od najznačajnijih rizika s kojima se susreću banke u svom poslovanju, </w:t>
      </w:r>
      <w:r w:rsidRPr="00E11FF5">
        <w:rPr>
          <w:color w:val="C00000"/>
          <w:sz w:val="24"/>
          <w:szCs w:val="24"/>
        </w:rPr>
        <w:t>a tipično ga gotovo u cijelosti prenose na svoje klijente</w:t>
      </w:r>
      <w:r w:rsidRPr="009139D2">
        <w:rPr>
          <w:sz w:val="24"/>
          <w:szCs w:val="24"/>
        </w:rPr>
        <w:t>. U uvjetima obilja likvidnosti (obilja novca) u financijskom sustavu te snažne konkurencije na tržištu kredita, banke spuštaju kamatnj</w:t>
      </w:r>
      <w:r w:rsidR="00E11FF5">
        <w:rPr>
          <w:sz w:val="24"/>
          <w:szCs w:val="24"/>
        </w:rPr>
        <w:t xml:space="preserve">ake uz koje odobravaju kredite </w:t>
      </w:r>
      <w:r w:rsidRPr="009139D2">
        <w:rPr>
          <w:sz w:val="24"/>
          <w:szCs w:val="24"/>
        </w:rPr>
        <w:t xml:space="preserve">klijentima. Kako se time smanjuju njihovi prihodi na ime ostvarenih kamata, one su prisiljene smanjiti kamatne rashode, što znači da dolazi do značajnog smanjenja kamatnjaka na štedne i oročene depozite. S druge strane kada se banke suočavanju s manjkom novih izvora sredstava i oskudicom likvidnosti u financijskom sustavu, </w:t>
      </w:r>
      <w:r w:rsidR="00E11FF5">
        <w:rPr>
          <w:sz w:val="24"/>
          <w:szCs w:val="24"/>
        </w:rPr>
        <w:t xml:space="preserve">one moraju ponuditi veće kamatne stope na (novu) štednju pa posljedično </w:t>
      </w:r>
      <w:r w:rsidRPr="009139D2">
        <w:rPr>
          <w:sz w:val="24"/>
          <w:szCs w:val="24"/>
        </w:rPr>
        <w:t>podižu kamatn</w:t>
      </w:r>
      <w:r w:rsidR="00E11FF5">
        <w:rPr>
          <w:sz w:val="24"/>
          <w:szCs w:val="24"/>
        </w:rPr>
        <w:t>e stope na nove i već ranije odobrene</w:t>
      </w:r>
      <w:r w:rsidRPr="009139D2">
        <w:rPr>
          <w:sz w:val="24"/>
          <w:szCs w:val="24"/>
        </w:rPr>
        <w:t xml:space="preserve"> kredite </w:t>
      </w:r>
      <w:r w:rsidR="00E11FF5">
        <w:rPr>
          <w:sz w:val="24"/>
          <w:szCs w:val="24"/>
        </w:rPr>
        <w:t xml:space="preserve">(s promjenjivim kamatnjakom). </w:t>
      </w:r>
      <w:r w:rsidR="00D602A4" w:rsidRPr="00E11FF5">
        <w:rPr>
          <w:color w:val="C00000"/>
          <w:sz w:val="24"/>
          <w:szCs w:val="24"/>
        </w:rPr>
        <w:t>U terminima rasta kamata, štediše praktično profitiraju na štetu dužnika, dok je pozicija banke u cijelom odnosu prilično neutralna</w:t>
      </w:r>
      <w:r w:rsidR="00D602A4">
        <w:rPr>
          <w:sz w:val="24"/>
          <w:szCs w:val="24"/>
        </w:rPr>
        <w:t xml:space="preserve"> jer se njena kamatna zarada tada tipično ne mijenja, ili se čak smanjuje. Naime, bankama nije u interesu previše povećati kamatne stope na kredite jer se time izlažu riziku da dio dužnika uz veće kamate neće moći servisirati kreditne obveze.</w:t>
      </w:r>
    </w:p>
    <w:p w:rsidR="00F75411" w:rsidRDefault="000C2E32" w:rsidP="009139D2">
      <w:pPr>
        <w:jc w:val="both"/>
        <w:rPr>
          <w:sz w:val="24"/>
          <w:szCs w:val="24"/>
        </w:rPr>
      </w:pPr>
      <w:r w:rsidRPr="009155B4">
        <w:rPr>
          <w:sz w:val="24"/>
          <w:szCs w:val="24"/>
        </w:rPr>
        <w:lastRenderedPageBreak/>
        <w:t xml:space="preserve">U ranijoj povijesti, većina kredita banaka u RH ugovarana je uz </w:t>
      </w:r>
      <w:r w:rsidRPr="009155B4">
        <w:rPr>
          <w:color w:val="C00000"/>
          <w:sz w:val="24"/>
          <w:szCs w:val="24"/>
        </w:rPr>
        <w:t>administrativno promjenjive kamatne stope</w:t>
      </w:r>
      <w:r w:rsidRPr="009155B4">
        <w:rPr>
          <w:sz w:val="24"/>
          <w:szCs w:val="24"/>
        </w:rPr>
        <w:t xml:space="preserve">, a u novijoj povijesti uz </w:t>
      </w:r>
      <w:r w:rsidRPr="009155B4">
        <w:rPr>
          <w:color w:val="C00000"/>
          <w:sz w:val="24"/>
          <w:szCs w:val="24"/>
        </w:rPr>
        <w:t>tržišno uvjetovane promjenjive kamatne stope</w:t>
      </w:r>
      <w:r>
        <w:rPr>
          <w:color w:val="C00000"/>
          <w:sz w:val="24"/>
          <w:szCs w:val="24"/>
        </w:rPr>
        <w:t xml:space="preserve"> </w:t>
      </w:r>
      <w:r>
        <w:rPr>
          <w:color w:val="000000" w:themeColor="text1"/>
          <w:sz w:val="24"/>
          <w:szCs w:val="24"/>
        </w:rPr>
        <w:t>koje ovise npr. o kretanju N</w:t>
      </w:r>
      <w:r w:rsidRPr="009155B4">
        <w:rPr>
          <w:color w:val="000000" w:themeColor="text1"/>
          <w:sz w:val="24"/>
          <w:szCs w:val="24"/>
        </w:rPr>
        <w:t>acionalne referentne stope</w:t>
      </w:r>
      <w:r>
        <w:rPr>
          <w:color w:val="000000" w:themeColor="text1"/>
          <w:sz w:val="24"/>
          <w:szCs w:val="24"/>
        </w:rPr>
        <w:t xml:space="preserve"> - NRS</w:t>
      </w:r>
      <w:r w:rsidRPr="009155B4">
        <w:rPr>
          <w:color w:val="000000" w:themeColor="text1"/>
          <w:sz w:val="24"/>
          <w:szCs w:val="24"/>
        </w:rPr>
        <w:t>, EURIBOR-a ili drugih referentnih vrijednosti.</w:t>
      </w:r>
      <w:r>
        <w:rPr>
          <w:color w:val="000000" w:themeColor="text1"/>
          <w:sz w:val="24"/>
          <w:szCs w:val="24"/>
        </w:rPr>
        <w:t xml:space="preserve"> </w:t>
      </w:r>
      <w:r>
        <w:rPr>
          <w:sz w:val="24"/>
          <w:szCs w:val="24"/>
        </w:rPr>
        <w:t>No</w:t>
      </w:r>
      <w:r w:rsidR="00E11FF5">
        <w:rPr>
          <w:sz w:val="24"/>
          <w:szCs w:val="24"/>
        </w:rPr>
        <w:t>,</w:t>
      </w:r>
      <w:r>
        <w:rPr>
          <w:sz w:val="24"/>
          <w:szCs w:val="24"/>
        </w:rPr>
        <w:t xml:space="preserve"> u oba slučaja i danas i ranije, dužnici su</w:t>
      </w:r>
      <w:r w:rsidRPr="009155B4">
        <w:rPr>
          <w:sz w:val="24"/>
          <w:szCs w:val="24"/>
        </w:rPr>
        <w:t xml:space="preserve"> izloženi riziku rasta kamatnjaka po kojima otplaćuju dugoročne i srednjoročne kredite. Na navedeno mogu djelovati promjene trenda kretanja kamatnjaka na domaćem tržištu (npr. promjena karaktera monetarne politike iz ekspanzivne u restriktivnu politiku, </w:t>
      </w:r>
      <w:r w:rsidR="00E11FF5">
        <w:rPr>
          <w:sz w:val="24"/>
          <w:szCs w:val="24"/>
        </w:rPr>
        <w:t xml:space="preserve">ili </w:t>
      </w:r>
      <w:r w:rsidRPr="009155B4">
        <w:rPr>
          <w:sz w:val="24"/>
          <w:szCs w:val="24"/>
        </w:rPr>
        <w:t>rast kamatnjaka na depozite</w:t>
      </w:r>
      <w:r>
        <w:rPr>
          <w:sz w:val="24"/>
          <w:szCs w:val="24"/>
        </w:rPr>
        <w:t xml:space="preserve"> koji </w:t>
      </w:r>
      <w:r w:rsidRPr="009155B4">
        <w:rPr>
          <w:sz w:val="24"/>
          <w:szCs w:val="24"/>
        </w:rPr>
        <w:t xml:space="preserve">utječe na </w:t>
      </w:r>
      <w:r>
        <w:rPr>
          <w:sz w:val="24"/>
          <w:szCs w:val="24"/>
        </w:rPr>
        <w:t>visinu Nacionalne referentne stope</w:t>
      </w:r>
      <w:r w:rsidRPr="009155B4">
        <w:rPr>
          <w:sz w:val="24"/>
          <w:szCs w:val="24"/>
        </w:rPr>
        <w:t>)</w:t>
      </w:r>
      <w:r w:rsidR="00E11FF5">
        <w:rPr>
          <w:sz w:val="24"/>
          <w:szCs w:val="24"/>
        </w:rPr>
        <w:t>, kao i</w:t>
      </w:r>
      <w:r w:rsidRPr="009155B4">
        <w:rPr>
          <w:sz w:val="24"/>
          <w:szCs w:val="24"/>
        </w:rPr>
        <w:t xml:space="preserve"> promjene na inozemnom tržištu (u slučaju kada se domaće banke značajno financiraju na inozemnom tržištu te njihov trošak financiranja ovisi o cijeni novca na globalnom ili eurskom tržištu – slučaj EURIBOR-a</w:t>
      </w:r>
      <w:r w:rsidR="00E11FF5">
        <w:rPr>
          <w:sz w:val="24"/>
          <w:szCs w:val="24"/>
        </w:rPr>
        <w:t>; dodatno kretanje EURIBOR-a visoko je korelirano s kretanjem domaćih kamatnjaka na eursku deviznu štednju</w:t>
      </w:r>
      <w:r w:rsidRPr="009155B4">
        <w:rPr>
          <w:sz w:val="24"/>
          <w:szCs w:val="24"/>
        </w:rPr>
        <w:t xml:space="preserve">). </w:t>
      </w:r>
    </w:p>
    <w:tbl>
      <w:tblPr>
        <w:tblStyle w:val="Reetkatablice"/>
        <w:tblW w:w="0" w:type="auto"/>
        <w:tblInd w:w="108" w:type="dxa"/>
        <w:tblLook w:val="04A0" w:firstRow="1" w:lastRow="0" w:firstColumn="1" w:lastColumn="0" w:noHBand="0" w:noVBand="1"/>
      </w:tblPr>
      <w:tblGrid>
        <w:gridCol w:w="9180"/>
      </w:tblGrid>
      <w:tr w:rsidR="000C2E32" w:rsidTr="00B86258">
        <w:tc>
          <w:tcPr>
            <w:tcW w:w="9180" w:type="dxa"/>
            <w:shd w:val="clear" w:color="auto" w:fill="F2F2F2" w:themeFill="background1" w:themeFillShade="F2"/>
          </w:tcPr>
          <w:p w:rsidR="000C2E32" w:rsidRPr="009155B4" w:rsidRDefault="000C2E32" w:rsidP="00B86258">
            <w:pPr>
              <w:spacing w:before="120" w:after="120"/>
              <w:jc w:val="both"/>
              <w:rPr>
                <w:rFonts w:asciiTheme="minorHAnsi" w:eastAsiaTheme="minorHAnsi" w:hAnsiTheme="minorHAnsi" w:cstheme="minorBidi"/>
                <w:sz w:val="24"/>
                <w:szCs w:val="24"/>
                <w:lang w:eastAsia="en-US"/>
              </w:rPr>
            </w:pPr>
            <w:r w:rsidRPr="009155B4">
              <w:rPr>
                <w:rFonts w:asciiTheme="minorHAnsi" w:eastAsiaTheme="minorHAnsi" w:hAnsiTheme="minorHAnsi" w:cstheme="minorBidi"/>
                <w:sz w:val="24"/>
                <w:szCs w:val="24"/>
                <w:lang w:eastAsia="en-US"/>
              </w:rPr>
              <w:t>Ukoliko je kamatna stopa ugovorena kao promjenjiva stopa u visini jednogodišnjeg (dvanaest</w:t>
            </w:r>
            <w:r>
              <w:rPr>
                <w:rFonts w:asciiTheme="minorHAnsi" w:eastAsiaTheme="minorHAnsi" w:hAnsiTheme="minorHAnsi" w:cstheme="minorBidi"/>
                <w:sz w:val="24"/>
                <w:szCs w:val="24"/>
                <w:lang w:eastAsia="en-US"/>
              </w:rPr>
              <w:t>o</w:t>
            </w:r>
            <w:r w:rsidRPr="009155B4">
              <w:rPr>
                <w:rFonts w:asciiTheme="minorHAnsi" w:eastAsiaTheme="minorHAnsi" w:hAnsiTheme="minorHAnsi" w:cstheme="minorBidi"/>
                <w:sz w:val="24"/>
                <w:szCs w:val="24"/>
                <w:lang w:eastAsia="en-US"/>
              </w:rPr>
              <w:t>mjesečnog) EURIBOR-a, uvećana za 5 postotnih bodova</w:t>
            </w:r>
            <w:r>
              <w:rPr>
                <w:rFonts w:asciiTheme="minorHAnsi" w:eastAsiaTheme="minorHAnsi" w:hAnsiTheme="minorHAnsi" w:cstheme="minorBidi"/>
                <w:sz w:val="24"/>
                <w:szCs w:val="24"/>
                <w:lang w:eastAsia="en-US"/>
              </w:rPr>
              <w:t>/ poena</w:t>
            </w:r>
            <w:r w:rsidRPr="009155B4">
              <w:rPr>
                <w:rFonts w:asciiTheme="minorHAnsi" w:eastAsiaTheme="minorHAnsi" w:hAnsiTheme="minorHAnsi" w:cstheme="minorBidi"/>
                <w:sz w:val="24"/>
                <w:szCs w:val="24"/>
                <w:lang w:eastAsia="en-US"/>
              </w:rPr>
              <w:t xml:space="preserve"> (kao fiksni dio kamatne stope), tada se promjenjivi dio odnosi samo na EURIBOR, a svi drugi uvjeti određivanja kamatne stope (kao npr. kamatna marža i kretanja premija rizika za Hrvatsku i sl.) sadržani su unutar fiksnog dijela određenog ugovorenim brojem postotnih bodova. </w:t>
            </w:r>
          </w:p>
          <w:p w:rsidR="000C2E32" w:rsidRDefault="000C2E32" w:rsidP="00B86258">
            <w:pPr>
              <w:spacing w:before="120" w:after="120"/>
              <w:jc w:val="both"/>
              <w:rPr>
                <w:rFonts w:asciiTheme="minorHAnsi" w:eastAsiaTheme="minorHAnsi" w:hAnsiTheme="minorHAnsi" w:cstheme="minorBidi"/>
                <w:sz w:val="24"/>
                <w:szCs w:val="24"/>
                <w:lang w:eastAsia="en-US"/>
              </w:rPr>
            </w:pPr>
            <w:r w:rsidRPr="009155B4">
              <w:rPr>
                <w:rFonts w:asciiTheme="minorHAnsi" w:eastAsiaTheme="minorHAnsi" w:hAnsiTheme="minorHAnsi" w:cstheme="minorBidi"/>
                <w:sz w:val="24"/>
                <w:szCs w:val="24"/>
                <w:lang w:eastAsia="en-US"/>
              </w:rPr>
              <w:t>Uz ugovoren fiksni dio kamatne stope 5 postotnih bodova i tržišnu visinu EURIBOR-a na razini 0,555%, kamatna stopa iznosi 5,56% (0,555% + 5 postotna boda, zaokruženo na dva decimalna mjesta).</w:t>
            </w:r>
            <w:r>
              <w:rPr>
                <w:rFonts w:asciiTheme="minorHAnsi" w:eastAsiaTheme="minorHAnsi" w:hAnsiTheme="minorHAnsi" w:cstheme="minorBidi"/>
                <w:sz w:val="24"/>
                <w:szCs w:val="24"/>
                <w:lang w:eastAsia="en-US"/>
              </w:rPr>
              <w:t xml:space="preserve"> No ukoliko vrijednost EURIBOR-a zabilježi razinu 3%, kamatnjak u otplati kredita iznosit će 8%.</w:t>
            </w:r>
          </w:p>
          <w:p w:rsidR="000C2E32" w:rsidRPr="00535973" w:rsidRDefault="000C2E32" w:rsidP="00B86258">
            <w:pPr>
              <w:spacing w:before="120" w:after="120"/>
              <w:jc w:val="both"/>
              <w:rPr>
                <w:rFonts w:asciiTheme="minorHAnsi" w:eastAsiaTheme="minorHAnsi" w:hAnsiTheme="minorHAnsi" w:cstheme="minorBidi"/>
                <w:sz w:val="24"/>
                <w:szCs w:val="24"/>
                <w:lang w:eastAsia="en-US"/>
              </w:rPr>
            </w:pPr>
            <w:r w:rsidRPr="00535973">
              <w:rPr>
                <w:rFonts w:asciiTheme="minorHAnsi" w:eastAsiaTheme="minorHAnsi" w:hAnsiTheme="minorHAnsi" w:cstheme="minorBidi"/>
                <w:color w:val="C00000"/>
                <w:sz w:val="24"/>
                <w:szCs w:val="24"/>
                <w:lang w:eastAsia="en-US"/>
              </w:rPr>
              <w:t xml:space="preserve">EURIBOR </w:t>
            </w:r>
            <w:r>
              <w:rPr>
                <w:rFonts w:asciiTheme="minorHAnsi" w:eastAsiaTheme="minorHAnsi" w:hAnsiTheme="minorHAnsi" w:cstheme="minorBidi"/>
                <w:sz w:val="24"/>
                <w:szCs w:val="24"/>
                <w:lang w:eastAsia="en-US"/>
              </w:rPr>
              <w:t xml:space="preserve">predstavlja </w:t>
            </w:r>
            <w:r w:rsidRPr="00535973">
              <w:rPr>
                <w:rFonts w:asciiTheme="minorHAnsi" w:eastAsiaTheme="minorHAnsi" w:hAnsiTheme="minorHAnsi" w:cstheme="minorBidi"/>
                <w:sz w:val="24"/>
                <w:szCs w:val="24"/>
                <w:lang w:eastAsia="en-US"/>
              </w:rPr>
              <w:t>referentn</w:t>
            </w:r>
            <w:r>
              <w:rPr>
                <w:rFonts w:asciiTheme="minorHAnsi" w:eastAsiaTheme="minorHAnsi" w:hAnsiTheme="minorHAnsi" w:cstheme="minorBidi"/>
                <w:sz w:val="24"/>
                <w:szCs w:val="24"/>
                <w:lang w:eastAsia="en-US"/>
              </w:rPr>
              <w:t>u kamatnu</w:t>
            </w:r>
            <w:r w:rsidRPr="00535973">
              <w:rPr>
                <w:rFonts w:asciiTheme="minorHAnsi" w:eastAsiaTheme="minorHAnsi" w:hAnsiTheme="minorHAnsi" w:cstheme="minorBidi"/>
                <w:sz w:val="24"/>
                <w:szCs w:val="24"/>
                <w:lang w:eastAsia="en-US"/>
              </w:rPr>
              <w:t xml:space="preserve"> stop</w:t>
            </w:r>
            <w:r>
              <w:rPr>
                <w:rFonts w:asciiTheme="minorHAnsi" w:eastAsiaTheme="minorHAnsi" w:hAnsiTheme="minorHAnsi" w:cstheme="minorBidi"/>
                <w:sz w:val="24"/>
                <w:szCs w:val="24"/>
                <w:lang w:eastAsia="en-US"/>
              </w:rPr>
              <w:t>u</w:t>
            </w:r>
            <w:r w:rsidRPr="00535973">
              <w:rPr>
                <w:rFonts w:asciiTheme="minorHAnsi" w:eastAsiaTheme="minorHAnsi" w:hAnsiTheme="minorHAnsi" w:cstheme="minorBidi"/>
                <w:sz w:val="24"/>
                <w:szCs w:val="24"/>
                <w:lang w:eastAsia="en-US"/>
              </w:rPr>
              <w:t xml:space="preserve"> koja se utvrđuje na europskom međubankarskom tržištu. Utvrđuje se</w:t>
            </w:r>
            <w:r>
              <w:rPr>
                <w:rFonts w:asciiTheme="minorHAnsi" w:eastAsiaTheme="minorHAnsi" w:hAnsiTheme="minorHAnsi" w:cstheme="minorBidi"/>
                <w:sz w:val="24"/>
                <w:szCs w:val="24"/>
                <w:lang w:eastAsia="en-US"/>
              </w:rPr>
              <w:t xml:space="preserve"> </w:t>
            </w:r>
            <w:r w:rsidRPr="00535973">
              <w:rPr>
                <w:rFonts w:asciiTheme="minorHAnsi" w:eastAsiaTheme="minorHAnsi" w:hAnsiTheme="minorHAnsi" w:cstheme="minorBidi"/>
                <w:sz w:val="24"/>
                <w:szCs w:val="24"/>
                <w:lang w:eastAsia="en-US"/>
              </w:rPr>
              <w:t>dnevno kao prosječna stopa po kojoj reprezentativne banke međusobno daju u zajam neosigurana novčana</w:t>
            </w:r>
            <w:r>
              <w:rPr>
                <w:rFonts w:asciiTheme="minorHAnsi" w:eastAsiaTheme="minorHAnsi" w:hAnsiTheme="minorHAnsi" w:cstheme="minorBidi"/>
                <w:sz w:val="24"/>
                <w:szCs w:val="24"/>
                <w:lang w:eastAsia="en-US"/>
              </w:rPr>
              <w:t xml:space="preserve"> </w:t>
            </w:r>
            <w:r w:rsidRPr="00535973">
              <w:rPr>
                <w:rFonts w:asciiTheme="minorHAnsi" w:eastAsiaTheme="minorHAnsi" w:hAnsiTheme="minorHAnsi" w:cstheme="minorBidi"/>
                <w:sz w:val="24"/>
                <w:szCs w:val="24"/>
                <w:lang w:eastAsia="en-US"/>
              </w:rPr>
              <w:t xml:space="preserve">sredstva. </w:t>
            </w:r>
            <w:r>
              <w:rPr>
                <w:rFonts w:asciiTheme="minorHAnsi" w:eastAsiaTheme="minorHAnsi" w:hAnsiTheme="minorHAnsi" w:cstheme="minorBidi"/>
                <w:sz w:val="24"/>
                <w:szCs w:val="24"/>
                <w:lang w:eastAsia="en-US"/>
              </w:rPr>
              <w:t>Izračunava se za rokove d</w:t>
            </w:r>
            <w:r w:rsidRPr="00535973">
              <w:rPr>
                <w:rFonts w:asciiTheme="minorHAnsi" w:eastAsiaTheme="minorHAnsi" w:hAnsiTheme="minorHAnsi" w:cstheme="minorBidi"/>
                <w:sz w:val="24"/>
                <w:szCs w:val="24"/>
                <w:lang w:eastAsia="en-US"/>
              </w:rPr>
              <w:t>ospijeća od 2 dana do 12 mjeseci.</w:t>
            </w:r>
            <w:r w:rsidR="00D1480C">
              <w:rPr>
                <w:rFonts w:asciiTheme="minorHAnsi" w:eastAsiaTheme="minorHAnsi" w:hAnsiTheme="minorHAnsi" w:cstheme="minorBidi"/>
                <w:sz w:val="24"/>
                <w:szCs w:val="24"/>
                <w:lang w:eastAsia="en-US"/>
              </w:rPr>
              <w:t xml:space="preserve"> Na njegovo kretanje djeluje karakter monetarne politike ECB-a te se EURIBOR smanjuje u ekspanzivnom monetarnom okruženju i raste u restriktivnim uvjetima</w:t>
            </w:r>
          </w:p>
          <w:p w:rsidR="00D1480C" w:rsidRDefault="000C2E32" w:rsidP="00D1480C">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Umjesto EURIBOR-a pojedine banke kao tržišno uvjetovan dio promjenjivog kamatnjaka koriste </w:t>
            </w:r>
            <w:r w:rsidRPr="00535973">
              <w:rPr>
                <w:rFonts w:asciiTheme="minorHAnsi" w:eastAsiaTheme="minorHAnsi" w:hAnsiTheme="minorHAnsi" w:cstheme="minorBidi"/>
                <w:color w:val="C00000"/>
                <w:sz w:val="24"/>
                <w:szCs w:val="24"/>
                <w:lang w:eastAsia="en-US"/>
              </w:rPr>
              <w:t>Nacionalnu referentnu stopu</w:t>
            </w:r>
            <w:r>
              <w:rPr>
                <w:rFonts w:asciiTheme="minorHAnsi" w:eastAsiaTheme="minorHAnsi" w:hAnsiTheme="minorHAnsi" w:cstheme="minorBidi"/>
                <w:sz w:val="24"/>
                <w:szCs w:val="24"/>
                <w:lang w:eastAsia="en-US"/>
              </w:rPr>
              <w:t xml:space="preserve">. Ona pokazuje prosječni trošak financiranja hrvatskog bankovnog sektora u određenom vremenskom razdoblju, </w:t>
            </w:r>
            <w:r w:rsidR="00E11FF5">
              <w:rPr>
                <w:rFonts w:asciiTheme="minorHAnsi" w:eastAsiaTheme="minorHAnsi" w:hAnsiTheme="minorHAnsi" w:cstheme="minorBidi"/>
                <w:sz w:val="24"/>
                <w:szCs w:val="24"/>
                <w:lang w:eastAsia="en-US"/>
              </w:rPr>
              <w:t xml:space="preserve">s obzirom na </w:t>
            </w:r>
            <w:r>
              <w:rPr>
                <w:rFonts w:asciiTheme="minorHAnsi" w:eastAsiaTheme="minorHAnsi" w:hAnsiTheme="minorHAnsi" w:cstheme="minorBidi"/>
                <w:sz w:val="24"/>
                <w:szCs w:val="24"/>
                <w:lang w:eastAsia="en-US"/>
              </w:rPr>
              <w:t>vrstu izvora (depoziti fizičkih osoba, pravnih osoba i ostalih izvora financiranja banka) te relevantnu valutu (HRK, EUR, USD, CHF).</w:t>
            </w:r>
            <w:r w:rsidR="00D1480C">
              <w:rPr>
                <w:rFonts w:asciiTheme="minorHAnsi" w:eastAsiaTheme="minorHAnsi" w:hAnsiTheme="minorHAnsi" w:cstheme="minorBidi"/>
                <w:sz w:val="24"/>
                <w:szCs w:val="24"/>
                <w:lang w:eastAsia="en-US"/>
              </w:rPr>
              <w:t xml:space="preserve"> U slučaju NRS-a za eure dolazi do prenošenja efekta likvidnosti iz tržišta eurozoe, dok je NRS za kune primarno determiniran obiljem ili oskudicom kunske likvidnosti na domaćem tržištu te faktorima stabilnosti u domaćem financijskom sustavu. </w:t>
            </w:r>
          </w:p>
          <w:p w:rsidR="000C2E32" w:rsidRDefault="00D1480C" w:rsidP="00D1480C">
            <w:pPr>
              <w:spacing w:before="120" w:after="120"/>
              <w:jc w:val="both"/>
              <w:rPr>
                <w:sz w:val="24"/>
                <w:szCs w:val="24"/>
              </w:rPr>
            </w:pPr>
            <w:r>
              <w:rPr>
                <w:rFonts w:asciiTheme="minorHAnsi" w:eastAsiaTheme="minorHAnsi" w:hAnsiTheme="minorHAnsi" w:cstheme="minorBidi"/>
                <w:sz w:val="24"/>
                <w:szCs w:val="24"/>
                <w:lang w:eastAsia="en-US"/>
              </w:rPr>
              <w:t xml:space="preserve">Oskudica likvidnosti i financijske nestabilnosti pridonose rastu kamatnih stopa na depozite pa posljedični i na kredite, dok obilje likvidnosti i veća financijska stabilnost omogućavaju pad kamatnih stopa na depozite i na kredite. </w:t>
            </w:r>
          </w:p>
        </w:tc>
      </w:tr>
    </w:tbl>
    <w:p w:rsidR="004A7643" w:rsidRDefault="004A7643" w:rsidP="004A7643">
      <w:pPr>
        <w:spacing w:before="240"/>
        <w:jc w:val="both"/>
        <w:rPr>
          <w:sz w:val="24"/>
          <w:szCs w:val="24"/>
        </w:rPr>
      </w:pPr>
      <w:r>
        <w:rPr>
          <w:sz w:val="24"/>
          <w:szCs w:val="24"/>
        </w:rPr>
        <w:t>S obzirom na visok stupanj euroizacije depozita i kredita u Hrvatskoj</w:t>
      </w:r>
      <w:r w:rsidR="0085593B">
        <w:rPr>
          <w:sz w:val="24"/>
          <w:szCs w:val="24"/>
        </w:rPr>
        <w:t xml:space="preserve"> te izraženu praksu inozemnog zaduživanja</w:t>
      </w:r>
      <w:r>
        <w:rPr>
          <w:sz w:val="24"/>
          <w:szCs w:val="24"/>
        </w:rPr>
        <w:t>, domaći kamatnjaci su značajno pod utjecajem kretanja cijene novca u eurozoni</w:t>
      </w:r>
      <w:r w:rsidR="00E11FF5">
        <w:rPr>
          <w:sz w:val="24"/>
          <w:szCs w:val="24"/>
        </w:rPr>
        <w:t xml:space="preserve"> i monetarne</w:t>
      </w:r>
      <w:r>
        <w:rPr>
          <w:sz w:val="24"/>
          <w:szCs w:val="24"/>
        </w:rPr>
        <w:t xml:space="preserve"> politike ECB-a. Pri tome razliku između nominalnih kamatnjaka u Hrvatskoj i njihove referentne vrijednosti u eurozoni čini </w:t>
      </w:r>
      <w:r w:rsidRPr="00E11FF5">
        <w:rPr>
          <w:color w:val="C00000"/>
          <w:sz w:val="24"/>
          <w:szCs w:val="24"/>
        </w:rPr>
        <w:t>premija rizika</w:t>
      </w:r>
      <w:r w:rsidR="0085593B" w:rsidRPr="00E11FF5">
        <w:rPr>
          <w:color w:val="C00000"/>
          <w:sz w:val="24"/>
          <w:szCs w:val="24"/>
        </w:rPr>
        <w:t xml:space="preserve"> </w:t>
      </w:r>
      <w:r w:rsidR="0085593B">
        <w:rPr>
          <w:sz w:val="24"/>
          <w:szCs w:val="24"/>
        </w:rPr>
        <w:t>(koja se obično izražava u baznim bodovima)</w:t>
      </w:r>
      <w:r>
        <w:rPr>
          <w:sz w:val="24"/>
          <w:szCs w:val="24"/>
        </w:rPr>
        <w:t xml:space="preserve">. </w:t>
      </w:r>
    </w:p>
    <w:tbl>
      <w:tblPr>
        <w:tblStyle w:val="Reetkatablice"/>
        <w:tblW w:w="0" w:type="auto"/>
        <w:tblLook w:val="04A0" w:firstRow="1" w:lastRow="0" w:firstColumn="1" w:lastColumn="0" w:noHBand="0" w:noVBand="1"/>
      </w:tblPr>
      <w:tblGrid>
        <w:gridCol w:w="9288"/>
      </w:tblGrid>
      <w:tr w:rsidR="0014593A" w:rsidTr="0014593A">
        <w:tc>
          <w:tcPr>
            <w:tcW w:w="9288" w:type="dxa"/>
          </w:tcPr>
          <w:p w:rsidR="0014593A" w:rsidRDefault="0014593A" w:rsidP="00E11FF5">
            <w:pPr>
              <w:spacing w:before="240"/>
              <w:jc w:val="center"/>
              <w:rPr>
                <w:sz w:val="24"/>
                <w:szCs w:val="24"/>
              </w:rPr>
            </w:pPr>
            <w:r>
              <w:rPr>
                <w:noProof/>
                <w:sz w:val="24"/>
                <w:szCs w:val="24"/>
              </w:rPr>
              <w:lastRenderedPageBreak/>
              <w:drawing>
                <wp:inline distT="0" distB="0" distL="0" distR="0" wp14:anchorId="4CA4AAE7" wp14:editId="643D3A21">
                  <wp:extent cx="5405648" cy="2019300"/>
                  <wp:effectExtent l="0" t="0" r="508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13648" cy="2022288"/>
                          </a:xfrm>
                          <a:prstGeom prst="rect">
                            <a:avLst/>
                          </a:prstGeom>
                          <a:noFill/>
                          <a:ln>
                            <a:noFill/>
                          </a:ln>
                        </pic:spPr>
                      </pic:pic>
                    </a:graphicData>
                  </a:graphic>
                </wp:inline>
              </w:drawing>
            </w:r>
          </w:p>
          <w:p w:rsidR="0014593A" w:rsidRDefault="0014593A" w:rsidP="00E11FF5">
            <w:pPr>
              <w:spacing w:before="240"/>
              <w:jc w:val="center"/>
              <w:rPr>
                <w:sz w:val="24"/>
                <w:szCs w:val="24"/>
              </w:rPr>
            </w:pPr>
            <w:r>
              <w:rPr>
                <w:noProof/>
                <w:sz w:val="24"/>
                <w:szCs w:val="24"/>
              </w:rPr>
              <w:drawing>
                <wp:inline distT="0" distB="0" distL="0" distR="0" wp14:anchorId="1BEBF881" wp14:editId="46A931A6">
                  <wp:extent cx="5353050" cy="3915576"/>
                  <wp:effectExtent l="0" t="0" r="0" b="889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56940" cy="3918421"/>
                          </a:xfrm>
                          <a:prstGeom prst="rect">
                            <a:avLst/>
                          </a:prstGeom>
                          <a:noFill/>
                          <a:ln>
                            <a:noFill/>
                          </a:ln>
                        </pic:spPr>
                      </pic:pic>
                    </a:graphicData>
                  </a:graphic>
                </wp:inline>
              </w:drawing>
            </w:r>
          </w:p>
          <w:p w:rsidR="0014593A" w:rsidRDefault="0014593A" w:rsidP="00E11FF5">
            <w:pPr>
              <w:spacing w:before="240"/>
              <w:jc w:val="center"/>
              <w:rPr>
                <w:sz w:val="24"/>
                <w:szCs w:val="24"/>
              </w:rPr>
            </w:pPr>
            <w:r w:rsidRPr="0014593A">
              <w:rPr>
                <w:noProof/>
                <w:sz w:val="24"/>
                <w:szCs w:val="24"/>
              </w:rPr>
              <w:drawing>
                <wp:inline distT="0" distB="0" distL="0" distR="0" wp14:anchorId="63E27D67" wp14:editId="02F1B8EE">
                  <wp:extent cx="5827904" cy="1762125"/>
                  <wp:effectExtent l="0" t="0" r="1905" b="0"/>
                  <wp:docPr id="16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28925" cy="1762434"/>
                          </a:xfrm>
                          <a:prstGeom prst="rect">
                            <a:avLst/>
                          </a:prstGeom>
                          <a:noFill/>
                          <a:ln>
                            <a:noFill/>
                          </a:ln>
                          <a:extLst/>
                        </pic:spPr>
                      </pic:pic>
                    </a:graphicData>
                  </a:graphic>
                </wp:inline>
              </w:drawing>
            </w:r>
          </w:p>
        </w:tc>
      </w:tr>
      <w:tr w:rsidR="0014593A" w:rsidTr="0014593A">
        <w:tc>
          <w:tcPr>
            <w:tcW w:w="9288" w:type="dxa"/>
          </w:tcPr>
          <w:p w:rsidR="0014593A" w:rsidRPr="0014593A" w:rsidRDefault="0014593A" w:rsidP="00374C83">
            <w:pPr>
              <w:spacing w:before="240"/>
              <w:jc w:val="both"/>
            </w:pPr>
            <w:r>
              <w:t xml:space="preserve">* </w:t>
            </w:r>
            <w:r w:rsidR="00374C83">
              <w:t>Cjelokupni tekst je p</w:t>
            </w:r>
            <w:r w:rsidRPr="0014593A">
              <w:t>reuzet iz: Ivanov, M.; Maroshi, V. „Bankarstvo i osiguranje“, radna bilježnica za treći razred srednje ekonomske škole, Alka Script, 2014.</w:t>
            </w:r>
          </w:p>
        </w:tc>
      </w:tr>
    </w:tbl>
    <w:p w:rsidR="0059007C" w:rsidRDefault="00B838B6" w:rsidP="00B838B6">
      <w:pPr>
        <w:spacing w:before="240" w:after="0"/>
        <w:jc w:val="both"/>
        <w:rPr>
          <w:sz w:val="24"/>
          <w:szCs w:val="24"/>
        </w:rPr>
      </w:pPr>
      <w:r>
        <w:rPr>
          <w:sz w:val="24"/>
          <w:szCs w:val="24"/>
        </w:rPr>
        <w:lastRenderedPageBreak/>
        <w:t xml:space="preserve">S druge strane, na domaće kunske kamatnjake (koji se vežu za kunske depozite i kredite bez valutne klauzule) dijelom utječe monetarna politika središnje banke (Hrvatske narodne banke) pa kada ona nije pretjerano restriktivna </w:t>
      </w:r>
      <w:r w:rsidR="0059007C">
        <w:rPr>
          <w:sz w:val="24"/>
          <w:szCs w:val="24"/>
        </w:rPr>
        <w:t xml:space="preserve">ili je ekspanzivna </w:t>
      </w:r>
      <w:r>
        <w:rPr>
          <w:sz w:val="24"/>
          <w:szCs w:val="24"/>
        </w:rPr>
        <w:t xml:space="preserve">kunski kamatnjaci padaju. </w:t>
      </w:r>
      <w:r w:rsidR="0059007C">
        <w:rPr>
          <w:sz w:val="24"/>
          <w:szCs w:val="24"/>
        </w:rPr>
        <w:t>Naime ekspanzivnija monetarna politika u kratkom roku kroz efekt likvidnosti pridonosi padu kamatnih stopa, dok restriktivnija u kratkom roku djeluje na rast kamatnih stopa.</w:t>
      </w:r>
    </w:p>
    <w:p w:rsidR="00B838B6" w:rsidRDefault="0059007C" w:rsidP="00B838B6">
      <w:pPr>
        <w:spacing w:before="240" w:after="0"/>
        <w:jc w:val="both"/>
        <w:rPr>
          <w:sz w:val="24"/>
          <w:szCs w:val="24"/>
        </w:rPr>
      </w:pPr>
      <w:r>
        <w:rPr>
          <w:sz w:val="24"/>
          <w:szCs w:val="24"/>
        </w:rPr>
        <w:t>B</w:t>
      </w:r>
      <w:r w:rsidR="00B838B6">
        <w:rPr>
          <w:sz w:val="24"/>
          <w:szCs w:val="24"/>
        </w:rPr>
        <w:t>udući da središnja banka ne može istodobno braniti kamatne stope i devizni tečaj, ako se pojavi veći deprecijacijski pritisak na domaću valutu</w:t>
      </w:r>
      <w:r w:rsidR="009C27EC">
        <w:rPr>
          <w:sz w:val="24"/>
          <w:szCs w:val="24"/>
        </w:rPr>
        <w:t>,</w:t>
      </w:r>
      <w:r w:rsidR="00B838B6">
        <w:rPr>
          <w:sz w:val="24"/>
          <w:szCs w:val="24"/>
        </w:rPr>
        <w:t xml:space="preserve"> a HNB želi održati stabilnost nominalnog tečaja izgledna je veća restriktivnost monetarne politike pa domaći kunski kamatnjaci bilježe rast. Konkretan primjer takve situacije je veljača 2009.</w:t>
      </w:r>
      <w:r w:rsidR="00D21FAE">
        <w:rPr>
          <w:sz w:val="24"/>
          <w:szCs w:val="24"/>
        </w:rPr>
        <w:t>,</w:t>
      </w:r>
      <w:r w:rsidR="00B838B6">
        <w:rPr>
          <w:sz w:val="24"/>
          <w:szCs w:val="24"/>
        </w:rPr>
        <w:t xml:space="preserve"> kada je zbog obrane kune od deprecijacije središnja banka poduzela akcije u smjeru smanjenja kunske likvidnosti banaka što je polučilo snažnim rastom k</w:t>
      </w:r>
      <w:r>
        <w:rPr>
          <w:sz w:val="24"/>
          <w:szCs w:val="24"/>
        </w:rPr>
        <w:t>amatnih stopa</w:t>
      </w:r>
      <w:r w:rsidR="00B838B6">
        <w:rPr>
          <w:sz w:val="24"/>
          <w:szCs w:val="24"/>
        </w:rPr>
        <w:t xml:space="preserve"> na kunskom međubankarskom tržištu, ali i kamatn</w:t>
      </w:r>
      <w:r>
        <w:rPr>
          <w:sz w:val="24"/>
          <w:szCs w:val="24"/>
        </w:rPr>
        <w:t xml:space="preserve">jaka na kunske oročene depozite u </w:t>
      </w:r>
      <w:r w:rsidR="00D21FAE">
        <w:rPr>
          <w:sz w:val="24"/>
          <w:szCs w:val="24"/>
        </w:rPr>
        <w:t xml:space="preserve">novo-zaključenim </w:t>
      </w:r>
      <w:r>
        <w:rPr>
          <w:sz w:val="24"/>
          <w:szCs w:val="24"/>
        </w:rPr>
        <w:t>transakcijama s poduzećima i građanima.</w:t>
      </w:r>
    </w:p>
    <w:p w:rsidR="004A7643" w:rsidRPr="000C2E32" w:rsidRDefault="004A7643" w:rsidP="004A7643">
      <w:pPr>
        <w:spacing w:before="240"/>
        <w:jc w:val="both"/>
        <w:rPr>
          <w:sz w:val="24"/>
          <w:szCs w:val="24"/>
        </w:rPr>
      </w:pPr>
      <w:r w:rsidRPr="009155B4">
        <w:rPr>
          <w:sz w:val="24"/>
          <w:szCs w:val="24"/>
        </w:rPr>
        <w:t xml:space="preserve">Osim troška financiranja banke kao vjerovnika, kamatnjak uvijek uključuje i određeni dio </w:t>
      </w:r>
      <w:r w:rsidRPr="00535973">
        <w:rPr>
          <w:color w:val="C00000"/>
          <w:sz w:val="24"/>
          <w:szCs w:val="24"/>
        </w:rPr>
        <w:t xml:space="preserve">premije </w:t>
      </w:r>
      <w:r w:rsidR="00113311">
        <w:rPr>
          <w:color w:val="C00000"/>
          <w:sz w:val="24"/>
          <w:szCs w:val="24"/>
        </w:rPr>
        <w:t xml:space="preserve">na kreditni </w:t>
      </w:r>
      <w:r w:rsidRPr="00535973">
        <w:rPr>
          <w:color w:val="C00000"/>
          <w:sz w:val="24"/>
          <w:szCs w:val="24"/>
        </w:rPr>
        <w:t xml:space="preserve">rizik </w:t>
      </w:r>
      <w:r w:rsidRPr="000C2E32">
        <w:rPr>
          <w:sz w:val="24"/>
          <w:szCs w:val="24"/>
        </w:rPr>
        <w:t xml:space="preserve">a ona je pod utjecajem: </w:t>
      </w:r>
    </w:p>
    <w:p w:rsidR="004A7643" w:rsidRPr="0014593A" w:rsidRDefault="004A7643" w:rsidP="006F1C04">
      <w:pPr>
        <w:pStyle w:val="Odlomakpopisa"/>
        <w:numPr>
          <w:ilvl w:val="1"/>
          <w:numId w:val="18"/>
        </w:numPr>
        <w:spacing w:before="120" w:line="240" w:lineRule="auto"/>
        <w:ind w:left="1434" w:hanging="357"/>
        <w:jc w:val="both"/>
        <w:rPr>
          <w:sz w:val="24"/>
          <w:szCs w:val="24"/>
        </w:rPr>
      </w:pPr>
      <w:r w:rsidRPr="0014593A">
        <w:rPr>
          <w:sz w:val="24"/>
          <w:szCs w:val="24"/>
        </w:rPr>
        <w:t>rizik</w:t>
      </w:r>
      <w:r>
        <w:rPr>
          <w:sz w:val="24"/>
          <w:szCs w:val="24"/>
        </w:rPr>
        <w:t>a</w:t>
      </w:r>
      <w:r w:rsidRPr="0014593A">
        <w:rPr>
          <w:sz w:val="24"/>
          <w:szCs w:val="24"/>
        </w:rPr>
        <w:t xml:space="preserve"> da dužnici neće vraćati kredit (taj rizik raste u uvjetima porasta udjela loših kredita, odnosno u godinama krize</w:t>
      </w:r>
      <w:r w:rsidR="00FB3BD4">
        <w:rPr>
          <w:sz w:val="24"/>
          <w:szCs w:val="24"/>
        </w:rPr>
        <w:t>/ recesije</w:t>
      </w:r>
      <w:r w:rsidRPr="0014593A">
        <w:rPr>
          <w:sz w:val="24"/>
          <w:szCs w:val="24"/>
        </w:rPr>
        <w:t xml:space="preserve">), </w:t>
      </w:r>
    </w:p>
    <w:p w:rsidR="004A7643" w:rsidRPr="0014593A" w:rsidRDefault="004A7643" w:rsidP="006F1C04">
      <w:pPr>
        <w:pStyle w:val="Odlomakpopisa"/>
        <w:numPr>
          <w:ilvl w:val="1"/>
          <w:numId w:val="18"/>
        </w:numPr>
        <w:spacing w:before="120" w:line="240" w:lineRule="auto"/>
        <w:ind w:left="1434" w:hanging="357"/>
        <w:jc w:val="both"/>
        <w:rPr>
          <w:sz w:val="24"/>
          <w:szCs w:val="24"/>
        </w:rPr>
      </w:pPr>
      <w:r w:rsidRPr="0014593A">
        <w:rPr>
          <w:sz w:val="24"/>
          <w:szCs w:val="24"/>
        </w:rPr>
        <w:t>rizik</w:t>
      </w:r>
      <w:r>
        <w:rPr>
          <w:sz w:val="24"/>
          <w:szCs w:val="24"/>
        </w:rPr>
        <w:t>a</w:t>
      </w:r>
      <w:r w:rsidRPr="0014593A">
        <w:rPr>
          <w:sz w:val="24"/>
          <w:szCs w:val="24"/>
        </w:rPr>
        <w:t xml:space="preserve"> zemlje (utjecaj </w:t>
      </w:r>
      <w:r w:rsidR="00FB3BD4">
        <w:rPr>
          <w:sz w:val="24"/>
          <w:szCs w:val="24"/>
        </w:rPr>
        <w:t xml:space="preserve">visine </w:t>
      </w:r>
      <w:r w:rsidRPr="0014593A">
        <w:rPr>
          <w:sz w:val="24"/>
          <w:szCs w:val="24"/>
        </w:rPr>
        <w:t xml:space="preserve">premije rizika na državne obveznice odražava se na cijenu zaduživanja svih domaćih sektora), </w:t>
      </w:r>
    </w:p>
    <w:p w:rsidR="004A7643" w:rsidRPr="0014593A" w:rsidRDefault="004A7643" w:rsidP="006F1C04">
      <w:pPr>
        <w:pStyle w:val="Odlomakpopisa"/>
        <w:numPr>
          <w:ilvl w:val="1"/>
          <w:numId w:val="18"/>
        </w:numPr>
        <w:spacing w:before="120" w:line="240" w:lineRule="auto"/>
        <w:ind w:left="1434" w:hanging="357"/>
        <w:jc w:val="both"/>
        <w:rPr>
          <w:sz w:val="24"/>
          <w:szCs w:val="24"/>
        </w:rPr>
      </w:pPr>
      <w:r w:rsidRPr="0014593A">
        <w:rPr>
          <w:sz w:val="24"/>
          <w:szCs w:val="24"/>
        </w:rPr>
        <w:t>rizik</w:t>
      </w:r>
      <w:r>
        <w:rPr>
          <w:sz w:val="24"/>
          <w:szCs w:val="24"/>
        </w:rPr>
        <w:t>a</w:t>
      </w:r>
      <w:r w:rsidRPr="0014593A">
        <w:rPr>
          <w:sz w:val="24"/>
          <w:szCs w:val="24"/>
        </w:rPr>
        <w:t xml:space="preserve"> banke (o kojem ovisi cijena po kojoj se ona financirana na međunarodnom financijskom tržištu). </w:t>
      </w:r>
    </w:p>
    <w:p w:rsidR="00825DB3" w:rsidRDefault="00113311" w:rsidP="004A7643">
      <w:pPr>
        <w:jc w:val="both"/>
        <w:rPr>
          <w:sz w:val="24"/>
          <w:szCs w:val="24"/>
        </w:rPr>
      </w:pPr>
      <w:r>
        <w:rPr>
          <w:sz w:val="24"/>
          <w:szCs w:val="24"/>
        </w:rPr>
        <w:t xml:space="preserve">Dužnici s nižim kreditnim rizikom, odnosno koji su u manjoj mjeri izloženi mogućim nepovoljnim faktorima interne ili eksterne okoline, </w:t>
      </w:r>
      <w:r w:rsidRPr="00FB3BD4">
        <w:rPr>
          <w:color w:val="C00000"/>
          <w:sz w:val="24"/>
          <w:szCs w:val="24"/>
        </w:rPr>
        <w:t>imaju bolji kreditni rejting pa se mogu zadužiti uz nižu kamatnu stopu</w:t>
      </w:r>
      <w:r>
        <w:rPr>
          <w:sz w:val="24"/>
          <w:szCs w:val="24"/>
        </w:rPr>
        <w:t xml:space="preserve">. Suprotno u slučaju dužnika koji je više rizičan ili koristi kreditne proizvode čija se namjena korištenja sredstva veže uz rizičnije poslove (odnosno nije poznata) plaća veću cijenu zaduživanja. </w:t>
      </w:r>
    </w:p>
    <w:p w:rsidR="001E684D" w:rsidRDefault="00825DB3" w:rsidP="004A7643">
      <w:pPr>
        <w:jc w:val="both"/>
        <w:rPr>
          <w:sz w:val="24"/>
          <w:szCs w:val="24"/>
        </w:rPr>
      </w:pPr>
      <w:r>
        <w:rPr>
          <w:sz w:val="24"/>
          <w:szCs w:val="24"/>
        </w:rPr>
        <w:t xml:space="preserve">Dodatno, kamatnjaci značajno variraju i s obzirom na dospijeće kredita a jedan od razloga tome je i premija rizika inflacije, odnosno </w:t>
      </w:r>
      <w:r w:rsidR="0085593B">
        <w:rPr>
          <w:sz w:val="24"/>
          <w:szCs w:val="24"/>
        </w:rPr>
        <w:t>inflacijskih očekivanja koja se vežu uz rok dospijeća na koji se određeni kamatnjak odnosi</w:t>
      </w:r>
      <w:r w:rsidR="0059007C">
        <w:rPr>
          <w:sz w:val="24"/>
          <w:szCs w:val="24"/>
        </w:rPr>
        <w:t>.</w:t>
      </w:r>
      <w:r w:rsidR="0085593B">
        <w:rPr>
          <w:sz w:val="24"/>
          <w:szCs w:val="24"/>
        </w:rPr>
        <w:t xml:space="preserve"> </w:t>
      </w:r>
      <w:r w:rsidRPr="00FB3BD4">
        <w:rPr>
          <w:color w:val="C00000"/>
          <w:sz w:val="24"/>
          <w:szCs w:val="24"/>
        </w:rPr>
        <w:t>Rastom inflacijskih očekivanja koja se vežu za određeni kratki ili dugi rok, rastu i nominalni kamatnjaci za ista dospijeća</w:t>
      </w:r>
      <w:r>
        <w:rPr>
          <w:sz w:val="24"/>
          <w:szCs w:val="24"/>
        </w:rPr>
        <w:t>.</w:t>
      </w:r>
    </w:p>
    <w:p w:rsidR="0014593A" w:rsidRPr="0093356A" w:rsidRDefault="0093356A" w:rsidP="0093356A">
      <w:pPr>
        <w:jc w:val="both"/>
        <w:rPr>
          <w:b/>
          <w:sz w:val="24"/>
          <w:szCs w:val="24"/>
        </w:rPr>
      </w:pPr>
      <w:r>
        <w:rPr>
          <w:b/>
          <w:sz w:val="24"/>
          <w:szCs w:val="24"/>
        </w:rPr>
        <w:t xml:space="preserve">3.4. </w:t>
      </w:r>
      <w:r w:rsidR="001E684D" w:rsidRPr="0093356A">
        <w:rPr>
          <w:b/>
          <w:sz w:val="24"/>
          <w:szCs w:val="24"/>
        </w:rPr>
        <w:t>Valutni rizik</w:t>
      </w:r>
    </w:p>
    <w:p w:rsidR="001E684D" w:rsidRDefault="001E684D" w:rsidP="001E684D">
      <w:pPr>
        <w:jc w:val="both"/>
        <w:rPr>
          <w:sz w:val="24"/>
          <w:szCs w:val="24"/>
        </w:rPr>
      </w:pPr>
      <w:r>
        <w:rPr>
          <w:sz w:val="24"/>
          <w:szCs w:val="24"/>
        </w:rPr>
        <w:t>Iako se u razvijenim zemljama valutn</w:t>
      </w:r>
      <w:r w:rsidR="009473E8">
        <w:rPr>
          <w:sz w:val="24"/>
          <w:szCs w:val="24"/>
        </w:rPr>
        <w:t>i</w:t>
      </w:r>
      <w:r>
        <w:rPr>
          <w:sz w:val="24"/>
          <w:szCs w:val="24"/>
        </w:rPr>
        <w:t xml:space="preserve"> rizik </w:t>
      </w:r>
      <w:r w:rsidR="00103D6A">
        <w:rPr>
          <w:sz w:val="24"/>
          <w:szCs w:val="24"/>
        </w:rPr>
        <w:t xml:space="preserve">i promjene deviznog tečaja </w:t>
      </w:r>
      <w:r w:rsidR="009473E8">
        <w:rPr>
          <w:sz w:val="24"/>
          <w:szCs w:val="24"/>
        </w:rPr>
        <w:t xml:space="preserve">uobičajeno ne odražava značajno na financije </w:t>
      </w:r>
      <w:r w:rsidR="004B17ED">
        <w:rPr>
          <w:sz w:val="24"/>
          <w:szCs w:val="24"/>
        </w:rPr>
        <w:t xml:space="preserve">prosječnog </w:t>
      </w:r>
      <w:r w:rsidR="009473E8">
        <w:rPr>
          <w:sz w:val="24"/>
          <w:szCs w:val="24"/>
        </w:rPr>
        <w:t>kućanstva</w:t>
      </w:r>
      <w:r w:rsidR="009A7888">
        <w:rPr>
          <w:sz w:val="24"/>
          <w:szCs w:val="24"/>
        </w:rPr>
        <w:t>,</w:t>
      </w:r>
      <w:r w:rsidR="009473E8">
        <w:rPr>
          <w:sz w:val="24"/>
          <w:szCs w:val="24"/>
        </w:rPr>
        <w:t xml:space="preserve"> </w:t>
      </w:r>
      <w:r w:rsidR="00A83A77" w:rsidRPr="00A83A77">
        <w:rPr>
          <w:sz w:val="24"/>
          <w:szCs w:val="24"/>
        </w:rPr>
        <w:t xml:space="preserve">u visoko euroiziranim </w:t>
      </w:r>
      <w:r w:rsidR="007C6475">
        <w:rPr>
          <w:sz w:val="24"/>
          <w:szCs w:val="24"/>
        </w:rPr>
        <w:t xml:space="preserve">zemljama </w:t>
      </w:r>
      <w:r w:rsidR="00103D6A">
        <w:rPr>
          <w:sz w:val="24"/>
          <w:szCs w:val="24"/>
        </w:rPr>
        <w:t xml:space="preserve">i visoko uvozno zavisnim zemljama </w:t>
      </w:r>
      <w:r w:rsidR="007C6475">
        <w:rPr>
          <w:sz w:val="24"/>
          <w:szCs w:val="24"/>
        </w:rPr>
        <w:t>(</w:t>
      </w:r>
      <w:r w:rsidR="00103D6A">
        <w:rPr>
          <w:sz w:val="24"/>
          <w:szCs w:val="24"/>
        </w:rPr>
        <w:t xml:space="preserve">što u oba slučaja vrijedi za </w:t>
      </w:r>
      <w:r w:rsidR="00A83A77" w:rsidRPr="00A83A77">
        <w:rPr>
          <w:sz w:val="24"/>
          <w:szCs w:val="24"/>
        </w:rPr>
        <w:t>Hrvatsk</w:t>
      </w:r>
      <w:r w:rsidR="00103D6A">
        <w:rPr>
          <w:sz w:val="24"/>
          <w:szCs w:val="24"/>
        </w:rPr>
        <w:t>u</w:t>
      </w:r>
      <w:r w:rsidR="007C6475">
        <w:rPr>
          <w:sz w:val="24"/>
          <w:szCs w:val="24"/>
        </w:rPr>
        <w:t>)</w:t>
      </w:r>
      <w:r w:rsidR="00A83A77" w:rsidRPr="00A83A77">
        <w:rPr>
          <w:sz w:val="24"/>
          <w:szCs w:val="24"/>
        </w:rPr>
        <w:t xml:space="preserve"> njegov utjecaj na oso</w:t>
      </w:r>
      <w:r w:rsidR="00B36B3F">
        <w:rPr>
          <w:sz w:val="24"/>
          <w:szCs w:val="24"/>
        </w:rPr>
        <w:t xml:space="preserve">bne financije vrlo je značajan jer se odražava na ekonomsku situaciju svih građana. </w:t>
      </w:r>
      <w:r w:rsidR="00085353">
        <w:rPr>
          <w:sz w:val="24"/>
          <w:szCs w:val="24"/>
        </w:rPr>
        <w:t xml:space="preserve">Zbog tradicionalne sklonosti štednji u devizama (poglavito eurima), </w:t>
      </w:r>
      <w:r w:rsidR="00B36B3F">
        <w:rPr>
          <w:sz w:val="24"/>
          <w:szCs w:val="24"/>
        </w:rPr>
        <w:t>Hrvatska je zemlja s visokim stupnjem euroizacije depozita</w:t>
      </w:r>
      <w:r w:rsidR="004B17ED">
        <w:rPr>
          <w:sz w:val="24"/>
          <w:szCs w:val="24"/>
        </w:rPr>
        <w:t xml:space="preserve">, a devizni depoziti čine </w:t>
      </w:r>
      <w:r w:rsidR="00085353">
        <w:rPr>
          <w:sz w:val="24"/>
          <w:szCs w:val="24"/>
        </w:rPr>
        <w:t>oko 80% svih štednih i oročen</w:t>
      </w:r>
      <w:r w:rsidR="004B17ED">
        <w:rPr>
          <w:sz w:val="24"/>
          <w:szCs w:val="24"/>
        </w:rPr>
        <w:t>i</w:t>
      </w:r>
      <w:r w:rsidR="00085353">
        <w:rPr>
          <w:sz w:val="24"/>
          <w:szCs w:val="24"/>
        </w:rPr>
        <w:t xml:space="preserve">h </w:t>
      </w:r>
      <w:r w:rsidR="00085353">
        <w:rPr>
          <w:sz w:val="24"/>
          <w:szCs w:val="24"/>
        </w:rPr>
        <w:lastRenderedPageBreak/>
        <w:t xml:space="preserve">depozita kod kreditnih institucija </w:t>
      </w:r>
      <w:r w:rsidR="004B17ED">
        <w:rPr>
          <w:sz w:val="24"/>
          <w:szCs w:val="24"/>
        </w:rPr>
        <w:t>(banaka i stambenih štedionica)</w:t>
      </w:r>
      <w:r w:rsidR="00B36B3F">
        <w:rPr>
          <w:sz w:val="24"/>
          <w:szCs w:val="24"/>
        </w:rPr>
        <w:t>. Kako bi se banke zaštitile od valutne neusklađenosti svoje imovine i obveza, one koriste valutnu klauzulu kao instrument valutne indeksacije srednjoročnih i dugoročnih kredita</w:t>
      </w:r>
      <w:r w:rsidR="004A7643">
        <w:rPr>
          <w:sz w:val="24"/>
          <w:szCs w:val="24"/>
        </w:rPr>
        <w:t xml:space="preserve"> </w:t>
      </w:r>
      <w:r w:rsidR="007C6475">
        <w:rPr>
          <w:sz w:val="24"/>
          <w:szCs w:val="24"/>
        </w:rPr>
        <w:t>(slika 27)</w:t>
      </w:r>
      <w:r w:rsidR="00B36B3F">
        <w:rPr>
          <w:sz w:val="24"/>
          <w:szCs w:val="24"/>
        </w:rPr>
        <w:t>.</w:t>
      </w:r>
    </w:p>
    <w:p w:rsidR="00B36B3F" w:rsidRPr="00B36B3F" w:rsidRDefault="00B36B3F" w:rsidP="00C357E4">
      <w:pPr>
        <w:spacing w:after="0"/>
        <w:jc w:val="both"/>
        <w:rPr>
          <w:b/>
          <w:sz w:val="24"/>
          <w:szCs w:val="24"/>
        </w:rPr>
      </w:pPr>
      <w:r w:rsidRPr="00B36B3F">
        <w:rPr>
          <w:b/>
          <w:sz w:val="24"/>
          <w:szCs w:val="24"/>
        </w:rPr>
        <w:t>Slika 27: Valutna struktura plasmana banka i drugih kreditnih (monetarnih) institucija</w:t>
      </w:r>
    </w:p>
    <w:p w:rsidR="00B36B3F" w:rsidRDefault="00B36B3F" w:rsidP="009A7888">
      <w:pPr>
        <w:spacing w:after="0"/>
        <w:jc w:val="both"/>
        <w:rPr>
          <w:sz w:val="24"/>
          <w:szCs w:val="24"/>
        </w:rPr>
      </w:pPr>
      <w:r w:rsidRPr="00B36B3F">
        <w:rPr>
          <w:noProof/>
          <w:sz w:val="24"/>
          <w:szCs w:val="24"/>
          <w:lang w:eastAsia="hr-HR"/>
        </w:rPr>
        <w:drawing>
          <wp:inline distT="0" distB="0" distL="0" distR="0" wp14:anchorId="0E503424" wp14:editId="35ED0CF7">
            <wp:extent cx="5572125" cy="3771900"/>
            <wp:effectExtent l="0" t="0" r="9525" b="0"/>
            <wp:docPr id="33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72125" cy="377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A23EC" w:rsidRPr="00BD72B0" w:rsidRDefault="001A23EC" w:rsidP="001A23EC">
      <w:pPr>
        <w:rPr>
          <w:sz w:val="20"/>
          <w:szCs w:val="20"/>
        </w:rPr>
      </w:pPr>
      <w:r>
        <w:rPr>
          <w:sz w:val="20"/>
          <w:szCs w:val="20"/>
        </w:rPr>
        <w:t xml:space="preserve">Izvor: preuzeto iz: HNB, SPF,  dostupno na: </w:t>
      </w:r>
      <w:r w:rsidRPr="00742284">
        <w:rPr>
          <w:sz w:val="20"/>
          <w:szCs w:val="20"/>
        </w:rPr>
        <w:t>http://www.hnb.hr/publikac/hpublikac.htm</w:t>
      </w:r>
    </w:p>
    <w:p w:rsidR="00B315E9" w:rsidRDefault="00A83A77" w:rsidP="001E684D">
      <w:pPr>
        <w:jc w:val="both"/>
        <w:rPr>
          <w:sz w:val="24"/>
          <w:szCs w:val="24"/>
        </w:rPr>
      </w:pPr>
      <w:r w:rsidRPr="00B36B3F">
        <w:rPr>
          <w:color w:val="C00000"/>
          <w:sz w:val="24"/>
          <w:szCs w:val="24"/>
        </w:rPr>
        <w:t xml:space="preserve">Valutni rizik </w:t>
      </w:r>
      <w:r w:rsidRPr="00A83A77">
        <w:rPr>
          <w:sz w:val="24"/>
          <w:szCs w:val="24"/>
        </w:rPr>
        <w:t xml:space="preserve">predstavlja </w:t>
      </w:r>
      <w:r w:rsidR="00001AF6">
        <w:rPr>
          <w:sz w:val="24"/>
          <w:szCs w:val="24"/>
        </w:rPr>
        <w:t xml:space="preserve">rizik </w:t>
      </w:r>
      <w:r w:rsidR="00B86258">
        <w:rPr>
          <w:sz w:val="24"/>
          <w:szCs w:val="24"/>
        </w:rPr>
        <w:t xml:space="preserve">gubitka koji proizlazi iz </w:t>
      </w:r>
      <w:r w:rsidR="00001AF6">
        <w:rPr>
          <w:sz w:val="24"/>
          <w:szCs w:val="24"/>
        </w:rPr>
        <w:t>mogućih promjena</w:t>
      </w:r>
      <w:r w:rsidR="00B86258">
        <w:rPr>
          <w:sz w:val="24"/>
          <w:szCs w:val="24"/>
        </w:rPr>
        <w:t xml:space="preserve"> tečaja valute</w:t>
      </w:r>
      <w:r w:rsidRPr="00A83A77">
        <w:rPr>
          <w:sz w:val="24"/>
          <w:szCs w:val="24"/>
        </w:rPr>
        <w:t xml:space="preserve">. </w:t>
      </w:r>
      <w:r w:rsidR="007C6475">
        <w:rPr>
          <w:sz w:val="24"/>
          <w:szCs w:val="24"/>
        </w:rPr>
        <w:t xml:space="preserve">Može se promatrati kao </w:t>
      </w:r>
      <w:r w:rsidR="007C6475" w:rsidRPr="004E6696">
        <w:rPr>
          <w:color w:val="C00000"/>
          <w:sz w:val="24"/>
          <w:szCs w:val="24"/>
        </w:rPr>
        <w:t xml:space="preserve">tržišni </w:t>
      </w:r>
      <w:r w:rsidR="00B86258">
        <w:rPr>
          <w:color w:val="C00000"/>
          <w:sz w:val="24"/>
          <w:szCs w:val="24"/>
        </w:rPr>
        <w:t>valutni</w:t>
      </w:r>
      <w:r w:rsidR="007C6475" w:rsidRPr="004E6696">
        <w:rPr>
          <w:color w:val="C00000"/>
          <w:sz w:val="24"/>
          <w:szCs w:val="24"/>
        </w:rPr>
        <w:t xml:space="preserve"> rizik </w:t>
      </w:r>
      <w:r w:rsidR="007C6475">
        <w:rPr>
          <w:sz w:val="24"/>
          <w:szCs w:val="24"/>
        </w:rPr>
        <w:t xml:space="preserve">(vezan uz učinke </w:t>
      </w:r>
      <w:r w:rsidR="00B86258">
        <w:rPr>
          <w:sz w:val="24"/>
          <w:szCs w:val="24"/>
        </w:rPr>
        <w:t xml:space="preserve">promjene deviznog tečaja na </w:t>
      </w:r>
      <w:r w:rsidR="004E6696">
        <w:rPr>
          <w:sz w:val="24"/>
          <w:szCs w:val="24"/>
        </w:rPr>
        <w:t>vrijednost pojedinačnih pozicija u bilanci</w:t>
      </w:r>
      <w:r w:rsidR="00837942">
        <w:rPr>
          <w:sz w:val="24"/>
          <w:szCs w:val="24"/>
        </w:rPr>
        <w:t>, npr. kunsku protuvrijednost imovine u formi udjela u investicijskim fondovima denominiranih u stranoj valuti</w:t>
      </w:r>
      <w:r w:rsidR="004E6696">
        <w:rPr>
          <w:sz w:val="24"/>
          <w:szCs w:val="24"/>
        </w:rPr>
        <w:t xml:space="preserve">) </w:t>
      </w:r>
      <w:r w:rsidR="007C6475">
        <w:rPr>
          <w:sz w:val="24"/>
          <w:szCs w:val="24"/>
        </w:rPr>
        <w:t xml:space="preserve">i kao </w:t>
      </w:r>
      <w:r w:rsidR="007C6475" w:rsidRPr="004E6696">
        <w:rPr>
          <w:color w:val="C00000"/>
          <w:sz w:val="24"/>
          <w:szCs w:val="24"/>
        </w:rPr>
        <w:t xml:space="preserve">rizik valutne neusklađenosti imovine i obveza </w:t>
      </w:r>
      <w:r w:rsidR="007C6475">
        <w:rPr>
          <w:sz w:val="24"/>
          <w:szCs w:val="24"/>
        </w:rPr>
        <w:t xml:space="preserve">(odnosno primitaka i izdataka) </w:t>
      </w:r>
      <w:r w:rsidR="007C6475" w:rsidRPr="005F2126">
        <w:rPr>
          <w:color w:val="C00000"/>
          <w:sz w:val="24"/>
          <w:szCs w:val="24"/>
        </w:rPr>
        <w:t>ekonomskog subjekta</w:t>
      </w:r>
      <w:r w:rsidR="005F2126" w:rsidRPr="005F2126">
        <w:rPr>
          <w:sz w:val="24"/>
          <w:szCs w:val="24"/>
        </w:rPr>
        <w:t xml:space="preserve">. </w:t>
      </w:r>
      <w:r w:rsidR="00B315E9">
        <w:rPr>
          <w:sz w:val="24"/>
          <w:szCs w:val="24"/>
        </w:rPr>
        <w:t>I</w:t>
      </w:r>
      <w:r w:rsidR="0018311C">
        <w:rPr>
          <w:sz w:val="24"/>
          <w:szCs w:val="24"/>
        </w:rPr>
        <w:t xml:space="preserve">zmeđu oba načina promatranja </w:t>
      </w:r>
      <w:r w:rsidR="005F2126">
        <w:rPr>
          <w:sz w:val="24"/>
          <w:szCs w:val="24"/>
        </w:rPr>
        <w:t xml:space="preserve">valutnog rizika </w:t>
      </w:r>
      <w:r w:rsidR="0018311C">
        <w:rPr>
          <w:sz w:val="24"/>
          <w:szCs w:val="24"/>
        </w:rPr>
        <w:t>postoji bilančna povezanost koja u cjelini predstavlja rizik gubitka zbog mogućih promjena tečaja</w:t>
      </w:r>
      <w:r w:rsidR="007C6475">
        <w:rPr>
          <w:sz w:val="24"/>
          <w:szCs w:val="24"/>
        </w:rPr>
        <w:t>.</w:t>
      </w:r>
      <w:r w:rsidR="00B315E9">
        <w:rPr>
          <w:sz w:val="24"/>
          <w:szCs w:val="24"/>
        </w:rPr>
        <w:t xml:space="preserve"> Stoga se valutni rizik često naziva i tečajni rizik.</w:t>
      </w:r>
    </w:p>
    <w:p w:rsidR="001E684D" w:rsidRDefault="00A83A77" w:rsidP="001E684D">
      <w:pPr>
        <w:jc w:val="both"/>
        <w:rPr>
          <w:sz w:val="24"/>
          <w:szCs w:val="24"/>
        </w:rPr>
      </w:pPr>
      <w:r w:rsidRPr="00A83A77">
        <w:rPr>
          <w:sz w:val="24"/>
          <w:szCs w:val="24"/>
        </w:rPr>
        <w:t>Ukoliko je ugovorena svota životnog osiguranja izražena u stranoj valuti, na primjer u eurima, za korisnika novčan</w:t>
      </w:r>
      <w:r w:rsidR="001E684D">
        <w:rPr>
          <w:sz w:val="24"/>
          <w:szCs w:val="24"/>
        </w:rPr>
        <w:t>ih primitaka</w:t>
      </w:r>
      <w:r w:rsidRPr="00A83A77">
        <w:rPr>
          <w:sz w:val="24"/>
          <w:szCs w:val="24"/>
        </w:rPr>
        <w:t xml:space="preserve"> od životnog osiguranja </w:t>
      </w:r>
      <w:r w:rsidR="001E684D">
        <w:rPr>
          <w:sz w:val="24"/>
          <w:szCs w:val="24"/>
        </w:rPr>
        <w:t xml:space="preserve">odnosno uplatitelja premija osiguranja vrlo je </w:t>
      </w:r>
      <w:r w:rsidR="00AE6EEA">
        <w:rPr>
          <w:sz w:val="24"/>
          <w:szCs w:val="24"/>
        </w:rPr>
        <w:t>važno</w:t>
      </w:r>
      <w:r w:rsidRPr="00A83A77">
        <w:rPr>
          <w:sz w:val="24"/>
          <w:szCs w:val="24"/>
        </w:rPr>
        <w:t xml:space="preserve"> </w:t>
      </w:r>
      <w:r w:rsidR="005F2126">
        <w:rPr>
          <w:sz w:val="24"/>
          <w:szCs w:val="24"/>
        </w:rPr>
        <w:t xml:space="preserve">dugoročno </w:t>
      </w:r>
      <w:r w:rsidRPr="00A83A77">
        <w:rPr>
          <w:sz w:val="24"/>
          <w:szCs w:val="24"/>
        </w:rPr>
        <w:t>kretanje deviznog tečaja domaće valute</w:t>
      </w:r>
      <w:r w:rsidR="001E684D">
        <w:rPr>
          <w:sz w:val="24"/>
          <w:szCs w:val="24"/>
        </w:rPr>
        <w:t xml:space="preserve"> u odnosu na euro -</w:t>
      </w:r>
      <w:r w:rsidRPr="00A83A77">
        <w:rPr>
          <w:sz w:val="24"/>
          <w:szCs w:val="24"/>
        </w:rPr>
        <w:t xml:space="preserve"> budući da se sve uplate godišnjih premija osiguranja, kao i isplata </w:t>
      </w:r>
      <w:r w:rsidR="001E684D">
        <w:rPr>
          <w:sz w:val="24"/>
          <w:szCs w:val="24"/>
        </w:rPr>
        <w:t xml:space="preserve">osigurane </w:t>
      </w:r>
      <w:r w:rsidRPr="00A83A77">
        <w:rPr>
          <w:sz w:val="24"/>
          <w:szCs w:val="24"/>
        </w:rPr>
        <w:t>svote, izvršavaju u domaćoj valuti uzimajući u obzir srednji devizni tečaj na datum dospijeća.</w:t>
      </w:r>
      <w:r w:rsidR="001E684D">
        <w:rPr>
          <w:sz w:val="24"/>
          <w:szCs w:val="24"/>
        </w:rPr>
        <w:t xml:space="preserve"> </w:t>
      </w:r>
      <w:r w:rsidRPr="00A83A77">
        <w:rPr>
          <w:sz w:val="24"/>
          <w:szCs w:val="24"/>
        </w:rPr>
        <w:t>Uz promjenjiv nominalni devizni tečaj</w:t>
      </w:r>
      <w:r w:rsidR="007C6475">
        <w:rPr>
          <w:sz w:val="24"/>
          <w:szCs w:val="24"/>
        </w:rPr>
        <w:t>,</w:t>
      </w:r>
      <w:r w:rsidRPr="00A83A77">
        <w:rPr>
          <w:sz w:val="24"/>
          <w:szCs w:val="24"/>
        </w:rPr>
        <w:t xml:space="preserve"> </w:t>
      </w:r>
      <w:r w:rsidR="007C6475">
        <w:rPr>
          <w:sz w:val="24"/>
          <w:szCs w:val="24"/>
        </w:rPr>
        <w:t>kunska protu</w:t>
      </w:r>
      <w:r w:rsidRPr="00A83A77">
        <w:rPr>
          <w:sz w:val="24"/>
          <w:szCs w:val="24"/>
        </w:rPr>
        <w:t xml:space="preserve">vrijednost uplaćenih godišnjih premija osiguranja kroz dvadeset i više godine ne mora </w:t>
      </w:r>
      <w:r w:rsidR="007C6475">
        <w:rPr>
          <w:sz w:val="24"/>
          <w:szCs w:val="24"/>
        </w:rPr>
        <w:t xml:space="preserve">rezultirati očekivanim </w:t>
      </w:r>
      <w:r w:rsidRPr="00A83A77">
        <w:rPr>
          <w:sz w:val="24"/>
          <w:szCs w:val="24"/>
        </w:rPr>
        <w:t>iznos</w:t>
      </w:r>
      <w:r w:rsidR="007C6475">
        <w:rPr>
          <w:sz w:val="24"/>
          <w:szCs w:val="24"/>
        </w:rPr>
        <w:t xml:space="preserve">om kunske protuvrijednosti osigurane </w:t>
      </w:r>
      <w:r w:rsidRPr="00A83A77">
        <w:rPr>
          <w:sz w:val="24"/>
          <w:szCs w:val="24"/>
        </w:rPr>
        <w:t>svote koja se isplaćuje nastupom osiguranog slučaja (može biti</w:t>
      </w:r>
      <w:r w:rsidR="00FB3BD4">
        <w:rPr>
          <w:sz w:val="24"/>
          <w:szCs w:val="24"/>
        </w:rPr>
        <w:t xml:space="preserve"> manja</w:t>
      </w:r>
      <w:r w:rsidRPr="00A83A77">
        <w:rPr>
          <w:sz w:val="24"/>
          <w:szCs w:val="24"/>
        </w:rPr>
        <w:t xml:space="preserve">, a može biti i </w:t>
      </w:r>
      <w:r w:rsidR="00FB3BD4">
        <w:rPr>
          <w:sz w:val="24"/>
          <w:szCs w:val="24"/>
        </w:rPr>
        <w:t>veća</w:t>
      </w:r>
      <w:r w:rsidRPr="00A83A77">
        <w:rPr>
          <w:sz w:val="24"/>
          <w:szCs w:val="24"/>
        </w:rPr>
        <w:t xml:space="preserve">). </w:t>
      </w:r>
    </w:p>
    <w:p w:rsidR="001E684D" w:rsidRDefault="00A83A77" w:rsidP="001E684D">
      <w:pPr>
        <w:jc w:val="both"/>
        <w:rPr>
          <w:sz w:val="24"/>
          <w:szCs w:val="24"/>
        </w:rPr>
      </w:pPr>
      <w:r w:rsidRPr="00A83A77">
        <w:rPr>
          <w:sz w:val="24"/>
          <w:szCs w:val="24"/>
        </w:rPr>
        <w:lastRenderedPageBreak/>
        <w:t xml:space="preserve">Slična situacija postoji u slučaju štednje u eurima gdje nominalna aprecijacija domaće valute znači da svaka konverzija u domaću valutu dovodi do </w:t>
      </w:r>
      <w:r w:rsidR="001E684D">
        <w:rPr>
          <w:sz w:val="24"/>
          <w:szCs w:val="24"/>
        </w:rPr>
        <w:t xml:space="preserve">manjeg </w:t>
      </w:r>
      <w:r w:rsidR="007C6475">
        <w:rPr>
          <w:sz w:val="24"/>
          <w:szCs w:val="24"/>
        </w:rPr>
        <w:t>iznosa kuna koji će biti isplać</w:t>
      </w:r>
      <w:r w:rsidR="00C357E4">
        <w:rPr>
          <w:sz w:val="24"/>
          <w:szCs w:val="24"/>
        </w:rPr>
        <w:t>e</w:t>
      </w:r>
      <w:r w:rsidR="001E684D">
        <w:rPr>
          <w:sz w:val="24"/>
          <w:szCs w:val="24"/>
        </w:rPr>
        <w:t>n</w:t>
      </w:r>
      <w:r w:rsidR="007C6475">
        <w:rPr>
          <w:sz w:val="24"/>
          <w:szCs w:val="24"/>
        </w:rPr>
        <w:t>e, dok deprecijacija povećava iznos kuna koji se može dobit za jednu jedinicu strane valute (npr. jedan euro)</w:t>
      </w:r>
      <w:r w:rsidR="001E684D">
        <w:rPr>
          <w:sz w:val="24"/>
          <w:szCs w:val="24"/>
        </w:rPr>
        <w:t xml:space="preserve">. </w:t>
      </w:r>
      <w:r w:rsidRPr="00A83A77">
        <w:rPr>
          <w:sz w:val="24"/>
          <w:szCs w:val="24"/>
        </w:rPr>
        <w:t>Valutni rizik značajno dolazi do izražaja pri otplati kredita koji su odobreni uz valutn</w:t>
      </w:r>
      <w:r w:rsidR="00C357E4">
        <w:rPr>
          <w:sz w:val="24"/>
          <w:szCs w:val="24"/>
        </w:rPr>
        <w:t>u klauzulu</w:t>
      </w:r>
      <w:r w:rsidRPr="00A83A77">
        <w:rPr>
          <w:sz w:val="24"/>
          <w:szCs w:val="24"/>
        </w:rPr>
        <w:t xml:space="preserve">, gdje deprecijacija domaće valute povećava teret otplate kredita. </w:t>
      </w:r>
      <w:r w:rsidR="001E684D">
        <w:rPr>
          <w:sz w:val="24"/>
          <w:szCs w:val="24"/>
        </w:rPr>
        <w:t>S tim u vezi za štediše i dužnike moguće su različite pozitivne</w:t>
      </w:r>
      <w:r w:rsidR="007C6475">
        <w:rPr>
          <w:sz w:val="24"/>
          <w:szCs w:val="24"/>
        </w:rPr>
        <w:t>.</w:t>
      </w:r>
      <w:r w:rsidR="001E684D">
        <w:rPr>
          <w:sz w:val="24"/>
          <w:szCs w:val="24"/>
        </w:rPr>
        <w:t xml:space="preserve"> ali i negativne tečajne razlike koje bilježe njihovi neto-prihodi.</w:t>
      </w:r>
    </w:p>
    <w:p w:rsidR="00990954" w:rsidRDefault="001E684D" w:rsidP="001E684D">
      <w:pPr>
        <w:jc w:val="both"/>
        <w:rPr>
          <w:sz w:val="24"/>
          <w:szCs w:val="24"/>
        </w:rPr>
      </w:pPr>
      <w:r>
        <w:rPr>
          <w:sz w:val="24"/>
          <w:szCs w:val="24"/>
        </w:rPr>
        <w:t xml:space="preserve">Kako </w:t>
      </w:r>
      <w:r w:rsidR="00A83A77" w:rsidRPr="00A83A77">
        <w:rPr>
          <w:sz w:val="24"/>
          <w:szCs w:val="24"/>
        </w:rPr>
        <w:t>se plaće i drugi novčani primici sektora kućanstvo dominantno isplaćuju u domaćoj valuti, dok je značajan dio izdataka zbog valutne klauzule determiniran kretanjem deviznog tečaja kuna/euro (otplata kredita, plaćanje premija životnog osiguranja, uplata stambene štednje, plaćanje najamnina)</w:t>
      </w:r>
      <w:r w:rsidR="00C357E4">
        <w:rPr>
          <w:sz w:val="24"/>
          <w:szCs w:val="24"/>
        </w:rPr>
        <w:t>,</w:t>
      </w:r>
      <w:r w:rsidR="00A83A77" w:rsidRPr="00A83A77">
        <w:rPr>
          <w:sz w:val="24"/>
          <w:szCs w:val="24"/>
        </w:rPr>
        <w:t xml:space="preserve"> valutni rizik jedan je od najizraženijih rizika u osobnim financijama hrvatskih građana. Kako bi njegov nepovoljni utjecaj bio što manji potrebno je, kada god to prilike dopuštaju, </w:t>
      </w:r>
      <w:r w:rsidR="00A83A77" w:rsidRPr="00990954">
        <w:rPr>
          <w:color w:val="C00000"/>
          <w:sz w:val="24"/>
          <w:szCs w:val="24"/>
        </w:rPr>
        <w:t xml:space="preserve">uskladiti valutnu strukturu imovine i obveza, </w:t>
      </w:r>
      <w:r w:rsidR="0018311C">
        <w:rPr>
          <w:color w:val="C00000"/>
          <w:sz w:val="24"/>
          <w:szCs w:val="24"/>
        </w:rPr>
        <w:t xml:space="preserve">odnosno </w:t>
      </w:r>
      <w:r w:rsidR="00A83A77" w:rsidRPr="00990954">
        <w:rPr>
          <w:color w:val="C00000"/>
          <w:sz w:val="24"/>
          <w:szCs w:val="24"/>
        </w:rPr>
        <w:t>valutnu strukturu novčanih primitaka i izdataka te izbjeg</w:t>
      </w:r>
      <w:r w:rsidRPr="00990954">
        <w:rPr>
          <w:color w:val="C00000"/>
          <w:sz w:val="24"/>
          <w:szCs w:val="24"/>
        </w:rPr>
        <w:t xml:space="preserve">avati </w:t>
      </w:r>
      <w:r w:rsidR="00A83A77" w:rsidRPr="00990954">
        <w:rPr>
          <w:color w:val="C00000"/>
          <w:sz w:val="24"/>
          <w:szCs w:val="24"/>
        </w:rPr>
        <w:t>nepotrebne tečajne gubitke zbog konverzije valuta</w:t>
      </w:r>
      <w:r w:rsidR="00A83A77" w:rsidRPr="00A83A77">
        <w:rPr>
          <w:sz w:val="24"/>
          <w:szCs w:val="24"/>
        </w:rPr>
        <w:t xml:space="preserve">. </w:t>
      </w:r>
      <w:r w:rsidR="00C357E4">
        <w:rPr>
          <w:sz w:val="24"/>
          <w:szCs w:val="24"/>
        </w:rPr>
        <w:t>Navedeno vrijedi unatoč činjenici da je nominalni tečaj kune u odnosu na euro u dosadašnjoj povijesti bio vrlo stabilan.</w:t>
      </w:r>
      <w:r w:rsidR="0018311C">
        <w:rPr>
          <w:sz w:val="24"/>
          <w:szCs w:val="24"/>
        </w:rPr>
        <w:t xml:space="preserve"> Dodatno u svrhu zaštite od valutnog rizika (kao i kamatnog i tržišnog rizika) mogu se koristiti i </w:t>
      </w:r>
      <w:r w:rsidR="0018311C" w:rsidRPr="00A5458B">
        <w:rPr>
          <w:color w:val="C00000"/>
          <w:sz w:val="24"/>
          <w:szCs w:val="24"/>
        </w:rPr>
        <w:t>i</w:t>
      </w:r>
      <w:r w:rsidR="0018311C" w:rsidRPr="0018311C">
        <w:rPr>
          <w:color w:val="C00000"/>
          <w:sz w:val="24"/>
          <w:szCs w:val="24"/>
        </w:rPr>
        <w:t>zvedenice</w:t>
      </w:r>
      <w:r w:rsidR="0018311C">
        <w:rPr>
          <w:sz w:val="24"/>
          <w:szCs w:val="24"/>
        </w:rPr>
        <w:t xml:space="preserve"> </w:t>
      </w:r>
      <w:r w:rsidR="00A5458B">
        <w:rPr>
          <w:sz w:val="24"/>
          <w:szCs w:val="24"/>
        </w:rPr>
        <w:t xml:space="preserve">(derivativni instrumenti) </w:t>
      </w:r>
      <w:r w:rsidR="0018311C">
        <w:rPr>
          <w:sz w:val="24"/>
          <w:szCs w:val="24"/>
        </w:rPr>
        <w:t xml:space="preserve">pa se o njihovoj dostupnosti te cijeni </w:t>
      </w:r>
      <w:r w:rsidR="008A5CBB">
        <w:rPr>
          <w:sz w:val="24"/>
          <w:szCs w:val="24"/>
        </w:rPr>
        <w:t xml:space="preserve">(troškovima takvih transakcija) </w:t>
      </w:r>
      <w:r w:rsidR="0018311C">
        <w:rPr>
          <w:sz w:val="24"/>
          <w:szCs w:val="24"/>
        </w:rPr>
        <w:t>treba informirati.</w:t>
      </w:r>
    </w:p>
    <w:p w:rsidR="00C357E4" w:rsidRDefault="00C357E4" w:rsidP="001E684D">
      <w:pPr>
        <w:jc w:val="both"/>
        <w:rPr>
          <w:sz w:val="24"/>
          <w:szCs w:val="24"/>
        </w:rPr>
      </w:pPr>
      <w:r>
        <w:rPr>
          <w:sz w:val="24"/>
          <w:szCs w:val="24"/>
        </w:rPr>
        <w:t>D</w:t>
      </w:r>
      <w:r w:rsidR="00085353">
        <w:rPr>
          <w:sz w:val="24"/>
          <w:szCs w:val="24"/>
        </w:rPr>
        <w:t xml:space="preserve">ok je dio građana neželjeno i neizbježno izložen valutnom riziku zbog kredita koji se </w:t>
      </w:r>
      <w:r w:rsidR="005F2126">
        <w:rPr>
          <w:sz w:val="24"/>
          <w:szCs w:val="24"/>
        </w:rPr>
        <w:t xml:space="preserve">u Hrvatskoj u predkriznom razdoblju uglavnom </w:t>
      </w:r>
      <w:r w:rsidR="00085353">
        <w:rPr>
          <w:sz w:val="24"/>
          <w:szCs w:val="24"/>
        </w:rPr>
        <w:t xml:space="preserve">nisu mogli realizirati bez valutne klauzule, na strani štednje dio građana preferira prihvaćanje izlaganju valutnog rizika kroz ulaganja u strane valute (devize – kao potraživanja denominirana u stranim valutama) s namjerom da ostvare zaradu od pozitivnih tečajnih razlika u slučaju </w:t>
      </w:r>
      <w:r w:rsidR="00990954">
        <w:rPr>
          <w:sz w:val="24"/>
          <w:szCs w:val="24"/>
        </w:rPr>
        <w:t xml:space="preserve">slabljenja kune (što s obzirom na politiku HNB-a ne bi trebao biti izgledan scenarij, ali nikad se ne zna) ili </w:t>
      </w:r>
      <w:r w:rsidR="00085353">
        <w:rPr>
          <w:sz w:val="24"/>
          <w:szCs w:val="24"/>
        </w:rPr>
        <w:t>kada pojedine svjetske valute bilježe rast vrijednosti na svjetskom deviznom tržištu, npr. u okolnostima izvjesnog jačanja američkog dolara ili britanske funte, odnosno slabljenja eura vezano uz različite krizne događaje u eurozoni u razdoblju 2010. do 2015.</w:t>
      </w:r>
      <w:r w:rsidR="00990954">
        <w:rPr>
          <w:sz w:val="24"/>
          <w:szCs w:val="24"/>
        </w:rPr>
        <w:t xml:space="preserve"> </w:t>
      </w:r>
    </w:p>
    <w:p w:rsidR="00A83A77" w:rsidRDefault="00990954" w:rsidP="001E684D">
      <w:pPr>
        <w:jc w:val="both"/>
        <w:rPr>
          <w:sz w:val="24"/>
          <w:szCs w:val="24"/>
        </w:rPr>
      </w:pPr>
      <w:r>
        <w:rPr>
          <w:sz w:val="24"/>
          <w:szCs w:val="24"/>
        </w:rPr>
        <w:t xml:space="preserve">Pri tome podaci govore da su valutne preferencije </w:t>
      </w:r>
      <w:r w:rsidR="005F2126">
        <w:rPr>
          <w:sz w:val="24"/>
          <w:szCs w:val="24"/>
        </w:rPr>
        <w:t xml:space="preserve">građana </w:t>
      </w:r>
      <w:r>
        <w:rPr>
          <w:sz w:val="24"/>
          <w:szCs w:val="24"/>
        </w:rPr>
        <w:t xml:space="preserve">prema stranim valutama dominantno usmjerene na euro, dok je tečaj kune upravo najstabilniji u odnosu na euro, jer ga takvim čini monetarna politika HNB-a, koristeći nominalni tečaj kuna-euro kao sidro u očuvanju stabilnosti cijena u RH (zbog uvozne zavisnosti ekonomije) ali i sidro očuvanja financijske stabilnosti (zbog značajnih iznosa kredita indeksiranih u euru te visokog inozemnog duga koji je uglavnom kumuliran zaduživanjem u eurozoni). </w:t>
      </w:r>
      <w:r w:rsidR="00C357E4">
        <w:rPr>
          <w:sz w:val="24"/>
          <w:szCs w:val="24"/>
        </w:rPr>
        <w:t xml:space="preserve">S druge strane značajne oscilacije tečaja </w:t>
      </w:r>
      <w:r w:rsidR="00337158">
        <w:rPr>
          <w:sz w:val="24"/>
          <w:szCs w:val="24"/>
        </w:rPr>
        <w:t xml:space="preserve">kune </w:t>
      </w:r>
      <w:r w:rsidR="00C357E4">
        <w:rPr>
          <w:sz w:val="24"/>
          <w:szCs w:val="24"/>
        </w:rPr>
        <w:t xml:space="preserve">bilježe se u odnosu na druge strane valute čemu je tipično uzrok jačanje ili slabljenje eura prema drugim valutama </w:t>
      </w:r>
      <w:r w:rsidR="005E39F1">
        <w:rPr>
          <w:sz w:val="24"/>
          <w:szCs w:val="24"/>
        </w:rPr>
        <w:t xml:space="preserve">(USD, GBP, CHF itd.) na svjetskom </w:t>
      </w:r>
      <w:r w:rsidR="00337158">
        <w:rPr>
          <w:sz w:val="24"/>
          <w:szCs w:val="24"/>
        </w:rPr>
        <w:t>tržištu</w:t>
      </w:r>
      <w:r w:rsidR="00E04220">
        <w:rPr>
          <w:sz w:val="24"/>
          <w:szCs w:val="24"/>
        </w:rPr>
        <w:t xml:space="preserve">. </w:t>
      </w:r>
      <w:r w:rsidR="00C357E4">
        <w:rPr>
          <w:sz w:val="24"/>
          <w:szCs w:val="24"/>
        </w:rPr>
        <w:t>Perma podacima za prvo tromjesečje 2015. u</w:t>
      </w:r>
      <w:r w:rsidR="00085353">
        <w:rPr>
          <w:sz w:val="24"/>
          <w:szCs w:val="24"/>
        </w:rPr>
        <w:t xml:space="preserve"> strukturi </w:t>
      </w:r>
      <w:r>
        <w:rPr>
          <w:sz w:val="24"/>
          <w:szCs w:val="24"/>
        </w:rPr>
        <w:t xml:space="preserve">depozita tzv. ostalih domaćih sektora kod banaka </w:t>
      </w:r>
      <w:r w:rsidR="005E39F1">
        <w:rPr>
          <w:sz w:val="24"/>
          <w:szCs w:val="24"/>
        </w:rPr>
        <w:t xml:space="preserve">u RH </w:t>
      </w:r>
      <w:r>
        <w:rPr>
          <w:sz w:val="24"/>
          <w:szCs w:val="24"/>
        </w:rPr>
        <w:t>(uključujući stanovništvo, poduzeća i lokalnu državu) 87% depozita denominirano je u euru, 8,4% u američkom dolaru, 2% u švicarskom franku te 0,7% u australskom dolaru, dok se na britansku funtu odnosi svega 0,3% deviznih depozita.</w:t>
      </w:r>
    </w:p>
    <w:p w:rsidR="00EC43CA" w:rsidRDefault="00EC43CA" w:rsidP="00EC43CA">
      <w:pPr>
        <w:jc w:val="both"/>
        <w:rPr>
          <w:sz w:val="24"/>
          <w:szCs w:val="24"/>
        </w:rPr>
      </w:pPr>
      <w:r>
        <w:rPr>
          <w:sz w:val="24"/>
          <w:szCs w:val="24"/>
        </w:rPr>
        <w:lastRenderedPageBreak/>
        <w:t xml:space="preserve">Posljednjih godina problem valutnog rizika posebno je došao do izražaja u slučaju dužnika s kreditima odobrenim uz valutnu klauzulu u švicarskom franku. Jačanje švicarskog franka na svjetskom tržištu (posebno u odnosu na euro) značajno je povećalo mjesečne anuitete otplate </w:t>
      </w:r>
      <w:r w:rsidR="005F2126">
        <w:rPr>
          <w:sz w:val="24"/>
          <w:szCs w:val="24"/>
        </w:rPr>
        <w:t xml:space="preserve">takvih </w:t>
      </w:r>
      <w:r>
        <w:rPr>
          <w:sz w:val="24"/>
          <w:szCs w:val="24"/>
        </w:rPr>
        <w:t xml:space="preserve">kredita i brojne dužnike dovelo u stanje </w:t>
      </w:r>
      <w:r w:rsidR="00FB3BD4">
        <w:rPr>
          <w:sz w:val="24"/>
          <w:szCs w:val="24"/>
        </w:rPr>
        <w:t xml:space="preserve">da </w:t>
      </w:r>
      <w:r>
        <w:rPr>
          <w:sz w:val="24"/>
          <w:szCs w:val="24"/>
        </w:rPr>
        <w:t xml:space="preserve">je njihova kreditna sposobnog tijekom godina otplate </w:t>
      </w:r>
      <w:r w:rsidR="00FB3BD4">
        <w:rPr>
          <w:sz w:val="24"/>
          <w:szCs w:val="24"/>
        </w:rPr>
        <w:t xml:space="preserve">kredita </w:t>
      </w:r>
      <w:r>
        <w:rPr>
          <w:sz w:val="24"/>
          <w:szCs w:val="24"/>
        </w:rPr>
        <w:t xml:space="preserve">znatno niža nego u trenutku kada su se zaduživali. </w:t>
      </w:r>
    </w:p>
    <w:p w:rsidR="00555A45" w:rsidRDefault="00555A45" w:rsidP="00C357E4">
      <w:pPr>
        <w:spacing w:after="0"/>
        <w:jc w:val="both"/>
        <w:rPr>
          <w:b/>
          <w:sz w:val="24"/>
          <w:szCs w:val="24"/>
        </w:rPr>
      </w:pPr>
      <w:r w:rsidRPr="00555A45">
        <w:rPr>
          <w:b/>
          <w:sz w:val="24"/>
          <w:szCs w:val="24"/>
        </w:rPr>
        <w:t>Slika 28: Nominalni tečaj kune u odnosu prema euru, američkom dolaru i švicarskom franku</w:t>
      </w:r>
    </w:p>
    <w:p w:rsidR="00555A45" w:rsidRPr="00555A45" w:rsidRDefault="00555A45" w:rsidP="00C357E4">
      <w:pPr>
        <w:spacing w:after="0"/>
        <w:jc w:val="both"/>
        <w:rPr>
          <w:b/>
          <w:sz w:val="24"/>
          <w:szCs w:val="24"/>
        </w:rPr>
      </w:pPr>
      <w:r w:rsidRPr="00555A45">
        <w:rPr>
          <w:b/>
          <w:noProof/>
          <w:sz w:val="24"/>
          <w:szCs w:val="24"/>
          <w:lang w:eastAsia="hr-HR"/>
        </w:rPr>
        <w:drawing>
          <wp:inline distT="0" distB="0" distL="0" distR="0" wp14:anchorId="62173FF0" wp14:editId="30FCBCB8">
            <wp:extent cx="5572125" cy="3771900"/>
            <wp:effectExtent l="0" t="0" r="9525" b="0"/>
            <wp:docPr id="48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72125" cy="377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A23EC" w:rsidRPr="00BD72B0" w:rsidRDefault="001A23EC" w:rsidP="001A23EC">
      <w:pPr>
        <w:rPr>
          <w:sz w:val="20"/>
          <w:szCs w:val="20"/>
        </w:rPr>
      </w:pPr>
      <w:r>
        <w:rPr>
          <w:sz w:val="20"/>
          <w:szCs w:val="20"/>
        </w:rPr>
        <w:t xml:space="preserve">Izvor: preuzeto iz: HNB, SPF,  dostupno na: </w:t>
      </w:r>
      <w:r w:rsidRPr="00742284">
        <w:rPr>
          <w:sz w:val="20"/>
          <w:szCs w:val="20"/>
        </w:rPr>
        <w:t>http://www.hnb.hr/publikac/hpublikac.htm</w:t>
      </w:r>
    </w:p>
    <w:p w:rsidR="00DC2A70" w:rsidRPr="004A7643" w:rsidRDefault="00DC2A70" w:rsidP="00DC2A70">
      <w:pPr>
        <w:jc w:val="both"/>
        <w:rPr>
          <w:b/>
          <w:sz w:val="24"/>
          <w:szCs w:val="24"/>
        </w:rPr>
      </w:pPr>
      <w:r w:rsidRPr="004A7643">
        <w:rPr>
          <w:b/>
          <w:sz w:val="24"/>
          <w:szCs w:val="24"/>
        </w:rPr>
        <w:t>Slika 29: T</w:t>
      </w:r>
      <w:r>
        <w:rPr>
          <w:b/>
          <w:sz w:val="24"/>
          <w:szCs w:val="24"/>
        </w:rPr>
        <w:t xml:space="preserve">ečaj švicarskog franka </w:t>
      </w:r>
      <w:r w:rsidRPr="004A7643">
        <w:rPr>
          <w:b/>
          <w:sz w:val="24"/>
          <w:szCs w:val="24"/>
        </w:rPr>
        <w:t>u odnosu na 1 euro</w:t>
      </w:r>
    </w:p>
    <w:p w:rsidR="00DC2A70" w:rsidRDefault="00DC2A70" w:rsidP="00B86258">
      <w:pPr>
        <w:spacing w:after="0"/>
        <w:jc w:val="both"/>
        <w:rPr>
          <w:sz w:val="24"/>
          <w:szCs w:val="24"/>
        </w:rPr>
      </w:pPr>
      <w:r w:rsidRPr="00DC2A70">
        <w:rPr>
          <w:noProof/>
          <w:sz w:val="24"/>
          <w:szCs w:val="24"/>
          <w:lang w:eastAsia="hr-HR"/>
        </w:rPr>
        <w:drawing>
          <wp:inline distT="0" distB="0" distL="0" distR="0" wp14:anchorId="6AE0B336" wp14:editId="49480CB0">
            <wp:extent cx="4610100" cy="2574750"/>
            <wp:effectExtent l="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24230" cy="2582641"/>
                    </a:xfrm>
                    <a:prstGeom prst="rect">
                      <a:avLst/>
                    </a:prstGeom>
                    <a:noFill/>
                    <a:ln>
                      <a:noFill/>
                    </a:ln>
                    <a:extLst/>
                  </pic:spPr>
                </pic:pic>
              </a:graphicData>
            </a:graphic>
          </wp:inline>
        </w:drawing>
      </w:r>
    </w:p>
    <w:p w:rsidR="00B86258" w:rsidRPr="00B86258" w:rsidRDefault="001A23EC" w:rsidP="004A7643">
      <w:pPr>
        <w:jc w:val="both"/>
        <w:rPr>
          <w:sz w:val="20"/>
          <w:szCs w:val="20"/>
        </w:rPr>
      </w:pPr>
      <w:r>
        <w:rPr>
          <w:sz w:val="20"/>
          <w:szCs w:val="20"/>
        </w:rPr>
        <w:t>Izvor: p</w:t>
      </w:r>
      <w:r w:rsidR="00374C83">
        <w:rPr>
          <w:sz w:val="20"/>
          <w:szCs w:val="20"/>
        </w:rPr>
        <w:t xml:space="preserve">reuzeto sa: </w:t>
      </w:r>
      <w:r w:rsidR="00B86258" w:rsidRPr="00B86258">
        <w:rPr>
          <w:sz w:val="20"/>
          <w:szCs w:val="20"/>
        </w:rPr>
        <w:t xml:space="preserve"> www.xe.com</w:t>
      </w:r>
    </w:p>
    <w:p w:rsidR="00EC43CA" w:rsidRPr="004A7643" w:rsidRDefault="00EC43CA" w:rsidP="00EC43CA">
      <w:pPr>
        <w:jc w:val="both"/>
        <w:rPr>
          <w:sz w:val="20"/>
          <w:szCs w:val="20"/>
        </w:rPr>
      </w:pPr>
      <w:r>
        <w:rPr>
          <w:sz w:val="24"/>
          <w:szCs w:val="24"/>
        </w:rPr>
        <w:lastRenderedPageBreak/>
        <w:t xml:space="preserve">Iako se krediti s valutnom klauzulom u švicarskom franku odnose tek na manji iznos ukupnih kredita u aktivi bilance hrvatskog bankovnog sustava, problem je što se tipično radi o dugoročnim kreditima koji se otplaćuju kao standardni mjesečni anuiteti (što znači da se vrlo sporo otplaćuju glavnice kredita jer u prvoj polovici razdoblja otplate </w:t>
      </w:r>
      <w:r w:rsidR="005F2126">
        <w:rPr>
          <w:sz w:val="24"/>
          <w:szCs w:val="24"/>
        </w:rPr>
        <w:t xml:space="preserve">u anuitetu </w:t>
      </w:r>
      <w:r>
        <w:rPr>
          <w:sz w:val="24"/>
          <w:szCs w:val="24"/>
        </w:rPr>
        <w:t xml:space="preserve">dominira veći udio kamata), </w:t>
      </w:r>
      <w:r w:rsidR="005F2126">
        <w:rPr>
          <w:sz w:val="24"/>
          <w:szCs w:val="24"/>
        </w:rPr>
        <w:t xml:space="preserve">a </w:t>
      </w:r>
      <w:r>
        <w:rPr>
          <w:sz w:val="24"/>
          <w:szCs w:val="24"/>
        </w:rPr>
        <w:t>najveći iznos kredita s valutnom klauzulom u CHF uključuje stambene kredite. U predkriznom razdoblju podizali su ih uglavnom osobe u mlađoj i srednjoj životnoj dobi pa se oni danas odražavaju na financijsku situaciju dobne grupe koja bi se trebala nalaziti u financijski najpovoljnijoj situaciji s većim mogućnostima potrošnje i štednje, a što nije slučaj jer je zbog većeg tereta otplate duga za mnoge obitelji to postalo nemoguće.</w:t>
      </w:r>
    </w:p>
    <w:p w:rsidR="00DA4D36" w:rsidRPr="004A7643" w:rsidRDefault="00DA4D36" w:rsidP="00B86258">
      <w:pPr>
        <w:spacing w:before="240"/>
        <w:jc w:val="both"/>
        <w:rPr>
          <w:b/>
          <w:sz w:val="24"/>
          <w:szCs w:val="24"/>
        </w:rPr>
      </w:pPr>
      <w:r w:rsidRPr="004A7643">
        <w:rPr>
          <w:b/>
          <w:sz w:val="24"/>
          <w:szCs w:val="24"/>
        </w:rPr>
        <w:t xml:space="preserve">Slika </w:t>
      </w:r>
      <w:r>
        <w:rPr>
          <w:b/>
          <w:sz w:val="24"/>
          <w:szCs w:val="24"/>
        </w:rPr>
        <w:t>30</w:t>
      </w:r>
      <w:r w:rsidRPr="004A7643">
        <w:rPr>
          <w:b/>
          <w:sz w:val="24"/>
          <w:szCs w:val="24"/>
        </w:rPr>
        <w:t>: Tečaj američkog dolara u odnosu na 1 euro</w:t>
      </w:r>
    </w:p>
    <w:p w:rsidR="00DA4D36" w:rsidRDefault="00DA4D36" w:rsidP="00DA4D36">
      <w:pPr>
        <w:spacing w:after="0"/>
        <w:jc w:val="both"/>
        <w:rPr>
          <w:sz w:val="24"/>
          <w:szCs w:val="24"/>
        </w:rPr>
      </w:pPr>
      <w:r>
        <w:rPr>
          <w:noProof/>
          <w:sz w:val="24"/>
          <w:szCs w:val="24"/>
          <w:lang w:eastAsia="hr-HR"/>
        </w:rPr>
        <w:drawing>
          <wp:inline distT="0" distB="0" distL="0" distR="0" wp14:anchorId="6C1B8F55" wp14:editId="78569015">
            <wp:extent cx="4733925" cy="2418317"/>
            <wp:effectExtent l="0" t="0" r="0" b="127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36653" cy="2419711"/>
                    </a:xfrm>
                    <a:prstGeom prst="rect">
                      <a:avLst/>
                    </a:prstGeom>
                    <a:noFill/>
                    <a:ln>
                      <a:noFill/>
                    </a:ln>
                  </pic:spPr>
                </pic:pic>
              </a:graphicData>
            </a:graphic>
          </wp:inline>
        </w:drawing>
      </w:r>
    </w:p>
    <w:p w:rsidR="00DA4D36" w:rsidRPr="004A7643" w:rsidRDefault="001A23EC" w:rsidP="00DA4D36">
      <w:pPr>
        <w:jc w:val="both"/>
        <w:rPr>
          <w:sz w:val="20"/>
          <w:szCs w:val="20"/>
        </w:rPr>
      </w:pPr>
      <w:r>
        <w:rPr>
          <w:sz w:val="20"/>
          <w:szCs w:val="20"/>
        </w:rPr>
        <w:t>Izvor: p</w:t>
      </w:r>
      <w:r w:rsidR="00374C83">
        <w:rPr>
          <w:sz w:val="20"/>
          <w:szCs w:val="20"/>
        </w:rPr>
        <w:t>reuzeto iz</w:t>
      </w:r>
      <w:r w:rsidR="00DA4D36" w:rsidRPr="004A7643">
        <w:rPr>
          <w:sz w:val="20"/>
          <w:szCs w:val="20"/>
        </w:rPr>
        <w:t>: FRED</w:t>
      </w:r>
    </w:p>
    <w:p w:rsidR="00EC43CA" w:rsidRDefault="00EC43CA" w:rsidP="00EC43CA">
      <w:pPr>
        <w:spacing w:before="240"/>
        <w:jc w:val="both"/>
        <w:rPr>
          <w:sz w:val="24"/>
          <w:szCs w:val="24"/>
        </w:rPr>
      </w:pPr>
      <w:r>
        <w:rPr>
          <w:sz w:val="24"/>
          <w:szCs w:val="24"/>
        </w:rPr>
        <w:t>Snažne oscilacije tečaja američkog dolara, eura, britanske funte i drugih valuta koje su u režimu slobodno plivajućeg deviznog tečaja obično se događaju pod utjecajem divergentnog kretanja u karakteru monetarne politike vodećih svjetskih središnjih banaka. Tako izrazito ekspanzivna monetarna politika američkog Fed-a (odnosno pad kamatnjaka u SAD-u u odnosu na inozemne kamatnjake) predstavlja tipični razlog slabljenja američkog dolara na svjetskom tržištu jer se uz dolar vežu veća inflacijska očekivanja</w:t>
      </w:r>
      <w:r w:rsidR="00251398">
        <w:rPr>
          <w:sz w:val="24"/>
          <w:szCs w:val="24"/>
        </w:rPr>
        <w:t>. Suprotno</w:t>
      </w:r>
      <w:r>
        <w:rPr>
          <w:sz w:val="24"/>
          <w:szCs w:val="24"/>
        </w:rPr>
        <w:t xml:space="preserve">, očekivanja zaokreta u restriktivnom smjeru (koja središnja banka </w:t>
      </w:r>
      <w:r w:rsidR="00ED2BCB">
        <w:rPr>
          <w:sz w:val="24"/>
          <w:szCs w:val="24"/>
        </w:rPr>
        <w:t xml:space="preserve">najavljuje ili </w:t>
      </w:r>
      <w:r>
        <w:rPr>
          <w:sz w:val="24"/>
          <w:szCs w:val="24"/>
        </w:rPr>
        <w:t xml:space="preserve">inicira povećanjem svojih referentnih kamatnih stopa na kredite bankama, </w:t>
      </w:r>
      <w:r w:rsidR="00251398">
        <w:rPr>
          <w:sz w:val="24"/>
          <w:szCs w:val="24"/>
        </w:rPr>
        <w:t>tzv,</w:t>
      </w:r>
      <w:r>
        <w:rPr>
          <w:sz w:val="24"/>
          <w:szCs w:val="24"/>
        </w:rPr>
        <w:t xml:space="preserve"> diskontne stope) imaju za posljedicu rast potražnje za dolarom i njegovo jačanje. Ukoliko istodobno ECB vodi ekspanzivnu monetarnu politiku, a Fed restriktivnu rezultat je slabljenje eura prema dolaru (slika 30). </w:t>
      </w:r>
    </w:p>
    <w:p w:rsidR="00EC43CA" w:rsidRDefault="00EC43CA" w:rsidP="00EC43CA">
      <w:pPr>
        <w:jc w:val="both"/>
        <w:rPr>
          <w:sz w:val="24"/>
          <w:szCs w:val="24"/>
        </w:rPr>
      </w:pPr>
      <w:r>
        <w:rPr>
          <w:sz w:val="24"/>
          <w:szCs w:val="24"/>
        </w:rPr>
        <w:t xml:space="preserve">Navedeno ukazuje na </w:t>
      </w:r>
      <w:r w:rsidRPr="00251398">
        <w:rPr>
          <w:color w:val="C00000"/>
          <w:sz w:val="24"/>
          <w:szCs w:val="24"/>
        </w:rPr>
        <w:t>određenu povezanost između kretanja stope inflacije, nominalnih kamatnjaka, deviznog tečaja</w:t>
      </w:r>
      <w:r w:rsidR="00B315E9">
        <w:rPr>
          <w:color w:val="C00000"/>
          <w:sz w:val="24"/>
          <w:szCs w:val="24"/>
        </w:rPr>
        <w:t>,</w:t>
      </w:r>
      <w:r w:rsidRPr="00251398">
        <w:rPr>
          <w:color w:val="C00000"/>
          <w:sz w:val="24"/>
          <w:szCs w:val="24"/>
        </w:rPr>
        <w:t xml:space="preserve"> kretanja tržišnih cijena različite imovine</w:t>
      </w:r>
      <w:r w:rsidR="00B315E9">
        <w:rPr>
          <w:color w:val="C00000"/>
          <w:sz w:val="24"/>
          <w:szCs w:val="24"/>
        </w:rPr>
        <w:t xml:space="preserve">, odnosno cijena roba i usluga </w:t>
      </w:r>
      <w:r w:rsidR="00B315E9" w:rsidRPr="00B315E9">
        <w:rPr>
          <w:sz w:val="24"/>
          <w:szCs w:val="24"/>
        </w:rPr>
        <w:t xml:space="preserve">(zbog promjene cijena uvezenih dobara </w:t>
      </w:r>
      <w:r w:rsidR="00B315E9">
        <w:rPr>
          <w:sz w:val="24"/>
          <w:szCs w:val="24"/>
        </w:rPr>
        <w:t>na koje djeluje tečaj)</w:t>
      </w:r>
      <w:r>
        <w:rPr>
          <w:sz w:val="24"/>
          <w:szCs w:val="24"/>
        </w:rPr>
        <w:t xml:space="preserve">. U razvijenim zemljama, monetarna politika nacionalne središnje banke je jedan od ključnih faktora niza promjena na financijskim tržištima (međubankovnom tržištu, tržištu kratkoročnog duga/ tržištu novca, tržištu dugoročnog duga, dioničkim i obvezničkim tržištima i deviznom tržištu), tržištu rada te </w:t>
      </w:r>
      <w:r>
        <w:rPr>
          <w:sz w:val="24"/>
          <w:szCs w:val="24"/>
        </w:rPr>
        <w:lastRenderedPageBreak/>
        <w:t xml:space="preserve">tržištu roba i usluga. Detaljnije to pokazuje slika 31 s nizom učinaka transmisijskog mehanizma monetarne politike u slučaju Europske središnje banke ili Sustava federalnih rezervi u SAD-u (Fed-a). Situacija je djelomično različita u malim otvorenim ekonomijama kao što je Hrvatska u kojoj se dio navedenih kretanja zbiva pod utjecajem </w:t>
      </w:r>
      <w:r w:rsidR="00B315E9">
        <w:rPr>
          <w:sz w:val="24"/>
          <w:szCs w:val="24"/>
        </w:rPr>
        <w:t xml:space="preserve">monetarne i tečajne </w:t>
      </w:r>
      <w:r>
        <w:rPr>
          <w:sz w:val="24"/>
          <w:szCs w:val="24"/>
        </w:rPr>
        <w:t xml:space="preserve">politike nacionalne središnje banke, a dio pod utjecajem </w:t>
      </w:r>
      <w:r w:rsidR="00ED2BCB">
        <w:rPr>
          <w:sz w:val="24"/>
          <w:szCs w:val="24"/>
        </w:rPr>
        <w:t xml:space="preserve">kretanja svjetskih kamatnjaka, </w:t>
      </w:r>
      <w:r w:rsidR="000B46AF">
        <w:rPr>
          <w:sz w:val="24"/>
          <w:szCs w:val="24"/>
        </w:rPr>
        <w:t xml:space="preserve">jer se </w:t>
      </w:r>
      <w:r>
        <w:rPr>
          <w:sz w:val="24"/>
          <w:szCs w:val="24"/>
        </w:rPr>
        <w:t>bank</w:t>
      </w:r>
      <w:r w:rsidR="000B46AF">
        <w:rPr>
          <w:sz w:val="24"/>
          <w:szCs w:val="24"/>
        </w:rPr>
        <w:t>e</w:t>
      </w:r>
      <w:r>
        <w:rPr>
          <w:sz w:val="24"/>
          <w:szCs w:val="24"/>
        </w:rPr>
        <w:t>, poduzeća i držav</w:t>
      </w:r>
      <w:r w:rsidR="000B46AF">
        <w:rPr>
          <w:sz w:val="24"/>
          <w:szCs w:val="24"/>
        </w:rPr>
        <w:t xml:space="preserve">a u velikoj mjeri inozemno financiraju </w:t>
      </w:r>
      <w:r w:rsidR="00B315E9">
        <w:rPr>
          <w:sz w:val="24"/>
          <w:szCs w:val="24"/>
        </w:rPr>
        <w:t xml:space="preserve">(posebno </w:t>
      </w:r>
      <w:r w:rsidR="000B46AF">
        <w:rPr>
          <w:sz w:val="24"/>
          <w:szCs w:val="24"/>
        </w:rPr>
        <w:t>na tržištu eurozone</w:t>
      </w:r>
      <w:r w:rsidR="00B315E9">
        <w:rPr>
          <w:sz w:val="24"/>
          <w:szCs w:val="24"/>
        </w:rPr>
        <w:t>)</w:t>
      </w:r>
      <w:r w:rsidR="000B46AF">
        <w:rPr>
          <w:sz w:val="24"/>
          <w:szCs w:val="24"/>
        </w:rPr>
        <w:t>.</w:t>
      </w:r>
      <w:r>
        <w:rPr>
          <w:sz w:val="24"/>
          <w:szCs w:val="24"/>
        </w:rPr>
        <w:t xml:space="preserve"> </w:t>
      </w:r>
    </w:p>
    <w:p w:rsidR="00626EF2" w:rsidRPr="00DA4D36" w:rsidRDefault="00626EF2" w:rsidP="00DA4D36">
      <w:pPr>
        <w:spacing w:after="0"/>
        <w:jc w:val="both"/>
        <w:rPr>
          <w:b/>
          <w:sz w:val="24"/>
          <w:szCs w:val="24"/>
        </w:rPr>
      </w:pPr>
      <w:r w:rsidRPr="00DA4D36">
        <w:rPr>
          <w:b/>
          <w:sz w:val="24"/>
          <w:szCs w:val="24"/>
        </w:rPr>
        <w:t>Slika 3</w:t>
      </w:r>
      <w:r w:rsidR="00DA4D36">
        <w:rPr>
          <w:b/>
          <w:sz w:val="24"/>
          <w:szCs w:val="24"/>
        </w:rPr>
        <w:t>1</w:t>
      </w:r>
      <w:r w:rsidRPr="00DA4D36">
        <w:rPr>
          <w:b/>
          <w:sz w:val="24"/>
          <w:szCs w:val="24"/>
        </w:rPr>
        <w:t>: Transmisijski mehanizam na primjeru monetarne politike ECB-a</w:t>
      </w:r>
      <w:r w:rsidR="00DA4D36">
        <w:rPr>
          <w:b/>
          <w:sz w:val="24"/>
          <w:szCs w:val="24"/>
        </w:rPr>
        <w:t xml:space="preserve"> ili Fed-a</w:t>
      </w:r>
    </w:p>
    <w:p w:rsidR="00626EF2" w:rsidRDefault="00626EF2" w:rsidP="00DA4D36">
      <w:pPr>
        <w:spacing w:after="0"/>
        <w:jc w:val="both"/>
        <w:rPr>
          <w:sz w:val="24"/>
          <w:szCs w:val="24"/>
        </w:rPr>
      </w:pPr>
      <w:r w:rsidRPr="00626EF2">
        <w:rPr>
          <w:noProof/>
          <w:sz w:val="24"/>
          <w:szCs w:val="24"/>
          <w:lang w:eastAsia="hr-HR"/>
        </w:rPr>
        <w:drawing>
          <wp:inline distT="0" distB="0" distL="0" distR="0" wp14:anchorId="2BE27E86" wp14:editId="2B1CAF20">
            <wp:extent cx="5234646" cy="6848475"/>
            <wp:effectExtent l="0" t="0" r="4445"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40725" cy="6856429"/>
                    </a:xfrm>
                    <a:prstGeom prst="rect">
                      <a:avLst/>
                    </a:prstGeom>
                    <a:noFill/>
                    <a:ln>
                      <a:noFill/>
                    </a:ln>
                    <a:effectLst/>
                    <a:extLst/>
                  </pic:spPr>
                </pic:pic>
              </a:graphicData>
            </a:graphic>
          </wp:inline>
        </w:drawing>
      </w:r>
    </w:p>
    <w:p w:rsidR="00DA4D36" w:rsidRPr="00DA4D36" w:rsidRDefault="001A23EC" w:rsidP="00DA4D36">
      <w:pPr>
        <w:spacing w:after="0"/>
        <w:jc w:val="both"/>
        <w:rPr>
          <w:sz w:val="20"/>
          <w:szCs w:val="20"/>
        </w:rPr>
      </w:pPr>
      <w:r>
        <w:rPr>
          <w:sz w:val="20"/>
          <w:szCs w:val="20"/>
        </w:rPr>
        <w:t>Izvor: p</w:t>
      </w:r>
      <w:r w:rsidR="00374C83">
        <w:rPr>
          <w:sz w:val="20"/>
          <w:szCs w:val="20"/>
        </w:rPr>
        <w:t>reuzeto iz</w:t>
      </w:r>
      <w:r w:rsidR="00DA4D36" w:rsidRPr="00DA4D36">
        <w:rPr>
          <w:sz w:val="20"/>
          <w:szCs w:val="20"/>
        </w:rPr>
        <w:t>: Lovrinović, I.; Ivanov, M. (2009): „Monetarna politika“</w:t>
      </w:r>
      <w:r w:rsidR="00E134BD">
        <w:rPr>
          <w:sz w:val="20"/>
          <w:szCs w:val="20"/>
        </w:rPr>
        <w:t>, RRif Plus, Zagreb</w:t>
      </w:r>
    </w:p>
    <w:p w:rsidR="00DE317F" w:rsidRDefault="00DA4D36" w:rsidP="00EC43CA">
      <w:pPr>
        <w:spacing w:before="240"/>
        <w:jc w:val="both"/>
        <w:rPr>
          <w:sz w:val="24"/>
          <w:szCs w:val="24"/>
        </w:rPr>
      </w:pPr>
      <w:r>
        <w:rPr>
          <w:sz w:val="24"/>
          <w:szCs w:val="24"/>
        </w:rPr>
        <w:lastRenderedPageBreak/>
        <w:t xml:space="preserve">Osim učinaka monetarne politike, oscilacije tečajeva pojedinih svjetskih valuta mogu biti i pod utjecajem brojnih drugih faktora (ekonomskih, političkih itd.) zbog kojih povremeno </w:t>
      </w:r>
      <w:r w:rsidR="00693DDA">
        <w:rPr>
          <w:sz w:val="24"/>
          <w:szCs w:val="24"/>
        </w:rPr>
        <w:t xml:space="preserve">značajnije oscilira </w:t>
      </w:r>
      <w:r>
        <w:rPr>
          <w:sz w:val="24"/>
          <w:szCs w:val="24"/>
        </w:rPr>
        <w:t xml:space="preserve">potražnja za </w:t>
      </w:r>
      <w:r w:rsidR="00B86258">
        <w:rPr>
          <w:sz w:val="24"/>
          <w:szCs w:val="24"/>
        </w:rPr>
        <w:t xml:space="preserve">određenom </w:t>
      </w:r>
      <w:r>
        <w:rPr>
          <w:sz w:val="24"/>
          <w:szCs w:val="24"/>
        </w:rPr>
        <w:t xml:space="preserve">valutom što djeluje na njeno jačanje </w:t>
      </w:r>
      <w:r w:rsidR="00693DDA">
        <w:rPr>
          <w:sz w:val="24"/>
          <w:szCs w:val="24"/>
        </w:rPr>
        <w:t xml:space="preserve">ili slabljenje </w:t>
      </w:r>
      <w:r>
        <w:rPr>
          <w:sz w:val="24"/>
          <w:szCs w:val="24"/>
        </w:rPr>
        <w:t>na deviznom tržištu</w:t>
      </w:r>
      <w:r w:rsidR="00AB51E1">
        <w:rPr>
          <w:sz w:val="24"/>
          <w:szCs w:val="24"/>
        </w:rPr>
        <w:t>. K</w:t>
      </w:r>
      <w:r w:rsidR="00B86258">
        <w:rPr>
          <w:sz w:val="24"/>
          <w:szCs w:val="24"/>
        </w:rPr>
        <w:t xml:space="preserve">ada investitori traže sigurnost </w:t>
      </w:r>
      <w:r w:rsidR="000B46AF">
        <w:rPr>
          <w:sz w:val="24"/>
          <w:szCs w:val="24"/>
        </w:rPr>
        <w:t xml:space="preserve">(„utočište“) </w:t>
      </w:r>
      <w:r w:rsidR="00B86258">
        <w:rPr>
          <w:sz w:val="24"/>
          <w:szCs w:val="24"/>
        </w:rPr>
        <w:t>u određenoj valuti (švicarskom franku</w:t>
      </w:r>
      <w:r w:rsidR="00AB51E1">
        <w:rPr>
          <w:sz w:val="24"/>
          <w:szCs w:val="24"/>
        </w:rPr>
        <w:t>, japanskom jenu …</w:t>
      </w:r>
      <w:r w:rsidR="00B86258">
        <w:rPr>
          <w:sz w:val="24"/>
          <w:szCs w:val="24"/>
        </w:rPr>
        <w:t>)</w:t>
      </w:r>
      <w:r w:rsidR="00693DDA">
        <w:rPr>
          <w:sz w:val="24"/>
          <w:szCs w:val="24"/>
        </w:rPr>
        <w:t xml:space="preserve"> rast potražnje </w:t>
      </w:r>
      <w:r w:rsidR="00AB51E1">
        <w:rPr>
          <w:sz w:val="24"/>
          <w:szCs w:val="24"/>
        </w:rPr>
        <w:t xml:space="preserve">uzrokuje </w:t>
      </w:r>
      <w:r w:rsidR="00693DDA">
        <w:rPr>
          <w:sz w:val="24"/>
          <w:szCs w:val="24"/>
        </w:rPr>
        <w:t xml:space="preserve">rast </w:t>
      </w:r>
      <w:r w:rsidR="00AB51E1">
        <w:rPr>
          <w:sz w:val="24"/>
          <w:szCs w:val="24"/>
        </w:rPr>
        <w:t xml:space="preserve">njene </w:t>
      </w:r>
      <w:r w:rsidR="00693DDA">
        <w:rPr>
          <w:sz w:val="24"/>
          <w:szCs w:val="24"/>
        </w:rPr>
        <w:t>tržišne vrijednosti</w:t>
      </w:r>
      <w:r>
        <w:rPr>
          <w:sz w:val="24"/>
          <w:szCs w:val="24"/>
        </w:rPr>
        <w:t xml:space="preserve">. </w:t>
      </w:r>
    </w:p>
    <w:p w:rsidR="00E270BF" w:rsidRPr="00E270BF" w:rsidRDefault="00E270BF" w:rsidP="00DA4D36">
      <w:pPr>
        <w:jc w:val="both"/>
        <w:rPr>
          <w:b/>
          <w:sz w:val="24"/>
          <w:szCs w:val="24"/>
        </w:rPr>
      </w:pPr>
      <w:r w:rsidRPr="00E270BF">
        <w:rPr>
          <w:b/>
          <w:sz w:val="24"/>
          <w:szCs w:val="24"/>
        </w:rPr>
        <w:t xml:space="preserve">Slika 32: Kretanje cijene zlata </w:t>
      </w:r>
      <w:r w:rsidR="00E134BD">
        <w:rPr>
          <w:b/>
          <w:sz w:val="24"/>
          <w:szCs w:val="24"/>
        </w:rPr>
        <w:t xml:space="preserve">tijekom </w:t>
      </w:r>
      <w:r w:rsidRPr="00E270BF">
        <w:rPr>
          <w:b/>
          <w:sz w:val="24"/>
          <w:szCs w:val="24"/>
        </w:rPr>
        <w:t>100 godina</w:t>
      </w:r>
    </w:p>
    <w:p w:rsidR="00E270BF" w:rsidRDefault="00E270BF" w:rsidP="00251398">
      <w:pPr>
        <w:spacing w:after="0"/>
        <w:jc w:val="both"/>
        <w:rPr>
          <w:sz w:val="24"/>
          <w:szCs w:val="24"/>
        </w:rPr>
      </w:pPr>
      <w:r w:rsidRPr="00E270BF">
        <w:rPr>
          <w:noProof/>
          <w:sz w:val="24"/>
          <w:szCs w:val="24"/>
          <w:lang w:eastAsia="hr-HR"/>
        </w:rPr>
        <w:drawing>
          <wp:inline distT="0" distB="0" distL="0" distR="0" wp14:anchorId="06772D4E" wp14:editId="2511B22D">
            <wp:extent cx="4733925" cy="2700376"/>
            <wp:effectExtent l="0" t="0" r="0" b="5080"/>
            <wp:docPr id="30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33292" cy="2700015"/>
                    </a:xfrm>
                    <a:prstGeom prst="rect">
                      <a:avLst/>
                    </a:prstGeom>
                    <a:noFill/>
                    <a:ln>
                      <a:noFill/>
                    </a:ln>
                    <a:extLst/>
                  </pic:spPr>
                </pic:pic>
              </a:graphicData>
            </a:graphic>
          </wp:inline>
        </w:drawing>
      </w:r>
    </w:p>
    <w:p w:rsidR="00E134BD" w:rsidRPr="00E134BD" w:rsidRDefault="001A23EC" w:rsidP="00DA4D36">
      <w:pPr>
        <w:jc w:val="both"/>
        <w:rPr>
          <w:sz w:val="20"/>
          <w:szCs w:val="20"/>
        </w:rPr>
      </w:pPr>
      <w:r>
        <w:rPr>
          <w:sz w:val="20"/>
          <w:szCs w:val="20"/>
        </w:rPr>
        <w:t>Izvor: p</w:t>
      </w:r>
      <w:r w:rsidR="00374C83">
        <w:rPr>
          <w:sz w:val="20"/>
          <w:szCs w:val="20"/>
        </w:rPr>
        <w:t>reuzeto sa</w:t>
      </w:r>
      <w:r w:rsidR="00E134BD" w:rsidRPr="00E134BD">
        <w:rPr>
          <w:sz w:val="20"/>
          <w:szCs w:val="20"/>
        </w:rPr>
        <w:t>: GC Asset Management</w:t>
      </w:r>
    </w:p>
    <w:p w:rsidR="00DE317F" w:rsidRDefault="00DE317F" w:rsidP="00DE317F">
      <w:pPr>
        <w:jc w:val="both"/>
        <w:rPr>
          <w:sz w:val="24"/>
          <w:szCs w:val="24"/>
        </w:rPr>
      </w:pPr>
      <w:r>
        <w:rPr>
          <w:sz w:val="24"/>
          <w:szCs w:val="24"/>
        </w:rPr>
        <w:t xml:space="preserve">Na isti način ponekad se ponaša i potražnja za zlatom što dovodi do značajnih oscilacija (u smjeru rasta ili pada) cijene zlata i tečaja zlata u odnosu na američki dolar ili euro. Iako je zlato realna imovina, </w:t>
      </w:r>
      <w:r w:rsidRPr="00693DDA">
        <w:rPr>
          <w:color w:val="C00000"/>
          <w:sz w:val="24"/>
          <w:szCs w:val="24"/>
        </w:rPr>
        <w:t xml:space="preserve">investicijsko zlato </w:t>
      </w:r>
      <w:r>
        <w:rPr>
          <w:sz w:val="24"/>
          <w:szCs w:val="24"/>
        </w:rPr>
        <w:t xml:space="preserve">(bilo u formi zlatnih poluga ili zlatnih certifikata) </w:t>
      </w:r>
      <w:r w:rsidR="008C5D63">
        <w:rPr>
          <w:sz w:val="24"/>
          <w:szCs w:val="24"/>
        </w:rPr>
        <w:t xml:space="preserve">često se </w:t>
      </w:r>
      <w:r>
        <w:rPr>
          <w:sz w:val="24"/>
          <w:szCs w:val="24"/>
        </w:rPr>
        <w:t xml:space="preserve">promatra kao financijska imovina pa rizici gubitka vezanih uz promjenu cijene zlata </w:t>
      </w:r>
      <w:r w:rsidR="008C5D63">
        <w:rPr>
          <w:sz w:val="24"/>
          <w:szCs w:val="24"/>
        </w:rPr>
        <w:t xml:space="preserve">predstavljaju </w:t>
      </w:r>
      <w:r>
        <w:rPr>
          <w:sz w:val="24"/>
          <w:szCs w:val="24"/>
        </w:rPr>
        <w:t>tržišn</w:t>
      </w:r>
      <w:r w:rsidR="000B46AF">
        <w:rPr>
          <w:sz w:val="24"/>
          <w:szCs w:val="24"/>
        </w:rPr>
        <w:t>i</w:t>
      </w:r>
      <w:r>
        <w:rPr>
          <w:sz w:val="24"/>
          <w:szCs w:val="24"/>
        </w:rPr>
        <w:t xml:space="preserve"> valutn</w:t>
      </w:r>
      <w:r w:rsidR="000B46AF">
        <w:rPr>
          <w:sz w:val="24"/>
          <w:szCs w:val="24"/>
        </w:rPr>
        <w:t>i</w:t>
      </w:r>
      <w:r>
        <w:rPr>
          <w:sz w:val="24"/>
          <w:szCs w:val="24"/>
        </w:rPr>
        <w:t xml:space="preserve"> rizik</w:t>
      </w:r>
      <w:r w:rsidR="000B46AF">
        <w:rPr>
          <w:sz w:val="24"/>
          <w:szCs w:val="24"/>
        </w:rPr>
        <w:t>. Rast potražnje za zlatom,</w:t>
      </w:r>
      <w:r>
        <w:rPr>
          <w:sz w:val="24"/>
          <w:szCs w:val="24"/>
        </w:rPr>
        <w:t xml:space="preserve"> srebrom i drugim plemenitim metalima </w:t>
      </w:r>
      <w:r w:rsidR="008C5D63">
        <w:rPr>
          <w:sz w:val="24"/>
          <w:szCs w:val="24"/>
        </w:rPr>
        <w:t xml:space="preserve">kao tzv. sigurnim utočištima </w:t>
      </w:r>
      <w:r>
        <w:rPr>
          <w:sz w:val="24"/>
          <w:szCs w:val="24"/>
        </w:rPr>
        <w:t xml:space="preserve">više </w:t>
      </w:r>
      <w:r w:rsidR="000B46AF">
        <w:rPr>
          <w:sz w:val="24"/>
          <w:szCs w:val="24"/>
        </w:rPr>
        <w:t xml:space="preserve">je </w:t>
      </w:r>
      <w:r>
        <w:rPr>
          <w:sz w:val="24"/>
          <w:szCs w:val="24"/>
        </w:rPr>
        <w:t xml:space="preserve">izražen u razdoblju pada povjerenja u novac, </w:t>
      </w:r>
      <w:r w:rsidR="000B46AF">
        <w:rPr>
          <w:sz w:val="24"/>
          <w:szCs w:val="24"/>
        </w:rPr>
        <w:t xml:space="preserve">odnosno </w:t>
      </w:r>
      <w:r>
        <w:rPr>
          <w:sz w:val="24"/>
          <w:szCs w:val="24"/>
        </w:rPr>
        <w:t xml:space="preserve">izrazitijih inflacijskih očekivanja </w:t>
      </w:r>
      <w:r w:rsidR="000B46AF">
        <w:rPr>
          <w:sz w:val="24"/>
          <w:szCs w:val="24"/>
        </w:rPr>
        <w:t>i „</w:t>
      </w:r>
      <w:r>
        <w:rPr>
          <w:sz w:val="24"/>
          <w:szCs w:val="24"/>
        </w:rPr>
        <w:t>straha</w:t>
      </w:r>
      <w:r w:rsidR="000B46AF">
        <w:rPr>
          <w:sz w:val="24"/>
          <w:szCs w:val="24"/>
        </w:rPr>
        <w:t>“</w:t>
      </w:r>
      <w:r>
        <w:rPr>
          <w:sz w:val="24"/>
          <w:szCs w:val="24"/>
        </w:rPr>
        <w:t xml:space="preserve"> od značajnijeg pada realne vrijednosti novca</w:t>
      </w:r>
      <w:r w:rsidR="008C5D63">
        <w:rPr>
          <w:sz w:val="24"/>
          <w:szCs w:val="24"/>
        </w:rPr>
        <w:t xml:space="preserve"> kojem pridonose suviše ekspanzivne monetarne politike</w:t>
      </w:r>
      <w:r>
        <w:rPr>
          <w:sz w:val="24"/>
          <w:szCs w:val="24"/>
        </w:rPr>
        <w:t>. Međutim, kretanja cijene zlata, srebra i slično također su značajno i pod utjecajem rasta potražnje za navedenim kovinama kao sirovinama korištenim u proizvodnji različitih proizvoda</w:t>
      </w:r>
      <w:r w:rsidR="000407CF">
        <w:rPr>
          <w:sz w:val="24"/>
          <w:szCs w:val="24"/>
        </w:rPr>
        <w:t xml:space="preserve"> (tržišni robni rizik)</w:t>
      </w:r>
      <w:r>
        <w:rPr>
          <w:sz w:val="24"/>
          <w:szCs w:val="24"/>
        </w:rPr>
        <w:t xml:space="preserve">. </w:t>
      </w:r>
    </w:p>
    <w:p w:rsidR="00DA4D36" w:rsidRDefault="00E270BF" w:rsidP="00DA4D36">
      <w:pPr>
        <w:jc w:val="both"/>
        <w:rPr>
          <w:sz w:val="24"/>
          <w:szCs w:val="24"/>
        </w:rPr>
      </w:pPr>
      <w:r>
        <w:rPr>
          <w:sz w:val="24"/>
          <w:szCs w:val="24"/>
        </w:rPr>
        <w:t xml:space="preserve">U usporedbi </w:t>
      </w:r>
      <w:r w:rsidR="00AE6EEA">
        <w:rPr>
          <w:sz w:val="24"/>
          <w:szCs w:val="24"/>
        </w:rPr>
        <w:t xml:space="preserve">s </w:t>
      </w:r>
      <w:r>
        <w:rPr>
          <w:sz w:val="24"/>
          <w:szCs w:val="24"/>
        </w:rPr>
        <w:t xml:space="preserve">formiranjem cijena </w:t>
      </w:r>
      <w:r w:rsidR="00DA4D36">
        <w:rPr>
          <w:sz w:val="24"/>
          <w:szCs w:val="24"/>
        </w:rPr>
        <w:t>svjetskih valuta</w:t>
      </w:r>
      <w:r w:rsidR="00001AF6">
        <w:rPr>
          <w:sz w:val="24"/>
          <w:szCs w:val="24"/>
        </w:rPr>
        <w:t xml:space="preserve"> poput američkog dolara</w:t>
      </w:r>
      <w:r w:rsidR="008C5D63">
        <w:rPr>
          <w:sz w:val="24"/>
          <w:szCs w:val="24"/>
        </w:rPr>
        <w:t xml:space="preserve"> i</w:t>
      </w:r>
      <w:r w:rsidR="00001AF6">
        <w:rPr>
          <w:sz w:val="24"/>
          <w:szCs w:val="24"/>
        </w:rPr>
        <w:t xml:space="preserve"> eura</w:t>
      </w:r>
      <w:r w:rsidR="008C5D63">
        <w:rPr>
          <w:sz w:val="24"/>
          <w:szCs w:val="24"/>
        </w:rPr>
        <w:t xml:space="preserve"> ili zlata, </w:t>
      </w:r>
      <w:r>
        <w:rPr>
          <w:sz w:val="24"/>
          <w:szCs w:val="24"/>
        </w:rPr>
        <w:t xml:space="preserve">tečaj hrvatske kune formira se </w:t>
      </w:r>
      <w:r w:rsidR="00AE6EEA">
        <w:rPr>
          <w:sz w:val="24"/>
          <w:szCs w:val="24"/>
        </w:rPr>
        <w:t>drugačije</w:t>
      </w:r>
      <w:r w:rsidR="00DA4D36">
        <w:rPr>
          <w:sz w:val="24"/>
          <w:szCs w:val="24"/>
        </w:rPr>
        <w:t xml:space="preserve">. Naime, </w:t>
      </w:r>
      <w:r w:rsidR="00DA4D36" w:rsidRPr="00DC2A70">
        <w:rPr>
          <w:color w:val="C00000"/>
          <w:sz w:val="24"/>
          <w:szCs w:val="24"/>
        </w:rPr>
        <w:t xml:space="preserve">kuna je u režimu upravljano plivajućeg deviznog tečaja </w:t>
      </w:r>
      <w:r w:rsidR="00DA4D36">
        <w:rPr>
          <w:sz w:val="24"/>
          <w:szCs w:val="24"/>
        </w:rPr>
        <w:t xml:space="preserve">jer se središnja </w:t>
      </w:r>
      <w:r>
        <w:rPr>
          <w:sz w:val="24"/>
          <w:szCs w:val="24"/>
        </w:rPr>
        <w:t xml:space="preserve">banka </w:t>
      </w:r>
      <w:r w:rsidR="008C5D63">
        <w:rPr>
          <w:sz w:val="24"/>
          <w:szCs w:val="24"/>
        </w:rPr>
        <w:t xml:space="preserve">(HNB) </w:t>
      </w:r>
      <w:r>
        <w:rPr>
          <w:sz w:val="24"/>
          <w:szCs w:val="24"/>
        </w:rPr>
        <w:t>po potrebi povremeno uključuje na domaće</w:t>
      </w:r>
      <w:r w:rsidR="00DA4D36">
        <w:rPr>
          <w:sz w:val="24"/>
          <w:szCs w:val="24"/>
        </w:rPr>
        <w:t xml:space="preserve"> </w:t>
      </w:r>
      <w:r>
        <w:rPr>
          <w:sz w:val="24"/>
          <w:szCs w:val="24"/>
        </w:rPr>
        <w:t xml:space="preserve">devizno </w:t>
      </w:r>
      <w:r w:rsidR="00DA4D36">
        <w:rPr>
          <w:sz w:val="24"/>
          <w:szCs w:val="24"/>
        </w:rPr>
        <w:t xml:space="preserve">tržište </w:t>
      </w:r>
      <w:r w:rsidR="000407CF">
        <w:rPr>
          <w:sz w:val="24"/>
          <w:szCs w:val="24"/>
        </w:rPr>
        <w:t>te</w:t>
      </w:r>
      <w:r w:rsidR="00DA4D36">
        <w:rPr>
          <w:sz w:val="24"/>
          <w:szCs w:val="24"/>
        </w:rPr>
        <w:t xml:space="preserve"> kupnjom </w:t>
      </w:r>
      <w:r w:rsidR="000407CF">
        <w:rPr>
          <w:sz w:val="24"/>
          <w:szCs w:val="24"/>
        </w:rPr>
        <w:t>il</w:t>
      </w:r>
      <w:r w:rsidR="00DA4D36">
        <w:rPr>
          <w:sz w:val="24"/>
          <w:szCs w:val="24"/>
        </w:rPr>
        <w:t xml:space="preserve">i prodajom deviza </w:t>
      </w:r>
      <w:r w:rsidR="000407CF">
        <w:rPr>
          <w:sz w:val="24"/>
          <w:szCs w:val="24"/>
        </w:rPr>
        <w:t>(</w:t>
      </w:r>
      <w:r w:rsidR="00DA4D36">
        <w:rPr>
          <w:sz w:val="24"/>
          <w:szCs w:val="24"/>
        </w:rPr>
        <w:t>u transakcijama s bankama) korigira tečaj u željenom smjeru. Konkretno brani kunu od prevelike deprecijacije ili aprecijacije u terminima nominalnog deviznog tečaja za euro. Nasuprot tome u razvijenim zemljama koje su emitenti vodećih svjetskih valuta</w:t>
      </w:r>
      <w:r w:rsidR="000B46AF">
        <w:rPr>
          <w:sz w:val="24"/>
          <w:szCs w:val="24"/>
        </w:rPr>
        <w:t>,</w:t>
      </w:r>
      <w:r w:rsidR="00DA4D36">
        <w:rPr>
          <w:sz w:val="24"/>
          <w:szCs w:val="24"/>
        </w:rPr>
        <w:t xml:space="preserve"> tečaj se formira slobodno i to na svjetskom tržištu</w:t>
      </w:r>
      <w:r>
        <w:rPr>
          <w:sz w:val="24"/>
          <w:szCs w:val="24"/>
        </w:rPr>
        <w:t xml:space="preserve"> (režim slobodno plivajućeg deviznog tečaja)</w:t>
      </w:r>
      <w:r w:rsidR="00DA4D36">
        <w:rPr>
          <w:sz w:val="24"/>
          <w:szCs w:val="24"/>
        </w:rPr>
        <w:t>, a središnje banke se ne bave usmjeravanjem deviznog tečaja nego usmjeravanjem kamatnih stopa.</w:t>
      </w:r>
      <w:r w:rsidR="00E81713">
        <w:rPr>
          <w:sz w:val="24"/>
          <w:szCs w:val="24"/>
        </w:rPr>
        <w:t xml:space="preserve"> </w:t>
      </w:r>
    </w:p>
    <w:p w:rsidR="00CB3695" w:rsidRPr="00E04220" w:rsidRDefault="00E04220" w:rsidP="00E04220">
      <w:pPr>
        <w:jc w:val="both"/>
        <w:rPr>
          <w:b/>
          <w:sz w:val="24"/>
          <w:szCs w:val="24"/>
        </w:rPr>
      </w:pPr>
      <w:r>
        <w:rPr>
          <w:b/>
          <w:sz w:val="24"/>
          <w:szCs w:val="24"/>
        </w:rPr>
        <w:lastRenderedPageBreak/>
        <w:t xml:space="preserve">3.5. </w:t>
      </w:r>
      <w:r w:rsidR="00A83A77" w:rsidRPr="00E04220">
        <w:rPr>
          <w:b/>
          <w:sz w:val="24"/>
          <w:szCs w:val="24"/>
        </w:rPr>
        <w:t>Rizik promjene cijene imovine (tržišni rizik)</w:t>
      </w:r>
    </w:p>
    <w:p w:rsidR="00A00918" w:rsidRDefault="0018311C" w:rsidP="00CB3695">
      <w:pPr>
        <w:jc w:val="both"/>
        <w:rPr>
          <w:sz w:val="24"/>
          <w:szCs w:val="24"/>
        </w:rPr>
      </w:pPr>
      <w:r>
        <w:rPr>
          <w:sz w:val="24"/>
          <w:szCs w:val="24"/>
        </w:rPr>
        <w:t xml:space="preserve">U kategoriju tržišnih rizika ulazi prethodno opisani tržišni valutni rizik, kao i druge kategorije tržišnog rizika. </w:t>
      </w:r>
      <w:r w:rsidR="00A83A77" w:rsidRPr="00CB3695">
        <w:rPr>
          <w:sz w:val="24"/>
          <w:szCs w:val="24"/>
        </w:rPr>
        <w:t>Imovina uložena u vrijednosn</w:t>
      </w:r>
      <w:r w:rsidR="00A00918">
        <w:rPr>
          <w:sz w:val="24"/>
          <w:szCs w:val="24"/>
        </w:rPr>
        <w:t>ice</w:t>
      </w:r>
      <w:r w:rsidR="00A83A77" w:rsidRPr="00CB3695">
        <w:rPr>
          <w:sz w:val="24"/>
          <w:szCs w:val="24"/>
        </w:rPr>
        <w:t xml:space="preserve"> kojima se trguje na financijskim tržištima izložena je dnevnim promjenama cijena</w:t>
      </w:r>
      <w:r w:rsidR="00A00918">
        <w:rPr>
          <w:sz w:val="24"/>
          <w:szCs w:val="24"/>
        </w:rPr>
        <w:t>,</w:t>
      </w:r>
      <w:r w:rsidR="00A83A77" w:rsidRPr="00CB3695">
        <w:rPr>
          <w:sz w:val="24"/>
          <w:szCs w:val="24"/>
        </w:rPr>
        <w:t xml:space="preserve"> što utječ</w:t>
      </w:r>
      <w:r w:rsidR="00A00918">
        <w:rPr>
          <w:sz w:val="24"/>
          <w:szCs w:val="24"/>
        </w:rPr>
        <w:t xml:space="preserve">e na rast ili pad </w:t>
      </w:r>
      <w:r w:rsidR="00A5458B">
        <w:rPr>
          <w:sz w:val="24"/>
          <w:szCs w:val="24"/>
        </w:rPr>
        <w:t xml:space="preserve">tržišne </w:t>
      </w:r>
      <w:r w:rsidR="00A83A77" w:rsidRPr="00CB3695">
        <w:rPr>
          <w:sz w:val="24"/>
          <w:szCs w:val="24"/>
        </w:rPr>
        <w:t>vrijednosti te imovine</w:t>
      </w:r>
      <w:r w:rsidR="000B46AF">
        <w:rPr>
          <w:sz w:val="24"/>
          <w:szCs w:val="24"/>
        </w:rPr>
        <w:t xml:space="preserve"> (tzv. pozicijski tržišni rizik)</w:t>
      </w:r>
      <w:r w:rsidR="00A83A77" w:rsidRPr="00CB3695">
        <w:rPr>
          <w:sz w:val="24"/>
          <w:szCs w:val="24"/>
        </w:rPr>
        <w:t xml:space="preserve">. Tipičan primjer predstavljaju dionice </w:t>
      </w:r>
      <w:r w:rsidR="00813BFC">
        <w:rPr>
          <w:sz w:val="24"/>
          <w:szCs w:val="24"/>
        </w:rPr>
        <w:t>(</w:t>
      </w:r>
      <w:r w:rsidR="00A5458B">
        <w:rPr>
          <w:sz w:val="24"/>
          <w:szCs w:val="24"/>
        </w:rPr>
        <w:t>i obveznice</w:t>
      </w:r>
      <w:r w:rsidR="00813BFC">
        <w:rPr>
          <w:sz w:val="24"/>
          <w:szCs w:val="24"/>
        </w:rPr>
        <w:t>)</w:t>
      </w:r>
      <w:r w:rsidR="00A5458B">
        <w:rPr>
          <w:sz w:val="24"/>
          <w:szCs w:val="24"/>
        </w:rPr>
        <w:t xml:space="preserve"> </w:t>
      </w:r>
      <w:r w:rsidR="00A83A77" w:rsidRPr="00CB3695">
        <w:rPr>
          <w:sz w:val="24"/>
          <w:szCs w:val="24"/>
        </w:rPr>
        <w:t xml:space="preserve">čija se </w:t>
      </w:r>
      <w:r w:rsidR="00A5458B">
        <w:rPr>
          <w:sz w:val="24"/>
          <w:szCs w:val="24"/>
        </w:rPr>
        <w:t xml:space="preserve">tržišna vrijednost može </w:t>
      </w:r>
      <w:r w:rsidR="00A83A77" w:rsidRPr="00CB3695">
        <w:rPr>
          <w:sz w:val="24"/>
          <w:szCs w:val="24"/>
        </w:rPr>
        <w:t>z</w:t>
      </w:r>
      <w:r w:rsidR="00A5458B">
        <w:rPr>
          <w:sz w:val="24"/>
          <w:szCs w:val="24"/>
        </w:rPr>
        <w:t>načajno mijenja</w:t>
      </w:r>
      <w:r w:rsidR="000B46AF">
        <w:rPr>
          <w:sz w:val="24"/>
          <w:szCs w:val="24"/>
        </w:rPr>
        <w:t>ti</w:t>
      </w:r>
      <w:r w:rsidR="00A5458B">
        <w:rPr>
          <w:sz w:val="24"/>
          <w:szCs w:val="24"/>
        </w:rPr>
        <w:t xml:space="preserve"> iz dana u dan </w:t>
      </w:r>
      <w:r w:rsidR="00A83A77" w:rsidRPr="00CB3695">
        <w:rPr>
          <w:sz w:val="24"/>
          <w:szCs w:val="24"/>
        </w:rPr>
        <w:t>pa i u istom danu nekoliko puta</w:t>
      </w:r>
      <w:r w:rsidR="00CA2962">
        <w:rPr>
          <w:sz w:val="24"/>
          <w:szCs w:val="24"/>
        </w:rPr>
        <w:t xml:space="preserve">. </w:t>
      </w:r>
    </w:p>
    <w:p w:rsidR="00A00918" w:rsidRPr="00CC5B3A" w:rsidRDefault="00A00918" w:rsidP="00A00918">
      <w:pPr>
        <w:spacing w:before="240"/>
        <w:jc w:val="both"/>
        <w:rPr>
          <w:sz w:val="24"/>
          <w:szCs w:val="24"/>
        </w:rPr>
      </w:pPr>
      <w:r>
        <w:rPr>
          <w:sz w:val="24"/>
          <w:szCs w:val="24"/>
        </w:rPr>
        <w:t>Posebno značajne promjene tržišne vrijednosti vidljive su kroz dugi rok promatranja, u kojem dolazi do smjena faza financijskog i poslovnog ciklusa koje se odražavaju na fluktuacije cijena imovine te posljedično na veću ili manju atraktivnost ulaganja u pojedine oblike imovine. Pri tome se kretanja cijena pojedinačnih dionica mogu značajno razlikovati od kretanja cijena drugih dionica jer ovise o specifičnostima određenog poduzeća (dioničkog društva) s obzirom na prilike i prijetnje koje se odražavaju na</w:t>
      </w:r>
      <w:r w:rsidR="00813BFC">
        <w:rPr>
          <w:sz w:val="24"/>
          <w:szCs w:val="24"/>
        </w:rPr>
        <w:t xml:space="preserve"> njegovo poslovanje</w:t>
      </w:r>
      <w:r>
        <w:rPr>
          <w:sz w:val="24"/>
          <w:szCs w:val="24"/>
        </w:rPr>
        <w:t>, na regiju u kojoj posluje ili granu djelatnosti kojoj pripada</w:t>
      </w:r>
      <w:r w:rsidR="00813BFC">
        <w:rPr>
          <w:sz w:val="24"/>
          <w:szCs w:val="24"/>
        </w:rPr>
        <w:t xml:space="preserve"> i druge faktore</w:t>
      </w:r>
      <w:r>
        <w:rPr>
          <w:sz w:val="24"/>
          <w:szCs w:val="24"/>
        </w:rPr>
        <w:t xml:space="preserve">. </w:t>
      </w:r>
      <w:r w:rsidR="00CC5B3A" w:rsidRPr="00CC5B3A">
        <w:rPr>
          <w:sz w:val="24"/>
          <w:szCs w:val="24"/>
        </w:rPr>
        <w:t xml:space="preserve">Učinci promjena u makroekonomskom  okruženju stoga mogu biti različiti za tzv. </w:t>
      </w:r>
      <w:r w:rsidR="00CC5B3A" w:rsidRPr="00CC5B3A">
        <w:rPr>
          <w:color w:val="C00000"/>
          <w:sz w:val="24"/>
          <w:szCs w:val="24"/>
        </w:rPr>
        <w:t xml:space="preserve">cikličke dionice </w:t>
      </w:r>
      <w:r w:rsidR="00CC5B3A">
        <w:rPr>
          <w:sz w:val="24"/>
          <w:szCs w:val="24"/>
        </w:rPr>
        <w:t>u odnosu na</w:t>
      </w:r>
      <w:r w:rsidR="00CC5B3A" w:rsidRPr="00CC5B3A">
        <w:rPr>
          <w:sz w:val="24"/>
          <w:szCs w:val="24"/>
        </w:rPr>
        <w:t xml:space="preserve"> </w:t>
      </w:r>
      <w:r w:rsidR="00CC5B3A" w:rsidRPr="00CC5B3A">
        <w:rPr>
          <w:color w:val="C00000"/>
          <w:sz w:val="24"/>
          <w:szCs w:val="24"/>
        </w:rPr>
        <w:t xml:space="preserve">defenzivne </w:t>
      </w:r>
      <w:r w:rsidR="00CC5B3A">
        <w:rPr>
          <w:color w:val="C00000"/>
          <w:sz w:val="24"/>
          <w:szCs w:val="24"/>
        </w:rPr>
        <w:t xml:space="preserve">(necikličke) </w:t>
      </w:r>
      <w:r w:rsidR="00CC5B3A" w:rsidRPr="00CC5B3A">
        <w:rPr>
          <w:color w:val="C00000"/>
          <w:sz w:val="24"/>
          <w:szCs w:val="24"/>
        </w:rPr>
        <w:t xml:space="preserve">dionice </w:t>
      </w:r>
      <w:r w:rsidR="00CC5B3A" w:rsidRPr="00CC5B3A">
        <w:rPr>
          <w:sz w:val="24"/>
          <w:szCs w:val="24"/>
        </w:rPr>
        <w:t>(odnosno dionice poduzeća koja nisu pod značajnim utjecajem cikličkih promjena).</w:t>
      </w:r>
    </w:p>
    <w:tbl>
      <w:tblPr>
        <w:tblStyle w:val="Reetkatablice"/>
        <w:tblW w:w="0" w:type="auto"/>
        <w:tblInd w:w="108" w:type="dxa"/>
        <w:tblLook w:val="04A0" w:firstRow="1" w:lastRow="0" w:firstColumn="1" w:lastColumn="0" w:noHBand="0" w:noVBand="1"/>
      </w:tblPr>
      <w:tblGrid>
        <w:gridCol w:w="5526"/>
        <w:gridCol w:w="3546"/>
      </w:tblGrid>
      <w:tr w:rsidR="00A00918" w:rsidTr="00A00918">
        <w:tc>
          <w:tcPr>
            <w:tcW w:w="5526" w:type="dxa"/>
          </w:tcPr>
          <w:p w:rsidR="00A00918" w:rsidRDefault="00A00918" w:rsidP="00CB3695">
            <w:pPr>
              <w:jc w:val="both"/>
            </w:pPr>
            <w:r>
              <w:rPr>
                <w:rFonts w:asciiTheme="minorHAnsi" w:eastAsiaTheme="minorHAnsi" w:hAnsiTheme="minorHAnsi" w:cstheme="minorBidi"/>
                <w:sz w:val="22"/>
                <w:szCs w:val="22"/>
                <w:lang w:eastAsia="en-US"/>
              </w:rPr>
              <w:object w:dxaOrig="5310" w:dyaOrig="4590">
                <v:shape id="_x0000_i1038" type="#_x0000_t75" style="width:265.5pt;height:229.5pt" o:ole="">
                  <v:imagedata r:id="rId92" o:title=""/>
                </v:shape>
                <o:OLEObject Type="Embed" ProgID="PBrush" ShapeID="_x0000_i1038" DrawAspect="Content" ObjectID="_1505681366" r:id="rId93"/>
              </w:object>
            </w:r>
          </w:p>
          <w:p w:rsidR="00A00918" w:rsidRPr="00A00918" w:rsidRDefault="00A00918" w:rsidP="000407CF">
            <w:pPr>
              <w:spacing w:before="120" w:after="120"/>
              <w:jc w:val="both"/>
              <w:rPr>
                <w:rFonts w:asciiTheme="minorHAnsi" w:hAnsiTheme="minorHAnsi"/>
                <w:sz w:val="24"/>
                <w:szCs w:val="24"/>
              </w:rPr>
            </w:pPr>
            <w:r w:rsidRPr="00A00918">
              <w:rPr>
                <w:rFonts w:asciiTheme="minorHAnsi" w:hAnsiTheme="minorHAnsi"/>
              </w:rPr>
              <w:t>Izvor: preuzeto sa: Gvozdanović, I. (2015.): „Gdje ulagati a što izbjegavati“, dostupno na: http://www.banka.hr/komentari-i-analize/gdje-ulagati-a-sto-izbjegavati</w:t>
            </w:r>
          </w:p>
        </w:tc>
        <w:tc>
          <w:tcPr>
            <w:tcW w:w="3546" w:type="dxa"/>
          </w:tcPr>
          <w:p w:rsidR="00A00918" w:rsidRDefault="00A00918" w:rsidP="00A00918">
            <w:pPr>
              <w:spacing w:before="120" w:after="120"/>
              <w:jc w:val="both"/>
              <w:rPr>
                <w:rFonts w:asciiTheme="minorHAnsi" w:hAnsiTheme="minorHAnsi"/>
                <w:sz w:val="24"/>
                <w:szCs w:val="24"/>
              </w:rPr>
            </w:pPr>
            <w:r w:rsidRPr="00A00918">
              <w:rPr>
                <w:rFonts w:asciiTheme="minorHAnsi" w:hAnsiTheme="minorHAnsi"/>
                <w:sz w:val="24"/>
                <w:szCs w:val="24"/>
              </w:rPr>
              <w:t xml:space="preserve">Međutim, postoje i </w:t>
            </w:r>
            <w:r w:rsidRPr="00CC5B3A">
              <w:rPr>
                <w:rFonts w:asciiTheme="minorHAnsi" w:hAnsiTheme="minorHAnsi"/>
                <w:color w:val="C00000"/>
                <w:sz w:val="24"/>
                <w:szCs w:val="24"/>
              </w:rPr>
              <w:t>trendovi na tržištu dionica</w:t>
            </w:r>
            <w:r w:rsidRPr="00A00918">
              <w:rPr>
                <w:rFonts w:asciiTheme="minorHAnsi" w:hAnsiTheme="minorHAnsi"/>
                <w:sz w:val="24"/>
                <w:szCs w:val="24"/>
              </w:rPr>
              <w:t xml:space="preserve"> pa tako u godinama ekonomske ekspanzije i obilja novca dionički indeksi </w:t>
            </w:r>
            <w:r w:rsidR="00CC5B3A">
              <w:rPr>
                <w:rFonts w:asciiTheme="minorHAnsi" w:hAnsiTheme="minorHAnsi"/>
                <w:sz w:val="24"/>
                <w:szCs w:val="24"/>
              </w:rPr>
              <w:t xml:space="preserve">tipično </w:t>
            </w:r>
            <w:r w:rsidRPr="00A00918">
              <w:rPr>
                <w:rFonts w:asciiTheme="minorHAnsi" w:hAnsiTheme="minorHAnsi"/>
                <w:sz w:val="24"/>
                <w:szCs w:val="24"/>
              </w:rPr>
              <w:t>bilježe rast vrijednosti, a suprotna zbivanja bilježe u godinama recesije</w:t>
            </w:r>
            <w:r w:rsidR="000407CF">
              <w:rPr>
                <w:rFonts w:asciiTheme="minorHAnsi" w:hAnsiTheme="minorHAnsi"/>
                <w:sz w:val="24"/>
                <w:szCs w:val="24"/>
              </w:rPr>
              <w:t>,</w:t>
            </w:r>
            <w:r w:rsidR="002715BC">
              <w:rPr>
                <w:rFonts w:asciiTheme="minorHAnsi" w:hAnsiTheme="minorHAnsi"/>
                <w:sz w:val="24"/>
                <w:szCs w:val="24"/>
              </w:rPr>
              <w:t xml:space="preserve"> p</w:t>
            </w:r>
            <w:r w:rsidRPr="00A00918">
              <w:rPr>
                <w:rFonts w:asciiTheme="minorHAnsi" w:hAnsiTheme="minorHAnsi"/>
                <w:sz w:val="24"/>
                <w:szCs w:val="24"/>
              </w:rPr>
              <w:t>esimizma</w:t>
            </w:r>
            <w:r w:rsidR="000407CF">
              <w:rPr>
                <w:rFonts w:asciiTheme="minorHAnsi" w:hAnsiTheme="minorHAnsi"/>
                <w:sz w:val="24"/>
                <w:szCs w:val="24"/>
              </w:rPr>
              <w:t>,</w:t>
            </w:r>
            <w:r w:rsidRPr="00A00918">
              <w:rPr>
                <w:rFonts w:asciiTheme="minorHAnsi" w:hAnsiTheme="minorHAnsi"/>
                <w:sz w:val="24"/>
                <w:szCs w:val="24"/>
              </w:rPr>
              <w:t xml:space="preserve"> neizvjesnosti i/ili smanjene količine optjecaja novca. </w:t>
            </w:r>
          </w:p>
          <w:p w:rsidR="00A00918" w:rsidRPr="00A00918" w:rsidRDefault="00A00918" w:rsidP="000407CF">
            <w:pPr>
              <w:spacing w:before="120" w:after="120"/>
              <w:jc w:val="both"/>
              <w:rPr>
                <w:rFonts w:asciiTheme="minorHAnsi" w:hAnsiTheme="minorHAnsi"/>
                <w:sz w:val="24"/>
                <w:szCs w:val="24"/>
              </w:rPr>
            </w:pPr>
            <w:r w:rsidRPr="00A00918">
              <w:rPr>
                <w:rFonts w:asciiTheme="minorHAnsi" w:hAnsiTheme="minorHAnsi"/>
                <w:sz w:val="24"/>
                <w:szCs w:val="24"/>
              </w:rPr>
              <w:t xml:space="preserve">Pri tome su </w:t>
            </w:r>
            <w:r>
              <w:rPr>
                <w:rFonts w:asciiTheme="minorHAnsi" w:hAnsiTheme="minorHAnsi"/>
                <w:sz w:val="24"/>
                <w:szCs w:val="24"/>
              </w:rPr>
              <w:t xml:space="preserve">kretanja cijena pojedinih dionica </w:t>
            </w:r>
            <w:r w:rsidRPr="00A00918">
              <w:rPr>
                <w:rFonts w:asciiTheme="minorHAnsi" w:hAnsiTheme="minorHAnsi"/>
                <w:color w:val="C00000"/>
                <w:sz w:val="24"/>
                <w:szCs w:val="24"/>
              </w:rPr>
              <w:t xml:space="preserve">najčešće barometar </w:t>
            </w:r>
            <w:r w:rsidRPr="00A00918">
              <w:rPr>
                <w:rFonts w:asciiTheme="minorHAnsi" w:hAnsiTheme="minorHAnsi"/>
                <w:sz w:val="24"/>
                <w:szCs w:val="24"/>
              </w:rPr>
              <w:t xml:space="preserve">budućih ekonomskih zbivanja, što znači da uzlet na tržištu dionica pojedinih </w:t>
            </w:r>
            <w:r>
              <w:rPr>
                <w:rFonts w:asciiTheme="minorHAnsi" w:hAnsiTheme="minorHAnsi"/>
                <w:sz w:val="24"/>
                <w:szCs w:val="24"/>
              </w:rPr>
              <w:t>djelatnosti / industrija</w:t>
            </w:r>
            <w:r w:rsidRPr="00A00918">
              <w:rPr>
                <w:rFonts w:asciiTheme="minorHAnsi" w:hAnsiTheme="minorHAnsi"/>
                <w:sz w:val="24"/>
                <w:szCs w:val="24"/>
              </w:rPr>
              <w:t xml:space="preserve"> prethodi ekonomskom uzletu – iako to n</w:t>
            </w:r>
            <w:r w:rsidR="000407CF">
              <w:rPr>
                <w:rFonts w:asciiTheme="minorHAnsi" w:hAnsiTheme="minorHAnsi"/>
                <w:sz w:val="24"/>
                <w:szCs w:val="24"/>
              </w:rPr>
              <w:t>e mora biti</w:t>
            </w:r>
            <w:r w:rsidRPr="00A00918">
              <w:rPr>
                <w:rFonts w:asciiTheme="minorHAnsi" w:hAnsiTheme="minorHAnsi"/>
                <w:sz w:val="24"/>
                <w:szCs w:val="24"/>
              </w:rPr>
              <w:t xml:space="preserve"> pravilo.</w:t>
            </w:r>
          </w:p>
        </w:tc>
      </w:tr>
    </w:tbl>
    <w:p w:rsidR="00F00FEE" w:rsidRDefault="00A00918" w:rsidP="00A00918">
      <w:pPr>
        <w:spacing w:before="240"/>
        <w:jc w:val="both"/>
        <w:rPr>
          <w:sz w:val="24"/>
          <w:szCs w:val="24"/>
        </w:rPr>
      </w:pPr>
      <w:r w:rsidRPr="00D858DA">
        <w:rPr>
          <w:sz w:val="24"/>
          <w:szCs w:val="24"/>
        </w:rPr>
        <w:t xml:space="preserve">Kretanje cijena dionica tako je dijelom određeno rezultatima poslovanja </w:t>
      </w:r>
      <w:r w:rsidR="000407CF">
        <w:rPr>
          <w:sz w:val="24"/>
          <w:szCs w:val="24"/>
        </w:rPr>
        <w:t xml:space="preserve">i </w:t>
      </w:r>
      <w:r w:rsidRPr="00D858DA">
        <w:rPr>
          <w:sz w:val="24"/>
          <w:szCs w:val="24"/>
        </w:rPr>
        <w:t>pokazateljima budućih pozitivnih ili negativnih zbivanja koja se odražavaju na poslovanje poduzeća, dok je dijelom i pod utjecajem špekulacija koje nemaju racionalno ni fundamentalno uporište</w:t>
      </w:r>
      <w:r w:rsidR="000407CF">
        <w:rPr>
          <w:sz w:val="24"/>
          <w:szCs w:val="24"/>
        </w:rPr>
        <w:t>, uključujući učinke „</w:t>
      </w:r>
      <w:r w:rsidRPr="00D858DA">
        <w:rPr>
          <w:sz w:val="24"/>
          <w:szCs w:val="24"/>
        </w:rPr>
        <w:t>emocija</w:t>
      </w:r>
      <w:r w:rsidR="000407CF">
        <w:rPr>
          <w:sz w:val="24"/>
          <w:szCs w:val="24"/>
        </w:rPr>
        <w:t xml:space="preserve">“ </w:t>
      </w:r>
      <w:r w:rsidRPr="00D858DA">
        <w:rPr>
          <w:sz w:val="24"/>
          <w:szCs w:val="24"/>
        </w:rPr>
        <w:t xml:space="preserve">ulagača </w:t>
      </w:r>
      <w:r w:rsidR="000407CF">
        <w:rPr>
          <w:sz w:val="24"/>
          <w:szCs w:val="24"/>
        </w:rPr>
        <w:t>poput:  pohlepe, nade</w:t>
      </w:r>
      <w:r w:rsidRPr="00D858DA">
        <w:rPr>
          <w:sz w:val="24"/>
          <w:szCs w:val="24"/>
        </w:rPr>
        <w:t>, strah</w:t>
      </w:r>
      <w:r w:rsidR="000407CF">
        <w:rPr>
          <w:sz w:val="24"/>
          <w:szCs w:val="24"/>
        </w:rPr>
        <w:t>a</w:t>
      </w:r>
      <w:r w:rsidRPr="00D858DA">
        <w:rPr>
          <w:sz w:val="24"/>
          <w:szCs w:val="24"/>
        </w:rPr>
        <w:t xml:space="preserve"> i žaljenje.</w:t>
      </w:r>
    </w:p>
    <w:p w:rsidR="000407CF" w:rsidRDefault="000407CF" w:rsidP="00A00918">
      <w:pPr>
        <w:jc w:val="both"/>
        <w:rPr>
          <w:b/>
          <w:sz w:val="24"/>
          <w:szCs w:val="24"/>
        </w:rPr>
      </w:pPr>
    </w:p>
    <w:p w:rsidR="000407CF" w:rsidRDefault="000407CF" w:rsidP="00A00918">
      <w:pPr>
        <w:jc w:val="both"/>
        <w:rPr>
          <w:b/>
          <w:sz w:val="24"/>
          <w:szCs w:val="24"/>
        </w:rPr>
      </w:pPr>
    </w:p>
    <w:p w:rsidR="00A00918" w:rsidRPr="00CA2962" w:rsidRDefault="00A00918" w:rsidP="00A00918">
      <w:pPr>
        <w:jc w:val="both"/>
        <w:rPr>
          <w:b/>
          <w:sz w:val="24"/>
          <w:szCs w:val="24"/>
        </w:rPr>
      </w:pPr>
      <w:r w:rsidRPr="00CA2962">
        <w:rPr>
          <w:b/>
          <w:sz w:val="24"/>
          <w:szCs w:val="24"/>
        </w:rPr>
        <w:lastRenderedPageBreak/>
        <w:t>Slika 3</w:t>
      </w:r>
      <w:r>
        <w:rPr>
          <w:b/>
          <w:sz w:val="24"/>
          <w:szCs w:val="24"/>
        </w:rPr>
        <w:t>3</w:t>
      </w:r>
      <w:r w:rsidRPr="00CA2962">
        <w:rPr>
          <w:b/>
          <w:sz w:val="24"/>
          <w:szCs w:val="24"/>
        </w:rPr>
        <w:t>: Primjer oscilacija cijene izabrane dionice u kratkom i dugom roku</w:t>
      </w:r>
    </w:p>
    <w:p w:rsidR="00A00918" w:rsidRDefault="00A00918" w:rsidP="00A00918">
      <w:pPr>
        <w:spacing w:after="120"/>
        <w:jc w:val="both"/>
        <w:rPr>
          <w:sz w:val="24"/>
          <w:szCs w:val="24"/>
        </w:rPr>
      </w:pPr>
      <w:r>
        <w:rPr>
          <w:noProof/>
          <w:sz w:val="24"/>
          <w:szCs w:val="24"/>
          <w:lang w:eastAsia="hr-HR"/>
        </w:rPr>
        <w:drawing>
          <wp:inline distT="0" distB="0" distL="0" distR="0" wp14:anchorId="32ED1B9A" wp14:editId="4D489FB6">
            <wp:extent cx="5753100" cy="1495425"/>
            <wp:effectExtent l="0" t="0" r="0" b="952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3100" cy="1495425"/>
                    </a:xfrm>
                    <a:prstGeom prst="rect">
                      <a:avLst/>
                    </a:prstGeom>
                    <a:noFill/>
                    <a:ln>
                      <a:noFill/>
                    </a:ln>
                  </pic:spPr>
                </pic:pic>
              </a:graphicData>
            </a:graphic>
          </wp:inline>
        </w:drawing>
      </w:r>
    </w:p>
    <w:p w:rsidR="00A00918" w:rsidRDefault="00A00918" w:rsidP="00A00918">
      <w:pPr>
        <w:jc w:val="both"/>
        <w:rPr>
          <w:rStyle w:val="Hiperveza"/>
          <w:sz w:val="20"/>
          <w:szCs w:val="20"/>
        </w:rPr>
      </w:pPr>
      <w:r>
        <w:rPr>
          <w:sz w:val="20"/>
          <w:szCs w:val="20"/>
        </w:rPr>
        <w:t>Izvor: p</w:t>
      </w:r>
      <w:r w:rsidRPr="00CA2962">
        <w:rPr>
          <w:sz w:val="20"/>
          <w:szCs w:val="20"/>
        </w:rPr>
        <w:t xml:space="preserve">reuzeto sa: </w:t>
      </w:r>
      <w:hyperlink r:id="rId95" w:history="1">
        <w:r w:rsidRPr="00CE5ADB">
          <w:rPr>
            <w:rStyle w:val="Hiperveza"/>
            <w:sz w:val="20"/>
            <w:szCs w:val="20"/>
          </w:rPr>
          <w:t>http://www.mojedionice.com/trg/IzvPovijestCijena.aspx?sifSim=ADRS-R-A&amp;perDug=zad</w:t>
        </w:r>
      </w:hyperlink>
    </w:p>
    <w:p w:rsidR="00F00FEE" w:rsidRPr="00CA2962" w:rsidRDefault="00F00FEE" w:rsidP="00A00918">
      <w:pPr>
        <w:jc w:val="both"/>
        <w:rPr>
          <w:b/>
          <w:sz w:val="24"/>
          <w:szCs w:val="24"/>
        </w:rPr>
      </w:pPr>
      <w:r w:rsidRPr="00CA2962">
        <w:rPr>
          <w:b/>
          <w:sz w:val="24"/>
          <w:szCs w:val="24"/>
        </w:rPr>
        <w:t>Slika</w:t>
      </w:r>
      <w:r>
        <w:rPr>
          <w:b/>
          <w:sz w:val="24"/>
          <w:szCs w:val="24"/>
        </w:rPr>
        <w:t xml:space="preserve"> 3</w:t>
      </w:r>
      <w:r w:rsidR="003A7D9D">
        <w:rPr>
          <w:b/>
          <w:sz w:val="24"/>
          <w:szCs w:val="24"/>
        </w:rPr>
        <w:t>4</w:t>
      </w:r>
      <w:r w:rsidRPr="00CA2962">
        <w:rPr>
          <w:b/>
          <w:sz w:val="24"/>
          <w:szCs w:val="24"/>
        </w:rPr>
        <w:t xml:space="preserve">: Primjer oscilacija cijene izabrane </w:t>
      </w:r>
      <w:r>
        <w:rPr>
          <w:b/>
          <w:sz w:val="24"/>
          <w:szCs w:val="24"/>
        </w:rPr>
        <w:t>državne obveznice</w:t>
      </w:r>
    </w:p>
    <w:p w:rsidR="00F00FEE" w:rsidRDefault="00F00FEE" w:rsidP="00F00FEE">
      <w:pPr>
        <w:spacing w:after="0"/>
        <w:jc w:val="both"/>
        <w:rPr>
          <w:sz w:val="20"/>
          <w:szCs w:val="20"/>
        </w:rPr>
      </w:pPr>
      <w:r>
        <w:rPr>
          <w:noProof/>
          <w:sz w:val="20"/>
          <w:szCs w:val="20"/>
          <w:lang w:eastAsia="hr-HR"/>
        </w:rPr>
        <w:drawing>
          <wp:inline distT="0" distB="0" distL="0" distR="0" wp14:anchorId="7623EEDE" wp14:editId="5B8FAE1D">
            <wp:extent cx="5762625" cy="2419350"/>
            <wp:effectExtent l="0" t="0" r="9525"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2625" cy="2419350"/>
                    </a:xfrm>
                    <a:prstGeom prst="rect">
                      <a:avLst/>
                    </a:prstGeom>
                    <a:noFill/>
                    <a:ln>
                      <a:noFill/>
                    </a:ln>
                  </pic:spPr>
                </pic:pic>
              </a:graphicData>
            </a:graphic>
          </wp:inline>
        </w:drawing>
      </w:r>
    </w:p>
    <w:p w:rsidR="00F00FEE" w:rsidRDefault="001A23EC" w:rsidP="00F00FEE">
      <w:pPr>
        <w:jc w:val="both"/>
        <w:rPr>
          <w:sz w:val="20"/>
          <w:szCs w:val="20"/>
        </w:rPr>
      </w:pPr>
      <w:r>
        <w:rPr>
          <w:sz w:val="20"/>
          <w:szCs w:val="20"/>
        </w:rPr>
        <w:t>Izvor: p</w:t>
      </w:r>
      <w:r w:rsidR="00F00FEE" w:rsidRPr="00CA2962">
        <w:rPr>
          <w:sz w:val="20"/>
          <w:szCs w:val="20"/>
        </w:rPr>
        <w:t>reuzeto sa</w:t>
      </w:r>
      <w:r w:rsidR="00F00FEE">
        <w:rPr>
          <w:sz w:val="20"/>
          <w:szCs w:val="20"/>
        </w:rPr>
        <w:t xml:space="preserve">: </w:t>
      </w:r>
      <w:hyperlink r:id="rId97" w:history="1">
        <w:r w:rsidR="00F00FEE" w:rsidRPr="00CE5ADB">
          <w:rPr>
            <w:rStyle w:val="Hiperveza"/>
            <w:sz w:val="20"/>
            <w:szCs w:val="20"/>
          </w:rPr>
          <w:t>http://zse.hr/default.aspx?id=10006&amp;dionica=RHMF-O-187A</w:t>
        </w:r>
      </w:hyperlink>
    </w:p>
    <w:tbl>
      <w:tblPr>
        <w:tblStyle w:val="Reetkatablice"/>
        <w:tblW w:w="0" w:type="auto"/>
        <w:tblInd w:w="108" w:type="dxa"/>
        <w:tblLook w:val="04A0" w:firstRow="1" w:lastRow="0" w:firstColumn="1" w:lastColumn="0" w:noHBand="0" w:noVBand="1"/>
      </w:tblPr>
      <w:tblGrid>
        <w:gridCol w:w="9072"/>
      </w:tblGrid>
      <w:tr w:rsidR="00A00918" w:rsidTr="00ED0E88">
        <w:tc>
          <w:tcPr>
            <w:tcW w:w="9072" w:type="dxa"/>
            <w:shd w:val="clear" w:color="auto" w:fill="F2F2F2" w:themeFill="background1" w:themeFillShade="F2"/>
          </w:tcPr>
          <w:p w:rsidR="00A00918" w:rsidRPr="00D858DA" w:rsidRDefault="00A00918" w:rsidP="00ED0E88">
            <w:pPr>
              <w:spacing w:before="120" w:after="120" w:line="264" w:lineRule="auto"/>
              <w:jc w:val="both"/>
              <w:rPr>
                <w:rFonts w:asciiTheme="minorHAnsi" w:hAnsiTheme="minorHAnsi"/>
                <w:color w:val="C00000"/>
                <w:sz w:val="24"/>
                <w:szCs w:val="24"/>
              </w:rPr>
            </w:pPr>
            <w:r>
              <w:rPr>
                <w:rFonts w:asciiTheme="minorHAnsi" w:hAnsiTheme="minorHAnsi"/>
                <w:color w:val="C00000"/>
                <w:sz w:val="24"/>
                <w:szCs w:val="24"/>
              </w:rPr>
              <w:t>M</w:t>
            </w:r>
            <w:r w:rsidRPr="00D858DA">
              <w:rPr>
                <w:rFonts w:asciiTheme="minorHAnsi" w:hAnsiTheme="minorHAnsi"/>
                <w:color w:val="C00000"/>
                <w:sz w:val="24"/>
                <w:szCs w:val="24"/>
              </w:rPr>
              <w:t>udrosti</w:t>
            </w:r>
            <w:r>
              <w:rPr>
                <w:rFonts w:asciiTheme="minorHAnsi" w:hAnsiTheme="minorHAnsi"/>
                <w:color w:val="C00000"/>
                <w:sz w:val="24"/>
                <w:szCs w:val="24"/>
              </w:rPr>
              <w:t xml:space="preserve"> i iskustva drugih</w:t>
            </w:r>
          </w:p>
          <w:p w:rsidR="00A00918" w:rsidRPr="00D858DA" w:rsidRDefault="00A00918" w:rsidP="00ED0E88">
            <w:pPr>
              <w:spacing w:before="120" w:after="120" w:line="264" w:lineRule="auto"/>
              <w:jc w:val="both"/>
              <w:rPr>
                <w:rFonts w:asciiTheme="minorHAnsi" w:hAnsiTheme="minorHAnsi"/>
                <w:sz w:val="24"/>
                <w:szCs w:val="24"/>
              </w:rPr>
            </w:pPr>
            <w:r w:rsidRPr="00D858DA">
              <w:rPr>
                <w:rFonts w:asciiTheme="minorHAnsi" w:hAnsiTheme="minorHAnsi"/>
                <w:sz w:val="24"/>
                <w:szCs w:val="24"/>
              </w:rPr>
              <w:t xml:space="preserve">Imovina kojom se trguje na tržištu podložna je djelovanju temeljne zakonitosti odnosa ponude i potražnje. Ništa nije preskupo ukoliko postoje kupci koji to žele platiti i nijedna cijena nije otporna na snižavanje ukoliko postoje prodavatelji koji su spremni prodati po niskoj cijeni i kupci koji ne žele (ne mogu) platiti više. </w:t>
            </w:r>
          </w:p>
          <w:p w:rsidR="002715BC" w:rsidRPr="00D858DA" w:rsidRDefault="00A00918" w:rsidP="002715BC">
            <w:pPr>
              <w:spacing w:before="120" w:after="120"/>
              <w:jc w:val="both"/>
              <w:rPr>
                <w:rFonts w:asciiTheme="minorHAnsi" w:hAnsiTheme="minorHAnsi"/>
                <w:sz w:val="24"/>
                <w:szCs w:val="24"/>
              </w:rPr>
            </w:pPr>
            <w:r w:rsidRPr="00D858DA">
              <w:rPr>
                <w:rFonts w:asciiTheme="minorHAnsi" w:hAnsiTheme="minorHAnsi"/>
                <w:i/>
                <w:sz w:val="24"/>
                <w:szCs w:val="24"/>
              </w:rPr>
              <w:t xml:space="preserve">“Promatrao sam mnoge koju su poželjeli špekulirati s ciljem da se “brzo obogate” i svi su bankrotirali. … Vidio sam i one koji su ulazili na tržište da bi osigurali razuman profit, i ti su obično postali bogati. … Općenito, prosječni ljudi više gube nego što dobivaju i siguran put prema gubitku je krenuti putem većine.” </w:t>
            </w:r>
            <w:r w:rsidR="002715BC" w:rsidRPr="00D858DA">
              <w:rPr>
                <w:rFonts w:asciiTheme="minorHAnsi" w:hAnsiTheme="minorHAnsi"/>
                <w:sz w:val="24"/>
                <w:szCs w:val="24"/>
              </w:rPr>
              <w:t xml:space="preserve">(Leon Richardson) </w:t>
            </w:r>
          </w:p>
          <w:p w:rsidR="00A00918" w:rsidRDefault="002715BC" w:rsidP="00ED0E88">
            <w:pPr>
              <w:spacing w:before="120" w:after="120" w:line="264" w:lineRule="auto"/>
              <w:jc w:val="both"/>
              <w:rPr>
                <w:sz w:val="24"/>
                <w:szCs w:val="24"/>
              </w:rPr>
            </w:pPr>
            <w:r w:rsidRPr="00D858DA">
              <w:rPr>
                <w:i/>
                <w:sz w:val="24"/>
                <w:szCs w:val="24"/>
              </w:rPr>
              <w:t xml:space="preserve"> </w:t>
            </w:r>
            <w:r w:rsidR="00A00918" w:rsidRPr="00D858DA">
              <w:rPr>
                <w:i/>
                <w:sz w:val="24"/>
                <w:szCs w:val="24"/>
              </w:rPr>
              <w:t xml:space="preserve">„Ako je ciklus za dionice povoljan, nije čak niti toliko važno koje ste dionice odabrali.“ … Dionice bi trebalo držati u vlasništvu od kraja recesije do početka inflacije. …Obveznice se </w:t>
            </w:r>
            <w:r w:rsidR="00A00918">
              <w:rPr>
                <w:i/>
                <w:sz w:val="24"/>
                <w:szCs w:val="24"/>
              </w:rPr>
              <w:t>trebaju držati do kraja recesije</w:t>
            </w:r>
            <w:r w:rsidR="00A00918" w:rsidRPr="00D858DA">
              <w:rPr>
                <w:i/>
                <w:sz w:val="24"/>
                <w:szCs w:val="24"/>
              </w:rPr>
              <w:t>, kada investicijski ciklus počinje ponovno. … Oročene depozite u bankama – tijekom razdoblja oskudnosti novca i visokih kamatnjak, a plemenite metale i robu – u razdoblju inflacije i niskih kamatnjaka</w:t>
            </w:r>
            <w:r w:rsidR="00A00918">
              <w:rPr>
                <w:i/>
                <w:sz w:val="24"/>
                <w:szCs w:val="24"/>
              </w:rPr>
              <w:t>“</w:t>
            </w:r>
            <w:r w:rsidR="00A00918" w:rsidRPr="00D858DA">
              <w:rPr>
                <w:i/>
                <w:sz w:val="24"/>
                <w:szCs w:val="24"/>
              </w:rPr>
              <w:t xml:space="preserve"> </w:t>
            </w:r>
            <w:r w:rsidR="00A00918" w:rsidRPr="00D858DA">
              <w:rPr>
                <w:rFonts w:asciiTheme="minorHAnsi" w:hAnsiTheme="minorHAnsi"/>
                <w:sz w:val="24"/>
                <w:szCs w:val="24"/>
              </w:rPr>
              <w:t>(Leon Richardson)</w:t>
            </w:r>
          </w:p>
        </w:tc>
      </w:tr>
    </w:tbl>
    <w:p w:rsidR="00CA2962" w:rsidRDefault="00CA2962" w:rsidP="00D858DA">
      <w:pPr>
        <w:spacing w:before="240"/>
        <w:jc w:val="both"/>
        <w:rPr>
          <w:sz w:val="24"/>
          <w:szCs w:val="24"/>
        </w:rPr>
      </w:pPr>
      <w:r w:rsidRPr="00CB3695">
        <w:rPr>
          <w:sz w:val="24"/>
          <w:szCs w:val="24"/>
        </w:rPr>
        <w:lastRenderedPageBreak/>
        <w:t xml:space="preserve">Iako su </w:t>
      </w:r>
      <w:r>
        <w:rPr>
          <w:sz w:val="24"/>
          <w:szCs w:val="24"/>
        </w:rPr>
        <w:t xml:space="preserve">u kratkom roku </w:t>
      </w:r>
      <w:r w:rsidRPr="00CB3695">
        <w:rPr>
          <w:sz w:val="24"/>
          <w:szCs w:val="24"/>
        </w:rPr>
        <w:t>cijene nekretnina značajno stabilnije u odnosu na cijene dionica,</w:t>
      </w:r>
      <w:r w:rsidR="002715BC">
        <w:rPr>
          <w:sz w:val="24"/>
          <w:szCs w:val="24"/>
        </w:rPr>
        <w:t xml:space="preserve"> na dugi rok podložne su značajnim promjenama</w:t>
      </w:r>
      <w:r w:rsidRPr="00CB3695">
        <w:rPr>
          <w:sz w:val="24"/>
          <w:szCs w:val="24"/>
        </w:rPr>
        <w:t>.</w:t>
      </w:r>
      <w:r w:rsidR="00A12C59">
        <w:rPr>
          <w:sz w:val="24"/>
          <w:szCs w:val="24"/>
        </w:rPr>
        <w:t xml:space="preserve"> Rastu cijena nekretnina u Hrvatskoj u predkriznom razdoblju pogodovali su niži kamatnjaci na stambene kredite te općenito labavljenje uvjeta odobravanja kredita u domaćem bankovnom sustavu zbog obilja likvidnosti koja se pribavljala inozemnim zaduživanjem, a dodatno multiplicirala u domaćem bankovnom sustavu (kroz kreditnu aktivnost banke stvaraju i multipliciraju novac). Takva kretanja prevladavala su do 2006. od kada kamatnjaci u Hrvatskoj i eurozoni bilježe lagani rast. Rastu cijene nekretnina pogodovala je i snažna potražnja uvjetovana </w:t>
      </w:r>
      <w:r w:rsidR="004634A6">
        <w:rPr>
          <w:sz w:val="24"/>
          <w:szCs w:val="24"/>
        </w:rPr>
        <w:t xml:space="preserve">brojnim </w:t>
      </w:r>
      <w:r w:rsidR="00A12C59">
        <w:rPr>
          <w:sz w:val="24"/>
          <w:szCs w:val="24"/>
        </w:rPr>
        <w:t xml:space="preserve">drugim faktorima </w:t>
      </w:r>
      <w:r w:rsidR="004634A6">
        <w:rPr>
          <w:sz w:val="24"/>
          <w:szCs w:val="24"/>
        </w:rPr>
        <w:t xml:space="preserve">uključujući: želju </w:t>
      </w:r>
      <w:r w:rsidR="00A12C59">
        <w:rPr>
          <w:sz w:val="24"/>
          <w:szCs w:val="24"/>
        </w:rPr>
        <w:t>mladih da se osamostale od roditelja</w:t>
      </w:r>
      <w:r w:rsidR="004634A6">
        <w:rPr>
          <w:sz w:val="24"/>
          <w:szCs w:val="24"/>
        </w:rPr>
        <w:t xml:space="preserve">, želju osoba u srednjoj dobi da povećaju broj kvadrata stana u kojem žive, migracije stanovništva prema velikim gradovima, veću financijsku mogućnost građana za ulaganja u vikendice i druge nekretnine na Jadranu, značajniji interes stranaca za kupnjom nekretnine na Jadranu, kao i opći tretman </w:t>
      </w:r>
      <w:r w:rsidR="00A12C59">
        <w:rPr>
          <w:sz w:val="24"/>
          <w:szCs w:val="24"/>
        </w:rPr>
        <w:t xml:space="preserve">nekretnina kao oblika ulaganja </w:t>
      </w:r>
      <w:r w:rsidR="004634A6">
        <w:rPr>
          <w:sz w:val="24"/>
          <w:szCs w:val="24"/>
        </w:rPr>
        <w:t xml:space="preserve">(investicije) </w:t>
      </w:r>
      <w:r w:rsidR="00A12C59">
        <w:rPr>
          <w:sz w:val="24"/>
          <w:szCs w:val="24"/>
        </w:rPr>
        <w:t>s ciljem ostvarivanja kapitalnih dobitaka</w:t>
      </w:r>
      <w:r w:rsidR="004634A6">
        <w:rPr>
          <w:sz w:val="24"/>
          <w:szCs w:val="24"/>
        </w:rPr>
        <w:t xml:space="preserve">. Iako su nekretnine realna imovina pojedini segmenti potražnje za njima tretirali su ih kao oblik financijske imovine u funkciji oplođivanja kapitala. S druge strane ponuda nekretnina bila je ograničena, što je sve zajedno pridonosilo rastu njihovih cijena posebice na atraktivnim lokacijama. Međutim, situacija se bitno promijenila od početka globalne financijske krize i razvoja recesije, tako da su brojne u međuvremenu sagrađene nekretnine ostale bez kupaca i danas za mnoge poduzetnike ali i brojne građane predstavljaju „mrtvi kapital“. Ne donose mogućnost povećanja prihoda od njihove prodaje i/ili iznajmljivanja, a tržišna vrijednost im je znatno ispod zabilježene tijekom 2007. i prvoj polovici 2008. </w:t>
      </w:r>
    </w:p>
    <w:p w:rsidR="002715BC" w:rsidRDefault="003A7D9D" w:rsidP="002715BC">
      <w:pPr>
        <w:spacing w:before="240" w:after="120" w:line="240" w:lineRule="auto"/>
        <w:jc w:val="both"/>
        <w:rPr>
          <w:b/>
          <w:sz w:val="24"/>
          <w:szCs w:val="24"/>
        </w:rPr>
      </w:pPr>
      <w:r w:rsidRPr="003A7D9D">
        <w:rPr>
          <w:b/>
          <w:sz w:val="24"/>
          <w:szCs w:val="24"/>
        </w:rPr>
        <w:t>Slika 35. Godišnji prirast stambenih kredita banaka i kretanje hedonističkog indeksa cijena stambenih nekretnina</w:t>
      </w:r>
      <w:r>
        <w:rPr>
          <w:b/>
          <w:sz w:val="24"/>
          <w:szCs w:val="24"/>
        </w:rPr>
        <w:t>*</w:t>
      </w:r>
      <w:r w:rsidRPr="003A7D9D">
        <w:rPr>
          <w:b/>
          <w:sz w:val="24"/>
          <w:szCs w:val="24"/>
        </w:rPr>
        <w:t xml:space="preserve"> (na tromjesečnoj razini)</w:t>
      </w:r>
    </w:p>
    <w:p w:rsidR="00A57A2E" w:rsidRDefault="00A57A2E" w:rsidP="002715BC">
      <w:pPr>
        <w:spacing w:before="240" w:after="120" w:line="240" w:lineRule="auto"/>
        <w:jc w:val="both"/>
        <w:rPr>
          <w:sz w:val="24"/>
          <w:szCs w:val="24"/>
        </w:rPr>
      </w:pPr>
      <w:r>
        <w:rPr>
          <w:noProof/>
          <w:sz w:val="24"/>
          <w:szCs w:val="24"/>
          <w:lang w:eastAsia="hr-HR"/>
        </w:rPr>
        <w:drawing>
          <wp:inline distT="0" distB="0" distL="0" distR="0" wp14:anchorId="321764EE" wp14:editId="4687C27F">
            <wp:extent cx="5210175" cy="3105402"/>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11580" cy="3106239"/>
                    </a:xfrm>
                    <a:prstGeom prst="rect">
                      <a:avLst/>
                    </a:prstGeom>
                    <a:noFill/>
                    <a:ln>
                      <a:noFill/>
                    </a:ln>
                  </pic:spPr>
                </pic:pic>
              </a:graphicData>
            </a:graphic>
          </wp:inline>
        </w:drawing>
      </w:r>
    </w:p>
    <w:p w:rsidR="003A7D9D" w:rsidRPr="003A7D9D" w:rsidRDefault="003A7D9D" w:rsidP="002715BC">
      <w:pPr>
        <w:spacing w:after="0" w:line="240" w:lineRule="auto"/>
        <w:jc w:val="both"/>
        <w:rPr>
          <w:sz w:val="20"/>
          <w:szCs w:val="20"/>
        </w:rPr>
      </w:pPr>
      <w:r w:rsidRPr="003A7D9D">
        <w:rPr>
          <w:sz w:val="20"/>
          <w:szCs w:val="20"/>
        </w:rPr>
        <w:t>* „Hedonistički indeks cijena stambenih nekretnina uzima u obzir kvalitativne faktore pri standardiziranju stambenih jedinica.“</w:t>
      </w:r>
    </w:p>
    <w:p w:rsidR="003A7D9D" w:rsidRPr="003A7D9D" w:rsidRDefault="001A23EC" w:rsidP="002715BC">
      <w:pPr>
        <w:spacing w:after="0" w:line="240" w:lineRule="auto"/>
        <w:jc w:val="both"/>
        <w:rPr>
          <w:sz w:val="20"/>
          <w:szCs w:val="20"/>
        </w:rPr>
      </w:pPr>
      <w:r>
        <w:rPr>
          <w:sz w:val="20"/>
          <w:szCs w:val="20"/>
        </w:rPr>
        <w:t>Izvor: p</w:t>
      </w:r>
      <w:r w:rsidR="00374C83">
        <w:rPr>
          <w:sz w:val="20"/>
          <w:szCs w:val="20"/>
        </w:rPr>
        <w:t>reuzeto iz</w:t>
      </w:r>
      <w:r w:rsidR="00374C83" w:rsidRPr="003A7D9D">
        <w:rPr>
          <w:sz w:val="20"/>
          <w:szCs w:val="20"/>
        </w:rPr>
        <w:t xml:space="preserve"> </w:t>
      </w:r>
      <w:r w:rsidR="003A7D9D" w:rsidRPr="003A7D9D">
        <w:rPr>
          <w:sz w:val="20"/>
          <w:szCs w:val="20"/>
        </w:rPr>
        <w:t xml:space="preserve"> HNB (2015.) „Financijska stabilnost“</w:t>
      </w:r>
      <w:r w:rsidR="003A7D9D">
        <w:rPr>
          <w:sz w:val="20"/>
          <w:szCs w:val="20"/>
        </w:rPr>
        <w:t xml:space="preserve">, br. </w:t>
      </w:r>
      <w:r w:rsidR="003A7D9D" w:rsidRPr="003A7D9D">
        <w:rPr>
          <w:sz w:val="20"/>
          <w:szCs w:val="20"/>
        </w:rPr>
        <w:t>15.</w:t>
      </w:r>
    </w:p>
    <w:p w:rsidR="00DA1935" w:rsidRDefault="001E598C" w:rsidP="009D1BA0">
      <w:pPr>
        <w:spacing w:before="240"/>
        <w:jc w:val="both"/>
        <w:rPr>
          <w:noProof/>
          <w:sz w:val="24"/>
          <w:szCs w:val="24"/>
          <w:lang w:eastAsia="hr-HR"/>
        </w:rPr>
      </w:pPr>
      <w:r>
        <w:rPr>
          <w:noProof/>
          <w:sz w:val="24"/>
          <w:szCs w:val="24"/>
          <w:lang w:eastAsia="hr-HR"/>
        </w:rPr>
        <w:lastRenderedPageBreak/>
        <w:t xml:space="preserve">Tržišni rizik </w:t>
      </w:r>
      <w:r w:rsidR="006E3191">
        <w:rPr>
          <w:noProof/>
          <w:sz w:val="24"/>
          <w:szCs w:val="24"/>
          <w:lang w:eastAsia="hr-HR"/>
        </w:rPr>
        <w:t xml:space="preserve">dolazi do izražaja i kod </w:t>
      </w:r>
      <w:r>
        <w:rPr>
          <w:noProof/>
          <w:sz w:val="24"/>
          <w:szCs w:val="24"/>
          <w:lang w:eastAsia="hr-HR"/>
        </w:rPr>
        <w:t>različit</w:t>
      </w:r>
      <w:r w:rsidR="006E3191">
        <w:rPr>
          <w:noProof/>
          <w:sz w:val="24"/>
          <w:szCs w:val="24"/>
          <w:lang w:eastAsia="hr-HR"/>
        </w:rPr>
        <w:t>ih</w:t>
      </w:r>
      <w:r>
        <w:rPr>
          <w:noProof/>
          <w:sz w:val="24"/>
          <w:szCs w:val="24"/>
          <w:lang w:eastAsia="hr-HR"/>
        </w:rPr>
        <w:t xml:space="preserve"> drug</w:t>
      </w:r>
      <w:r w:rsidR="006E3191">
        <w:rPr>
          <w:noProof/>
          <w:sz w:val="24"/>
          <w:szCs w:val="24"/>
          <w:lang w:eastAsia="hr-HR"/>
        </w:rPr>
        <w:t>ih</w:t>
      </w:r>
      <w:r>
        <w:rPr>
          <w:noProof/>
          <w:sz w:val="24"/>
          <w:szCs w:val="24"/>
          <w:lang w:eastAsia="hr-HR"/>
        </w:rPr>
        <w:t xml:space="preserve"> oblike financijske i realne imovine</w:t>
      </w:r>
      <w:r w:rsidR="00CE7CA4">
        <w:rPr>
          <w:noProof/>
          <w:sz w:val="24"/>
          <w:szCs w:val="24"/>
          <w:lang w:eastAsia="hr-HR"/>
        </w:rPr>
        <w:t xml:space="preserve"> kućanstva</w:t>
      </w:r>
      <w:r w:rsidR="006E3191">
        <w:rPr>
          <w:noProof/>
          <w:sz w:val="24"/>
          <w:szCs w:val="24"/>
          <w:lang w:eastAsia="hr-HR"/>
        </w:rPr>
        <w:t xml:space="preserve"> </w:t>
      </w:r>
      <w:r w:rsidR="00CC5B3A">
        <w:rPr>
          <w:noProof/>
          <w:sz w:val="24"/>
          <w:szCs w:val="24"/>
          <w:lang w:eastAsia="hr-HR"/>
        </w:rPr>
        <w:t xml:space="preserve">(koja </w:t>
      </w:r>
      <w:r w:rsidR="006E3191">
        <w:rPr>
          <w:noProof/>
          <w:sz w:val="24"/>
          <w:szCs w:val="24"/>
          <w:lang w:eastAsia="hr-HR"/>
        </w:rPr>
        <w:t xml:space="preserve">u budućnosti </w:t>
      </w:r>
      <w:r w:rsidR="00CC5B3A">
        <w:rPr>
          <w:noProof/>
          <w:sz w:val="24"/>
          <w:szCs w:val="24"/>
          <w:lang w:eastAsia="hr-HR"/>
        </w:rPr>
        <w:t xml:space="preserve">može biti </w:t>
      </w:r>
      <w:r w:rsidR="006E3191">
        <w:rPr>
          <w:noProof/>
          <w:sz w:val="24"/>
          <w:szCs w:val="24"/>
          <w:lang w:eastAsia="hr-HR"/>
        </w:rPr>
        <w:t>predmet prodaje/ otuđenja</w:t>
      </w:r>
      <w:r w:rsidR="00CC5B3A">
        <w:rPr>
          <w:noProof/>
          <w:sz w:val="24"/>
          <w:szCs w:val="24"/>
          <w:lang w:eastAsia="hr-HR"/>
        </w:rPr>
        <w:t>)</w:t>
      </w:r>
      <w:r w:rsidR="006E3191">
        <w:rPr>
          <w:noProof/>
          <w:sz w:val="24"/>
          <w:szCs w:val="24"/>
          <w:lang w:eastAsia="hr-HR"/>
        </w:rPr>
        <w:t xml:space="preserve">. Međutim, razumijevanje postojanja tržišnih rizika </w:t>
      </w:r>
      <w:r w:rsidR="00AE6EEA">
        <w:rPr>
          <w:noProof/>
          <w:sz w:val="24"/>
          <w:szCs w:val="24"/>
          <w:lang w:eastAsia="hr-HR"/>
        </w:rPr>
        <w:t>važno</w:t>
      </w:r>
      <w:r w:rsidR="006E3191">
        <w:rPr>
          <w:noProof/>
          <w:sz w:val="24"/>
          <w:szCs w:val="24"/>
          <w:lang w:eastAsia="hr-HR"/>
        </w:rPr>
        <w:t xml:space="preserve"> je i u različitim drugim situacijama. Na primjer, u </w:t>
      </w:r>
      <w:r w:rsidR="00CE7CA4">
        <w:rPr>
          <w:noProof/>
          <w:sz w:val="24"/>
          <w:szCs w:val="24"/>
          <w:lang w:eastAsia="hr-HR"/>
        </w:rPr>
        <w:t xml:space="preserve">slučaju cijena roba i usluga namijenjenih potrošnji postoji </w:t>
      </w:r>
      <w:r w:rsidR="00CE7CA4" w:rsidRPr="000407CF">
        <w:rPr>
          <w:noProof/>
          <w:color w:val="C00000"/>
          <w:sz w:val="24"/>
          <w:szCs w:val="24"/>
          <w:lang w:eastAsia="hr-HR"/>
        </w:rPr>
        <w:t>specifična veza između (globalnog) tržišnog rizika po pitanju kretanja cijene nafte i pokazatelja inflacijskog pritiska u zemlji</w:t>
      </w:r>
      <w:r w:rsidR="00875888" w:rsidRPr="000407CF">
        <w:rPr>
          <w:noProof/>
          <w:color w:val="C00000"/>
          <w:sz w:val="24"/>
          <w:szCs w:val="24"/>
          <w:lang w:eastAsia="hr-HR"/>
        </w:rPr>
        <w:t xml:space="preserve"> (rizika inflacije)</w:t>
      </w:r>
      <w:r w:rsidRPr="000407CF">
        <w:rPr>
          <w:noProof/>
          <w:color w:val="C00000"/>
          <w:sz w:val="24"/>
          <w:szCs w:val="24"/>
          <w:lang w:eastAsia="hr-HR"/>
        </w:rPr>
        <w:t xml:space="preserve">. </w:t>
      </w:r>
      <w:r>
        <w:rPr>
          <w:noProof/>
          <w:sz w:val="24"/>
          <w:szCs w:val="24"/>
          <w:lang w:eastAsia="hr-HR"/>
        </w:rPr>
        <w:t xml:space="preserve">Iako građani u svojoj bilanci uobičajeno nemaju potraživanja koja se </w:t>
      </w:r>
      <w:r w:rsidR="00CE7CA4">
        <w:rPr>
          <w:noProof/>
          <w:sz w:val="24"/>
          <w:szCs w:val="24"/>
          <w:lang w:eastAsia="hr-HR"/>
        </w:rPr>
        <w:t>formalno vrednuju u terminima cijene nafte</w:t>
      </w:r>
      <w:r>
        <w:rPr>
          <w:noProof/>
          <w:sz w:val="24"/>
          <w:szCs w:val="24"/>
          <w:lang w:eastAsia="hr-HR"/>
        </w:rPr>
        <w:t>, cijena nafte se itekako odražava na njihov život jer djeluje na promjene cijena svih drugih roba i usluga</w:t>
      </w:r>
      <w:r w:rsidR="00DA1935">
        <w:rPr>
          <w:noProof/>
          <w:sz w:val="24"/>
          <w:szCs w:val="24"/>
          <w:lang w:eastAsia="hr-HR"/>
        </w:rPr>
        <w:t>,</w:t>
      </w:r>
      <w:r w:rsidR="00F403D6">
        <w:rPr>
          <w:noProof/>
          <w:sz w:val="24"/>
          <w:szCs w:val="24"/>
          <w:lang w:eastAsia="hr-HR"/>
        </w:rPr>
        <w:t xml:space="preserve"> </w:t>
      </w:r>
      <w:r w:rsidR="00875888">
        <w:rPr>
          <w:noProof/>
          <w:sz w:val="24"/>
          <w:szCs w:val="24"/>
          <w:lang w:eastAsia="hr-HR"/>
        </w:rPr>
        <w:t>a posebno energenata</w:t>
      </w:r>
      <w:r w:rsidR="00DA1935">
        <w:rPr>
          <w:noProof/>
          <w:sz w:val="24"/>
          <w:szCs w:val="24"/>
          <w:lang w:eastAsia="hr-HR"/>
        </w:rPr>
        <w:t>,</w:t>
      </w:r>
      <w:r w:rsidR="00875888">
        <w:rPr>
          <w:noProof/>
          <w:sz w:val="24"/>
          <w:szCs w:val="24"/>
          <w:lang w:eastAsia="hr-HR"/>
        </w:rPr>
        <w:t xml:space="preserve"> što djeluje na r</w:t>
      </w:r>
      <w:r w:rsidR="00F403D6">
        <w:rPr>
          <w:noProof/>
          <w:sz w:val="24"/>
          <w:szCs w:val="24"/>
          <w:lang w:eastAsia="hr-HR"/>
        </w:rPr>
        <w:t>ast rashoda kućanstva u nominalnim termin</w:t>
      </w:r>
      <w:r w:rsidR="00875888">
        <w:rPr>
          <w:noProof/>
          <w:sz w:val="24"/>
          <w:szCs w:val="24"/>
          <w:lang w:eastAsia="hr-HR"/>
        </w:rPr>
        <w:t>i</w:t>
      </w:r>
      <w:r w:rsidR="00F403D6">
        <w:rPr>
          <w:noProof/>
          <w:sz w:val="24"/>
          <w:szCs w:val="24"/>
          <w:lang w:eastAsia="hr-HR"/>
        </w:rPr>
        <w:t>ma</w:t>
      </w:r>
      <w:r w:rsidR="00875888">
        <w:rPr>
          <w:noProof/>
          <w:sz w:val="24"/>
          <w:szCs w:val="24"/>
          <w:lang w:eastAsia="hr-HR"/>
        </w:rPr>
        <w:t xml:space="preserve"> - koji uobičajeno nije popraćen rastom nominalnih prihoda </w:t>
      </w:r>
      <w:r w:rsidR="00DA1935">
        <w:rPr>
          <w:noProof/>
          <w:sz w:val="24"/>
          <w:szCs w:val="24"/>
          <w:lang w:eastAsia="hr-HR"/>
        </w:rPr>
        <w:t xml:space="preserve">pa </w:t>
      </w:r>
      <w:r w:rsidR="00875888">
        <w:rPr>
          <w:noProof/>
          <w:sz w:val="24"/>
          <w:szCs w:val="24"/>
          <w:lang w:eastAsia="hr-HR"/>
        </w:rPr>
        <w:t xml:space="preserve">se smanjuje realna vrijednost raspoloživih prihoda kućanstva (smanjuje se mogućnost formiranja štednje ili su kućanstva prisiljena smanjiti potrošnju). </w:t>
      </w:r>
    </w:p>
    <w:p w:rsidR="009E05F3" w:rsidRDefault="00875888" w:rsidP="009D1BA0">
      <w:pPr>
        <w:spacing w:before="240"/>
        <w:jc w:val="both"/>
        <w:rPr>
          <w:noProof/>
          <w:sz w:val="24"/>
          <w:szCs w:val="24"/>
          <w:lang w:eastAsia="hr-HR"/>
        </w:rPr>
      </w:pPr>
      <w:r>
        <w:rPr>
          <w:noProof/>
          <w:sz w:val="24"/>
          <w:szCs w:val="24"/>
          <w:lang w:eastAsia="hr-HR"/>
        </w:rPr>
        <w:t xml:space="preserve">U opisanom slučaju učinci kretanja cijene nafte za financije kućanstva vežu uz rizik inflacije (a ne tržišni rizik), ali ne treba zaboraviti faktor neizvjesnost tržišnih promjena koje na navedeno djeluju. Isto tako važno je imati na umu i faktore koji do toga dovode. </w:t>
      </w:r>
      <w:r w:rsidR="001E598C">
        <w:rPr>
          <w:noProof/>
          <w:sz w:val="24"/>
          <w:szCs w:val="24"/>
          <w:lang w:eastAsia="hr-HR"/>
        </w:rPr>
        <w:t xml:space="preserve">Cijena nafte cijene i drugih energenata uobičajeno značajno rastu u razdobljima pada povjerenja u američki dolar </w:t>
      </w:r>
      <w:r w:rsidR="00F403D6">
        <w:rPr>
          <w:noProof/>
          <w:sz w:val="24"/>
          <w:szCs w:val="24"/>
          <w:lang w:eastAsia="hr-HR"/>
        </w:rPr>
        <w:t>odnosno njegovog slabljenj</w:t>
      </w:r>
      <w:r>
        <w:rPr>
          <w:noProof/>
          <w:sz w:val="24"/>
          <w:szCs w:val="24"/>
          <w:lang w:eastAsia="hr-HR"/>
        </w:rPr>
        <w:t>a</w:t>
      </w:r>
      <w:r w:rsidR="00F403D6">
        <w:rPr>
          <w:noProof/>
          <w:sz w:val="24"/>
          <w:szCs w:val="24"/>
          <w:lang w:eastAsia="hr-HR"/>
        </w:rPr>
        <w:t xml:space="preserve"> na svjetskom tržištu </w:t>
      </w:r>
      <w:r w:rsidR="001E598C">
        <w:rPr>
          <w:noProof/>
          <w:sz w:val="24"/>
          <w:szCs w:val="24"/>
          <w:lang w:eastAsia="hr-HR"/>
        </w:rPr>
        <w:t>(nafte se tipično vrednuje i plaća u dolarima)</w:t>
      </w:r>
      <w:r>
        <w:rPr>
          <w:noProof/>
          <w:sz w:val="24"/>
          <w:szCs w:val="24"/>
          <w:lang w:eastAsia="hr-HR"/>
        </w:rPr>
        <w:t>,</w:t>
      </w:r>
      <w:r w:rsidR="001E598C">
        <w:rPr>
          <w:noProof/>
          <w:sz w:val="24"/>
          <w:szCs w:val="24"/>
          <w:lang w:eastAsia="hr-HR"/>
        </w:rPr>
        <w:t xml:space="preserve"> </w:t>
      </w:r>
      <w:r>
        <w:rPr>
          <w:noProof/>
          <w:sz w:val="24"/>
          <w:szCs w:val="24"/>
          <w:lang w:eastAsia="hr-HR"/>
        </w:rPr>
        <w:t xml:space="preserve">tijekom </w:t>
      </w:r>
      <w:r w:rsidR="001E598C">
        <w:rPr>
          <w:noProof/>
          <w:sz w:val="24"/>
          <w:szCs w:val="24"/>
          <w:lang w:eastAsia="hr-HR"/>
        </w:rPr>
        <w:t>razdoblj</w:t>
      </w:r>
      <w:r>
        <w:rPr>
          <w:noProof/>
          <w:sz w:val="24"/>
          <w:szCs w:val="24"/>
          <w:lang w:eastAsia="hr-HR"/>
        </w:rPr>
        <w:t>a</w:t>
      </w:r>
      <w:r w:rsidR="001E598C">
        <w:rPr>
          <w:noProof/>
          <w:sz w:val="24"/>
          <w:szCs w:val="24"/>
          <w:lang w:eastAsia="hr-HR"/>
        </w:rPr>
        <w:t xml:space="preserve"> stvaranja </w:t>
      </w:r>
      <w:r>
        <w:rPr>
          <w:noProof/>
          <w:sz w:val="24"/>
          <w:szCs w:val="24"/>
          <w:lang w:eastAsia="hr-HR"/>
        </w:rPr>
        <w:t xml:space="preserve">globalne </w:t>
      </w:r>
      <w:r w:rsidR="001E598C">
        <w:rPr>
          <w:noProof/>
          <w:sz w:val="24"/>
          <w:szCs w:val="24"/>
          <w:lang w:eastAsia="hr-HR"/>
        </w:rPr>
        <w:t>naftne oskudice kroz smanjenu proizvodnju</w:t>
      </w:r>
      <w:r w:rsidR="00DA1935">
        <w:rPr>
          <w:noProof/>
          <w:sz w:val="24"/>
          <w:szCs w:val="24"/>
          <w:lang w:eastAsia="hr-HR"/>
        </w:rPr>
        <w:t xml:space="preserve"> članica OPEC-a</w:t>
      </w:r>
      <w:r>
        <w:rPr>
          <w:noProof/>
          <w:sz w:val="24"/>
          <w:szCs w:val="24"/>
          <w:lang w:eastAsia="hr-HR"/>
        </w:rPr>
        <w:t>, u uvjetima snažnijeg zamaha ekonomske aktivnosti na globalnoj razini (povećane potražnje) kao i u okolnostima geopolitičkih napetosti</w:t>
      </w:r>
      <w:r w:rsidR="00DA1935">
        <w:rPr>
          <w:noProof/>
          <w:sz w:val="24"/>
          <w:szCs w:val="24"/>
          <w:lang w:eastAsia="hr-HR"/>
        </w:rPr>
        <w:t xml:space="preserve"> i ratova u regijama koje se ističu kao izvoznici nafte na svjetsko tržište</w:t>
      </w:r>
      <w:r w:rsidR="00F403D6">
        <w:rPr>
          <w:noProof/>
          <w:sz w:val="24"/>
          <w:szCs w:val="24"/>
          <w:lang w:eastAsia="hr-HR"/>
        </w:rPr>
        <w:t xml:space="preserve">.  </w:t>
      </w:r>
    </w:p>
    <w:p w:rsidR="009D1BA0" w:rsidRPr="0093356A" w:rsidRDefault="0093356A" w:rsidP="0093356A">
      <w:pPr>
        <w:spacing w:before="240"/>
        <w:jc w:val="both"/>
        <w:rPr>
          <w:b/>
          <w:sz w:val="24"/>
          <w:szCs w:val="24"/>
        </w:rPr>
      </w:pPr>
      <w:r>
        <w:rPr>
          <w:b/>
          <w:sz w:val="24"/>
          <w:szCs w:val="24"/>
        </w:rPr>
        <w:t xml:space="preserve">3.6. </w:t>
      </w:r>
      <w:r w:rsidR="009D1BA0" w:rsidRPr="0093356A">
        <w:rPr>
          <w:b/>
          <w:sz w:val="24"/>
          <w:szCs w:val="24"/>
        </w:rPr>
        <w:t>Rizik likvidnosti</w:t>
      </w:r>
    </w:p>
    <w:p w:rsidR="004B016A" w:rsidRDefault="008F0448" w:rsidP="004B016A">
      <w:pPr>
        <w:spacing w:before="240"/>
        <w:jc w:val="both"/>
        <w:rPr>
          <w:noProof/>
          <w:sz w:val="24"/>
          <w:szCs w:val="24"/>
          <w:lang w:eastAsia="hr-HR"/>
        </w:rPr>
      </w:pPr>
      <w:r w:rsidRPr="008F0448">
        <w:rPr>
          <w:noProof/>
          <w:color w:val="C00000"/>
          <w:sz w:val="24"/>
          <w:szCs w:val="24"/>
          <w:lang w:eastAsia="hr-HR"/>
        </w:rPr>
        <w:t xml:space="preserve">Rizik likvidnosti </w:t>
      </w:r>
      <w:r w:rsidR="00A13592" w:rsidRPr="008F0448">
        <w:rPr>
          <w:noProof/>
          <w:sz w:val="24"/>
          <w:szCs w:val="24"/>
          <w:lang w:eastAsia="hr-HR"/>
        </w:rPr>
        <w:t>proizlazi iz postojeće ili očekivane nemogućnosti podmirenja novčanih obveza o dospijeću (promatra se u svakom trenutku</w:t>
      </w:r>
      <w:r>
        <w:rPr>
          <w:noProof/>
          <w:sz w:val="24"/>
          <w:szCs w:val="24"/>
          <w:lang w:eastAsia="hr-HR"/>
        </w:rPr>
        <w:t>,</w:t>
      </w:r>
      <w:r w:rsidR="00A13592" w:rsidRPr="008F0448">
        <w:rPr>
          <w:noProof/>
          <w:sz w:val="24"/>
          <w:szCs w:val="24"/>
          <w:lang w:eastAsia="hr-HR"/>
        </w:rPr>
        <w:t xml:space="preserve"> a </w:t>
      </w:r>
      <w:r>
        <w:rPr>
          <w:noProof/>
          <w:sz w:val="24"/>
          <w:szCs w:val="24"/>
          <w:lang w:eastAsia="hr-HR"/>
        </w:rPr>
        <w:t xml:space="preserve">tipično </w:t>
      </w:r>
      <w:r w:rsidR="00A13592" w:rsidRPr="008F0448">
        <w:rPr>
          <w:noProof/>
          <w:sz w:val="24"/>
          <w:szCs w:val="24"/>
          <w:lang w:eastAsia="hr-HR"/>
        </w:rPr>
        <w:t>u kratkom rok</w:t>
      </w:r>
      <w:r>
        <w:rPr>
          <w:noProof/>
          <w:sz w:val="24"/>
          <w:szCs w:val="24"/>
          <w:lang w:eastAsia="hr-HR"/>
        </w:rPr>
        <w:t xml:space="preserve">u). </w:t>
      </w:r>
      <w:r w:rsidR="004B016A">
        <w:rPr>
          <w:noProof/>
          <w:sz w:val="24"/>
          <w:szCs w:val="24"/>
          <w:lang w:eastAsia="hr-HR"/>
        </w:rPr>
        <w:t>Pri tome, pojam likvidnosti treba razlikovati od pojma solventnosti. U</w:t>
      </w:r>
      <w:r w:rsidR="004B016A" w:rsidRPr="008F0448">
        <w:rPr>
          <w:noProof/>
          <w:sz w:val="24"/>
          <w:szCs w:val="24"/>
          <w:lang w:eastAsia="hr-HR"/>
        </w:rPr>
        <w:t xml:space="preserve">koliko se radi o </w:t>
      </w:r>
      <w:r w:rsidR="004B016A">
        <w:rPr>
          <w:noProof/>
          <w:sz w:val="24"/>
          <w:szCs w:val="24"/>
          <w:lang w:eastAsia="hr-HR"/>
        </w:rPr>
        <w:t xml:space="preserve">riziku </w:t>
      </w:r>
      <w:r w:rsidR="004B016A" w:rsidRPr="008F0448">
        <w:rPr>
          <w:noProof/>
          <w:sz w:val="24"/>
          <w:szCs w:val="24"/>
          <w:lang w:eastAsia="hr-HR"/>
        </w:rPr>
        <w:t>trajn</w:t>
      </w:r>
      <w:r w:rsidR="004B016A">
        <w:rPr>
          <w:noProof/>
          <w:sz w:val="24"/>
          <w:szCs w:val="24"/>
          <w:lang w:eastAsia="hr-HR"/>
        </w:rPr>
        <w:t>e</w:t>
      </w:r>
      <w:r w:rsidR="004B016A" w:rsidRPr="008F0448">
        <w:rPr>
          <w:noProof/>
          <w:sz w:val="24"/>
          <w:szCs w:val="24"/>
          <w:lang w:eastAsia="hr-HR"/>
        </w:rPr>
        <w:t xml:space="preserve"> nesposobnosti ispunjavanja obveza (</w:t>
      </w:r>
      <w:r w:rsidR="004B016A">
        <w:rPr>
          <w:noProof/>
          <w:sz w:val="24"/>
          <w:szCs w:val="24"/>
          <w:lang w:eastAsia="hr-HR"/>
        </w:rPr>
        <w:t xml:space="preserve">kada je </w:t>
      </w:r>
      <w:r w:rsidR="004B016A" w:rsidRPr="008F0448">
        <w:rPr>
          <w:noProof/>
          <w:sz w:val="24"/>
          <w:szCs w:val="24"/>
          <w:lang w:eastAsia="hr-HR"/>
        </w:rPr>
        <w:t xml:space="preserve">tržišna vrijednost ukupne imovine manja </w:t>
      </w:r>
      <w:r w:rsidR="004B016A">
        <w:rPr>
          <w:noProof/>
          <w:sz w:val="24"/>
          <w:szCs w:val="24"/>
          <w:lang w:eastAsia="hr-HR"/>
        </w:rPr>
        <w:t>o</w:t>
      </w:r>
      <w:r w:rsidR="004B016A" w:rsidRPr="008F0448">
        <w:rPr>
          <w:noProof/>
          <w:sz w:val="24"/>
          <w:szCs w:val="24"/>
          <w:lang w:eastAsia="hr-HR"/>
        </w:rPr>
        <w:t xml:space="preserve">d ukupnih obveza) radi se o </w:t>
      </w:r>
      <w:r w:rsidR="004B016A" w:rsidRPr="008F0448">
        <w:rPr>
          <w:noProof/>
          <w:color w:val="C00000"/>
          <w:sz w:val="24"/>
          <w:szCs w:val="24"/>
          <w:lang w:eastAsia="hr-HR"/>
        </w:rPr>
        <w:t>riziku nesolventnosti</w:t>
      </w:r>
      <w:r w:rsidR="004B016A" w:rsidRPr="008F0448">
        <w:rPr>
          <w:noProof/>
          <w:sz w:val="24"/>
          <w:szCs w:val="24"/>
          <w:lang w:eastAsia="hr-HR"/>
        </w:rPr>
        <w:t>.</w:t>
      </w:r>
    </w:p>
    <w:p w:rsidR="00F260CE" w:rsidRDefault="008F0448" w:rsidP="008F0448">
      <w:pPr>
        <w:spacing w:before="240"/>
        <w:jc w:val="both"/>
        <w:rPr>
          <w:noProof/>
          <w:sz w:val="24"/>
          <w:szCs w:val="24"/>
          <w:lang w:eastAsia="hr-HR"/>
        </w:rPr>
      </w:pPr>
      <w:r>
        <w:rPr>
          <w:noProof/>
          <w:sz w:val="24"/>
          <w:szCs w:val="24"/>
          <w:lang w:eastAsia="hr-HR"/>
        </w:rPr>
        <w:t xml:space="preserve">Obveze se </w:t>
      </w:r>
      <w:r w:rsidR="00090BEB">
        <w:rPr>
          <w:noProof/>
          <w:sz w:val="24"/>
          <w:szCs w:val="24"/>
          <w:lang w:eastAsia="hr-HR"/>
        </w:rPr>
        <w:t xml:space="preserve">podmiruju </w:t>
      </w:r>
      <w:r>
        <w:rPr>
          <w:noProof/>
          <w:sz w:val="24"/>
          <w:szCs w:val="24"/>
          <w:lang w:eastAsia="hr-HR"/>
        </w:rPr>
        <w:t xml:space="preserve">u novcu tako da je za </w:t>
      </w:r>
      <w:r w:rsidR="004B016A">
        <w:rPr>
          <w:noProof/>
          <w:sz w:val="24"/>
          <w:szCs w:val="24"/>
          <w:lang w:eastAsia="hr-HR"/>
        </w:rPr>
        <w:t xml:space="preserve">likvidnost </w:t>
      </w:r>
      <w:r>
        <w:rPr>
          <w:noProof/>
          <w:sz w:val="24"/>
          <w:szCs w:val="24"/>
          <w:lang w:eastAsia="hr-HR"/>
        </w:rPr>
        <w:t>kućanstv</w:t>
      </w:r>
      <w:r w:rsidR="004B016A">
        <w:rPr>
          <w:noProof/>
          <w:sz w:val="24"/>
          <w:szCs w:val="24"/>
          <w:lang w:eastAsia="hr-HR"/>
        </w:rPr>
        <w:t>a</w:t>
      </w:r>
      <w:r>
        <w:rPr>
          <w:noProof/>
          <w:sz w:val="24"/>
          <w:szCs w:val="24"/>
          <w:lang w:eastAsia="hr-HR"/>
        </w:rPr>
        <w:t xml:space="preserve"> važan </w:t>
      </w:r>
      <w:r w:rsidR="00A13592" w:rsidRPr="008F0448">
        <w:rPr>
          <w:noProof/>
          <w:sz w:val="24"/>
          <w:szCs w:val="24"/>
          <w:lang w:eastAsia="hr-HR"/>
        </w:rPr>
        <w:t xml:space="preserve">iznos novca </w:t>
      </w:r>
      <w:r w:rsidR="00090BEB">
        <w:rPr>
          <w:noProof/>
          <w:sz w:val="24"/>
          <w:szCs w:val="24"/>
          <w:lang w:eastAsia="hr-HR"/>
        </w:rPr>
        <w:t>kojim raspolaže u trenutku ka</w:t>
      </w:r>
      <w:r w:rsidR="00550B78">
        <w:rPr>
          <w:noProof/>
          <w:sz w:val="24"/>
          <w:szCs w:val="24"/>
          <w:lang w:eastAsia="hr-HR"/>
        </w:rPr>
        <w:t>d</w:t>
      </w:r>
      <w:r w:rsidR="00090BEB">
        <w:rPr>
          <w:noProof/>
          <w:sz w:val="24"/>
          <w:szCs w:val="24"/>
          <w:lang w:eastAsia="hr-HR"/>
        </w:rPr>
        <w:t xml:space="preserve">a obveze treba izvršiti. Dodatno </w:t>
      </w:r>
      <w:r w:rsidR="00550B78">
        <w:rPr>
          <w:noProof/>
          <w:sz w:val="24"/>
          <w:szCs w:val="24"/>
          <w:lang w:eastAsia="hr-HR"/>
        </w:rPr>
        <w:t>važan je  i iznos d</w:t>
      </w:r>
      <w:r w:rsidR="00F260CE">
        <w:rPr>
          <w:noProof/>
          <w:sz w:val="24"/>
          <w:szCs w:val="24"/>
          <w:lang w:eastAsia="hr-HR"/>
        </w:rPr>
        <w:t>r</w:t>
      </w:r>
      <w:r w:rsidR="00550B78">
        <w:rPr>
          <w:noProof/>
          <w:sz w:val="24"/>
          <w:szCs w:val="24"/>
          <w:lang w:eastAsia="hr-HR"/>
        </w:rPr>
        <w:t xml:space="preserve">uge vrlo </w:t>
      </w:r>
      <w:r w:rsidR="00A13592" w:rsidRPr="008F0448">
        <w:rPr>
          <w:noProof/>
          <w:sz w:val="24"/>
          <w:szCs w:val="24"/>
          <w:lang w:eastAsia="hr-HR"/>
        </w:rPr>
        <w:t xml:space="preserve">likvidne </w:t>
      </w:r>
      <w:r w:rsidR="00090BEB">
        <w:rPr>
          <w:noProof/>
          <w:sz w:val="24"/>
          <w:szCs w:val="24"/>
          <w:lang w:eastAsia="hr-HR"/>
        </w:rPr>
        <w:t xml:space="preserve">imovine </w:t>
      </w:r>
      <w:r w:rsidR="00A13592" w:rsidRPr="008F0448">
        <w:rPr>
          <w:noProof/>
          <w:sz w:val="24"/>
          <w:szCs w:val="24"/>
          <w:lang w:eastAsia="hr-HR"/>
        </w:rPr>
        <w:t xml:space="preserve">(lako utržive) </w:t>
      </w:r>
      <w:r w:rsidR="00090BEB">
        <w:rPr>
          <w:noProof/>
          <w:sz w:val="24"/>
          <w:szCs w:val="24"/>
          <w:lang w:eastAsia="hr-HR"/>
        </w:rPr>
        <w:t xml:space="preserve">koja se može unovčiti kroz </w:t>
      </w:r>
      <w:r w:rsidR="00F260CE">
        <w:rPr>
          <w:noProof/>
          <w:sz w:val="24"/>
          <w:szCs w:val="24"/>
          <w:lang w:eastAsia="hr-HR"/>
        </w:rPr>
        <w:t xml:space="preserve">dva do </w:t>
      </w:r>
      <w:r w:rsidR="00090BEB">
        <w:rPr>
          <w:noProof/>
          <w:sz w:val="24"/>
          <w:szCs w:val="24"/>
          <w:lang w:eastAsia="hr-HR"/>
        </w:rPr>
        <w:t>četiri dana</w:t>
      </w:r>
      <w:r w:rsidR="00550B78">
        <w:rPr>
          <w:noProof/>
          <w:sz w:val="24"/>
          <w:szCs w:val="24"/>
          <w:lang w:eastAsia="hr-HR"/>
        </w:rPr>
        <w:t xml:space="preserve"> kako bi bila do</w:t>
      </w:r>
      <w:r w:rsidR="004B016A">
        <w:rPr>
          <w:noProof/>
          <w:sz w:val="24"/>
          <w:szCs w:val="24"/>
          <w:lang w:eastAsia="hr-HR"/>
        </w:rPr>
        <w:t>stupna</w:t>
      </w:r>
      <w:r w:rsidR="00550B78">
        <w:rPr>
          <w:noProof/>
          <w:sz w:val="24"/>
          <w:szCs w:val="24"/>
          <w:lang w:eastAsia="hr-HR"/>
        </w:rPr>
        <w:t xml:space="preserve"> za podmirenje </w:t>
      </w:r>
      <w:r w:rsidR="00F260CE">
        <w:rPr>
          <w:noProof/>
          <w:sz w:val="24"/>
          <w:szCs w:val="24"/>
          <w:lang w:eastAsia="hr-HR"/>
        </w:rPr>
        <w:t xml:space="preserve">dospijelih </w:t>
      </w:r>
      <w:r w:rsidR="00550B78">
        <w:rPr>
          <w:noProof/>
          <w:sz w:val="24"/>
          <w:szCs w:val="24"/>
          <w:lang w:eastAsia="hr-HR"/>
        </w:rPr>
        <w:t>obveza</w:t>
      </w:r>
      <w:r w:rsidR="00F260CE">
        <w:rPr>
          <w:noProof/>
          <w:sz w:val="24"/>
          <w:szCs w:val="24"/>
          <w:lang w:eastAsia="hr-HR"/>
        </w:rPr>
        <w:t xml:space="preserve">, odnosno </w:t>
      </w:r>
      <w:r w:rsidR="006C177B">
        <w:rPr>
          <w:noProof/>
          <w:sz w:val="24"/>
          <w:szCs w:val="24"/>
          <w:lang w:eastAsia="hr-HR"/>
        </w:rPr>
        <w:t xml:space="preserve">onih koje </w:t>
      </w:r>
      <w:r w:rsidR="00F260CE">
        <w:rPr>
          <w:noProof/>
          <w:sz w:val="24"/>
          <w:szCs w:val="24"/>
          <w:lang w:eastAsia="hr-HR"/>
        </w:rPr>
        <w:t>skoro dospijevaju</w:t>
      </w:r>
      <w:r w:rsidR="00550B78">
        <w:rPr>
          <w:noProof/>
          <w:sz w:val="24"/>
          <w:szCs w:val="24"/>
          <w:lang w:eastAsia="hr-HR"/>
        </w:rPr>
        <w:t xml:space="preserve">. </w:t>
      </w:r>
      <w:r w:rsidR="00290DCA">
        <w:rPr>
          <w:noProof/>
          <w:sz w:val="24"/>
          <w:szCs w:val="24"/>
          <w:lang w:eastAsia="hr-HR"/>
        </w:rPr>
        <w:t xml:space="preserve">Jedan od pokazatelja likvidnosti </w:t>
      </w:r>
      <w:r w:rsidR="00342CE5">
        <w:rPr>
          <w:noProof/>
          <w:sz w:val="24"/>
          <w:szCs w:val="24"/>
          <w:lang w:eastAsia="hr-HR"/>
        </w:rPr>
        <w:t xml:space="preserve">vezan uz bilancu kućanstva </w:t>
      </w:r>
      <w:r w:rsidR="00290DCA">
        <w:rPr>
          <w:noProof/>
          <w:sz w:val="24"/>
          <w:szCs w:val="24"/>
          <w:lang w:eastAsia="hr-HR"/>
        </w:rPr>
        <w:t>je omjer kratkotrajne imovine i kratkoročnih obveza.</w:t>
      </w:r>
    </w:p>
    <w:p w:rsidR="00D3458F" w:rsidRDefault="00F260CE" w:rsidP="008F0448">
      <w:pPr>
        <w:spacing w:before="240"/>
        <w:jc w:val="both"/>
        <w:rPr>
          <w:noProof/>
          <w:sz w:val="24"/>
          <w:szCs w:val="24"/>
          <w:lang w:eastAsia="hr-HR"/>
        </w:rPr>
      </w:pPr>
      <w:r>
        <w:rPr>
          <w:noProof/>
          <w:sz w:val="24"/>
          <w:szCs w:val="24"/>
          <w:lang w:eastAsia="hr-HR"/>
        </w:rPr>
        <w:t xml:space="preserve">Prema stupnju lividnosti najlikvidniji oblik imovine je gotovina u domaćoj valuti, </w:t>
      </w:r>
      <w:r w:rsidR="006C177B">
        <w:rPr>
          <w:noProof/>
          <w:sz w:val="24"/>
          <w:szCs w:val="24"/>
          <w:lang w:eastAsia="hr-HR"/>
        </w:rPr>
        <w:t xml:space="preserve">zatim </w:t>
      </w:r>
      <w:r>
        <w:rPr>
          <w:noProof/>
          <w:sz w:val="24"/>
          <w:szCs w:val="24"/>
          <w:lang w:eastAsia="hr-HR"/>
        </w:rPr>
        <w:t xml:space="preserve">kunski depoziti na tekućim i žiro računima (koji omogućuju bezgotovinsko obavljanje plaćanja) te potom slijede: efekiva u stranim valutama (npr. novčanice eura, dolara itd.), štedni depoziti dostupni po viđenju te oročeni depoziti ako se mogu brzo, lako i bez dodatnih troškova razročiti. Visok stupanj lividnosti postoji i kod udjela u otvorenim investicijskim fondovima s javnom ponudom koji omogućuju otkup unutar dva dana. Većina ostale imovine je manje </w:t>
      </w:r>
      <w:r>
        <w:rPr>
          <w:noProof/>
          <w:sz w:val="24"/>
          <w:szCs w:val="24"/>
          <w:lang w:eastAsia="hr-HR"/>
        </w:rPr>
        <w:lastRenderedPageBreak/>
        <w:t xml:space="preserve">likvidna (npr. dionice jer za njihovu prodaju treba bit otvoreno tržište i postojati zainteresirani kupci), ili </w:t>
      </w:r>
      <w:r w:rsidR="006C177B">
        <w:rPr>
          <w:noProof/>
          <w:sz w:val="24"/>
          <w:szCs w:val="24"/>
          <w:lang w:eastAsia="hr-HR"/>
        </w:rPr>
        <w:t xml:space="preserve">je </w:t>
      </w:r>
      <w:r>
        <w:rPr>
          <w:noProof/>
          <w:sz w:val="24"/>
          <w:szCs w:val="24"/>
          <w:lang w:eastAsia="hr-HR"/>
        </w:rPr>
        <w:t xml:space="preserve">likvidna uz </w:t>
      </w:r>
      <w:r w:rsidR="006C177B">
        <w:rPr>
          <w:noProof/>
          <w:sz w:val="24"/>
          <w:szCs w:val="24"/>
          <w:lang w:eastAsia="hr-HR"/>
        </w:rPr>
        <w:t xml:space="preserve">određene </w:t>
      </w:r>
      <w:r>
        <w:rPr>
          <w:noProof/>
          <w:sz w:val="24"/>
          <w:szCs w:val="24"/>
          <w:lang w:eastAsia="hr-HR"/>
        </w:rPr>
        <w:t xml:space="preserve">troškove (npr. u slučaju prekida stambene štednje prije ugovorenog roka) pa čak i prilično nelikvidna </w:t>
      </w:r>
      <w:r w:rsidR="004B016A">
        <w:rPr>
          <w:noProof/>
          <w:sz w:val="24"/>
          <w:szCs w:val="24"/>
          <w:lang w:eastAsia="hr-HR"/>
        </w:rPr>
        <w:t>(</w:t>
      </w:r>
      <w:r>
        <w:rPr>
          <w:noProof/>
          <w:sz w:val="24"/>
          <w:szCs w:val="24"/>
          <w:lang w:eastAsia="hr-HR"/>
        </w:rPr>
        <w:t>npr. životno i mirovinsko osiguranje</w:t>
      </w:r>
      <w:r w:rsidR="004B016A">
        <w:rPr>
          <w:noProof/>
          <w:sz w:val="24"/>
          <w:szCs w:val="24"/>
          <w:lang w:eastAsia="hr-HR"/>
        </w:rPr>
        <w:t>)</w:t>
      </w:r>
      <w:r>
        <w:rPr>
          <w:noProof/>
          <w:sz w:val="24"/>
          <w:szCs w:val="24"/>
          <w:lang w:eastAsia="hr-HR"/>
        </w:rPr>
        <w:t xml:space="preserve">. </w:t>
      </w:r>
    </w:p>
    <w:p w:rsidR="00237EF5" w:rsidRDefault="00D3458F" w:rsidP="008F0448">
      <w:pPr>
        <w:spacing w:before="240"/>
        <w:jc w:val="both"/>
        <w:rPr>
          <w:noProof/>
          <w:sz w:val="24"/>
          <w:szCs w:val="24"/>
          <w:lang w:eastAsia="hr-HR"/>
        </w:rPr>
      </w:pPr>
      <w:r>
        <w:rPr>
          <w:noProof/>
          <w:sz w:val="24"/>
          <w:szCs w:val="24"/>
          <w:lang w:eastAsia="hr-HR"/>
        </w:rPr>
        <w:t>Iako je držanje značajnih iznosa likvidne imovine dobro s aspekta očuvanja likvidnosti odnosno izbjegavanja situacija nelikvidnosti, držanje prekomjernih iznosa visoko likvidne imovine koja nije potreba nosi visok oportunitetni trošak, odnoso vezano je uz propuštene prihode koji su se mogli ostvariti ulaganjem u manje likvidnu imovinu s većim prinosom</w:t>
      </w:r>
    </w:p>
    <w:p w:rsidR="00A13592" w:rsidRDefault="008F0448" w:rsidP="008F0448">
      <w:pPr>
        <w:spacing w:before="240"/>
        <w:jc w:val="both"/>
        <w:rPr>
          <w:noProof/>
          <w:sz w:val="24"/>
          <w:szCs w:val="24"/>
          <w:lang w:eastAsia="hr-HR"/>
        </w:rPr>
      </w:pPr>
      <w:r w:rsidRPr="008F0448">
        <w:rPr>
          <w:noProof/>
          <w:sz w:val="24"/>
          <w:szCs w:val="24"/>
          <w:lang w:eastAsia="hr-HR"/>
        </w:rPr>
        <w:t xml:space="preserve">Rizik likvidnosti može </w:t>
      </w:r>
      <w:r w:rsidR="00066A46">
        <w:rPr>
          <w:noProof/>
          <w:sz w:val="24"/>
          <w:szCs w:val="24"/>
          <w:lang w:eastAsia="hr-HR"/>
        </w:rPr>
        <w:t xml:space="preserve">se </w:t>
      </w:r>
      <w:r w:rsidRPr="008F0448">
        <w:rPr>
          <w:noProof/>
          <w:sz w:val="24"/>
          <w:szCs w:val="24"/>
          <w:lang w:eastAsia="hr-HR"/>
        </w:rPr>
        <w:t>promatrati s različitih aspekata</w:t>
      </w:r>
      <w:r w:rsidR="00290DCA">
        <w:rPr>
          <w:noProof/>
          <w:sz w:val="24"/>
          <w:szCs w:val="24"/>
          <w:lang w:eastAsia="hr-HR"/>
        </w:rPr>
        <w:t xml:space="preserve">. Jedan od njih je tzv. </w:t>
      </w:r>
      <w:r w:rsidR="00066A46" w:rsidRPr="006C177B">
        <w:rPr>
          <w:noProof/>
          <w:color w:val="C00000"/>
          <w:sz w:val="24"/>
          <w:szCs w:val="24"/>
          <w:lang w:eastAsia="hr-HR"/>
        </w:rPr>
        <w:t>rizik financiranja likvidnosti</w:t>
      </w:r>
      <w:r w:rsidR="008E5BEA" w:rsidRPr="006C177B">
        <w:rPr>
          <w:noProof/>
          <w:color w:val="C00000"/>
          <w:sz w:val="24"/>
          <w:szCs w:val="24"/>
          <w:lang w:eastAsia="hr-HR"/>
        </w:rPr>
        <w:t xml:space="preserve"> </w:t>
      </w:r>
      <w:r w:rsidR="00A13592" w:rsidRPr="00A13592">
        <w:rPr>
          <w:noProof/>
          <w:sz w:val="24"/>
          <w:szCs w:val="24"/>
          <w:lang w:eastAsia="hr-HR"/>
        </w:rPr>
        <w:t>kao rizik da ekonomski subjekt neće biti u stanju ispunjavati očekivane i neočekivane sadašnje i buduće potrebe za novcem, a da ne utječe na vlastitu financijsku uspješnost (neto-prihode). V</w:t>
      </w:r>
      <w:r w:rsidR="00290DCA" w:rsidRPr="00A13592">
        <w:rPr>
          <w:noProof/>
          <w:sz w:val="24"/>
          <w:szCs w:val="24"/>
          <w:lang w:eastAsia="hr-HR"/>
        </w:rPr>
        <w:t>e</w:t>
      </w:r>
      <w:r w:rsidR="00290DCA">
        <w:rPr>
          <w:noProof/>
          <w:sz w:val="24"/>
          <w:szCs w:val="24"/>
          <w:lang w:eastAsia="hr-HR"/>
        </w:rPr>
        <w:t xml:space="preserve">zan </w:t>
      </w:r>
      <w:r w:rsidR="00A13592">
        <w:rPr>
          <w:noProof/>
          <w:sz w:val="24"/>
          <w:szCs w:val="24"/>
          <w:lang w:eastAsia="hr-HR"/>
        </w:rPr>
        <w:t xml:space="preserve">je </w:t>
      </w:r>
      <w:r w:rsidR="00290DCA">
        <w:rPr>
          <w:noProof/>
          <w:sz w:val="24"/>
          <w:szCs w:val="24"/>
          <w:lang w:eastAsia="hr-HR"/>
        </w:rPr>
        <w:t xml:space="preserve">uz </w:t>
      </w:r>
      <w:r w:rsidR="00A13592">
        <w:rPr>
          <w:noProof/>
          <w:sz w:val="24"/>
          <w:szCs w:val="24"/>
          <w:lang w:eastAsia="hr-HR"/>
        </w:rPr>
        <w:t xml:space="preserve">upravljanje </w:t>
      </w:r>
      <w:r w:rsidR="00572099">
        <w:rPr>
          <w:noProof/>
          <w:sz w:val="24"/>
          <w:szCs w:val="24"/>
          <w:lang w:eastAsia="hr-HR"/>
        </w:rPr>
        <w:t xml:space="preserve">ročnom strukturom imovine i i obveza, odnoso </w:t>
      </w:r>
      <w:r w:rsidR="008E5BEA">
        <w:rPr>
          <w:noProof/>
          <w:sz w:val="24"/>
          <w:szCs w:val="24"/>
          <w:lang w:eastAsia="hr-HR"/>
        </w:rPr>
        <w:t>novčan</w:t>
      </w:r>
      <w:r w:rsidR="00A13592">
        <w:rPr>
          <w:noProof/>
          <w:sz w:val="24"/>
          <w:szCs w:val="24"/>
          <w:lang w:eastAsia="hr-HR"/>
        </w:rPr>
        <w:t xml:space="preserve">im tokom </w:t>
      </w:r>
      <w:r w:rsidR="00572099">
        <w:rPr>
          <w:noProof/>
          <w:sz w:val="24"/>
          <w:szCs w:val="24"/>
          <w:lang w:eastAsia="hr-HR"/>
        </w:rPr>
        <w:t>kroz</w:t>
      </w:r>
      <w:r w:rsidR="008E5BEA">
        <w:rPr>
          <w:noProof/>
          <w:sz w:val="24"/>
          <w:szCs w:val="24"/>
          <w:lang w:eastAsia="hr-HR"/>
        </w:rPr>
        <w:t xml:space="preserve"> usklađenost novčanih primitaka u odnosu na novčane izdatke koji se trebaju izvršiti</w:t>
      </w:r>
      <w:r w:rsidR="00066A46">
        <w:rPr>
          <w:noProof/>
          <w:sz w:val="24"/>
          <w:szCs w:val="24"/>
          <w:lang w:eastAsia="hr-HR"/>
        </w:rPr>
        <w:t>ili</w:t>
      </w:r>
      <w:r w:rsidR="008E5BEA">
        <w:rPr>
          <w:noProof/>
          <w:sz w:val="24"/>
          <w:szCs w:val="24"/>
          <w:lang w:eastAsia="hr-HR"/>
        </w:rPr>
        <w:t xml:space="preserve"> u određenom trenutku</w:t>
      </w:r>
      <w:r w:rsidR="00A13592">
        <w:rPr>
          <w:noProof/>
          <w:sz w:val="24"/>
          <w:szCs w:val="24"/>
          <w:lang w:eastAsia="hr-HR"/>
        </w:rPr>
        <w:t xml:space="preserve"> (u nizu budućih vremenskih točaka dospijeća)</w:t>
      </w:r>
      <w:r w:rsidR="00290DCA">
        <w:rPr>
          <w:noProof/>
          <w:sz w:val="24"/>
          <w:szCs w:val="24"/>
          <w:lang w:eastAsia="hr-HR"/>
        </w:rPr>
        <w:t xml:space="preserve">. U situaciji kada financiranje </w:t>
      </w:r>
      <w:r w:rsidR="00572099">
        <w:rPr>
          <w:noProof/>
          <w:sz w:val="24"/>
          <w:szCs w:val="24"/>
          <w:lang w:eastAsia="hr-HR"/>
        </w:rPr>
        <w:t xml:space="preserve">dospijelih </w:t>
      </w:r>
      <w:r w:rsidR="00290DCA">
        <w:rPr>
          <w:noProof/>
          <w:sz w:val="24"/>
          <w:szCs w:val="24"/>
          <w:lang w:eastAsia="hr-HR"/>
        </w:rPr>
        <w:t>izdataka nije moguće iz vlastitih izvora, manjak likvidnosti često se financira zaduživanjem</w:t>
      </w:r>
      <w:r w:rsidR="00A13592">
        <w:rPr>
          <w:noProof/>
          <w:sz w:val="24"/>
          <w:szCs w:val="24"/>
          <w:lang w:eastAsia="hr-HR"/>
        </w:rPr>
        <w:t xml:space="preserve"> ili prodajom određene imovine. No time se </w:t>
      </w:r>
      <w:r w:rsidR="00290DCA">
        <w:rPr>
          <w:noProof/>
          <w:sz w:val="24"/>
          <w:szCs w:val="24"/>
          <w:lang w:eastAsia="hr-HR"/>
        </w:rPr>
        <w:t>stvaraju dod</w:t>
      </w:r>
      <w:r w:rsidR="00A13592">
        <w:rPr>
          <w:noProof/>
          <w:sz w:val="24"/>
          <w:szCs w:val="24"/>
          <w:lang w:eastAsia="hr-HR"/>
        </w:rPr>
        <w:t>a</w:t>
      </w:r>
      <w:r w:rsidR="00290DCA">
        <w:rPr>
          <w:noProof/>
          <w:sz w:val="24"/>
          <w:szCs w:val="24"/>
          <w:lang w:eastAsia="hr-HR"/>
        </w:rPr>
        <w:t>tni troškovi</w:t>
      </w:r>
      <w:r w:rsidR="00A13592">
        <w:rPr>
          <w:noProof/>
          <w:sz w:val="24"/>
          <w:szCs w:val="24"/>
          <w:lang w:eastAsia="hr-HR"/>
        </w:rPr>
        <w:t xml:space="preserve">, ili gube propuštene prilike za zaradu pa neadekvatno upravljanje tekućom likvidnošću </w:t>
      </w:r>
      <w:r w:rsidR="00572099">
        <w:rPr>
          <w:noProof/>
          <w:sz w:val="24"/>
          <w:szCs w:val="24"/>
          <w:lang w:eastAsia="hr-HR"/>
        </w:rPr>
        <w:t xml:space="preserve">i novčanim tokom </w:t>
      </w:r>
      <w:r w:rsidR="00A13592">
        <w:rPr>
          <w:noProof/>
          <w:sz w:val="24"/>
          <w:szCs w:val="24"/>
          <w:lang w:eastAsia="hr-HR"/>
        </w:rPr>
        <w:t>stvara nepovoljne efekte na financijsku uspješnost</w:t>
      </w:r>
      <w:r w:rsidR="00572099">
        <w:rPr>
          <w:noProof/>
          <w:sz w:val="24"/>
          <w:szCs w:val="24"/>
          <w:lang w:eastAsia="hr-HR"/>
        </w:rPr>
        <w:t xml:space="preserve"> (štednju kućanstva u računu financijske uspješnosti)</w:t>
      </w:r>
      <w:r w:rsidR="00A13592">
        <w:rPr>
          <w:noProof/>
          <w:sz w:val="24"/>
          <w:szCs w:val="24"/>
          <w:lang w:eastAsia="hr-HR"/>
        </w:rPr>
        <w:t xml:space="preserve">. </w:t>
      </w:r>
    </w:p>
    <w:p w:rsidR="008F0448" w:rsidRDefault="00A13592" w:rsidP="008F0448">
      <w:pPr>
        <w:spacing w:before="240"/>
        <w:jc w:val="both"/>
        <w:rPr>
          <w:noProof/>
          <w:sz w:val="24"/>
          <w:szCs w:val="24"/>
          <w:lang w:eastAsia="hr-HR"/>
        </w:rPr>
      </w:pPr>
      <w:r>
        <w:rPr>
          <w:noProof/>
          <w:sz w:val="24"/>
          <w:szCs w:val="24"/>
          <w:lang w:eastAsia="hr-HR"/>
        </w:rPr>
        <w:t>Drugi aspekt promatranaj rizika likvidnosti je tzv.</w:t>
      </w:r>
      <w:r w:rsidR="00066A46">
        <w:rPr>
          <w:noProof/>
          <w:sz w:val="24"/>
          <w:szCs w:val="24"/>
          <w:lang w:eastAsia="hr-HR"/>
        </w:rPr>
        <w:t xml:space="preserve"> </w:t>
      </w:r>
      <w:r w:rsidR="008F0448" w:rsidRPr="006C177B">
        <w:rPr>
          <w:noProof/>
          <w:color w:val="C00000"/>
          <w:sz w:val="24"/>
          <w:szCs w:val="24"/>
          <w:lang w:eastAsia="hr-HR"/>
        </w:rPr>
        <w:t>tržišni likvidnosni rizik</w:t>
      </w:r>
      <w:r>
        <w:rPr>
          <w:noProof/>
          <w:color w:val="C00000"/>
          <w:sz w:val="24"/>
          <w:szCs w:val="24"/>
          <w:lang w:eastAsia="hr-HR"/>
        </w:rPr>
        <w:t xml:space="preserve"> </w:t>
      </w:r>
      <w:r w:rsidRPr="00A13592">
        <w:rPr>
          <w:noProof/>
          <w:sz w:val="24"/>
          <w:szCs w:val="24"/>
          <w:lang w:eastAsia="hr-HR"/>
        </w:rPr>
        <w:t xml:space="preserve">koji predstavlja rizik nemogućnosti brze </w:t>
      </w:r>
      <w:r>
        <w:rPr>
          <w:noProof/>
          <w:sz w:val="24"/>
          <w:szCs w:val="24"/>
          <w:lang w:eastAsia="hr-HR"/>
        </w:rPr>
        <w:t xml:space="preserve">i lake </w:t>
      </w:r>
      <w:r w:rsidRPr="00A13592">
        <w:rPr>
          <w:noProof/>
          <w:sz w:val="24"/>
          <w:szCs w:val="24"/>
          <w:lang w:eastAsia="hr-HR"/>
        </w:rPr>
        <w:t>prodaje određene imovine po tržišnoj cijeni</w:t>
      </w:r>
      <w:r>
        <w:rPr>
          <w:noProof/>
          <w:sz w:val="24"/>
          <w:szCs w:val="24"/>
          <w:lang w:eastAsia="hr-HR"/>
        </w:rPr>
        <w:t xml:space="preserve"> u slučaju određenog tržišnog poremećaja ili nedovoljne dubine tržišta. </w:t>
      </w:r>
      <w:r w:rsidR="00572099">
        <w:rPr>
          <w:noProof/>
          <w:sz w:val="24"/>
          <w:szCs w:val="24"/>
          <w:lang w:eastAsia="hr-HR"/>
        </w:rPr>
        <w:t>Na primjer prije desetak godina nekretnine su predstavljale prilično likvidnu imovinu, što danas nije slučaj jer ih je teško pa i nemoguće prodati i ispod tržišne vrijednosti. Na sličan način na tržištu kapitala postoje brojne vrijednosnice kojima se ne trguje pa njihovo posjedovanje može biti problem. Dok je investicijsko zlato trenutno likvidan obik imovine, likvidnost se može bito smanjiti u budućnosti. S druge strane zlatni nakit često predstavljaj</w:t>
      </w:r>
      <w:r w:rsidR="00237EF5">
        <w:rPr>
          <w:noProof/>
          <w:sz w:val="24"/>
          <w:szCs w:val="24"/>
          <w:lang w:eastAsia="hr-HR"/>
        </w:rPr>
        <w:t>a</w:t>
      </w:r>
      <w:r w:rsidR="00572099">
        <w:rPr>
          <w:noProof/>
          <w:sz w:val="24"/>
          <w:szCs w:val="24"/>
          <w:lang w:eastAsia="hr-HR"/>
        </w:rPr>
        <w:t xml:space="preserve"> imovinu niže likvidnosti.</w:t>
      </w:r>
    </w:p>
    <w:tbl>
      <w:tblPr>
        <w:tblStyle w:val="Reetkatablice"/>
        <w:tblW w:w="0" w:type="auto"/>
        <w:tblInd w:w="108" w:type="dxa"/>
        <w:tblLook w:val="04A0" w:firstRow="1" w:lastRow="0" w:firstColumn="1" w:lastColumn="0" w:noHBand="0" w:noVBand="1"/>
      </w:tblPr>
      <w:tblGrid>
        <w:gridCol w:w="9072"/>
      </w:tblGrid>
      <w:tr w:rsidR="006C177B" w:rsidTr="006C177B">
        <w:tc>
          <w:tcPr>
            <w:tcW w:w="9072" w:type="dxa"/>
            <w:shd w:val="clear" w:color="auto" w:fill="F2F2F2" w:themeFill="background1" w:themeFillShade="F2"/>
          </w:tcPr>
          <w:p w:rsidR="006C177B" w:rsidRDefault="006C177B" w:rsidP="00237EF5">
            <w:pPr>
              <w:spacing w:before="120" w:after="120" w:line="264" w:lineRule="auto"/>
              <w:jc w:val="both"/>
              <w:rPr>
                <w:rFonts w:asciiTheme="minorHAnsi" w:eastAsiaTheme="minorHAnsi" w:hAnsiTheme="minorHAnsi" w:cstheme="minorBidi"/>
                <w:noProof/>
                <w:sz w:val="24"/>
                <w:szCs w:val="24"/>
              </w:rPr>
            </w:pPr>
            <w:r w:rsidRPr="006C177B">
              <w:rPr>
                <w:rFonts w:asciiTheme="minorHAnsi" w:eastAsiaTheme="minorHAnsi" w:hAnsiTheme="minorHAnsi" w:cstheme="minorBidi"/>
                <w:noProof/>
                <w:color w:val="C00000"/>
                <w:sz w:val="24"/>
                <w:szCs w:val="24"/>
              </w:rPr>
              <w:t xml:space="preserve">Likvidnost imovine </w:t>
            </w:r>
            <w:r w:rsidRPr="006C177B">
              <w:rPr>
                <w:rFonts w:asciiTheme="minorHAnsi" w:eastAsiaTheme="minorHAnsi" w:hAnsiTheme="minorHAnsi" w:cstheme="minorBidi"/>
                <w:noProof/>
                <w:sz w:val="24"/>
                <w:szCs w:val="24"/>
              </w:rPr>
              <w:t xml:space="preserve">označava sposobnost određene imovine da se brzo i lako ‘pretvori’ u novac </w:t>
            </w:r>
            <w:r w:rsidRPr="004E3E10">
              <w:rPr>
                <w:rFonts w:asciiTheme="minorHAnsi" w:eastAsiaTheme="minorHAnsi" w:hAnsiTheme="minorHAnsi" w:cstheme="minorBidi"/>
                <w:noProof/>
                <w:color w:val="C00000"/>
                <w:sz w:val="24"/>
                <w:szCs w:val="24"/>
              </w:rPr>
              <w:t>bez gubitaka i troškova</w:t>
            </w:r>
            <w:r w:rsidRPr="006C177B">
              <w:rPr>
                <w:rFonts w:asciiTheme="minorHAnsi" w:eastAsiaTheme="minorHAnsi" w:hAnsiTheme="minorHAnsi" w:cstheme="minorBidi"/>
                <w:noProof/>
                <w:sz w:val="24"/>
                <w:szCs w:val="24"/>
              </w:rPr>
              <w:t xml:space="preserve">. </w:t>
            </w:r>
            <w:r>
              <w:rPr>
                <w:rFonts w:asciiTheme="minorHAnsi" w:eastAsiaTheme="minorHAnsi" w:hAnsiTheme="minorHAnsi" w:cstheme="minorBidi"/>
                <w:noProof/>
                <w:sz w:val="24"/>
                <w:szCs w:val="24"/>
              </w:rPr>
              <w:t>Tržište za određenu imovinu smatra se likvidnim ukoliko postoje kupci i prod</w:t>
            </w:r>
            <w:r w:rsidR="00290DCA">
              <w:rPr>
                <w:rFonts w:asciiTheme="minorHAnsi" w:eastAsiaTheme="minorHAnsi" w:hAnsiTheme="minorHAnsi" w:cstheme="minorBidi"/>
                <w:noProof/>
                <w:sz w:val="24"/>
                <w:szCs w:val="24"/>
              </w:rPr>
              <w:t>a</w:t>
            </w:r>
            <w:r>
              <w:rPr>
                <w:rFonts w:asciiTheme="minorHAnsi" w:eastAsiaTheme="minorHAnsi" w:hAnsiTheme="minorHAnsi" w:cstheme="minorBidi"/>
                <w:noProof/>
                <w:sz w:val="24"/>
                <w:szCs w:val="24"/>
              </w:rPr>
              <w:t xml:space="preserve">vatelji koji su u svakom trenutku spremni trgovati. Likvidnost vrijednosnica (poput dionica ili obveznica) stoga se mjeri volumenom trgovanja, koliko puta je neki vrijednosni papri prodan odnoso kupljen. </w:t>
            </w:r>
            <w:r w:rsidR="00290DCA">
              <w:rPr>
                <w:rFonts w:asciiTheme="minorHAnsi" w:eastAsiaTheme="minorHAnsi" w:hAnsiTheme="minorHAnsi" w:cstheme="minorBidi"/>
                <w:noProof/>
                <w:sz w:val="24"/>
                <w:szCs w:val="24"/>
              </w:rPr>
              <w:t>Dodatno, likvidnost dinica ali i druge imovine može se mjeriti kroz razliku visine ponuđene i tražene cijene, što je ta razlika veća likvidnost je manja.</w:t>
            </w:r>
          </w:p>
          <w:p w:rsidR="004E3E10" w:rsidRDefault="006C177B" w:rsidP="00237EF5">
            <w:pPr>
              <w:spacing w:before="120" w:after="120" w:line="264" w:lineRule="auto"/>
              <w:jc w:val="both"/>
              <w:rPr>
                <w:rFonts w:asciiTheme="minorHAnsi" w:eastAsiaTheme="minorHAnsi" w:hAnsiTheme="minorHAnsi" w:cstheme="minorBidi"/>
                <w:noProof/>
                <w:sz w:val="24"/>
                <w:szCs w:val="24"/>
              </w:rPr>
            </w:pPr>
            <w:r w:rsidRPr="006C177B">
              <w:rPr>
                <w:rFonts w:asciiTheme="minorHAnsi" w:eastAsiaTheme="minorHAnsi" w:hAnsiTheme="minorHAnsi" w:cstheme="minorBidi"/>
                <w:noProof/>
                <w:sz w:val="24"/>
                <w:szCs w:val="24"/>
              </w:rPr>
              <w:t xml:space="preserve">Ulaganja u financijsku ili realnu imovinu s visokim mogućnostima zarade </w:t>
            </w:r>
            <w:r>
              <w:rPr>
                <w:rFonts w:asciiTheme="minorHAnsi" w:eastAsiaTheme="minorHAnsi" w:hAnsiTheme="minorHAnsi" w:cstheme="minorBidi"/>
                <w:noProof/>
                <w:sz w:val="24"/>
                <w:szCs w:val="24"/>
              </w:rPr>
              <w:t xml:space="preserve">i/ili većom rizičnošću </w:t>
            </w:r>
            <w:r w:rsidRPr="006C177B">
              <w:rPr>
                <w:rFonts w:asciiTheme="minorHAnsi" w:eastAsiaTheme="minorHAnsi" w:hAnsiTheme="minorHAnsi" w:cstheme="minorBidi"/>
                <w:noProof/>
                <w:sz w:val="24"/>
                <w:szCs w:val="24"/>
              </w:rPr>
              <w:t xml:space="preserve">mogu biti teže zamjenjiva za novac pa je njihova prodaja </w:t>
            </w:r>
            <w:r>
              <w:rPr>
                <w:rFonts w:asciiTheme="minorHAnsi" w:eastAsiaTheme="minorHAnsi" w:hAnsiTheme="minorHAnsi" w:cstheme="minorBidi"/>
                <w:noProof/>
                <w:sz w:val="24"/>
                <w:szCs w:val="24"/>
              </w:rPr>
              <w:t>često</w:t>
            </w:r>
            <w:r w:rsidRPr="006C177B">
              <w:rPr>
                <w:rFonts w:asciiTheme="minorHAnsi" w:eastAsiaTheme="minorHAnsi" w:hAnsiTheme="minorHAnsi" w:cstheme="minorBidi"/>
                <w:noProof/>
                <w:sz w:val="24"/>
                <w:szCs w:val="24"/>
              </w:rPr>
              <w:t xml:space="preserve"> moguća jedino uz značajne gubitke</w:t>
            </w:r>
            <w:r w:rsidR="00290DCA">
              <w:rPr>
                <w:rFonts w:asciiTheme="minorHAnsi" w:eastAsiaTheme="minorHAnsi" w:hAnsiTheme="minorHAnsi" w:cstheme="minorBidi"/>
                <w:noProof/>
                <w:sz w:val="24"/>
                <w:szCs w:val="24"/>
              </w:rPr>
              <w:t>, što ih čini manje likvidnima.</w:t>
            </w:r>
            <w:r>
              <w:rPr>
                <w:rFonts w:asciiTheme="minorHAnsi" w:eastAsiaTheme="minorHAnsi" w:hAnsiTheme="minorHAnsi" w:cstheme="minorBidi"/>
                <w:noProof/>
                <w:sz w:val="24"/>
                <w:szCs w:val="24"/>
              </w:rPr>
              <w:t xml:space="preserve"> Likvidnost i mogućnost zarade stoga se </w:t>
            </w:r>
            <w:r>
              <w:rPr>
                <w:rFonts w:asciiTheme="minorHAnsi" w:eastAsiaTheme="minorHAnsi" w:hAnsiTheme="minorHAnsi" w:cstheme="minorBidi"/>
                <w:noProof/>
                <w:sz w:val="24"/>
                <w:szCs w:val="24"/>
              </w:rPr>
              <w:lastRenderedPageBreak/>
              <w:t xml:space="preserve">uglavnom kreću u suprotnom smjeru, </w:t>
            </w:r>
            <w:r w:rsidR="004E3E10">
              <w:rPr>
                <w:rFonts w:asciiTheme="minorHAnsi" w:eastAsiaTheme="minorHAnsi" w:hAnsiTheme="minorHAnsi" w:cstheme="minorBidi"/>
                <w:noProof/>
                <w:sz w:val="24"/>
                <w:szCs w:val="24"/>
              </w:rPr>
              <w:t xml:space="preserve">a </w:t>
            </w:r>
            <w:r>
              <w:rPr>
                <w:rFonts w:asciiTheme="minorHAnsi" w:eastAsiaTheme="minorHAnsi" w:hAnsiTheme="minorHAnsi" w:cstheme="minorBidi"/>
                <w:noProof/>
                <w:sz w:val="24"/>
                <w:szCs w:val="24"/>
              </w:rPr>
              <w:t>likvidna imovina donosi niske prinose</w:t>
            </w:r>
            <w:r w:rsidR="004E3E10">
              <w:rPr>
                <w:rFonts w:asciiTheme="minorHAnsi" w:eastAsiaTheme="minorHAnsi" w:hAnsiTheme="minorHAnsi" w:cstheme="minorBidi"/>
                <w:noProof/>
                <w:sz w:val="24"/>
                <w:szCs w:val="24"/>
              </w:rPr>
              <w:t>.</w:t>
            </w:r>
          </w:p>
          <w:p w:rsidR="006C177B" w:rsidRPr="00490D76" w:rsidRDefault="006C177B" w:rsidP="00237EF5">
            <w:pPr>
              <w:spacing w:before="120" w:after="120" w:line="264" w:lineRule="auto"/>
              <w:jc w:val="both"/>
              <w:rPr>
                <w:i/>
                <w:noProof/>
                <w:sz w:val="24"/>
                <w:szCs w:val="24"/>
              </w:rPr>
            </w:pPr>
            <w:r w:rsidRPr="00490D76">
              <w:rPr>
                <w:rFonts w:asciiTheme="minorHAnsi" w:eastAsiaTheme="minorHAnsi" w:hAnsiTheme="minorHAnsi" w:cstheme="minorBidi"/>
                <w:i/>
                <w:noProof/>
                <w:sz w:val="24"/>
                <w:szCs w:val="24"/>
              </w:rPr>
              <w:t>Rizična ulaganja predstavljaju privilegiju ulaganja bogatih, ali ne zato što prinos od 20% na 2 milijuna kuna znači zaradu od 400.000 kuna, što zvuči mnogo bolje 400 kuna koje predstavljaju zaradu od 20% na uloženih 2.000 kuna. Bogati na tržištu postaju bogatiji jer im se ne žuri zaraditi novac, a budući da im novac nije hitno potreban mogu biti strpljivi, izbjegavajući loša razdoblja za prodaju i čekajući trenutak da ulaganje dostigne maksimalnu mogućnost zarade.</w:t>
            </w:r>
          </w:p>
        </w:tc>
      </w:tr>
    </w:tbl>
    <w:p w:rsidR="00862998" w:rsidRPr="00862998" w:rsidRDefault="0093356A" w:rsidP="002715BC">
      <w:pPr>
        <w:tabs>
          <w:tab w:val="left" w:pos="3400"/>
        </w:tabs>
        <w:spacing w:before="240"/>
        <w:jc w:val="both"/>
        <w:rPr>
          <w:b/>
          <w:sz w:val="24"/>
          <w:szCs w:val="24"/>
        </w:rPr>
      </w:pPr>
      <w:r>
        <w:rPr>
          <w:b/>
          <w:sz w:val="24"/>
          <w:szCs w:val="24"/>
        </w:rPr>
        <w:lastRenderedPageBreak/>
        <w:t>3.7</w:t>
      </w:r>
      <w:r w:rsidR="00862998" w:rsidRPr="00862998">
        <w:rPr>
          <w:b/>
          <w:sz w:val="24"/>
          <w:szCs w:val="24"/>
        </w:rPr>
        <w:t>. Rizik dohotka</w:t>
      </w:r>
      <w:r w:rsidR="00301D5D">
        <w:rPr>
          <w:b/>
          <w:sz w:val="24"/>
          <w:szCs w:val="24"/>
        </w:rPr>
        <w:t xml:space="preserve"> i</w:t>
      </w:r>
      <w:r w:rsidR="007C67B8">
        <w:rPr>
          <w:b/>
          <w:sz w:val="24"/>
          <w:szCs w:val="24"/>
        </w:rPr>
        <w:t xml:space="preserve"> rizik</w:t>
      </w:r>
      <w:r w:rsidR="00301D5D">
        <w:rPr>
          <w:b/>
          <w:sz w:val="24"/>
          <w:szCs w:val="24"/>
        </w:rPr>
        <w:t xml:space="preserve"> nezaposlenosti</w:t>
      </w:r>
    </w:p>
    <w:p w:rsidR="00372933" w:rsidRDefault="00A83A77" w:rsidP="00862998">
      <w:pPr>
        <w:tabs>
          <w:tab w:val="left" w:pos="3400"/>
        </w:tabs>
        <w:jc w:val="both"/>
        <w:rPr>
          <w:sz w:val="24"/>
          <w:szCs w:val="24"/>
        </w:rPr>
      </w:pPr>
      <w:r w:rsidRPr="00A83A77">
        <w:rPr>
          <w:sz w:val="24"/>
          <w:szCs w:val="24"/>
        </w:rPr>
        <w:t>U uvjetima recesije tipično dolazi do pada dohotka i rasta nezaposlenosti. Izostanak ili smanjenje očekivanih dohodaka pojedinca (kućanstva) umanjuje mogućnosti potrošnje</w:t>
      </w:r>
      <w:r w:rsidR="00AC6BC6">
        <w:rPr>
          <w:sz w:val="24"/>
          <w:szCs w:val="24"/>
        </w:rPr>
        <w:t>, dovodi do iscrpljivanja ranije kumuliranih rezervi štednje</w:t>
      </w:r>
      <w:r w:rsidRPr="00A83A77">
        <w:rPr>
          <w:sz w:val="24"/>
          <w:szCs w:val="24"/>
        </w:rPr>
        <w:t xml:space="preserve"> te dovodi u pitanje urednu otplatu kredita</w:t>
      </w:r>
      <w:r w:rsidR="00862998">
        <w:rPr>
          <w:sz w:val="24"/>
          <w:szCs w:val="24"/>
        </w:rPr>
        <w:t xml:space="preserve"> i </w:t>
      </w:r>
      <w:r w:rsidR="002E3074">
        <w:rPr>
          <w:sz w:val="24"/>
          <w:szCs w:val="24"/>
        </w:rPr>
        <w:t xml:space="preserve">podmirenje </w:t>
      </w:r>
      <w:r w:rsidR="00862998">
        <w:rPr>
          <w:sz w:val="24"/>
          <w:szCs w:val="24"/>
        </w:rPr>
        <w:t>drugih obveza</w:t>
      </w:r>
      <w:r w:rsidRPr="00A83A77">
        <w:rPr>
          <w:sz w:val="24"/>
          <w:szCs w:val="24"/>
        </w:rPr>
        <w:t xml:space="preserve">. Za potrebe zaštite od rizika </w:t>
      </w:r>
      <w:r w:rsidR="00AC6BC6">
        <w:rPr>
          <w:sz w:val="24"/>
          <w:szCs w:val="24"/>
        </w:rPr>
        <w:t xml:space="preserve">smanjenja ili izostanka </w:t>
      </w:r>
      <w:r w:rsidRPr="00A83A77">
        <w:rPr>
          <w:sz w:val="24"/>
          <w:szCs w:val="24"/>
        </w:rPr>
        <w:t xml:space="preserve">dohotka treba štedjeti u razdoblju kada </w:t>
      </w:r>
      <w:r w:rsidR="00862998">
        <w:rPr>
          <w:sz w:val="24"/>
          <w:szCs w:val="24"/>
        </w:rPr>
        <w:t xml:space="preserve">se </w:t>
      </w:r>
      <w:r w:rsidRPr="00A83A77">
        <w:rPr>
          <w:sz w:val="24"/>
          <w:szCs w:val="24"/>
        </w:rPr>
        <w:t xml:space="preserve">ostvaruje </w:t>
      </w:r>
      <w:r w:rsidR="00AC6BC6">
        <w:rPr>
          <w:sz w:val="24"/>
          <w:szCs w:val="24"/>
        </w:rPr>
        <w:t xml:space="preserve">veći </w:t>
      </w:r>
      <w:r w:rsidRPr="00A83A77">
        <w:rPr>
          <w:sz w:val="24"/>
          <w:szCs w:val="24"/>
        </w:rPr>
        <w:t>dohodak</w:t>
      </w:r>
      <w:r w:rsidR="00372933">
        <w:rPr>
          <w:sz w:val="24"/>
          <w:szCs w:val="24"/>
        </w:rPr>
        <w:t>, formirati štednju za crne dane i nepredviđene okolnosti, kao i štednju za starost</w:t>
      </w:r>
      <w:r w:rsidRPr="00A83A77">
        <w:rPr>
          <w:sz w:val="24"/>
          <w:szCs w:val="24"/>
        </w:rPr>
        <w:t>.</w:t>
      </w:r>
    </w:p>
    <w:p w:rsidR="00862998" w:rsidRDefault="00A83A77" w:rsidP="00862998">
      <w:pPr>
        <w:tabs>
          <w:tab w:val="left" w:pos="3400"/>
        </w:tabs>
        <w:jc w:val="both"/>
        <w:rPr>
          <w:sz w:val="24"/>
          <w:szCs w:val="24"/>
        </w:rPr>
      </w:pPr>
      <w:r w:rsidRPr="00A83A77">
        <w:rPr>
          <w:sz w:val="24"/>
          <w:szCs w:val="24"/>
        </w:rPr>
        <w:t xml:space="preserve">Dodatno potrebno je i raspolagati različitim </w:t>
      </w:r>
      <w:r w:rsidR="002E3074">
        <w:rPr>
          <w:sz w:val="24"/>
          <w:szCs w:val="24"/>
        </w:rPr>
        <w:t xml:space="preserve">dodatnim </w:t>
      </w:r>
      <w:r w:rsidR="00AC6BC6">
        <w:rPr>
          <w:sz w:val="24"/>
          <w:szCs w:val="24"/>
        </w:rPr>
        <w:t xml:space="preserve">kvalifikacijama, </w:t>
      </w:r>
      <w:r w:rsidRPr="00A83A77">
        <w:rPr>
          <w:sz w:val="24"/>
          <w:szCs w:val="24"/>
        </w:rPr>
        <w:t xml:space="preserve">znanjima i vještinama koje omogućuju dobivanje drugog posla </w:t>
      </w:r>
      <w:r w:rsidR="00AC6BC6">
        <w:rPr>
          <w:sz w:val="24"/>
          <w:szCs w:val="24"/>
        </w:rPr>
        <w:t>(radnog mjesta</w:t>
      </w:r>
      <w:r w:rsidR="00EE7BA7">
        <w:rPr>
          <w:sz w:val="24"/>
          <w:szCs w:val="24"/>
        </w:rPr>
        <w:t xml:space="preserve"> kod drugog poslodavca ili u drugoj struci</w:t>
      </w:r>
      <w:r w:rsidR="00AC6BC6">
        <w:rPr>
          <w:sz w:val="24"/>
          <w:szCs w:val="24"/>
        </w:rPr>
        <w:t xml:space="preserve">) </w:t>
      </w:r>
      <w:r w:rsidRPr="00A83A77">
        <w:rPr>
          <w:sz w:val="24"/>
          <w:szCs w:val="24"/>
        </w:rPr>
        <w:t>na tržištima g</w:t>
      </w:r>
      <w:r w:rsidR="00AC6BC6">
        <w:rPr>
          <w:sz w:val="24"/>
          <w:szCs w:val="24"/>
        </w:rPr>
        <w:t xml:space="preserve">dje ne postoji zasićenje radom, kao i ostvarivanje </w:t>
      </w:r>
      <w:r w:rsidR="00AC6BC6" w:rsidRPr="00EE7BA7">
        <w:rPr>
          <w:color w:val="C00000"/>
          <w:sz w:val="24"/>
          <w:szCs w:val="24"/>
        </w:rPr>
        <w:t xml:space="preserve">dodatnog dohotka </w:t>
      </w:r>
      <w:r w:rsidR="00AC6BC6">
        <w:rPr>
          <w:sz w:val="24"/>
          <w:szCs w:val="24"/>
        </w:rPr>
        <w:t>od honorarnog povremenog rada.</w:t>
      </w:r>
    </w:p>
    <w:p w:rsidR="003208F7" w:rsidRPr="003208F7" w:rsidRDefault="003208F7" w:rsidP="003208F7">
      <w:pPr>
        <w:tabs>
          <w:tab w:val="left" w:pos="3400"/>
        </w:tabs>
        <w:spacing w:after="0"/>
        <w:jc w:val="both"/>
        <w:rPr>
          <w:b/>
          <w:sz w:val="24"/>
          <w:szCs w:val="24"/>
        </w:rPr>
      </w:pPr>
      <w:r w:rsidRPr="003208F7">
        <w:rPr>
          <w:b/>
          <w:sz w:val="24"/>
          <w:szCs w:val="24"/>
        </w:rPr>
        <w:t>Slika 36: Stopa nezaposlenosti u Hrvatskoj</w:t>
      </w:r>
    </w:p>
    <w:p w:rsidR="003208F7" w:rsidRDefault="003208F7" w:rsidP="003208F7">
      <w:pPr>
        <w:tabs>
          <w:tab w:val="left" w:pos="3400"/>
        </w:tabs>
        <w:spacing w:after="0"/>
        <w:jc w:val="both"/>
        <w:rPr>
          <w:sz w:val="24"/>
          <w:szCs w:val="24"/>
        </w:rPr>
      </w:pPr>
      <w:r>
        <w:rPr>
          <w:noProof/>
          <w:lang w:eastAsia="hr-HR"/>
        </w:rPr>
        <w:drawing>
          <wp:inline distT="0" distB="0" distL="0" distR="0" wp14:anchorId="613D5947" wp14:editId="0996DC27">
            <wp:extent cx="4276725" cy="3097745"/>
            <wp:effectExtent l="0" t="0" r="0" b="7620"/>
            <wp:docPr id="12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84824" cy="3103612"/>
                    </a:xfrm>
                    <a:prstGeom prst="rect">
                      <a:avLst/>
                    </a:prstGeom>
                    <a:noFill/>
                    <a:ln>
                      <a:noFill/>
                    </a:ln>
                    <a:extLst/>
                  </pic:spPr>
                </pic:pic>
              </a:graphicData>
            </a:graphic>
          </wp:inline>
        </w:drawing>
      </w:r>
    </w:p>
    <w:p w:rsidR="003208F7" w:rsidRDefault="003208F7" w:rsidP="003208F7">
      <w:pPr>
        <w:tabs>
          <w:tab w:val="left" w:pos="3400"/>
        </w:tabs>
        <w:spacing w:after="0" w:line="240" w:lineRule="auto"/>
        <w:jc w:val="both"/>
        <w:rPr>
          <w:sz w:val="20"/>
          <w:szCs w:val="20"/>
          <w:lang w:val="pl-PL"/>
        </w:rPr>
      </w:pPr>
      <w:r w:rsidRPr="003208F7">
        <w:rPr>
          <w:sz w:val="20"/>
          <w:szCs w:val="20"/>
          <w:lang w:val="pl-PL"/>
        </w:rPr>
        <w:t>* Stopa registrirane nezaposlenosti</w:t>
      </w:r>
      <w:r>
        <w:rPr>
          <w:sz w:val="20"/>
          <w:szCs w:val="20"/>
          <w:lang w:val="pl-PL"/>
        </w:rPr>
        <w:t xml:space="preserve"> </w:t>
      </w:r>
      <w:r w:rsidRPr="003208F7">
        <w:rPr>
          <w:sz w:val="20"/>
          <w:szCs w:val="20"/>
          <w:lang w:val="pl-PL"/>
        </w:rPr>
        <w:t>prvih pet mjeseci 2015.</w:t>
      </w:r>
    </w:p>
    <w:p w:rsidR="003208F7" w:rsidRPr="003208F7" w:rsidRDefault="003208F7" w:rsidP="003208F7">
      <w:pPr>
        <w:tabs>
          <w:tab w:val="left" w:pos="3400"/>
        </w:tabs>
        <w:spacing w:after="0" w:line="240" w:lineRule="auto"/>
        <w:jc w:val="both"/>
        <w:rPr>
          <w:sz w:val="20"/>
          <w:szCs w:val="20"/>
        </w:rPr>
      </w:pPr>
      <w:r w:rsidRPr="003208F7">
        <w:rPr>
          <w:sz w:val="20"/>
          <w:szCs w:val="20"/>
          <w:lang w:val="vi-VN"/>
        </w:rPr>
        <w:t xml:space="preserve">Napomena: </w:t>
      </w:r>
      <w:r>
        <w:rPr>
          <w:sz w:val="20"/>
          <w:szCs w:val="20"/>
        </w:rPr>
        <w:t>„</w:t>
      </w:r>
      <w:r w:rsidRPr="003208F7">
        <w:rPr>
          <w:sz w:val="20"/>
          <w:szCs w:val="20"/>
          <w:lang w:val="vi-VN"/>
        </w:rPr>
        <w:t>Anketa o radnoj snazi se od početka 2007. godine objavljuje u tromjesečnoj dinamici. Stopa anketne nezaposlenosti odnosi se na osobe stare 15 i više godina. Podaci za razdoblje 2007.</w:t>
      </w:r>
      <w:r w:rsidRPr="003208F7">
        <w:rPr>
          <w:sz w:val="20"/>
          <w:szCs w:val="20"/>
        </w:rPr>
        <w:t xml:space="preserve"> – </w:t>
      </w:r>
      <w:r w:rsidRPr="003208F7">
        <w:rPr>
          <w:sz w:val="20"/>
          <w:szCs w:val="20"/>
          <w:lang w:val="vi-VN"/>
        </w:rPr>
        <w:t>2014. su usklađeni s rezultatima Popisa stanovništva, kućanstva i stanova u 2011., te nisu usporedivi s podacima za razdoblje 2000.</w:t>
      </w:r>
      <w:r w:rsidRPr="003208F7">
        <w:rPr>
          <w:sz w:val="20"/>
          <w:szCs w:val="20"/>
        </w:rPr>
        <w:t xml:space="preserve"> – </w:t>
      </w:r>
      <w:r w:rsidRPr="003208F7">
        <w:rPr>
          <w:sz w:val="20"/>
          <w:szCs w:val="20"/>
          <w:lang w:val="vi-VN"/>
        </w:rPr>
        <w:t>2006.</w:t>
      </w:r>
      <w:r>
        <w:rPr>
          <w:sz w:val="20"/>
          <w:szCs w:val="20"/>
          <w:lang w:val="pl-PL"/>
        </w:rPr>
        <w:t>”</w:t>
      </w:r>
    </w:p>
    <w:p w:rsidR="001A23EC" w:rsidRPr="00BD72B0" w:rsidRDefault="003208F7" w:rsidP="001A23EC">
      <w:pPr>
        <w:rPr>
          <w:sz w:val="20"/>
          <w:szCs w:val="20"/>
        </w:rPr>
      </w:pPr>
      <w:r w:rsidRPr="003208F7">
        <w:rPr>
          <w:sz w:val="20"/>
          <w:szCs w:val="20"/>
          <w:lang w:val="pl-PL"/>
        </w:rPr>
        <w:t>Izvor: DZS</w:t>
      </w:r>
      <w:r>
        <w:rPr>
          <w:sz w:val="20"/>
          <w:szCs w:val="20"/>
          <w:lang w:val="pl-PL"/>
        </w:rPr>
        <w:t xml:space="preserve">, </w:t>
      </w:r>
      <w:r w:rsidR="001A23EC">
        <w:rPr>
          <w:sz w:val="20"/>
          <w:szCs w:val="20"/>
        </w:rPr>
        <w:t xml:space="preserve">preuzeto sa: HNB, SPF,  dostupno na: </w:t>
      </w:r>
      <w:r w:rsidR="001A23EC" w:rsidRPr="00742284">
        <w:rPr>
          <w:sz w:val="20"/>
          <w:szCs w:val="20"/>
        </w:rPr>
        <w:t>http://www.hnb.hr/publikac/hpublikac.htm</w:t>
      </w:r>
    </w:p>
    <w:p w:rsidR="002715BC" w:rsidRDefault="002715BC" w:rsidP="002715BC">
      <w:pPr>
        <w:tabs>
          <w:tab w:val="left" w:pos="3400"/>
        </w:tabs>
        <w:spacing w:before="120"/>
        <w:jc w:val="both"/>
        <w:rPr>
          <w:sz w:val="24"/>
          <w:szCs w:val="24"/>
        </w:rPr>
      </w:pPr>
      <w:r w:rsidRPr="002E3074">
        <w:rPr>
          <w:sz w:val="24"/>
          <w:szCs w:val="24"/>
        </w:rPr>
        <w:lastRenderedPageBreak/>
        <w:t>Problem nezaposlenosti značajno je eskalirao tijekom godina recesije te danas posebno dolazi do izražaja u slučaju nezaposlenosti mladih te osoba nižih kvalifikacija. Slika 36 pokazuje kretanje stope registrirane nezaposlenosti i stope anketne nezaposlenosti u Hrvatskoj, dok je u tablici 14 prikazano kretanja stope nezaposlenosti mladih u članicama EU. Iz podataka je vidljivo da je Hrvatska ne samo zemlja s vrlo visokom stopom nezaposlenosti (jednom od najvećih u EU), nego i zemlja s daleko većim stupnjem nezaposlenosti mladih nego što je to slučaj u drugim članicama.</w:t>
      </w:r>
    </w:p>
    <w:p w:rsidR="00237EF5" w:rsidRPr="00042B05" w:rsidRDefault="00237EF5" w:rsidP="00237EF5">
      <w:pPr>
        <w:tabs>
          <w:tab w:val="left" w:pos="3400"/>
        </w:tabs>
        <w:spacing w:before="120" w:after="240" w:line="240" w:lineRule="auto"/>
        <w:jc w:val="both"/>
        <w:rPr>
          <w:b/>
          <w:sz w:val="24"/>
          <w:szCs w:val="24"/>
          <w:lang w:val="pl-PL"/>
        </w:rPr>
      </w:pPr>
      <w:r w:rsidRPr="00042B05">
        <w:rPr>
          <w:b/>
          <w:sz w:val="24"/>
          <w:szCs w:val="24"/>
          <w:lang w:val="pl-PL"/>
        </w:rPr>
        <w:t>Tablica 14: Stopa nezaposlenosti mladih u članicama EU u 2013.</w:t>
      </w:r>
    </w:p>
    <w:p w:rsidR="00237EF5" w:rsidRDefault="00237EF5" w:rsidP="00237EF5">
      <w:pPr>
        <w:tabs>
          <w:tab w:val="left" w:pos="3400"/>
        </w:tabs>
        <w:spacing w:after="0" w:line="240" w:lineRule="auto"/>
        <w:jc w:val="both"/>
        <w:rPr>
          <w:sz w:val="20"/>
          <w:szCs w:val="20"/>
        </w:rPr>
      </w:pPr>
      <w:r>
        <w:rPr>
          <w:noProof/>
          <w:sz w:val="20"/>
          <w:szCs w:val="20"/>
          <w:lang w:eastAsia="hr-HR"/>
        </w:rPr>
        <w:drawing>
          <wp:inline distT="0" distB="0" distL="0" distR="0" wp14:anchorId="7B887219" wp14:editId="3C8E102F">
            <wp:extent cx="3228975" cy="2771775"/>
            <wp:effectExtent l="0" t="0" r="9525" b="9525"/>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28975" cy="2771775"/>
                    </a:xfrm>
                    <a:prstGeom prst="rect">
                      <a:avLst/>
                    </a:prstGeom>
                    <a:noFill/>
                    <a:ln>
                      <a:noFill/>
                    </a:ln>
                  </pic:spPr>
                </pic:pic>
              </a:graphicData>
            </a:graphic>
          </wp:inline>
        </w:drawing>
      </w:r>
    </w:p>
    <w:p w:rsidR="00237EF5" w:rsidRDefault="00237EF5" w:rsidP="00237EF5">
      <w:pPr>
        <w:tabs>
          <w:tab w:val="left" w:pos="3400"/>
        </w:tabs>
        <w:spacing w:after="0" w:line="240" w:lineRule="auto"/>
        <w:jc w:val="both"/>
        <w:rPr>
          <w:sz w:val="20"/>
          <w:szCs w:val="20"/>
          <w:lang w:val="pl-PL"/>
        </w:rPr>
      </w:pPr>
      <w:r>
        <w:rPr>
          <w:sz w:val="20"/>
          <w:szCs w:val="20"/>
        </w:rPr>
        <w:t>Izvor</w:t>
      </w:r>
      <w:r w:rsidR="001A23EC">
        <w:rPr>
          <w:sz w:val="20"/>
          <w:szCs w:val="20"/>
        </w:rPr>
        <w:t xml:space="preserve"> podataka</w:t>
      </w:r>
      <w:r>
        <w:rPr>
          <w:sz w:val="20"/>
          <w:szCs w:val="20"/>
        </w:rPr>
        <w:t>: European Commission</w:t>
      </w:r>
    </w:p>
    <w:p w:rsidR="002E3074" w:rsidRPr="004352CC" w:rsidRDefault="002E3074" w:rsidP="002E3074">
      <w:pPr>
        <w:tabs>
          <w:tab w:val="left" w:pos="3400"/>
        </w:tabs>
        <w:spacing w:before="240"/>
        <w:jc w:val="both"/>
        <w:rPr>
          <w:sz w:val="24"/>
          <w:szCs w:val="24"/>
        </w:rPr>
      </w:pPr>
      <w:r>
        <w:rPr>
          <w:sz w:val="24"/>
          <w:szCs w:val="24"/>
        </w:rPr>
        <w:t>Raspoloživ d</w:t>
      </w:r>
      <w:r w:rsidRPr="00A83A77">
        <w:rPr>
          <w:sz w:val="24"/>
          <w:szCs w:val="24"/>
        </w:rPr>
        <w:t>ohodak od nesamostalnog rada (</w:t>
      </w:r>
      <w:r>
        <w:rPr>
          <w:sz w:val="24"/>
          <w:szCs w:val="24"/>
        </w:rPr>
        <w:t xml:space="preserve">neto </w:t>
      </w:r>
      <w:r w:rsidRPr="00A83A77">
        <w:rPr>
          <w:sz w:val="24"/>
          <w:szCs w:val="24"/>
        </w:rPr>
        <w:t xml:space="preserve">plaća) </w:t>
      </w:r>
      <w:r>
        <w:rPr>
          <w:sz w:val="24"/>
          <w:szCs w:val="24"/>
        </w:rPr>
        <w:t xml:space="preserve">je </w:t>
      </w:r>
      <w:r w:rsidRPr="00A83A77">
        <w:rPr>
          <w:sz w:val="24"/>
          <w:szCs w:val="24"/>
        </w:rPr>
        <w:t xml:space="preserve">temeljni oblik stjecanja </w:t>
      </w:r>
      <w:r>
        <w:rPr>
          <w:sz w:val="24"/>
          <w:szCs w:val="24"/>
        </w:rPr>
        <w:t xml:space="preserve">prihoda kućanstva (redoviti prihod) pa njegov izostanak - zbog gubitka posla, kašnjenja plaća  (nekoliko mjeseci i duže) ili nemogućnosti pronalaska posla - uzrokuje velike financijske ali i emotivne šokove te prijeti rizikom siromaštva. </w:t>
      </w:r>
      <w:r w:rsidR="00FA095D">
        <w:rPr>
          <w:sz w:val="24"/>
          <w:szCs w:val="24"/>
        </w:rPr>
        <w:t>R</w:t>
      </w:r>
      <w:r>
        <w:rPr>
          <w:sz w:val="24"/>
          <w:szCs w:val="24"/>
        </w:rPr>
        <w:t>izik siromaštva izražen je kod kućanstva koja ostvaruju vrlo niske dohotke, kućanstva s niskom stopom aktivnosti odnosno kod osoba koje nisu radno aktivne. Dodatno</w:t>
      </w:r>
      <w:r w:rsidR="00FA095D">
        <w:rPr>
          <w:sz w:val="24"/>
          <w:szCs w:val="24"/>
        </w:rPr>
        <w:t>,</w:t>
      </w:r>
      <w:r>
        <w:rPr>
          <w:sz w:val="24"/>
          <w:szCs w:val="24"/>
        </w:rPr>
        <w:t xml:space="preserve"> rizik dohotka i rizik siromaštva izraženiji su kod osoba starije dobi, odnosno umirovljenika. O</w:t>
      </w:r>
      <w:r w:rsidRPr="004352CC">
        <w:rPr>
          <w:sz w:val="24"/>
          <w:szCs w:val="24"/>
        </w:rPr>
        <w:t xml:space="preserve">dlaskom u mirovinu značajno se smanjuju prihodi </w:t>
      </w:r>
      <w:r>
        <w:rPr>
          <w:sz w:val="24"/>
          <w:szCs w:val="24"/>
        </w:rPr>
        <w:t>pojedinca (</w:t>
      </w:r>
      <w:r w:rsidRPr="004352CC">
        <w:rPr>
          <w:sz w:val="24"/>
          <w:szCs w:val="24"/>
        </w:rPr>
        <w:t>kućanstva</w:t>
      </w:r>
      <w:r>
        <w:rPr>
          <w:sz w:val="24"/>
          <w:szCs w:val="24"/>
        </w:rPr>
        <w:t>)</w:t>
      </w:r>
      <w:r w:rsidRPr="004352CC">
        <w:rPr>
          <w:sz w:val="24"/>
          <w:szCs w:val="24"/>
        </w:rPr>
        <w:t>, a osoba ima manji kapacitet za pronalaženje dodatnih izvora prihoda</w:t>
      </w:r>
      <w:r>
        <w:rPr>
          <w:sz w:val="24"/>
          <w:szCs w:val="24"/>
        </w:rPr>
        <w:t>.</w:t>
      </w:r>
    </w:p>
    <w:p w:rsidR="003208F7" w:rsidRDefault="004352CC" w:rsidP="003208F7">
      <w:pPr>
        <w:tabs>
          <w:tab w:val="left" w:pos="3400"/>
        </w:tabs>
        <w:spacing w:before="240"/>
        <w:jc w:val="both"/>
        <w:rPr>
          <w:sz w:val="24"/>
          <w:szCs w:val="24"/>
        </w:rPr>
      </w:pPr>
      <w:r>
        <w:rPr>
          <w:sz w:val="24"/>
          <w:szCs w:val="24"/>
        </w:rPr>
        <w:t>N</w:t>
      </w:r>
      <w:r w:rsidR="00AC6BC6">
        <w:rPr>
          <w:sz w:val="24"/>
          <w:szCs w:val="24"/>
        </w:rPr>
        <w:t>eizvjesnosti i nesigurnosti ostvarivanja prihoda</w:t>
      </w:r>
      <w:r w:rsidR="003208F7">
        <w:rPr>
          <w:sz w:val="24"/>
          <w:szCs w:val="24"/>
        </w:rPr>
        <w:t xml:space="preserve"> postoji i kod drugih oblika prihoda, npr. financijskih prihoda. N</w:t>
      </w:r>
      <w:r w:rsidR="00A83A77" w:rsidRPr="00A83A77">
        <w:rPr>
          <w:sz w:val="24"/>
          <w:szCs w:val="24"/>
        </w:rPr>
        <w:t xml:space="preserve">avedeno uključuje </w:t>
      </w:r>
      <w:r w:rsidR="003208F7">
        <w:rPr>
          <w:sz w:val="24"/>
          <w:szCs w:val="24"/>
        </w:rPr>
        <w:t xml:space="preserve">izostanak prihoda od dividendi, neto prihoda </w:t>
      </w:r>
      <w:r w:rsidR="00A83A77" w:rsidRPr="00A83A77">
        <w:rPr>
          <w:sz w:val="24"/>
          <w:szCs w:val="24"/>
        </w:rPr>
        <w:t>od iznajmljivanja nekretnina, plovila i slično</w:t>
      </w:r>
      <w:r w:rsidR="00EE7BA7">
        <w:rPr>
          <w:sz w:val="24"/>
          <w:szCs w:val="24"/>
        </w:rPr>
        <w:t>, kao i rizik da se postojeća financijska potraživanja (npr. zajmovi dani drugima, obitelji prijateljima itd.) neće moći naplatiti</w:t>
      </w:r>
      <w:r w:rsidR="00A83A77" w:rsidRPr="00A83A77">
        <w:rPr>
          <w:sz w:val="24"/>
          <w:szCs w:val="24"/>
        </w:rPr>
        <w:t xml:space="preserve">. </w:t>
      </w:r>
    </w:p>
    <w:p w:rsidR="00FA095D" w:rsidRDefault="00FA095D" w:rsidP="003208F7">
      <w:pPr>
        <w:tabs>
          <w:tab w:val="left" w:pos="3400"/>
        </w:tabs>
        <w:spacing w:before="240"/>
        <w:jc w:val="both"/>
        <w:rPr>
          <w:b/>
          <w:sz w:val="24"/>
          <w:szCs w:val="24"/>
        </w:rPr>
      </w:pPr>
    </w:p>
    <w:p w:rsidR="00FA095D" w:rsidRDefault="00FA095D" w:rsidP="003208F7">
      <w:pPr>
        <w:tabs>
          <w:tab w:val="left" w:pos="3400"/>
        </w:tabs>
        <w:spacing w:before="240"/>
        <w:jc w:val="both"/>
        <w:rPr>
          <w:b/>
          <w:sz w:val="24"/>
          <w:szCs w:val="24"/>
        </w:rPr>
      </w:pPr>
    </w:p>
    <w:p w:rsidR="00042B05" w:rsidRPr="00042B05" w:rsidRDefault="00042B05" w:rsidP="003208F7">
      <w:pPr>
        <w:tabs>
          <w:tab w:val="left" w:pos="3400"/>
        </w:tabs>
        <w:spacing w:before="240"/>
        <w:jc w:val="both"/>
        <w:rPr>
          <w:b/>
          <w:sz w:val="24"/>
          <w:szCs w:val="24"/>
        </w:rPr>
      </w:pPr>
      <w:r w:rsidRPr="00042B05">
        <w:rPr>
          <w:b/>
          <w:sz w:val="24"/>
          <w:szCs w:val="24"/>
        </w:rPr>
        <w:lastRenderedPageBreak/>
        <w:t>3.</w:t>
      </w:r>
      <w:r w:rsidR="0093356A">
        <w:rPr>
          <w:b/>
          <w:sz w:val="24"/>
          <w:szCs w:val="24"/>
        </w:rPr>
        <w:t>8</w:t>
      </w:r>
      <w:r w:rsidRPr="00042B05">
        <w:rPr>
          <w:b/>
          <w:sz w:val="24"/>
          <w:szCs w:val="24"/>
        </w:rPr>
        <w:t>. Porezni rizik</w:t>
      </w:r>
    </w:p>
    <w:p w:rsidR="00042B05" w:rsidRDefault="00A83A77" w:rsidP="003208F7">
      <w:pPr>
        <w:tabs>
          <w:tab w:val="left" w:pos="3400"/>
        </w:tabs>
        <w:spacing w:before="240"/>
        <w:jc w:val="both"/>
        <w:rPr>
          <w:sz w:val="24"/>
          <w:szCs w:val="24"/>
        </w:rPr>
      </w:pPr>
      <w:r w:rsidRPr="00A83A77">
        <w:rPr>
          <w:sz w:val="24"/>
          <w:szCs w:val="24"/>
        </w:rPr>
        <w:t xml:space="preserve">Promjene poreznih propisa mogu značajno promijeniti atraktivnost ulaganja u pojedine oblike financijske i realne imovine. Ukoliko država uvede oporezivanje imovine i poreznim tretmanom obuhvati </w:t>
      </w:r>
      <w:r w:rsidR="002E3074">
        <w:rPr>
          <w:sz w:val="24"/>
          <w:szCs w:val="24"/>
        </w:rPr>
        <w:t xml:space="preserve">nekretnine, odnosno </w:t>
      </w:r>
      <w:r w:rsidRPr="00A83A77">
        <w:rPr>
          <w:sz w:val="24"/>
          <w:szCs w:val="24"/>
        </w:rPr>
        <w:t xml:space="preserve">vlasnike stanova, kuća, vikendica ili zemljišta, atraktivnost ulaganja u nekretnine može se smanjiti. Slične učinke može izazvati oporezivanja kapitalnih dobitaka od ulaganja u dionice ili bilo koji drugi oblik imovine. </w:t>
      </w:r>
    </w:p>
    <w:p w:rsidR="00042B05" w:rsidRDefault="00A83A77" w:rsidP="003208F7">
      <w:pPr>
        <w:tabs>
          <w:tab w:val="left" w:pos="3400"/>
        </w:tabs>
        <w:spacing w:before="240"/>
        <w:jc w:val="both"/>
        <w:rPr>
          <w:sz w:val="24"/>
          <w:szCs w:val="24"/>
        </w:rPr>
      </w:pPr>
      <w:r w:rsidRPr="00A83A77">
        <w:rPr>
          <w:sz w:val="24"/>
          <w:szCs w:val="24"/>
        </w:rPr>
        <w:t>Promjene u sustavu oporezivanja dohotka, u vidu smanjenja neoporezivog djela dohotka, povećanja poreznih stopa ili uvođenja obveze podnošenja godišnje porezne prijave za specifične stjecatelje dohotka, mogu smanjiti ekonomsku snagu pojedinih kućanstva. Država ima pravo uvesti nove</w:t>
      </w:r>
      <w:r w:rsidR="00657643">
        <w:rPr>
          <w:sz w:val="24"/>
          <w:szCs w:val="24"/>
        </w:rPr>
        <w:t xml:space="preserve"> poreze</w:t>
      </w:r>
      <w:r w:rsidRPr="00A83A77">
        <w:rPr>
          <w:sz w:val="24"/>
          <w:szCs w:val="24"/>
        </w:rPr>
        <w:t xml:space="preserve">, povećati postojeće trošarine na različite vrste proizvoda, ali isto tako više porezno opteretiti potrošnju, kao što je na primjer </w:t>
      </w:r>
      <w:r w:rsidR="00042B05">
        <w:rPr>
          <w:sz w:val="24"/>
          <w:szCs w:val="24"/>
        </w:rPr>
        <w:t xml:space="preserve">svojedobno </w:t>
      </w:r>
      <w:r w:rsidRPr="00A83A77">
        <w:rPr>
          <w:sz w:val="24"/>
          <w:szCs w:val="24"/>
        </w:rPr>
        <w:t>povećanje stope PDV-a sa 22% na 23%.</w:t>
      </w:r>
      <w:r w:rsidR="00657643">
        <w:rPr>
          <w:sz w:val="24"/>
          <w:szCs w:val="24"/>
        </w:rPr>
        <w:t>, a potom sa 23% na 25%.</w:t>
      </w:r>
      <w:r w:rsidRPr="00A83A77">
        <w:rPr>
          <w:sz w:val="24"/>
          <w:szCs w:val="24"/>
        </w:rPr>
        <w:t xml:space="preserve"> </w:t>
      </w:r>
      <w:r w:rsidR="00372933">
        <w:rPr>
          <w:sz w:val="24"/>
          <w:szCs w:val="24"/>
        </w:rPr>
        <w:t xml:space="preserve">Nedavno uvođenje poreza na kamate na štednju te skoro oporezivanje kapitalnih dobitaka također je primjer poreznog rizika odnosno gubitaka </w:t>
      </w:r>
      <w:r w:rsidR="00657643">
        <w:rPr>
          <w:sz w:val="24"/>
          <w:szCs w:val="24"/>
        </w:rPr>
        <w:t xml:space="preserve">kućanstva </w:t>
      </w:r>
      <w:r w:rsidR="00372933">
        <w:rPr>
          <w:sz w:val="24"/>
          <w:szCs w:val="24"/>
        </w:rPr>
        <w:t>zbog mogućih promjena u sustavu oporezivanja.</w:t>
      </w:r>
    </w:p>
    <w:p w:rsidR="00A83A77" w:rsidRPr="00A83A77" w:rsidRDefault="00A83A77" w:rsidP="003208F7">
      <w:pPr>
        <w:tabs>
          <w:tab w:val="left" w:pos="3400"/>
        </w:tabs>
        <w:spacing w:before="240"/>
        <w:jc w:val="both"/>
        <w:rPr>
          <w:sz w:val="24"/>
          <w:szCs w:val="24"/>
        </w:rPr>
      </w:pPr>
      <w:r w:rsidRPr="00A83A77">
        <w:rPr>
          <w:sz w:val="24"/>
          <w:szCs w:val="24"/>
        </w:rPr>
        <w:t xml:space="preserve">Iako u stabilnim razvijenim gospodarstvima, države nisu sklone poticati financijsku nestabilnost </w:t>
      </w:r>
      <w:r w:rsidR="00042B05">
        <w:rPr>
          <w:sz w:val="24"/>
          <w:szCs w:val="24"/>
        </w:rPr>
        <w:t xml:space="preserve">i ekonomsku neizvjesnost </w:t>
      </w:r>
      <w:r w:rsidRPr="00A83A77">
        <w:rPr>
          <w:sz w:val="24"/>
          <w:szCs w:val="24"/>
        </w:rPr>
        <w:t>kroz povećanje poreznih stopa</w:t>
      </w:r>
      <w:r w:rsidR="00042B05">
        <w:rPr>
          <w:sz w:val="24"/>
          <w:szCs w:val="24"/>
        </w:rPr>
        <w:t xml:space="preserve"> ili značajne promjene u poreznom sustavu (poput</w:t>
      </w:r>
      <w:r w:rsidRPr="00A83A77">
        <w:rPr>
          <w:sz w:val="24"/>
          <w:szCs w:val="24"/>
        </w:rPr>
        <w:t xml:space="preserve"> uvođenje novih poreza ili smanjivanje poreznih olakšica</w:t>
      </w:r>
      <w:r w:rsidR="00042B05">
        <w:rPr>
          <w:sz w:val="24"/>
          <w:szCs w:val="24"/>
        </w:rPr>
        <w:t>)</w:t>
      </w:r>
      <w:r w:rsidRPr="00A83A77">
        <w:rPr>
          <w:sz w:val="24"/>
          <w:szCs w:val="24"/>
        </w:rPr>
        <w:t xml:space="preserve">, u mladim tranzicijskim gospodarstvima opisane promjene se događaju relativno često te je porezni rizik prilično izražen. </w:t>
      </w:r>
    </w:p>
    <w:p w:rsidR="00A83A77" w:rsidRPr="00417EC4" w:rsidRDefault="0093356A" w:rsidP="00657643">
      <w:pPr>
        <w:tabs>
          <w:tab w:val="left" w:pos="3400"/>
        </w:tabs>
        <w:spacing w:before="240"/>
        <w:jc w:val="both"/>
        <w:rPr>
          <w:b/>
          <w:sz w:val="24"/>
          <w:szCs w:val="24"/>
        </w:rPr>
      </w:pPr>
      <w:r>
        <w:rPr>
          <w:b/>
          <w:sz w:val="24"/>
          <w:szCs w:val="24"/>
        </w:rPr>
        <w:t>3.9</w:t>
      </w:r>
      <w:r w:rsidR="00417EC4">
        <w:rPr>
          <w:b/>
          <w:sz w:val="24"/>
          <w:szCs w:val="24"/>
        </w:rPr>
        <w:t xml:space="preserve">. Osobni rizici </w:t>
      </w:r>
      <w:r w:rsidR="004B1074" w:rsidRPr="00417EC4">
        <w:rPr>
          <w:b/>
          <w:sz w:val="24"/>
          <w:szCs w:val="24"/>
        </w:rPr>
        <w:t>i riz</w:t>
      </w:r>
      <w:r w:rsidR="00417EC4">
        <w:rPr>
          <w:b/>
          <w:sz w:val="24"/>
          <w:szCs w:val="24"/>
        </w:rPr>
        <w:t>ici</w:t>
      </w:r>
      <w:r w:rsidR="004B1074" w:rsidRPr="00417EC4">
        <w:rPr>
          <w:b/>
          <w:sz w:val="24"/>
          <w:szCs w:val="24"/>
        </w:rPr>
        <w:t xml:space="preserve"> neočekivanih događaja</w:t>
      </w:r>
    </w:p>
    <w:p w:rsidR="00196410" w:rsidRDefault="00196410" w:rsidP="00196410">
      <w:pPr>
        <w:tabs>
          <w:tab w:val="left" w:pos="3400"/>
        </w:tabs>
        <w:jc w:val="both"/>
        <w:rPr>
          <w:sz w:val="24"/>
          <w:szCs w:val="24"/>
        </w:rPr>
      </w:pPr>
      <w:r w:rsidRPr="00417EC4">
        <w:rPr>
          <w:color w:val="C00000"/>
          <w:sz w:val="24"/>
          <w:szCs w:val="24"/>
        </w:rPr>
        <w:t xml:space="preserve">Rizik </w:t>
      </w:r>
      <w:r w:rsidR="004A3373">
        <w:rPr>
          <w:color w:val="C00000"/>
          <w:sz w:val="24"/>
          <w:szCs w:val="24"/>
        </w:rPr>
        <w:t>n</w:t>
      </w:r>
      <w:r w:rsidRPr="00417EC4">
        <w:rPr>
          <w:color w:val="C00000"/>
          <w:sz w:val="24"/>
          <w:szCs w:val="24"/>
        </w:rPr>
        <w:t xml:space="preserve">eočekivanih događaja </w:t>
      </w:r>
      <w:r w:rsidRPr="00A83A77">
        <w:rPr>
          <w:sz w:val="24"/>
          <w:szCs w:val="24"/>
        </w:rPr>
        <w:t xml:space="preserve">uključuje: migraciju iz mjesta dotadašnjeg boravka zbog promjene karijere, rođenje djeteta, razvod braka, smrt supružnika, veće kvarove na električnim instalacijama zbog kojih se javljaju neočekivani izdaci za financiranje njihova popravka, nabavku novih uređaja u kućanstvu, </w:t>
      </w:r>
      <w:r>
        <w:rPr>
          <w:sz w:val="24"/>
          <w:szCs w:val="24"/>
        </w:rPr>
        <w:t xml:space="preserve">plaćanje kreditnih obveza kao jamac pri kreditima koje koriste drugi </w:t>
      </w:r>
      <w:r w:rsidRPr="00A83A77">
        <w:rPr>
          <w:sz w:val="24"/>
          <w:szCs w:val="24"/>
        </w:rPr>
        <w:t xml:space="preserve">itd. </w:t>
      </w:r>
      <w:r>
        <w:rPr>
          <w:sz w:val="24"/>
          <w:szCs w:val="24"/>
        </w:rPr>
        <w:t>Materijalizacija svih spomenutih rizika može se značajno odraziti na život pojedinca i članova njegove obitelji, kao i na financijsku situaciju kućanstva.</w:t>
      </w:r>
    </w:p>
    <w:p w:rsidR="004B1074" w:rsidRDefault="00196410" w:rsidP="004B1074">
      <w:pPr>
        <w:tabs>
          <w:tab w:val="left" w:pos="3400"/>
        </w:tabs>
        <w:jc w:val="both"/>
        <w:rPr>
          <w:sz w:val="24"/>
          <w:szCs w:val="24"/>
        </w:rPr>
      </w:pPr>
      <w:r>
        <w:rPr>
          <w:sz w:val="24"/>
          <w:szCs w:val="24"/>
        </w:rPr>
        <w:t xml:space="preserve">Posebnu kategoriju rizika predstavljaju tzv. </w:t>
      </w:r>
      <w:r w:rsidRPr="00196410">
        <w:rPr>
          <w:color w:val="C00000"/>
          <w:sz w:val="24"/>
          <w:szCs w:val="24"/>
        </w:rPr>
        <w:t xml:space="preserve">osobni rizici </w:t>
      </w:r>
      <w:r>
        <w:rPr>
          <w:sz w:val="24"/>
          <w:szCs w:val="24"/>
        </w:rPr>
        <w:t>koji su individualni i značajno se razlikuju od jedne osobe do druge, odnosno karakteristični  su jedna kućanstva, ali ne nužno i za druga. Na primjer, z</w:t>
      </w:r>
      <w:r w:rsidR="004B1074">
        <w:rPr>
          <w:sz w:val="24"/>
          <w:szCs w:val="24"/>
        </w:rPr>
        <w:t>dravlje</w:t>
      </w:r>
      <w:r w:rsidR="00A83A77" w:rsidRPr="00A83A77">
        <w:rPr>
          <w:sz w:val="24"/>
          <w:szCs w:val="24"/>
        </w:rPr>
        <w:t xml:space="preserve"> pojedinca ili članova njihove obitelji može biti ugroženo pod djelovanjem različitih čimbenika, zbog čega se osoba može suočiti s nemogućnošću rada, odnosno obavljanja poslova koji su do tada predstavljali izvor prihoda. Troškovi liječenja, kupovina lijekova i posebna prehrane mogu bitno djelovati na strukturu izdataka kućanstva te dovesti u pitanje ostvarivanje postavljenih ekonomskih i financijskih ciljeva.</w:t>
      </w:r>
      <w:r w:rsidR="00372933">
        <w:rPr>
          <w:sz w:val="24"/>
          <w:szCs w:val="24"/>
        </w:rPr>
        <w:t xml:space="preserve"> </w:t>
      </w:r>
    </w:p>
    <w:p w:rsidR="004B1074" w:rsidRDefault="00A83A77" w:rsidP="004B1074">
      <w:pPr>
        <w:tabs>
          <w:tab w:val="left" w:pos="3400"/>
        </w:tabs>
        <w:jc w:val="both"/>
        <w:rPr>
          <w:sz w:val="24"/>
          <w:szCs w:val="24"/>
        </w:rPr>
      </w:pPr>
      <w:r w:rsidRPr="00A83A77">
        <w:rPr>
          <w:sz w:val="24"/>
          <w:szCs w:val="24"/>
        </w:rPr>
        <w:t xml:space="preserve">Drugi važan segment osobnog rizika je sigurnost, a ona može biti upitna zbog porasta kriminaliteta u društvu, mogućih ekoloških zagađenja, prirodnih nepogoda, promjene </w:t>
      </w:r>
      <w:r w:rsidRPr="00A83A77">
        <w:rPr>
          <w:sz w:val="24"/>
          <w:szCs w:val="24"/>
        </w:rPr>
        <w:lastRenderedPageBreak/>
        <w:t xml:space="preserve">političkog uređenja, sukoba u društvu, obitelji i radnoj sredini, izbijanja građanskih nemira, ratova i drugih razloga. </w:t>
      </w:r>
    </w:p>
    <w:p w:rsidR="00A83A77" w:rsidRDefault="00A83A77" w:rsidP="004B1074">
      <w:pPr>
        <w:tabs>
          <w:tab w:val="left" w:pos="3400"/>
        </w:tabs>
        <w:jc w:val="both"/>
        <w:rPr>
          <w:sz w:val="24"/>
          <w:szCs w:val="24"/>
        </w:rPr>
      </w:pPr>
      <w:r w:rsidRPr="00A83A77">
        <w:rPr>
          <w:sz w:val="24"/>
          <w:szCs w:val="24"/>
        </w:rPr>
        <w:t xml:space="preserve">Osobni rizik također je vezan uz djelovanje </w:t>
      </w:r>
      <w:r w:rsidR="004B1074">
        <w:rPr>
          <w:sz w:val="24"/>
          <w:szCs w:val="24"/>
        </w:rPr>
        <w:t xml:space="preserve">individualnih </w:t>
      </w:r>
      <w:r w:rsidRPr="00196410">
        <w:rPr>
          <w:color w:val="C00000"/>
          <w:sz w:val="24"/>
          <w:szCs w:val="24"/>
        </w:rPr>
        <w:t>unutarnjih snaga i slabosti</w:t>
      </w:r>
      <w:r w:rsidRPr="00A83A77">
        <w:rPr>
          <w:sz w:val="24"/>
          <w:szCs w:val="24"/>
        </w:rPr>
        <w:t xml:space="preserve">, na primjer snage da se </w:t>
      </w:r>
      <w:r w:rsidR="004B1074">
        <w:rPr>
          <w:sz w:val="24"/>
          <w:szCs w:val="24"/>
        </w:rPr>
        <w:t>osoba nosi</w:t>
      </w:r>
      <w:r w:rsidRPr="00A83A77">
        <w:rPr>
          <w:sz w:val="24"/>
          <w:szCs w:val="24"/>
        </w:rPr>
        <w:t xml:space="preserve"> s izazovima života i promjene posla</w:t>
      </w:r>
      <w:r w:rsidR="00196410">
        <w:rPr>
          <w:sz w:val="24"/>
          <w:szCs w:val="24"/>
        </w:rPr>
        <w:t>,</w:t>
      </w:r>
      <w:r w:rsidR="004B1074">
        <w:rPr>
          <w:sz w:val="24"/>
          <w:szCs w:val="24"/>
        </w:rPr>
        <w:t xml:space="preserve"> </w:t>
      </w:r>
      <w:r w:rsidRPr="00A83A77">
        <w:rPr>
          <w:sz w:val="24"/>
          <w:szCs w:val="24"/>
        </w:rPr>
        <w:t>ili slabosti u smislu prepuštanja osjećaju</w:t>
      </w:r>
      <w:r w:rsidR="00237EF5">
        <w:rPr>
          <w:sz w:val="24"/>
          <w:szCs w:val="24"/>
        </w:rPr>
        <w:t>, pesimizma</w:t>
      </w:r>
      <w:r w:rsidRPr="00A83A77">
        <w:rPr>
          <w:sz w:val="24"/>
          <w:szCs w:val="24"/>
        </w:rPr>
        <w:t xml:space="preserve"> tuge i depresije, sklonosti konzumiranja alkohola, droge i slično. Svojevrsnu slabost predstavljaju i prekomjerna potrošnja te sklonost pretjeranom zaduživanju koji pojedince uvlače u začarani krug financijskih p</w:t>
      </w:r>
      <w:r w:rsidR="004B1074">
        <w:rPr>
          <w:sz w:val="24"/>
          <w:szCs w:val="24"/>
        </w:rPr>
        <w:t xml:space="preserve">roblema koje ne mogu riješiti. </w:t>
      </w:r>
    </w:p>
    <w:p w:rsidR="00372933" w:rsidRPr="00372933" w:rsidRDefault="00372933" w:rsidP="00372933">
      <w:pPr>
        <w:tabs>
          <w:tab w:val="left" w:pos="3400"/>
        </w:tabs>
        <w:jc w:val="both"/>
        <w:rPr>
          <w:sz w:val="24"/>
          <w:szCs w:val="24"/>
        </w:rPr>
      </w:pPr>
      <w:r>
        <w:rPr>
          <w:sz w:val="24"/>
          <w:szCs w:val="24"/>
        </w:rPr>
        <w:t xml:space="preserve">Pojam koji se s time u vezi javlja je tzv. </w:t>
      </w:r>
      <w:r w:rsidRPr="00372933">
        <w:rPr>
          <w:color w:val="C00000"/>
          <w:sz w:val="24"/>
          <w:szCs w:val="24"/>
        </w:rPr>
        <w:t>lokus kontrole</w:t>
      </w:r>
      <w:r>
        <w:rPr>
          <w:sz w:val="24"/>
          <w:szCs w:val="24"/>
        </w:rPr>
        <w:t xml:space="preserve">. </w:t>
      </w:r>
      <w:r w:rsidR="005C2475" w:rsidRPr="00372933">
        <w:rPr>
          <w:sz w:val="24"/>
          <w:szCs w:val="24"/>
        </w:rPr>
        <w:t>L</w:t>
      </w:r>
      <w:r w:rsidRPr="00372933">
        <w:rPr>
          <w:sz w:val="24"/>
          <w:szCs w:val="24"/>
        </w:rPr>
        <w:t xml:space="preserve">okus kontrole predstavlja </w:t>
      </w:r>
      <w:r w:rsidR="005C2475" w:rsidRPr="00372933">
        <w:rPr>
          <w:sz w:val="24"/>
          <w:szCs w:val="24"/>
        </w:rPr>
        <w:t>sklonost osobe da percipira svijet oko sebe na određeni način, uključujući općenita vjerovanja o uzrocima nagrada i kazni.</w:t>
      </w:r>
      <w:r w:rsidRPr="00372933">
        <w:rPr>
          <w:sz w:val="24"/>
          <w:szCs w:val="24"/>
        </w:rPr>
        <w:t xml:space="preserve"> </w:t>
      </w:r>
    </w:p>
    <w:p w:rsidR="00372933" w:rsidRPr="00372933" w:rsidRDefault="005C2475" w:rsidP="006F1C04">
      <w:pPr>
        <w:pStyle w:val="Odlomakpopisa"/>
        <w:numPr>
          <w:ilvl w:val="0"/>
          <w:numId w:val="29"/>
        </w:numPr>
        <w:tabs>
          <w:tab w:val="left" w:pos="3400"/>
        </w:tabs>
        <w:jc w:val="both"/>
        <w:rPr>
          <w:sz w:val="24"/>
          <w:szCs w:val="24"/>
        </w:rPr>
      </w:pPr>
      <w:r w:rsidRPr="00372933">
        <w:rPr>
          <w:sz w:val="24"/>
          <w:szCs w:val="24"/>
        </w:rPr>
        <w:t xml:space="preserve">Pojedinci s </w:t>
      </w:r>
      <w:r w:rsidRPr="00372933">
        <w:rPr>
          <w:color w:val="C00000"/>
          <w:sz w:val="24"/>
          <w:szCs w:val="24"/>
        </w:rPr>
        <w:t xml:space="preserve">unutarnjim lokusom kontrole </w:t>
      </w:r>
      <w:r w:rsidRPr="00372933">
        <w:rPr>
          <w:sz w:val="24"/>
          <w:szCs w:val="24"/>
        </w:rPr>
        <w:t>vjeruju da će ih njihove radnje dovesti do očekivanih rezultata stoga su oni skloniji poduzimanju akcija i motiviraniji su od pojedinaca s vanjskim lokusom kontrole.</w:t>
      </w:r>
      <w:r w:rsidR="009B58E0">
        <w:rPr>
          <w:sz w:val="24"/>
          <w:szCs w:val="24"/>
        </w:rPr>
        <w:t xml:space="preserve"> Osobne financije i druga pitanja doživljavaju kroz relaciju: </w:t>
      </w:r>
      <w:r w:rsidR="009B58E0" w:rsidRPr="009B58E0">
        <w:rPr>
          <w:i/>
          <w:sz w:val="24"/>
          <w:szCs w:val="24"/>
        </w:rPr>
        <w:t>„Ja kontroliram posljedice mog ponašanja uključujući veća akademska postignuća, bolje odnose s drugima, veći napor i trud ulože u stjecanje znanja i iskustva, nižu razinu akumuliranih dugova po kreditnim karticama itd.“</w:t>
      </w:r>
      <w:r w:rsidR="00372933" w:rsidRPr="00372933">
        <w:rPr>
          <w:sz w:val="24"/>
          <w:szCs w:val="24"/>
        </w:rPr>
        <w:t xml:space="preserve"> </w:t>
      </w:r>
    </w:p>
    <w:p w:rsidR="009A2E77" w:rsidRPr="00372933" w:rsidRDefault="005C2475" w:rsidP="006F1C04">
      <w:pPr>
        <w:pStyle w:val="Odlomakpopisa"/>
        <w:numPr>
          <w:ilvl w:val="0"/>
          <w:numId w:val="29"/>
        </w:numPr>
        <w:tabs>
          <w:tab w:val="left" w:pos="3400"/>
        </w:tabs>
        <w:jc w:val="both"/>
        <w:rPr>
          <w:sz w:val="24"/>
          <w:szCs w:val="24"/>
        </w:rPr>
      </w:pPr>
      <w:r w:rsidRPr="00372933">
        <w:rPr>
          <w:sz w:val="24"/>
          <w:szCs w:val="24"/>
        </w:rPr>
        <w:t xml:space="preserve">Pojedinci </w:t>
      </w:r>
      <w:r w:rsidRPr="00372933">
        <w:rPr>
          <w:color w:val="C00000"/>
          <w:sz w:val="24"/>
          <w:szCs w:val="24"/>
        </w:rPr>
        <w:t xml:space="preserve">s vanjskim lokusom kontrole </w:t>
      </w:r>
      <w:r w:rsidRPr="00372933">
        <w:rPr>
          <w:sz w:val="24"/>
          <w:szCs w:val="24"/>
        </w:rPr>
        <w:t xml:space="preserve">smatraju da su svi događaji pod utjecajem i kontrolom sreće, </w:t>
      </w:r>
      <w:r w:rsidR="00372933" w:rsidRPr="00372933">
        <w:rPr>
          <w:sz w:val="24"/>
          <w:szCs w:val="24"/>
        </w:rPr>
        <w:t xml:space="preserve">odnosno </w:t>
      </w:r>
      <w:r w:rsidRPr="00372933">
        <w:rPr>
          <w:sz w:val="24"/>
          <w:szCs w:val="24"/>
        </w:rPr>
        <w:t xml:space="preserve">vjerojatnosti i utjecajnih trećih osoba, stoga su značajno manje skloni razvijanju vještina potrebnih za ostvarenje </w:t>
      </w:r>
      <w:r w:rsidR="00372933" w:rsidRPr="00372933">
        <w:rPr>
          <w:sz w:val="24"/>
          <w:szCs w:val="24"/>
        </w:rPr>
        <w:t xml:space="preserve">svojih </w:t>
      </w:r>
      <w:r w:rsidRPr="00372933">
        <w:rPr>
          <w:sz w:val="24"/>
          <w:szCs w:val="24"/>
        </w:rPr>
        <w:t>ciljeva</w:t>
      </w:r>
      <w:r w:rsidR="009B58E0">
        <w:rPr>
          <w:sz w:val="24"/>
          <w:szCs w:val="24"/>
        </w:rPr>
        <w:t>.</w:t>
      </w:r>
    </w:p>
    <w:tbl>
      <w:tblPr>
        <w:tblStyle w:val="Reetkatablice"/>
        <w:tblW w:w="0" w:type="auto"/>
        <w:tblInd w:w="108" w:type="dxa"/>
        <w:tblLook w:val="04A0" w:firstRow="1" w:lastRow="0" w:firstColumn="1" w:lastColumn="0" w:noHBand="0" w:noVBand="1"/>
      </w:tblPr>
      <w:tblGrid>
        <w:gridCol w:w="9180"/>
      </w:tblGrid>
      <w:tr w:rsidR="0007371F" w:rsidTr="004B1141">
        <w:tc>
          <w:tcPr>
            <w:tcW w:w="9180" w:type="dxa"/>
            <w:shd w:val="clear" w:color="auto" w:fill="F2F2F2" w:themeFill="background1" w:themeFillShade="F2"/>
          </w:tcPr>
          <w:p w:rsidR="009A2E77" w:rsidRPr="00196410" w:rsidRDefault="00196410" w:rsidP="00196410">
            <w:pPr>
              <w:tabs>
                <w:tab w:val="left" w:pos="3400"/>
                <w:tab w:val="left" w:pos="4275"/>
              </w:tabs>
              <w:spacing w:before="120" w:after="120"/>
              <w:jc w:val="both"/>
              <w:rPr>
                <w:rFonts w:asciiTheme="minorHAnsi" w:eastAsiaTheme="minorHAnsi" w:hAnsiTheme="minorHAnsi" w:cstheme="minorBidi"/>
                <w:i/>
                <w:sz w:val="24"/>
                <w:szCs w:val="24"/>
                <w:lang w:eastAsia="en-US"/>
              </w:rPr>
            </w:pPr>
            <w:r w:rsidRPr="00196410">
              <w:rPr>
                <w:rFonts w:asciiTheme="minorHAnsi" w:eastAsiaTheme="minorHAnsi" w:hAnsiTheme="minorHAnsi" w:cstheme="minorBidi"/>
                <w:i/>
                <w:sz w:val="24"/>
                <w:szCs w:val="24"/>
                <w:lang w:eastAsia="en-US"/>
              </w:rPr>
              <w:t>„</w:t>
            </w:r>
            <w:r w:rsidR="005C2475" w:rsidRPr="00196410">
              <w:rPr>
                <w:rFonts w:asciiTheme="minorHAnsi" w:eastAsiaTheme="minorHAnsi" w:hAnsiTheme="minorHAnsi" w:cstheme="minorBidi"/>
                <w:i/>
                <w:color w:val="C00000"/>
                <w:sz w:val="24"/>
                <w:szCs w:val="24"/>
                <w:lang w:eastAsia="en-US"/>
              </w:rPr>
              <w:t>O</w:t>
            </w:r>
            <w:r w:rsidRPr="00196410">
              <w:rPr>
                <w:rFonts w:asciiTheme="minorHAnsi" w:eastAsiaTheme="minorHAnsi" w:hAnsiTheme="minorHAnsi" w:cstheme="minorBidi"/>
                <w:i/>
                <w:color w:val="C00000"/>
                <w:sz w:val="24"/>
                <w:szCs w:val="24"/>
                <w:lang w:eastAsia="en-US"/>
              </w:rPr>
              <w:t>ptimizam</w:t>
            </w:r>
            <w:r w:rsidR="005C2475" w:rsidRPr="00196410">
              <w:rPr>
                <w:rFonts w:asciiTheme="minorHAnsi" w:eastAsiaTheme="minorHAnsi" w:hAnsiTheme="minorHAnsi" w:cstheme="minorBidi"/>
                <w:i/>
                <w:sz w:val="24"/>
                <w:szCs w:val="24"/>
                <w:lang w:eastAsia="en-US"/>
              </w:rPr>
              <w:t xml:space="preserve"> se može definirati kao općenito i generalno pozitivno očekivanje spram budućih događaja.</w:t>
            </w:r>
            <w:r w:rsidR="0007371F" w:rsidRPr="00196410">
              <w:rPr>
                <w:rFonts w:asciiTheme="minorHAnsi" w:eastAsiaTheme="minorHAnsi" w:hAnsiTheme="minorHAnsi" w:cstheme="minorBidi"/>
                <w:i/>
                <w:sz w:val="24"/>
                <w:szCs w:val="24"/>
                <w:lang w:eastAsia="en-US"/>
              </w:rPr>
              <w:t xml:space="preserve"> </w:t>
            </w:r>
            <w:r w:rsidRPr="00196410">
              <w:rPr>
                <w:rFonts w:asciiTheme="minorHAnsi" w:eastAsiaTheme="minorHAnsi" w:hAnsiTheme="minorHAnsi" w:cstheme="minorBidi"/>
                <w:i/>
                <w:sz w:val="24"/>
                <w:szCs w:val="24"/>
                <w:lang w:eastAsia="en-US"/>
              </w:rPr>
              <w:t xml:space="preserve">… </w:t>
            </w:r>
            <w:r w:rsidR="005C2475" w:rsidRPr="00196410">
              <w:rPr>
                <w:rFonts w:asciiTheme="minorHAnsi" w:eastAsiaTheme="minorHAnsi" w:hAnsiTheme="minorHAnsi" w:cstheme="minorBidi"/>
                <w:i/>
                <w:sz w:val="24"/>
                <w:szCs w:val="24"/>
                <w:lang w:eastAsia="en-US"/>
              </w:rPr>
              <w:t xml:space="preserve">Optimisti, koje karakterizira očekivanje pozitivnih ishoda, ustrajat će u namjeri da smanje razliku koja ih dijeli do ostvarenja ciljeva, dok će pesimisti, koji očekuju loše ishode, u većoj mjeri pokazivati pasivne reakcije i odustajanje od ostvarenja postavljenih ciljeva. </w:t>
            </w:r>
            <w:r w:rsidR="002715BC">
              <w:rPr>
                <w:rFonts w:asciiTheme="minorHAnsi" w:eastAsiaTheme="minorHAnsi" w:hAnsiTheme="minorHAnsi" w:cstheme="minorBidi"/>
                <w:i/>
                <w:sz w:val="24"/>
                <w:szCs w:val="24"/>
                <w:lang w:eastAsia="en-US"/>
              </w:rPr>
              <w:t>…</w:t>
            </w:r>
          </w:p>
          <w:p w:rsidR="00822C8D" w:rsidRPr="00196410" w:rsidRDefault="00196410" w:rsidP="002715BC">
            <w:pPr>
              <w:tabs>
                <w:tab w:val="left" w:pos="3400"/>
              </w:tabs>
              <w:spacing w:before="120" w:after="120"/>
              <w:jc w:val="both"/>
              <w:rPr>
                <w:rFonts w:asciiTheme="minorHAnsi" w:eastAsiaTheme="minorHAnsi" w:hAnsiTheme="minorHAnsi" w:cstheme="minorBidi"/>
                <w:i/>
                <w:sz w:val="24"/>
                <w:szCs w:val="24"/>
                <w:lang w:eastAsia="en-US"/>
              </w:rPr>
            </w:pPr>
            <w:r w:rsidRPr="00196410">
              <w:rPr>
                <w:rFonts w:asciiTheme="minorHAnsi" w:eastAsiaTheme="minorHAnsi" w:hAnsiTheme="minorHAnsi" w:cstheme="minorBidi"/>
                <w:i/>
                <w:sz w:val="24"/>
                <w:szCs w:val="24"/>
                <w:lang w:eastAsia="en-US"/>
              </w:rPr>
              <w:t xml:space="preserve">… </w:t>
            </w:r>
            <w:r w:rsidR="005C2475" w:rsidRPr="00196410">
              <w:rPr>
                <w:rFonts w:asciiTheme="minorHAnsi" w:eastAsiaTheme="minorHAnsi" w:hAnsiTheme="minorHAnsi" w:cstheme="minorBidi"/>
                <w:i/>
                <w:sz w:val="24"/>
                <w:szCs w:val="24"/>
                <w:lang w:eastAsia="en-US"/>
              </w:rPr>
              <w:t>Prema nalazima istraživanja koja su se bavila povezanošću optimizma i financijskih odluka (Puri i Robinson, 2007.), optimistični ljudi više rade, očekuju da će se umiroviti u kasnijoj dobi, više investiraju i više štede. Umjereni optimisti skloniji su razboritom financijskom ponašanju, dok je financijsko ponašanje ekstremnih optimista značajno rizičnije.</w:t>
            </w:r>
            <w:r w:rsidR="002715BC">
              <w:rPr>
                <w:rFonts w:asciiTheme="minorHAnsi" w:eastAsiaTheme="minorHAnsi" w:hAnsiTheme="minorHAnsi" w:cstheme="minorBidi"/>
                <w:i/>
                <w:sz w:val="24"/>
                <w:szCs w:val="24"/>
                <w:lang w:eastAsia="en-US"/>
              </w:rPr>
              <w:t>“…</w:t>
            </w:r>
          </w:p>
          <w:p w:rsidR="0007371F" w:rsidRDefault="00822C8D" w:rsidP="00196410">
            <w:pPr>
              <w:tabs>
                <w:tab w:val="left" w:pos="3400"/>
              </w:tabs>
              <w:spacing w:before="120" w:after="120"/>
              <w:jc w:val="both"/>
              <w:rPr>
                <w:sz w:val="24"/>
                <w:szCs w:val="24"/>
              </w:rPr>
            </w:pPr>
            <w:r w:rsidRPr="00822C8D">
              <w:rPr>
                <w:rFonts w:asciiTheme="minorHAnsi" w:eastAsiaTheme="minorHAnsi" w:hAnsiTheme="minorHAnsi" w:cstheme="minorBidi"/>
                <w:i/>
                <w:sz w:val="24"/>
                <w:szCs w:val="24"/>
                <w:lang w:eastAsia="en-US"/>
              </w:rPr>
              <w:t>„</w:t>
            </w:r>
            <w:r w:rsidR="005C2475" w:rsidRPr="00196410">
              <w:rPr>
                <w:rFonts w:asciiTheme="minorHAnsi" w:eastAsiaTheme="minorHAnsi" w:hAnsiTheme="minorHAnsi" w:cstheme="minorBidi"/>
                <w:i/>
                <w:color w:val="C00000"/>
                <w:sz w:val="24"/>
                <w:szCs w:val="24"/>
                <w:lang w:eastAsia="en-US"/>
              </w:rPr>
              <w:t>A</w:t>
            </w:r>
            <w:r w:rsidR="00196410" w:rsidRPr="00196410">
              <w:rPr>
                <w:rFonts w:asciiTheme="minorHAnsi" w:eastAsiaTheme="minorHAnsi" w:hAnsiTheme="minorHAnsi" w:cstheme="minorBidi"/>
                <w:i/>
                <w:color w:val="C00000"/>
                <w:sz w:val="24"/>
                <w:szCs w:val="24"/>
                <w:lang w:eastAsia="en-US"/>
              </w:rPr>
              <w:t xml:space="preserve">verzija prema riziku </w:t>
            </w:r>
            <w:r w:rsidR="005C2475" w:rsidRPr="00196410">
              <w:rPr>
                <w:rFonts w:asciiTheme="minorHAnsi" w:eastAsiaTheme="minorHAnsi" w:hAnsiTheme="minorHAnsi" w:cstheme="minorBidi"/>
                <w:i/>
                <w:sz w:val="24"/>
                <w:szCs w:val="24"/>
                <w:lang w:eastAsia="en-US"/>
              </w:rPr>
              <w:t xml:space="preserve">može se definirati kao odbojnost ili strah prema riziku koji ima prosječni investitor, odnosno kao tendencija investitora da izbjegne prekomjeran i nepotreban rizik. Prema tome, osobe koje imaju veću razinu averzije prema riziku općenito su opreznije i odgovornije. </w:t>
            </w:r>
            <w:r w:rsidR="00196410" w:rsidRPr="00196410">
              <w:rPr>
                <w:rFonts w:asciiTheme="minorHAnsi" w:eastAsiaTheme="minorHAnsi" w:hAnsiTheme="minorHAnsi" w:cstheme="minorBidi"/>
                <w:i/>
                <w:sz w:val="24"/>
                <w:szCs w:val="24"/>
                <w:lang w:eastAsia="en-US"/>
              </w:rPr>
              <w:t xml:space="preserve">… </w:t>
            </w:r>
            <w:r w:rsidR="005C2475" w:rsidRPr="00196410">
              <w:rPr>
                <w:rFonts w:asciiTheme="minorHAnsi" w:eastAsiaTheme="minorHAnsi" w:hAnsiTheme="minorHAnsi" w:cstheme="minorBidi"/>
                <w:i/>
                <w:sz w:val="24"/>
                <w:szCs w:val="24"/>
                <w:lang w:eastAsia="en-US"/>
              </w:rPr>
              <w:t>U istraživanju OECD-a (Atkinson i Messy, 2012.), stav prema riziku identificiran je kao važna eksplanatorna varijabla za mjere financijske pismenosti i financijske uspješnosti te je dokazana pozitivna veza između averzije prema riziku i financijske pismenosti.</w:t>
            </w:r>
            <w:r w:rsidR="00196410" w:rsidRPr="00196410">
              <w:rPr>
                <w:rFonts w:asciiTheme="minorHAnsi" w:eastAsiaTheme="minorHAnsi" w:hAnsiTheme="minorHAnsi" w:cstheme="minorBidi"/>
                <w:i/>
                <w:sz w:val="24"/>
                <w:szCs w:val="24"/>
                <w:lang w:eastAsia="en-US"/>
              </w:rPr>
              <w:t>“</w:t>
            </w:r>
            <w:r>
              <w:rPr>
                <w:rFonts w:asciiTheme="minorHAnsi" w:eastAsiaTheme="minorHAnsi" w:hAnsiTheme="minorHAnsi" w:cstheme="minorBidi"/>
                <w:sz w:val="24"/>
                <w:szCs w:val="24"/>
                <w:lang w:eastAsia="en-US"/>
              </w:rPr>
              <w:t>*</w:t>
            </w:r>
          </w:p>
        </w:tc>
      </w:tr>
      <w:tr w:rsidR="0007371F" w:rsidTr="004B1141">
        <w:tc>
          <w:tcPr>
            <w:tcW w:w="9180" w:type="dxa"/>
          </w:tcPr>
          <w:p w:rsidR="0007371F" w:rsidRPr="00196410" w:rsidRDefault="007969AB" w:rsidP="002715BC">
            <w:pPr>
              <w:tabs>
                <w:tab w:val="left" w:pos="3400"/>
              </w:tabs>
              <w:jc w:val="both"/>
              <w:rPr>
                <w:rFonts w:asciiTheme="minorHAnsi" w:hAnsiTheme="minorHAnsi"/>
              </w:rPr>
            </w:pPr>
            <w:r>
              <w:rPr>
                <w:rFonts w:asciiTheme="minorHAnsi" w:hAnsiTheme="minorHAnsi"/>
              </w:rPr>
              <w:t xml:space="preserve">* </w:t>
            </w:r>
            <w:r w:rsidR="002715BC">
              <w:rPr>
                <w:rFonts w:asciiTheme="minorHAnsi" w:hAnsiTheme="minorHAnsi"/>
              </w:rPr>
              <w:t xml:space="preserve">Izvor: </w:t>
            </w:r>
            <w:r w:rsidR="00374C83">
              <w:rPr>
                <w:rFonts w:asciiTheme="minorHAnsi" w:hAnsiTheme="minorHAnsi"/>
              </w:rPr>
              <w:t>p</w:t>
            </w:r>
            <w:r w:rsidR="00196410" w:rsidRPr="00196410">
              <w:rPr>
                <w:rFonts w:asciiTheme="minorHAnsi" w:hAnsiTheme="minorHAnsi"/>
              </w:rPr>
              <w:t>reuzet</w:t>
            </w:r>
            <w:r w:rsidR="002715BC">
              <w:rPr>
                <w:rFonts w:asciiTheme="minorHAnsi" w:hAnsiTheme="minorHAnsi"/>
              </w:rPr>
              <w:t>o</w:t>
            </w:r>
            <w:r w:rsidR="00196410" w:rsidRPr="00196410">
              <w:rPr>
                <w:rFonts w:asciiTheme="minorHAnsi" w:hAnsiTheme="minorHAnsi"/>
              </w:rPr>
              <w:t xml:space="preserve"> iz: Cvrlje, D. (2014.), „</w:t>
            </w:r>
            <w:r w:rsidR="00196410" w:rsidRPr="00196410">
              <w:rPr>
                <w:rFonts w:asciiTheme="minorHAnsi" w:hAnsiTheme="minorHAnsi" w:cs="Arial"/>
                <w:color w:val="545454"/>
                <w:shd w:val="clear" w:color="auto" w:fill="FFFFFF"/>
              </w:rPr>
              <w:t xml:space="preserve">Povezanost koncepta financijske pismenosti s uspješnošću upravljanja osobnim financijama“ </w:t>
            </w:r>
            <w:r w:rsidR="00196410" w:rsidRPr="00196410">
              <w:rPr>
                <w:rFonts w:asciiTheme="minorHAnsi" w:hAnsiTheme="minorHAnsi"/>
              </w:rPr>
              <w:t>doktorska disertacija, EFZG</w:t>
            </w:r>
          </w:p>
        </w:tc>
      </w:tr>
    </w:tbl>
    <w:p w:rsidR="00985BBE" w:rsidRDefault="004B1141" w:rsidP="000C612D">
      <w:pPr>
        <w:tabs>
          <w:tab w:val="left" w:pos="3400"/>
        </w:tabs>
        <w:spacing w:before="120" w:after="0"/>
        <w:jc w:val="both"/>
        <w:rPr>
          <w:sz w:val="24"/>
          <w:szCs w:val="24"/>
        </w:rPr>
      </w:pPr>
      <w:r w:rsidRPr="00985BBE">
        <w:rPr>
          <w:sz w:val="24"/>
          <w:szCs w:val="24"/>
        </w:rPr>
        <w:lastRenderedPageBreak/>
        <w:t xml:space="preserve">Na osobne rizike </w:t>
      </w:r>
      <w:r w:rsidR="00657643">
        <w:rPr>
          <w:sz w:val="24"/>
          <w:szCs w:val="24"/>
        </w:rPr>
        <w:t xml:space="preserve">koji dolaze do izražaja na individualnoj razini </w:t>
      </w:r>
      <w:r w:rsidRPr="00985BBE">
        <w:rPr>
          <w:sz w:val="24"/>
          <w:szCs w:val="24"/>
        </w:rPr>
        <w:t>utječu različite emocije</w:t>
      </w:r>
      <w:r w:rsidR="00985BBE">
        <w:rPr>
          <w:sz w:val="24"/>
          <w:szCs w:val="24"/>
        </w:rPr>
        <w:t xml:space="preserve">, sklonosti </w:t>
      </w:r>
      <w:r w:rsidRPr="00985BBE">
        <w:rPr>
          <w:sz w:val="24"/>
          <w:szCs w:val="24"/>
        </w:rPr>
        <w:t xml:space="preserve"> i iracionalna ponašanja, n</w:t>
      </w:r>
      <w:r w:rsidR="00985BBE">
        <w:rPr>
          <w:sz w:val="24"/>
          <w:szCs w:val="24"/>
        </w:rPr>
        <w:t>a primjer:</w:t>
      </w:r>
    </w:p>
    <w:p w:rsidR="00985BBE" w:rsidRPr="00985BBE" w:rsidRDefault="004B1141" w:rsidP="006F1C04">
      <w:pPr>
        <w:pStyle w:val="Odlomakpopisa"/>
        <w:numPr>
          <w:ilvl w:val="0"/>
          <w:numId w:val="30"/>
        </w:numPr>
        <w:tabs>
          <w:tab w:val="left" w:pos="3400"/>
        </w:tabs>
        <w:spacing w:after="120" w:line="240" w:lineRule="auto"/>
        <w:ind w:left="714" w:hanging="357"/>
        <w:jc w:val="both"/>
        <w:rPr>
          <w:sz w:val="24"/>
          <w:szCs w:val="24"/>
        </w:rPr>
      </w:pPr>
      <w:r w:rsidRPr="00985BBE">
        <w:rPr>
          <w:color w:val="C00000"/>
          <w:sz w:val="24"/>
          <w:szCs w:val="24"/>
        </w:rPr>
        <w:t>sklonost emotivnoj i impulzivnoj kupnji</w:t>
      </w:r>
      <w:r w:rsidR="00985BBE">
        <w:rPr>
          <w:sz w:val="24"/>
          <w:szCs w:val="24"/>
        </w:rPr>
        <w:t>;</w:t>
      </w:r>
      <w:r w:rsidRPr="00985BBE">
        <w:rPr>
          <w:sz w:val="24"/>
          <w:szCs w:val="24"/>
        </w:rPr>
        <w:t xml:space="preserve"> </w:t>
      </w:r>
    </w:p>
    <w:p w:rsidR="00985BBE" w:rsidRPr="00985BBE" w:rsidRDefault="004B1141"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averzija prema riziku</w:t>
      </w:r>
      <w:r w:rsidR="00985BBE">
        <w:rPr>
          <w:sz w:val="24"/>
          <w:szCs w:val="24"/>
        </w:rPr>
        <w:t>;</w:t>
      </w:r>
      <w:r w:rsidRPr="00985BBE">
        <w:rPr>
          <w:sz w:val="24"/>
          <w:szCs w:val="24"/>
        </w:rPr>
        <w:t xml:space="preserve"> </w:t>
      </w:r>
    </w:p>
    <w:p w:rsidR="00985BBE" w:rsidRDefault="004B1141" w:rsidP="006F1C04">
      <w:pPr>
        <w:pStyle w:val="Odlomakpopisa"/>
        <w:numPr>
          <w:ilvl w:val="0"/>
          <w:numId w:val="30"/>
        </w:numPr>
        <w:tabs>
          <w:tab w:val="left" w:pos="3400"/>
        </w:tabs>
        <w:spacing w:before="120" w:after="120" w:line="240" w:lineRule="auto"/>
        <w:jc w:val="both"/>
        <w:rPr>
          <w:sz w:val="24"/>
          <w:szCs w:val="24"/>
        </w:rPr>
      </w:pPr>
      <w:r w:rsidRPr="00985BBE">
        <w:rPr>
          <w:color w:val="C00000"/>
          <w:sz w:val="24"/>
          <w:szCs w:val="24"/>
        </w:rPr>
        <w:t xml:space="preserve">otpornost vlastitih shema na promjene </w:t>
      </w:r>
      <w:r w:rsidRPr="00985BBE">
        <w:rPr>
          <w:sz w:val="24"/>
          <w:szCs w:val="24"/>
        </w:rPr>
        <w:t>(u smislu vjerovanja ljudi o nekoj pojavi, socijalnom svijetu ili samom sebi</w:t>
      </w:r>
      <w:r w:rsidR="00985BBE" w:rsidRPr="00985BBE">
        <w:rPr>
          <w:sz w:val="24"/>
          <w:szCs w:val="24"/>
        </w:rPr>
        <w:t>; o</w:t>
      </w:r>
      <w:r w:rsidR="005C2475" w:rsidRPr="00985BBE">
        <w:rPr>
          <w:sz w:val="24"/>
          <w:szCs w:val="24"/>
        </w:rPr>
        <w:t>ne utječu na informacije koje ljudi uočavaju,</w:t>
      </w:r>
      <w:r w:rsidR="008E26FD">
        <w:rPr>
          <w:sz w:val="24"/>
          <w:szCs w:val="24"/>
        </w:rPr>
        <w:t xml:space="preserve"> o kojima misle i koje pamte </w:t>
      </w:r>
      <w:r w:rsidR="000C612D">
        <w:rPr>
          <w:sz w:val="24"/>
          <w:szCs w:val="24"/>
        </w:rPr>
        <w:t>–</w:t>
      </w:r>
      <w:r w:rsidR="008E26FD">
        <w:rPr>
          <w:sz w:val="24"/>
          <w:szCs w:val="24"/>
        </w:rPr>
        <w:t xml:space="preserve"> </w:t>
      </w:r>
      <w:r w:rsidR="000C612D">
        <w:rPr>
          <w:sz w:val="24"/>
          <w:szCs w:val="24"/>
        </w:rPr>
        <w:t xml:space="preserve">osobne sheme </w:t>
      </w:r>
      <w:r w:rsidR="005C2475" w:rsidRPr="00985BBE">
        <w:rPr>
          <w:sz w:val="24"/>
          <w:szCs w:val="24"/>
        </w:rPr>
        <w:t>djeluju kao filter</w:t>
      </w:r>
      <w:r w:rsidR="00985BBE" w:rsidRPr="00985BBE">
        <w:rPr>
          <w:sz w:val="24"/>
          <w:szCs w:val="24"/>
        </w:rPr>
        <w:t>i</w:t>
      </w:r>
      <w:r w:rsidR="005C2475" w:rsidRPr="00985BBE">
        <w:rPr>
          <w:sz w:val="24"/>
          <w:szCs w:val="24"/>
        </w:rPr>
        <w:t xml:space="preserve"> nepropuštajući informacije koje nisu u skladu s njima</w:t>
      </w:r>
      <w:r w:rsidR="00822C8D" w:rsidRPr="00985BBE">
        <w:rPr>
          <w:sz w:val="24"/>
          <w:szCs w:val="24"/>
        </w:rPr>
        <w:t>)</w:t>
      </w:r>
      <w:r w:rsidR="00985BBE">
        <w:rPr>
          <w:sz w:val="24"/>
          <w:szCs w:val="24"/>
        </w:rPr>
        <w:t>;</w:t>
      </w:r>
    </w:p>
    <w:p w:rsidR="008E26FD" w:rsidRPr="00985BBE" w:rsidRDefault="008E26FD" w:rsidP="006F1C04">
      <w:pPr>
        <w:pStyle w:val="Odlomakpopisa"/>
        <w:numPr>
          <w:ilvl w:val="0"/>
          <w:numId w:val="30"/>
        </w:numPr>
        <w:tabs>
          <w:tab w:val="left" w:pos="3400"/>
        </w:tabs>
        <w:spacing w:before="120" w:after="120" w:line="240" w:lineRule="auto"/>
        <w:jc w:val="both"/>
        <w:rPr>
          <w:sz w:val="24"/>
          <w:szCs w:val="24"/>
        </w:rPr>
      </w:pPr>
      <w:r>
        <w:rPr>
          <w:color w:val="C00000"/>
          <w:sz w:val="24"/>
          <w:szCs w:val="24"/>
        </w:rPr>
        <w:t xml:space="preserve">novčana iluzija </w:t>
      </w:r>
      <w:r w:rsidRPr="008E26FD">
        <w:rPr>
          <w:sz w:val="24"/>
          <w:szCs w:val="24"/>
        </w:rPr>
        <w:t>(sklonost razmišljanja u nominalnim umjesto realnim terminima)</w:t>
      </w:r>
    </w:p>
    <w:p w:rsidR="00985BBE" w:rsidRPr="00985BBE" w:rsidRDefault="00822C8D"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 xml:space="preserve">sklonost </w:t>
      </w:r>
      <w:r w:rsidRPr="00985BBE">
        <w:rPr>
          <w:color w:val="C00000"/>
          <w:sz w:val="24"/>
          <w:szCs w:val="24"/>
        </w:rPr>
        <w:t xml:space="preserve">magičnom razmišljanju </w:t>
      </w:r>
      <w:r w:rsidRPr="00985BBE">
        <w:rPr>
          <w:sz w:val="24"/>
          <w:szCs w:val="24"/>
        </w:rPr>
        <w:t xml:space="preserve">(kada </w:t>
      </w:r>
      <w:r w:rsidR="005C2475" w:rsidRPr="00985BBE">
        <w:rPr>
          <w:sz w:val="24"/>
          <w:szCs w:val="24"/>
        </w:rPr>
        <w:t>osoba misli da određeno razmišljanje vodi do željenog učinka, pa čak i ako za to nema nikakvo objašnjenje ili ne postoje nikakve činjenice koje bi to dokazale ili opravdale</w:t>
      </w:r>
      <w:r w:rsidRPr="00985BBE">
        <w:rPr>
          <w:sz w:val="24"/>
          <w:szCs w:val="24"/>
        </w:rPr>
        <w:t>)</w:t>
      </w:r>
      <w:r w:rsidR="00985BBE">
        <w:rPr>
          <w:sz w:val="24"/>
          <w:szCs w:val="24"/>
        </w:rPr>
        <w:t>;</w:t>
      </w:r>
      <w:r w:rsidRPr="00985BBE">
        <w:rPr>
          <w:sz w:val="24"/>
          <w:szCs w:val="24"/>
        </w:rPr>
        <w:t xml:space="preserve"> </w:t>
      </w:r>
    </w:p>
    <w:p w:rsidR="00985BBE" w:rsidRPr="00985BBE" w:rsidRDefault="00822C8D"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 xml:space="preserve">sklonost </w:t>
      </w:r>
      <w:r w:rsidRPr="00985BBE">
        <w:rPr>
          <w:color w:val="C00000"/>
          <w:sz w:val="24"/>
          <w:szCs w:val="24"/>
        </w:rPr>
        <w:t>sidrenju</w:t>
      </w:r>
      <w:r w:rsidRPr="00985BBE">
        <w:rPr>
          <w:sz w:val="24"/>
          <w:szCs w:val="24"/>
        </w:rPr>
        <w:t xml:space="preserve"> na informacije ili događaje iz prošlosti (u situacijama zanemarivanja postojećih informacija radi vjerovanja u ispravnost povijesnih vrijednosti)</w:t>
      </w:r>
      <w:r w:rsidR="00985BBE">
        <w:rPr>
          <w:sz w:val="24"/>
          <w:szCs w:val="24"/>
        </w:rPr>
        <w:t>;</w:t>
      </w:r>
      <w:r w:rsidRPr="00985BBE">
        <w:rPr>
          <w:sz w:val="24"/>
          <w:szCs w:val="24"/>
        </w:rPr>
        <w:t xml:space="preserve"> </w:t>
      </w:r>
    </w:p>
    <w:p w:rsidR="00985BBE" w:rsidRPr="00985BBE" w:rsidRDefault="00822C8D"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 xml:space="preserve">sklonost </w:t>
      </w:r>
      <w:r w:rsidRPr="00985BBE">
        <w:rPr>
          <w:color w:val="C00000"/>
          <w:sz w:val="24"/>
          <w:szCs w:val="24"/>
        </w:rPr>
        <w:t xml:space="preserve">racionalnom ignoriranju </w:t>
      </w:r>
      <w:r w:rsidRPr="00985BBE">
        <w:rPr>
          <w:sz w:val="24"/>
          <w:szCs w:val="24"/>
        </w:rPr>
        <w:t>(kada osobe namjerno izbjegavaju nove informacije koje bi mogle dokazati da su njihova vjerovanja pogrešna ili pronalaze iracionalne argumente koji podržavaju njihova vjerovanja ili pretpostavke)</w:t>
      </w:r>
      <w:r w:rsidR="00985BBE">
        <w:rPr>
          <w:sz w:val="24"/>
          <w:szCs w:val="24"/>
        </w:rPr>
        <w:t>;</w:t>
      </w:r>
      <w:r w:rsidRPr="00985BBE">
        <w:rPr>
          <w:sz w:val="24"/>
          <w:szCs w:val="24"/>
        </w:rPr>
        <w:t xml:space="preserve"> </w:t>
      </w:r>
    </w:p>
    <w:p w:rsidR="00985BBE" w:rsidRPr="00985BBE" w:rsidRDefault="00822C8D"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sklonost samosažaljenju (</w:t>
      </w:r>
      <w:r w:rsidR="00374C83">
        <w:rPr>
          <w:sz w:val="24"/>
          <w:szCs w:val="24"/>
        </w:rPr>
        <w:t xml:space="preserve">u situaciji kada </w:t>
      </w:r>
      <w:r w:rsidRPr="00985BBE">
        <w:rPr>
          <w:sz w:val="24"/>
          <w:szCs w:val="24"/>
        </w:rPr>
        <w:t>osoba pokušava izbjeći sve poteze koji bi je mogli podsjetiti na pogrešne poteze iz prošlosti ili potvrditi trenutne pogreške)</w:t>
      </w:r>
      <w:r w:rsidR="00985BBE">
        <w:rPr>
          <w:sz w:val="24"/>
          <w:szCs w:val="24"/>
        </w:rPr>
        <w:t>;</w:t>
      </w:r>
      <w:r w:rsidRPr="00985BBE">
        <w:rPr>
          <w:sz w:val="24"/>
          <w:szCs w:val="24"/>
        </w:rPr>
        <w:t xml:space="preserve"> </w:t>
      </w:r>
    </w:p>
    <w:p w:rsidR="00985BBE" w:rsidRPr="00985BBE" w:rsidRDefault="005C2475" w:rsidP="006F1C04">
      <w:pPr>
        <w:pStyle w:val="Odlomakpopisa"/>
        <w:numPr>
          <w:ilvl w:val="0"/>
          <w:numId w:val="30"/>
        </w:numPr>
        <w:tabs>
          <w:tab w:val="left" w:pos="3400"/>
        </w:tabs>
        <w:spacing w:before="120" w:after="120" w:line="240" w:lineRule="auto"/>
        <w:jc w:val="both"/>
        <w:rPr>
          <w:sz w:val="24"/>
          <w:szCs w:val="24"/>
        </w:rPr>
      </w:pPr>
      <w:r w:rsidRPr="00985BBE">
        <w:rPr>
          <w:bCs/>
          <w:color w:val="C00000"/>
          <w:sz w:val="24"/>
          <w:szCs w:val="24"/>
        </w:rPr>
        <w:t>iluzija superiornosti</w:t>
      </w:r>
      <w:r w:rsidRPr="00985BBE">
        <w:rPr>
          <w:color w:val="C00000"/>
          <w:sz w:val="24"/>
          <w:szCs w:val="24"/>
        </w:rPr>
        <w:t xml:space="preserve"> </w:t>
      </w:r>
      <w:r w:rsidR="00822C8D" w:rsidRPr="00985BBE">
        <w:rPr>
          <w:sz w:val="24"/>
          <w:szCs w:val="24"/>
        </w:rPr>
        <w:t>(</w:t>
      </w:r>
      <w:r w:rsidRPr="00985BBE">
        <w:rPr>
          <w:sz w:val="24"/>
          <w:szCs w:val="24"/>
        </w:rPr>
        <w:t>kada manje inteligentne osobe ili manje vješte osobe, oso</w:t>
      </w:r>
      <w:r w:rsidR="00822C8D" w:rsidRPr="00985BBE">
        <w:rPr>
          <w:sz w:val="24"/>
          <w:szCs w:val="24"/>
        </w:rPr>
        <w:t xml:space="preserve">bno rangiraju svoje sposobnosti, </w:t>
      </w:r>
      <w:r w:rsidRPr="00985BBE">
        <w:rPr>
          <w:sz w:val="24"/>
          <w:szCs w:val="24"/>
        </w:rPr>
        <w:t>znanje i sl. kao iznadprosječne, odnosno općenito veće nego što one uistinu jesu</w:t>
      </w:r>
      <w:r w:rsidR="00822C8D" w:rsidRPr="00985BBE">
        <w:rPr>
          <w:sz w:val="24"/>
          <w:szCs w:val="24"/>
        </w:rPr>
        <w:t>)</w:t>
      </w:r>
      <w:r w:rsidR="00985BBE">
        <w:rPr>
          <w:sz w:val="24"/>
          <w:szCs w:val="24"/>
        </w:rPr>
        <w:t>;</w:t>
      </w:r>
      <w:r w:rsidR="00822C8D" w:rsidRPr="00985BBE">
        <w:rPr>
          <w:sz w:val="24"/>
          <w:szCs w:val="24"/>
        </w:rPr>
        <w:t xml:space="preserve"> </w:t>
      </w:r>
    </w:p>
    <w:p w:rsidR="00985BBE" w:rsidRDefault="005C2475" w:rsidP="006F1C04">
      <w:pPr>
        <w:pStyle w:val="Odlomakpopisa"/>
        <w:numPr>
          <w:ilvl w:val="0"/>
          <w:numId w:val="30"/>
        </w:numPr>
        <w:tabs>
          <w:tab w:val="left" w:pos="3400"/>
        </w:tabs>
        <w:spacing w:before="120" w:after="120" w:line="240" w:lineRule="auto"/>
        <w:jc w:val="both"/>
        <w:rPr>
          <w:sz w:val="24"/>
          <w:szCs w:val="24"/>
        </w:rPr>
      </w:pPr>
      <w:r w:rsidRPr="00985BBE">
        <w:rPr>
          <w:bCs/>
          <w:color w:val="C00000"/>
          <w:sz w:val="24"/>
          <w:szCs w:val="24"/>
        </w:rPr>
        <w:t>iluzija inferiornosti</w:t>
      </w:r>
      <w:r w:rsidRPr="00985BBE">
        <w:rPr>
          <w:color w:val="C00000"/>
          <w:sz w:val="24"/>
          <w:szCs w:val="24"/>
        </w:rPr>
        <w:t xml:space="preserve"> </w:t>
      </w:r>
      <w:r w:rsidR="00822C8D" w:rsidRPr="00985BBE">
        <w:rPr>
          <w:sz w:val="24"/>
          <w:szCs w:val="24"/>
        </w:rPr>
        <w:t>(</w:t>
      </w:r>
      <w:r w:rsidRPr="00985BBE">
        <w:rPr>
          <w:sz w:val="24"/>
          <w:szCs w:val="24"/>
        </w:rPr>
        <w:t>kada osobe većeg stupnja in</w:t>
      </w:r>
      <w:r w:rsidR="00822C8D" w:rsidRPr="00985BBE">
        <w:rPr>
          <w:sz w:val="24"/>
          <w:szCs w:val="24"/>
        </w:rPr>
        <w:t>teligencije i većih sposobnosti</w:t>
      </w:r>
      <w:r w:rsidRPr="00985BBE">
        <w:rPr>
          <w:sz w:val="24"/>
          <w:szCs w:val="24"/>
        </w:rPr>
        <w:t xml:space="preserve"> osobno rangiraju svoje sposobnosti niže od stvarne razine</w:t>
      </w:r>
      <w:r w:rsidR="00822C8D" w:rsidRPr="00985BBE">
        <w:rPr>
          <w:sz w:val="24"/>
          <w:szCs w:val="24"/>
        </w:rPr>
        <w:t>)</w:t>
      </w:r>
      <w:r w:rsidR="00985BBE">
        <w:rPr>
          <w:sz w:val="24"/>
          <w:szCs w:val="24"/>
        </w:rPr>
        <w:t>;</w:t>
      </w:r>
      <w:r w:rsidR="00822C8D" w:rsidRPr="00985BBE">
        <w:rPr>
          <w:sz w:val="24"/>
          <w:szCs w:val="24"/>
        </w:rPr>
        <w:t xml:space="preserve"> </w:t>
      </w:r>
    </w:p>
    <w:p w:rsidR="002715BC" w:rsidRPr="00985BBE" w:rsidRDefault="002715BC" w:rsidP="006F1C04">
      <w:pPr>
        <w:pStyle w:val="Odlomakpopisa"/>
        <w:numPr>
          <w:ilvl w:val="0"/>
          <w:numId w:val="30"/>
        </w:numPr>
        <w:tabs>
          <w:tab w:val="left" w:pos="3400"/>
        </w:tabs>
        <w:spacing w:before="120" w:after="120" w:line="240" w:lineRule="auto"/>
        <w:jc w:val="both"/>
        <w:rPr>
          <w:sz w:val="24"/>
          <w:szCs w:val="24"/>
        </w:rPr>
      </w:pPr>
      <w:r w:rsidRPr="00985BBE">
        <w:rPr>
          <w:color w:val="C00000"/>
          <w:sz w:val="24"/>
          <w:szCs w:val="24"/>
        </w:rPr>
        <w:t xml:space="preserve">pretjerano samopouzdanje </w:t>
      </w:r>
      <w:r w:rsidRPr="00985BBE">
        <w:rPr>
          <w:sz w:val="24"/>
          <w:szCs w:val="24"/>
        </w:rPr>
        <w:t>(u smislu precjenjivanja vlastitih vještina, znanja i sposobnosti u donošenju ispravnih odluka ili snalaženju u različitim izazovnim i rizičnim situacijama)</w:t>
      </w:r>
      <w:r>
        <w:rPr>
          <w:sz w:val="24"/>
          <w:szCs w:val="24"/>
        </w:rPr>
        <w:t>;</w:t>
      </w:r>
    </w:p>
    <w:p w:rsidR="002715BC" w:rsidRPr="00985BBE" w:rsidRDefault="002715BC"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prekomjerni optimizam (u smislu podcjenjivanja vjerojatnosti loših ishoda)</w:t>
      </w:r>
      <w:r>
        <w:rPr>
          <w:sz w:val="24"/>
          <w:szCs w:val="24"/>
        </w:rPr>
        <w:t>;</w:t>
      </w:r>
    </w:p>
    <w:p w:rsidR="002715BC" w:rsidRDefault="002715BC" w:rsidP="002715BC">
      <w:pPr>
        <w:pStyle w:val="Odlomakpopisa"/>
        <w:tabs>
          <w:tab w:val="left" w:pos="3400"/>
        </w:tabs>
        <w:spacing w:before="120" w:after="120" w:line="240" w:lineRule="auto"/>
        <w:jc w:val="both"/>
        <w:rPr>
          <w:sz w:val="24"/>
          <w:szCs w:val="24"/>
        </w:rPr>
      </w:pPr>
    </w:p>
    <w:p w:rsidR="002715BC" w:rsidRPr="00985BBE" w:rsidRDefault="002715BC" w:rsidP="002715BC">
      <w:pPr>
        <w:pStyle w:val="Odlomakpopisa"/>
        <w:tabs>
          <w:tab w:val="left" w:pos="3400"/>
        </w:tabs>
        <w:spacing w:before="120" w:after="120" w:line="240" w:lineRule="auto"/>
        <w:jc w:val="both"/>
        <w:rPr>
          <w:sz w:val="24"/>
          <w:szCs w:val="24"/>
        </w:rPr>
      </w:pPr>
      <w:r>
        <w:object w:dxaOrig="5985" w:dyaOrig="4935">
          <v:shape id="_x0000_i1039" type="#_x0000_t75" style="width:273.75pt;height:226.5pt" o:ole="">
            <v:imagedata r:id="rId101" o:title=""/>
          </v:shape>
          <o:OLEObject Type="Embed" ProgID="PBrush" ShapeID="_x0000_i1039" DrawAspect="Content" ObjectID="_1505681367" r:id="rId102"/>
        </w:object>
      </w:r>
    </w:p>
    <w:p w:rsidR="002715BC" w:rsidRPr="00985BBE" w:rsidRDefault="002715BC"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prekomjerni pesimizam (u smislu precjenjivanja vjerojatnosti loših ishoda)</w:t>
      </w:r>
      <w:r>
        <w:rPr>
          <w:sz w:val="24"/>
          <w:szCs w:val="24"/>
        </w:rPr>
        <w:t>;</w:t>
      </w:r>
      <w:r w:rsidRPr="00985BBE">
        <w:rPr>
          <w:sz w:val="24"/>
          <w:szCs w:val="24"/>
        </w:rPr>
        <w:t xml:space="preserve"> </w:t>
      </w:r>
    </w:p>
    <w:p w:rsidR="00985BBE" w:rsidRPr="00985BBE" w:rsidRDefault="00822C8D" w:rsidP="006F1C04">
      <w:pPr>
        <w:pStyle w:val="Odlomakpopisa"/>
        <w:numPr>
          <w:ilvl w:val="0"/>
          <w:numId w:val="30"/>
        </w:numPr>
        <w:tabs>
          <w:tab w:val="left" w:pos="3400"/>
        </w:tabs>
        <w:spacing w:before="120" w:after="120" w:line="240" w:lineRule="auto"/>
        <w:jc w:val="both"/>
        <w:rPr>
          <w:sz w:val="24"/>
          <w:szCs w:val="24"/>
        </w:rPr>
      </w:pPr>
      <w:r w:rsidRPr="00985BBE">
        <w:rPr>
          <w:color w:val="C00000"/>
          <w:sz w:val="24"/>
          <w:szCs w:val="24"/>
        </w:rPr>
        <w:lastRenderedPageBreak/>
        <w:t xml:space="preserve">zaštita vlastitog ega </w:t>
      </w:r>
      <w:r w:rsidRPr="00985BBE">
        <w:rPr>
          <w:sz w:val="24"/>
          <w:szCs w:val="24"/>
        </w:rPr>
        <w:t>(javlja se u situacijama kada osoba prilagođava svoje stavove tako da oni potvrđuju odluke koje je ranije donijela)</w:t>
      </w:r>
      <w:r w:rsidR="00985BBE">
        <w:rPr>
          <w:sz w:val="24"/>
          <w:szCs w:val="24"/>
        </w:rPr>
        <w:t>;</w:t>
      </w:r>
      <w:r w:rsidRPr="00985BBE">
        <w:rPr>
          <w:sz w:val="24"/>
          <w:szCs w:val="24"/>
        </w:rPr>
        <w:t xml:space="preserve"> </w:t>
      </w:r>
    </w:p>
    <w:p w:rsidR="00985BBE" w:rsidRPr="00985BBE" w:rsidRDefault="00822C8D"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pripisivanje krivnje drugima</w:t>
      </w:r>
      <w:r w:rsidR="00985BBE">
        <w:rPr>
          <w:sz w:val="24"/>
          <w:szCs w:val="24"/>
        </w:rPr>
        <w:t>;</w:t>
      </w:r>
      <w:r w:rsidRPr="00985BBE">
        <w:rPr>
          <w:sz w:val="24"/>
          <w:szCs w:val="24"/>
        </w:rPr>
        <w:t xml:space="preserve"> </w:t>
      </w:r>
    </w:p>
    <w:p w:rsidR="00985BBE" w:rsidRPr="00985BBE" w:rsidRDefault="00822C8D"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 xml:space="preserve">sklonost </w:t>
      </w:r>
      <w:r w:rsidR="00985BBE" w:rsidRPr="00985BBE">
        <w:rPr>
          <w:sz w:val="24"/>
          <w:szCs w:val="24"/>
        </w:rPr>
        <w:t>osjećaju</w:t>
      </w:r>
      <w:r w:rsidRPr="00985BBE">
        <w:rPr>
          <w:sz w:val="24"/>
          <w:szCs w:val="24"/>
        </w:rPr>
        <w:t xml:space="preserve"> vlastitog </w:t>
      </w:r>
      <w:r w:rsidR="00985BBE" w:rsidRPr="00985BBE">
        <w:rPr>
          <w:sz w:val="24"/>
          <w:szCs w:val="24"/>
        </w:rPr>
        <w:t>zadovoljstva</w:t>
      </w:r>
      <w:r w:rsidRPr="00985BBE">
        <w:rPr>
          <w:sz w:val="24"/>
          <w:szCs w:val="24"/>
        </w:rPr>
        <w:t xml:space="preserve"> (vezana je uz osobinu ljudi </w:t>
      </w:r>
      <w:r w:rsidR="00985BBE" w:rsidRPr="00985BBE">
        <w:rPr>
          <w:sz w:val="24"/>
          <w:szCs w:val="24"/>
        </w:rPr>
        <w:t>da</w:t>
      </w:r>
      <w:r w:rsidRPr="00985BBE">
        <w:rPr>
          <w:sz w:val="24"/>
          <w:szCs w:val="24"/>
        </w:rPr>
        <w:t xml:space="preserve"> ulaze u određene poslovne poduhvate jer im to daje osjećaj vlastite vrijednosti, tj. takvim poduhvatima ispunjavaju sami sebe</w:t>
      </w:r>
      <w:r w:rsidR="00985BBE" w:rsidRPr="00985BBE">
        <w:rPr>
          <w:sz w:val="24"/>
          <w:szCs w:val="24"/>
        </w:rPr>
        <w:t>)</w:t>
      </w:r>
      <w:r w:rsidR="00985BBE">
        <w:rPr>
          <w:sz w:val="24"/>
          <w:szCs w:val="24"/>
        </w:rPr>
        <w:t>;</w:t>
      </w:r>
    </w:p>
    <w:p w:rsidR="00985BBE" w:rsidRPr="00985BBE" w:rsidRDefault="00985BBE" w:rsidP="006F1C04">
      <w:pPr>
        <w:pStyle w:val="Odlomakpopisa"/>
        <w:numPr>
          <w:ilvl w:val="0"/>
          <w:numId w:val="30"/>
        </w:numPr>
        <w:tabs>
          <w:tab w:val="left" w:pos="3400"/>
        </w:tabs>
        <w:spacing w:before="120" w:after="120" w:line="240" w:lineRule="auto"/>
        <w:jc w:val="both"/>
        <w:rPr>
          <w:sz w:val="24"/>
          <w:szCs w:val="24"/>
        </w:rPr>
      </w:pPr>
      <w:r w:rsidRPr="00985BBE">
        <w:rPr>
          <w:color w:val="C00000"/>
          <w:sz w:val="24"/>
          <w:szCs w:val="24"/>
        </w:rPr>
        <w:t xml:space="preserve">mentalne pregrade </w:t>
      </w:r>
      <w:r w:rsidRPr="00985BBE">
        <w:rPr>
          <w:sz w:val="24"/>
          <w:szCs w:val="24"/>
        </w:rPr>
        <w:t>(</w:t>
      </w:r>
      <w:r w:rsidR="005C2475" w:rsidRPr="00985BBE">
        <w:rPr>
          <w:sz w:val="24"/>
          <w:szCs w:val="24"/>
        </w:rPr>
        <w:t>javljaju se u situacijama parcijalnog promatranja svake odluke same za sebe, a ne kroz interakciju s drugim odlukama</w:t>
      </w:r>
      <w:r w:rsidRPr="00985BBE">
        <w:rPr>
          <w:sz w:val="24"/>
          <w:szCs w:val="24"/>
        </w:rPr>
        <w:t>)</w:t>
      </w:r>
      <w:r>
        <w:rPr>
          <w:sz w:val="24"/>
          <w:szCs w:val="24"/>
        </w:rPr>
        <w:t>;</w:t>
      </w:r>
      <w:r w:rsidRPr="00985BBE">
        <w:rPr>
          <w:sz w:val="24"/>
          <w:szCs w:val="24"/>
        </w:rPr>
        <w:t xml:space="preserve"> </w:t>
      </w:r>
    </w:p>
    <w:p w:rsidR="009A2E77" w:rsidRPr="002715BC" w:rsidRDefault="00985BBE" w:rsidP="006F1C04">
      <w:pPr>
        <w:pStyle w:val="Odlomakpopisa"/>
        <w:numPr>
          <w:ilvl w:val="0"/>
          <w:numId w:val="30"/>
        </w:numPr>
        <w:tabs>
          <w:tab w:val="left" w:pos="3400"/>
        </w:tabs>
        <w:spacing w:before="120" w:after="120" w:line="240" w:lineRule="auto"/>
        <w:jc w:val="both"/>
        <w:rPr>
          <w:sz w:val="24"/>
          <w:szCs w:val="24"/>
        </w:rPr>
      </w:pPr>
      <w:r w:rsidRPr="00985BBE">
        <w:rPr>
          <w:sz w:val="24"/>
          <w:szCs w:val="24"/>
        </w:rPr>
        <w:t xml:space="preserve">podložnost </w:t>
      </w:r>
      <w:r w:rsidRPr="00985BBE">
        <w:rPr>
          <w:color w:val="C00000"/>
          <w:sz w:val="24"/>
          <w:szCs w:val="24"/>
        </w:rPr>
        <w:t xml:space="preserve">efektu okvira </w:t>
      </w:r>
      <w:r w:rsidRPr="00985BBE">
        <w:rPr>
          <w:sz w:val="24"/>
          <w:szCs w:val="24"/>
        </w:rPr>
        <w:t xml:space="preserve">(način </w:t>
      </w:r>
      <w:r w:rsidR="005C2475" w:rsidRPr="00985BBE">
        <w:rPr>
          <w:bCs/>
          <w:sz w:val="24"/>
          <w:szCs w:val="24"/>
        </w:rPr>
        <w:t>na koji su prikazane različite opcije utječe na odabir opcije</w:t>
      </w:r>
      <w:r w:rsidRPr="00985BBE">
        <w:rPr>
          <w:bCs/>
          <w:sz w:val="24"/>
          <w:szCs w:val="24"/>
        </w:rPr>
        <w:t xml:space="preserve">, npr. </w:t>
      </w:r>
      <w:r>
        <w:rPr>
          <w:bCs/>
          <w:sz w:val="24"/>
          <w:szCs w:val="24"/>
        </w:rPr>
        <w:t>h</w:t>
      </w:r>
      <w:r w:rsidR="005C2475" w:rsidRPr="00985BBE">
        <w:rPr>
          <w:iCs/>
          <w:sz w:val="24"/>
          <w:szCs w:val="24"/>
        </w:rPr>
        <w:t xml:space="preserve">oćemo li kupiti više proizvoda ako se prodaje s 20% popusta na primarnu cijenu od 2.5 $, nego što bismo kupili </w:t>
      </w:r>
      <w:r w:rsidRPr="00985BBE">
        <w:rPr>
          <w:iCs/>
          <w:sz w:val="24"/>
          <w:szCs w:val="24"/>
        </w:rPr>
        <w:t>ako se prodaje po cijeni od 2 $) itd.</w:t>
      </w:r>
      <w:r w:rsidR="00383864" w:rsidRPr="00383864">
        <w:rPr>
          <w:sz w:val="24"/>
          <w:szCs w:val="24"/>
          <w:vertAlign w:val="superscript"/>
        </w:rPr>
        <w:t xml:space="preserve"> </w:t>
      </w:r>
      <w:r w:rsidR="00383864" w:rsidRPr="00086C6D">
        <w:rPr>
          <w:sz w:val="24"/>
          <w:szCs w:val="24"/>
          <w:vertAlign w:val="superscript"/>
        </w:rPr>
        <w:footnoteReference w:id="57"/>
      </w:r>
      <w:r w:rsidRPr="00985BBE">
        <w:rPr>
          <w:iCs/>
          <w:sz w:val="24"/>
          <w:szCs w:val="24"/>
        </w:rPr>
        <w:t xml:space="preserve"> </w:t>
      </w:r>
    </w:p>
    <w:p w:rsidR="002715BC" w:rsidRPr="00985BBE" w:rsidRDefault="002715BC" w:rsidP="002715BC">
      <w:pPr>
        <w:pStyle w:val="Odlomakpopisa"/>
        <w:tabs>
          <w:tab w:val="left" w:pos="3400"/>
        </w:tabs>
        <w:spacing w:before="120" w:after="120" w:line="240" w:lineRule="auto"/>
        <w:jc w:val="both"/>
        <w:rPr>
          <w:sz w:val="24"/>
          <w:szCs w:val="24"/>
        </w:rPr>
      </w:pPr>
    </w:p>
    <w:tbl>
      <w:tblPr>
        <w:tblStyle w:val="Reetkatablice"/>
        <w:tblW w:w="0" w:type="auto"/>
        <w:tblInd w:w="108" w:type="dxa"/>
        <w:tblLook w:val="04A0" w:firstRow="1" w:lastRow="0" w:firstColumn="1" w:lastColumn="0" w:noHBand="0" w:noVBand="1"/>
      </w:tblPr>
      <w:tblGrid>
        <w:gridCol w:w="9072"/>
      </w:tblGrid>
      <w:tr w:rsidR="00822C8D" w:rsidTr="00AD6467">
        <w:tc>
          <w:tcPr>
            <w:tcW w:w="9072" w:type="dxa"/>
            <w:shd w:val="clear" w:color="auto" w:fill="F2F2F2" w:themeFill="background1" w:themeFillShade="F2"/>
          </w:tcPr>
          <w:p w:rsidR="00822C8D" w:rsidRDefault="00822C8D" w:rsidP="00237EF5">
            <w:pPr>
              <w:tabs>
                <w:tab w:val="left" w:pos="3400"/>
              </w:tabs>
              <w:spacing w:before="120" w:after="120"/>
              <w:jc w:val="both"/>
              <w:rPr>
                <w:sz w:val="24"/>
                <w:szCs w:val="24"/>
              </w:rPr>
            </w:pPr>
            <w:r w:rsidRPr="00985BBE">
              <w:rPr>
                <w:rFonts w:asciiTheme="minorHAnsi" w:eastAsiaTheme="minorHAnsi" w:hAnsiTheme="minorHAnsi" w:cstheme="minorBidi"/>
                <w:color w:val="C00000"/>
                <w:sz w:val="24"/>
                <w:szCs w:val="24"/>
                <w:lang w:eastAsia="en-US"/>
              </w:rPr>
              <w:t xml:space="preserve">Dunning-Krugerov efekt </w:t>
            </w:r>
            <w:r w:rsidRPr="00985BBE">
              <w:rPr>
                <w:rFonts w:asciiTheme="minorHAnsi" w:eastAsiaTheme="minorHAnsi" w:hAnsiTheme="minorHAnsi" w:cstheme="minorBidi"/>
                <w:sz w:val="24"/>
                <w:szCs w:val="24"/>
                <w:lang w:eastAsia="en-US"/>
              </w:rPr>
              <w:t>– manje vješte osobe ili osobe s manje znanja nemaju sposobnost, dostatno znanje i kompetencije da uoče vlastite propuste i pogreške pa sebe smatraju više kompetentnima</w:t>
            </w:r>
            <w:r w:rsidR="00985BBE">
              <w:rPr>
                <w:rFonts w:asciiTheme="minorHAnsi" w:eastAsiaTheme="minorHAnsi" w:hAnsiTheme="minorHAnsi" w:cstheme="minorBidi"/>
                <w:sz w:val="24"/>
                <w:szCs w:val="24"/>
                <w:lang w:eastAsia="en-US"/>
              </w:rPr>
              <w:t>.</w:t>
            </w:r>
            <w:r w:rsidRPr="00985BBE">
              <w:rPr>
                <w:rFonts w:asciiTheme="minorHAnsi" w:eastAsiaTheme="minorHAnsi" w:hAnsiTheme="minorHAnsi" w:cstheme="minorBidi"/>
                <w:sz w:val="24"/>
                <w:szCs w:val="24"/>
                <w:lang w:eastAsia="en-US"/>
              </w:rPr>
              <w:t xml:space="preserve">  “Little knowledge is a dangerous thing.” </w:t>
            </w:r>
          </w:p>
        </w:tc>
      </w:tr>
    </w:tbl>
    <w:p w:rsidR="00B92F35" w:rsidRPr="00C973B1" w:rsidRDefault="00B92F35" w:rsidP="00AD6467">
      <w:pPr>
        <w:tabs>
          <w:tab w:val="left" w:pos="3400"/>
        </w:tabs>
        <w:spacing w:before="240"/>
        <w:jc w:val="both"/>
        <w:rPr>
          <w:b/>
          <w:sz w:val="24"/>
          <w:szCs w:val="24"/>
        </w:rPr>
      </w:pPr>
      <w:r w:rsidRPr="00C973B1">
        <w:rPr>
          <w:b/>
          <w:sz w:val="24"/>
          <w:szCs w:val="24"/>
        </w:rPr>
        <w:t>3.</w:t>
      </w:r>
      <w:r w:rsidR="0093356A">
        <w:rPr>
          <w:b/>
          <w:sz w:val="24"/>
          <w:szCs w:val="24"/>
        </w:rPr>
        <w:t>10</w:t>
      </w:r>
      <w:r w:rsidRPr="00C973B1">
        <w:rPr>
          <w:b/>
          <w:sz w:val="24"/>
          <w:szCs w:val="24"/>
        </w:rPr>
        <w:t>. Upravljanje rizicima u osobnim financijama</w:t>
      </w:r>
    </w:p>
    <w:p w:rsidR="008B7403" w:rsidRDefault="00B92F35" w:rsidP="004B1074">
      <w:pPr>
        <w:tabs>
          <w:tab w:val="left" w:pos="3400"/>
        </w:tabs>
        <w:jc w:val="both"/>
        <w:rPr>
          <w:sz w:val="24"/>
          <w:szCs w:val="24"/>
        </w:rPr>
      </w:pPr>
      <w:r>
        <w:rPr>
          <w:sz w:val="24"/>
          <w:szCs w:val="24"/>
        </w:rPr>
        <w:t xml:space="preserve">U slučaju financijskih rizika koji su prethodno objašnjeni korištena su objašnjenja kakva se uobičajeno koriste u slučaju upravljanja rizicima banka, poduzeća i drugih poslovnih ekonomskih subjekata. </w:t>
      </w:r>
      <w:r w:rsidR="00C973B1">
        <w:rPr>
          <w:sz w:val="24"/>
          <w:szCs w:val="24"/>
        </w:rPr>
        <w:t>Naime, rizici u osobnim financijama akumuliraju se i materijaliziraju zbog sličnih razloga kao u svijetu poslovnih financija</w:t>
      </w:r>
      <w:r w:rsidR="008B7403">
        <w:rPr>
          <w:sz w:val="24"/>
          <w:szCs w:val="24"/>
        </w:rPr>
        <w:t>, odnosno manifestiraju se na isti ili vrlo sličan način</w:t>
      </w:r>
      <w:r w:rsidR="00C973B1">
        <w:rPr>
          <w:sz w:val="24"/>
          <w:szCs w:val="24"/>
        </w:rPr>
        <w:t xml:space="preserve">. </w:t>
      </w:r>
    </w:p>
    <w:p w:rsidR="00460398" w:rsidRPr="00186A7E" w:rsidRDefault="00C973B1" w:rsidP="004B1074">
      <w:pPr>
        <w:tabs>
          <w:tab w:val="left" w:pos="3400"/>
        </w:tabs>
        <w:jc w:val="both"/>
        <w:rPr>
          <w:color w:val="C00000"/>
          <w:sz w:val="24"/>
          <w:szCs w:val="24"/>
        </w:rPr>
      </w:pPr>
      <w:r>
        <w:rPr>
          <w:sz w:val="24"/>
          <w:szCs w:val="24"/>
        </w:rPr>
        <w:t>Međutim, dok banke i velika poduzeća imaju specijalizirane odjele za upravljanje rizicima</w:t>
      </w:r>
      <w:r w:rsidR="006F320E">
        <w:rPr>
          <w:sz w:val="24"/>
          <w:szCs w:val="24"/>
        </w:rPr>
        <w:t>,</w:t>
      </w:r>
      <w:r>
        <w:rPr>
          <w:sz w:val="24"/>
          <w:szCs w:val="24"/>
        </w:rPr>
        <w:t xml:space="preserve"> lakšu dostupnost i nižu cijenu korištenja instrumenata za zaštitu od financijski rizika</w:t>
      </w:r>
      <w:r w:rsidR="006F320E">
        <w:rPr>
          <w:sz w:val="24"/>
          <w:szCs w:val="24"/>
        </w:rPr>
        <w:t xml:space="preserve"> (npr korištenja izvedenica u svrhu zaštite od kamatnog i valutno rizika)</w:t>
      </w:r>
      <w:r w:rsidR="0059460C">
        <w:rPr>
          <w:sz w:val="24"/>
          <w:szCs w:val="24"/>
        </w:rPr>
        <w:t xml:space="preserve">, kao i </w:t>
      </w:r>
      <w:r w:rsidR="006F320E">
        <w:rPr>
          <w:sz w:val="24"/>
          <w:szCs w:val="24"/>
        </w:rPr>
        <w:t xml:space="preserve">mogućnost prenošenja troškova i gubitaka pojedinačnih rizika </w:t>
      </w:r>
      <w:r w:rsidR="0059460C">
        <w:rPr>
          <w:sz w:val="24"/>
          <w:szCs w:val="24"/>
        </w:rPr>
        <w:t xml:space="preserve">kroz cijenu proizvoda </w:t>
      </w:r>
      <w:r w:rsidR="006F320E">
        <w:rPr>
          <w:sz w:val="24"/>
          <w:szCs w:val="24"/>
        </w:rPr>
        <w:t>na svoje kupce i klijente</w:t>
      </w:r>
      <w:r>
        <w:rPr>
          <w:sz w:val="24"/>
          <w:szCs w:val="24"/>
        </w:rPr>
        <w:t xml:space="preserve">, u financijama kućanstva </w:t>
      </w:r>
      <w:r w:rsidR="0059460C">
        <w:rPr>
          <w:sz w:val="24"/>
          <w:szCs w:val="24"/>
        </w:rPr>
        <w:t xml:space="preserve">(kao krajnjeg potrošača) </w:t>
      </w:r>
      <w:r>
        <w:rPr>
          <w:sz w:val="24"/>
          <w:szCs w:val="24"/>
        </w:rPr>
        <w:t xml:space="preserve">to nije slučaj. S druge strane kako bi se izbjegli financijski šokovi, formirale rezerve </w:t>
      </w:r>
      <w:r w:rsidR="008B7403">
        <w:rPr>
          <w:sz w:val="24"/>
          <w:szCs w:val="24"/>
        </w:rPr>
        <w:t xml:space="preserve">za očuvanje stabilnosti </w:t>
      </w:r>
      <w:r>
        <w:rPr>
          <w:sz w:val="24"/>
          <w:szCs w:val="24"/>
        </w:rPr>
        <w:t xml:space="preserve">te pravovremeno pripremilo na </w:t>
      </w:r>
      <w:r w:rsidR="008B7403">
        <w:rPr>
          <w:sz w:val="24"/>
          <w:szCs w:val="24"/>
        </w:rPr>
        <w:t xml:space="preserve">učinke </w:t>
      </w:r>
      <w:r w:rsidR="0059460C">
        <w:rPr>
          <w:sz w:val="24"/>
          <w:szCs w:val="24"/>
        </w:rPr>
        <w:t xml:space="preserve">materijalizacije rizika </w:t>
      </w:r>
      <w:r w:rsidR="008B7403">
        <w:rPr>
          <w:sz w:val="24"/>
          <w:szCs w:val="24"/>
        </w:rPr>
        <w:t>koji se ne mogu izbjeći</w:t>
      </w:r>
      <w:r w:rsidR="00460398">
        <w:rPr>
          <w:sz w:val="24"/>
          <w:szCs w:val="24"/>
        </w:rPr>
        <w:t xml:space="preserve"> ili su sv</w:t>
      </w:r>
      <w:r w:rsidR="0059460C">
        <w:rPr>
          <w:sz w:val="24"/>
          <w:szCs w:val="24"/>
        </w:rPr>
        <w:t>ojevoljno (i ugovorno)</w:t>
      </w:r>
      <w:r w:rsidR="00460398">
        <w:rPr>
          <w:sz w:val="24"/>
          <w:szCs w:val="24"/>
        </w:rPr>
        <w:t xml:space="preserve"> preuzeti</w:t>
      </w:r>
      <w:r w:rsidR="008B7403">
        <w:rPr>
          <w:sz w:val="24"/>
          <w:szCs w:val="24"/>
        </w:rPr>
        <w:t xml:space="preserve">, </w:t>
      </w:r>
      <w:r w:rsidR="008B7403" w:rsidRPr="0059460C">
        <w:rPr>
          <w:color w:val="C00000"/>
          <w:sz w:val="24"/>
          <w:szCs w:val="24"/>
        </w:rPr>
        <w:t>svijest o rizicima u osobnim financijama ne smije biti ništa manja nego u poslovnim financijama</w:t>
      </w:r>
      <w:r w:rsidR="008B7403">
        <w:rPr>
          <w:sz w:val="24"/>
          <w:szCs w:val="24"/>
        </w:rPr>
        <w:t xml:space="preserve">. </w:t>
      </w:r>
      <w:r w:rsidR="00AD6467">
        <w:rPr>
          <w:sz w:val="24"/>
          <w:szCs w:val="24"/>
        </w:rPr>
        <w:t xml:space="preserve">U kontekstu navedenog treba razumjeti i tekst </w:t>
      </w:r>
      <w:r w:rsidR="00186A7E">
        <w:rPr>
          <w:sz w:val="24"/>
          <w:szCs w:val="24"/>
        </w:rPr>
        <w:t xml:space="preserve">okvira </w:t>
      </w:r>
      <w:r w:rsidR="00AD6467">
        <w:rPr>
          <w:sz w:val="24"/>
          <w:szCs w:val="24"/>
        </w:rPr>
        <w:t xml:space="preserve">u nastavku </w:t>
      </w:r>
      <w:r w:rsidR="006B2A2C">
        <w:rPr>
          <w:sz w:val="24"/>
          <w:szCs w:val="24"/>
        </w:rPr>
        <w:t xml:space="preserve">u kojem su korištena objašnjenja određenih bitnih elemenata iz prakse upravljanja rizicima </w:t>
      </w:r>
      <w:r w:rsidR="00AD6467">
        <w:rPr>
          <w:sz w:val="24"/>
          <w:szCs w:val="24"/>
        </w:rPr>
        <w:t>banaka.</w:t>
      </w:r>
      <w:r w:rsidR="0059460C">
        <w:rPr>
          <w:sz w:val="24"/>
          <w:szCs w:val="24"/>
        </w:rPr>
        <w:t xml:space="preserve"> Razlog tome je često iznošena rečenica „</w:t>
      </w:r>
      <w:r w:rsidR="0052397C">
        <w:rPr>
          <w:sz w:val="24"/>
          <w:szCs w:val="24"/>
        </w:rPr>
        <w:t xml:space="preserve">da su se </w:t>
      </w:r>
      <w:r w:rsidR="0059460C">
        <w:rPr>
          <w:sz w:val="24"/>
          <w:szCs w:val="24"/>
        </w:rPr>
        <w:t>banke</w:t>
      </w:r>
      <w:r w:rsidR="0052397C">
        <w:rPr>
          <w:sz w:val="24"/>
          <w:szCs w:val="24"/>
        </w:rPr>
        <w:t xml:space="preserve"> višestruko osigurale od rizika</w:t>
      </w:r>
      <w:r w:rsidR="0059460C">
        <w:rPr>
          <w:sz w:val="24"/>
          <w:szCs w:val="24"/>
        </w:rPr>
        <w:t>“ (</w:t>
      </w:r>
      <w:r w:rsidR="00E21A28">
        <w:rPr>
          <w:sz w:val="24"/>
          <w:szCs w:val="24"/>
        </w:rPr>
        <w:t>konkretno</w:t>
      </w:r>
      <w:r w:rsidR="0059460C">
        <w:rPr>
          <w:sz w:val="24"/>
          <w:szCs w:val="24"/>
        </w:rPr>
        <w:t xml:space="preserve"> kamatnog i valutnog)</w:t>
      </w:r>
      <w:r w:rsidR="0052397C">
        <w:rPr>
          <w:sz w:val="24"/>
          <w:szCs w:val="24"/>
        </w:rPr>
        <w:t xml:space="preserve">, što je </w:t>
      </w:r>
      <w:r w:rsidR="0059460C">
        <w:rPr>
          <w:sz w:val="24"/>
          <w:szCs w:val="24"/>
        </w:rPr>
        <w:t xml:space="preserve">uglavnom </w:t>
      </w:r>
      <w:r w:rsidR="0052397C">
        <w:rPr>
          <w:sz w:val="24"/>
          <w:szCs w:val="24"/>
        </w:rPr>
        <w:t>t</w:t>
      </w:r>
      <w:r w:rsidR="0059460C">
        <w:rPr>
          <w:sz w:val="24"/>
          <w:szCs w:val="24"/>
        </w:rPr>
        <w:t>očno (</w:t>
      </w:r>
      <w:r w:rsidR="00E21A28">
        <w:rPr>
          <w:sz w:val="24"/>
          <w:szCs w:val="24"/>
        </w:rPr>
        <w:t xml:space="preserve">ali </w:t>
      </w:r>
      <w:r w:rsidR="0059460C">
        <w:rPr>
          <w:sz w:val="24"/>
          <w:szCs w:val="24"/>
        </w:rPr>
        <w:t>kreditn</w:t>
      </w:r>
      <w:r w:rsidR="00E21A28">
        <w:rPr>
          <w:sz w:val="24"/>
          <w:szCs w:val="24"/>
        </w:rPr>
        <w:t xml:space="preserve">i rizik i dalje </w:t>
      </w:r>
      <w:r w:rsidR="0059460C">
        <w:rPr>
          <w:sz w:val="24"/>
          <w:szCs w:val="24"/>
        </w:rPr>
        <w:t>ostaje na bankama)</w:t>
      </w:r>
      <w:r w:rsidR="00E21A28">
        <w:rPr>
          <w:sz w:val="24"/>
          <w:szCs w:val="24"/>
        </w:rPr>
        <w:t>. U</w:t>
      </w:r>
      <w:r w:rsidR="0052397C">
        <w:rPr>
          <w:sz w:val="24"/>
          <w:szCs w:val="24"/>
        </w:rPr>
        <w:t>pravljanja rizicima</w:t>
      </w:r>
      <w:r w:rsidR="0059460C">
        <w:rPr>
          <w:sz w:val="24"/>
          <w:szCs w:val="24"/>
        </w:rPr>
        <w:t xml:space="preserve"> banaka zahtijeva i regulativa</w:t>
      </w:r>
      <w:r w:rsidR="0052397C">
        <w:rPr>
          <w:sz w:val="24"/>
          <w:szCs w:val="24"/>
        </w:rPr>
        <w:t xml:space="preserve">, odnosno nadzor supervizora (HNB-a). </w:t>
      </w:r>
      <w:r w:rsidR="003D2477">
        <w:rPr>
          <w:sz w:val="24"/>
          <w:szCs w:val="24"/>
        </w:rPr>
        <w:t xml:space="preserve">S druge strane, </w:t>
      </w:r>
      <w:r w:rsidR="003D2477" w:rsidRPr="00186A7E">
        <w:rPr>
          <w:sz w:val="24"/>
          <w:szCs w:val="24"/>
        </w:rPr>
        <w:t>o</w:t>
      </w:r>
      <w:r w:rsidR="0052397C" w:rsidRPr="00186A7E">
        <w:rPr>
          <w:sz w:val="24"/>
          <w:szCs w:val="24"/>
        </w:rPr>
        <w:t xml:space="preserve">sobne financije </w:t>
      </w:r>
      <w:r w:rsidR="003D2477" w:rsidRPr="00186A7E">
        <w:rPr>
          <w:sz w:val="24"/>
          <w:szCs w:val="24"/>
        </w:rPr>
        <w:t xml:space="preserve">(financije kućanstva) </w:t>
      </w:r>
      <w:r w:rsidR="0052397C" w:rsidRPr="00186A7E">
        <w:rPr>
          <w:sz w:val="24"/>
          <w:szCs w:val="24"/>
        </w:rPr>
        <w:t xml:space="preserve">nemaju </w:t>
      </w:r>
      <w:r w:rsidR="003D2477" w:rsidRPr="00186A7E">
        <w:rPr>
          <w:sz w:val="24"/>
          <w:szCs w:val="24"/>
        </w:rPr>
        <w:t xml:space="preserve">eksterni </w:t>
      </w:r>
      <w:r w:rsidR="0052397C" w:rsidRPr="00186A7E">
        <w:rPr>
          <w:sz w:val="24"/>
          <w:szCs w:val="24"/>
        </w:rPr>
        <w:t xml:space="preserve">nadzor, nema sustava korporativnog upravljanja kao u poduzeću, </w:t>
      </w:r>
      <w:r w:rsidR="0052397C" w:rsidRPr="00186A7E">
        <w:rPr>
          <w:color w:val="C00000"/>
          <w:sz w:val="24"/>
          <w:szCs w:val="24"/>
        </w:rPr>
        <w:t>ali to nipošto ne znači da osobne fin</w:t>
      </w:r>
      <w:r w:rsidR="0059460C">
        <w:rPr>
          <w:color w:val="C00000"/>
          <w:sz w:val="24"/>
          <w:szCs w:val="24"/>
        </w:rPr>
        <w:t xml:space="preserve">ancije smiju ostati bez nadzora. </w:t>
      </w:r>
      <w:r w:rsidR="0059460C" w:rsidRPr="0059460C">
        <w:rPr>
          <w:sz w:val="24"/>
          <w:szCs w:val="24"/>
        </w:rPr>
        <w:t>R</w:t>
      </w:r>
      <w:r w:rsidR="0052397C" w:rsidRPr="0059460C">
        <w:rPr>
          <w:sz w:val="24"/>
          <w:szCs w:val="24"/>
        </w:rPr>
        <w:t xml:space="preserve">izicima koji </w:t>
      </w:r>
      <w:r w:rsidR="00186A7E" w:rsidRPr="0059460C">
        <w:rPr>
          <w:sz w:val="24"/>
          <w:szCs w:val="24"/>
        </w:rPr>
        <w:t xml:space="preserve">se u njih vežu treba upravljati, </w:t>
      </w:r>
      <w:r w:rsidR="00186A7E" w:rsidRPr="00186A7E">
        <w:rPr>
          <w:color w:val="C00000"/>
          <w:sz w:val="24"/>
          <w:szCs w:val="24"/>
        </w:rPr>
        <w:t>a kada to n</w:t>
      </w:r>
      <w:r w:rsidR="00186A7E">
        <w:rPr>
          <w:color w:val="C00000"/>
          <w:sz w:val="24"/>
          <w:szCs w:val="24"/>
        </w:rPr>
        <w:t>ije moguće treba ih izbjegavati</w:t>
      </w:r>
      <w:r w:rsidR="009F3DCB">
        <w:rPr>
          <w:color w:val="C00000"/>
          <w:sz w:val="24"/>
          <w:szCs w:val="24"/>
        </w:rPr>
        <w:t xml:space="preserve"> ili barem svesti na minimum</w:t>
      </w:r>
      <w:r w:rsidR="00186A7E">
        <w:rPr>
          <w:color w:val="C00000"/>
          <w:sz w:val="24"/>
          <w:szCs w:val="24"/>
        </w:rPr>
        <w:t>.</w:t>
      </w:r>
      <w:r w:rsidR="00186A7E" w:rsidRPr="00186A7E">
        <w:rPr>
          <w:color w:val="C00000"/>
          <w:sz w:val="24"/>
          <w:szCs w:val="24"/>
        </w:rPr>
        <w:t xml:space="preserve"> </w:t>
      </w:r>
    </w:p>
    <w:p w:rsidR="00186A7E" w:rsidRDefault="00186A7E" w:rsidP="00186A7E">
      <w:pPr>
        <w:tabs>
          <w:tab w:val="left" w:pos="3400"/>
        </w:tabs>
        <w:spacing w:before="240"/>
        <w:jc w:val="both"/>
        <w:rPr>
          <w:sz w:val="24"/>
          <w:szCs w:val="24"/>
        </w:rPr>
      </w:pPr>
      <w:r w:rsidRPr="00CC0903">
        <w:rPr>
          <w:color w:val="C00000"/>
          <w:sz w:val="24"/>
          <w:szCs w:val="24"/>
        </w:rPr>
        <w:lastRenderedPageBreak/>
        <w:t xml:space="preserve">Sustav upravljanja rizicima </w:t>
      </w:r>
      <w:r w:rsidRPr="00CC0903">
        <w:rPr>
          <w:sz w:val="24"/>
          <w:szCs w:val="24"/>
        </w:rPr>
        <w:t xml:space="preserve">predstavlja sveobuhvatnost strukture, pravila i postupaka za utvrđivanje, mjerenje (procjenjivanje), ovladavanje, praćenje i izvještavanje o izloženosti rizicima odnosno mogućem gubitku u cjelini. </w:t>
      </w:r>
      <w:r w:rsidRPr="0052397C">
        <w:rPr>
          <w:sz w:val="24"/>
          <w:szCs w:val="24"/>
        </w:rPr>
        <w:t xml:space="preserve">U </w:t>
      </w:r>
      <w:r>
        <w:rPr>
          <w:sz w:val="24"/>
          <w:szCs w:val="24"/>
        </w:rPr>
        <w:t>osobnim financijama</w:t>
      </w:r>
      <w:r w:rsidRPr="0052397C">
        <w:rPr>
          <w:sz w:val="24"/>
          <w:szCs w:val="24"/>
        </w:rPr>
        <w:t>,</w:t>
      </w:r>
      <w:r>
        <w:rPr>
          <w:sz w:val="24"/>
          <w:szCs w:val="24"/>
        </w:rPr>
        <w:t xml:space="preserve"> pojam</w:t>
      </w:r>
      <w:r w:rsidRPr="0052397C">
        <w:rPr>
          <w:sz w:val="24"/>
          <w:szCs w:val="24"/>
        </w:rPr>
        <w:t xml:space="preserve"> </w:t>
      </w:r>
      <w:r>
        <w:rPr>
          <w:color w:val="C00000"/>
          <w:sz w:val="24"/>
          <w:szCs w:val="24"/>
        </w:rPr>
        <w:t>k</w:t>
      </w:r>
      <w:r w:rsidRPr="00CC0903">
        <w:rPr>
          <w:color w:val="C00000"/>
          <w:sz w:val="24"/>
          <w:szCs w:val="24"/>
        </w:rPr>
        <w:t xml:space="preserve">ultura rizika </w:t>
      </w:r>
      <w:r w:rsidRPr="00CC0903">
        <w:rPr>
          <w:sz w:val="24"/>
          <w:szCs w:val="24"/>
        </w:rPr>
        <w:t>obuhvaća opću svjesnost o različitim oblicima rizika kojim je izložen</w:t>
      </w:r>
      <w:r>
        <w:rPr>
          <w:sz w:val="24"/>
          <w:szCs w:val="24"/>
        </w:rPr>
        <w:t>o k</w:t>
      </w:r>
      <w:r w:rsidRPr="00CC0903">
        <w:rPr>
          <w:sz w:val="24"/>
          <w:szCs w:val="24"/>
        </w:rPr>
        <w:t xml:space="preserve">ućanstvo te odgovarajući odnos i ponašanje svih članova kućanstva prema riziku, uzimajući u obzir </w:t>
      </w:r>
      <w:r>
        <w:rPr>
          <w:sz w:val="24"/>
          <w:szCs w:val="24"/>
        </w:rPr>
        <w:t xml:space="preserve">i </w:t>
      </w:r>
      <w:r w:rsidRPr="00CC0903">
        <w:rPr>
          <w:sz w:val="24"/>
          <w:szCs w:val="24"/>
        </w:rPr>
        <w:t xml:space="preserve">sklonost preuzimanju rizika. </w:t>
      </w:r>
      <w:r w:rsidRPr="00CC0903">
        <w:rPr>
          <w:color w:val="C00000"/>
          <w:sz w:val="24"/>
          <w:szCs w:val="24"/>
        </w:rPr>
        <w:t xml:space="preserve">Sklonost preuzimanju rizika </w:t>
      </w:r>
      <w:r w:rsidRPr="00CC0903">
        <w:rPr>
          <w:sz w:val="24"/>
          <w:szCs w:val="24"/>
        </w:rPr>
        <w:t>je razina rizika koju kućanstvo smatra prihvatljivim preuzeti (tolerancij</w:t>
      </w:r>
      <w:r>
        <w:rPr>
          <w:sz w:val="24"/>
          <w:szCs w:val="24"/>
        </w:rPr>
        <w:t>a</w:t>
      </w:r>
      <w:r w:rsidRPr="00CC0903">
        <w:rPr>
          <w:sz w:val="24"/>
          <w:szCs w:val="24"/>
        </w:rPr>
        <w:t xml:space="preserve"> rizika) u ostvarenju svoje financijske strategije i postavljenih ciljeva u postojećem okruženju. Pri tome je radi uspješnijeg upravljanja rizicima potrebno provoditi </w:t>
      </w:r>
      <w:r w:rsidRPr="00CC0903">
        <w:rPr>
          <w:color w:val="C00000"/>
          <w:sz w:val="24"/>
          <w:szCs w:val="24"/>
        </w:rPr>
        <w:t xml:space="preserve">testiranje otpornosti na stres </w:t>
      </w:r>
      <w:r w:rsidRPr="00CC0903">
        <w:rPr>
          <w:sz w:val="24"/>
          <w:szCs w:val="24"/>
        </w:rPr>
        <w:t xml:space="preserve">kroz procjenu potencijalnih učinaka specifičnih događaja i/ili promjene više činitelja rizika na financijsko stanje kućanstva. </w:t>
      </w:r>
    </w:p>
    <w:p w:rsidR="00186A7E" w:rsidRPr="00A83A77" w:rsidRDefault="00186A7E" w:rsidP="00186A7E">
      <w:pPr>
        <w:tabs>
          <w:tab w:val="left" w:pos="3400"/>
        </w:tabs>
        <w:spacing w:before="240"/>
        <w:jc w:val="both"/>
        <w:rPr>
          <w:sz w:val="24"/>
          <w:szCs w:val="24"/>
        </w:rPr>
      </w:pPr>
      <w:r w:rsidRPr="00CC0903">
        <w:rPr>
          <w:sz w:val="24"/>
          <w:szCs w:val="24"/>
        </w:rPr>
        <w:t xml:space="preserve">Testiranje otpornosti na stres </w:t>
      </w:r>
      <w:r>
        <w:rPr>
          <w:sz w:val="24"/>
          <w:szCs w:val="24"/>
        </w:rPr>
        <w:t xml:space="preserve">uobičajeno se dijeli na </w:t>
      </w:r>
      <w:r w:rsidRPr="00CC0903">
        <w:rPr>
          <w:sz w:val="24"/>
          <w:szCs w:val="24"/>
        </w:rPr>
        <w:t xml:space="preserve">analizu scenarija i analizu osjetljivosti. </w:t>
      </w:r>
      <w:r w:rsidRPr="00CC0903">
        <w:rPr>
          <w:color w:val="C00000"/>
          <w:sz w:val="24"/>
          <w:szCs w:val="24"/>
        </w:rPr>
        <w:t xml:space="preserve">Analiza scenarija </w:t>
      </w:r>
      <w:r w:rsidRPr="00CC0903">
        <w:rPr>
          <w:sz w:val="24"/>
          <w:szCs w:val="24"/>
        </w:rPr>
        <w:t xml:space="preserve">je procjena utjecaja istodobne promjene više </w:t>
      </w:r>
      <w:r>
        <w:rPr>
          <w:sz w:val="24"/>
          <w:szCs w:val="24"/>
        </w:rPr>
        <w:t xml:space="preserve">faktora </w:t>
      </w:r>
      <w:r w:rsidRPr="00CC0903">
        <w:rPr>
          <w:sz w:val="24"/>
          <w:szCs w:val="24"/>
        </w:rPr>
        <w:t xml:space="preserve">rizika na financijsko stanje </w:t>
      </w:r>
      <w:r>
        <w:rPr>
          <w:sz w:val="24"/>
          <w:szCs w:val="24"/>
        </w:rPr>
        <w:t xml:space="preserve">kućanstva </w:t>
      </w:r>
      <w:r w:rsidRPr="00CC0903">
        <w:rPr>
          <w:sz w:val="24"/>
          <w:szCs w:val="24"/>
        </w:rPr>
        <w:t xml:space="preserve">u jasno definiranim stresnim okolnostima. </w:t>
      </w:r>
      <w:r w:rsidRPr="00CC0903">
        <w:rPr>
          <w:color w:val="C00000"/>
          <w:sz w:val="24"/>
          <w:szCs w:val="24"/>
        </w:rPr>
        <w:t xml:space="preserve">Analiza osjetljivosti </w:t>
      </w:r>
      <w:r w:rsidRPr="00CC0903">
        <w:rPr>
          <w:sz w:val="24"/>
          <w:szCs w:val="24"/>
        </w:rPr>
        <w:t>je procjena utjecaja jednoga određenog činitelja rizika na financijsko stanje kućanstva</w:t>
      </w:r>
      <w:r>
        <w:rPr>
          <w:sz w:val="24"/>
          <w:szCs w:val="24"/>
        </w:rPr>
        <w:t xml:space="preserve"> pri čemu uzrok stresa nije identificiran</w:t>
      </w:r>
      <w:r w:rsidRPr="00CC0903">
        <w:rPr>
          <w:sz w:val="24"/>
          <w:szCs w:val="24"/>
        </w:rPr>
        <w:t xml:space="preserve">. </w:t>
      </w:r>
    </w:p>
    <w:tbl>
      <w:tblPr>
        <w:tblStyle w:val="Reetkatablice"/>
        <w:tblW w:w="0" w:type="auto"/>
        <w:tblLook w:val="04A0" w:firstRow="1" w:lastRow="0" w:firstColumn="1" w:lastColumn="0" w:noHBand="0" w:noVBand="1"/>
      </w:tblPr>
      <w:tblGrid>
        <w:gridCol w:w="120"/>
        <w:gridCol w:w="9106"/>
        <w:gridCol w:w="62"/>
      </w:tblGrid>
      <w:tr w:rsidR="003D2477" w:rsidTr="00ED70CF">
        <w:trPr>
          <w:gridBefore w:val="1"/>
          <w:gridAfter w:val="1"/>
          <w:wBefore w:w="108" w:type="dxa"/>
          <w:wAfter w:w="108" w:type="dxa"/>
        </w:trPr>
        <w:tc>
          <w:tcPr>
            <w:tcW w:w="9072" w:type="dxa"/>
            <w:shd w:val="clear" w:color="auto" w:fill="F2F2F2" w:themeFill="background1" w:themeFillShade="F2"/>
          </w:tcPr>
          <w:p w:rsidR="00144477" w:rsidRPr="00174A21" w:rsidRDefault="00144477" w:rsidP="00144477">
            <w:pPr>
              <w:tabs>
                <w:tab w:val="left" w:pos="3400"/>
              </w:tabs>
              <w:spacing w:before="120" w:after="120"/>
              <w:jc w:val="both"/>
              <w:rPr>
                <w:rFonts w:asciiTheme="minorHAnsi" w:eastAsiaTheme="minorHAnsi" w:hAnsiTheme="minorHAnsi" w:cstheme="minorBidi"/>
                <w:b/>
                <w:sz w:val="24"/>
                <w:szCs w:val="24"/>
                <w:lang w:eastAsia="en-US"/>
              </w:rPr>
            </w:pPr>
            <w:r w:rsidRPr="00174A21">
              <w:rPr>
                <w:rFonts w:asciiTheme="minorHAnsi" w:eastAsiaTheme="minorHAnsi" w:hAnsiTheme="minorHAnsi" w:cstheme="minorBidi"/>
                <w:b/>
                <w:sz w:val="24"/>
                <w:szCs w:val="24"/>
                <w:lang w:eastAsia="en-US"/>
              </w:rPr>
              <w:t xml:space="preserve">Osvrt </w:t>
            </w:r>
            <w:r w:rsidR="00A04A5C" w:rsidRPr="00174A21">
              <w:rPr>
                <w:rFonts w:asciiTheme="minorHAnsi" w:eastAsiaTheme="minorHAnsi" w:hAnsiTheme="minorHAnsi" w:cstheme="minorBidi"/>
                <w:b/>
                <w:sz w:val="24"/>
                <w:szCs w:val="24"/>
                <w:lang w:eastAsia="en-US"/>
              </w:rPr>
              <w:t xml:space="preserve">na </w:t>
            </w:r>
            <w:r w:rsidRPr="00174A21">
              <w:rPr>
                <w:rFonts w:asciiTheme="minorHAnsi" w:eastAsiaTheme="minorHAnsi" w:hAnsiTheme="minorHAnsi" w:cstheme="minorBidi"/>
                <w:b/>
                <w:sz w:val="24"/>
                <w:szCs w:val="24"/>
                <w:lang w:eastAsia="en-US"/>
              </w:rPr>
              <w:t xml:space="preserve">faktore akumulacije </w:t>
            </w:r>
            <w:r w:rsidR="00A04A5C" w:rsidRPr="00174A21">
              <w:rPr>
                <w:rFonts w:asciiTheme="minorHAnsi" w:eastAsiaTheme="minorHAnsi" w:hAnsiTheme="minorHAnsi" w:cstheme="minorBidi"/>
                <w:b/>
                <w:sz w:val="24"/>
                <w:szCs w:val="24"/>
                <w:lang w:eastAsia="en-US"/>
              </w:rPr>
              <w:t xml:space="preserve">i materijalizacije </w:t>
            </w:r>
            <w:r w:rsidRPr="00174A21">
              <w:rPr>
                <w:rFonts w:asciiTheme="minorHAnsi" w:eastAsiaTheme="minorHAnsi" w:hAnsiTheme="minorHAnsi" w:cstheme="minorBidi"/>
                <w:b/>
                <w:sz w:val="24"/>
                <w:szCs w:val="24"/>
                <w:lang w:eastAsia="en-US"/>
              </w:rPr>
              <w:t>rizika kod banaka</w:t>
            </w:r>
          </w:p>
          <w:p w:rsidR="003D2477" w:rsidRDefault="003D2477" w:rsidP="00A67161">
            <w:pPr>
              <w:tabs>
                <w:tab w:val="left" w:pos="3400"/>
              </w:tabs>
              <w:spacing w:before="80"/>
              <w:jc w:val="both"/>
              <w:rPr>
                <w:rFonts w:asciiTheme="minorHAnsi" w:eastAsiaTheme="minorHAnsi" w:hAnsiTheme="minorHAnsi" w:cstheme="minorBidi"/>
                <w:sz w:val="24"/>
                <w:szCs w:val="24"/>
                <w:lang w:eastAsia="en-US"/>
              </w:rPr>
            </w:pPr>
            <w:r w:rsidRPr="00BA14FA">
              <w:rPr>
                <w:rFonts w:asciiTheme="minorHAnsi" w:eastAsiaTheme="minorHAnsi" w:hAnsiTheme="minorHAnsi" w:cstheme="minorBidi"/>
                <w:sz w:val="24"/>
                <w:szCs w:val="24"/>
                <w:lang w:eastAsia="en-US"/>
              </w:rPr>
              <w:t xml:space="preserve">Kako bi se izbjegla različita nerazumijevanja poslovnih aktivnosti banaka </w:t>
            </w:r>
            <w:r w:rsidR="00144477">
              <w:rPr>
                <w:rFonts w:asciiTheme="minorHAnsi" w:eastAsiaTheme="minorHAnsi" w:hAnsiTheme="minorHAnsi" w:cstheme="minorBidi"/>
                <w:sz w:val="24"/>
                <w:szCs w:val="24"/>
                <w:lang w:eastAsia="en-US"/>
              </w:rPr>
              <w:t xml:space="preserve">te sagledalo teorijske aspekte (opisanih) rizike s aspekta banaka </w:t>
            </w:r>
            <w:r w:rsidR="00FA095D">
              <w:rPr>
                <w:rFonts w:asciiTheme="minorHAnsi" w:eastAsiaTheme="minorHAnsi" w:hAnsiTheme="minorHAnsi" w:cstheme="minorBidi"/>
                <w:sz w:val="24"/>
                <w:szCs w:val="24"/>
                <w:lang w:eastAsia="en-US"/>
              </w:rPr>
              <w:t xml:space="preserve">(najvažnijih financijskih institucija u Hrvatskoj) </w:t>
            </w:r>
            <w:r w:rsidR="00144477">
              <w:rPr>
                <w:rFonts w:asciiTheme="minorHAnsi" w:eastAsiaTheme="minorHAnsi" w:hAnsiTheme="minorHAnsi" w:cstheme="minorBidi"/>
                <w:sz w:val="24"/>
                <w:szCs w:val="24"/>
                <w:lang w:eastAsia="en-US"/>
              </w:rPr>
              <w:t>u nastavku je dan kratak osvrt na poslove banaka i strukturu njihove bilance.</w:t>
            </w:r>
          </w:p>
          <w:p w:rsidR="00144477" w:rsidRPr="00144477" w:rsidRDefault="00144477" w:rsidP="00A67161">
            <w:pPr>
              <w:tabs>
                <w:tab w:val="left" w:pos="3400"/>
              </w:tabs>
              <w:spacing w:before="80"/>
              <w:jc w:val="both"/>
              <w:rPr>
                <w:rFonts w:asciiTheme="minorHAnsi" w:eastAsiaTheme="minorHAnsi" w:hAnsiTheme="minorHAnsi" w:cstheme="minorBidi"/>
                <w:sz w:val="24"/>
                <w:szCs w:val="24"/>
                <w:lang w:eastAsia="en-US"/>
              </w:rPr>
            </w:pPr>
            <w:r w:rsidRPr="00144477">
              <w:rPr>
                <w:rFonts w:asciiTheme="minorHAnsi" w:eastAsiaTheme="minorHAnsi" w:hAnsiTheme="minorHAnsi" w:cstheme="minorBidi"/>
                <w:color w:val="C00000"/>
                <w:sz w:val="24"/>
                <w:szCs w:val="24"/>
                <w:lang w:eastAsia="en-US"/>
              </w:rPr>
              <w:t>Banke</w:t>
            </w:r>
            <w:r w:rsidRPr="00144477">
              <w:rPr>
                <w:rFonts w:asciiTheme="minorHAnsi" w:eastAsiaTheme="minorHAnsi" w:hAnsiTheme="minorHAnsi" w:cstheme="minorBidi"/>
                <w:sz w:val="24"/>
                <w:szCs w:val="24"/>
                <w:lang w:eastAsia="en-US"/>
              </w:rPr>
              <w:t xml:space="preserve"> se mogu definirati kao institucije za posredovanje u novčanom prometu i trgovinu novcem. Regulativa poslovanja banaka u Hrvatskoj definirana je </w:t>
            </w:r>
            <w:r w:rsidRPr="00144477">
              <w:rPr>
                <w:rFonts w:asciiTheme="minorHAnsi" w:eastAsiaTheme="minorHAnsi" w:hAnsiTheme="minorHAnsi" w:cstheme="minorBidi"/>
                <w:i/>
                <w:color w:val="C00000"/>
                <w:sz w:val="24"/>
                <w:szCs w:val="24"/>
                <w:lang w:eastAsia="en-US"/>
              </w:rPr>
              <w:t>Zakonom o kreditnim institucijama</w:t>
            </w:r>
            <w:r w:rsidR="00D756AF" w:rsidRPr="00D756AF">
              <w:rPr>
                <w:rFonts w:asciiTheme="minorHAnsi" w:eastAsiaTheme="minorHAnsi" w:hAnsiTheme="minorHAnsi" w:cstheme="minorBidi"/>
                <w:sz w:val="24"/>
                <w:szCs w:val="24"/>
                <w:lang w:eastAsia="en-US"/>
              </w:rPr>
              <w:t xml:space="preserve">, prema kojem kategorija </w:t>
            </w:r>
            <w:r w:rsidRPr="00D756AF">
              <w:rPr>
                <w:rFonts w:asciiTheme="minorHAnsi" w:eastAsiaTheme="minorHAnsi" w:hAnsiTheme="minorHAnsi" w:cstheme="minorBidi"/>
                <w:color w:val="C00000"/>
                <w:sz w:val="24"/>
                <w:szCs w:val="24"/>
                <w:lang w:eastAsia="en-US"/>
              </w:rPr>
              <w:t xml:space="preserve">kreditnih institucija </w:t>
            </w:r>
            <w:r w:rsidRPr="00144477">
              <w:rPr>
                <w:rFonts w:asciiTheme="minorHAnsi" w:eastAsiaTheme="minorHAnsi" w:hAnsiTheme="minorHAnsi" w:cstheme="minorBidi"/>
                <w:sz w:val="24"/>
                <w:szCs w:val="24"/>
                <w:lang w:eastAsia="en-US"/>
              </w:rPr>
              <w:t>u</w:t>
            </w:r>
            <w:r w:rsidR="00D756AF">
              <w:rPr>
                <w:rFonts w:asciiTheme="minorHAnsi" w:eastAsiaTheme="minorHAnsi" w:hAnsiTheme="minorHAnsi" w:cstheme="minorBidi"/>
                <w:sz w:val="24"/>
                <w:szCs w:val="24"/>
                <w:lang w:eastAsia="en-US"/>
              </w:rPr>
              <w:t xml:space="preserve">ključuje </w:t>
            </w:r>
            <w:r w:rsidRPr="00144477">
              <w:rPr>
                <w:rFonts w:asciiTheme="minorHAnsi" w:eastAsiaTheme="minorHAnsi" w:hAnsiTheme="minorHAnsi" w:cstheme="minorBidi"/>
                <w:sz w:val="24"/>
                <w:szCs w:val="24"/>
                <w:lang w:eastAsia="en-US"/>
              </w:rPr>
              <w:t>banke, štedne banke i stambene štedionice.</w:t>
            </w:r>
            <w:r w:rsidR="00D756AF">
              <w:rPr>
                <w:rFonts w:asciiTheme="minorHAnsi" w:eastAsiaTheme="minorHAnsi" w:hAnsiTheme="minorHAnsi" w:cstheme="minorBidi"/>
                <w:sz w:val="24"/>
                <w:szCs w:val="24"/>
                <w:lang w:eastAsia="en-US"/>
              </w:rPr>
              <w:t xml:space="preserve"> Banke su ujedno jedne od najviše nadziranih financijskih institucija, a </w:t>
            </w:r>
            <w:r w:rsidR="00D756AF" w:rsidRPr="00FA095D">
              <w:rPr>
                <w:rFonts w:asciiTheme="minorHAnsi" w:eastAsiaTheme="minorHAnsi" w:hAnsiTheme="minorHAnsi" w:cstheme="minorBidi"/>
                <w:color w:val="C00000"/>
                <w:sz w:val="24"/>
                <w:szCs w:val="24"/>
                <w:lang w:eastAsia="en-US"/>
              </w:rPr>
              <w:t xml:space="preserve">u usporedbi s nebankovnim financijskim institucijama karakterizira ih veći stupanj transparentnosti poslova </w:t>
            </w:r>
            <w:r w:rsidR="00D756AF" w:rsidRPr="00FA095D">
              <w:rPr>
                <w:rFonts w:asciiTheme="minorHAnsi" w:eastAsiaTheme="minorHAnsi" w:hAnsiTheme="minorHAnsi" w:cstheme="minorBidi"/>
                <w:sz w:val="24"/>
                <w:szCs w:val="24"/>
                <w:lang w:eastAsia="en-US"/>
              </w:rPr>
              <w:t>i lak</w:t>
            </w:r>
            <w:r w:rsidR="00A67161">
              <w:rPr>
                <w:rFonts w:asciiTheme="minorHAnsi" w:eastAsiaTheme="minorHAnsi" w:hAnsiTheme="minorHAnsi" w:cstheme="minorBidi"/>
                <w:sz w:val="24"/>
                <w:szCs w:val="24"/>
                <w:lang w:eastAsia="en-US"/>
              </w:rPr>
              <w:t>ša</w:t>
            </w:r>
            <w:r w:rsidR="00D756AF" w:rsidRPr="00FA095D">
              <w:rPr>
                <w:rFonts w:asciiTheme="minorHAnsi" w:eastAsiaTheme="minorHAnsi" w:hAnsiTheme="minorHAnsi" w:cstheme="minorBidi"/>
                <w:sz w:val="24"/>
                <w:szCs w:val="24"/>
                <w:lang w:eastAsia="en-US"/>
              </w:rPr>
              <w:t xml:space="preserve"> razumljivost </w:t>
            </w:r>
            <w:r w:rsidR="00FA095D">
              <w:rPr>
                <w:rFonts w:asciiTheme="minorHAnsi" w:eastAsiaTheme="minorHAnsi" w:hAnsiTheme="minorHAnsi" w:cstheme="minorBidi"/>
                <w:sz w:val="24"/>
                <w:szCs w:val="24"/>
                <w:lang w:eastAsia="en-US"/>
              </w:rPr>
              <w:t xml:space="preserve">ugovora i </w:t>
            </w:r>
            <w:r w:rsidR="00D756AF" w:rsidRPr="00FA095D">
              <w:rPr>
                <w:rFonts w:asciiTheme="minorHAnsi" w:eastAsiaTheme="minorHAnsi" w:hAnsiTheme="minorHAnsi" w:cstheme="minorBidi"/>
                <w:sz w:val="24"/>
                <w:szCs w:val="24"/>
                <w:lang w:eastAsia="en-US"/>
              </w:rPr>
              <w:t>uvjeta poslovanja s građanima.</w:t>
            </w:r>
          </w:p>
          <w:p w:rsidR="00144477" w:rsidRDefault="00144477" w:rsidP="00A67161">
            <w:pPr>
              <w:tabs>
                <w:tab w:val="left" w:pos="3400"/>
              </w:tabs>
              <w:spacing w:before="80"/>
              <w:jc w:val="both"/>
              <w:rPr>
                <w:rFonts w:asciiTheme="minorHAnsi" w:eastAsiaTheme="minorHAnsi" w:hAnsiTheme="minorHAnsi" w:cstheme="minorBidi"/>
                <w:sz w:val="24"/>
                <w:szCs w:val="24"/>
                <w:lang w:eastAsia="en-US"/>
              </w:rPr>
            </w:pPr>
            <w:r w:rsidRPr="00144477">
              <w:rPr>
                <w:rFonts w:asciiTheme="minorHAnsi" w:eastAsiaTheme="minorHAnsi" w:hAnsiTheme="minorHAnsi" w:cstheme="minorBidi"/>
                <w:sz w:val="24"/>
                <w:szCs w:val="24"/>
                <w:lang w:eastAsia="en-US"/>
              </w:rPr>
              <w:t xml:space="preserve">Banke predstavljaju najznačajnije financijske posrednike u Hrvatskoj, a Zakon im dopušta obavljanje širokog spektra bankovnih i financijskih usluga (ako za navedeno dobiju odobrenje Hrvatske narodne banke). </w:t>
            </w:r>
            <w:r w:rsidRPr="00144477">
              <w:rPr>
                <w:rFonts w:asciiTheme="minorHAnsi" w:eastAsiaTheme="minorHAnsi" w:hAnsiTheme="minorHAnsi" w:cstheme="minorBidi"/>
                <w:color w:val="C00000"/>
                <w:sz w:val="24"/>
                <w:szCs w:val="24"/>
                <w:lang w:eastAsia="en-US"/>
              </w:rPr>
              <w:t xml:space="preserve">Bankovne usluge </w:t>
            </w:r>
            <w:r w:rsidRPr="00144477">
              <w:rPr>
                <w:rFonts w:asciiTheme="minorHAnsi" w:eastAsiaTheme="minorHAnsi" w:hAnsiTheme="minorHAnsi" w:cstheme="minorBidi"/>
                <w:sz w:val="24"/>
                <w:szCs w:val="24"/>
                <w:lang w:eastAsia="en-US"/>
              </w:rPr>
              <w:t xml:space="preserve">su primanje depozita ili drugih povratnih sredstava od javnosti i odobravanje kredita iz tih sredstava za svoj račun. Banke pružaju i različite </w:t>
            </w:r>
            <w:r w:rsidRPr="00144477">
              <w:rPr>
                <w:rFonts w:asciiTheme="minorHAnsi" w:eastAsiaTheme="minorHAnsi" w:hAnsiTheme="minorHAnsi" w:cstheme="minorBidi"/>
                <w:color w:val="C00000"/>
                <w:sz w:val="24"/>
                <w:szCs w:val="24"/>
                <w:lang w:eastAsia="en-US"/>
              </w:rPr>
              <w:t>financijske usluge</w:t>
            </w:r>
            <w:r w:rsidRPr="00144477">
              <w:rPr>
                <w:rFonts w:asciiTheme="minorHAnsi" w:eastAsiaTheme="minorHAnsi" w:hAnsiTheme="minorHAnsi" w:cstheme="minorBidi"/>
                <w:sz w:val="24"/>
                <w:szCs w:val="24"/>
                <w:lang w:eastAsia="en-US"/>
              </w:rPr>
              <w:t>, a među kojima se mogu izdvojiti:</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usluge platnog prometa u zemlji i s inozemstvom;</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trgovanje različitim financijskim instrumentima za svoj račun ili za račun klijenata;</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upravljanje imovinom klijenata i savjetovanje u vezi s tim;</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investicijske aktivnosti;</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poslovi vezani uz prodaju polica osiguranja</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prikupljanje podataka, izrada analiza i davanje informacija o kreditnoj sposobnosti pravnih i fizičkih osoba; iznajmljivanje sefova; otkup nedospjelih kratkoročnih potraživanja poduzeća (factoring)</w:t>
            </w:r>
            <w:r w:rsidR="00FF56CA">
              <w:rPr>
                <w:rFonts w:asciiTheme="minorHAnsi" w:eastAsiaTheme="minorHAnsi" w:hAnsiTheme="minorHAnsi" w:cstheme="minorBidi"/>
                <w:sz w:val="24"/>
                <w:szCs w:val="24"/>
                <w:lang w:eastAsia="en-US"/>
              </w:rPr>
              <w:t xml:space="preserve">; </w:t>
            </w:r>
            <w:r w:rsidRPr="00144477">
              <w:rPr>
                <w:rFonts w:asciiTheme="minorHAnsi" w:eastAsiaTheme="minorHAnsi" w:hAnsiTheme="minorHAnsi" w:cstheme="minorBidi"/>
                <w:sz w:val="24"/>
                <w:szCs w:val="24"/>
                <w:lang w:eastAsia="en-US"/>
              </w:rPr>
              <w:t xml:space="preserve">izdavanje garancija i drugih jamstva  (čime se banka obvezuje da će, ako glavni dužnik ne ispuni svoje obveze, platiti korisniku garancije iznos na koji garancija glasi) </w:t>
            </w:r>
            <w:r>
              <w:rPr>
                <w:rFonts w:asciiTheme="minorHAnsi" w:eastAsiaTheme="minorHAnsi" w:hAnsiTheme="minorHAnsi" w:cstheme="minorBidi"/>
                <w:sz w:val="24"/>
                <w:szCs w:val="24"/>
                <w:lang w:eastAsia="en-US"/>
              </w:rPr>
              <w:t xml:space="preserve">i brojne druge. </w:t>
            </w:r>
          </w:p>
          <w:p w:rsidR="001D5903" w:rsidRDefault="00144477" w:rsidP="00A67161">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Kako bi banke mogle odobravati kredite npr. stanovništvu i poduzećima, ulagati u vrijednosnice (npr. državne obveznice i trezorske zapise) te druge plasmane, prvo moraju </w:t>
            </w:r>
            <w:r w:rsidRPr="001D5903">
              <w:rPr>
                <w:rFonts w:asciiTheme="minorHAnsi" w:eastAsiaTheme="minorHAnsi" w:hAnsiTheme="minorHAnsi" w:cstheme="minorBidi"/>
                <w:color w:val="C00000"/>
                <w:sz w:val="24"/>
                <w:szCs w:val="24"/>
                <w:lang w:eastAsia="en-US"/>
              </w:rPr>
              <w:t>prikupiti izvore sredstava</w:t>
            </w:r>
            <w:r w:rsidRPr="001D5903">
              <w:rPr>
                <w:rFonts w:asciiTheme="minorHAnsi" w:eastAsiaTheme="minorHAnsi" w:hAnsiTheme="minorHAnsi" w:cstheme="minorBidi"/>
                <w:sz w:val="24"/>
                <w:szCs w:val="24"/>
                <w:lang w:eastAsia="en-US"/>
              </w:rPr>
              <w:t xml:space="preserve">. Najvažniji izvori sredstava su primljeni </w:t>
            </w:r>
            <w:r w:rsidRPr="001D5903">
              <w:rPr>
                <w:rFonts w:asciiTheme="minorHAnsi" w:eastAsiaTheme="minorHAnsi" w:hAnsiTheme="minorHAnsi" w:cstheme="minorBidi"/>
                <w:color w:val="C00000"/>
                <w:sz w:val="24"/>
                <w:szCs w:val="24"/>
                <w:lang w:eastAsia="en-US"/>
              </w:rPr>
              <w:t xml:space="preserve">depoziti </w:t>
            </w:r>
            <w:r w:rsidRPr="001D5903">
              <w:rPr>
                <w:rFonts w:asciiTheme="minorHAnsi" w:eastAsiaTheme="minorHAnsi" w:hAnsiTheme="minorHAnsi" w:cstheme="minorBidi"/>
                <w:sz w:val="24"/>
                <w:szCs w:val="24"/>
                <w:lang w:eastAsia="en-US"/>
              </w:rPr>
              <w:t xml:space="preserve">(oročeni, štedni a vista te depoziti po tekućim i žiro računima njihovih klijenata. Nadalje izvor sredstava predstavlja </w:t>
            </w:r>
            <w:r w:rsidR="00FA095D">
              <w:rPr>
                <w:rFonts w:asciiTheme="minorHAnsi" w:eastAsiaTheme="minorHAnsi" w:hAnsiTheme="minorHAnsi" w:cstheme="minorBidi"/>
                <w:sz w:val="24"/>
                <w:szCs w:val="24"/>
                <w:lang w:eastAsia="en-US"/>
              </w:rPr>
              <w:t xml:space="preserve">i </w:t>
            </w:r>
            <w:r w:rsidRPr="001D5903">
              <w:rPr>
                <w:rFonts w:asciiTheme="minorHAnsi" w:eastAsiaTheme="minorHAnsi" w:hAnsiTheme="minorHAnsi" w:cstheme="minorBidi"/>
                <w:sz w:val="24"/>
                <w:szCs w:val="24"/>
                <w:lang w:eastAsia="en-US"/>
              </w:rPr>
              <w:t xml:space="preserve">kapital banke te različiti oblici pozajmljivanja npr. u inozemstvu od banka </w:t>
            </w:r>
            <w:r w:rsidRPr="001D5903">
              <w:rPr>
                <w:rFonts w:asciiTheme="minorHAnsi" w:eastAsiaTheme="minorHAnsi" w:hAnsiTheme="minorHAnsi" w:cstheme="minorBidi"/>
                <w:sz w:val="24"/>
                <w:szCs w:val="24"/>
                <w:lang w:eastAsia="en-US"/>
              </w:rPr>
              <w:lastRenderedPageBreak/>
              <w:t>majki (naime brojne banke u Hrvatskoj su u većinskom stranom vlasništvu), kod drugih banaka u zemlji (na tzv. međubankovnom tržištu), emisije dužničkih vrijednosnih papira (npr. obveznica banke) itd. Na prikupljene depozite (te eventualno i druge oblike izvora sredstava obvezne su držati obvezne rezerve i različite rezerve likvidnosti (salda na njihovom računima za namiru kod središnje banke, gotovina u blagajni banke itd.)</w:t>
            </w:r>
            <w:r w:rsidR="00A93CFC" w:rsidRPr="001D5903">
              <w:rPr>
                <w:rFonts w:asciiTheme="minorHAnsi" w:eastAsiaTheme="minorHAnsi" w:hAnsiTheme="minorHAnsi" w:cstheme="minorBidi"/>
                <w:sz w:val="24"/>
                <w:szCs w:val="24"/>
                <w:lang w:eastAsia="en-US"/>
              </w:rPr>
              <w:t xml:space="preserve">. </w:t>
            </w:r>
          </w:p>
          <w:p w:rsidR="00186A7E" w:rsidRDefault="00186A7E" w:rsidP="00A67161">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Kako bi adekvatno upravljale </w:t>
            </w:r>
            <w:r w:rsidRPr="001D5903">
              <w:rPr>
                <w:rFonts w:asciiTheme="minorHAnsi" w:eastAsiaTheme="minorHAnsi" w:hAnsiTheme="minorHAnsi" w:cstheme="minorBidi"/>
                <w:color w:val="C00000"/>
                <w:sz w:val="24"/>
                <w:szCs w:val="24"/>
                <w:lang w:eastAsia="en-US"/>
              </w:rPr>
              <w:t xml:space="preserve">rizikom likvidnosti </w:t>
            </w:r>
            <w:r w:rsidRPr="001D5903">
              <w:rPr>
                <w:rFonts w:asciiTheme="minorHAnsi" w:eastAsiaTheme="minorHAnsi" w:hAnsiTheme="minorHAnsi" w:cstheme="minorBidi"/>
                <w:sz w:val="24"/>
                <w:szCs w:val="24"/>
                <w:lang w:eastAsia="en-US"/>
              </w:rPr>
              <w:t xml:space="preserve">dio njihove imovine uvijek se nalazi u vrlo likvidnoj formi (uključujući rezerve likvidnosti, trezorske zapise i sličnu kratkotrajnu imovinu koja se može unovčiti u roku četiri dana, a iznos te visoko likvidne imovine uvećan za očekivane primitke u određenom razdoblju uvijek treba biti veći ili jednak od očekivanih izdataka u istom razdoblju (svih isplata koje će banka izvršiti bilo po nalozima klijenata ili u vlastito ime i za vlastiti račun). </w:t>
            </w:r>
            <w:r w:rsidRPr="001D5903">
              <w:rPr>
                <w:rFonts w:asciiTheme="minorHAnsi" w:eastAsiaTheme="minorHAnsi" w:hAnsiTheme="minorHAnsi" w:cstheme="minorBidi"/>
                <w:color w:val="C00000"/>
                <w:sz w:val="24"/>
                <w:szCs w:val="24"/>
                <w:lang w:eastAsia="en-US"/>
              </w:rPr>
              <w:t xml:space="preserve">Ročna struktura imovine i obveza </w:t>
            </w:r>
            <w:r w:rsidRPr="001D5903">
              <w:rPr>
                <w:rFonts w:asciiTheme="minorHAnsi" w:eastAsiaTheme="minorHAnsi" w:hAnsiTheme="minorHAnsi" w:cstheme="minorBidi"/>
                <w:sz w:val="24"/>
                <w:szCs w:val="24"/>
                <w:lang w:eastAsia="en-US"/>
              </w:rPr>
              <w:t>treba biti u određenoj mjeri usklađena kako bi se izbjegao jaz ročne neusklađenosti što ujedno služi i adekvatno</w:t>
            </w:r>
            <w:r w:rsidR="00A67161">
              <w:rPr>
                <w:rFonts w:asciiTheme="minorHAnsi" w:eastAsiaTheme="minorHAnsi" w:hAnsiTheme="minorHAnsi" w:cstheme="minorBidi"/>
                <w:sz w:val="24"/>
                <w:szCs w:val="24"/>
                <w:lang w:eastAsia="en-US"/>
              </w:rPr>
              <w:t>m</w:t>
            </w:r>
            <w:r w:rsidRPr="001D5903">
              <w:rPr>
                <w:rFonts w:asciiTheme="minorHAnsi" w:eastAsiaTheme="minorHAnsi" w:hAnsiTheme="minorHAnsi" w:cstheme="minorBidi"/>
                <w:sz w:val="24"/>
                <w:szCs w:val="24"/>
                <w:lang w:eastAsia="en-US"/>
              </w:rPr>
              <w:t xml:space="preserve"> upravljanju njihovim novčanim tokom (novčanim primicima i izdacima). </w:t>
            </w:r>
          </w:p>
          <w:p w:rsidR="00186A7E" w:rsidRDefault="00186A7E" w:rsidP="00A67161">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Također sukladno regulativi, treba biti usklađena i </w:t>
            </w:r>
            <w:r w:rsidRPr="001D5903">
              <w:rPr>
                <w:rFonts w:asciiTheme="minorHAnsi" w:eastAsiaTheme="minorHAnsi" w:hAnsiTheme="minorHAnsi" w:cstheme="minorBidi"/>
                <w:color w:val="C00000"/>
                <w:sz w:val="24"/>
                <w:szCs w:val="24"/>
                <w:lang w:eastAsia="en-US"/>
              </w:rPr>
              <w:t>valutna struktura njihove imovine i obveza</w:t>
            </w:r>
            <w:r w:rsidRPr="001D5903">
              <w:rPr>
                <w:rFonts w:asciiTheme="minorHAnsi" w:eastAsiaTheme="minorHAnsi" w:hAnsiTheme="minorHAnsi" w:cstheme="minorBidi"/>
                <w:sz w:val="24"/>
                <w:szCs w:val="24"/>
                <w:lang w:eastAsia="en-US"/>
              </w:rPr>
              <w:t xml:space="preserve">, što znači da ako u strukturi njihovih izvora sredstava (depozita i zaduživanja) prevladavaju eurski izvori, kako bi se banka zaštitila od valutnog rizika ona kredite odobrava uz valutnu klauzulu. Postojanje valutne klauzule kod kredita banaka u </w:t>
            </w:r>
            <w:r w:rsidR="00A67161">
              <w:rPr>
                <w:rFonts w:asciiTheme="minorHAnsi" w:eastAsiaTheme="minorHAnsi" w:hAnsiTheme="minorHAnsi" w:cstheme="minorBidi"/>
                <w:sz w:val="24"/>
                <w:szCs w:val="24"/>
                <w:lang w:eastAsia="en-US"/>
              </w:rPr>
              <w:t xml:space="preserve">Hrvatskoj </w:t>
            </w:r>
            <w:r w:rsidRPr="001D5903">
              <w:rPr>
                <w:rFonts w:asciiTheme="minorHAnsi" w:eastAsiaTheme="minorHAnsi" w:hAnsiTheme="minorHAnsi" w:cstheme="minorBidi"/>
                <w:sz w:val="24"/>
                <w:szCs w:val="24"/>
                <w:lang w:eastAsia="en-US"/>
              </w:rPr>
              <w:t xml:space="preserve">stoga je primarno posljedica preferencija štednje </w:t>
            </w:r>
            <w:r w:rsidR="00A67161">
              <w:rPr>
                <w:rFonts w:asciiTheme="minorHAnsi" w:eastAsiaTheme="minorHAnsi" w:hAnsiTheme="minorHAnsi" w:cstheme="minorBidi"/>
                <w:sz w:val="24"/>
                <w:szCs w:val="24"/>
                <w:lang w:eastAsia="en-US"/>
              </w:rPr>
              <w:t xml:space="preserve">javnosti </w:t>
            </w:r>
            <w:r w:rsidRPr="001D5903">
              <w:rPr>
                <w:rFonts w:asciiTheme="minorHAnsi" w:eastAsiaTheme="minorHAnsi" w:hAnsiTheme="minorHAnsi" w:cstheme="minorBidi"/>
                <w:sz w:val="24"/>
                <w:szCs w:val="24"/>
                <w:lang w:eastAsia="en-US"/>
              </w:rPr>
              <w:t>u devizama koja je izražena kako kod stanovništva tako i drugih sektora. Ukoliko aktiva banaka indeksirana u određenoj stranoj valuti npr. švicarskom franku prelazi njihove izvore sredstava u istoj valuti u pasivi, valutna usklađenost postiže se izvanbilančnim kategorijama financijskih izvedenica, kao što su npr. d</w:t>
            </w:r>
            <w:r>
              <w:rPr>
                <w:rFonts w:asciiTheme="minorHAnsi" w:eastAsiaTheme="minorHAnsi" w:hAnsiTheme="minorHAnsi" w:cstheme="minorBidi"/>
                <w:sz w:val="24"/>
                <w:szCs w:val="24"/>
                <w:lang w:eastAsia="en-US"/>
              </w:rPr>
              <w:t>evizne zamjene (tzv. devizni swa</w:t>
            </w:r>
            <w:r w:rsidRPr="001D5903">
              <w:rPr>
                <w:rFonts w:asciiTheme="minorHAnsi" w:eastAsiaTheme="minorHAnsi" w:hAnsiTheme="minorHAnsi" w:cstheme="minorBidi"/>
                <w:sz w:val="24"/>
                <w:szCs w:val="24"/>
                <w:lang w:eastAsia="en-US"/>
              </w:rPr>
              <w:t xml:space="preserve">p-ovi). </w:t>
            </w:r>
          </w:p>
          <w:p w:rsidR="00186A7E" w:rsidRDefault="00186A7E" w:rsidP="00A67161">
            <w:pPr>
              <w:tabs>
                <w:tab w:val="left" w:pos="3400"/>
              </w:tabs>
              <w:spacing w:before="80"/>
              <w:jc w:val="both"/>
              <w:rPr>
                <w:rFonts w:asciiTheme="minorHAnsi" w:eastAsiaTheme="minorHAnsi" w:hAnsiTheme="minorHAnsi" w:cstheme="minorBidi"/>
                <w:b/>
                <w:sz w:val="24"/>
                <w:szCs w:val="24"/>
                <w:lang w:eastAsia="en-US"/>
              </w:rPr>
            </w:pPr>
            <w:r w:rsidRPr="001D5903">
              <w:rPr>
                <w:rFonts w:asciiTheme="minorHAnsi" w:eastAsiaTheme="minorHAnsi" w:hAnsiTheme="minorHAnsi" w:cstheme="minorBidi"/>
                <w:sz w:val="24"/>
                <w:szCs w:val="24"/>
                <w:lang w:eastAsia="en-US"/>
              </w:rPr>
              <w:t xml:space="preserve">Od </w:t>
            </w:r>
            <w:r w:rsidRPr="001D5903">
              <w:rPr>
                <w:rFonts w:asciiTheme="minorHAnsi" w:eastAsiaTheme="minorHAnsi" w:hAnsiTheme="minorHAnsi" w:cstheme="minorBidi"/>
                <w:color w:val="C00000"/>
                <w:sz w:val="24"/>
                <w:szCs w:val="24"/>
                <w:lang w:eastAsia="en-US"/>
              </w:rPr>
              <w:t xml:space="preserve">kamatnog rizika </w:t>
            </w:r>
            <w:r w:rsidRPr="001D5903">
              <w:rPr>
                <w:rFonts w:asciiTheme="minorHAnsi" w:eastAsiaTheme="minorHAnsi" w:hAnsiTheme="minorHAnsi" w:cstheme="minorBidi"/>
                <w:sz w:val="24"/>
                <w:szCs w:val="24"/>
                <w:lang w:eastAsia="en-US"/>
              </w:rPr>
              <w:t>banke se štite na način da usklađuju vrste i ročnost kamatnih stopa na aktivu i pasivu. Ukoliko se izvori sredstava dominantno prikupljaj</w:t>
            </w:r>
            <w:r>
              <w:rPr>
                <w:rFonts w:asciiTheme="minorHAnsi" w:eastAsiaTheme="minorHAnsi" w:hAnsiTheme="minorHAnsi" w:cstheme="minorBidi"/>
                <w:sz w:val="24"/>
                <w:szCs w:val="24"/>
                <w:lang w:eastAsia="en-US"/>
              </w:rPr>
              <w:t xml:space="preserve">u uz promjenjivu kamatnu stopu (determiniranu uvjetima likvidnosti na domaćem i stranom tržištu te visinom premije rizika), </w:t>
            </w:r>
            <w:r w:rsidRPr="001D5903">
              <w:rPr>
                <w:rFonts w:asciiTheme="minorHAnsi" w:eastAsiaTheme="minorHAnsi" w:hAnsiTheme="minorHAnsi" w:cstheme="minorBidi"/>
                <w:sz w:val="24"/>
                <w:szCs w:val="24"/>
                <w:lang w:eastAsia="en-US"/>
              </w:rPr>
              <w:t>tada i u aktivi bilance banaka dominiraju pozicije kod kojih su</w:t>
            </w:r>
            <w:r>
              <w:rPr>
                <w:rFonts w:asciiTheme="minorHAnsi" w:eastAsiaTheme="minorHAnsi" w:hAnsiTheme="minorHAnsi" w:cstheme="minorBidi"/>
                <w:sz w:val="24"/>
                <w:szCs w:val="24"/>
                <w:lang w:eastAsia="en-US"/>
              </w:rPr>
              <w:t xml:space="preserve"> </w:t>
            </w:r>
            <w:r w:rsidRPr="001D5903">
              <w:rPr>
                <w:rFonts w:asciiTheme="minorHAnsi" w:eastAsiaTheme="minorHAnsi" w:hAnsiTheme="minorHAnsi" w:cstheme="minorBidi"/>
                <w:sz w:val="24"/>
                <w:szCs w:val="24"/>
                <w:lang w:eastAsia="en-US"/>
              </w:rPr>
              <w:t>kamatne stope promjenjive istom dinamikom</w:t>
            </w:r>
            <w:r>
              <w:rPr>
                <w:rFonts w:asciiTheme="minorHAnsi" w:eastAsiaTheme="minorHAnsi" w:hAnsiTheme="minorHAnsi" w:cstheme="minorBidi"/>
                <w:sz w:val="24"/>
                <w:szCs w:val="24"/>
                <w:lang w:eastAsia="en-US"/>
              </w:rPr>
              <w:t xml:space="preserve"> </w:t>
            </w:r>
            <w:r w:rsidRPr="001D5903">
              <w:rPr>
                <w:rFonts w:asciiTheme="minorHAnsi" w:eastAsiaTheme="minorHAnsi" w:hAnsiTheme="minorHAnsi" w:cstheme="minorBidi"/>
                <w:sz w:val="24"/>
                <w:szCs w:val="24"/>
                <w:lang w:eastAsia="en-US"/>
              </w:rPr>
              <w:t>(npr. na</w:t>
            </w:r>
            <w:r>
              <w:rPr>
                <w:rFonts w:asciiTheme="minorHAnsi" w:eastAsiaTheme="minorHAnsi" w:hAnsiTheme="minorHAnsi" w:cstheme="minorBidi"/>
                <w:sz w:val="24"/>
                <w:szCs w:val="24"/>
                <w:lang w:eastAsia="en-US"/>
              </w:rPr>
              <w:t xml:space="preserve"> kamatne stope </w:t>
            </w:r>
            <w:r w:rsidRPr="001D5903">
              <w:rPr>
                <w:rFonts w:asciiTheme="minorHAnsi" w:eastAsiaTheme="minorHAnsi" w:hAnsiTheme="minorHAnsi" w:cstheme="minorBidi"/>
                <w:sz w:val="24"/>
                <w:szCs w:val="24"/>
                <w:lang w:eastAsia="en-US"/>
              </w:rPr>
              <w:t>kredite).</w:t>
            </w:r>
            <w:r>
              <w:rPr>
                <w:rFonts w:asciiTheme="minorHAnsi" w:eastAsiaTheme="minorHAnsi" w:hAnsiTheme="minorHAnsi" w:cstheme="minorBidi"/>
                <w:sz w:val="24"/>
                <w:szCs w:val="24"/>
                <w:lang w:eastAsia="en-US"/>
              </w:rPr>
              <w:t xml:space="preserve"> </w:t>
            </w:r>
            <w:r w:rsidRPr="001D5903">
              <w:rPr>
                <w:rFonts w:asciiTheme="minorHAnsi" w:eastAsiaTheme="minorHAnsi" w:hAnsiTheme="minorHAnsi" w:cstheme="minorBidi"/>
                <w:sz w:val="24"/>
                <w:szCs w:val="24"/>
                <w:lang w:eastAsia="en-US"/>
              </w:rPr>
              <w:t>Razliku između ponderirane kamatne stope na izvore sredstava banke (pasivu) i ponderirane kamatne stope na plasmane banke (aktivu) predsta</w:t>
            </w:r>
            <w:r>
              <w:rPr>
                <w:rFonts w:asciiTheme="minorHAnsi" w:eastAsiaTheme="minorHAnsi" w:hAnsiTheme="minorHAnsi" w:cstheme="minorBidi"/>
                <w:sz w:val="24"/>
                <w:szCs w:val="24"/>
                <w:lang w:eastAsia="en-US"/>
              </w:rPr>
              <w:t xml:space="preserve">vlja stopa </w:t>
            </w:r>
            <w:r w:rsidRPr="001B1713">
              <w:rPr>
                <w:rFonts w:asciiTheme="minorHAnsi" w:eastAsiaTheme="minorHAnsi" w:hAnsiTheme="minorHAnsi" w:cstheme="minorBidi"/>
                <w:color w:val="C00000"/>
                <w:sz w:val="24"/>
                <w:szCs w:val="24"/>
                <w:lang w:eastAsia="en-US"/>
              </w:rPr>
              <w:t>kamatne zarade banke</w:t>
            </w:r>
            <w:r>
              <w:rPr>
                <w:rFonts w:asciiTheme="minorHAnsi" w:eastAsiaTheme="minorHAnsi" w:hAnsiTheme="minorHAnsi" w:cstheme="minorBidi"/>
                <w:sz w:val="24"/>
                <w:szCs w:val="24"/>
                <w:lang w:eastAsia="en-US"/>
              </w:rPr>
              <w:t>.</w:t>
            </w:r>
          </w:p>
          <w:p w:rsidR="00186A7E" w:rsidRDefault="00186A7E" w:rsidP="00A67161">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Najznačajni rizik za banku je </w:t>
            </w:r>
            <w:r w:rsidRPr="001D5903">
              <w:rPr>
                <w:rFonts w:asciiTheme="minorHAnsi" w:eastAsiaTheme="minorHAnsi" w:hAnsiTheme="minorHAnsi" w:cstheme="minorBidi"/>
                <w:color w:val="C00000"/>
                <w:sz w:val="24"/>
                <w:szCs w:val="24"/>
                <w:lang w:eastAsia="en-US"/>
              </w:rPr>
              <w:t>kreditni rizik</w:t>
            </w:r>
            <w:r w:rsidRPr="001D5903">
              <w:rPr>
                <w:rFonts w:asciiTheme="minorHAnsi" w:eastAsiaTheme="minorHAnsi" w:hAnsiTheme="minorHAnsi" w:cstheme="minorBidi"/>
                <w:sz w:val="24"/>
                <w:szCs w:val="24"/>
                <w:lang w:eastAsia="en-US"/>
              </w:rPr>
              <w:t>, a predstavlja rizik mogućih gubitaka banke ukoliko njeni dužnici ne podmiruju obveze o roku ili ih ne podmiruju u potpunosti. Pri svakom odobravanju kredita i</w:t>
            </w:r>
            <w:r>
              <w:rPr>
                <w:rFonts w:asciiTheme="minorHAnsi" w:eastAsiaTheme="minorHAnsi" w:hAnsiTheme="minorHAnsi" w:cstheme="minorBidi"/>
                <w:sz w:val="24"/>
                <w:szCs w:val="24"/>
                <w:lang w:eastAsia="en-US"/>
              </w:rPr>
              <w:t xml:space="preserve">li sličnih </w:t>
            </w:r>
            <w:r w:rsidRPr="001D5903">
              <w:rPr>
                <w:rFonts w:asciiTheme="minorHAnsi" w:eastAsiaTheme="minorHAnsi" w:hAnsiTheme="minorHAnsi" w:cstheme="minorBidi"/>
                <w:sz w:val="24"/>
                <w:szCs w:val="24"/>
                <w:lang w:eastAsia="en-US"/>
              </w:rPr>
              <w:t>plasmana</w:t>
            </w:r>
            <w:r>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 xml:space="preserve"> banke akumuliraju kreditni rizik, a od njega su dijelom zaštićene činjenicom da velika većina dužnika </w:t>
            </w:r>
            <w:r w:rsidR="00A67161">
              <w:rPr>
                <w:rFonts w:asciiTheme="minorHAnsi" w:eastAsiaTheme="minorHAnsi" w:hAnsiTheme="minorHAnsi" w:cstheme="minorBidi"/>
                <w:sz w:val="24"/>
                <w:szCs w:val="24"/>
                <w:lang w:eastAsia="en-US"/>
              </w:rPr>
              <w:t xml:space="preserve">ima stabilne prihode te </w:t>
            </w:r>
            <w:r w:rsidRPr="001D5903">
              <w:rPr>
                <w:rFonts w:asciiTheme="minorHAnsi" w:eastAsiaTheme="minorHAnsi" w:hAnsiTheme="minorHAnsi" w:cstheme="minorBidi"/>
                <w:sz w:val="24"/>
                <w:szCs w:val="24"/>
                <w:lang w:eastAsia="en-US"/>
              </w:rPr>
              <w:t>uredno podmiruje svoje obveze prema bankama</w:t>
            </w:r>
            <w:r>
              <w:rPr>
                <w:rFonts w:asciiTheme="minorHAnsi" w:eastAsiaTheme="minorHAnsi" w:hAnsiTheme="minorHAnsi" w:cstheme="minorBidi"/>
                <w:sz w:val="24"/>
                <w:szCs w:val="24"/>
                <w:lang w:eastAsia="en-US"/>
              </w:rPr>
              <w:t>. N</w:t>
            </w:r>
            <w:r w:rsidRPr="001D5903">
              <w:rPr>
                <w:rFonts w:asciiTheme="minorHAnsi" w:eastAsiaTheme="minorHAnsi" w:hAnsiTheme="minorHAnsi" w:cstheme="minorBidi"/>
                <w:sz w:val="24"/>
                <w:szCs w:val="24"/>
                <w:lang w:eastAsia="en-US"/>
              </w:rPr>
              <w:t>o</w:t>
            </w:r>
            <w:r>
              <w:rPr>
                <w:rFonts w:asciiTheme="minorHAnsi" w:eastAsiaTheme="minorHAnsi" w:hAnsiTheme="minorHAnsi" w:cstheme="minorBidi"/>
                <w:sz w:val="24"/>
                <w:szCs w:val="24"/>
                <w:lang w:eastAsia="en-US"/>
              </w:rPr>
              <w:t xml:space="preserve">, </w:t>
            </w:r>
            <w:r w:rsidRPr="00FA095D">
              <w:rPr>
                <w:rFonts w:asciiTheme="minorHAnsi" w:eastAsiaTheme="minorHAnsi" w:hAnsiTheme="minorHAnsi" w:cstheme="minorBidi"/>
                <w:sz w:val="24"/>
                <w:szCs w:val="24"/>
                <w:lang w:eastAsia="en-US"/>
              </w:rPr>
              <w:t>kako banke imaju istodobno obveze i prema štedišama</w:t>
            </w:r>
            <w:r>
              <w:rPr>
                <w:rFonts w:asciiTheme="minorHAnsi" w:eastAsiaTheme="minorHAnsi" w:hAnsiTheme="minorHAnsi" w:cstheme="minorBidi"/>
                <w:color w:val="C00000"/>
                <w:sz w:val="24"/>
                <w:szCs w:val="24"/>
                <w:lang w:eastAsia="en-US"/>
              </w:rPr>
              <w:t>,</w:t>
            </w:r>
            <w:r w:rsidRPr="000D50C1">
              <w:rPr>
                <w:rFonts w:asciiTheme="minorHAnsi" w:eastAsiaTheme="minorHAnsi" w:hAnsiTheme="minorHAnsi" w:cstheme="minorBidi"/>
                <w:color w:val="C00000"/>
                <w:sz w:val="24"/>
                <w:szCs w:val="24"/>
                <w:lang w:eastAsia="en-US"/>
              </w:rPr>
              <w:t xml:space="preserve"> naplativost plasmana osigurava se i različitim instrumentima osiguranja </w:t>
            </w:r>
            <w:r>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naplate</w:t>
            </w:r>
            <w:r w:rsidR="00A67161">
              <w:rPr>
                <w:rFonts w:asciiTheme="minorHAnsi" w:eastAsiaTheme="minorHAnsi" w:hAnsiTheme="minorHAnsi" w:cstheme="minorBidi"/>
                <w:sz w:val="24"/>
                <w:szCs w:val="24"/>
                <w:lang w:eastAsia="en-US"/>
              </w:rPr>
              <w:t xml:space="preserve"> kredita</w:t>
            </w:r>
            <w:r>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 xml:space="preserve">uključujući </w:t>
            </w:r>
            <w:r w:rsidRPr="001D5903">
              <w:rPr>
                <w:rFonts w:asciiTheme="minorHAnsi" w:eastAsiaTheme="minorHAnsi" w:hAnsiTheme="minorHAnsi" w:cstheme="minorBidi"/>
                <w:sz w:val="24"/>
                <w:szCs w:val="24"/>
                <w:lang w:eastAsia="en-US"/>
              </w:rPr>
              <w:t>založna prava na nekretninama (hipoteke) ili pokretninama, garantn</w:t>
            </w:r>
            <w:r>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xml:space="preserve"> depozit</w:t>
            </w:r>
            <w:r>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mjenice i zadužnice, osiguranja od kreditnog rizika itd. Materijalizacija kreditnog rizika kod banaka uglavnom se u većoj mjeri događa u godinama recesije kada dio dužnika zbog financijskih poremećaja ne može servisirati dospjele obveze. Kako time bank</w:t>
            </w:r>
            <w:r w:rsidR="00A67161">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xml:space="preserve"> gub</w:t>
            </w:r>
            <w:r w:rsidR="00A67161">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xml:space="preserve"> i zaradu od očekivanih kamata</w:t>
            </w:r>
            <w:r w:rsidR="00A67161">
              <w:rPr>
                <w:rFonts w:asciiTheme="minorHAnsi" w:eastAsiaTheme="minorHAnsi" w:hAnsiTheme="minorHAnsi" w:cstheme="minorBidi"/>
                <w:sz w:val="24"/>
                <w:szCs w:val="24"/>
                <w:lang w:eastAsia="en-US"/>
              </w:rPr>
              <w:t xml:space="preserve">, a </w:t>
            </w:r>
            <w:r w:rsidRPr="001D5903">
              <w:rPr>
                <w:rFonts w:asciiTheme="minorHAnsi" w:eastAsiaTheme="minorHAnsi" w:hAnsiTheme="minorHAnsi" w:cstheme="minorBidi"/>
                <w:sz w:val="24"/>
                <w:szCs w:val="24"/>
                <w:lang w:eastAsia="en-US"/>
              </w:rPr>
              <w:t>povećavaju</w:t>
            </w:r>
            <w:r w:rsidR="00A67161">
              <w:rPr>
                <w:rFonts w:asciiTheme="minorHAnsi" w:eastAsiaTheme="minorHAnsi" w:hAnsiTheme="minorHAnsi" w:cstheme="minorBidi"/>
                <w:sz w:val="24"/>
                <w:szCs w:val="24"/>
                <w:lang w:eastAsia="en-US"/>
              </w:rPr>
              <w:t xml:space="preserve"> se i</w:t>
            </w:r>
            <w:r w:rsidRPr="001D5903">
              <w:rPr>
                <w:rFonts w:asciiTheme="minorHAnsi" w:eastAsiaTheme="minorHAnsi" w:hAnsiTheme="minorHAnsi" w:cstheme="minorBidi"/>
                <w:sz w:val="24"/>
                <w:szCs w:val="24"/>
                <w:lang w:eastAsia="en-US"/>
              </w:rPr>
              <w:t xml:space="preserve"> rezerviranja za loše plasmane, godine krize su uglavnom razdoblja kada je dobit banaka bitno smanjena i kad one često posluju s računovodstvenim gubicima. </w:t>
            </w:r>
            <w:r>
              <w:rPr>
                <w:rFonts w:asciiTheme="minorHAnsi" w:eastAsiaTheme="minorHAnsi" w:hAnsiTheme="minorHAnsi" w:cstheme="minorBidi"/>
                <w:sz w:val="24"/>
                <w:szCs w:val="24"/>
                <w:lang w:eastAsia="en-US"/>
              </w:rPr>
              <w:t xml:space="preserve">Posebnu vrstu kreditnog rizika specifičnog za visoko euroizirane zemlje kao što je Hrvatska predstavlja </w:t>
            </w:r>
            <w:r w:rsidRPr="000D50C1">
              <w:rPr>
                <w:rFonts w:asciiTheme="minorHAnsi" w:eastAsiaTheme="minorHAnsi" w:hAnsiTheme="minorHAnsi" w:cstheme="minorBidi"/>
                <w:color w:val="C00000"/>
                <w:sz w:val="24"/>
                <w:szCs w:val="24"/>
                <w:lang w:eastAsia="en-US"/>
              </w:rPr>
              <w:t xml:space="preserve">valutno inducirani kreditni rizik </w:t>
            </w:r>
            <w:r>
              <w:rPr>
                <w:rFonts w:asciiTheme="minorHAnsi" w:eastAsiaTheme="minorHAnsi" w:hAnsiTheme="minorHAnsi" w:cstheme="minorBidi"/>
                <w:sz w:val="24"/>
                <w:szCs w:val="24"/>
                <w:lang w:eastAsia="en-US"/>
              </w:rPr>
              <w:t xml:space="preserve">vezan uz moguće nepovoljne učinke deviznog tečaja na sposobnost urednog podmirivanja obveza dužnika s kreditima odobrenim uz valutnu klauzulu. </w:t>
            </w:r>
          </w:p>
          <w:p w:rsidR="00A04A5C" w:rsidRDefault="00186A7E" w:rsidP="00A67161">
            <w:pPr>
              <w:tabs>
                <w:tab w:val="left" w:pos="3400"/>
              </w:tabs>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b/>
                <w:sz w:val="24"/>
                <w:szCs w:val="24"/>
                <w:lang w:eastAsia="en-US"/>
              </w:rPr>
              <w:lastRenderedPageBreak/>
              <w:t>T</w:t>
            </w:r>
            <w:r w:rsidR="00A04A5C" w:rsidRPr="00A04A5C">
              <w:rPr>
                <w:rFonts w:asciiTheme="minorHAnsi" w:eastAsiaTheme="minorHAnsi" w:hAnsiTheme="minorHAnsi" w:cstheme="minorBidi"/>
                <w:b/>
                <w:sz w:val="24"/>
                <w:szCs w:val="24"/>
                <w:lang w:eastAsia="en-US"/>
              </w:rPr>
              <w:t>ablica: Bilanca drugih monetarnih institucija u Hrvatskoj</w:t>
            </w:r>
            <w:r w:rsidR="00A04A5C" w:rsidRPr="00FA095D">
              <w:rPr>
                <w:rFonts w:asciiTheme="minorHAnsi" w:eastAsiaTheme="minorHAnsi" w:hAnsiTheme="minorHAnsi" w:cstheme="minorBidi"/>
                <w:sz w:val="24"/>
                <w:szCs w:val="24"/>
                <w:lang w:eastAsia="en-US"/>
              </w:rPr>
              <w:t>, u milijunima kuna, krajem svibnja 2015.</w:t>
            </w:r>
            <w:r w:rsidR="00FA095D">
              <w:rPr>
                <w:rFonts w:asciiTheme="minorHAnsi" w:eastAsiaTheme="minorHAnsi" w:hAnsiTheme="minorHAnsi" w:cstheme="minorBidi"/>
                <w:sz w:val="24"/>
                <w:szCs w:val="24"/>
                <w:lang w:eastAsia="en-US"/>
              </w:rPr>
              <w:t xml:space="preserve"> (</w:t>
            </w:r>
            <w:r w:rsidR="00FA095D" w:rsidRPr="00A67161">
              <w:rPr>
                <w:rFonts w:asciiTheme="minorHAnsi" w:eastAsiaTheme="minorHAnsi" w:hAnsiTheme="minorHAnsi" w:cstheme="minorBidi"/>
                <w:color w:val="C00000"/>
                <w:sz w:val="24"/>
                <w:szCs w:val="24"/>
                <w:lang w:eastAsia="en-US"/>
              </w:rPr>
              <w:t>pozicije se dominantnim dijelom odnose na banke</w:t>
            </w:r>
            <w:r w:rsidR="00FA095D">
              <w:rPr>
                <w:rFonts w:asciiTheme="minorHAnsi" w:eastAsiaTheme="minorHAnsi" w:hAnsiTheme="minorHAnsi" w:cstheme="minorBidi"/>
                <w:sz w:val="24"/>
                <w:szCs w:val="24"/>
                <w:lang w:eastAsia="en-US"/>
              </w:rPr>
              <w:t>)</w:t>
            </w:r>
          </w:p>
          <w:p w:rsidR="00A04A5C" w:rsidRDefault="00FA095D" w:rsidP="00FA095D">
            <w:pPr>
              <w:tabs>
                <w:tab w:val="left" w:pos="3400"/>
              </w:tabs>
              <w:spacing w:before="120" w:after="120"/>
              <w:jc w:val="center"/>
            </w:pPr>
            <w:r>
              <w:rPr>
                <w:rFonts w:asciiTheme="minorHAnsi" w:eastAsiaTheme="minorHAnsi" w:hAnsiTheme="minorHAnsi" w:cstheme="minorBidi"/>
                <w:sz w:val="22"/>
                <w:szCs w:val="22"/>
                <w:lang w:eastAsia="en-US"/>
              </w:rPr>
              <w:object w:dxaOrig="6900" w:dyaOrig="11640">
                <v:shape id="_x0000_i1040" type="#_x0000_t75" style="width:354.75pt;height:598.5pt" o:ole="">
                  <v:imagedata r:id="rId103" o:title=""/>
                </v:shape>
                <o:OLEObject Type="Embed" ProgID="PBrush" ShapeID="_x0000_i1040" DrawAspect="Content" ObjectID="_1505681368" r:id="rId104"/>
              </w:object>
            </w:r>
          </w:p>
          <w:p w:rsidR="00186A7E" w:rsidRDefault="00186A7E" w:rsidP="001D5903">
            <w:pPr>
              <w:tabs>
                <w:tab w:val="left" w:pos="3400"/>
              </w:tabs>
              <w:spacing w:before="120" w:after="120"/>
              <w:jc w:val="both"/>
              <w:rPr>
                <w:rFonts w:asciiTheme="minorHAnsi" w:hAnsiTheme="minorHAnsi"/>
              </w:rPr>
            </w:pPr>
            <w:r>
              <w:rPr>
                <w:rFonts w:asciiTheme="minorHAnsi" w:hAnsiTheme="minorHAnsi"/>
              </w:rPr>
              <w:t>* Druge monetarne institucije su banke, štedne banke, stambene štedionice i novčani fondovi.</w:t>
            </w:r>
          </w:p>
          <w:p w:rsidR="00A04A5C" w:rsidRPr="00A04A5C" w:rsidRDefault="00FA095D" w:rsidP="001D5903">
            <w:pPr>
              <w:tabs>
                <w:tab w:val="left" w:pos="3400"/>
              </w:tabs>
              <w:spacing w:before="120" w:after="120"/>
              <w:jc w:val="both"/>
              <w:rPr>
                <w:rFonts w:asciiTheme="minorHAnsi" w:hAnsiTheme="minorHAnsi"/>
              </w:rPr>
            </w:pPr>
            <w:r>
              <w:rPr>
                <w:rFonts w:asciiTheme="minorHAnsi" w:hAnsiTheme="minorHAnsi"/>
              </w:rPr>
              <w:t>I</w:t>
            </w:r>
            <w:r w:rsidR="00A04A5C" w:rsidRPr="00FA095D">
              <w:rPr>
                <w:rFonts w:asciiTheme="minorHAnsi" w:hAnsiTheme="minorHAnsi"/>
              </w:rPr>
              <w:t>zvor</w:t>
            </w:r>
            <w:r w:rsidR="00A04A5C" w:rsidRPr="00A04A5C">
              <w:rPr>
                <w:rFonts w:asciiTheme="minorHAnsi" w:hAnsiTheme="minorHAnsi"/>
              </w:rPr>
              <w:t>:  uz manje izmjene preuzeto iz: HNB (2015.) „Bilten“, br. 216.</w:t>
            </w:r>
          </w:p>
          <w:p w:rsidR="001D5903" w:rsidRDefault="00186A7E" w:rsidP="00B51872">
            <w:pPr>
              <w:tabs>
                <w:tab w:val="left" w:pos="3400"/>
              </w:tabs>
              <w:spacing w:before="8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lastRenderedPageBreak/>
              <w:t>S</w:t>
            </w:r>
            <w:r w:rsidR="007F55C1" w:rsidRPr="001D5903">
              <w:rPr>
                <w:rFonts w:asciiTheme="minorHAnsi" w:eastAsiaTheme="minorHAnsi" w:hAnsiTheme="minorHAnsi" w:cstheme="minorBidi"/>
                <w:sz w:val="24"/>
                <w:szCs w:val="24"/>
                <w:lang w:eastAsia="en-US"/>
              </w:rPr>
              <w:t xml:space="preserve">cenariji snažnijih financijskih kriza povremeno dovode do pada povjerenja štediša pa oni povlače dio depozita iz banaka, što bankama donosi veću izloženost riziku likvidnosti. Kako bi se spriječila povlačenja depozita iz banaka tijekom kriznih razdoblja postoji </w:t>
            </w:r>
            <w:r w:rsidR="007F55C1" w:rsidRPr="001D5903">
              <w:rPr>
                <w:rFonts w:asciiTheme="minorHAnsi" w:eastAsiaTheme="minorHAnsi" w:hAnsiTheme="minorHAnsi" w:cstheme="minorBidi"/>
                <w:color w:val="C00000"/>
                <w:sz w:val="24"/>
                <w:szCs w:val="24"/>
                <w:lang w:eastAsia="en-US"/>
              </w:rPr>
              <w:t>od države organiziran sustav osiguranja depozita</w:t>
            </w:r>
            <w:r w:rsidR="00A67161">
              <w:rPr>
                <w:rFonts w:asciiTheme="minorHAnsi" w:eastAsiaTheme="minorHAnsi" w:hAnsiTheme="minorHAnsi" w:cstheme="minorBidi"/>
                <w:color w:val="C00000"/>
                <w:sz w:val="24"/>
                <w:szCs w:val="24"/>
                <w:lang w:eastAsia="en-US"/>
              </w:rPr>
              <w:t xml:space="preserve">. </w:t>
            </w:r>
            <w:r w:rsidR="00A67161" w:rsidRPr="00A67161">
              <w:rPr>
                <w:rFonts w:asciiTheme="minorHAnsi" w:eastAsiaTheme="minorHAnsi" w:hAnsiTheme="minorHAnsi" w:cstheme="minorBidi"/>
                <w:sz w:val="24"/>
                <w:szCs w:val="24"/>
                <w:lang w:eastAsia="en-US"/>
              </w:rPr>
              <w:t>U</w:t>
            </w:r>
            <w:r w:rsidR="007F55C1" w:rsidRPr="001D5903">
              <w:rPr>
                <w:rFonts w:asciiTheme="minorHAnsi" w:eastAsiaTheme="minorHAnsi" w:hAnsiTheme="minorHAnsi" w:cstheme="minorBidi"/>
                <w:sz w:val="24"/>
                <w:szCs w:val="24"/>
                <w:lang w:eastAsia="en-US"/>
              </w:rPr>
              <w:t xml:space="preserve"> EU pa tako i RH </w:t>
            </w:r>
            <w:r w:rsidR="00A67161">
              <w:rPr>
                <w:rFonts w:asciiTheme="minorHAnsi" w:eastAsiaTheme="minorHAnsi" w:hAnsiTheme="minorHAnsi" w:cstheme="minorBidi"/>
                <w:sz w:val="24"/>
                <w:szCs w:val="24"/>
                <w:lang w:eastAsia="en-US"/>
              </w:rPr>
              <w:t xml:space="preserve">osigurano je </w:t>
            </w:r>
            <w:r w:rsidR="007F55C1" w:rsidRPr="001D5903">
              <w:rPr>
                <w:rFonts w:asciiTheme="minorHAnsi" w:eastAsiaTheme="minorHAnsi" w:hAnsiTheme="minorHAnsi" w:cstheme="minorBidi"/>
                <w:color w:val="C00000"/>
                <w:sz w:val="24"/>
                <w:szCs w:val="24"/>
                <w:lang w:eastAsia="en-US"/>
              </w:rPr>
              <w:t>100.000 eur</w:t>
            </w:r>
            <w:r w:rsidR="00A67161">
              <w:rPr>
                <w:rFonts w:asciiTheme="minorHAnsi" w:eastAsiaTheme="minorHAnsi" w:hAnsiTheme="minorHAnsi" w:cstheme="minorBidi"/>
                <w:color w:val="C00000"/>
                <w:sz w:val="24"/>
                <w:szCs w:val="24"/>
                <w:lang w:eastAsia="en-US"/>
              </w:rPr>
              <w:t>a</w:t>
            </w:r>
            <w:r w:rsidR="007F55C1" w:rsidRPr="001D5903">
              <w:rPr>
                <w:rFonts w:asciiTheme="minorHAnsi" w:eastAsiaTheme="minorHAnsi" w:hAnsiTheme="minorHAnsi" w:cstheme="minorBidi"/>
                <w:color w:val="C00000"/>
                <w:sz w:val="24"/>
                <w:szCs w:val="24"/>
                <w:lang w:eastAsia="en-US"/>
              </w:rPr>
              <w:t xml:space="preserve"> po deponentu u jednoj kreditnoj instituciji</w:t>
            </w:r>
            <w:r w:rsidR="007F55C1" w:rsidRPr="001D5903">
              <w:rPr>
                <w:rFonts w:asciiTheme="minorHAnsi" w:eastAsiaTheme="minorHAnsi" w:hAnsiTheme="minorHAnsi" w:cstheme="minorBidi"/>
                <w:sz w:val="24"/>
                <w:szCs w:val="24"/>
                <w:lang w:eastAsia="en-US"/>
              </w:rPr>
              <w:t>, što zn</w:t>
            </w:r>
            <w:r w:rsidR="00A67161">
              <w:rPr>
                <w:rFonts w:asciiTheme="minorHAnsi" w:eastAsiaTheme="minorHAnsi" w:hAnsiTheme="minorHAnsi" w:cstheme="minorBidi"/>
                <w:sz w:val="24"/>
                <w:szCs w:val="24"/>
                <w:lang w:eastAsia="en-US"/>
              </w:rPr>
              <w:t>ači da ako štediša raspolaže s npr. 45</w:t>
            </w:r>
            <w:r w:rsidR="007F55C1" w:rsidRPr="001D5903">
              <w:rPr>
                <w:rFonts w:asciiTheme="minorHAnsi" w:eastAsiaTheme="minorHAnsi" w:hAnsiTheme="minorHAnsi" w:cstheme="minorBidi"/>
                <w:sz w:val="24"/>
                <w:szCs w:val="24"/>
                <w:lang w:eastAsia="en-US"/>
              </w:rPr>
              <w:t xml:space="preserve">0.000 eura štednje kod četiri banke </w:t>
            </w:r>
            <w:r w:rsidR="00A67161">
              <w:rPr>
                <w:rFonts w:asciiTheme="minorHAnsi" w:eastAsiaTheme="minorHAnsi" w:hAnsiTheme="minorHAnsi" w:cstheme="minorBidi"/>
                <w:sz w:val="24"/>
                <w:szCs w:val="24"/>
                <w:lang w:eastAsia="en-US"/>
              </w:rPr>
              <w:t xml:space="preserve">i jedne stambene štedionice, a kod niti jedne </w:t>
            </w:r>
            <w:r w:rsidR="007F55C1" w:rsidRPr="001D5903">
              <w:rPr>
                <w:rFonts w:asciiTheme="minorHAnsi" w:eastAsiaTheme="minorHAnsi" w:hAnsiTheme="minorHAnsi" w:cstheme="minorBidi"/>
                <w:sz w:val="24"/>
                <w:szCs w:val="24"/>
                <w:lang w:eastAsia="en-US"/>
              </w:rPr>
              <w:t>od njih iznos nije veći od 100.000 eura</w:t>
            </w:r>
            <w:r w:rsidR="00A67161">
              <w:rPr>
                <w:rFonts w:asciiTheme="minorHAnsi" w:eastAsiaTheme="minorHAnsi" w:hAnsiTheme="minorHAnsi" w:cstheme="minorBidi"/>
                <w:sz w:val="24"/>
                <w:szCs w:val="24"/>
                <w:lang w:eastAsia="en-US"/>
              </w:rPr>
              <w:t xml:space="preserve">, </w:t>
            </w:r>
            <w:r w:rsidR="007F55C1" w:rsidRPr="001D5903">
              <w:rPr>
                <w:rFonts w:asciiTheme="minorHAnsi" w:eastAsiaTheme="minorHAnsi" w:hAnsiTheme="minorHAnsi" w:cstheme="minorBidi"/>
                <w:sz w:val="24"/>
                <w:szCs w:val="24"/>
                <w:lang w:eastAsia="en-US"/>
              </w:rPr>
              <w:t xml:space="preserve">tada su </w:t>
            </w:r>
            <w:r w:rsidR="00A67161">
              <w:rPr>
                <w:rFonts w:asciiTheme="minorHAnsi" w:eastAsiaTheme="minorHAnsi" w:hAnsiTheme="minorHAnsi" w:cstheme="minorBidi"/>
                <w:sz w:val="24"/>
                <w:szCs w:val="24"/>
                <w:lang w:eastAsia="en-US"/>
              </w:rPr>
              <w:t xml:space="preserve">svi </w:t>
            </w:r>
            <w:r w:rsidR="007F55C1" w:rsidRPr="001D5903">
              <w:rPr>
                <w:rFonts w:asciiTheme="minorHAnsi" w:eastAsiaTheme="minorHAnsi" w:hAnsiTheme="minorHAnsi" w:cstheme="minorBidi"/>
                <w:sz w:val="24"/>
                <w:szCs w:val="24"/>
                <w:lang w:eastAsia="en-US"/>
              </w:rPr>
              <w:t xml:space="preserve">njegovi depoziti </w:t>
            </w:r>
            <w:r w:rsidR="00A67161">
              <w:rPr>
                <w:rFonts w:asciiTheme="minorHAnsi" w:eastAsiaTheme="minorHAnsi" w:hAnsiTheme="minorHAnsi" w:cstheme="minorBidi"/>
                <w:sz w:val="24"/>
                <w:szCs w:val="24"/>
                <w:lang w:eastAsia="en-US"/>
              </w:rPr>
              <w:t xml:space="preserve">(načelno) </w:t>
            </w:r>
            <w:r w:rsidR="007F55C1" w:rsidRPr="001D5903">
              <w:rPr>
                <w:rFonts w:asciiTheme="minorHAnsi" w:eastAsiaTheme="minorHAnsi" w:hAnsiTheme="minorHAnsi" w:cstheme="minorBidi"/>
                <w:sz w:val="24"/>
                <w:szCs w:val="24"/>
                <w:lang w:eastAsia="en-US"/>
              </w:rPr>
              <w:t xml:space="preserve">osigurani. </w:t>
            </w:r>
          </w:p>
          <w:p w:rsidR="001D5903" w:rsidRDefault="007F55C1" w:rsidP="00B51872">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 xml:space="preserve">Situacije povlačenja depozita iz banaka, kao i situacije restriktivnijih monetarnih uvjeta poskupljuju izvore financiranja banaka (npr. one štedišama trebaju ponuditi veće kamatne stope na </w:t>
            </w:r>
            <w:r w:rsidR="00CF2DD9" w:rsidRPr="001D5903">
              <w:rPr>
                <w:rFonts w:asciiTheme="minorHAnsi" w:eastAsiaTheme="minorHAnsi" w:hAnsiTheme="minorHAnsi" w:cstheme="minorBidi"/>
                <w:sz w:val="24"/>
                <w:szCs w:val="24"/>
                <w:lang w:eastAsia="en-US"/>
              </w:rPr>
              <w:t xml:space="preserve">novu </w:t>
            </w:r>
            <w:r w:rsidRPr="001D5903">
              <w:rPr>
                <w:rFonts w:asciiTheme="minorHAnsi" w:eastAsiaTheme="minorHAnsi" w:hAnsiTheme="minorHAnsi" w:cstheme="minorBidi"/>
                <w:sz w:val="24"/>
                <w:szCs w:val="24"/>
                <w:lang w:eastAsia="en-US"/>
              </w:rPr>
              <w:t>oročenu štednju te ih većim kamatnjacima na duže rokove oročenja stimuliraju da povećaju ročnost dostupnih izvora financiranja banaka). Posljedica rasta pasivnih kamatnih stopa banka (na njihove izvore sredstava) je rast kamatnih stopa na plasmane banaka (tzv. aktivnih kamatnjaka) pa u tom slučaju kod kredita odobrenih s promjenjivom kamatnom stopom dolazi do povećanja mjesečnih anuiteta (rata) otplate kredita.</w:t>
            </w:r>
            <w:r w:rsidR="00CF2DD9" w:rsidRPr="001D5903">
              <w:rPr>
                <w:rFonts w:asciiTheme="minorHAnsi" w:eastAsiaTheme="minorHAnsi" w:hAnsiTheme="minorHAnsi" w:cstheme="minorBidi"/>
                <w:sz w:val="24"/>
                <w:szCs w:val="24"/>
                <w:lang w:eastAsia="en-US"/>
              </w:rPr>
              <w:t xml:space="preserve"> </w:t>
            </w:r>
            <w:r w:rsidR="00CF2DD9" w:rsidRPr="001D5903">
              <w:rPr>
                <w:rFonts w:asciiTheme="minorHAnsi" w:eastAsiaTheme="minorHAnsi" w:hAnsiTheme="minorHAnsi" w:cstheme="minorBidi"/>
                <w:color w:val="C00000"/>
                <w:sz w:val="24"/>
                <w:szCs w:val="24"/>
                <w:lang w:eastAsia="en-US"/>
              </w:rPr>
              <w:t>Kamatni rizik banke tako se gotovo u cijelosti prenosi na dužnika</w:t>
            </w:r>
            <w:r w:rsidR="00CF2DD9" w:rsidRPr="001D5903">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 xml:space="preserve"> S obzirom da je cijena izvora financiranja banaka </w:t>
            </w:r>
            <w:r w:rsidR="00CF2DD9" w:rsidRPr="001D5903">
              <w:rPr>
                <w:rFonts w:asciiTheme="minorHAnsi" w:eastAsiaTheme="minorHAnsi" w:hAnsiTheme="minorHAnsi" w:cstheme="minorBidi"/>
                <w:sz w:val="24"/>
                <w:szCs w:val="24"/>
                <w:lang w:eastAsia="en-US"/>
              </w:rPr>
              <w:t>značajnim dijelom promjenjiva, banke preferiraju odobravanje kredita uz promjenjivu (tržišno uvjetovanu) kamatnu stopu. Kada banke posluju u okruženju s mogućom većom volatilnošću kamatnjaka, krediti s fiksnom kamatnom stopom stoga su rijetki ili uobičajeno skuplji</w:t>
            </w:r>
            <w:r w:rsidR="00B51872">
              <w:rPr>
                <w:rFonts w:asciiTheme="minorHAnsi" w:eastAsiaTheme="minorHAnsi" w:hAnsiTheme="minorHAnsi" w:cstheme="minorBidi"/>
                <w:sz w:val="24"/>
                <w:szCs w:val="24"/>
                <w:lang w:eastAsia="en-US"/>
              </w:rPr>
              <w:t xml:space="preserve"> (uključuju vjerojatnost buduće rasta kamatnih stopa iako u danom trenutku visoka likvidnost može podržati i niže promjenjive kamatnjake)</w:t>
            </w:r>
            <w:r w:rsidR="00CF2DD9" w:rsidRPr="001D5903">
              <w:rPr>
                <w:rFonts w:asciiTheme="minorHAnsi" w:eastAsiaTheme="minorHAnsi" w:hAnsiTheme="minorHAnsi" w:cstheme="minorBidi"/>
                <w:sz w:val="24"/>
                <w:szCs w:val="24"/>
                <w:lang w:eastAsia="en-US"/>
              </w:rPr>
              <w:t xml:space="preserve">. </w:t>
            </w:r>
          </w:p>
          <w:p w:rsidR="001D5903" w:rsidRDefault="00CF2DD9" w:rsidP="00B51872">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Na sličan način treba promatrati i valutnu izloženost banaka, npr. ukoliko kuna deprecira prema određenoj stranoj valuti kao što je švicarski franak, bank</w:t>
            </w:r>
            <w:r w:rsidR="009511BE">
              <w:rPr>
                <w:rFonts w:asciiTheme="minorHAnsi" w:eastAsiaTheme="minorHAnsi" w:hAnsiTheme="minorHAnsi" w:cstheme="minorBidi"/>
                <w:sz w:val="24"/>
                <w:szCs w:val="24"/>
                <w:lang w:eastAsia="en-US"/>
              </w:rPr>
              <w:t>e</w:t>
            </w:r>
            <w:r w:rsidRPr="001D5903">
              <w:rPr>
                <w:rFonts w:asciiTheme="minorHAnsi" w:eastAsiaTheme="minorHAnsi" w:hAnsiTheme="minorHAnsi" w:cstheme="minorBidi"/>
                <w:sz w:val="24"/>
                <w:szCs w:val="24"/>
                <w:lang w:eastAsia="en-US"/>
              </w:rPr>
              <w:t xml:space="preserve"> u tom slučaju štedišama </w:t>
            </w:r>
            <w:r w:rsidR="009511BE">
              <w:rPr>
                <w:rFonts w:asciiTheme="minorHAnsi" w:eastAsiaTheme="minorHAnsi" w:hAnsiTheme="minorHAnsi" w:cstheme="minorBidi"/>
                <w:sz w:val="24"/>
                <w:szCs w:val="24"/>
                <w:lang w:eastAsia="en-US"/>
              </w:rPr>
              <w:t xml:space="preserve">čija je štednja u CHF </w:t>
            </w:r>
            <w:r w:rsidRPr="001D5903">
              <w:rPr>
                <w:rFonts w:asciiTheme="minorHAnsi" w:eastAsiaTheme="minorHAnsi" w:hAnsiTheme="minorHAnsi" w:cstheme="minorBidi"/>
                <w:sz w:val="24"/>
                <w:szCs w:val="24"/>
                <w:lang w:eastAsia="en-US"/>
              </w:rPr>
              <w:t>treba</w:t>
            </w:r>
            <w:r w:rsidR="009511BE">
              <w:rPr>
                <w:rFonts w:asciiTheme="minorHAnsi" w:eastAsiaTheme="minorHAnsi" w:hAnsiTheme="minorHAnsi" w:cstheme="minorBidi"/>
                <w:sz w:val="24"/>
                <w:szCs w:val="24"/>
                <w:lang w:eastAsia="en-US"/>
              </w:rPr>
              <w:t>ju</w:t>
            </w:r>
            <w:r w:rsidRPr="001D5903">
              <w:rPr>
                <w:rFonts w:asciiTheme="minorHAnsi" w:eastAsiaTheme="minorHAnsi" w:hAnsiTheme="minorHAnsi" w:cstheme="minorBidi"/>
                <w:sz w:val="24"/>
                <w:szCs w:val="24"/>
                <w:lang w:eastAsia="en-US"/>
              </w:rPr>
              <w:t xml:space="preserve"> isplatiti veći iznos kuna </w:t>
            </w:r>
            <w:r w:rsidR="009511BE">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za 1 CHF</w:t>
            </w:r>
            <w:r w:rsidR="009511BE">
              <w:rPr>
                <w:rFonts w:asciiTheme="minorHAnsi" w:eastAsiaTheme="minorHAnsi" w:hAnsiTheme="minorHAnsi" w:cstheme="minorBidi"/>
                <w:sz w:val="24"/>
                <w:szCs w:val="24"/>
                <w:lang w:eastAsia="en-US"/>
              </w:rPr>
              <w:t xml:space="preserve">), dok bi uz primjenu tržišnog tečaja trebale naplatiti i </w:t>
            </w:r>
            <w:r w:rsidRPr="001D5903">
              <w:rPr>
                <w:rFonts w:asciiTheme="minorHAnsi" w:eastAsiaTheme="minorHAnsi" w:hAnsiTheme="minorHAnsi" w:cstheme="minorBidi"/>
                <w:sz w:val="24"/>
                <w:szCs w:val="24"/>
                <w:lang w:eastAsia="en-US"/>
              </w:rPr>
              <w:t xml:space="preserve">veći iznos kuna od dužnika s kreditima koji su indeksirani u CHF. Isto vrijedi i u slučaju eurskih depozita i kredita indeksiranih u eurima, ali je tečajni rizik </w:t>
            </w:r>
            <w:r w:rsidR="00B51872">
              <w:rPr>
                <w:rFonts w:asciiTheme="minorHAnsi" w:eastAsiaTheme="minorHAnsi" w:hAnsiTheme="minorHAnsi" w:cstheme="minorBidi"/>
                <w:sz w:val="24"/>
                <w:szCs w:val="24"/>
                <w:lang w:eastAsia="en-US"/>
              </w:rPr>
              <w:t xml:space="preserve">kod dužnika </w:t>
            </w:r>
            <w:r w:rsidRPr="001D5903">
              <w:rPr>
                <w:rFonts w:asciiTheme="minorHAnsi" w:eastAsiaTheme="minorHAnsi" w:hAnsiTheme="minorHAnsi" w:cstheme="minorBidi"/>
                <w:sz w:val="24"/>
                <w:szCs w:val="24"/>
                <w:lang w:eastAsia="en-US"/>
              </w:rPr>
              <w:t>relativno manj</w:t>
            </w:r>
            <w:r w:rsidR="009511BE">
              <w:rPr>
                <w:rFonts w:asciiTheme="minorHAnsi" w:eastAsiaTheme="minorHAnsi" w:hAnsiTheme="minorHAnsi" w:cstheme="minorBidi"/>
                <w:sz w:val="24"/>
                <w:szCs w:val="24"/>
                <w:lang w:eastAsia="en-US"/>
              </w:rPr>
              <w:t>e izražen</w:t>
            </w:r>
            <w:r w:rsidRPr="001D5903">
              <w:rPr>
                <w:rFonts w:asciiTheme="minorHAnsi" w:eastAsiaTheme="minorHAnsi" w:hAnsiTheme="minorHAnsi" w:cstheme="minorBidi"/>
                <w:sz w:val="24"/>
                <w:szCs w:val="24"/>
                <w:lang w:eastAsia="en-US"/>
              </w:rPr>
              <w:t xml:space="preserve"> jer HNB brani stabilnost tečaja kune u odnosu na euro. No, i u ovom slučaju </w:t>
            </w:r>
            <w:r w:rsidRPr="001D5903">
              <w:rPr>
                <w:rFonts w:asciiTheme="minorHAnsi" w:eastAsiaTheme="minorHAnsi" w:hAnsiTheme="minorHAnsi" w:cstheme="minorBidi"/>
                <w:color w:val="C00000"/>
                <w:sz w:val="24"/>
                <w:szCs w:val="24"/>
                <w:lang w:eastAsia="en-US"/>
              </w:rPr>
              <w:t>valutni rizik banke je prenes</w:t>
            </w:r>
            <w:r w:rsidR="001D5903">
              <w:rPr>
                <w:rFonts w:asciiTheme="minorHAnsi" w:eastAsiaTheme="minorHAnsi" w:hAnsiTheme="minorHAnsi" w:cstheme="minorBidi"/>
                <w:color w:val="C00000"/>
                <w:sz w:val="24"/>
                <w:szCs w:val="24"/>
                <w:lang w:eastAsia="en-US"/>
              </w:rPr>
              <w:t>en gotovo u cijelosti na dužnike</w:t>
            </w:r>
            <w:r w:rsidRPr="001D5903">
              <w:rPr>
                <w:rFonts w:asciiTheme="minorHAnsi" w:eastAsiaTheme="minorHAnsi" w:hAnsiTheme="minorHAnsi" w:cstheme="minorBidi"/>
                <w:color w:val="C00000"/>
                <w:sz w:val="24"/>
                <w:szCs w:val="24"/>
                <w:lang w:eastAsia="en-US"/>
              </w:rPr>
              <w:t xml:space="preserve"> čije su obveze prema banci valutno indeksirane</w:t>
            </w:r>
            <w:r w:rsidRPr="001D5903">
              <w:rPr>
                <w:rFonts w:asciiTheme="minorHAnsi" w:eastAsiaTheme="minorHAnsi" w:hAnsiTheme="minorHAnsi" w:cstheme="minorBidi"/>
                <w:sz w:val="24"/>
                <w:szCs w:val="24"/>
                <w:lang w:eastAsia="en-US"/>
              </w:rPr>
              <w:t xml:space="preserve">. </w:t>
            </w:r>
          </w:p>
          <w:p w:rsidR="00B51872" w:rsidRDefault="00CF2DD9" w:rsidP="00B51872">
            <w:pPr>
              <w:tabs>
                <w:tab w:val="left" w:pos="3400"/>
              </w:tabs>
              <w:spacing w:before="80"/>
              <w:jc w:val="both"/>
              <w:rPr>
                <w:rFonts w:asciiTheme="minorHAnsi" w:eastAsiaTheme="minorHAnsi" w:hAnsiTheme="minorHAnsi" w:cstheme="minorBidi"/>
                <w:sz w:val="24"/>
                <w:szCs w:val="24"/>
                <w:lang w:eastAsia="en-US"/>
              </w:rPr>
            </w:pPr>
            <w:r w:rsidRPr="001D5903">
              <w:rPr>
                <w:rFonts w:asciiTheme="minorHAnsi" w:eastAsiaTheme="minorHAnsi" w:hAnsiTheme="minorHAnsi" w:cstheme="minorBidi"/>
                <w:sz w:val="24"/>
                <w:szCs w:val="24"/>
                <w:lang w:eastAsia="en-US"/>
              </w:rPr>
              <w:t>Poštujući regulativu o upravljanju kamatnim rizicima te valutnim rizikom</w:t>
            </w:r>
            <w:r w:rsidR="009511BE">
              <w:rPr>
                <w:rFonts w:asciiTheme="minorHAnsi" w:eastAsiaTheme="minorHAnsi" w:hAnsiTheme="minorHAnsi" w:cstheme="minorBidi"/>
                <w:sz w:val="24"/>
                <w:szCs w:val="24"/>
                <w:lang w:eastAsia="en-US"/>
              </w:rPr>
              <w:t>,</w:t>
            </w:r>
            <w:r w:rsidRPr="001D5903">
              <w:rPr>
                <w:rFonts w:asciiTheme="minorHAnsi" w:eastAsiaTheme="minorHAnsi" w:hAnsiTheme="minorHAnsi" w:cstheme="minorBidi"/>
                <w:sz w:val="24"/>
                <w:szCs w:val="24"/>
                <w:lang w:eastAsia="en-US"/>
              </w:rPr>
              <w:t xml:space="preserve"> banke u RH postižu vrlo visok stupanj bilančne usklađenosti ili po potrebi u tu svrhu koriste financijske izvedenice </w:t>
            </w:r>
            <w:r w:rsidR="009511BE">
              <w:rPr>
                <w:rFonts w:asciiTheme="minorHAnsi" w:eastAsiaTheme="minorHAnsi" w:hAnsiTheme="minorHAnsi" w:cstheme="minorBidi"/>
                <w:sz w:val="24"/>
                <w:szCs w:val="24"/>
                <w:lang w:eastAsia="en-US"/>
              </w:rPr>
              <w:t>kojima kroz izvanbilančne transakcije zatvaraju otvorene pozicije pa su s</w:t>
            </w:r>
            <w:r w:rsidRPr="001D5903">
              <w:rPr>
                <w:rFonts w:asciiTheme="minorHAnsi" w:eastAsiaTheme="minorHAnsi" w:hAnsiTheme="minorHAnsi" w:cstheme="minorBidi"/>
                <w:sz w:val="24"/>
                <w:szCs w:val="24"/>
                <w:lang w:eastAsia="en-US"/>
              </w:rPr>
              <w:t xml:space="preserve">toga </w:t>
            </w:r>
            <w:r w:rsidR="00B51872">
              <w:rPr>
                <w:rFonts w:asciiTheme="minorHAnsi" w:eastAsiaTheme="minorHAnsi" w:hAnsiTheme="minorHAnsi" w:cstheme="minorBidi"/>
                <w:sz w:val="24"/>
                <w:szCs w:val="24"/>
                <w:lang w:eastAsia="en-US"/>
              </w:rPr>
              <w:t xml:space="preserve">do kraja 2014. bile tipično </w:t>
            </w:r>
            <w:r w:rsidRPr="001D5903">
              <w:rPr>
                <w:rFonts w:asciiTheme="minorHAnsi" w:eastAsiaTheme="minorHAnsi" w:hAnsiTheme="minorHAnsi" w:cstheme="minorBidi"/>
                <w:sz w:val="24"/>
                <w:szCs w:val="24"/>
                <w:lang w:eastAsia="en-US"/>
              </w:rPr>
              <w:t>vrlo malo izložene kamatnom i valutnom riziku</w:t>
            </w:r>
            <w:r w:rsidR="00B51872">
              <w:rPr>
                <w:rFonts w:asciiTheme="minorHAnsi" w:eastAsiaTheme="minorHAnsi" w:hAnsiTheme="minorHAnsi" w:cstheme="minorBidi"/>
                <w:sz w:val="24"/>
                <w:szCs w:val="24"/>
                <w:lang w:eastAsia="en-US"/>
              </w:rPr>
              <w:t>, dok su određene zakonske promjene i prakse tijekom 2015. tu situaciju dijelom promijenile</w:t>
            </w:r>
            <w:r w:rsidRPr="001D5903">
              <w:rPr>
                <w:rFonts w:asciiTheme="minorHAnsi" w:eastAsiaTheme="minorHAnsi" w:hAnsiTheme="minorHAnsi" w:cstheme="minorBidi"/>
                <w:sz w:val="24"/>
                <w:szCs w:val="24"/>
                <w:lang w:eastAsia="en-US"/>
              </w:rPr>
              <w:t xml:space="preserve">. </w:t>
            </w:r>
          </w:p>
          <w:p w:rsidR="00144477" w:rsidRDefault="009511BE" w:rsidP="00ED70CF">
            <w:pPr>
              <w:tabs>
                <w:tab w:val="left" w:pos="3400"/>
              </w:tabs>
              <w:spacing w:before="80" w:after="80"/>
              <w:jc w:val="both"/>
              <w:rPr>
                <w:sz w:val="24"/>
                <w:szCs w:val="24"/>
              </w:rPr>
            </w:pPr>
            <w:r>
              <w:rPr>
                <w:rFonts w:asciiTheme="minorHAnsi" w:eastAsiaTheme="minorHAnsi" w:hAnsiTheme="minorHAnsi" w:cstheme="minorBidi"/>
                <w:sz w:val="24"/>
                <w:szCs w:val="24"/>
                <w:lang w:eastAsia="en-US"/>
              </w:rPr>
              <w:t>S druge strane zbog kredita indeksiranih u stranim valutama i neizvjesnosti budućih kretanja deviznih tečajeva za euro ili CHF, banke su z</w:t>
            </w:r>
            <w:r w:rsidRPr="001D5903">
              <w:rPr>
                <w:rFonts w:asciiTheme="minorHAnsi" w:eastAsiaTheme="minorHAnsi" w:hAnsiTheme="minorHAnsi" w:cstheme="minorBidi"/>
                <w:sz w:val="24"/>
                <w:szCs w:val="24"/>
                <w:lang w:eastAsia="en-US"/>
              </w:rPr>
              <w:t>načajno</w:t>
            </w:r>
            <w:r w:rsidR="00CF2DD9" w:rsidRPr="001D5903">
              <w:rPr>
                <w:rFonts w:asciiTheme="minorHAnsi" w:eastAsiaTheme="minorHAnsi" w:hAnsiTheme="minorHAnsi" w:cstheme="minorBidi"/>
                <w:sz w:val="24"/>
                <w:szCs w:val="24"/>
                <w:lang w:eastAsia="en-US"/>
              </w:rPr>
              <w:t xml:space="preserve"> su izložene tzv. </w:t>
            </w:r>
            <w:r w:rsidR="00CF2DD9" w:rsidRPr="001D5903">
              <w:rPr>
                <w:rFonts w:asciiTheme="minorHAnsi" w:eastAsiaTheme="minorHAnsi" w:hAnsiTheme="minorHAnsi" w:cstheme="minorBidi"/>
                <w:color w:val="C00000"/>
                <w:sz w:val="24"/>
                <w:szCs w:val="24"/>
                <w:lang w:eastAsia="en-US"/>
              </w:rPr>
              <w:t xml:space="preserve">valutno induciranom kreditnom riziku </w:t>
            </w:r>
            <w:r w:rsidR="00CF2DD9" w:rsidRPr="001D5903">
              <w:rPr>
                <w:rFonts w:asciiTheme="minorHAnsi" w:eastAsiaTheme="minorHAnsi" w:hAnsiTheme="minorHAnsi" w:cstheme="minorBidi"/>
                <w:sz w:val="24"/>
                <w:szCs w:val="24"/>
                <w:lang w:eastAsia="en-US"/>
              </w:rPr>
              <w:t xml:space="preserve">(VIKR-u) – riziku gubitaka u slučaju promjene deviznog tečaja u smjeru koji je otežava otplatu dospjelih obveza dužnika s kreditima odobrenim uz valutnu klauzulu. Krizne godine u RH stoga su bile popraćene </w:t>
            </w:r>
            <w:r w:rsidR="00E07263" w:rsidRPr="001D5903">
              <w:rPr>
                <w:rFonts w:asciiTheme="minorHAnsi" w:eastAsiaTheme="minorHAnsi" w:hAnsiTheme="minorHAnsi" w:cstheme="minorBidi"/>
                <w:sz w:val="24"/>
                <w:szCs w:val="24"/>
                <w:lang w:eastAsia="en-US"/>
              </w:rPr>
              <w:t>značajnom</w:t>
            </w:r>
            <w:r w:rsidR="00CF2DD9" w:rsidRPr="001D5903">
              <w:rPr>
                <w:rFonts w:asciiTheme="minorHAnsi" w:eastAsiaTheme="minorHAnsi" w:hAnsiTheme="minorHAnsi" w:cstheme="minorBidi"/>
                <w:sz w:val="24"/>
                <w:szCs w:val="24"/>
                <w:lang w:eastAsia="en-US"/>
              </w:rPr>
              <w:t xml:space="preserve"> </w:t>
            </w:r>
            <w:r w:rsidR="00E07263" w:rsidRPr="001D5903">
              <w:rPr>
                <w:rFonts w:asciiTheme="minorHAnsi" w:eastAsiaTheme="minorHAnsi" w:hAnsiTheme="minorHAnsi" w:cstheme="minorBidi"/>
                <w:sz w:val="24"/>
                <w:szCs w:val="24"/>
                <w:lang w:eastAsia="en-US"/>
              </w:rPr>
              <w:t>materijalizacijom</w:t>
            </w:r>
            <w:r w:rsidR="00CF2DD9" w:rsidRPr="001D5903">
              <w:rPr>
                <w:rFonts w:asciiTheme="minorHAnsi" w:eastAsiaTheme="minorHAnsi" w:hAnsiTheme="minorHAnsi" w:cstheme="minorBidi"/>
                <w:sz w:val="24"/>
                <w:szCs w:val="24"/>
                <w:lang w:eastAsia="en-US"/>
              </w:rPr>
              <w:t xml:space="preserve"> VIKR-a</w:t>
            </w:r>
            <w:r w:rsidR="00E07263" w:rsidRPr="001D5903">
              <w:rPr>
                <w:rFonts w:asciiTheme="minorHAnsi" w:eastAsiaTheme="minorHAnsi" w:hAnsiTheme="minorHAnsi" w:cstheme="minorBidi"/>
                <w:sz w:val="24"/>
                <w:szCs w:val="24"/>
                <w:lang w:eastAsia="en-US"/>
              </w:rPr>
              <w:t xml:space="preserve"> upravo kod kredita odobrenih s valutnom klauzulom u CHF jer je snažno jačanje švicarskog franka koje je povećalo kunsku protuvrijednost mjesečnih anuiteta (rata) otplate kredita onemogućilo brojne dužnike da uredno servisiraju svoje obveze</w:t>
            </w:r>
            <w:r w:rsidR="00FD0D0E">
              <w:rPr>
                <w:rFonts w:asciiTheme="minorHAnsi" w:eastAsiaTheme="minorHAnsi" w:hAnsiTheme="minorHAnsi" w:cstheme="minorBidi"/>
                <w:sz w:val="24"/>
                <w:szCs w:val="24"/>
                <w:lang w:eastAsia="en-US"/>
              </w:rPr>
              <w:t xml:space="preserve"> te nepovoljno utjecalo na pokazatelje poslovanja bankovnog sustava RH. </w:t>
            </w:r>
            <w:r w:rsidR="00FD0D0E" w:rsidRPr="00524838">
              <w:rPr>
                <w:rFonts w:asciiTheme="minorHAnsi" w:eastAsiaTheme="minorHAnsi" w:hAnsiTheme="minorHAnsi" w:cstheme="minorBidi"/>
                <w:sz w:val="24"/>
                <w:szCs w:val="24"/>
                <w:lang w:eastAsia="en-US"/>
              </w:rPr>
              <w:t xml:space="preserve">Rezultat svega opisanog su </w:t>
            </w:r>
            <w:r w:rsidR="00FD0D0E" w:rsidRPr="00FD0D0E">
              <w:rPr>
                <w:rFonts w:asciiTheme="minorHAnsi" w:eastAsiaTheme="minorHAnsi" w:hAnsiTheme="minorHAnsi" w:cstheme="minorBidi"/>
                <w:color w:val="C00000"/>
                <w:sz w:val="24"/>
                <w:szCs w:val="24"/>
                <w:lang w:eastAsia="en-US"/>
              </w:rPr>
              <w:t xml:space="preserve">s jedne strane značajni gubici </w:t>
            </w:r>
            <w:r w:rsidR="00524838">
              <w:rPr>
                <w:rFonts w:asciiTheme="minorHAnsi" w:eastAsiaTheme="minorHAnsi" w:hAnsiTheme="minorHAnsi" w:cstheme="minorBidi"/>
                <w:color w:val="C00000"/>
                <w:sz w:val="24"/>
                <w:szCs w:val="24"/>
                <w:lang w:eastAsia="en-US"/>
              </w:rPr>
              <w:t xml:space="preserve"> dužnika s kreditima u CHF</w:t>
            </w:r>
            <w:r w:rsidR="00FD0D0E" w:rsidRPr="00FD0D0E">
              <w:rPr>
                <w:rFonts w:asciiTheme="minorHAnsi" w:eastAsiaTheme="minorHAnsi" w:hAnsiTheme="minorHAnsi" w:cstheme="minorBidi"/>
                <w:color w:val="C00000"/>
                <w:sz w:val="24"/>
                <w:szCs w:val="24"/>
                <w:lang w:eastAsia="en-US"/>
              </w:rPr>
              <w:t xml:space="preserve">, s druge strane značajni gubici </w:t>
            </w:r>
            <w:r w:rsidR="00524838">
              <w:rPr>
                <w:rFonts w:asciiTheme="minorHAnsi" w:eastAsiaTheme="minorHAnsi" w:hAnsiTheme="minorHAnsi" w:cstheme="minorBidi"/>
                <w:color w:val="C00000"/>
                <w:sz w:val="24"/>
                <w:szCs w:val="24"/>
                <w:lang w:eastAsia="en-US"/>
              </w:rPr>
              <w:t>banaka</w:t>
            </w:r>
            <w:r w:rsidR="00FD0D0E" w:rsidRPr="00FD0D0E">
              <w:rPr>
                <w:rFonts w:asciiTheme="minorHAnsi" w:eastAsiaTheme="minorHAnsi" w:hAnsiTheme="minorHAnsi" w:cstheme="minorBidi"/>
                <w:color w:val="C00000"/>
                <w:sz w:val="24"/>
                <w:szCs w:val="24"/>
                <w:lang w:eastAsia="en-US"/>
              </w:rPr>
              <w:t>, a u konačnici na gubitku je i cijeli ekonomski sustav RH</w:t>
            </w:r>
            <w:r w:rsidR="00B51872">
              <w:rPr>
                <w:rFonts w:asciiTheme="minorHAnsi" w:eastAsiaTheme="minorHAnsi" w:hAnsiTheme="minorHAnsi" w:cstheme="minorBidi"/>
                <w:sz w:val="24"/>
                <w:szCs w:val="24"/>
                <w:lang w:eastAsia="en-US"/>
              </w:rPr>
              <w:t xml:space="preserve">, jer se veći </w:t>
            </w:r>
            <w:r w:rsidR="004528D9">
              <w:rPr>
                <w:rFonts w:asciiTheme="minorHAnsi" w:eastAsiaTheme="minorHAnsi" w:hAnsiTheme="minorHAnsi" w:cstheme="minorBidi"/>
                <w:sz w:val="24"/>
                <w:szCs w:val="24"/>
                <w:lang w:eastAsia="en-US"/>
              </w:rPr>
              <w:t xml:space="preserve">rizici i </w:t>
            </w:r>
            <w:r w:rsidR="00B51872">
              <w:rPr>
                <w:rFonts w:asciiTheme="minorHAnsi" w:eastAsiaTheme="minorHAnsi" w:hAnsiTheme="minorHAnsi" w:cstheme="minorBidi"/>
                <w:sz w:val="24"/>
                <w:szCs w:val="24"/>
                <w:lang w:eastAsia="en-US"/>
              </w:rPr>
              <w:t xml:space="preserve">troškovi poslovanja banaka </w:t>
            </w:r>
            <w:r w:rsidR="00ED70CF">
              <w:rPr>
                <w:rFonts w:asciiTheme="minorHAnsi" w:eastAsiaTheme="minorHAnsi" w:hAnsiTheme="minorHAnsi" w:cstheme="minorBidi"/>
                <w:sz w:val="24"/>
                <w:szCs w:val="24"/>
                <w:lang w:eastAsia="en-US"/>
              </w:rPr>
              <w:t xml:space="preserve">tipično </w:t>
            </w:r>
            <w:r w:rsidR="00B51872">
              <w:rPr>
                <w:rFonts w:asciiTheme="minorHAnsi" w:eastAsiaTheme="minorHAnsi" w:hAnsiTheme="minorHAnsi" w:cstheme="minorBidi"/>
                <w:sz w:val="24"/>
                <w:szCs w:val="24"/>
                <w:lang w:eastAsia="en-US"/>
              </w:rPr>
              <w:t xml:space="preserve">prelijevaju na </w:t>
            </w:r>
            <w:r w:rsidR="00ED70CF">
              <w:rPr>
                <w:rFonts w:asciiTheme="minorHAnsi" w:eastAsiaTheme="minorHAnsi" w:hAnsiTheme="minorHAnsi" w:cstheme="minorBidi"/>
                <w:sz w:val="24"/>
                <w:szCs w:val="24"/>
                <w:lang w:eastAsia="en-US"/>
              </w:rPr>
              <w:t xml:space="preserve">korisnike </w:t>
            </w:r>
            <w:r w:rsidR="00B51872">
              <w:rPr>
                <w:rFonts w:asciiTheme="minorHAnsi" w:eastAsiaTheme="minorHAnsi" w:hAnsiTheme="minorHAnsi" w:cstheme="minorBidi"/>
                <w:sz w:val="24"/>
                <w:szCs w:val="24"/>
                <w:lang w:eastAsia="en-US"/>
              </w:rPr>
              <w:t xml:space="preserve">proizvoda i usluga. </w:t>
            </w:r>
            <w:r w:rsidR="00FD0D0E" w:rsidRPr="00524838">
              <w:rPr>
                <w:rFonts w:asciiTheme="minorHAnsi" w:eastAsiaTheme="minorHAnsi" w:hAnsiTheme="minorHAnsi" w:cstheme="minorBidi"/>
                <w:sz w:val="24"/>
                <w:szCs w:val="24"/>
                <w:lang w:eastAsia="en-US"/>
              </w:rPr>
              <w:t xml:space="preserve"> </w:t>
            </w:r>
          </w:p>
        </w:tc>
      </w:tr>
      <w:tr w:rsidR="00174A21" w:rsidTr="005C62A7">
        <w:tc>
          <w:tcPr>
            <w:tcW w:w="9288" w:type="dxa"/>
            <w:gridSpan w:val="3"/>
            <w:shd w:val="clear" w:color="auto" w:fill="auto"/>
          </w:tcPr>
          <w:p w:rsidR="00174A21" w:rsidRPr="004A3373" w:rsidRDefault="00174A21" w:rsidP="004A3373">
            <w:pPr>
              <w:tabs>
                <w:tab w:val="left" w:pos="3400"/>
              </w:tabs>
              <w:spacing w:before="120"/>
              <w:jc w:val="both"/>
              <w:rPr>
                <w:sz w:val="24"/>
                <w:szCs w:val="24"/>
              </w:rPr>
            </w:pPr>
            <w:r>
              <w:rPr>
                <w:b/>
                <w:sz w:val="24"/>
                <w:szCs w:val="24"/>
              </w:rPr>
              <w:lastRenderedPageBreak/>
              <w:t>Osvrt na osiguranje depozita u Hrvatskoj</w:t>
            </w:r>
            <w:r w:rsidR="004A3373">
              <w:rPr>
                <w:b/>
                <w:sz w:val="24"/>
                <w:szCs w:val="24"/>
              </w:rPr>
              <w:t xml:space="preserve"> </w:t>
            </w:r>
            <w:r w:rsidR="004A3373" w:rsidRPr="004A3373">
              <w:rPr>
                <w:sz w:val="24"/>
                <w:szCs w:val="24"/>
              </w:rPr>
              <w:t>(preuzeto sa stranica DAB-a</w:t>
            </w:r>
            <w:r w:rsidR="00F622DD">
              <w:rPr>
                <w:sz w:val="24"/>
                <w:szCs w:val="24"/>
              </w:rPr>
              <w:t xml:space="preserve"> </w:t>
            </w:r>
            <w:r w:rsidR="007605CB">
              <w:rPr>
                <w:sz w:val="24"/>
                <w:szCs w:val="24"/>
              </w:rPr>
              <w:t>30</w:t>
            </w:r>
            <w:r w:rsidR="00F622DD">
              <w:rPr>
                <w:sz w:val="24"/>
                <w:szCs w:val="24"/>
              </w:rPr>
              <w:t>.9.2015.</w:t>
            </w:r>
            <w:r w:rsidR="004A3373" w:rsidRPr="004A3373">
              <w:rPr>
                <w:sz w:val="24"/>
                <w:szCs w:val="24"/>
              </w:rPr>
              <w:t>)</w:t>
            </w:r>
          </w:p>
          <w:p w:rsidR="00ED70CF" w:rsidRPr="005C62A7" w:rsidRDefault="00ED70CF" w:rsidP="007625F8">
            <w:pPr>
              <w:tabs>
                <w:tab w:val="left" w:pos="3400"/>
              </w:tabs>
              <w:spacing w:before="120" w:after="60" w:line="240" w:lineRule="atLeast"/>
              <w:jc w:val="both"/>
              <w:rPr>
                <w:rFonts w:asciiTheme="minorHAnsi" w:hAnsiTheme="minorHAnsi" w:cs="Arial"/>
                <w:color w:val="000000"/>
                <w:sz w:val="22"/>
                <w:szCs w:val="22"/>
              </w:rPr>
            </w:pPr>
            <w:r w:rsidRPr="005C62A7">
              <w:rPr>
                <w:rFonts w:asciiTheme="minorHAnsi" w:hAnsiTheme="minorHAnsi" w:cs="Arial"/>
                <w:color w:val="000000"/>
                <w:sz w:val="22"/>
                <w:szCs w:val="22"/>
              </w:rPr>
              <w:t xml:space="preserve">Sustav osiguranja depozita u Hrvatskoj ostvaruje se preko </w:t>
            </w:r>
            <w:r w:rsidR="004A3373" w:rsidRPr="005C62A7">
              <w:rPr>
                <w:rFonts w:asciiTheme="minorHAnsi" w:hAnsiTheme="minorHAnsi" w:cs="Arial"/>
                <w:color w:val="C00000"/>
                <w:sz w:val="22"/>
                <w:szCs w:val="22"/>
              </w:rPr>
              <w:t xml:space="preserve">Državne agencije za osiguranje štednih uloga i sanaciju banaka </w:t>
            </w:r>
            <w:r w:rsidRPr="005C62A7">
              <w:rPr>
                <w:rFonts w:asciiTheme="minorHAnsi" w:hAnsiTheme="minorHAnsi" w:cs="Arial"/>
                <w:color w:val="000000"/>
                <w:sz w:val="22"/>
                <w:szCs w:val="22"/>
              </w:rPr>
              <w:t>(popularno zvane</w:t>
            </w:r>
            <w:r w:rsidR="004A3373" w:rsidRPr="005C62A7">
              <w:rPr>
                <w:rFonts w:asciiTheme="minorHAnsi" w:hAnsiTheme="minorHAnsi" w:cs="Arial"/>
                <w:color w:val="000000"/>
                <w:sz w:val="22"/>
                <w:szCs w:val="22"/>
              </w:rPr>
              <w:t xml:space="preserve"> DAB)</w:t>
            </w:r>
            <w:r w:rsidRPr="005C62A7">
              <w:rPr>
                <w:rFonts w:asciiTheme="minorHAnsi" w:hAnsiTheme="minorHAnsi" w:cs="Arial"/>
                <w:color w:val="000000"/>
                <w:sz w:val="22"/>
                <w:szCs w:val="22"/>
              </w:rPr>
              <w:t xml:space="preserve">. </w:t>
            </w:r>
          </w:p>
          <w:p w:rsidR="0026114C" w:rsidRPr="005C62A7" w:rsidRDefault="00ED70CF" w:rsidP="00C86D78">
            <w:pPr>
              <w:pStyle w:val="Odlomakpopisa"/>
              <w:numPr>
                <w:ilvl w:val="0"/>
                <w:numId w:val="113"/>
              </w:num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F622DD" w:rsidRPr="005C62A7">
              <w:rPr>
                <w:rFonts w:asciiTheme="minorHAnsi" w:hAnsiTheme="minorHAnsi" w:cs="Arial"/>
                <w:i/>
                <w:color w:val="000000"/>
                <w:sz w:val="22"/>
                <w:szCs w:val="22"/>
              </w:rPr>
              <w:t xml:space="preserve">Osnovna uloga Agencije je zaštita građana, odnosno fizičkih osoba, malih poduzetnika i neprofitnih organizacija </w:t>
            </w:r>
            <w:r w:rsidR="00F622DD" w:rsidRPr="005C62A7">
              <w:rPr>
                <w:rFonts w:asciiTheme="minorHAnsi" w:hAnsiTheme="minorHAnsi" w:cs="Arial"/>
                <w:i/>
                <w:color w:val="C00000"/>
                <w:sz w:val="22"/>
                <w:szCs w:val="22"/>
              </w:rPr>
              <w:t>od gubitka depozita u slučaju propasti kreditne institucije u kojoj su njihova sredstva deponirana</w:t>
            </w:r>
            <w:r w:rsidR="00F622DD" w:rsidRPr="005C62A7">
              <w:rPr>
                <w:rFonts w:asciiTheme="minorHAnsi" w:hAnsiTheme="minorHAnsi" w:cs="Arial"/>
                <w:i/>
                <w:color w:val="000000"/>
                <w:sz w:val="22"/>
                <w:szCs w:val="22"/>
              </w:rPr>
              <w:t>.</w:t>
            </w:r>
            <w:r w:rsidRPr="005C62A7">
              <w:rPr>
                <w:rFonts w:asciiTheme="minorHAnsi" w:hAnsiTheme="minorHAnsi" w:cs="Arial"/>
                <w:i/>
                <w:color w:val="000000"/>
                <w:sz w:val="22"/>
                <w:szCs w:val="22"/>
              </w:rPr>
              <w:t>“*</w:t>
            </w:r>
            <w:r w:rsidR="00F622DD" w:rsidRPr="005C62A7">
              <w:rPr>
                <w:rFonts w:asciiTheme="minorHAnsi" w:hAnsiTheme="minorHAnsi" w:cs="Arial"/>
                <w:i/>
                <w:color w:val="000000"/>
                <w:sz w:val="22"/>
                <w:szCs w:val="22"/>
              </w:rPr>
              <w:t xml:space="preserve"> </w:t>
            </w:r>
            <w:r w:rsidR="00FC2EA0">
              <w:rPr>
                <w:rFonts w:asciiTheme="minorHAnsi" w:hAnsiTheme="minorHAnsi" w:cs="Arial"/>
                <w:i/>
                <w:color w:val="000000"/>
                <w:sz w:val="22"/>
                <w:szCs w:val="22"/>
              </w:rPr>
              <w:t xml:space="preserve">(Prema izmjeni zakonske regulative uključit će i </w:t>
            </w:r>
          </w:p>
          <w:p w:rsidR="00F622DD" w:rsidRPr="005C62A7" w:rsidRDefault="0026114C" w:rsidP="00C86D78">
            <w:pPr>
              <w:pStyle w:val="Odlomakpopisa"/>
              <w:numPr>
                <w:ilvl w:val="0"/>
                <w:numId w:val="113"/>
              </w:num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307242" w:rsidRPr="005C62A7">
              <w:rPr>
                <w:rFonts w:asciiTheme="minorHAnsi" w:hAnsiTheme="minorHAnsi" w:cs="Arial"/>
                <w:i/>
                <w:color w:val="000000"/>
                <w:sz w:val="22"/>
                <w:szCs w:val="22"/>
              </w:rPr>
              <w:t>N</w:t>
            </w:r>
            <w:r w:rsidR="007605CB" w:rsidRPr="005C62A7">
              <w:rPr>
                <w:rFonts w:asciiTheme="minorHAnsi" w:hAnsiTheme="minorHAnsi" w:cs="Arial"/>
                <w:i/>
                <w:color w:val="000000"/>
                <w:sz w:val="22"/>
                <w:szCs w:val="22"/>
              </w:rPr>
              <w:t>aime, u slučaju propasti kreditne institucije, navedeni deponenti ne moraju čekati završetak dugotrajnog stečajnog postupka, već ih Agencija isplaćuje iz Fonda osiguranja depozita te umjesto njih potraž</w:t>
            </w:r>
            <w:r w:rsidRPr="005C62A7">
              <w:rPr>
                <w:rFonts w:asciiTheme="minorHAnsi" w:hAnsiTheme="minorHAnsi" w:cs="Arial"/>
                <w:i/>
                <w:color w:val="000000"/>
                <w:sz w:val="22"/>
                <w:szCs w:val="22"/>
              </w:rPr>
              <w:t>uje sredstva iz stečajne mase.“**</w:t>
            </w:r>
          </w:p>
          <w:p w:rsidR="007611F7" w:rsidRPr="005C62A7" w:rsidRDefault="0026114C" w:rsidP="007625F8">
            <w:p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7611F7" w:rsidRPr="00B37188">
              <w:rPr>
                <w:rFonts w:asciiTheme="minorHAnsi" w:hAnsiTheme="minorHAnsi" w:cs="Arial"/>
                <w:i/>
                <w:color w:val="C00000"/>
                <w:sz w:val="22"/>
                <w:szCs w:val="22"/>
              </w:rPr>
              <w:t xml:space="preserve">Kreditna institucija je banka, štedna banka ili stambena štedionica </w:t>
            </w:r>
            <w:r w:rsidR="007611F7" w:rsidRPr="005C62A7">
              <w:rPr>
                <w:rFonts w:asciiTheme="minorHAnsi" w:hAnsiTheme="minorHAnsi" w:cs="Arial"/>
                <w:i/>
                <w:color w:val="000000"/>
                <w:sz w:val="22"/>
                <w:szCs w:val="22"/>
              </w:rPr>
              <w:t>sa sjedištem u Republici Hrvatskoj i podružnica kreditne institucije sa sjedištem izvan Republike Hrvatske koja pruža usluge na području Republike Hrvatske.</w:t>
            </w:r>
            <w:r w:rsidRPr="005C62A7">
              <w:rPr>
                <w:rFonts w:asciiTheme="minorHAnsi" w:hAnsiTheme="minorHAnsi" w:cs="Arial"/>
                <w:i/>
                <w:color w:val="000000"/>
                <w:sz w:val="22"/>
                <w:szCs w:val="22"/>
              </w:rPr>
              <w:t>“**</w:t>
            </w:r>
          </w:p>
          <w:p w:rsidR="00F622DD" w:rsidRPr="005C62A7" w:rsidRDefault="00ED70CF" w:rsidP="00C86D78">
            <w:pPr>
              <w:pStyle w:val="Odlomakpopisa"/>
              <w:numPr>
                <w:ilvl w:val="0"/>
                <w:numId w:val="114"/>
              </w:numPr>
              <w:tabs>
                <w:tab w:val="left" w:pos="3400"/>
              </w:tabs>
              <w:spacing w:after="60" w:line="240" w:lineRule="atLeast"/>
              <w:jc w:val="both"/>
              <w:rPr>
                <w:rFonts w:asciiTheme="minorHAnsi" w:hAnsiTheme="minorHAnsi" w:cs="Arial"/>
                <w:i/>
                <w:sz w:val="22"/>
                <w:szCs w:val="22"/>
              </w:rPr>
            </w:pPr>
            <w:r w:rsidRPr="005C62A7">
              <w:rPr>
                <w:rFonts w:asciiTheme="minorHAnsi" w:hAnsiTheme="minorHAnsi" w:cs="Arial"/>
                <w:i/>
                <w:color w:val="000000"/>
                <w:sz w:val="22"/>
                <w:szCs w:val="22"/>
              </w:rPr>
              <w:t>„</w:t>
            </w:r>
            <w:r w:rsidR="00F622DD" w:rsidRPr="005C62A7">
              <w:rPr>
                <w:rFonts w:asciiTheme="minorHAnsi" w:hAnsiTheme="minorHAnsi" w:cs="Arial"/>
                <w:i/>
                <w:sz w:val="22"/>
                <w:szCs w:val="22"/>
              </w:rPr>
              <w:t>Osiguran je iznos koji je deponent imao u kreditnoj instituciji u trenutku kada ona to više nije bila u mogućnosti isplatiti, a</w:t>
            </w:r>
            <w:r w:rsidR="00F622DD" w:rsidRPr="005C62A7">
              <w:rPr>
                <w:rFonts w:asciiTheme="minorHAnsi" w:hAnsiTheme="minorHAnsi" w:cs="Arial"/>
                <w:i/>
                <w:color w:val="C00000"/>
                <w:sz w:val="22"/>
                <w:szCs w:val="22"/>
              </w:rPr>
              <w:t xml:space="preserve"> maksimalno do 100.000 eura u kunskoj protuvrijednosti </w:t>
            </w:r>
            <w:r w:rsidR="00F622DD" w:rsidRPr="005C62A7">
              <w:rPr>
                <w:rFonts w:asciiTheme="minorHAnsi" w:hAnsiTheme="minorHAnsi" w:cs="Arial"/>
                <w:i/>
                <w:sz w:val="22"/>
                <w:szCs w:val="22"/>
              </w:rPr>
              <w:t>po srednjem tečaju HNB-a na dan kada HNB proglasi nedostupnost depozita.</w:t>
            </w:r>
            <w:r w:rsidRPr="005C62A7">
              <w:rPr>
                <w:rFonts w:asciiTheme="minorHAnsi" w:hAnsiTheme="minorHAnsi" w:cs="Arial"/>
                <w:i/>
                <w:sz w:val="22"/>
                <w:szCs w:val="22"/>
              </w:rPr>
              <w:t>“*</w:t>
            </w:r>
          </w:p>
          <w:p w:rsidR="007605CB" w:rsidRPr="005C62A7" w:rsidRDefault="0026114C" w:rsidP="00C86D78">
            <w:pPr>
              <w:pStyle w:val="Odlomakpopisa"/>
              <w:numPr>
                <w:ilvl w:val="0"/>
                <w:numId w:val="114"/>
              </w:num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7605CB" w:rsidRPr="005C62A7">
              <w:rPr>
                <w:rFonts w:asciiTheme="minorHAnsi" w:hAnsiTheme="minorHAnsi" w:cs="Arial"/>
                <w:i/>
                <w:color w:val="000000"/>
                <w:sz w:val="22"/>
                <w:szCs w:val="22"/>
              </w:rPr>
              <w:t xml:space="preserve">Hrvatski sustav osiguranja depozita aktivira se nastupom osiguranog slučaja. </w:t>
            </w:r>
            <w:r w:rsidR="007605CB" w:rsidRPr="005C62A7">
              <w:rPr>
                <w:rFonts w:asciiTheme="minorHAnsi" w:hAnsiTheme="minorHAnsi" w:cs="Arial"/>
                <w:i/>
                <w:color w:val="C00000"/>
                <w:sz w:val="22"/>
                <w:szCs w:val="22"/>
              </w:rPr>
              <w:t xml:space="preserve">Osigurani slučaj </w:t>
            </w:r>
            <w:r w:rsidR="007605CB" w:rsidRPr="005C62A7">
              <w:rPr>
                <w:rFonts w:asciiTheme="minorHAnsi" w:hAnsiTheme="minorHAnsi" w:cs="Arial"/>
                <w:i/>
                <w:color w:val="000000"/>
                <w:sz w:val="22"/>
                <w:szCs w:val="22"/>
              </w:rPr>
              <w:t>nastupa kada Hrvatska narodna banka kreditnoj instituciji dostavi rješenje o nedostupnosti depozita kojim se utvrđuje da kreditna institucija zbog svoje financijske situacije ne može, niti će uskoro moći, isplatiti dospjele depozite, ili kada nadležni sud donese rješenje o otvaranju stečajnog postupka nad kreditnom institucijom.</w:t>
            </w:r>
            <w:r w:rsidRPr="005C62A7">
              <w:rPr>
                <w:rFonts w:asciiTheme="minorHAnsi" w:hAnsiTheme="minorHAnsi" w:cs="Arial"/>
                <w:i/>
                <w:color w:val="000000"/>
                <w:sz w:val="22"/>
                <w:szCs w:val="22"/>
              </w:rPr>
              <w:t>“**</w:t>
            </w:r>
          </w:p>
          <w:p w:rsidR="007605CB" w:rsidRPr="005C62A7" w:rsidRDefault="0026114C" w:rsidP="00C86D78">
            <w:pPr>
              <w:pStyle w:val="Odlomakpopisa"/>
              <w:numPr>
                <w:ilvl w:val="0"/>
                <w:numId w:val="114"/>
              </w:numPr>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C00000"/>
                <w:sz w:val="22"/>
                <w:szCs w:val="22"/>
              </w:rPr>
              <w:t>„</w:t>
            </w:r>
            <w:r w:rsidR="007605CB" w:rsidRPr="005C62A7">
              <w:rPr>
                <w:rFonts w:asciiTheme="minorHAnsi" w:hAnsiTheme="minorHAnsi" w:cs="Arial"/>
                <w:i/>
                <w:color w:val="C00000"/>
                <w:sz w:val="22"/>
                <w:szCs w:val="22"/>
              </w:rPr>
              <w:t>Obeštećenje</w:t>
            </w:r>
            <w:r w:rsidR="007605CB" w:rsidRPr="005C62A7">
              <w:rPr>
                <w:rFonts w:asciiTheme="minorHAnsi" w:hAnsiTheme="minorHAnsi" w:cs="Arial"/>
                <w:i/>
                <w:color w:val="000000"/>
                <w:sz w:val="22"/>
                <w:szCs w:val="22"/>
              </w:rPr>
              <w:t xml:space="preserve"> predstavlja iznos koji Agencija isplaćuje fizičkim osobama, malim poduzetnicima, trgovačkim društvima nerezidentima i neprofitnim institucijama nastupom osiguranog slučaja. On se utvrđuje </w:t>
            </w:r>
            <w:r w:rsidR="007605CB" w:rsidRPr="005C62A7">
              <w:rPr>
                <w:rFonts w:asciiTheme="minorHAnsi" w:hAnsiTheme="minorHAnsi" w:cs="Arial"/>
                <w:i/>
                <w:color w:val="C00000"/>
                <w:sz w:val="22"/>
                <w:szCs w:val="22"/>
              </w:rPr>
              <w:t>nakon prebijanja ukupnih depozita i ukupnih dospjelih obveza deponenta prema kreditnoj instituciji na dan nastupa osiguranog slučaja</w:t>
            </w:r>
            <w:r w:rsidR="007605CB" w:rsidRPr="005C62A7">
              <w:rPr>
                <w:rFonts w:asciiTheme="minorHAnsi" w:hAnsiTheme="minorHAnsi" w:cs="Arial"/>
                <w:i/>
                <w:color w:val="000000"/>
                <w:sz w:val="22"/>
                <w:szCs w:val="22"/>
              </w:rPr>
              <w:t>.</w:t>
            </w:r>
            <w:r w:rsidRPr="005C62A7">
              <w:rPr>
                <w:rFonts w:asciiTheme="minorHAnsi" w:hAnsiTheme="minorHAnsi" w:cs="Arial"/>
                <w:i/>
                <w:color w:val="000000"/>
                <w:sz w:val="22"/>
                <w:szCs w:val="22"/>
              </w:rPr>
              <w:t>“**</w:t>
            </w:r>
          </w:p>
          <w:p w:rsidR="0026114C" w:rsidRPr="005C62A7" w:rsidRDefault="0026114C" w:rsidP="007625F8">
            <w:pPr>
              <w:shd w:val="clear" w:color="auto" w:fill="FFFFFF" w:themeFill="background1"/>
              <w:tabs>
                <w:tab w:val="left" w:pos="3400"/>
              </w:tabs>
              <w:spacing w:after="60" w:line="240" w:lineRule="atLeast"/>
              <w:jc w:val="both"/>
              <w:rPr>
                <w:rFonts w:asciiTheme="minorHAnsi" w:hAnsiTheme="minorHAnsi" w:cs="Arial"/>
                <w:i/>
                <w:color w:val="000000"/>
                <w:sz w:val="22"/>
                <w:szCs w:val="22"/>
                <w:shd w:val="clear" w:color="auto" w:fill="FFFFFF" w:themeFill="background1"/>
              </w:rPr>
            </w:pPr>
            <w:r w:rsidRPr="005C62A7">
              <w:rPr>
                <w:rFonts w:asciiTheme="minorHAnsi" w:hAnsiTheme="minorHAnsi" w:cs="Arial"/>
                <w:i/>
                <w:color w:val="000000"/>
                <w:sz w:val="22"/>
                <w:szCs w:val="22"/>
              </w:rPr>
              <w:t>„</w:t>
            </w:r>
            <w:r w:rsidR="00F622DD" w:rsidRPr="005C62A7">
              <w:rPr>
                <w:rFonts w:asciiTheme="minorHAnsi" w:hAnsiTheme="minorHAnsi" w:cs="Arial"/>
                <w:i/>
                <w:color w:val="000000"/>
                <w:sz w:val="22"/>
                <w:szCs w:val="22"/>
                <w:shd w:val="clear" w:color="auto" w:fill="FFFFFF" w:themeFill="background1"/>
              </w:rPr>
              <w:t>Sukladno</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sz w:val="22"/>
                <w:szCs w:val="22"/>
                <w:shd w:val="clear" w:color="auto" w:fill="FFFFFF" w:themeFill="background1"/>
              </w:rPr>
              <w:t>Zakonu o osiguranju depozita (ZOD-u)</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color w:val="000000"/>
                <w:sz w:val="22"/>
                <w:szCs w:val="22"/>
                <w:shd w:val="clear" w:color="auto" w:fill="FFFFFF" w:themeFill="background1"/>
              </w:rPr>
              <w:t xml:space="preserve">sve kreditne institucije registrirane u RH obvezne su biti članice </w:t>
            </w:r>
            <w:r w:rsidR="00F622DD" w:rsidRPr="005C62A7">
              <w:rPr>
                <w:rFonts w:asciiTheme="minorHAnsi" w:hAnsiTheme="minorHAnsi" w:cs="Arial"/>
                <w:i/>
                <w:sz w:val="22"/>
                <w:szCs w:val="22"/>
                <w:shd w:val="clear" w:color="auto" w:fill="FFFFFF" w:themeFill="background1"/>
              </w:rPr>
              <w:t>sustava osiguranja depozita</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color w:val="000000"/>
                <w:sz w:val="22"/>
                <w:szCs w:val="22"/>
                <w:shd w:val="clear" w:color="auto" w:fill="FFFFFF" w:themeFill="background1"/>
              </w:rPr>
              <w:t>i ne smiju prikupljati</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sz w:val="22"/>
                <w:szCs w:val="22"/>
                <w:shd w:val="clear" w:color="auto" w:fill="FFFFFF" w:themeFill="background1"/>
              </w:rPr>
              <w:t>depozite</w:t>
            </w:r>
            <w:r w:rsidR="00F622DD" w:rsidRPr="005C62A7">
              <w:rPr>
                <w:rStyle w:val="apple-converted-space"/>
                <w:rFonts w:asciiTheme="minorHAnsi" w:hAnsiTheme="minorHAnsi" w:cs="Arial"/>
                <w:i/>
                <w:color w:val="000000"/>
                <w:sz w:val="22"/>
                <w:szCs w:val="22"/>
                <w:shd w:val="clear" w:color="auto" w:fill="FFFFFF" w:themeFill="background1"/>
              </w:rPr>
              <w:t> </w:t>
            </w:r>
            <w:r w:rsidR="00F622DD" w:rsidRPr="005C62A7">
              <w:rPr>
                <w:rFonts w:asciiTheme="minorHAnsi" w:hAnsiTheme="minorHAnsi" w:cs="Arial"/>
                <w:i/>
                <w:color w:val="000000"/>
                <w:sz w:val="22"/>
                <w:szCs w:val="22"/>
                <w:shd w:val="clear" w:color="auto" w:fill="FFFFFF" w:themeFill="background1"/>
              </w:rPr>
              <w:t>dok se ne uključe u sustav osiguranja depozita Agencije.</w:t>
            </w:r>
            <w:r w:rsidRPr="005C62A7">
              <w:rPr>
                <w:rFonts w:asciiTheme="minorHAnsi" w:hAnsiTheme="minorHAnsi" w:cs="Arial"/>
                <w:i/>
                <w:color w:val="000000"/>
                <w:sz w:val="22"/>
                <w:szCs w:val="22"/>
                <w:shd w:val="clear" w:color="auto" w:fill="FFFFFF" w:themeFill="background1"/>
              </w:rPr>
              <w:t>“***</w:t>
            </w:r>
          </w:p>
          <w:p w:rsidR="008125A4" w:rsidRPr="005C62A7" w:rsidRDefault="0026114C" w:rsidP="00C86D78">
            <w:pPr>
              <w:pStyle w:val="Odlomakpopisa"/>
              <w:numPr>
                <w:ilvl w:val="0"/>
                <w:numId w:val="115"/>
              </w:numPr>
              <w:shd w:val="clear" w:color="auto" w:fill="FFFFFF" w:themeFill="background1"/>
              <w:tabs>
                <w:tab w:val="left" w:pos="3400"/>
              </w:tabs>
              <w:spacing w:after="60" w:line="240" w:lineRule="atLeast"/>
              <w:jc w:val="both"/>
              <w:rPr>
                <w:rFonts w:asciiTheme="minorHAnsi" w:hAnsiTheme="minorHAnsi" w:cs="Arial"/>
                <w:i/>
                <w:color w:val="000000"/>
                <w:sz w:val="22"/>
                <w:szCs w:val="22"/>
              </w:rPr>
            </w:pPr>
            <w:r w:rsidRPr="005C62A7">
              <w:rPr>
                <w:rFonts w:asciiTheme="minorHAnsi" w:hAnsiTheme="minorHAnsi" w:cs="Arial"/>
                <w:i/>
                <w:color w:val="000000"/>
                <w:sz w:val="22"/>
                <w:szCs w:val="22"/>
              </w:rPr>
              <w:t>„</w:t>
            </w:r>
            <w:r w:rsidR="008125A4" w:rsidRPr="005C62A7">
              <w:rPr>
                <w:rFonts w:asciiTheme="minorHAnsi" w:hAnsiTheme="minorHAnsi" w:cs="Arial"/>
                <w:i/>
                <w:color w:val="000000"/>
                <w:sz w:val="22"/>
                <w:szCs w:val="22"/>
              </w:rPr>
              <w:t>Kako bi se omogućilo da</w:t>
            </w:r>
            <w:r w:rsidR="008125A4" w:rsidRPr="005C62A7">
              <w:rPr>
                <w:rStyle w:val="apple-converted-space"/>
                <w:rFonts w:asciiTheme="minorHAnsi" w:hAnsiTheme="minorHAnsi" w:cs="Arial"/>
                <w:i/>
                <w:color w:val="000000"/>
                <w:sz w:val="22"/>
                <w:szCs w:val="22"/>
              </w:rPr>
              <w:t> </w:t>
            </w:r>
            <w:r w:rsidR="008125A4" w:rsidRPr="005C62A7">
              <w:rPr>
                <w:rFonts w:asciiTheme="minorHAnsi" w:hAnsiTheme="minorHAnsi" w:cs="Arial"/>
                <w:i/>
                <w:color w:val="000000"/>
                <w:sz w:val="22"/>
                <w:szCs w:val="22"/>
              </w:rPr>
              <w:t>deponenti</w:t>
            </w:r>
            <w:r w:rsidR="008125A4" w:rsidRPr="005C62A7">
              <w:rPr>
                <w:rStyle w:val="apple-converted-space"/>
                <w:rFonts w:asciiTheme="minorHAnsi" w:hAnsiTheme="minorHAnsi" w:cs="Arial"/>
                <w:i/>
                <w:color w:val="000000"/>
                <w:sz w:val="22"/>
                <w:szCs w:val="22"/>
              </w:rPr>
              <w:t> </w:t>
            </w:r>
            <w:r w:rsidR="008125A4" w:rsidRPr="005C62A7">
              <w:rPr>
                <w:rFonts w:asciiTheme="minorHAnsi" w:hAnsiTheme="minorHAnsi" w:cs="Arial"/>
                <w:i/>
                <w:color w:val="000000"/>
                <w:sz w:val="22"/>
                <w:szCs w:val="22"/>
              </w:rPr>
              <w:t>što prije dođu do svojih</w:t>
            </w:r>
            <w:r w:rsidR="008125A4" w:rsidRPr="005C62A7">
              <w:rPr>
                <w:rStyle w:val="apple-converted-space"/>
                <w:rFonts w:asciiTheme="minorHAnsi" w:hAnsiTheme="minorHAnsi" w:cs="Arial"/>
                <w:i/>
                <w:color w:val="000000"/>
                <w:sz w:val="22"/>
                <w:szCs w:val="22"/>
              </w:rPr>
              <w:t> </w:t>
            </w:r>
            <w:r w:rsidR="008125A4" w:rsidRPr="005C62A7">
              <w:rPr>
                <w:rFonts w:asciiTheme="minorHAnsi" w:hAnsiTheme="minorHAnsi" w:cs="Arial"/>
                <w:i/>
                <w:color w:val="000000"/>
                <w:sz w:val="22"/>
                <w:szCs w:val="22"/>
              </w:rPr>
              <w:t>depozita</w:t>
            </w:r>
            <w:r w:rsidR="008125A4" w:rsidRPr="005C62A7">
              <w:rPr>
                <w:rStyle w:val="apple-converted-space"/>
                <w:rFonts w:asciiTheme="minorHAnsi" w:hAnsiTheme="minorHAnsi" w:cs="Arial"/>
                <w:i/>
                <w:color w:val="000000"/>
                <w:sz w:val="22"/>
                <w:szCs w:val="22"/>
              </w:rPr>
              <w:t> </w:t>
            </w:r>
            <w:r w:rsidR="008125A4" w:rsidRPr="005C62A7">
              <w:rPr>
                <w:rFonts w:asciiTheme="minorHAnsi" w:hAnsiTheme="minorHAnsi" w:cs="Arial"/>
                <w:i/>
                <w:color w:val="000000"/>
                <w:sz w:val="22"/>
                <w:szCs w:val="22"/>
              </w:rPr>
              <w:t xml:space="preserve">zarobljenih u propaloj kreditnoj instituciji, 1997. godine osnovan je Fond za osiguranje depozita. Prva sredstva u Fond uplatila je Republika Hrvatska, a dalje je zakonom propisano </w:t>
            </w:r>
            <w:r w:rsidR="008125A4" w:rsidRPr="007625F8">
              <w:rPr>
                <w:rFonts w:asciiTheme="minorHAnsi" w:hAnsiTheme="minorHAnsi" w:cs="Arial"/>
                <w:i/>
                <w:color w:val="C00000"/>
                <w:sz w:val="22"/>
                <w:szCs w:val="22"/>
              </w:rPr>
              <w:t>izdvajanje sredstava za Fond na</w:t>
            </w:r>
            <w:r w:rsidR="008125A4" w:rsidRPr="007625F8">
              <w:rPr>
                <w:rStyle w:val="apple-converted-space"/>
                <w:rFonts w:asciiTheme="minorHAnsi" w:hAnsiTheme="minorHAnsi" w:cs="Arial"/>
                <w:i/>
                <w:color w:val="C00000"/>
                <w:sz w:val="22"/>
                <w:szCs w:val="22"/>
              </w:rPr>
              <w:t> </w:t>
            </w:r>
            <w:r w:rsidR="008125A4" w:rsidRPr="007625F8">
              <w:rPr>
                <w:rFonts w:asciiTheme="minorHAnsi" w:hAnsiTheme="minorHAnsi" w:cs="Arial"/>
                <w:i/>
                <w:color w:val="C00000"/>
                <w:sz w:val="22"/>
                <w:szCs w:val="22"/>
              </w:rPr>
              <w:t>ex ante</w:t>
            </w:r>
            <w:r w:rsidR="008125A4" w:rsidRPr="007625F8">
              <w:rPr>
                <w:rStyle w:val="apple-converted-space"/>
                <w:rFonts w:asciiTheme="minorHAnsi" w:hAnsiTheme="minorHAnsi" w:cs="Arial"/>
                <w:i/>
                <w:color w:val="C00000"/>
                <w:sz w:val="22"/>
                <w:szCs w:val="22"/>
              </w:rPr>
              <w:t> </w:t>
            </w:r>
            <w:r w:rsidR="008125A4" w:rsidRPr="007625F8">
              <w:rPr>
                <w:rFonts w:asciiTheme="minorHAnsi" w:hAnsiTheme="minorHAnsi" w:cs="Arial"/>
                <w:i/>
                <w:color w:val="C00000"/>
                <w:sz w:val="22"/>
                <w:szCs w:val="22"/>
              </w:rPr>
              <w:t>osnovi od strane</w:t>
            </w:r>
            <w:r w:rsidR="008125A4" w:rsidRPr="007625F8">
              <w:rPr>
                <w:rStyle w:val="apple-converted-space"/>
                <w:rFonts w:asciiTheme="minorHAnsi" w:hAnsiTheme="minorHAnsi" w:cs="Arial"/>
                <w:i/>
                <w:color w:val="C00000"/>
                <w:sz w:val="22"/>
                <w:szCs w:val="22"/>
              </w:rPr>
              <w:t> </w:t>
            </w:r>
            <w:r w:rsidR="008125A4" w:rsidRPr="007625F8">
              <w:rPr>
                <w:rFonts w:asciiTheme="minorHAnsi" w:hAnsiTheme="minorHAnsi" w:cs="Arial"/>
                <w:i/>
                <w:color w:val="C00000"/>
                <w:sz w:val="22"/>
                <w:szCs w:val="22"/>
              </w:rPr>
              <w:t>kreditnih institucija, koje su kvartalno dužne plaćati</w:t>
            </w:r>
            <w:r w:rsidR="008125A4" w:rsidRPr="007625F8">
              <w:rPr>
                <w:rStyle w:val="apple-converted-space"/>
                <w:rFonts w:asciiTheme="minorHAnsi" w:hAnsiTheme="minorHAnsi" w:cs="Arial"/>
                <w:i/>
                <w:color w:val="C00000"/>
                <w:sz w:val="22"/>
                <w:szCs w:val="22"/>
                <w:u w:val="single"/>
              </w:rPr>
              <w:t> </w:t>
            </w:r>
            <w:r w:rsidR="00FC2EA0" w:rsidRPr="007625F8">
              <w:rPr>
                <w:rFonts w:asciiTheme="minorHAnsi" w:hAnsiTheme="minorHAnsi" w:cs="Arial"/>
                <w:i/>
                <w:color w:val="C00000"/>
                <w:sz w:val="22"/>
                <w:szCs w:val="22"/>
              </w:rPr>
              <w:t>premiju za osiguranje depozita.</w:t>
            </w:r>
            <w:r w:rsidR="00FC2EA0">
              <w:rPr>
                <w:rFonts w:asciiTheme="minorHAnsi" w:hAnsiTheme="minorHAnsi" w:cs="Arial"/>
                <w:i/>
                <w:color w:val="000000"/>
                <w:sz w:val="22"/>
                <w:szCs w:val="22"/>
              </w:rPr>
              <w:t xml:space="preserve"> … </w:t>
            </w:r>
            <w:r w:rsidR="008125A4" w:rsidRPr="005C62A7">
              <w:rPr>
                <w:rFonts w:asciiTheme="minorHAnsi" w:hAnsiTheme="minorHAnsi" w:cs="Arial"/>
                <w:i/>
                <w:color w:val="000000"/>
                <w:sz w:val="22"/>
                <w:szCs w:val="22"/>
              </w:rPr>
              <w:t xml:space="preserve"> Agencija upravlja Fondom za osiguranje depozita, čija sredstva koristi za isplatu deponenata u slučaju propasti kreditne institucije.</w:t>
            </w:r>
            <w:r w:rsidRPr="005C62A7">
              <w:rPr>
                <w:rFonts w:asciiTheme="minorHAnsi" w:hAnsiTheme="minorHAnsi" w:cs="Arial"/>
                <w:i/>
                <w:color w:val="000000"/>
                <w:sz w:val="22"/>
                <w:szCs w:val="22"/>
              </w:rPr>
              <w:t>“***</w:t>
            </w:r>
            <w:r w:rsidR="005C62A7" w:rsidRPr="005C62A7">
              <w:rPr>
                <w:rFonts w:asciiTheme="minorHAnsi" w:hAnsiTheme="minorHAnsi" w:cs="Arial"/>
                <w:i/>
                <w:color w:val="000000"/>
                <w:sz w:val="22"/>
                <w:szCs w:val="22"/>
              </w:rPr>
              <w:t>*</w:t>
            </w:r>
            <w:r w:rsidR="008125A4" w:rsidRPr="005C62A7">
              <w:rPr>
                <w:rFonts w:asciiTheme="minorHAnsi" w:hAnsiTheme="minorHAnsi" w:cs="Arial"/>
                <w:i/>
                <w:color w:val="000000"/>
                <w:sz w:val="22"/>
                <w:szCs w:val="22"/>
              </w:rPr>
              <w:t> </w:t>
            </w:r>
          </w:p>
          <w:p w:rsidR="00FC2EA0" w:rsidRPr="007625F8" w:rsidRDefault="0026114C" w:rsidP="00C86D78">
            <w:pPr>
              <w:pStyle w:val="Odlomakpopisa"/>
              <w:numPr>
                <w:ilvl w:val="0"/>
                <w:numId w:val="115"/>
              </w:numPr>
              <w:shd w:val="clear" w:color="auto" w:fill="FFFFFF" w:themeFill="background1"/>
              <w:tabs>
                <w:tab w:val="left" w:pos="3400"/>
              </w:tabs>
              <w:spacing w:after="60" w:line="240" w:lineRule="atLeast"/>
              <w:jc w:val="both"/>
              <w:rPr>
                <w:rFonts w:asciiTheme="minorHAnsi" w:hAnsiTheme="minorHAnsi"/>
                <w:i/>
                <w:color w:val="000000"/>
                <w:sz w:val="22"/>
                <w:szCs w:val="22"/>
              </w:rPr>
            </w:pPr>
            <w:r w:rsidRPr="007625F8">
              <w:rPr>
                <w:rFonts w:asciiTheme="minorHAnsi" w:hAnsiTheme="minorHAnsi" w:cs="Arial"/>
                <w:i/>
                <w:color w:val="000000"/>
                <w:sz w:val="22"/>
                <w:szCs w:val="22"/>
              </w:rPr>
              <w:t>„Sukladno</w:t>
            </w:r>
            <w:r w:rsidRPr="007625F8">
              <w:rPr>
                <w:rFonts w:asciiTheme="minorHAnsi" w:hAnsiTheme="minorHAnsi"/>
                <w:i/>
                <w:sz w:val="22"/>
                <w:szCs w:val="22"/>
              </w:rPr>
              <w:t> </w:t>
            </w:r>
            <w:hyperlink r:id="rId105" w:history="1">
              <w:r w:rsidRPr="007625F8">
                <w:rPr>
                  <w:rFonts w:asciiTheme="minorHAnsi" w:hAnsiTheme="minorHAnsi"/>
                  <w:i/>
                  <w:color w:val="000000"/>
                  <w:sz w:val="22"/>
                  <w:szCs w:val="22"/>
                </w:rPr>
                <w:t>Zakonu o osiguranju depozita</w:t>
              </w:r>
            </w:hyperlink>
            <w:r w:rsidRPr="007625F8">
              <w:rPr>
                <w:rFonts w:asciiTheme="minorHAnsi" w:hAnsiTheme="minorHAnsi" w:cs="Arial"/>
                <w:i/>
                <w:color w:val="000000"/>
                <w:sz w:val="22"/>
                <w:szCs w:val="22"/>
              </w:rPr>
              <w:t>, čim HNB proglasi nedostupnost depozita u kreditnoj instituciji, Agencija je unutar 20 do 30 radnih dana obvezna osigurati početak isplate depozita</w:t>
            </w:r>
            <w:r w:rsidRPr="007625F8">
              <w:rPr>
                <w:rFonts w:asciiTheme="minorHAnsi" w:hAnsiTheme="minorHAnsi"/>
                <w:i/>
                <w:color w:val="000000"/>
                <w:sz w:val="22"/>
                <w:szCs w:val="22"/>
              </w:rPr>
              <w:t>.</w:t>
            </w:r>
            <w:r w:rsidR="007625F8" w:rsidRPr="007625F8">
              <w:rPr>
                <w:rFonts w:asciiTheme="minorHAnsi" w:hAnsiTheme="minorHAnsi"/>
                <w:i/>
                <w:color w:val="000000"/>
                <w:sz w:val="22"/>
                <w:szCs w:val="22"/>
              </w:rPr>
              <w:t xml:space="preserve"> Za to vrijeme Agencija će pripremiti potrebna sredstva, od propale kreditne institucije pribaviti točne iznose obeštećenja po svakom deponentu i potom objaviti Poziv s detaljnim uputama. …</w:t>
            </w:r>
            <w:r w:rsidR="007625F8">
              <w:rPr>
                <w:rFonts w:asciiTheme="minorHAnsi" w:hAnsiTheme="minorHAnsi"/>
                <w:i/>
                <w:color w:val="000000"/>
                <w:sz w:val="22"/>
                <w:szCs w:val="22"/>
              </w:rPr>
              <w:t xml:space="preserve"> </w:t>
            </w:r>
            <w:r w:rsidR="00FC2EA0" w:rsidRPr="007625F8">
              <w:rPr>
                <w:rFonts w:asciiTheme="minorHAnsi" w:hAnsiTheme="minorHAnsi"/>
                <w:i/>
                <w:color w:val="C00000"/>
                <w:sz w:val="22"/>
                <w:szCs w:val="22"/>
              </w:rPr>
              <w:t>Od datuma objave Poziva u javnim glasilima deponenti imaju rok od 12 mjeseci za podnošenje Zahtjeva</w:t>
            </w:r>
            <w:r w:rsidR="007625F8" w:rsidRPr="007625F8">
              <w:rPr>
                <w:rFonts w:asciiTheme="minorHAnsi" w:hAnsiTheme="minorHAnsi"/>
                <w:i/>
                <w:color w:val="C00000"/>
                <w:sz w:val="22"/>
                <w:szCs w:val="22"/>
              </w:rPr>
              <w:t xml:space="preserve"> za obeštećenje </w:t>
            </w:r>
            <w:r w:rsidR="007625F8">
              <w:rPr>
                <w:rFonts w:asciiTheme="minorHAnsi" w:hAnsiTheme="minorHAnsi"/>
                <w:i/>
                <w:color w:val="000000"/>
                <w:sz w:val="22"/>
                <w:szCs w:val="22"/>
              </w:rPr>
              <w:t>…“*****</w:t>
            </w:r>
          </w:p>
          <w:p w:rsidR="005C62A7" w:rsidRDefault="007625F8" w:rsidP="007625F8">
            <w:pPr>
              <w:pStyle w:val="StandardWeb"/>
              <w:shd w:val="clear" w:color="auto" w:fill="FFFFFF" w:themeFill="background1"/>
              <w:spacing w:before="0" w:beforeAutospacing="0" w:after="60" w:afterAutospacing="0" w:line="240" w:lineRule="atLeast"/>
              <w:jc w:val="both"/>
              <w:rPr>
                <w:rFonts w:asciiTheme="minorHAnsi" w:hAnsiTheme="minorHAnsi" w:cs="Arial"/>
                <w:i/>
                <w:color w:val="000000"/>
                <w:sz w:val="22"/>
                <w:szCs w:val="22"/>
              </w:rPr>
            </w:pPr>
            <w:r w:rsidRPr="007625F8">
              <w:rPr>
                <w:rFonts w:ascii="Arial" w:hAnsi="Arial" w:cs="Arial"/>
                <w:color w:val="000000"/>
                <w:sz w:val="20"/>
                <w:szCs w:val="20"/>
                <w:shd w:val="clear" w:color="auto" w:fill="FFFFFF" w:themeFill="background1"/>
              </w:rPr>
              <w:t>Od ukupno 291,8 milijardi kuna depozita u hrvatskim kreditnim institucijama na dan 31. prosinca 2013. godine, njih 166,9 milijardi je osigurano.</w:t>
            </w:r>
            <w:r w:rsidRPr="007625F8">
              <w:rPr>
                <w:rStyle w:val="apple-converted-space"/>
                <w:rFonts w:ascii="Arial" w:hAnsi="Arial" w:cs="Arial"/>
                <w:color w:val="000000"/>
                <w:sz w:val="20"/>
                <w:szCs w:val="20"/>
                <w:shd w:val="clear" w:color="auto" w:fill="FFFFFF" w:themeFill="background1"/>
              </w:rPr>
              <w:t> ….</w:t>
            </w:r>
            <w:r>
              <w:rPr>
                <w:rStyle w:val="apple-converted-space"/>
                <w:rFonts w:ascii="Arial" w:hAnsi="Arial" w:cs="Arial"/>
                <w:color w:val="000000"/>
                <w:sz w:val="20"/>
                <w:szCs w:val="20"/>
                <w:shd w:val="clear" w:color="auto" w:fill="FFFFFF" w:themeFill="background1"/>
              </w:rPr>
              <w:t>“</w:t>
            </w:r>
            <w:r w:rsidR="005C62A7" w:rsidRPr="005C62A7">
              <w:rPr>
                <w:rFonts w:asciiTheme="minorHAnsi" w:hAnsiTheme="minorHAnsi" w:cs="Arial"/>
                <w:i/>
                <w:color w:val="000000"/>
                <w:sz w:val="22"/>
                <w:szCs w:val="22"/>
              </w:rPr>
              <w:t>Zakonom o osiguranju depozita propisana je ciljana razina Fonda u iznosu od 2,5 posto ukupnih osiguranih depozita. Ako do kraja 2017. ne dođe do propasti kreditne institucije, Agencija očekuje postizanje danog cilja.“****</w:t>
            </w:r>
          </w:p>
          <w:p w:rsidR="007625F8" w:rsidRDefault="000A3D03" w:rsidP="007625F8">
            <w:pPr>
              <w:pStyle w:val="StandardWeb"/>
              <w:shd w:val="clear" w:color="auto" w:fill="FFFFFF" w:themeFill="background1"/>
              <w:spacing w:before="0" w:beforeAutospacing="0" w:after="0" w:afterAutospacing="0" w:line="240" w:lineRule="atLeast"/>
              <w:jc w:val="both"/>
              <w:rPr>
                <w:rFonts w:asciiTheme="minorHAnsi" w:hAnsiTheme="minorHAnsi" w:cs="Arial"/>
                <w:i/>
                <w:color w:val="000000"/>
                <w:sz w:val="22"/>
                <w:szCs w:val="22"/>
              </w:rPr>
            </w:pPr>
            <w:r>
              <w:rPr>
                <w:rFonts w:asciiTheme="minorHAnsi" w:hAnsiTheme="minorHAnsi" w:cs="Arial"/>
                <w:i/>
                <w:color w:val="000000"/>
                <w:sz w:val="22"/>
                <w:szCs w:val="22"/>
              </w:rPr>
              <w:t>_________</w:t>
            </w:r>
          </w:p>
          <w:p w:rsidR="00ED70CF" w:rsidRPr="005C62A7" w:rsidRDefault="0026114C" w:rsidP="007625F8">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sidRPr="005C62A7">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Izvor: </w:t>
            </w:r>
            <w:r w:rsidR="00ED70CF" w:rsidRPr="005C62A7">
              <w:rPr>
                <w:rStyle w:val="apple-converted-space"/>
                <w:rFonts w:asciiTheme="minorHAnsi" w:hAnsiTheme="minorHAnsi" w:cs="Arial"/>
                <w:color w:val="000000"/>
                <w:sz w:val="20"/>
                <w:szCs w:val="20"/>
                <w:shd w:val="clear" w:color="auto" w:fill="FFFFFF" w:themeFill="background1"/>
              </w:rPr>
              <w:t xml:space="preserve">preuzeto sa: </w:t>
            </w:r>
            <w:r w:rsidRPr="005C62A7">
              <w:rPr>
                <w:rStyle w:val="apple-converted-space"/>
                <w:rFonts w:asciiTheme="minorHAnsi" w:hAnsiTheme="minorHAnsi" w:cs="Arial"/>
                <w:color w:val="000000"/>
                <w:sz w:val="20"/>
                <w:szCs w:val="20"/>
                <w:shd w:val="clear" w:color="auto" w:fill="FFFFFF" w:themeFill="background1"/>
              </w:rPr>
              <w:t>http://www.dab.hr/osiguranje-depozita/pitanja-i-odgovori</w:t>
            </w:r>
          </w:p>
          <w:p w:rsidR="0026114C" w:rsidRPr="005C62A7" w:rsidRDefault="0026114C" w:rsidP="00FC2EA0">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sidRPr="005C62A7">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Izvor: </w:t>
            </w:r>
            <w:r w:rsidRPr="005C62A7">
              <w:rPr>
                <w:rStyle w:val="apple-converted-space"/>
                <w:rFonts w:asciiTheme="minorHAnsi" w:hAnsiTheme="minorHAnsi" w:cs="Arial"/>
                <w:color w:val="000000"/>
                <w:sz w:val="20"/>
                <w:szCs w:val="20"/>
                <w:shd w:val="clear" w:color="auto" w:fill="FFFFFF" w:themeFill="background1"/>
              </w:rPr>
              <w:t>preuzeto sa: http://www.dab.hr/osiguranje-depozita/osnovni-pojmovi</w:t>
            </w:r>
          </w:p>
          <w:p w:rsidR="0026114C" w:rsidRPr="005C62A7" w:rsidRDefault="0026114C" w:rsidP="00FC2EA0">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sidRPr="005C62A7">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w:t>
            </w:r>
            <w:r w:rsidR="005C62A7" w:rsidRPr="005C62A7">
              <w:rPr>
                <w:rStyle w:val="apple-converted-space"/>
                <w:rFonts w:asciiTheme="minorHAnsi" w:hAnsiTheme="minorHAnsi" w:cs="Arial"/>
                <w:color w:val="000000"/>
                <w:sz w:val="20"/>
                <w:szCs w:val="20"/>
                <w:shd w:val="clear" w:color="auto" w:fill="FFFFFF" w:themeFill="background1"/>
              </w:rPr>
              <w:t xml:space="preserve"> Izvor: </w:t>
            </w:r>
            <w:r w:rsidRPr="005C62A7">
              <w:rPr>
                <w:rStyle w:val="apple-converted-space"/>
                <w:rFonts w:asciiTheme="minorHAnsi" w:hAnsiTheme="minorHAnsi" w:cs="Arial"/>
                <w:color w:val="000000"/>
                <w:sz w:val="20"/>
                <w:szCs w:val="20"/>
                <w:shd w:val="clear" w:color="auto" w:fill="FFFFFF" w:themeFill="background1"/>
              </w:rPr>
              <w:t xml:space="preserve">preuzeto sa: </w:t>
            </w:r>
            <w:r w:rsidR="005C62A7" w:rsidRPr="005C62A7">
              <w:rPr>
                <w:rStyle w:val="apple-converted-space"/>
                <w:rFonts w:asciiTheme="minorHAnsi" w:hAnsiTheme="minorHAnsi" w:cs="Arial"/>
                <w:color w:val="000000"/>
                <w:sz w:val="20"/>
                <w:szCs w:val="20"/>
                <w:shd w:val="clear" w:color="auto" w:fill="FFFFFF" w:themeFill="background1"/>
              </w:rPr>
              <w:t>http://www.dab.hr/osiguranje-depozita/kreditne-institucije</w:t>
            </w:r>
          </w:p>
          <w:p w:rsidR="005C62A7" w:rsidRDefault="005C62A7" w:rsidP="00FC2EA0">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sidRPr="005C62A7">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w:t>
            </w:r>
            <w:r w:rsidRPr="005C62A7">
              <w:rPr>
                <w:rStyle w:val="apple-converted-space"/>
                <w:rFonts w:asciiTheme="minorHAnsi" w:hAnsiTheme="minorHAnsi" w:cs="Arial"/>
                <w:color w:val="000000"/>
                <w:sz w:val="20"/>
                <w:szCs w:val="20"/>
                <w:shd w:val="clear" w:color="auto" w:fill="FFFFFF" w:themeFill="background1"/>
              </w:rPr>
              <w:t xml:space="preserve">Izvor: preuzeto sa: </w:t>
            </w:r>
            <w:r w:rsidR="007625F8" w:rsidRPr="007625F8">
              <w:rPr>
                <w:rStyle w:val="apple-converted-space"/>
                <w:rFonts w:asciiTheme="minorHAnsi" w:hAnsiTheme="minorHAnsi" w:cs="Arial"/>
                <w:color w:val="000000"/>
                <w:sz w:val="20"/>
                <w:szCs w:val="20"/>
                <w:shd w:val="clear" w:color="auto" w:fill="FFFFFF" w:themeFill="background1"/>
              </w:rPr>
              <w:t>http://www.dab.hr/osiguranje-depozita/fond-za-osiguranje-depozita</w:t>
            </w:r>
          </w:p>
          <w:p w:rsidR="007625F8" w:rsidRDefault="007625F8" w:rsidP="00FC2EA0">
            <w:pPr>
              <w:pStyle w:val="StandardWeb"/>
              <w:shd w:val="clear" w:color="auto" w:fill="FFFFFF" w:themeFill="background1"/>
              <w:spacing w:before="0" w:beforeAutospacing="0" w:after="0" w:afterAutospacing="0" w:line="255" w:lineRule="atLeast"/>
              <w:jc w:val="both"/>
              <w:rPr>
                <w:rStyle w:val="apple-converted-space"/>
                <w:rFonts w:asciiTheme="minorHAnsi" w:hAnsiTheme="minorHAnsi" w:cs="Arial"/>
                <w:color w:val="000000"/>
                <w:sz w:val="20"/>
                <w:szCs w:val="20"/>
                <w:shd w:val="clear" w:color="auto" w:fill="FFFFFF" w:themeFill="background1"/>
              </w:rPr>
            </w:pPr>
            <w:r>
              <w:rPr>
                <w:rStyle w:val="apple-converted-space"/>
                <w:rFonts w:asciiTheme="minorHAnsi" w:hAnsiTheme="minorHAnsi" w:cs="Arial"/>
                <w:color w:val="000000"/>
                <w:sz w:val="20"/>
                <w:szCs w:val="20"/>
                <w:shd w:val="clear" w:color="auto" w:fill="FFFFFF" w:themeFill="background1"/>
              </w:rPr>
              <w:t xml:space="preserve">***** </w:t>
            </w:r>
            <w:r w:rsidR="0099434E">
              <w:rPr>
                <w:rStyle w:val="apple-converted-space"/>
                <w:rFonts w:asciiTheme="minorHAnsi" w:hAnsiTheme="minorHAnsi" w:cs="Arial"/>
                <w:color w:val="000000"/>
                <w:sz w:val="20"/>
                <w:szCs w:val="20"/>
                <w:shd w:val="clear" w:color="auto" w:fill="FFFFFF" w:themeFill="background1"/>
              </w:rPr>
              <w:t xml:space="preserve"> I</w:t>
            </w:r>
            <w:r>
              <w:rPr>
                <w:rStyle w:val="apple-converted-space"/>
                <w:rFonts w:asciiTheme="minorHAnsi" w:hAnsiTheme="minorHAnsi" w:cs="Arial"/>
                <w:color w:val="000000"/>
                <w:sz w:val="20"/>
                <w:szCs w:val="20"/>
                <w:shd w:val="clear" w:color="auto" w:fill="FFFFFF" w:themeFill="background1"/>
              </w:rPr>
              <w:t xml:space="preserve">zvor: preuzeto sa: </w:t>
            </w:r>
            <w:r w:rsidRPr="007625F8">
              <w:rPr>
                <w:rStyle w:val="apple-converted-space"/>
                <w:rFonts w:asciiTheme="minorHAnsi" w:hAnsiTheme="minorHAnsi" w:cs="Arial"/>
                <w:color w:val="000000"/>
                <w:sz w:val="20"/>
                <w:szCs w:val="20"/>
                <w:shd w:val="clear" w:color="auto" w:fill="FFFFFF" w:themeFill="background1"/>
              </w:rPr>
              <w:t>http://www.dab.hr/osiguranje-depozita/postupak-isplate</w:t>
            </w:r>
          </w:p>
          <w:p w:rsidR="005C62A7" w:rsidRDefault="005C62A7" w:rsidP="007625F8">
            <w:pPr>
              <w:pStyle w:val="Naslov2"/>
              <w:shd w:val="clear" w:color="auto" w:fill="FFFFFF" w:themeFill="background1"/>
              <w:spacing w:before="60" w:line="240" w:lineRule="atLeast"/>
              <w:outlineLvl w:val="1"/>
              <w:rPr>
                <w:rFonts w:asciiTheme="minorHAnsi" w:hAnsiTheme="minorHAnsi" w:cs="Arial"/>
                <w:bCs w:val="0"/>
                <w:color w:val="auto"/>
                <w:sz w:val="24"/>
                <w:szCs w:val="24"/>
              </w:rPr>
            </w:pPr>
            <w:r w:rsidRPr="007605CB">
              <w:rPr>
                <w:rFonts w:asciiTheme="minorHAnsi" w:hAnsiTheme="minorHAnsi" w:cs="Arial"/>
                <w:bCs w:val="0"/>
                <w:color w:val="auto"/>
                <w:sz w:val="24"/>
                <w:szCs w:val="24"/>
              </w:rPr>
              <w:lastRenderedPageBreak/>
              <w:t>Isplaćeni deponenti od osnutka Agencije</w:t>
            </w:r>
          </w:p>
          <w:p w:rsidR="007605CB" w:rsidRDefault="005C62A7" w:rsidP="007625F8">
            <w:pPr>
              <w:spacing w:before="120" w:after="200"/>
              <w:rPr>
                <w:rFonts w:asciiTheme="minorHAnsi" w:hAnsiTheme="minorHAnsi" w:cs="Arial"/>
                <w:i/>
                <w:color w:val="000000"/>
                <w:sz w:val="22"/>
                <w:szCs w:val="22"/>
              </w:rPr>
            </w:pPr>
            <w:r>
              <w:rPr>
                <w:rFonts w:asciiTheme="minorHAnsi" w:hAnsiTheme="minorHAnsi" w:cs="Arial"/>
                <w:i/>
                <w:color w:val="000000"/>
                <w:sz w:val="22"/>
                <w:szCs w:val="22"/>
              </w:rPr>
              <w:t>„</w:t>
            </w:r>
            <w:r w:rsidRPr="005C62A7">
              <w:rPr>
                <w:rFonts w:asciiTheme="minorHAnsi" w:hAnsiTheme="minorHAnsi" w:cs="Arial"/>
                <w:i/>
                <w:color w:val="000000"/>
                <w:sz w:val="22"/>
                <w:szCs w:val="22"/>
              </w:rPr>
              <w:t>U proteklih dvadeset godina Agencija je brzo i efikasno isplatila 200 tisuća deponenata s više od 4,8 milijarde kuna za osigurane depozite zbog propasti 27 banaka i štedionica</w:t>
            </w:r>
            <w:r>
              <w:rPr>
                <w:rFonts w:asciiTheme="minorHAnsi" w:hAnsiTheme="minorHAnsi" w:cs="Arial"/>
                <w:i/>
                <w:color w:val="000000"/>
                <w:sz w:val="22"/>
                <w:szCs w:val="22"/>
              </w:rPr>
              <w:t>.“</w:t>
            </w:r>
          </w:p>
          <w:tbl>
            <w:tblPr>
              <w:tblW w:w="9690" w:type="dxa"/>
              <w:shd w:val="clear" w:color="auto" w:fill="DADADA"/>
              <w:tblCellMar>
                <w:top w:w="15" w:type="dxa"/>
                <w:left w:w="15" w:type="dxa"/>
                <w:bottom w:w="15" w:type="dxa"/>
                <w:right w:w="15" w:type="dxa"/>
              </w:tblCellMar>
              <w:tblLook w:val="04A0" w:firstRow="1" w:lastRow="0" w:firstColumn="1" w:lastColumn="0" w:noHBand="0" w:noVBand="1"/>
            </w:tblPr>
            <w:tblGrid>
              <w:gridCol w:w="466"/>
              <w:gridCol w:w="4784"/>
              <w:gridCol w:w="2335"/>
              <w:gridCol w:w="2105"/>
            </w:tblGrid>
            <w:tr w:rsidR="008125A4" w:rsidRPr="007605CB" w:rsidTr="008125A4">
              <w:trPr>
                <w:tblHeader/>
              </w:trPr>
              <w:tc>
                <w:tcPr>
                  <w:tcW w:w="0" w:type="auto"/>
                  <w:shd w:val="clear" w:color="auto" w:fill="045EA9"/>
                  <w:tcMar>
                    <w:top w:w="75" w:type="dxa"/>
                    <w:left w:w="75" w:type="dxa"/>
                    <w:bottom w:w="75" w:type="dxa"/>
                    <w:right w:w="75" w:type="dxa"/>
                  </w:tcMar>
                  <w:vAlign w:val="center"/>
                  <w:hideMark/>
                </w:tcPr>
                <w:p w:rsidR="008125A4" w:rsidRPr="007605CB" w:rsidRDefault="008125A4" w:rsidP="007605CB">
                  <w:pPr>
                    <w:spacing w:after="0" w:line="240" w:lineRule="atLeast"/>
                    <w:rPr>
                      <w:rFonts w:cs="Arial"/>
                      <w:b/>
                      <w:bCs/>
                      <w:color w:val="FFFFFF"/>
                      <w:sz w:val="20"/>
                      <w:szCs w:val="20"/>
                    </w:rPr>
                  </w:pPr>
                  <w:r w:rsidRPr="007605CB">
                    <w:rPr>
                      <w:rFonts w:cs="Arial"/>
                      <w:b/>
                      <w:bCs/>
                      <w:color w:val="FFFFFF"/>
                      <w:sz w:val="20"/>
                      <w:szCs w:val="20"/>
                    </w:rPr>
                    <w:t> </w:t>
                  </w:r>
                </w:p>
              </w:tc>
              <w:tc>
                <w:tcPr>
                  <w:tcW w:w="0" w:type="auto"/>
                  <w:shd w:val="clear" w:color="auto" w:fill="045EA9"/>
                  <w:tcMar>
                    <w:top w:w="75" w:type="dxa"/>
                    <w:left w:w="75" w:type="dxa"/>
                    <w:bottom w:w="75" w:type="dxa"/>
                    <w:right w:w="75" w:type="dxa"/>
                  </w:tcMar>
                  <w:vAlign w:val="center"/>
                  <w:hideMark/>
                </w:tcPr>
                <w:p w:rsidR="008125A4" w:rsidRPr="007605CB" w:rsidRDefault="008125A4" w:rsidP="007605CB">
                  <w:pPr>
                    <w:spacing w:after="0" w:line="240" w:lineRule="atLeast"/>
                    <w:rPr>
                      <w:rFonts w:cs="Arial"/>
                      <w:b/>
                      <w:bCs/>
                      <w:color w:val="FFFFFF"/>
                      <w:sz w:val="20"/>
                      <w:szCs w:val="20"/>
                    </w:rPr>
                  </w:pPr>
                  <w:r w:rsidRPr="007605CB">
                    <w:rPr>
                      <w:rFonts w:cs="Arial"/>
                      <w:b/>
                      <w:bCs/>
                      <w:color w:val="FFFFFF"/>
                      <w:sz w:val="20"/>
                      <w:szCs w:val="20"/>
                    </w:rPr>
                    <w:t>KREDITNA  INSTITUCIJA</w:t>
                  </w:r>
                </w:p>
              </w:tc>
              <w:tc>
                <w:tcPr>
                  <w:tcW w:w="0" w:type="auto"/>
                  <w:shd w:val="clear" w:color="auto" w:fill="045EA9"/>
                  <w:tcMar>
                    <w:top w:w="75" w:type="dxa"/>
                    <w:left w:w="75" w:type="dxa"/>
                    <w:bottom w:w="75" w:type="dxa"/>
                    <w:right w:w="75" w:type="dxa"/>
                  </w:tcMar>
                  <w:vAlign w:val="center"/>
                  <w:hideMark/>
                </w:tcPr>
                <w:p w:rsidR="008125A4" w:rsidRPr="007605CB" w:rsidRDefault="008125A4" w:rsidP="007605CB">
                  <w:pPr>
                    <w:spacing w:after="0" w:line="240" w:lineRule="atLeast"/>
                    <w:rPr>
                      <w:rFonts w:cs="Arial"/>
                      <w:b/>
                      <w:bCs/>
                      <w:color w:val="FFFFFF"/>
                      <w:sz w:val="20"/>
                      <w:szCs w:val="20"/>
                    </w:rPr>
                  </w:pPr>
                  <w:r w:rsidRPr="007605CB">
                    <w:rPr>
                      <w:rFonts w:cs="Arial"/>
                      <w:b/>
                      <w:bCs/>
                      <w:color w:val="FFFFFF"/>
                      <w:sz w:val="20"/>
                      <w:szCs w:val="20"/>
                    </w:rPr>
                    <w:t>OBEŠTEĆENJA U KN</w:t>
                  </w:r>
                </w:p>
              </w:tc>
              <w:tc>
                <w:tcPr>
                  <w:tcW w:w="0" w:type="auto"/>
                  <w:shd w:val="clear" w:color="auto" w:fill="045EA9"/>
                  <w:tcMar>
                    <w:top w:w="75" w:type="dxa"/>
                    <w:left w:w="75" w:type="dxa"/>
                    <w:bottom w:w="75" w:type="dxa"/>
                    <w:right w:w="75" w:type="dxa"/>
                  </w:tcMar>
                  <w:vAlign w:val="center"/>
                  <w:hideMark/>
                </w:tcPr>
                <w:p w:rsidR="008125A4" w:rsidRPr="007605CB" w:rsidRDefault="008125A4" w:rsidP="007605CB">
                  <w:pPr>
                    <w:spacing w:after="0" w:line="240" w:lineRule="atLeast"/>
                    <w:rPr>
                      <w:rFonts w:cs="Arial"/>
                      <w:b/>
                      <w:bCs/>
                      <w:color w:val="FFFFFF"/>
                      <w:sz w:val="20"/>
                      <w:szCs w:val="20"/>
                    </w:rPr>
                  </w:pPr>
                  <w:r w:rsidRPr="007605CB">
                    <w:rPr>
                      <w:rFonts w:cs="Arial"/>
                      <w:b/>
                      <w:bCs/>
                      <w:color w:val="FFFFFF"/>
                      <w:sz w:val="20"/>
                      <w:szCs w:val="20"/>
                    </w:rPr>
                    <w:t>BROJ ISPLAĆENIH</w:t>
                  </w:r>
                  <w:r w:rsidRPr="007605CB">
                    <w:rPr>
                      <w:rFonts w:cs="Arial"/>
                      <w:b/>
                      <w:bCs/>
                      <w:color w:val="FFFFFF"/>
                      <w:sz w:val="20"/>
                      <w:szCs w:val="20"/>
                    </w:rPr>
                    <w:br/>
                    <w:t>DEPONENATA</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Vukovarska banka d.d. Vukovar</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26.628.202</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13.101</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Građanska štedionica d.o.o.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30.224.221</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946</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Ilirija banka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36.173.432</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1.780</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Komercijalna banka d.d.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65.259.931</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8.958</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Glumina banka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1.353.000.000</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24.002</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Županjska banka d.d. Županja</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599.833.146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42.688</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7</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Gradska banka d.d. Osijek</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919.202.812</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35.875</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Neretvansko gospodarska banka d.d. Ploče</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27.674.269</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5.635</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Invest štedionica d.o.o.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13.845.545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201</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10</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Promdei banka d.d.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8.439.770</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207</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11</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Hrvatska gospodarska banka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225.711.133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25.255</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Agroobrtnička banka d.d.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125.270.719</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14.613</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Trgovačko-turistička banka d.d. Split</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21.738.890</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1.419</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14</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Adria štedionica d.o.o.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1.865.769</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31</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Dugi pogled štedionica d.o.o.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8.327.636</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99</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Grošbanak štedionica d.o.o.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12.752.583</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320</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17</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Štedionica za razvoj i obnovu d.o.o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87.806.595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4.624</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18</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Razvojna banka Dalmacija d.o.o. Split</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12.275.736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97</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19</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Gold štedionica d.o.o Split</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3.301.761</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343</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20</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Mediteran štedionica d.o.o. Split</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20.449.916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421</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21</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Alpe Jadran banka d.d. Split</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28.238.789</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1.846</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22</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Kaptol banka d.d. Zagreb</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15.072.976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411</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Slavonska štedionica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19.037.597</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304</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24</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Gospodarska štedionica d.d. Vrbovec</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10.039.607</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166</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25</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Međimurska štedionica d.d. Čakovec</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160.509.459</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4.366</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26</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Credo banka d.d. Split</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471.322.787</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12.958</w:t>
                  </w:r>
                </w:p>
              </w:tc>
            </w:tr>
            <w:tr w:rsidR="008125A4" w:rsidRPr="007605CB" w:rsidTr="008125A4">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27</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Centar banka d.d. Zagreb</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525.155.923</w:t>
                  </w:r>
                </w:p>
              </w:tc>
              <w:tc>
                <w:tcPr>
                  <w:tcW w:w="0" w:type="auto"/>
                  <w:shd w:val="clear" w:color="auto" w:fill="FFFFFF"/>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7.126</w:t>
                  </w:r>
                </w:p>
              </w:tc>
            </w:tr>
            <w:tr w:rsidR="008125A4" w:rsidRPr="007605CB" w:rsidTr="008125A4">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Fonts w:cs="Arial"/>
                      <w:color w:val="000000"/>
                      <w:sz w:val="20"/>
                      <w:szCs w:val="20"/>
                    </w:rPr>
                    <w:t> </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Style w:val="Naglaeno"/>
                      <w:rFonts w:cs="Arial"/>
                      <w:color w:val="045EA9"/>
                      <w:sz w:val="20"/>
                      <w:szCs w:val="20"/>
                    </w:rPr>
                    <w:t>UKUPNO</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Style w:val="Naglaeno"/>
                      <w:rFonts w:cs="Arial"/>
                      <w:color w:val="045EA9"/>
                      <w:sz w:val="20"/>
                      <w:szCs w:val="20"/>
                    </w:rPr>
                    <w:t>4.829.159.203</w:t>
                  </w:r>
                </w:p>
              </w:tc>
              <w:tc>
                <w:tcPr>
                  <w:tcW w:w="0" w:type="auto"/>
                  <w:shd w:val="clear" w:color="auto" w:fill="E5EEF5"/>
                  <w:tcMar>
                    <w:top w:w="75" w:type="dxa"/>
                    <w:left w:w="75" w:type="dxa"/>
                    <w:bottom w:w="75" w:type="dxa"/>
                    <w:right w:w="75" w:type="dxa"/>
                  </w:tcMar>
                  <w:vAlign w:val="center"/>
                  <w:hideMark/>
                </w:tcPr>
                <w:p w:rsidR="008125A4" w:rsidRPr="007605CB" w:rsidRDefault="008125A4" w:rsidP="007605CB">
                  <w:pPr>
                    <w:spacing w:after="0" w:line="240" w:lineRule="atLeast"/>
                    <w:rPr>
                      <w:rFonts w:cs="Arial"/>
                      <w:color w:val="000000"/>
                      <w:sz w:val="20"/>
                      <w:szCs w:val="20"/>
                    </w:rPr>
                  </w:pPr>
                  <w:r w:rsidRPr="007605CB">
                    <w:rPr>
                      <w:rStyle w:val="Naglaeno"/>
                      <w:rFonts w:cs="Arial"/>
                      <w:color w:val="045EA9"/>
                      <w:sz w:val="20"/>
                      <w:szCs w:val="20"/>
                    </w:rPr>
                    <w:t>207.792</w:t>
                  </w:r>
                </w:p>
              </w:tc>
            </w:tr>
          </w:tbl>
          <w:p w:rsidR="007625F8" w:rsidRDefault="007625F8" w:rsidP="00FC2EA0">
            <w:pPr>
              <w:pStyle w:val="StandardWeb"/>
              <w:shd w:val="clear" w:color="auto" w:fill="FFFFFF" w:themeFill="background1"/>
              <w:spacing w:before="0" w:beforeAutospacing="0" w:after="150" w:afterAutospacing="0" w:line="255" w:lineRule="atLeast"/>
              <w:rPr>
                <w:rFonts w:asciiTheme="minorHAnsi" w:hAnsiTheme="minorHAnsi"/>
                <w:sz w:val="20"/>
                <w:szCs w:val="20"/>
                <w:shd w:val="clear" w:color="auto" w:fill="FFFFFF" w:themeFill="background1"/>
              </w:rPr>
            </w:pPr>
          </w:p>
          <w:p w:rsidR="004A3373" w:rsidRPr="005C62A7" w:rsidRDefault="005C62A7" w:rsidP="00FC2EA0">
            <w:pPr>
              <w:pStyle w:val="StandardWeb"/>
              <w:shd w:val="clear" w:color="auto" w:fill="FFFFFF" w:themeFill="background1"/>
              <w:spacing w:before="0" w:beforeAutospacing="0" w:after="150" w:afterAutospacing="0" w:line="255" w:lineRule="atLeast"/>
              <w:rPr>
                <w:rFonts w:asciiTheme="minorHAnsi" w:hAnsiTheme="minorHAnsi"/>
                <w:sz w:val="20"/>
                <w:szCs w:val="20"/>
              </w:rPr>
            </w:pPr>
            <w:r w:rsidRPr="005C62A7">
              <w:rPr>
                <w:rFonts w:asciiTheme="minorHAnsi" w:hAnsiTheme="minorHAnsi"/>
                <w:sz w:val="20"/>
                <w:szCs w:val="20"/>
                <w:shd w:val="clear" w:color="auto" w:fill="FFFFFF" w:themeFill="background1"/>
              </w:rPr>
              <w:t>Izvor: preuzeto sa: http://www.dab.hr/osiguranje-depozita/fond-za-osiguranje-depozita</w:t>
            </w:r>
            <w:r>
              <w:rPr>
                <w:rFonts w:asciiTheme="minorHAnsi" w:hAnsiTheme="minorHAnsi"/>
                <w:sz w:val="20"/>
                <w:szCs w:val="20"/>
                <w:shd w:val="clear" w:color="auto" w:fill="FFFFFF" w:themeFill="background1"/>
              </w:rPr>
              <w:t xml:space="preserve">                                            </w:t>
            </w:r>
          </w:p>
        </w:tc>
      </w:tr>
    </w:tbl>
    <w:p w:rsidR="00A83A77" w:rsidRPr="006B2A2C" w:rsidRDefault="005F2767" w:rsidP="002A4055">
      <w:pPr>
        <w:tabs>
          <w:tab w:val="left" w:pos="3400"/>
        </w:tabs>
        <w:spacing w:before="240"/>
        <w:jc w:val="both"/>
        <w:rPr>
          <w:b/>
          <w:sz w:val="24"/>
          <w:szCs w:val="24"/>
        </w:rPr>
      </w:pPr>
      <w:r w:rsidRPr="006B2A2C">
        <w:rPr>
          <w:b/>
          <w:sz w:val="24"/>
          <w:szCs w:val="24"/>
        </w:rPr>
        <w:lastRenderedPageBreak/>
        <w:t>3.1</w:t>
      </w:r>
      <w:r w:rsidR="0093356A">
        <w:rPr>
          <w:b/>
          <w:sz w:val="24"/>
          <w:szCs w:val="24"/>
        </w:rPr>
        <w:t>1</w:t>
      </w:r>
      <w:r w:rsidRPr="006B2A2C">
        <w:rPr>
          <w:b/>
          <w:sz w:val="24"/>
          <w:szCs w:val="24"/>
        </w:rPr>
        <w:t xml:space="preserve">. </w:t>
      </w:r>
      <w:r w:rsidR="00237EF5">
        <w:rPr>
          <w:b/>
          <w:sz w:val="24"/>
          <w:szCs w:val="24"/>
        </w:rPr>
        <w:t>Potražnja za imovinom i v</w:t>
      </w:r>
      <w:r w:rsidRPr="006B2A2C">
        <w:rPr>
          <w:b/>
          <w:sz w:val="24"/>
          <w:szCs w:val="24"/>
        </w:rPr>
        <w:t>remenska vrijednost novca</w:t>
      </w:r>
    </w:p>
    <w:p w:rsidR="00237EF5" w:rsidRDefault="00237EF5" w:rsidP="00237EF5">
      <w:pPr>
        <w:spacing w:before="120" w:after="120"/>
        <w:jc w:val="both"/>
        <w:rPr>
          <w:noProof/>
          <w:sz w:val="24"/>
          <w:szCs w:val="24"/>
        </w:rPr>
      </w:pPr>
      <w:r w:rsidRPr="00D3458F">
        <w:rPr>
          <w:noProof/>
          <w:sz w:val="24"/>
          <w:szCs w:val="24"/>
        </w:rPr>
        <w:t>Potražnja za imovin</w:t>
      </w:r>
      <w:r w:rsidR="00FE3FF1">
        <w:rPr>
          <w:noProof/>
          <w:sz w:val="24"/>
          <w:szCs w:val="24"/>
        </w:rPr>
        <w:t>om</w:t>
      </w:r>
      <w:r w:rsidRPr="00D3458F">
        <w:rPr>
          <w:noProof/>
          <w:sz w:val="24"/>
          <w:szCs w:val="24"/>
        </w:rPr>
        <w:t xml:space="preserve"> </w:t>
      </w:r>
      <w:r w:rsidR="00FE3FF1">
        <w:rPr>
          <w:noProof/>
          <w:sz w:val="24"/>
          <w:szCs w:val="24"/>
        </w:rPr>
        <w:t xml:space="preserve">ovisi o veličini bogatstva te fakrorima likvdinosti, rizika i očekivanog povrata koji se vežu uz određeni obik imovine. </w:t>
      </w:r>
    </w:p>
    <w:p w:rsidR="00FE3FF1" w:rsidRDefault="00FE3FF1" w:rsidP="00FE3FF1">
      <w:pPr>
        <w:jc w:val="both"/>
        <w:rPr>
          <w:sz w:val="24"/>
          <w:szCs w:val="24"/>
        </w:rPr>
      </w:pPr>
      <w:r w:rsidRPr="00D3458F">
        <w:rPr>
          <w:noProof/>
          <w:sz w:val="24"/>
          <w:szCs w:val="24"/>
        </w:rPr>
        <w:t xml:space="preserve">Uz ostale varijable </w:t>
      </w:r>
      <w:r>
        <w:rPr>
          <w:noProof/>
          <w:sz w:val="24"/>
          <w:szCs w:val="24"/>
        </w:rPr>
        <w:t xml:space="preserve">nepromijenjene </w:t>
      </w:r>
      <w:r w:rsidRPr="00D3458F">
        <w:rPr>
          <w:noProof/>
          <w:sz w:val="24"/>
          <w:szCs w:val="24"/>
        </w:rPr>
        <w:t>(</w:t>
      </w:r>
      <w:r>
        <w:rPr>
          <w:noProof/>
          <w:sz w:val="24"/>
          <w:szCs w:val="24"/>
        </w:rPr>
        <w:t xml:space="preserve">isti </w:t>
      </w:r>
      <w:r w:rsidRPr="00D3458F">
        <w:rPr>
          <w:noProof/>
          <w:sz w:val="24"/>
          <w:szCs w:val="24"/>
        </w:rPr>
        <w:t xml:space="preserve">rizik, povrat i likvidnost), </w:t>
      </w:r>
      <w:r w:rsidRPr="00D3458F">
        <w:rPr>
          <w:noProof/>
          <w:color w:val="C00000"/>
          <w:sz w:val="24"/>
          <w:szCs w:val="24"/>
        </w:rPr>
        <w:t>potražnja za imovinom raste kada raste bogatstvo, jer se povećavaju resursi raspoloživi za kupnju nove imovine</w:t>
      </w:r>
      <w:r w:rsidRPr="00D3458F">
        <w:rPr>
          <w:noProof/>
          <w:sz w:val="24"/>
          <w:szCs w:val="24"/>
        </w:rPr>
        <w:t>. Novčani tok koji tome pogoduje je porast dohotka vezan uz rast plaće, prihode od honorarnih aktivnosti, ostvarene kapitalne dobitke, najamnine, rente i drugo. Kako se porast dohotka i bogatstva stanovništva događa u fazi ekspanzije poslovnog ciklusa, potražnja za imovinom uobičajeno raste u tom razdoblju. S druge strane usporedo sa smanjenjem dohotka i bogatstva tijekom recesije, događaju se i promjene u smanjenju potražnje za imovinom, posebice onom koja je manje likvidna i više rizična.</w:t>
      </w:r>
    </w:p>
    <w:p w:rsidR="00237EF5" w:rsidRPr="00FE3FF1" w:rsidRDefault="00237EF5" w:rsidP="00237EF5">
      <w:pPr>
        <w:spacing w:before="120" w:after="120"/>
        <w:jc w:val="both"/>
        <w:rPr>
          <w:noProof/>
          <w:sz w:val="24"/>
          <w:szCs w:val="24"/>
        </w:rPr>
      </w:pPr>
      <w:r w:rsidRPr="00D3458F">
        <w:rPr>
          <w:noProof/>
          <w:sz w:val="24"/>
          <w:szCs w:val="24"/>
        </w:rPr>
        <w:t xml:space="preserve">Uz uvjet da je sve ostalo nepromijenjeno, </w:t>
      </w:r>
      <w:r w:rsidRPr="00D3458F">
        <w:rPr>
          <w:noProof/>
          <w:color w:val="C00000"/>
          <w:sz w:val="24"/>
          <w:szCs w:val="24"/>
        </w:rPr>
        <w:t xml:space="preserve">potražnja za određenim oblikom imovine bit će tim veća što je imovina likvidnija </w:t>
      </w:r>
      <w:r w:rsidRPr="00FE3FF1">
        <w:rPr>
          <w:noProof/>
          <w:sz w:val="24"/>
          <w:szCs w:val="24"/>
        </w:rPr>
        <w:t>u usporedbi s  drugom imovinom</w:t>
      </w:r>
      <w:r w:rsidR="00FE3FF1" w:rsidRPr="00FE3FF1">
        <w:rPr>
          <w:noProof/>
          <w:sz w:val="24"/>
          <w:szCs w:val="24"/>
        </w:rPr>
        <w:t xml:space="preserve"> istog stupnja rizika i visine očekivanog povrata</w:t>
      </w:r>
      <w:r w:rsidRPr="00FE3FF1">
        <w:rPr>
          <w:noProof/>
          <w:sz w:val="24"/>
          <w:szCs w:val="24"/>
        </w:rPr>
        <w:t xml:space="preserve">. </w:t>
      </w:r>
    </w:p>
    <w:p w:rsidR="00237EF5" w:rsidRDefault="00237EF5" w:rsidP="00237EF5">
      <w:pPr>
        <w:spacing w:before="120" w:after="120"/>
        <w:jc w:val="both"/>
        <w:rPr>
          <w:noProof/>
          <w:sz w:val="24"/>
          <w:szCs w:val="24"/>
        </w:rPr>
      </w:pPr>
      <w:r w:rsidRPr="00D3458F">
        <w:rPr>
          <w:noProof/>
          <w:sz w:val="24"/>
          <w:szCs w:val="24"/>
        </w:rPr>
        <w:t xml:space="preserve">Očekivani povrat mjeri mogući dobitak od držanja određenog oblika imovine tijekom </w:t>
      </w:r>
      <w:r w:rsidR="00E31F29">
        <w:rPr>
          <w:noProof/>
          <w:sz w:val="24"/>
          <w:szCs w:val="24"/>
        </w:rPr>
        <w:t xml:space="preserve">određenog </w:t>
      </w:r>
      <w:r w:rsidRPr="00D3458F">
        <w:rPr>
          <w:noProof/>
          <w:sz w:val="24"/>
          <w:szCs w:val="24"/>
        </w:rPr>
        <w:t>razdoblj</w:t>
      </w:r>
      <w:r w:rsidR="00E31F29">
        <w:rPr>
          <w:noProof/>
          <w:sz w:val="24"/>
          <w:szCs w:val="24"/>
        </w:rPr>
        <w:t>a</w:t>
      </w:r>
      <w:r w:rsidRPr="00D3458F">
        <w:rPr>
          <w:noProof/>
          <w:sz w:val="24"/>
          <w:szCs w:val="24"/>
        </w:rPr>
        <w:t xml:space="preserve"> (na primjer godinu dana). Uz uvjet da sve ostalo ostane nepromijenjeno</w:t>
      </w:r>
      <w:r w:rsidR="00FE3FF1">
        <w:rPr>
          <w:noProof/>
          <w:sz w:val="24"/>
          <w:szCs w:val="24"/>
        </w:rPr>
        <w:t xml:space="preserve"> (isti rizik i likvidnost)</w:t>
      </w:r>
      <w:r w:rsidRPr="00D3458F">
        <w:rPr>
          <w:noProof/>
          <w:sz w:val="24"/>
          <w:szCs w:val="24"/>
        </w:rPr>
        <w:t xml:space="preserve">, </w:t>
      </w:r>
      <w:r w:rsidRPr="00D3458F">
        <w:rPr>
          <w:noProof/>
          <w:color w:val="C00000"/>
          <w:sz w:val="24"/>
          <w:szCs w:val="24"/>
        </w:rPr>
        <w:t>potražnja za određenim oblikom imovine bit će t</w:t>
      </w:r>
      <w:r w:rsidR="00E31F29">
        <w:rPr>
          <w:noProof/>
          <w:color w:val="C00000"/>
          <w:sz w:val="24"/>
          <w:szCs w:val="24"/>
        </w:rPr>
        <w:t>im</w:t>
      </w:r>
      <w:r w:rsidRPr="00D3458F">
        <w:rPr>
          <w:noProof/>
          <w:color w:val="C00000"/>
          <w:sz w:val="24"/>
          <w:szCs w:val="24"/>
        </w:rPr>
        <w:t xml:space="preserve"> veća što je veći očekivani povrat te imovine u odnosu na očekivani povrat drugih oblika imovine</w:t>
      </w:r>
      <w:r w:rsidRPr="00D3458F">
        <w:rPr>
          <w:noProof/>
          <w:sz w:val="24"/>
          <w:szCs w:val="24"/>
        </w:rPr>
        <w:t xml:space="preserve">. </w:t>
      </w:r>
    </w:p>
    <w:p w:rsidR="00BF0409" w:rsidRPr="00BF0409" w:rsidRDefault="00BF0409" w:rsidP="00BF0409">
      <w:pPr>
        <w:spacing w:before="120"/>
        <w:jc w:val="both"/>
        <w:rPr>
          <w:noProof/>
          <w:sz w:val="24"/>
          <w:szCs w:val="24"/>
        </w:rPr>
      </w:pPr>
      <w:r w:rsidRPr="00BF0409">
        <w:rPr>
          <w:noProof/>
          <w:sz w:val="24"/>
          <w:szCs w:val="24"/>
        </w:rPr>
        <w:t>Očekivani povrat utvrđuje se kao ponderirani prosjek dvije ili više mogućih stopa povrata od ulaganja, pri čemu su ponderi definirani vjerojatnošću ostvarivanja određenih stopa povrata u definiranom razdoblju držanja imovine. Očekivani povrat matematički se može izraziti na sljedeći način:</w:t>
      </w:r>
    </w:p>
    <w:p w:rsidR="00BF0409" w:rsidRPr="00FE3FF1" w:rsidRDefault="00BF0409" w:rsidP="00CC4C58">
      <w:pPr>
        <w:spacing w:after="0" w:line="240" w:lineRule="auto"/>
        <w:jc w:val="center"/>
        <w:rPr>
          <w:sz w:val="28"/>
          <w:szCs w:val="28"/>
        </w:rPr>
      </w:pPr>
      <w:r w:rsidRPr="00FE3FF1">
        <w:rPr>
          <w:sz w:val="28"/>
          <w:szCs w:val="28"/>
        </w:rPr>
        <w:t>R</w:t>
      </w:r>
      <w:r w:rsidRPr="00FE3FF1">
        <w:rPr>
          <w:sz w:val="28"/>
          <w:szCs w:val="28"/>
          <w:vertAlign w:val="superscript"/>
        </w:rPr>
        <w:t>e</w:t>
      </w:r>
      <w:r w:rsidRPr="00FE3FF1">
        <w:rPr>
          <w:sz w:val="28"/>
          <w:szCs w:val="28"/>
        </w:rPr>
        <w:t xml:space="preserve"> = </w:t>
      </w:r>
      <w:r w:rsidRPr="00FE3FF1">
        <w:rPr>
          <w:rFonts w:ascii="Arial" w:hAnsi="Arial" w:cs="Arial"/>
          <w:sz w:val="28"/>
          <w:szCs w:val="28"/>
        </w:rPr>
        <w:t>ρ</w:t>
      </w:r>
      <w:r w:rsidRPr="00FE3FF1">
        <w:rPr>
          <w:sz w:val="28"/>
          <w:szCs w:val="28"/>
          <w:vertAlign w:val="subscript"/>
        </w:rPr>
        <w:t>1</w:t>
      </w:r>
      <w:r w:rsidRPr="00FE3FF1">
        <w:rPr>
          <w:sz w:val="28"/>
          <w:szCs w:val="28"/>
        </w:rPr>
        <w:t xml:space="preserve"> R</w:t>
      </w:r>
      <w:r w:rsidRPr="00FE3FF1">
        <w:rPr>
          <w:sz w:val="28"/>
          <w:szCs w:val="28"/>
          <w:vertAlign w:val="subscript"/>
        </w:rPr>
        <w:t>1</w:t>
      </w:r>
      <w:r w:rsidRPr="00FE3FF1">
        <w:rPr>
          <w:sz w:val="28"/>
          <w:szCs w:val="28"/>
        </w:rPr>
        <w:t xml:space="preserve"> + </w:t>
      </w:r>
      <w:r w:rsidRPr="00FE3FF1">
        <w:rPr>
          <w:rFonts w:ascii="Arial" w:hAnsi="Arial" w:cs="Arial"/>
          <w:sz w:val="28"/>
          <w:szCs w:val="28"/>
        </w:rPr>
        <w:t>ρ</w:t>
      </w:r>
      <w:r w:rsidRPr="00FE3FF1">
        <w:rPr>
          <w:sz w:val="28"/>
          <w:szCs w:val="28"/>
          <w:vertAlign w:val="subscript"/>
        </w:rPr>
        <w:t xml:space="preserve"> 2</w:t>
      </w:r>
      <w:r w:rsidRPr="00FE3FF1">
        <w:rPr>
          <w:sz w:val="28"/>
          <w:szCs w:val="28"/>
        </w:rPr>
        <w:t xml:space="preserve"> R</w:t>
      </w:r>
      <w:r w:rsidRPr="00FE3FF1">
        <w:rPr>
          <w:sz w:val="28"/>
          <w:szCs w:val="28"/>
          <w:vertAlign w:val="subscript"/>
        </w:rPr>
        <w:t>2</w:t>
      </w:r>
      <w:r w:rsidRPr="00FE3FF1">
        <w:rPr>
          <w:sz w:val="28"/>
          <w:szCs w:val="28"/>
        </w:rPr>
        <w:t xml:space="preserve"> + … + </w:t>
      </w:r>
      <w:r w:rsidRPr="00FE3FF1">
        <w:rPr>
          <w:rFonts w:ascii="Arial" w:hAnsi="Arial" w:cs="Arial"/>
          <w:sz w:val="28"/>
          <w:szCs w:val="28"/>
        </w:rPr>
        <w:t>ρ</w:t>
      </w:r>
      <w:r w:rsidRPr="00FE3FF1">
        <w:rPr>
          <w:sz w:val="28"/>
          <w:szCs w:val="28"/>
          <w:vertAlign w:val="subscript"/>
        </w:rPr>
        <w:t xml:space="preserve"> n</w:t>
      </w:r>
      <w:r w:rsidRPr="00FE3FF1">
        <w:rPr>
          <w:sz w:val="28"/>
          <w:szCs w:val="28"/>
        </w:rPr>
        <w:t xml:space="preserve"> R</w:t>
      </w:r>
      <w:r w:rsidRPr="00FE3FF1">
        <w:rPr>
          <w:sz w:val="28"/>
          <w:szCs w:val="28"/>
          <w:vertAlign w:val="subscript"/>
        </w:rPr>
        <w:t>n</w:t>
      </w:r>
      <w:r w:rsidRPr="00FE3FF1">
        <w:rPr>
          <w:sz w:val="28"/>
          <w:szCs w:val="28"/>
        </w:rPr>
        <w:t>,</w:t>
      </w:r>
    </w:p>
    <w:p w:rsidR="00BF0409" w:rsidRPr="00BF0409" w:rsidRDefault="00BF0409" w:rsidP="00CC4C58">
      <w:pPr>
        <w:spacing w:after="0" w:line="264" w:lineRule="auto"/>
        <w:jc w:val="both"/>
        <w:rPr>
          <w:sz w:val="24"/>
          <w:szCs w:val="24"/>
        </w:rPr>
      </w:pPr>
      <w:r w:rsidRPr="00BF0409">
        <w:rPr>
          <w:sz w:val="24"/>
          <w:szCs w:val="24"/>
        </w:rPr>
        <w:t>gdje je:</w:t>
      </w:r>
    </w:p>
    <w:p w:rsidR="00BF0409" w:rsidRPr="00BF0409" w:rsidRDefault="00BF0409" w:rsidP="00CC4C58">
      <w:pPr>
        <w:spacing w:after="0" w:line="264" w:lineRule="auto"/>
        <w:jc w:val="both"/>
        <w:rPr>
          <w:sz w:val="24"/>
          <w:szCs w:val="24"/>
        </w:rPr>
      </w:pPr>
      <w:r w:rsidRPr="00FE3FF1">
        <w:rPr>
          <w:sz w:val="28"/>
          <w:szCs w:val="28"/>
        </w:rPr>
        <w:t>R</w:t>
      </w:r>
      <w:r w:rsidRPr="00FE3FF1">
        <w:rPr>
          <w:sz w:val="28"/>
          <w:szCs w:val="28"/>
          <w:vertAlign w:val="superscript"/>
        </w:rPr>
        <w:t>e</w:t>
      </w:r>
      <w:r w:rsidRPr="00FE3FF1">
        <w:rPr>
          <w:sz w:val="28"/>
          <w:szCs w:val="28"/>
        </w:rPr>
        <w:t xml:space="preserve"> </w:t>
      </w:r>
      <w:r w:rsidRPr="00BF0409">
        <w:rPr>
          <w:sz w:val="24"/>
          <w:szCs w:val="24"/>
        </w:rPr>
        <w:t>– očekivani povrat u definiranom razdoblju (očekivana stopa povrata)</w:t>
      </w:r>
    </w:p>
    <w:p w:rsidR="00BF0409" w:rsidRPr="00BF0409" w:rsidRDefault="00BF0409" w:rsidP="00CC4C58">
      <w:pPr>
        <w:spacing w:after="0" w:line="264" w:lineRule="auto"/>
        <w:jc w:val="both"/>
        <w:rPr>
          <w:sz w:val="24"/>
          <w:szCs w:val="24"/>
        </w:rPr>
      </w:pPr>
      <w:r w:rsidRPr="00FE3FF1">
        <w:rPr>
          <w:sz w:val="28"/>
          <w:szCs w:val="28"/>
        </w:rPr>
        <w:t>R</w:t>
      </w:r>
      <w:r w:rsidRPr="00FE3FF1">
        <w:rPr>
          <w:sz w:val="28"/>
          <w:szCs w:val="28"/>
          <w:vertAlign w:val="subscript"/>
        </w:rPr>
        <w:t>i</w:t>
      </w:r>
      <w:r w:rsidRPr="00FE3FF1">
        <w:rPr>
          <w:sz w:val="28"/>
          <w:szCs w:val="28"/>
        </w:rPr>
        <w:t xml:space="preserve"> </w:t>
      </w:r>
      <w:r w:rsidRPr="00BF0409">
        <w:rPr>
          <w:sz w:val="24"/>
          <w:szCs w:val="24"/>
        </w:rPr>
        <w:t xml:space="preserve">– stopa povrata (povrat), za </w:t>
      </w:r>
      <w:r w:rsidRPr="00BF0409">
        <w:rPr>
          <w:i/>
          <w:sz w:val="24"/>
          <w:szCs w:val="24"/>
        </w:rPr>
        <w:t xml:space="preserve">i </w:t>
      </w:r>
      <w:r w:rsidRPr="00BF0409">
        <w:rPr>
          <w:sz w:val="24"/>
          <w:szCs w:val="24"/>
        </w:rPr>
        <w:t>= 1, 2 … n</w:t>
      </w:r>
    </w:p>
    <w:p w:rsidR="00BF0409" w:rsidRPr="00BF0409" w:rsidRDefault="00BF0409" w:rsidP="00CC4C58">
      <w:pPr>
        <w:spacing w:after="0" w:line="264" w:lineRule="auto"/>
        <w:jc w:val="both"/>
        <w:rPr>
          <w:sz w:val="24"/>
          <w:szCs w:val="24"/>
        </w:rPr>
      </w:pPr>
      <w:r w:rsidRPr="00FE3FF1">
        <w:rPr>
          <w:rFonts w:ascii="Arial" w:hAnsi="Arial" w:cs="Arial"/>
          <w:sz w:val="28"/>
          <w:szCs w:val="28"/>
        </w:rPr>
        <w:t>ρ</w:t>
      </w:r>
      <w:r w:rsidRPr="00FE3FF1">
        <w:rPr>
          <w:sz w:val="28"/>
          <w:szCs w:val="28"/>
          <w:vertAlign w:val="subscript"/>
        </w:rPr>
        <w:t>i</w:t>
      </w:r>
      <w:r w:rsidRPr="00FE3FF1">
        <w:rPr>
          <w:sz w:val="28"/>
          <w:szCs w:val="28"/>
        </w:rPr>
        <w:t xml:space="preserve"> –</w:t>
      </w:r>
      <w:r w:rsidRPr="00BF0409">
        <w:rPr>
          <w:sz w:val="24"/>
          <w:szCs w:val="24"/>
        </w:rPr>
        <w:t xml:space="preserve"> vjerojatnost ostvarivanja stope povrata R</w:t>
      </w:r>
      <w:r w:rsidRPr="00BF0409">
        <w:rPr>
          <w:sz w:val="24"/>
          <w:szCs w:val="24"/>
          <w:vertAlign w:val="subscript"/>
        </w:rPr>
        <w:t>i</w:t>
      </w:r>
      <w:r w:rsidRPr="00BF0409">
        <w:rPr>
          <w:sz w:val="24"/>
          <w:szCs w:val="24"/>
        </w:rPr>
        <w:t xml:space="preserve">, za </w:t>
      </w:r>
      <w:r w:rsidRPr="00BF0409">
        <w:rPr>
          <w:i/>
          <w:sz w:val="24"/>
          <w:szCs w:val="24"/>
        </w:rPr>
        <w:t xml:space="preserve">i </w:t>
      </w:r>
      <w:r w:rsidRPr="00BF0409">
        <w:rPr>
          <w:sz w:val="24"/>
          <w:szCs w:val="24"/>
        </w:rPr>
        <w:t>= 1, 2 … n</w:t>
      </w:r>
    </w:p>
    <w:p w:rsidR="00BF0409" w:rsidRPr="00BF0409" w:rsidRDefault="00BF0409" w:rsidP="00CC4C58">
      <w:pPr>
        <w:spacing w:after="0" w:line="264" w:lineRule="auto"/>
        <w:jc w:val="both"/>
        <w:rPr>
          <w:sz w:val="24"/>
          <w:szCs w:val="24"/>
        </w:rPr>
      </w:pPr>
      <w:r w:rsidRPr="00FE3FF1">
        <w:rPr>
          <w:i/>
          <w:sz w:val="28"/>
          <w:szCs w:val="28"/>
        </w:rPr>
        <w:t>i</w:t>
      </w:r>
      <w:r w:rsidRPr="00FE3FF1">
        <w:rPr>
          <w:sz w:val="28"/>
          <w:szCs w:val="28"/>
        </w:rPr>
        <w:t xml:space="preserve"> </w:t>
      </w:r>
      <w:r w:rsidRPr="00BF0409">
        <w:rPr>
          <w:sz w:val="24"/>
          <w:szCs w:val="24"/>
        </w:rPr>
        <w:t>– broj mogućih ishoda.</w:t>
      </w:r>
    </w:p>
    <w:p w:rsidR="00BF0409" w:rsidRPr="00BF0409" w:rsidRDefault="00BF0409" w:rsidP="00CC4C58">
      <w:pPr>
        <w:spacing w:before="240"/>
        <w:jc w:val="both"/>
        <w:rPr>
          <w:sz w:val="24"/>
          <w:szCs w:val="24"/>
        </w:rPr>
      </w:pPr>
      <w:r w:rsidRPr="00BF0409">
        <w:rPr>
          <w:sz w:val="24"/>
          <w:szCs w:val="24"/>
        </w:rPr>
        <w:t xml:space="preserve">Stopa povrata </w:t>
      </w:r>
      <w:r w:rsidRPr="00FE3FF1">
        <w:rPr>
          <w:sz w:val="28"/>
          <w:szCs w:val="28"/>
        </w:rPr>
        <w:t>R</w:t>
      </w:r>
      <w:r w:rsidRPr="00FE3FF1">
        <w:rPr>
          <w:sz w:val="28"/>
          <w:szCs w:val="28"/>
          <w:vertAlign w:val="subscript"/>
        </w:rPr>
        <w:t>i</w:t>
      </w:r>
      <w:r w:rsidRPr="00BF0409">
        <w:rPr>
          <w:sz w:val="24"/>
          <w:szCs w:val="24"/>
        </w:rPr>
        <w:t xml:space="preserve"> predstavlja omjer </w:t>
      </w:r>
      <w:r>
        <w:rPr>
          <w:sz w:val="24"/>
          <w:szCs w:val="24"/>
        </w:rPr>
        <w:t xml:space="preserve">ukupne </w:t>
      </w:r>
      <w:r w:rsidRPr="00BF0409">
        <w:rPr>
          <w:sz w:val="24"/>
          <w:szCs w:val="24"/>
        </w:rPr>
        <w:t>zarade od imovine i kupovne cijene imovine. Pri</w:t>
      </w:r>
      <w:r>
        <w:rPr>
          <w:sz w:val="24"/>
          <w:szCs w:val="24"/>
        </w:rPr>
        <w:t xml:space="preserve"> </w:t>
      </w:r>
      <w:r w:rsidRPr="00BF0409">
        <w:rPr>
          <w:sz w:val="24"/>
          <w:szCs w:val="24"/>
        </w:rPr>
        <w:t>tom</w:t>
      </w:r>
      <w:r>
        <w:rPr>
          <w:sz w:val="24"/>
          <w:szCs w:val="24"/>
        </w:rPr>
        <w:t>e</w:t>
      </w:r>
      <w:r w:rsidRPr="00BF0409">
        <w:rPr>
          <w:sz w:val="24"/>
          <w:szCs w:val="24"/>
        </w:rPr>
        <w:t xml:space="preserve"> se s aspekta </w:t>
      </w:r>
      <w:r>
        <w:rPr>
          <w:sz w:val="24"/>
          <w:szCs w:val="24"/>
        </w:rPr>
        <w:t xml:space="preserve">zarade </w:t>
      </w:r>
      <w:r w:rsidRPr="00BF0409">
        <w:rPr>
          <w:sz w:val="24"/>
          <w:szCs w:val="24"/>
        </w:rPr>
        <w:t>od imovine uzima u obzir: 1) razlika u cijeni imovine na početku i na kraju razdoblja držanja (razlika prodajne i kupovne cijene imovine</w:t>
      </w:r>
      <w:r>
        <w:rPr>
          <w:sz w:val="24"/>
          <w:szCs w:val="24"/>
        </w:rPr>
        <w:t xml:space="preserve"> – kapitalni dobitak/gubitak) te 2) svi prihodi</w:t>
      </w:r>
      <w:r w:rsidRPr="00BF0409">
        <w:rPr>
          <w:sz w:val="24"/>
          <w:szCs w:val="24"/>
        </w:rPr>
        <w:t xml:space="preserve"> koje držanje imovine donosi vlasniku (ovisno o vrsti imovine to mogu biti: kamate, dividende, rente, najamnine itd.). </w:t>
      </w:r>
    </w:p>
    <w:p w:rsidR="00BF0409" w:rsidRPr="003651E8" w:rsidRDefault="00BF0409" w:rsidP="00BF0409">
      <w:pPr>
        <w:spacing w:before="120"/>
        <w:jc w:val="both"/>
      </w:pPr>
      <w:r w:rsidRPr="003651E8">
        <w:t xml:space="preserve">U slučaju kuponske obveznice povrat </w:t>
      </w:r>
      <w:r w:rsidRPr="00FE3FF1">
        <w:rPr>
          <w:sz w:val="28"/>
          <w:szCs w:val="28"/>
        </w:rPr>
        <w:t>R</w:t>
      </w:r>
      <w:r w:rsidRPr="00FE3FF1">
        <w:rPr>
          <w:sz w:val="28"/>
          <w:szCs w:val="28"/>
          <w:vertAlign w:val="subscript"/>
        </w:rPr>
        <w:t>i</w:t>
      </w:r>
      <w:r w:rsidRPr="003651E8">
        <w:t xml:space="preserve"> </w:t>
      </w:r>
      <w:r>
        <w:t xml:space="preserve">može se izračunati korištenjem </w:t>
      </w:r>
      <w:r w:rsidRPr="003651E8">
        <w:t>izraz</w:t>
      </w:r>
      <w:r>
        <w:t>a</w:t>
      </w:r>
      <w:r w:rsidRPr="003651E8">
        <w:t>:</w:t>
      </w:r>
    </w:p>
    <w:p w:rsidR="00BF0409" w:rsidRPr="00FE3FF1" w:rsidRDefault="00BF0409" w:rsidP="00CC4C58">
      <w:pPr>
        <w:spacing w:after="0" w:line="240" w:lineRule="auto"/>
        <w:jc w:val="center"/>
        <w:rPr>
          <w:sz w:val="28"/>
          <w:szCs w:val="28"/>
        </w:rPr>
      </w:pPr>
      <w:r w:rsidRPr="00FE3FF1">
        <w:rPr>
          <w:sz w:val="28"/>
          <w:szCs w:val="28"/>
        </w:rPr>
        <w:lastRenderedPageBreak/>
        <w:t xml:space="preserve">R = </w:t>
      </w:r>
      <w:r w:rsidRPr="00FE3FF1">
        <w:rPr>
          <w:position w:val="-30"/>
          <w:sz w:val="28"/>
          <w:szCs w:val="28"/>
        </w:rPr>
        <w:object w:dxaOrig="1320" w:dyaOrig="700">
          <v:shape id="_x0000_i1041" type="#_x0000_t75" style="width:66pt;height:35.25pt" o:ole="">
            <v:imagedata r:id="rId106" o:title=""/>
          </v:shape>
          <o:OLEObject Type="Embed" ProgID="Equation.3" ShapeID="_x0000_i1041" DrawAspect="Content" ObjectID="_1505681369" r:id="rId107"/>
        </w:object>
      </w:r>
      <w:r w:rsidRPr="00FE3FF1">
        <w:rPr>
          <w:sz w:val="28"/>
          <w:szCs w:val="28"/>
        </w:rPr>
        <w:t xml:space="preserve"> = </w:t>
      </w:r>
      <w:r w:rsidRPr="00FE3FF1">
        <w:rPr>
          <w:position w:val="-30"/>
          <w:sz w:val="28"/>
          <w:szCs w:val="28"/>
        </w:rPr>
        <w:object w:dxaOrig="320" w:dyaOrig="680">
          <v:shape id="_x0000_i1042" type="#_x0000_t75" style="width:15.75pt;height:33.75pt" o:ole="">
            <v:imagedata r:id="rId108" o:title=""/>
          </v:shape>
          <o:OLEObject Type="Embed" ProgID="Equation.3" ShapeID="_x0000_i1042" DrawAspect="Content" ObjectID="_1505681370" r:id="rId109"/>
        </w:object>
      </w:r>
      <w:r w:rsidRPr="00FE3FF1">
        <w:rPr>
          <w:sz w:val="28"/>
          <w:szCs w:val="28"/>
        </w:rPr>
        <w:t xml:space="preserve">+ </w:t>
      </w:r>
      <w:r w:rsidRPr="00FE3FF1">
        <w:rPr>
          <w:position w:val="-30"/>
          <w:sz w:val="28"/>
          <w:szCs w:val="28"/>
        </w:rPr>
        <w:object w:dxaOrig="920" w:dyaOrig="700">
          <v:shape id="_x0000_i1043" type="#_x0000_t75" style="width:45.75pt;height:35.25pt" o:ole="">
            <v:imagedata r:id="rId110" o:title=""/>
          </v:shape>
          <o:OLEObject Type="Embed" ProgID="Equation.3" ShapeID="_x0000_i1043" DrawAspect="Content" ObjectID="_1505681371" r:id="rId111"/>
        </w:object>
      </w:r>
      <w:r w:rsidRPr="00FE3FF1">
        <w:rPr>
          <w:sz w:val="28"/>
          <w:szCs w:val="28"/>
        </w:rPr>
        <w:t>= i</w:t>
      </w:r>
      <w:r w:rsidRPr="00FE3FF1">
        <w:rPr>
          <w:sz w:val="28"/>
          <w:szCs w:val="28"/>
          <w:vertAlign w:val="subscript"/>
        </w:rPr>
        <w:t>c</w:t>
      </w:r>
      <w:r w:rsidRPr="00FE3FF1">
        <w:rPr>
          <w:sz w:val="28"/>
          <w:szCs w:val="28"/>
        </w:rPr>
        <w:t xml:space="preserve"> + g</w:t>
      </w:r>
    </w:p>
    <w:p w:rsidR="00BF0409" w:rsidRPr="003651E8" w:rsidRDefault="00BF0409" w:rsidP="00CC4C58">
      <w:pPr>
        <w:spacing w:after="0" w:line="264" w:lineRule="auto"/>
        <w:jc w:val="both"/>
      </w:pPr>
      <w:r w:rsidRPr="003651E8">
        <w:t>gdje je:</w:t>
      </w:r>
    </w:p>
    <w:p w:rsidR="00BF0409" w:rsidRPr="003651E8" w:rsidRDefault="00BF0409" w:rsidP="00CC4C58">
      <w:pPr>
        <w:spacing w:after="0" w:line="264" w:lineRule="auto"/>
        <w:jc w:val="both"/>
      </w:pPr>
      <w:r w:rsidRPr="00FE3FF1">
        <w:rPr>
          <w:sz w:val="28"/>
          <w:szCs w:val="28"/>
        </w:rPr>
        <w:t xml:space="preserve">R </w:t>
      </w:r>
      <w:r w:rsidRPr="003651E8">
        <w:t>– povrat od držanja obveznice od vremena t do vremena t+k (za k = 1,2, …m)</w:t>
      </w:r>
    </w:p>
    <w:p w:rsidR="00BF0409" w:rsidRPr="003651E8" w:rsidRDefault="00BF0409" w:rsidP="00CC4C58">
      <w:pPr>
        <w:spacing w:after="0" w:line="264" w:lineRule="auto"/>
        <w:jc w:val="both"/>
      </w:pPr>
      <w:r w:rsidRPr="00FE3FF1">
        <w:rPr>
          <w:sz w:val="28"/>
          <w:szCs w:val="28"/>
        </w:rPr>
        <w:t>P</w:t>
      </w:r>
      <w:r w:rsidRPr="00FE3FF1">
        <w:rPr>
          <w:sz w:val="28"/>
          <w:szCs w:val="28"/>
          <w:vertAlign w:val="subscript"/>
        </w:rPr>
        <w:t>t</w:t>
      </w:r>
      <w:r w:rsidRPr="003651E8">
        <w:t xml:space="preserve"> – cijena obveznice u vremenu t</w:t>
      </w:r>
    </w:p>
    <w:p w:rsidR="00BF0409" w:rsidRPr="003651E8" w:rsidRDefault="00BF0409" w:rsidP="00CC4C58">
      <w:pPr>
        <w:spacing w:after="0" w:line="264" w:lineRule="auto"/>
        <w:jc w:val="both"/>
      </w:pPr>
      <w:r w:rsidRPr="00FE3FF1">
        <w:rPr>
          <w:sz w:val="28"/>
          <w:szCs w:val="28"/>
        </w:rPr>
        <w:t>P</w:t>
      </w:r>
      <w:r w:rsidRPr="00FE3FF1">
        <w:rPr>
          <w:sz w:val="28"/>
          <w:szCs w:val="28"/>
          <w:vertAlign w:val="subscript"/>
        </w:rPr>
        <w:t>t+k</w:t>
      </w:r>
      <w:r w:rsidRPr="003651E8">
        <w:t xml:space="preserve"> – cijena obveznice u vremenu t+k</w:t>
      </w:r>
    </w:p>
    <w:p w:rsidR="00BF0409" w:rsidRPr="003651E8" w:rsidRDefault="00BF0409" w:rsidP="00CC4C58">
      <w:pPr>
        <w:spacing w:after="0" w:line="264" w:lineRule="auto"/>
        <w:jc w:val="both"/>
      </w:pPr>
      <w:r w:rsidRPr="00FE3FF1">
        <w:rPr>
          <w:sz w:val="28"/>
          <w:szCs w:val="28"/>
        </w:rPr>
        <w:t xml:space="preserve">C </w:t>
      </w:r>
      <w:r w:rsidRPr="003651E8">
        <w:t>– isplata/e kuponske kamate</w:t>
      </w:r>
    </w:p>
    <w:p w:rsidR="00BF0409" w:rsidRPr="003651E8" w:rsidRDefault="00BF0409" w:rsidP="00CC4C58">
      <w:pPr>
        <w:spacing w:after="0" w:line="264" w:lineRule="auto"/>
        <w:jc w:val="both"/>
      </w:pPr>
      <w:r w:rsidRPr="00FE3FF1">
        <w:rPr>
          <w:sz w:val="28"/>
          <w:szCs w:val="28"/>
        </w:rPr>
        <w:t>i</w:t>
      </w:r>
      <w:r w:rsidRPr="00FE3FF1">
        <w:rPr>
          <w:sz w:val="28"/>
          <w:szCs w:val="28"/>
          <w:vertAlign w:val="subscript"/>
        </w:rPr>
        <w:t>c</w:t>
      </w:r>
      <w:r w:rsidRPr="003651E8">
        <w:t xml:space="preserve"> – tekući prinos, </w:t>
      </w:r>
      <w:r w:rsidRPr="00FE3FF1">
        <w:rPr>
          <w:sz w:val="28"/>
          <w:szCs w:val="28"/>
        </w:rPr>
        <w:t>i</w:t>
      </w:r>
      <w:r w:rsidRPr="00FE3FF1">
        <w:rPr>
          <w:sz w:val="28"/>
          <w:szCs w:val="28"/>
          <w:vertAlign w:val="subscript"/>
        </w:rPr>
        <w:t>c</w:t>
      </w:r>
      <w:r w:rsidRPr="00FE3FF1">
        <w:rPr>
          <w:sz w:val="28"/>
          <w:szCs w:val="28"/>
        </w:rPr>
        <w:t xml:space="preserve"> = </w:t>
      </w:r>
      <w:r w:rsidRPr="00FE3FF1">
        <w:rPr>
          <w:position w:val="-30"/>
          <w:sz w:val="28"/>
          <w:szCs w:val="28"/>
        </w:rPr>
        <w:object w:dxaOrig="320" w:dyaOrig="680">
          <v:shape id="_x0000_i1044" type="#_x0000_t75" style="width:15.75pt;height:33.75pt" o:ole="">
            <v:imagedata r:id="rId112" o:title=""/>
          </v:shape>
          <o:OLEObject Type="Embed" ProgID="Equation.3" ShapeID="_x0000_i1044" DrawAspect="Content" ObjectID="_1505681372" r:id="rId113"/>
        </w:object>
      </w:r>
    </w:p>
    <w:p w:rsidR="00BF0409" w:rsidRPr="003651E8" w:rsidRDefault="00BF0409" w:rsidP="00CC4C58">
      <w:pPr>
        <w:spacing w:after="0" w:line="264" w:lineRule="auto"/>
        <w:jc w:val="both"/>
      </w:pPr>
      <w:r w:rsidRPr="00FE3FF1">
        <w:rPr>
          <w:sz w:val="28"/>
          <w:szCs w:val="28"/>
        </w:rPr>
        <w:t xml:space="preserve">g </w:t>
      </w:r>
      <w:r w:rsidRPr="003651E8">
        <w:t xml:space="preserve">– stopa kapitalnog dobitka, </w:t>
      </w:r>
      <w:r w:rsidRPr="00FE3FF1">
        <w:rPr>
          <w:sz w:val="28"/>
          <w:szCs w:val="28"/>
        </w:rPr>
        <w:t>g =</w:t>
      </w:r>
      <w:r w:rsidRPr="003651E8">
        <w:t xml:space="preserve"> </w:t>
      </w:r>
      <w:r w:rsidR="00FE3FF1" w:rsidRPr="00FE3FF1">
        <w:rPr>
          <w:position w:val="-30"/>
          <w:sz w:val="28"/>
          <w:szCs w:val="28"/>
        </w:rPr>
        <w:object w:dxaOrig="920" w:dyaOrig="700">
          <v:shape id="_x0000_i1045" type="#_x0000_t75" style="width:49.5pt;height:38.25pt" o:ole="">
            <v:imagedata r:id="rId114" o:title=""/>
          </v:shape>
          <o:OLEObject Type="Embed" ProgID="Equation.3" ShapeID="_x0000_i1045" DrawAspect="Content" ObjectID="_1505681373" r:id="rId115"/>
        </w:object>
      </w:r>
      <w:r w:rsidRPr="003651E8">
        <w:t>.</w:t>
      </w:r>
      <w:r w:rsidRPr="00FE3FF1">
        <w:rPr>
          <w:rStyle w:val="Referencafusnote"/>
          <w:sz w:val="24"/>
          <w:szCs w:val="24"/>
        </w:rPr>
        <w:footnoteReference w:id="58"/>
      </w:r>
    </w:p>
    <w:p w:rsidR="00237EF5" w:rsidRDefault="00237EF5" w:rsidP="00237EF5">
      <w:pPr>
        <w:spacing w:before="120" w:after="120"/>
        <w:jc w:val="both"/>
        <w:rPr>
          <w:noProof/>
          <w:sz w:val="24"/>
          <w:szCs w:val="24"/>
        </w:rPr>
      </w:pPr>
      <w:r w:rsidRPr="00D3458F">
        <w:rPr>
          <w:noProof/>
          <w:sz w:val="24"/>
          <w:szCs w:val="24"/>
        </w:rPr>
        <w:t>Rizik</w:t>
      </w:r>
      <w:r>
        <w:rPr>
          <w:noProof/>
          <w:sz w:val="24"/>
          <w:szCs w:val="24"/>
        </w:rPr>
        <w:t xml:space="preserve"> držanja određene imovine</w:t>
      </w:r>
      <w:r w:rsidRPr="00D3458F">
        <w:rPr>
          <w:noProof/>
          <w:sz w:val="24"/>
          <w:szCs w:val="24"/>
        </w:rPr>
        <w:t xml:space="preserve"> </w:t>
      </w:r>
      <w:r>
        <w:rPr>
          <w:noProof/>
          <w:sz w:val="24"/>
          <w:szCs w:val="24"/>
        </w:rPr>
        <w:t xml:space="preserve">(financijskih instrumenata, npr. dionica, udjela u dioničkom investicijskm fondu itd.) </w:t>
      </w:r>
      <w:r w:rsidRPr="00D3458F">
        <w:rPr>
          <w:noProof/>
          <w:sz w:val="24"/>
          <w:szCs w:val="24"/>
        </w:rPr>
        <w:t>vezan</w:t>
      </w:r>
      <w:r w:rsidR="00CC4C58">
        <w:rPr>
          <w:noProof/>
          <w:sz w:val="24"/>
          <w:szCs w:val="24"/>
        </w:rPr>
        <w:t xml:space="preserve"> je</w:t>
      </w:r>
      <w:r w:rsidRPr="00D3458F">
        <w:rPr>
          <w:noProof/>
          <w:sz w:val="24"/>
          <w:szCs w:val="24"/>
        </w:rPr>
        <w:t xml:space="preserve"> uz neizvjesnost ostvarivanja očekivanog povrata.</w:t>
      </w:r>
      <w:r w:rsidR="00CC4C58">
        <w:rPr>
          <w:noProof/>
          <w:sz w:val="24"/>
          <w:szCs w:val="24"/>
        </w:rPr>
        <w:t xml:space="preserve"> </w:t>
      </w:r>
      <w:r w:rsidRPr="00D3458F">
        <w:rPr>
          <w:noProof/>
          <w:color w:val="C00000"/>
          <w:sz w:val="24"/>
          <w:szCs w:val="24"/>
        </w:rPr>
        <w:t>Potražnja za određenim oblikom imovine je negativno korelirana sa stupnjem rizika pojedinačne imovine u odnosu na stupanj rizika drugih oblika imovine</w:t>
      </w:r>
      <w:r w:rsidRPr="00D3458F">
        <w:rPr>
          <w:noProof/>
          <w:sz w:val="24"/>
          <w:szCs w:val="24"/>
        </w:rPr>
        <w:t>. Naime, većina ulagača su osobe s averzijom prema riziku, pa je njihova potražnja za imovinom veća kad postoji manja neizvjesnost očekivanog povrata na imovinu. Doduše, dio ulagača na tržištu ima sklonost prema riziku i njihova je funkcija potražnje drukčije definirana od opisane funkcije potražnje osoba s averzijom prema riziku.</w:t>
      </w:r>
      <w:r w:rsidR="00FE3FF1" w:rsidRPr="00FE3FF1">
        <w:rPr>
          <w:rStyle w:val="Referencafusnote"/>
        </w:rPr>
        <w:t xml:space="preserve"> </w:t>
      </w:r>
      <w:r w:rsidR="00FE3FF1" w:rsidRPr="003651E8">
        <w:rPr>
          <w:rStyle w:val="Referencafusnote"/>
        </w:rPr>
        <w:footnoteReference w:id="59"/>
      </w:r>
      <w:r>
        <w:rPr>
          <w:noProof/>
          <w:sz w:val="24"/>
          <w:szCs w:val="24"/>
        </w:rPr>
        <w:t xml:space="preserve"> </w:t>
      </w:r>
    </w:p>
    <w:p w:rsidR="00834F34" w:rsidRDefault="00CC4C58" w:rsidP="00CC4C58">
      <w:pPr>
        <w:spacing w:before="120" w:after="120"/>
        <w:jc w:val="both"/>
        <w:rPr>
          <w:noProof/>
          <w:sz w:val="24"/>
          <w:szCs w:val="24"/>
        </w:rPr>
      </w:pPr>
      <w:r>
        <w:rPr>
          <w:noProof/>
          <w:sz w:val="24"/>
          <w:szCs w:val="24"/>
        </w:rPr>
        <w:t xml:space="preserve">Pojam koji </w:t>
      </w:r>
      <w:r w:rsidR="00834F34">
        <w:rPr>
          <w:noProof/>
          <w:sz w:val="24"/>
          <w:szCs w:val="24"/>
        </w:rPr>
        <w:t xml:space="preserve">je s time povezan </w:t>
      </w:r>
      <w:r w:rsidRPr="00834F34">
        <w:rPr>
          <w:noProof/>
          <w:color w:val="C00000"/>
          <w:sz w:val="24"/>
          <w:szCs w:val="24"/>
        </w:rPr>
        <w:t xml:space="preserve">premija rizika </w:t>
      </w:r>
      <w:r>
        <w:rPr>
          <w:noProof/>
          <w:sz w:val="24"/>
          <w:szCs w:val="24"/>
        </w:rPr>
        <w:t xml:space="preserve">– kao „nagrada“ </w:t>
      </w:r>
      <w:r w:rsidRPr="00834F34">
        <w:rPr>
          <w:noProof/>
          <w:sz w:val="24"/>
          <w:szCs w:val="24"/>
        </w:rPr>
        <w:t xml:space="preserve">u vidu dodatnih mogućnosti zarade uz preuzeti rizik. S obzirom da premija rizika raste brže od porasta rizika, funkcija premije rizika je konveksna rastuća funkcija s obzirom na veličinu rizika. </w:t>
      </w:r>
    </w:p>
    <w:p w:rsidR="00834F34" w:rsidRPr="00186A7E" w:rsidRDefault="00834F34" w:rsidP="00CC4C58">
      <w:pPr>
        <w:spacing w:before="120" w:after="120"/>
        <w:jc w:val="both"/>
        <w:rPr>
          <w:noProof/>
          <w:color w:val="C00000"/>
          <w:sz w:val="24"/>
          <w:szCs w:val="24"/>
        </w:rPr>
      </w:pPr>
      <w:r w:rsidRPr="00186A7E">
        <w:rPr>
          <w:noProof/>
          <w:color w:val="C00000"/>
          <w:sz w:val="24"/>
          <w:szCs w:val="24"/>
        </w:rPr>
        <w:t>P</w:t>
      </w:r>
      <w:r w:rsidR="00CC4C58" w:rsidRPr="00186A7E">
        <w:rPr>
          <w:noProof/>
          <w:color w:val="C00000"/>
          <w:sz w:val="24"/>
          <w:szCs w:val="24"/>
        </w:rPr>
        <w:t>remija rizika se sastoji od</w:t>
      </w:r>
      <w:r w:rsidRPr="00186A7E">
        <w:rPr>
          <w:noProof/>
          <w:color w:val="C00000"/>
          <w:sz w:val="24"/>
          <w:szCs w:val="24"/>
        </w:rPr>
        <w:t>:</w:t>
      </w:r>
    </w:p>
    <w:p w:rsidR="00834F34" w:rsidRPr="00834F34" w:rsidRDefault="00CC4C58" w:rsidP="006F1C04">
      <w:pPr>
        <w:pStyle w:val="Odlomakpopisa"/>
        <w:numPr>
          <w:ilvl w:val="0"/>
          <w:numId w:val="31"/>
        </w:numPr>
        <w:spacing w:before="120" w:after="120"/>
        <w:jc w:val="both"/>
        <w:rPr>
          <w:noProof/>
          <w:sz w:val="24"/>
          <w:szCs w:val="24"/>
        </w:rPr>
      </w:pPr>
      <w:r w:rsidRPr="00834F34">
        <w:rPr>
          <w:noProof/>
          <w:sz w:val="24"/>
          <w:szCs w:val="24"/>
        </w:rPr>
        <w:t xml:space="preserve">premije rizika naplate (kod dužničkih instrumenata to je kreditni rizik zbog kojeg je kamatna stopa na rizičnije obveznice ili kredite veća u odnosu na nerizična ulaganja), </w:t>
      </w:r>
    </w:p>
    <w:p w:rsidR="00834F34" w:rsidRDefault="00CC4C58" w:rsidP="006F1C04">
      <w:pPr>
        <w:pStyle w:val="Odlomakpopisa"/>
        <w:numPr>
          <w:ilvl w:val="0"/>
          <w:numId w:val="31"/>
        </w:numPr>
        <w:spacing w:before="120" w:after="120"/>
        <w:jc w:val="both"/>
        <w:rPr>
          <w:noProof/>
          <w:sz w:val="24"/>
          <w:szCs w:val="24"/>
        </w:rPr>
      </w:pPr>
      <w:r w:rsidRPr="00834F34">
        <w:rPr>
          <w:noProof/>
          <w:sz w:val="24"/>
          <w:szCs w:val="24"/>
        </w:rPr>
        <w:t xml:space="preserve">premije likvidnosti (jer je za manje likvidnu imovinu veći rizik unovčenja po očekivanoj cijeni) </w:t>
      </w:r>
    </w:p>
    <w:p w:rsidR="00834F34" w:rsidRPr="00834F34" w:rsidRDefault="00CC4C58" w:rsidP="006F1C04">
      <w:pPr>
        <w:pStyle w:val="Odlomakpopisa"/>
        <w:numPr>
          <w:ilvl w:val="0"/>
          <w:numId w:val="31"/>
        </w:numPr>
        <w:spacing w:before="120" w:after="120"/>
        <w:jc w:val="both"/>
        <w:rPr>
          <w:noProof/>
          <w:sz w:val="24"/>
          <w:szCs w:val="24"/>
        </w:rPr>
      </w:pPr>
      <w:r w:rsidRPr="00834F34">
        <w:rPr>
          <w:noProof/>
          <w:sz w:val="24"/>
          <w:szCs w:val="24"/>
        </w:rPr>
        <w:t xml:space="preserve">i premije </w:t>
      </w:r>
      <w:r w:rsidR="00834F34" w:rsidRPr="00834F34">
        <w:rPr>
          <w:noProof/>
          <w:sz w:val="24"/>
          <w:szCs w:val="24"/>
        </w:rPr>
        <w:t xml:space="preserve">vremena do </w:t>
      </w:r>
      <w:r w:rsidRPr="00834F34">
        <w:rPr>
          <w:noProof/>
          <w:sz w:val="24"/>
          <w:szCs w:val="24"/>
        </w:rPr>
        <w:t xml:space="preserve">dospijeća (duži rok </w:t>
      </w:r>
      <w:r w:rsidR="00834F34">
        <w:rPr>
          <w:noProof/>
          <w:sz w:val="24"/>
          <w:szCs w:val="24"/>
        </w:rPr>
        <w:t xml:space="preserve">dospijeća </w:t>
      </w:r>
      <w:r w:rsidRPr="00834F34">
        <w:rPr>
          <w:noProof/>
          <w:sz w:val="24"/>
          <w:szCs w:val="24"/>
        </w:rPr>
        <w:t>smanjuje predvidivost novčanih tokova u budućnosti).</w:t>
      </w:r>
    </w:p>
    <w:p w:rsidR="00CC4C58" w:rsidRPr="00834F34" w:rsidRDefault="00834F34" w:rsidP="00CC4C58">
      <w:pPr>
        <w:spacing w:before="120" w:after="120"/>
        <w:jc w:val="both"/>
        <w:rPr>
          <w:noProof/>
          <w:sz w:val="24"/>
          <w:szCs w:val="24"/>
        </w:rPr>
      </w:pPr>
      <w:r>
        <w:rPr>
          <w:noProof/>
          <w:sz w:val="24"/>
          <w:szCs w:val="24"/>
        </w:rPr>
        <w:t xml:space="preserve">Premija rizika utječe na visinu </w:t>
      </w:r>
      <w:r w:rsidRPr="00834F34">
        <w:rPr>
          <w:noProof/>
          <w:color w:val="C00000"/>
          <w:sz w:val="24"/>
          <w:szCs w:val="24"/>
        </w:rPr>
        <w:t xml:space="preserve">cijene financiranja </w:t>
      </w:r>
      <w:r>
        <w:rPr>
          <w:noProof/>
          <w:sz w:val="24"/>
          <w:szCs w:val="24"/>
        </w:rPr>
        <w:t xml:space="preserve">(cijena novca za kratki rok, odnosno kapitala za dugi rok), dok dodatn ona ovisi i o inflacijskim očekivanjima (premiji rizika inflacije). Cijena novca/kapitala jednaka je sumi </w:t>
      </w:r>
      <w:r w:rsidRPr="00834F34">
        <w:rPr>
          <w:noProof/>
          <w:color w:val="C00000"/>
          <w:sz w:val="24"/>
          <w:szCs w:val="24"/>
        </w:rPr>
        <w:t xml:space="preserve">nominalne nerizične kamatne stope </w:t>
      </w:r>
      <w:r>
        <w:rPr>
          <w:noProof/>
          <w:sz w:val="24"/>
          <w:szCs w:val="24"/>
        </w:rPr>
        <w:t xml:space="preserve">(realne </w:t>
      </w:r>
      <w:r>
        <w:rPr>
          <w:noProof/>
          <w:sz w:val="24"/>
          <w:szCs w:val="24"/>
        </w:rPr>
        <w:lastRenderedPageBreak/>
        <w:t xml:space="preserve">nerizične kamatne stope uvečana za inflacijska očekivanja) </w:t>
      </w:r>
      <w:r w:rsidRPr="00834F34">
        <w:rPr>
          <w:noProof/>
          <w:color w:val="C00000"/>
          <w:sz w:val="24"/>
          <w:szCs w:val="24"/>
        </w:rPr>
        <w:t xml:space="preserve">i premije rizika </w:t>
      </w:r>
      <w:r>
        <w:rPr>
          <w:noProof/>
          <w:sz w:val="24"/>
          <w:szCs w:val="24"/>
        </w:rPr>
        <w:t xml:space="preserve">(na rizik naplate, likvidnost i dospijeće). </w:t>
      </w:r>
    </w:p>
    <w:p w:rsidR="00CC4C58" w:rsidRDefault="00834F34" w:rsidP="00186A7E">
      <w:pPr>
        <w:spacing w:before="120" w:after="0"/>
        <w:jc w:val="both"/>
        <w:rPr>
          <w:noProof/>
          <w:sz w:val="24"/>
          <w:szCs w:val="24"/>
        </w:rPr>
      </w:pPr>
      <w:r>
        <w:rPr>
          <w:noProof/>
          <w:sz w:val="24"/>
          <w:szCs w:val="24"/>
        </w:rPr>
        <w:t xml:space="preserve">Navedena objašnjenja ključna su za razumijevanje </w:t>
      </w:r>
      <w:r w:rsidR="007A1C67">
        <w:rPr>
          <w:noProof/>
          <w:sz w:val="24"/>
          <w:szCs w:val="24"/>
        </w:rPr>
        <w:t xml:space="preserve">razloga postojanja i visine kamata te za razumijevanje </w:t>
      </w:r>
      <w:r>
        <w:rPr>
          <w:noProof/>
          <w:sz w:val="24"/>
          <w:szCs w:val="24"/>
        </w:rPr>
        <w:t xml:space="preserve">koncepta </w:t>
      </w:r>
      <w:r w:rsidRPr="00C75F5A">
        <w:rPr>
          <w:noProof/>
          <w:color w:val="C00000"/>
          <w:sz w:val="24"/>
          <w:szCs w:val="24"/>
        </w:rPr>
        <w:t xml:space="preserve">vremenske vrijednosti novca </w:t>
      </w:r>
      <w:r>
        <w:rPr>
          <w:noProof/>
          <w:sz w:val="24"/>
          <w:szCs w:val="24"/>
        </w:rPr>
        <w:t>koji se svodi na sljedeća:</w:t>
      </w:r>
    </w:p>
    <w:p w:rsidR="00834F34" w:rsidRPr="00C75F5A" w:rsidRDefault="00834F34" w:rsidP="00186A7E">
      <w:pPr>
        <w:pStyle w:val="Odlomakpopisa"/>
        <w:numPr>
          <w:ilvl w:val="0"/>
          <w:numId w:val="32"/>
        </w:numPr>
        <w:spacing w:after="120" w:line="264" w:lineRule="auto"/>
        <w:ind w:left="714" w:hanging="357"/>
        <w:jc w:val="both"/>
        <w:rPr>
          <w:noProof/>
          <w:sz w:val="24"/>
          <w:szCs w:val="24"/>
        </w:rPr>
      </w:pPr>
      <w:r w:rsidRPr="00C75F5A">
        <w:rPr>
          <w:noProof/>
          <w:sz w:val="24"/>
          <w:szCs w:val="24"/>
        </w:rPr>
        <w:t xml:space="preserve">Novac u sadašnjosti vrijedi više nego isti nominalni iznos novca u budućnosti. </w:t>
      </w:r>
      <w:r w:rsidR="004F4ACB" w:rsidRPr="00C75F5A">
        <w:rPr>
          <w:noProof/>
          <w:sz w:val="24"/>
          <w:szCs w:val="24"/>
        </w:rPr>
        <w:t>Faktor koji na navedeno utječe u terminima realne kupovne moći novca je inflacij</w:t>
      </w:r>
      <w:r w:rsidR="00C75F5A">
        <w:rPr>
          <w:noProof/>
          <w:sz w:val="24"/>
          <w:szCs w:val="24"/>
        </w:rPr>
        <w:t>a</w:t>
      </w:r>
      <w:r w:rsidR="004F4ACB" w:rsidRPr="00C75F5A">
        <w:rPr>
          <w:noProof/>
          <w:sz w:val="24"/>
          <w:szCs w:val="24"/>
        </w:rPr>
        <w:t xml:space="preserve">. Dodatno postoji i rizik (neizvjesnost) pritjecanja novca u budućnosti. Zbog oba faktora, </w:t>
      </w:r>
      <w:r w:rsidRPr="00C75F5A">
        <w:rPr>
          <w:noProof/>
          <w:sz w:val="24"/>
          <w:szCs w:val="24"/>
        </w:rPr>
        <w:t xml:space="preserve">novac u sadašnjosti </w:t>
      </w:r>
      <w:r w:rsidR="004F4ACB" w:rsidRPr="00C75F5A">
        <w:rPr>
          <w:noProof/>
          <w:sz w:val="24"/>
          <w:szCs w:val="24"/>
        </w:rPr>
        <w:t xml:space="preserve">se </w:t>
      </w:r>
      <w:r w:rsidRPr="00C75F5A">
        <w:rPr>
          <w:noProof/>
          <w:sz w:val="24"/>
          <w:szCs w:val="24"/>
        </w:rPr>
        <w:t>preferira više nego isti iznos novca u budućnosti.</w:t>
      </w:r>
      <w:r w:rsidR="004F4ACB" w:rsidRPr="00C75F5A">
        <w:rPr>
          <w:noProof/>
          <w:sz w:val="24"/>
          <w:szCs w:val="24"/>
        </w:rPr>
        <w:t xml:space="preserve"> </w:t>
      </w:r>
    </w:p>
    <w:p w:rsidR="00834F34" w:rsidRPr="00C75F5A" w:rsidRDefault="004F4ACB" w:rsidP="006F1C04">
      <w:pPr>
        <w:pStyle w:val="Odlomakpopisa"/>
        <w:numPr>
          <w:ilvl w:val="0"/>
          <w:numId w:val="32"/>
        </w:numPr>
        <w:spacing w:before="120" w:after="120" w:line="264" w:lineRule="auto"/>
        <w:ind w:left="714" w:hanging="357"/>
        <w:jc w:val="both"/>
        <w:rPr>
          <w:noProof/>
          <w:sz w:val="24"/>
          <w:szCs w:val="24"/>
        </w:rPr>
      </w:pPr>
      <w:r w:rsidRPr="00C75F5A">
        <w:rPr>
          <w:noProof/>
          <w:sz w:val="24"/>
          <w:szCs w:val="24"/>
        </w:rPr>
        <w:t>S aspekta zadovoljavanja potreba i mogućnosti upotrebe novca, sklonost potrošnji u sadašnjosti je veća u odnosu na isti opseg potrošnje u budućnosti pa je odgađanje potrošnje u sadašnjosti det</w:t>
      </w:r>
      <w:r w:rsidR="009E4E21" w:rsidRPr="00C75F5A">
        <w:rPr>
          <w:noProof/>
          <w:sz w:val="24"/>
          <w:szCs w:val="24"/>
        </w:rPr>
        <w:t>e</w:t>
      </w:r>
      <w:r w:rsidRPr="00C75F5A">
        <w:rPr>
          <w:noProof/>
          <w:sz w:val="24"/>
          <w:szCs w:val="24"/>
        </w:rPr>
        <w:t xml:space="preserve">rminirano mogućnostima da se obujam potrošnje poveća u budućnosti. </w:t>
      </w:r>
    </w:p>
    <w:p w:rsidR="00834F34" w:rsidRPr="00C75F5A" w:rsidRDefault="00834F34" w:rsidP="006F1C04">
      <w:pPr>
        <w:pStyle w:val="Odlomakpopisa"/>
        <w:numPr>
          <w:ilvl w:val="0"/>
          <w:numId w:val="32"/>
        </w:numPr>
        <w:spacing w:before="120" w:after="120" w:line="264" w:lineRule="auto"/>
        <w:ind w:left="714" w:hanging="357"/>
        <w:jc w:val="both"/>
        <w:rPr>
          <w:noProof/>
          <w:sz w:val="24"/>
          <w:szCs w:val="24"/>
        </w:rPr>
      </w:pPr>
      <w:r w:rsidRPr="00C75F5A">
        <w:rPr>
          <w:noProof/>
          <w:sz w:val="24"/>
          <w:szCs w:val="24"/>
        </w:rPr>
        <w:t xml:space="preserve">Novac u sadašnjosti može se uložiti </w:t>
      </w:r>
      <w:r w:rsidR="00C75F5A">
        <w:rPr>
          <w:noProof/>
          <w:sz w:val="24"/>
          <w:szCs w:val="24"/>
        </w:rPr>
        <w:t xml:space="preserve">(u različite štedno-ulagačke instrumente) </w:t>
      </w:r>
      <w:r w:rsidR="004F4ACB" w:rsidRPr="00C75F5A">
        <w:rPr>
          <w:noProof/>
          <w:sz w:val="24"/>
          <w:szCs w:val="24"/>
        </w:rPr>
        <w:t>kako bi se kapitalizirao (uvećao u budućnosti).</w:t>
      </w:r>
    </w:p>
    <w:p w:rsidR="009E4E21" w:rsidRPr="00C75F5A" w:rsidRDefault="009E4E21" w:rsidP="009E4E21">
      <w:pPr>
        <w:jc w:val="both"/>
        <w:rPr>
          <w:noProof/>
          <w:sz w:val="24"/>
          <w:szCs w:val="24"/>
        </w:rPr>
      </w:pPr>
      <w:r w:rsidRPr="00C75F5A">
        <w:rPr>
          <w:noProof/>
          <w:sz w:val="24"/>
          <w:szCs w:val="24"/>
        </w:rPr>
        <w:t xml:space="preserve">S obzirom na rizik neizvjesnosti pritjecanja novca i gubitka njegove realne vrijednosti, vremenske preferencije novca </w:t>
      </w:r>
      <w:r w:rsidR="00C75F5A">
        <w:rPr>
          <w:noProof/>
          <w:sz w:val="24"/>
          <w:szCs w:val="24"/>
        </w:rPr>
        <w:t>odražavaju se na potražnju za pojedinačnim</w:t>
      </w:r>
      <w:r w:rsidRPr="00C75F5A">
        <w:rPr>
          <w:noProof/>
          <w:sz w:val="24"/>
          <w:szCs w:val="24"/>
        </w:rPr>
        <w:t xml:space="preserve"> oblicima </w:t>
      </w:r>
      <w:r w:rsidR="00C75F5A">
        <w:rPr>
          <w:noProof/>
          <w:sz w:val="24"/>
          <w:szCs w:val="24"/>
        </w:rPr>
        <w:t xml:space="preserve">financijske </w:t>
      </w:r>
      <w:r w:rsidRPr="00C75F5A">
        <w:rPr>
          <w:noProof/>
          <w:sz w:val="24"/>
          <w:szCs w:val="24"/>
        </w:rPr>
        <w:t xml:space="preserve">imovine, npr. onih kod kojih je raspolaganje primicima očekivano i moguće tek u udaljenijoj budućnosti u odnosu na one oblike imovine kod kojih su primici </w:t>
      </w:r>
      <w:r w:rsidR="000D59D7">
        <w:rPr>
          <w:noProof/>
          <w:sz w:val="24"/>
          <w:szCs w:val="24"/>
        </w:rPr>
        <w:t xml:space="preserve">(raspolaganje imovinom) </w:t>
      </w:r>
      <w:r w:rsidRPr="00C75F5A">
        <w:rPr>
          <w:noProof/>
          <w:sz w:val="24"/>
          <w:szCs w:val="24"/>
        </w:rPr>
        <w:t xml:space="preserve">dostupni odmah ili znatno ranije. Na sličan način što je udaljenije vrijeme u kojem treba izvršiti izdatke to su oni manji teret. </w:t>
      </w:r>
    </w:p>
    <w:p w:rsidR="009E4E21" w:rsidRPr="001E2856" w:rsidRDefault="009E4E21" w:rsidP="009E4E21">
      <w:pPr>
        <w:jc w:val="both"/>
        <w:rPr>
          <w:noProof/>
          <w:color w:val="C00000"/>
          <w:sz w:val="24"/>
          <w:szCs w:val="24"/>
        </w:rPr>
      </w:pPr>
      <w:r w:rsidRPr="00C75F5A">
        <w:rPr>
          <w:noProof/>
          <w:sz w:val="24"/>
          <w:szCs w:val="24"/>
        </w:rPr>
        <w:t xml:space="preserve">Koncept vremenske vrijednosti novca dolazi do izražaja pri izračunu sadašnje vrijednosti budućeg novčanog toka, buduće vrijednosti sadašnje novčanog toka kao i uspoređivanju novčanih iznosa kroz vrijeme. U tu svrhu može se koristiti </w:t>
      </w:r>
      <w:r w:rsidRPr="001E2856">
        <w:rPr>
          <w:noProof/>
          <w:color w:val="C00000"/>
          <w:sz w:val="24"/>
          <w:szCs w:val="24"/>
        </w:rPr>
        <w:t>složeni kamatni račun</w:t>
      </w:r>
      <w:r w:rsidRPr="00C75F5A">
        <w:rPr>
          <w:noProof/>
          <w:sz w:val="24"/>
          <w:szCs w:val="24"/>
        </w:rPr>
        <w:t xml:space="preserve">, odnosno postupak </w:t>
      </w:r>
      <w:r w:rsidRPr="001E2856">
        <w:rPr>
          <w:noProof/>
          <w:color w:val="C00000"/>
          <w:sz w:val="24"/>
          <w:szCs w:val="24"/>
        </w:rPr>
        <w:t>diskontiranja</w:t>
      </w:r>
      <w:r w:rsidRPr="00C75F5A">
        <w:rPr>
          <w:noProof/>
          <w:sz w:val="24"/>
          <w:szCs w:val="24"/>
        </w:rPr>
        <w:t xml:space="preserve"> u svrhu utvrđivanja sadašnje vrijednosti budućeg novčanog toka</w:t>
      </w:r>
      <w:r w:rsidR="00C75F5A" w:rsidRPr="00C75F5A">
        <w:rPr>
          <w:noProof/>
          <w:sz w:val="24"/>
          <w:szCs w:val="24"/>
        </w:rPr>
        <w:t xml:space="preserve"> te postupak ukamaćivanja u svrhu utvrđivanja buduće vrijednosti sadašnjeg novčanog toka.  </w:t>
      </w:r>
      <w:r w:rsidR="001E2856" w:rsidRPr="001E2856">
        <w:rPr>
          <w:noProof/>
          <w:color w:val="C00000"/>
          <w:sz w:val="24"/>
          <w:szCs w:val="24"/>
        </w:rPr>
        <w:t>Složeni kamatni račun treba razlikovati od jednostavnog kamatnog računa.</w:t>
      </w:r>
    </w:p>
    <w:p w:rsidR="00C75F5A" w:rsidRPr="00845C23" w:rsidRDefault="00C75F5A" w:rsidP="00ED224C">
      <w:pPr>
        <w:spacing w:before="240"/>
        <w:jc w:val="both"/>
        <w:rPr>
          <w:b/>
          <w:noProof/>
          <w:sz w:val="24"/>
          <w:szCs w:val="24"/>
        </w:rPr>
      </w:pPr>
      <w:r w:rsidRPr="00845C23">
        <w:rPr>
          <w:b/>
          <w:noProof/>
          <w:sz w:val="24"/>
          <w:szCs w:val="24"/>
        </w:rPr>
        <w:t>3.1</w:t>
      </w:r>
      <w:r w:rsidR="0093356A">
        <w:rPr>
          <w:b/>
          <w:noProof/>
          <w:sz w:val="24"/>
          <w:szCs w:val="24"/>
        </w:rPr>
        <w:t>2</w:t>
      </w:r>
      <w:r w:rsidRPr="00845C23">
        <w:rPr>
          <w:b/>
          <w:noProof/>
          <w:sz w:val="24"/>
          <w:szCs w:val="24"/>
        </w:rPr>
        <w:t>. Jednostavni kamatni račun</w:t>
      </w:r>
    </w:p>
    <w:p w:rsidR="00C75F5A" w:rsidRPr="00ED224C" w:rsidRDefault="00845C23" w:rsidP="009E4E21">
      <w:pPr>
        <w:jc w:val="both"/>
        <w:rPr>
          <w:sz w:val="24"/>
          <w:szCs w:val="24"/>
        </w:rPr>
      </w:pPr>
      <w:r w:rsidRPr="00ED224C">
        <w:rPr>
          <w:noProof/>
          <w:sz w:val="24"/>
          <w:szCs w:val="24"/>
        </w:rPr>
        <w:t xml:space="preserve">Slučaju brojnih dužničko vjerovničkih odnosa </w:t>
      </w:r>
      <w:r w:rsidRPr="000D59D7">
        <w:rPr>
          <w:noProof/>
          <w:color w:val="C00000"/>
          <w:sz w:val="24"/>
          <w:szCs w:val="24"/>
        </w:rPr>
        <w:t xml:space="preserve">kamate predstavljaju naknadu koju </w:t>
      </w:r>
      <w:r w:rsidRPr="000D59D7">
        <w:rPr>
          <w:color w:val="C00000"/>
          <w:sz w:val="24"/>
          <w:szCs w:val="24"/>
        </w:rPr>
        <w:t>dužnik plaća vjerovniku za pozajmljeni iznos na određeno vrijeme</w:t>
      </w:r>
      <w:r w:rsidRPr="00ED224C">
        <w:rPr>
          <w:sz w:val="24"/>
          <w:szCs w:val="24"/>
        </w:rPr>
        <w:t xml:space="preserve">. Visina kamata ovisi o iznosu glavnice (na primjer iznosu oročenog štednog uloga i glavnice kredita), visini ugovorene kamatne stope uz koju se računaju kamate, načinu i rokovima povrata glavnice te učinku metoda </w:t>
      </w:r>
      <w:r w:rsidR="000D59D7">
        <w:rPr>
          <w:sz w:val="24"/>
          <w:szCs w:val="24"/>
        </w:rPr>
        <w:t xml:space="preserve">i načina </w:t>
      </w:r>
      <w:r w:rsidRPr="00ED224C">
        <w:rPr>
          <w:sz w:val="24"/>
          <w:szCs w:val="24"/>
        </w:rPr>
        <w:t>obračuna kamata koji se primjenjuje.</w:t>
      </w:r>
    </w:p>
    <w:p w:rsidR="003E4525" w:rsidRPr="003E4525" w:rsidRDefault="00845C23" w:rsidP="00186A7E">
      <w:pPr>
        <w:spacing w:after="0"/>
        <w:jc w:val="both"/>
        <w:rPr>
          <w:sz w:val="24"/>
          <w:szCs w:val="24"/>
        </w:rPr>
      </w:pPr>
      <w:r w:rsidRPr="003E4525">
        <w:rPr>
          <w:sz w:val="24"/>
          <w:szCs w:val="24"/>
        </w:rPr>
        <w:t xml:space="preserve">Kamate se mogu obračunavati na dekurzivni </w:t>
      </w:r>
      <w:r w:rsidR="00ED224C" w:rsidRPr="003E4525">
        <w:rPr>
          <w:sz w:val="24"/>
          <w:szCs w:val="24"/>
        </w:rPr>
        <w:t xml:space="preserve">način (češće) </w:t>
      </w:r>
      <w:r w:rsidRPr="003E4525">
        <w:rPr>
          <w:sz w:val="24"/>
          <w:szCs w:val="24"/>
        </w:rPr>
        <w:t>i anticipativni način</w:t>
      </w:r>
      <w:r w:rsidR="00ED224C" w:rsidRPr="003E4525">
        <w:rPr>
          <w:sz w:val="24"/>
          <w:szCs w:val="24"/>
        </w:rPr>
        <w:t xml:space="preserve"> (rjeđe)</w:t>
      </w:r>
      <w:r w:rsidRPr="003E4525">
        <w:rPr>
          <w:sz w:val="24"/>
          <w:szCs w:val="24"/>
        </w:rPr>
        <w:t>.</w:t>
      </w:r>
      <w:r w:rsidR="00ED224C" w:rsidRPr="003E4525">
        <w:rPr>
          <w:sz w:val="24"/>
          <w:szCs w:val="24"/>
        </w:rPr>
        <w:t xml:space="preserve"> </w:t>
      </w:r>
      <w:r w:rsidR="003E4525" w:rsidRPr="003E4525">
        <w:rPr>
          <w:sz w:val="24"/>
          <w:szCs w:val="24"/>
        </w:rPr>
        <w:t xml:space="preserve"> </w:t>
      </w:r>
    </w:p>
    <w:p w:rsidR="003E4525" w:rsidRPr="003E4525" w:rsidRDefault="003E4525" w:rsidP="006F1C04">
      <w:pPr>
        <w:pStyle w:val="Odlomakpopisa"/>
        <w:numPr>
          <w:ilvl w:val="0"/>
          <w:numId w:val="41"/>
        </w:numPr>
        <w:spacing w:after="120" w:line="271" w:lineRule="auto"/>
        <w:ind w:left="714" w:hanging="357"/>
        <w:jc w:val="both"/>
        <w:rPr>
          <w:sz w:val="24"/>
          <w:szCs w:val="24"/>
        </w:rPr>
      </w:pPr>
      <w:r w:rsidRPr="003E4525">
        <w:rPr>
          <w:color w:val="C00000"/>
          <w:sz w:val="24"/>
          <w:szCs w:val="24"/>
        </w:rPr>
        <w:t xml:space="preserve">Dekurzivni način obračuna kamata </w:t>
      </w:r>
      <w:r w:rsidRPr="003E4525">
        <w:rPr>
          <w:sz w:val="24"/>
          <w:szCs w:val="24"/>
        </w:rPr>
        <w:t xml:space="preserve">znači da se kamate obračunavaju na kraju određenog razdoblja a na početni iznos glavnice (npr. iznosa štednog uloga na početku razdoblja ukamaćivanja). </w:t>
      </w:r>
    </w:p>
    <w:p w:rsidR="00ED224C" w:rsidRPr="003E4525" w:rsidRDefault="003E4525" w:rsidP="006F1C04">
      <w:pPr>
        <w:pStyle w:val="Odlomakpopisa"/>
        <w:numPr>
          <w:ilvl w:val="0"/>
          <w:numId w:val="40"/>
        </w:numPr>
        <w:spacing w:after="120" w:line="271" w:lineRule="auto"/>
        <w:ind w:left="714" w:hanging="357"/>
        <w:jc w:val="both"/>
        <w:rPr>
          <w:sz w:val="24"/>
          <w:szCs w:val="24"/>
        </w:rPr>
      </w:pPr>
      <w:r w:rsidRPr="003E4525">
        <w:rPr>
          <w:sz w:val="24"/>
          <w:szCs w:val="24"/>
        </w:rPr>
        <w:lastRenderedPageBreak/>
        <w:t xml:space="preserve">Kod </w:t>
      </w:r>
      <w:r w:rsidRPr="003E4525">
        <w:rPr>
          <w:color w:val="C00000"/>
          <w:sz w:val="24"/>
          <w:szCs w:val="24"/>
        </w:rPr>
        <w:t>anticipativnog načina obračuna kamata</w:t>
      </w:r>
      <w:r w:rsidRPr="003E4525">
        <w:rPr>
          <w:sz w:val="24"/>
          <w:szCs w:val="24"/>
        </w:rPr>
        <w:t>, kamate se obračunavaju na početku obračunskog razdoblja (odnosno unaprijed za određeno vremensko razdoblje, a na konačnu vrijednost iznosa na kraju razdoblja.</w:t>
      </w:r>
    </w:p>
    <w:p w:rsidR="003E4525" w:rsidRDefault="00D45E4B" w:rsidP="00186A7E">
      <w:pPr>
        <w:spacing w:after="0" w:line="271" w:lineRule="auto"/>
        <w:jc w:val="both"/>
        <w:rPr>
          <w:noProof/>
          <w:sz w:val="24"/>
          <w:szCs w:val="24"/>
        </w:rPr>
      </w:pPr>
      <w:r>
        <w:rPr>
          <w:noProof/>
          <w:sz w:val="24"/>
          <w:szCs w:val="24"/>
        </w:rPr>
        <w:t>Nadalje postoje jednostavne kamate i složene kamate.</w:t>
      </w:r>
      <w:r w:rsidR="003E4525">
        <w:rPr>
          <w:noProof/>
          <w:sz w:val="24"/>
          <w:szCs w:val="24"/>
        </w:rPr>
        <w:t xml:space="preserve"> </w:t>
      </w:r>
    </w:p>
    <w:p w:rsidR="003E4525" w:rsidRPr="003E4525" w:rsidRDefault="003E4525" w:rsidP="006F1C04">
      <w:pPr>
        <w:pStyle w:val="Odlomakpopisa"/>
        <w:numPr>
          <w:ilvl w:val="0"/>
          <w:numId w:val="40"/>
        </w:numPr>
        <w:spacing w:after="120" w:line="271" w:lineRule="auto"/>
        <w:ind w:left="714" w:hanging="357"/>
        <w:jc w:val="both"/>
        <w:rPr>
          <w:noProof/>
          <w:sz w:val="24"/>
          <w:szCs w:val="24"/>
        </w:rPr>
      </w:pPr>
      <w:r w:rsidRPr="003E4525">
        <w:rPr>
          <w:noProof/>
          <w:color w:val="C00000"/>
          <w:sz w:val="24"/>
          <w:szCs w:val="24"/>
        </w:rPr>
        <w:t xml:space="preserve">Jednostavne kamate </w:t>
      </w:r>
      <w:r w:rsidRPr="003E4525">
        <w:rPr>
          <w:noProof/>
          <w:sz w:val="24"/>
          <w:szCs w:val="24"/>
        </w:rPr>
        <w:t>su one koje se obračunavaju na početno ulaganje C</w:t>
      </w:r>
      <w:r w:rsidRPr="003E4525">
        <w:rPr>
          <w:noProof/>
          <w:sz w:val="24"/>
          <w:szCs w:val="24"/>
          <w:vertAlign w:val="subscript"/>
        </w:rPr>
        <w:t>0</w:t>
      </w:r>
      <w:r w:rsidRPr="003E4525">
        <w:rPr>
          <w:noProof/>
          <w:sz w:val="24"/>
          <w:szCs w:val="24"/>
        </w:rPr>
        <w:t xml:space="preserve"> za svako razdoblje ukamaćivanja (nema kamata na kamate) i vežu se uz jednostavni kamatni račun. </w:t>
      </w:r>
    </w:p>
    <w:p w:rsidR="00845C23" w:rsidRPr="003E4525" w:rsidRDefault="003E4525" w:rsidP="006F1C04">
      <w:pPr>
        <w:pStyle w:val="Odlomakpopisa"/>
        <w:numPr>
          <w:ilvl w:val="0"/>
          <w:numId w:val="40"/>
        </w:numPr>
        <w:spacing w:after="120" w:line="271" w:lineRule="auto"/>
        <w:ind w:left="714" w:hanging="357"/>
        <w:jc w:val="both"/>
        <w:rPr>
          <w:noProof/>
          <w:sz w:val="24"/>
          <w:szCs w:val="24"/>
        </w:rPr>
      </w:pPr>
      <w:r w:rsidRPr="003E4525">
        <w:rPr>
          <w:noProof/>
          <w:sz w:val="24"/>
          <w:szCs w:val="24"/>
        </w:rPr>
        <w:t xml:space="preserve">Kod složenog kamatnog računa u svakom novom razdoblju ukamačivanja glavnica je promijenjiva jer uključuje pripisane kamate iz prethodnog razdoblja. Tako izračunate kamate nazivaju se </w:t>
      </w:r>
      <w:r w:rsidRPr="003E4525">
        <w:rPr>
          <w:noProof/>
          <w:color w:val="C00000"/>
          <w:sz w:val="24"/>
          <w:szCs w:val="24"/>
        </w:rPr>
        <w:t>složene kamate</w:t>
      </w:r>
      <w:r w:rsidRPr="003E4525">
        <w:rPr>
          <w:noProof/>
          <w:sz w:val="24"/>
          <w:szCs w:val="24"/>
        </w:rPr>
        <w:t>.</w:t>
      </w:r>
    </w:p>
    <w:p w:rsidR="003E4525" w:rsidRDefault="00ED224C" w:rsidP="00186A7E">
      <w:pPr>
        <w:spacing w:before="240" w:after="0" w:line="480" w:lineRule="auto"/>
      </w:pPr>
      <w:r w:rsidRPr="00ED224C">
        <w:rPr>
          <w:noProof/>
          <w:sz w:val="24"/>
          <w:szCs w:val="24"/>
        </w:rPr>
        <w:t>Kako bi se razumijela razlika potrebno je prvo objas</w:t>
      </w:r>
      <w:r w:rsidR="00FF56CA">
        <w:rPr>
          <w:noProof/>
          <w:sz w:val="24"/>
          <w:szCs w:val="24"/>
        </w:rPr>
        <w:t>ni</w:t>
      </w:r>
      <w:r w:rsidRPr="00ED224C">
        <w:rPr>
          <w:noProof/>
          <w:sz w:val="24"/>
          <w:szCs w:val="24"/>
        </w:rPr>
        <w:t>ti jednostavne kamate.</w:t>
      </w:r>
      <w:r w:rsidR="00B04CD0" w:rsidRPr="00B04CD0">
        <w:rPr>
          <w:rStyle w:val="Referencafusnote"/>
        </w:rPr>
        <w:t xml:space="preserve"> </w:t>
      </w:r>
    </w:p>
    <w:tbl>
      <w:tblPr>
        <w:tblStyle w:val="Reetkatablice"/>
        <w:tblW w:w="0" w:type="auto"/>
        <w:tblLook w:val="04A0" w:firstRow="1" w:lastRow="0" w:firstColumn="1" w:lastColumn="0" w:noHBand="0" w:noVBand="1"/>
      </w:tblPr>
      <w:tblGrid>
        <w:gridCol w:w="9288"/>
      </w:tblGrid>
      <w:tr w:rsidR="003E4525" w:rsidTr="003E4525">
        <w:tc>
          <w:tcPr>
            <w:tcW w:w="9288" w:type="dxa"/>
          </w:tcPr>
          <w:p w:rsidR="003E4525" w:rsidRDefault="003E4525" w:rsidP="00C87686">
            <w:pPr>
              <w:spacing w:before="240" w:after="240" w:line="480" w:lineRule="auto"/>
              <w:jc w:val="center"/>
            </w:pPr>
            <w:r>
              <w:rPr>
                <w:noProof/>
                <w:sz w:val="24"/>
                <w:szCs w:val="24"/>
              </w:rPr>
              <w:drawing>
                <wp:inline distT="0" distB="0" distL="0" distR="0" wp14:anchorId="310FB284" wp14:editId="42404AD1">
                  <wp:extent cx="5629275" cy="804181"/>
                  <wp:effectExtent l="0" t="0" r="0" b="0"/>
                  <wp:docPr id="16388" name="Slika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5291" cy="809326"/>
                          </a:xfrm>
                          <a:prstGeom prst="rect">
                            <a:avLst/>
                          </a:prstGeom>
                          <a:noFill/>
                          <a:ln>
                            <a:noFill/>
                          </a:ln>
                        </pic:spPr>
                      </pic:pic>
                    </a:graphicData>
                  </a:graphic>
                </wp:inline>
              </w:drawing>
            </w:r>
            <w:r>
              <w:rPr>
                <w:noProof/>
              </w:rPr>
              <w:drawing>
                <wp:inline distT="0" distB="0" distL="0" distR="0" wp14:anchorId="37831E1A" wp14:editId="3C268DAF">
                  <wp:extent cx="5562600" cy="4690452"/>
                  <wp:effectExtent l="0" t="0" r="0" b="0"/>
                  <wp:docPr id="16413" name="Slika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62600" cy="4690452"/>
                          </a:xfrm>
                          <a:prstGeom prst="rect">
                            <a:avLst/>
                          </a:prstGeom>
                          <a:noFill/>
                          <a:ln>
                            <a:noFill/>
                          </a:ln>
                        </pic:spPr>
                      </pic:pic>
                    </a:graphicData>
                  </a:graphic>
                </wp:inline>
              </w:drawing>
            </w:r>
          </w:p>
        </w:tc>
      </w:tr>
      <w:tr w:rsidR="003E4525" w:rsidTr="003E4525">
        <w:tc>
          <w:tcPr>
            <w:tcW w:w="9288" w:type="dxa"/>
          </w:tcPr>
          <w:p w:rsidR="003E4525" w:rsidRDefault="003E4525" w:rsidP="00C87686">
            <w:pPr>
              <w:spacing w:before="240" w:after="240" w:line="480" w:lineRule="auto"/>
              <w:jc w:val="center"/>
            </w:pPr>
            <w:r>
              <w:rPr>
                <w:noProof/>
                <w:sz w:val="24"/>
                <w:szCs w:val="24"/>
              </w:rPr>
              <w:lastRenderedPageBreak/>
              <w:drawing>
                <wp:inline distT="0" distB="0" distL="0" distR="0" wp14:anchorId="2E163BEE" wp14:editId="2605ECA2">
                  <wp:extent cx="5577579" cy="2581275"/>
                  <wp:effectExtent l="0" t="0" r="4445"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77579" cy="2581275"/>
                          </a:xfrm>
                          <a:prstGeom prst="rect">
                            <a:avLst/>
                          </a:prstGeom>
                          <a:noFill/>
                          <a:ln>
                            <a:noFill/>
                          </a:ln>
                        </pic:spPr>
                      </pic:pic>
                    </a:graphicData>
                  </a:graphic>
                </wp:inline>
              </w:drawing>
            </w:r>
          </w:p>
        </w:tc>
      </w:tr>
      <w:tr w:rsidR="00240640" w:rsidTr="003E4525">
        <w:tc>
          <w:tcPr>
            <w:tcW w:w="9288" w:type="dxa"/>
          </w:tcPr>
          <w:p w:rsidR="00240640" w:rsidRPr="00240640" w:rsidRDefault="0010266F" w:rsidP="001A23EC">
            <w:pPr>
              <w:rPr>
                <w:rFonts w:asciiTheme="minorHAnsi" w:hAnsiTheme="minorHAnsi"/>
                <w:noProof/>
                <w:sz w:val="24"/>
                <w:szCs w:val="24"/>
              </w:rPr>
            </w:pPr>
            <w:r>
              <w:rPr>
                <w:rFonts w:asciiTheme="minorHAnsi" w:hAnsiTheme="minorHAnsi"/>
                <w:noProof/>
              </w:rPr>
              <w:t xml:space="preserve">* </w:t>
            </w:r>
            <w:r w:rsidR="001A23EC">
              <w:rPr>
                <w:rFonts w:asciiTheme="minorHAnsi" w:hAnsiTheme="minorHAnsi"/>
                <w:noProof/>
              </w:rPr>
              <w:t>Cjelokupni tekst pr</w:t>
            </w:r>
            <w:r w:rsidR="00240640" w:rsidRPr="00240640">
              <w:rPr>
                <w:rFonts w:asciiTheme="minorHAnsi" w:hAnsiTheme="minorHAnsi"/>
                <w:noProof/>
              </w:rPr>
              <w:t>euzet iz: Ivanov, M.; Maroshi, V. (2014.) „Bankarstvo i osiguranje“, radna bilježnica za treći razred srednje ekonomske škole,  Alka Script, 2014. U izradi radne bilježnice korišena su objašnjenja iz udžbenika „Matematika“, autora Šego, B. (izdvač Neodidakta, 1998.)</w:t>
            </w:r>
          </w:p>
        </w:tc>
      </w:tr>
    </w:tbl>
    <w:p w:rsidR="0070627A" w:rsidRDefault="00ED224C" w:rsidP="00927987">
      <w:pPr>
        <w:widowControl w:val="0"/>
        <w:overflowPunct w:val="0"/>
        <w:autoSpaceDE w:val="0"/>
        <w:autoSpaceDN w:val="0"/>
        <w:adjustRightInd w:val="0"/>
        <w:spacing w:before="240" w:line="240" w:lineRule="auto"/>
        <w:ind w:right="-193"/>
        <w:jc w:val="both"/>
        <w:rPr>
          <w:rFonts w:cs="Times New Roman"/>
          <w:sz w:val="24"/>
          <w:szCs w:val="24"/>
        </w:rPr>
      </w:pPr>
      <w:r w:rsidRPr="0070627A">
        <w:rPr>
          <w:rFonts w:cs="Times New Roman"/>
          <w:bCs/>
          <w:i/>
          <w:iCs/>
          <w:color w:val="C00000"/>
          <w:sz w:val="24"/>
          <w:szCs w:val="24"/>
        </w:rPr>
        <w:t>Primjer:</w:t>
      </w:r>
      <w:r w:rsidRPr="0070627A">
        <w:rPr>
          <w:rFonts w:cs="Times New Roman"/>
          <w:bCs/>
          <w:iCs/>
          <w:color w:val="C00000"/>
          <w:sz w:val="24"/>
          <w:szCs w:val="24"/>
        </w:rPr>
        <w:t xml:space="preserve"> </w:t>
      </w:r>
      <w:r w:rsidR="00D26479">
        <w:rPr>
          <w:rFonts w:cs="Times New Roman"/>
          <w:bCs/>
          <w:iCs/>
          <w:sz w:val="24"/>
          <w:szCs w:val="24"/>
        </w:rPr>
        <w:t>Potrebno je izračunati j</w:t>
      </w:r>
      <w:r w:rsidRPr="0070627A">
        <w:rPr>
          <w:rFonts w:cs="Times New Roman"/>
          <w:sz w:val="24"/>
          <w:szCs w:val="24"/>
        </w:rPr>
        <w:t>ednostavne kamate i buduć</w:t>
      </w:r>
      <w:r w:rsidR="00D26479">
        <w:rPr>
          <w:rFonts w:cs="Times New Roman"/>
          <w:sz w:val="24"/>
          <w:szCs w:val="24"/>
        </w:rPr>
        <w:t>u</w:t>
      </w:r>
      <w:r w:rsidRPr="0070627A">
        <w:rPr>
          <w:rFonts w:cs="Times New Roman"/>
          <w:sz w:val="24"/>
          <w:szCs w:val="24"/>
        </w:rPr>
        <w:t xml:space="preserve"> vrijednost iznos</w:t>
      </w:r>
      <w:r w:rsidR="00D26479">
        <w:rPr>
          <w:rFonts w:cs="Times New Roman"/>
          <w:sz w:val="24"/>
          <w:szCs w:val="24"/>
        </w:rPr>
        <w:t>a</w:t>
      </w:r>
      <w:r w:rsidRPr="0070627A">
        <w:rPr>
          <w:rFonts w:cs="Times New Roman"/>
          <w:sz w:val="24"/>
          <w:szCs w:val="24"/>
        </w:rPr>
        <w:t xml:space="preserve"> </w:t>
      </w:r>
      <w:r w:rsidR="00240640">
        <w:rPr>
          <w:rFonts w:cs="Times New Roman"/>
          <w:sz w:val="24"/>
          <w:szCs w:val="24"/>
        </w:rPr>
        <w:t>3</w:t>
      </w:r>
      <w:r w:rsidRPr="0070627A">
        <w:rPr>
          <w:rFonts w:cs="Times New Roman"/>
          <w:sz w:val="24"/>
          <w:szCs w:val="24"/>
        </w:rPr>
        <w:t>00 kuna oročen</w:t>
      </w:r>
      <w:r w:rsidR="00D26479">
        <w:rPr>
          <w:rFonts w:cs="Times New Roman"/>
          <w:sz w:val="24"/>
          <w:szCs w:val="24"/>
        </w:rPr>
        <w:t>og</w:t>
      </w:r>
      <w:r w:rsidRPr="0070627A">
        <w:rPr>
          <w:rFonts w:cs="Times New Roman"/>
          <w:sz w:val="24"/>
          <w:szCs w:val="24"/>
        </w:rPr>
        <w:t xml:space="preserve"> na razdoblje 5 godina</w:t>
      </w:r>
      <w:r w:rsidR="00D26479">
        <w:rPr>
          <w:rFonts w:cs="Times New Roman"/>
          <w:sz w:val="24"/>
          <w:szCs w:val="24"/>
        </w:rPr>
        <w:t xml:space="preserve">. Kamatna </w:t>
      </w:r>
      <w:r w:rsidRPr="0070627A">
        <w:rPr>
          <w:rFonts w:cs="Times New Roman"/>
          <w:sz w:val="24"/>
          <w:szCs w:val="24"/>
        </w:rPr>
        <w:t xml:space="preserve">stopa </w:t>
      </w:r>
      <w:r w:rsidR="00D26479">
        <w:rPr>
          <w:rFonts w:cs="Times New Roman"/>
          <w:sz w:val="24"/>
          <w:szCs w:val="24"/>
        </w:rPr>
        <w:t xml:space="preserve">je </w:t>
      </w:r>
      <w:r w:rsidRPr="0070627A">
        <w:rPr>
          <w:rFonts w:cs="Times New Roman"/>
          <w:sz w:val="24"/>
          <w:szCs w:val="24"/>
        </w:rPr>
        <w:t>3% godišnje, a banka provodi dekurzivni i godišnji obračun kamata?</w:t>
      </w:r>
    </w:p>
    <w:p w:rsidR="0070627A" w:rsidRPr="0070627A" w:rsidRDefault="00ED224C" w:rsidP="00927987">
      <w:pPr>
        <w:widowControl w:val="0"/>
        <w:overflowPunct w:val="0"/>
        <w:autoSpaceDE w:val="0"/>
        <w:autoSpaceDN w:val="0"/>
        <w:adjustRightInd w:val="0"/>
        <w:spacing w:line="240" w:lineRule="auto"/>
        <w:ind w:right="-193"/>
        <w:jc w:val="both"/>
        <w:rPr>
          <w:rFonts w:cs="Times New Roman"/>
          <w:sz w:val="24"/>
          <w:szCs w:val="24"/>
        </w:rPr>
      </w:pPr>
      <w:r w:rsidRPr="0070627A">
        <w:rPr>
          <w:rFonts w:cs="Times New Roman"/>
          <w:sz w:val="24"/>
          <w:szCs w:val="24"/>
        </w:rPr>
        <w:t xml:space="preserve">U slučaju izračuna </w:t>
      </w:r>
      <w:r w:rsidRPr="0070627A">
        <w:rPr>
          <w:rFonts w:cs="Times New Roman"/>
          <w:iCs/>
          <w:color w:val="00003C"/>
          <w:sz w:val="24"/>
          <w:szCs w:val="24"/>
        </w:rPr>
        <w:t>jednostavnih kamata kroz višegodišnje razdoblje ukamaćivanja</w:t>
      </w:r>
      <w:r w:rsidRPr="0070627A">
        <w:rPr>
          <w:rFonts w:cs="Times New Roman"/>
          <w:sz w:val="24"/>
          <w:szCs w:val="24"/>
        </w:rPr>
        <w:t xml:space="preserve">, obračunate kamate za svaku godinu iznose </w:t>
      </w:r>
      <w:r w:rsidRPr="0070627A">
        <w:rPr>
          <w:rFonts w:cs="Times New Roman"/>
          <w:iCs/>
          <w:sz w:val="24"/>
          <w:szCs w:val="24"/>
        </w:rPr>
        <w:t>I</w:t>
      </w:r>
      <w:r w:rsidRPr="0070627A">
        <w:rPr>
          <w:rFonts w:cs="Times New Roman"/>
          <w:sz w:val="24"/>
          <w:szCs w:val="24"/>
          <w:vertAlign w:val="subscript"/>
        </w:rPr>
        <w:t>1</w:t>
      </w:r>
      <w:r w:rsidRPr="0070627A">
        <w:rPr>
          <w:rFonts w:cs="Times New Roman"/>
          <w:sz w:val="24"/>
          <w:szCs w:val="24"/>
        </w:rPr>
        <w:t xml:space="preserve"> = </w:t>
      </w:r>
      <w:r w:rsidRPr="0070627A">
        <w:rPr>
          <w:rFonts w:cs="Times New Roman"/>
          <w:iCs/>
          <w:sz w:val="24"/>
          <w:szCs w:val="24"/>
        </w:rPr>
        <w:t>I</w:t>
      </w:r>
      <w:r w:rsidRPr="0070627A">
        <w:rPr>
          <w:rFonts w:cs="Times New Roman"/>
          <w:sz w:val="24"/>
          <w:szCs w:val="24"/>
          <w:vertAlign w:val="subscript"/>
        </w:rPr>
        <w:t>2</w:t>
      </w:r>
      <w:r w:rsidRPr="0070627A">
        <w:rPr>
          <w:rFonts w:cs="Times New Roman"/>
          <w:sz w:val="24"/>
          <w:szCs w:val="24"/>
        </w:rPr>
        <w:t xml:space="preserve"> = </w:t>
      </w:r>
      <w:r w:rsidRPr="0070627A">
        <w:rPr>
          <w:rFonts w:cs="Times New Roman"/>
          <w:iCs/>
          <w:sz w:val="24"/>
          <w:szCs w:val="24"/>
        </w:rPr>
        <w:t>I</w:t>
      </w:r>
      <w:r w:rsidRPr="0070627A">
        <w:rPr>
          <w:rFonts w:cs="Times New Roman"/>
          <w:sz w:val="24"/>
          <w:szCs w:val="24"/>
          <w:vertAlign w:val="subscript"/>
        </w:rPr>
        <w:t>3</w:t>
      </w:r>
      <w:r w:rsidRPr="0070627A">
        <w:rPr>
          <w:rFonts w:cs="Times New Roman"/>
          <w:sz w:val="24"/>
          <w:szCs w:val="24"/>
        </w:rPr>
        <w:t xml:space="preserve"> = </w:t>
      </w:r>
      <w:r w:rsidRPr="0070627A">
        <w:rPr>
          <w:rFonts w:cs="Times New Roman"/>
          <w:iCs/>
          <w:sz w:val="24"/>
          <w:szCs w:val="24"/>
        </w:rPr>
        <w:t>I</w:t>
      </w:r>
      <w:r w:rsidRPr="0070627A">
        <w:rPr>
          <w:rFonts w:cs="Times New Roman"/>
          <w:sz w:val="24"/>
          <w:szCs w:val="24"/>
          <w:vertAlign w:val="subscript"/>
        </w:rPr>
        <w:t>4</w:t>
      </w:r>
      <w:r w:rsidRPr="0070627A">
        <w:rPr>
          <w:rFonts w:cs="Times New Roman"/>
          <w:sz w:val="24"/>
          <w:szCs w:val="24"/>
        </w:rPr>
        <w:t xml:space="preserve"> = </w:t>
      </w:r>
      <w:r w:rsidRPr="0070627A">
        <w:rPr>
          <w:rFonts w:cs="Times New Roman"/>
          <w:iCs/>
          <w:sz w:val="24"/>
          <w:szCs w:val="24"/>
        </w:rPr>
        <w:t>I</w:t>
      </w:r>
      <w:r w:rsidRPr="0070627A">
        <w:rPr>
          <w:rFonts w:cs="Times New Roman"/>
          <w:sz w:val="24"/>
          <w:szCs w:val="24"/>
          <w:vertAlign w:val="subscript"/>
        </w:rPr>
        <w:t>5</w:t>
      </w:r>
      <w:r w:rsidRPr="0070627A">
        <w:rPr>
          <w:rFonts w:cs="Times New Roman"/>
          <w:sz w:val="24"/>
          <w:szCs w:val="24"/>
        </w:rPr>
        <w:t xml:space="preserve"> = C</w:t>
      </w:r>
      <w:r w:rsidRPr="0070627A">
        <w:rPr>
          <w:rFonts w:cs="Times New Roman"/>
          <w:sz w:val="24"/>
          <w:szCs w:val="24"/>
          <w:vertAlign w:val="subscript"/>
        </w:rPr>
        <w:t>0</w:t>
      </w:r>
      <w:r w:rsidR="0070627A" w:rsidRPr="0070627A">
        <w:rPr>
          <w:rFonts w:cs="Times New Roman"/>
          <w:sz w:val="24"/>
          <w:szCs w:val="24"/>
          <w:vertAlign w:val="subscript"/>
        </w:rPr>
        <w:t xml:space="preserve"> </w:t>
      </w:r>
      <w:r w:rsidRPr="0070627A">
        <w:rPr>
          <w:rFonts w:cs="Times New Roman"/>
          <w:sz w:val="24"/>
          <w:szCs w:val="24"/>
        </w:rPr>
        <w:t>*</w:t>
      </w:r>
      <w:r w:rsidR="0070627A" w:rsidRPr="0070627A">
        <w:rPr>
          <w:rFonts w:cs="Times New Roman"/>
          <w:sz w:val="24"/>
          <w:szCs w:val="24"/>
        </w:rPr>
        <w:t xml:space="preserve"> </w:t>
      </w:r>
      <w:r w:rsidRPr="0070627A">
        <w:rPr>
          <w:rFonts w:cs="Times New Roman"/>
          <w:bCs/>
          <w:iCs/>
          <w:sz w:val="24"/>
          <w:szCs w:val="24"/>
        </w:rPr>
        <w:t>r</w:t>
      </w:r>
      <w:r w:rsidRPr="0070627A">
        <w:rPr>
          <w:rFonts w:cs="Times New Roman"/>
          <w:sz w:val="24"/>
          <w:szCs w:val="24"/>
        </w:rPr>
        <w:t xml:space="preserve"> = </w:t>
      </w:r>
      <w:r w:rsidR="00240640">
        <w:rPr>
          <w:rFonts w:cs="Times New Roman"/>
          <w:sz w:val="24"/>
          <w:szCs w:val="24"/>
        </w:rPr>
        <w:t>3</w:t>
      </w:r>
      <w:r w:rsidRPr="0070627A">
        <w:rPr>
          <w:rFonts w:cs="Times New Roman"/>
          <w:sz w:val="24"/>
          <w:szCs w:val="24"/>
        </w:rPr>
        <w:t xml:space="preserve">00 </w:t>
      </w:r>
      <w:r w:rsidR="0070627A" w:rsidRPr="0070627A">
        <w:rPr>
          <w:rFonts w:cs="Times New Roman"/>
          <w:sz w:val="24"/>
          <w:szCs w:val="24"/>
        </w:rPr>
        <w:t>*</w:t>
      </w:r>
      <w:r w:rsidRPr="0070627A">
        <w:rPr>
          <w:rFonts w:cs="Times New Roman"/>
          <w:sz w:val="24"/>
          <w:szCs w:val="24"/>
        </w:rPr>
        <w:t xml:space="preserve"> 0,03 = </w:t>
      </w:r>
      <w:r w:rsidR="00240640">
        <w:rPr>
          <w:rFonts w:cs="Times New Roman"/>
          <w:sz w:val="24"/>
          <w:szCs w:val="24"/>
        </w:rPr>
        <w:t>9</w:t>
      </w:r>
      <w:r w:rsidRPr="0070627A">
        <w:rPr>
          <w:rFonts w:cs="Times New Roman"/>
          <w:sz w:val="24"/>
          <w:szCs w:val="24"/>
        </w:rPr>
        <w:t xml:space="preserve"> kn. </w:t>
      </w:r>
    </w:p>
    <w:p w:rsidR="00240640" w:rsidRDefault="00ED224C" w:rsidP="00927987">
      <w:pPr>
        <w:widowControl w:val="0"/>
        <w:overflowPunct w:val="0"/>
        <w:autoSpaceDE w:val="0"/>
        <w:autoSpaceDN w:val="0"/>
        <w:adjustRightInd w:val="0"/>
        <w:spacing w:line="240" w:lineRule="auto"/>
        <w:ind w:right="-193"/>
        <w:jc w:val="both"/>
        <w:rPr>
          <w:rFonts w:cs="Times New Roman"/>
          <w:sz w:val="24"/>
          <w:szCs w:val="24"/>
        </w:rPr>
      </w:pPr>
      <w:r w:rsidRPr="0070627A">
        <w:rPr>
          <w:rFonts w:cs="Times New Roman"/>
          <w:sz w:val="24"/>
          <w:szCs w:val="24"/>
        </w:rPr>
        <w:t>Ukupne jednostavne kamate jednake su zbroju kamata za svako obračunsko razdoblje:</w:t>
      </w:r>
    </w:p>
    <w:p w:rsidR="00ED224C" w:rsidRPr="0070627A" w:rsidRDefault="00ED224C" w:rsidP="00927987">
      <w:pPr>
        <w:widowControl w:val="0"/>
        <w:overflowPunct w:val="0"/>
        <w:autoSpaceDE w:val="0"/>
        <w:autoSpaceDN w:val="0"/>
        <w:adjustRightInd w:val="0"/>
        <w:spacing w:line="240" w:lineRule="auto"/>
        <w:ind w:right="-193"/>
        <w:jc w:val="both"/>
        <w:rPr>
          <w:rFonts w:cs="Times New Roman"/>
          <w:sz w:val="24"/>
          <w:szCs w:val="24"/>
        </w:rPr>
      </w:pPr>
      <w:r w:rsidRPr="0070627A">
        <w:rPr>
          <w:rFonts w:cs="Times New Roman"/>
          <w:iCs/>
          <w:sz w:val="24"/>
          <w:szCs w:val="24"/>
        </w:rPr>
        <w:t xml:space="preserve">I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1</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2</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3</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4</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I</w:t>
      </w:r>
      <w:r w:rsidRPr="0070627A">
        <w:rPr>
          <w:rFonts w:cs="Times New Roman"/>
          <w:sz w:val="24"/>
          <w:szCs w:val="24"/>
          <w:vertAlign w:val="subscript"/>
        </w:rPr>
        <w:t>5</w:t>
      </w:r>
      <w:r w:rsidRPr="0070627A">
        <w:rPr>
          <w:rFonts w:cs="Times New Roman"/>
          <w:iCs/>
          <w:sz w:val="24"/>
          <w:szCs w:val="24"/>
        </w:rPr>
        <w:t xml:space="preserve"> </w:t>
      </w:r>
      <w:r w:rsidR="00240640">
        <w:rPr>
          <w:rFonts w:cs="Times New Roman"/>
          <w:sz w:val="24"/>
          <w:szCs w:val="24"/>
        </w:rPr>
        <w:t xml:space="preserve">= 45 </w:t>
      </w:r>
      <w:r w:rsidRPr="0070627A">
        <w:rPr>
          <w:rFonts w:cs="Times New Roman"/>
          <w:sz w:val="24"/>
          <w:szCs w:val="24"/>
        </w:rPr>
        <w:t>kn, odnosno</w:t>
      </w:r>
      <w:r w:rsidRPr="0070627A">
        <w:rPr>
          <w:rFonts w:cs="Times New Roman"/>
          <w:iCs/>
          <w:sz w:val="24"/>
          <w:szCs w:val="24"/>
        </w:rPr>
        <w:t xml:space="preserve"> I </w:t>
      </w:r>
      <w:r w:rsidRPr="0070627A">
        <w:rPr>
          <w:rFonts w:cs="Times New Roman"/>
          <w:sz w:val="24"/>
          <w:szCs w:val="24"/>
        </w:rPr>
        <w:t xml:space="preserve">= </w:t>
      </w:r>
      <w:r w:rsidR="00240640">
        <w:rPr>
          <w:rFonts w:cs="Times New Roman"/>
          <w:sz w:val="24"/>
          <w:szCs w:val="24"/>
        </w:rPr>
        <w:t>3</w:t>
      </w:r>
      <w:r w:rsidRPr="0070627A">
        <w:rPr>
          <w:rFonts w:cs="Times New Roman"/>
          <w:sz w:val="24"/>
          <w:szCs w:val="24"/>
        </w:rPr>
        <w:t xml:space="preserve">00 </w:t>
      </w:r>
      <w:r w:rsidR="00240640">
        <w:rPr>
          <w:rFonts w:cs="Times New Roman"/>
          <w:sz w:val="24"/>
          <w:szCs w:val="24"/>
        </w:rPr>
        <w:t>*</w:t>
      </w:r>
      <w:r w:rsidRPr="0070627A">
        <w:rPr>
          <w:rFonts w:cs="Times New Roman"/>
          <w:sz w:val="24"/>
          <w:szCs w:val="24"/>
        </w:rPr>
        <w:t xml:space="preserve"> 0,03 </w:t>
      </w:r>
      <w:r w:rsidR="00240640">
        <w:rPr>
          <w:rFonts w:cs="Times New Roman"/>
          <w:sz w:val="24"/>
          <w:szCs w:val="24"/>
        </w:rPr>
        <w:t>*</w:t>
      </w:r>
      <w:r w:rsidRPr="0070627A">
        <w:rPr>
          <w:rFonts w:cs="Times New Roman"/>
          <w:sz w:val="24"/>
          <w:szCs w:val="24"/>
        </w:rPr>
        <w:t xml:space="preserve"> 5 = </w:t>
      </w:r>
      <w:r w:rsidR="00240640">
        <w:rPr>
          <w:rFonts w:cs="Times New Roman"/>
          <w:sz w:val="24"/>
          <w:szCs w:val="24"/>
        </w:rPr>
        <w:t>45</w:t>
      </w:r>
      <w:r w:rsidRPr="0070627A">
        <w:rPr>
          <w:rFonts w:cs="Times New Roman"/>
          <w:sz w:val="24"/>
          <w:szCs w:val="24"/>
        </w:rPr>
        <w:t xml:space="preserve"> kn.</w:t>
      </w:r>
    </w:p>
    <w:p w:rsidR="00ED224C" w:rsidRPr="0070627A" w:rsidRDefault="00ED224C" w:rsidP="00927987">
      <w:pPr>
        <w:widowControl w:val="0"/>
        <w:overflowPunct w:val="0"/>
        <w:autoSpaceDE w:val="0"/>
        <w:autoSpaceDN w:val="0"/>
        <w:adjustRightInd w:val="0"/>
        <w:spacing w:line="240" w:lineRule="auto"/>
        <w:jc w:val="both"/>
        <w:rPr>
          <w:rFonts w:cs="Times New Roman"/>
          <w:sz w:val="24"/>
          <w:szCs w:val="24"/>
        </w:rPr>
      </w:pPr>
      <w:r w:rsidRPr="0070627A">
        <w:rPr>
          <w:rFonts w:cs="Times New Roman"/>
          <w:sz w:val="24"/>
          <w:szCs w:val="24"/>
        </w:rPr>
        <w:t>Po isteku razdoblja oročenja, banka će štediši isplatiti iznos od 2</w:t>
      </w:r>
      <w:r w:rsidR="00240640">
        <w:rPr>
          <w:rFonts w:cs="Times New Roman"/>
          <w:sz w:val="24"/>
          <w:szCs w:val="24"/>
        </w:rPr>
        <w:t>45</w:t>
      </w:r>
      <w:r w:rsidRPr="0070627A">
        <w:rPr>
          <w:rFonts w:cs="Times New Roman"/>
          <w:sz w:val="24"/>
          <w:szCs w:val="24"/>
        </w:rPr>
        <w:t xml:space="preserve"> kuna, što je jednako zbroju početnog ulaganja </w:t>
      </w:r>
      <w:r w:rsidRPr="0070627A">
        <w:rPr>
          <w:rFonts w:cs="Times New Roman"/>
          <w:iCs/>
          <w:sz w:val="24"/>
          <w:szCs w:val="24"/>
        </w:rPr>
        <w:t>C</w:t>
      </w:r>
      <w:r w:rsidRPr="0070627A">
        <w:rPr>
          <w:rFonts w:cs="Times New Roman"/>
          <w:sz w:val="24"/>
          <w:szCs w:val="24"/>
          <w:vertAlign w:val="subscript"/>
        </w:rPr>
        <w:t>0</w:t>
      </w:r>
      <w:r w:rsidRPr="0070627A">
        <w:rPr>
          <w:rFonts w:cs="Times New Roman"/>
          <w:sz w:val="24"/>
          <w:szCs w:val="24"/>
        </w:rPr>
        <w:t xml:space="preserve"> i pripisanih ukupnih jednostavnih kamata za pet godina, a računamo kao</w:t>
      </w:r>
    </w:p>
    <w:p w:rsidR="00ED224C" w:rsidRPr="0070627A" w:rsidRDefault="00ED224C" w:rsidP="00927987">
      <w:pPr>
        <w:widowControl w:val="0"/>
        <w:autoSpaceDE w:val="0"/>
        <w:autoSpaceDN w:val="0"/>
        <w:adjustRightInd w:val="0"/>
        <w:spacing w:line="240" w:lineRule="auto"/>
        <w:ind w:left="180"/>
        <w:jc w:val="both"/>
        <w:rPr>
          <w:rFonts w:cs="Times New Roman"/>
          <w:sz w:val="24"/>
          <w:szCs w:val="24"/>
        </w:rPr>
      </w:pPr>
      <w:r w:rsidRPr="0070627A">
        <w:rPr>
          <w:rFonts w:cs="Times New Roman"/>
          <w:iCs/>
          <w:sz w:val="24"/>
          <w:szCs w:val="24"/>
        </w:rPr>
        <w:t>C</w:t>
      </w:r>
      <w:r w:rsidRPr="0070627A">
        <w:rPr>
          <w:rFonts w:cs="Times New Roman"/>
          <w:sz w:val="24"/>
          <w:szCs w:val="24"/>
          <w:vertAlign w:val="subscript"/>
        </w:rPr>
        <w:t>5</w:t>
      </w:r>
      <w:r w:rsidRPr="0070627A">
        <w:rPr>
          <w:rFonts w:cs="Times New Roman"/>
          <w:iCs/>
          <w:sz w:val="24"/>
          <w:szCs w:val="24"/>
        </w:rPr>
        <w:t xml:space="preserve"> </w:t>
      </w:r>
      <w:r w:rsidRPr="0070627A">
        <w:rPr>
          <w:rFonts w:cs="Times New Roman"/>
          <w:sz w:val="24"/>
          <w:szCs w:val="24"/>
        </w:rPr>
        <w:t>=</w:t>
      </w:r>
      <w:r w:rsidRPr="0070627A">
        <w:rPr>
          <w:rFonts w:cs="Times New Roman"/>
          <w:iCs/>
          <w:sz w:val="24"/>
          <w:szCs w:val="24"/>
        </w:rPr>
        <w:t xml:space="preserve"> C</w:t>
      </w:r>
      <w:r w:rsidRPr="0070627A">
        <w:rPr>
          <w:rFonts w:cs="Times New Roman"/>
          <w:sz w:val="24"/>
          <w:szCs w:val="24"/>
          <w:vertAlign w:val="subscript"/>
        </w:rPr>
        <w:t>0</w:t>
      </w:r>
      <w:r w:rsidRPr="0070627A">
        <w:rPr>
          <w:rFonts w:cs="Times New Roman"/>
          <w:iCs/>
          <w:sz w:val="24"/>
          <w:szCs w:val="24"/>
        </w:rPr>
        <w:t xml:space="preserve"> </w:t>
      </w:r>
      <w:r w:rsidRPr="0070627A">
        <w:rPr>
          <w:rFonts w:cs="Times New Roman"/>
          <w:sz w:val="24"/>
          <w:szCs w:val="24"/>
        </w:rPr>
        <w:t>∙ (1 +</w:t>
      </w:r>
      <w:r w:rsidRPr="0070627A">
        <w:rPr>
          <w:rFonts w:cs="Times New Roman"/>
          <w:iCs/>
          <w:sz w:val="24"/>
          <w:szCs w:val="24"/>
        </w:rPr>
        <w:t xml:space="preserve"> r ∙ n</w:t>
      </w:r>
      <w:r w:rsidRPr="0070627A">
        <w:rPr>
          <w:rFonts w:cs="Times New Roman"/>
          <w:sz w:val="24"/>
          <w:szCs w:val="24"/>
        </w:rPr>
        <w:t xml:space="preserve">) = </w:t>
      </w:r>
      <w:r w:rsidR="00240640">
        <w:rPr>
          <w:rFonts w:cs="Times New Roman"/>
          <w:sz w:val="24"/>
          <w:szCs w:val="24"/>
        </w:rPr>
        <w:t>3</w:t>
      </w:r>
      <w:r w:rsidRPr="0070627A">
        <w:rPr>
          <w:rFonts w:cs="Times New Roman"/>
          <w:sz w:val="24"/>
          <w:szCs w:val="24"/>
        </w:rPr>
        <w:t xml:space="preserve">00 ∙ (1 + 0,03 ∙ 5) = </w:t>
      </w:r>
      <w:r w:rsidR="00240640">
        <w:rPr>
          <w:rFonts w:cs="Times New Roman"/>
          <w:sz w:val="24"/>
          <w:szCs w:val="24"/>
        </w:rPr>
        <w:t>3</w:t>
      </w:r>
      <w:r w:rsidRPr="0070627A">
        <w:rPr>
          <w:rFonts w:cs="Times New Roman"/>
          <w:sz w:val="24"/>
          <w:szCs w:val="24"/>
        </w:rPr>
        <w:t xml:space="preserve">00 ∙ (1 + 0,15) = </w:t>
      </w:r>
      <w:r w:rsidR="00240640">
        <w:rPr>
          <w:rFonts w:cs="Times New Roman"/>
          <w:sz w:val="24"/>
          <w:szCs w:val="24"/>
        </w:rPr>
        <w:t>3</w:t>
      </w:r>
      <w:r w:rsidRPr="0070627A">
        <w:rPr>
          <w:rFonts w:cs="Times New Roman"/>
          <w:sz w:val="24"/>
          <w:szCs w:val="24"/>
        </w:rPr>
        <w:t>00 ∙ 1,15 = 2</w:t>
      </w:r>
      <w:r w:rsidR="00240640">
        <w:rPr>
          <w:rFonts w:cs="Times New Roman"/>
          <w:sz w:val="24"/>
          <w:szCs w:val="24"/>
        </w:rPr>
        <w:t>45</w:t>
      </w:r>
      <w:r w:rsidRPr="0070627A">
        <w:rPr>
          <w:rFonts w:cs="Times New Roman"/>
          <w:sz w:val="24"/>
          <w:szCs w:val="24"/>
        </w:rPr>
        <w:t xml:space="preserve"> kn</w:t>
      </w:r>
    </w:p>
    <w:p w:rsidR="00F54646" w:rsidRDefault="00F54646" w:rsidP="00927987">
      <w:pPr>
        <w:widowControl w:val="0"/>
        <w:overflowPunct w:val="0"/>
        <w:autoSpaceDE w:val="0"/>
        <w:autoSpaceDN w:val="0"/>
        <w:adjustRightInd w:val="0"/>
        <w:spacing w:line="240" w:lineRule="auto"/>
        <w:jc w:val="both"/>
        <w:rPr>
          <w:rFonts w:cs="Times New Roman"/>
          <w:i/>
          <w:color w:val="C00000"/>
          <w:sz w:val="24"/>
          <w:szCs w:val="24"/>
        </w:rPr>
      </w:pPr>
    </w:p>
    <w:p w:rsidR="00ED224C" w:rsidRPr="0070627A" w:rsidRDefault="0070627A" w:rsidP="00927987">
      <w:pPr>
        <w:widowControl w:val="0"/>
        <w:overflowPunct w:val="0"/>
        <w:autoSpaceDE w:val="0"/>
        <w:autoSpaceDN w:val="0"/>
        <w:adjustRightInd w:val="0"/>
        <w:spacing w:line="240" w:lineRule="auto"/>
        <w:jc w:val="both"/>
        <w:rPr>
          <w:rFonts w:cs="Times New Roman"/>
          <w:sz w:val="24"/>
          <w:szCs w:val="24"/>
        </w:rPr>
      </w:pPr>
      <w:r w:rsidRPr="0070627A">
        <w:rPr>
          <w:rFonts w:cs="Times New Roman"/>
          <w:i/>
          <w:color w:val="C00000"/>
          <w:sz w:val="24"/>
          <w:szCs w:val="24"/>
        </w:rPr>
        <w:t>Primjer:</w:t>
      </w:r>
      <w:r w:rsidRPr="0070627A">
        <w:rPr>
          <w:rFonts w:cs="Times New Roman"/>
          <w:color w:val="C00000"/>
          <w:sz w:val="24"/>
          <w:szCs w:val="24"/>
        </w:rPr>
        <w:t xml:space="preserve"> </w:t>
      </w:r>
      <w:r w:rsidR="00ED224C" w:rsidRPr="0070627A">
        <w:rPr>
          <w:rFonts w:cs="Times New Roman"/>
          <w:color w:val="C00000"/>
          <w:sz w:val="24"/>
          <w:szCs w:val="24"/>
        </w:rPr>
        <w:t xml:space="preserve"> </w:t>
      </w:r>
      <w:r w:rsidR="00D26479" w:rsidRPr="00D26479">
        <w:rPr>
          <w:rFonts w:cs="Times New Roman"/>
          <w:sz w:val="24"/>
          <w:szCs w:val="24"/>
        </w:rPr>
        <w:t xml:space="preserve">Potrebno je izračunati </w:t>
      </w:r>
      <w:r w:rsidR="00ED224C" w:rsidRPr="0070627A">
        <w:rPr>
          <w:rFonts w:cs="Times New Roman"/>
          <w:sz w:val="24"/>
          <w:szCs w:val="24"/>
        </w:rPr>
        <w:t>buduć</w:t>
      </w:r>
      <w:r w:rsidR="00D26479">
        <w:rPr>
          <w:rFonts w:cs="Times New Roman"/>
          <w:sz w:val="24"/>
          <w:szCs w:val="24"/>
        </w:rPr>
        <w:t>u</w:t>
      </w:r>
      <w:r w:rsidR="00ED224C" w:rsidRPr="0070627A">
        <w:rPr>
          <w:rFonts w:cs="Times New Roman"/>
          <w:sz w:val="24"/>
          <w:szCs w:val="24"/>
        </w:rPr>
        <w:t xml:space="preserve"> vrijednost ulaganja 300 eura nakon 2 godine ako je</w:t>
      </w:r>
      <w:r w:rsidR="00ED224C" w:rsidRPr="0070627A">
        <w:rPr>
          <w:rFonts w:cs="Times New Roman"/>
          <w:bCs/>
          <w:sz w:val="24"/>
          <w:szCs w:val="24"/>
        </w:rPr>
        <w:t xml:space="preserve"> </w:t>
      </w:r>
      <w:r w:rsidR="00ED224C" w:rsidRPr="0070627A">
        <w:rPr>
          <w:rFonts w:cs="Times New Roman"/>
          <w:sz w:val="24"/>
          <w:szCs w:val="24"/>
        </w:rPr>
        <w:t>godišnja kamatna stopa 3,6%</w:t>
      </w:r>
      <w:r w:rsidR="00D26479">
        <w:rPr>
          <w:rFonts w:cs="Times New Roman"/>
          <w:sz w:val="24"/>
          <w:szCs w:val="24"/>
        </w:rPr>
        <w:t>.</w:t>
      </w:r>
      <w:r w:rsidR="00ED224C" w:rsidRPr="0070627A">
        <w:rPr>
          <w:rFonts w:cs="Times New Roman"/>
          <w:sz w:val="24"/>
          <w:szCs w:val="24"/>
        </w:rPr>
        <w:t xml:space="preserve"> Obračun kamata je jednostavan i dekurzivan, a ukamaćivanje godišnje.</w:t>
      </w:r>
    </w:p>
    <w:p w:rsidR="00ED224C" w:rsidRPr="0070627A" w:rsidRDefault="00ED224C" w:rsidP="00927987">
      <w:pPr>
        <w:widowControl w:val="0"/>
        <w:autoSpaceDE w:val="0"/>
        <w:autoSpaceDN w:val="0"/>
        <w:adjustRightInd w:val="0"/>
        <w:spacing w:after="120" w:line="240" w:lineRule="auto"/>
        <w:jc w:val="both"/>
        <w:rPr>
          <w:rFonts w:cs="Times New Roman"/>
          <w:sz w:val="24"/>
          <w:szCs w:val="24"/>
        </w:rPr>
      </w:pPr>
      <w:r w:rsidRPr="0070627A">
        <w:rPr>
          <w:rFonts w:cs="Times New Roman"/>
          <w:sz w:val="24"/>
          <w:szCs w:val="24"/>
        </w:rPr>
        <w:t>C</w:t>
      </w:r>
      <w:r w:rsidRPr="0070627A">
        <w:rPr>
          <w:rFonts w:cs="Times New Roman"/>
          <w:sz w:val="24"/>
          <w:szCs w:val="24"/>
          <w:vertAlign w:val="subscript"/>
        </w:rPr>
        <w:t>0</w:t>
      </w:r>
      <w:r w:rsidRPr="0070627A">
        <w:rPr>
          <w:rFonts w:cs="Times New Roman"/>
          <w:sz w:val="24"/>
          <w:szCs w:val="24"/>
        </w:rPr>
        <w:t xml:space="preserve"> = 300                                 C</w:t>
      </w:r>
      <w:r w:rsidRPr="0070627A">
        <w:rPr>
          <w:rFonts w:cs="Times New Roman"/>
          <w:sz w:val="24"/>
          <w:szCs w:val="24"/>
          <w:vertAlign w:val="subscript"/>
        </w:rPr>
        <w:t xml:space="preserve">2 </w:t>
      </w:r>
      <w:r w:rsidRPr="0070627A">
        <w:rPr>
          <w:rFonts w:cs="Times New Roman"/>
          <w:sz w:val="24"/>
          <w:szCs w:val="24"/>
        </w:rPr>
        <w:t>= C</w:t>
      </w:r>
      <w:r w:rsidRPr="0070627A">
        <w:rPr>
          <w:rFonts w:cs="Times New Roman"/>
          <w:sz w:val="24"/>
          <w:szCs w:val="24"/>
          <w:vertAlign w:val="subscript"/>
        </w:rPr>
        <w:t>0</w:t>
      </w:r>
      <w:r w:rsidRPr="0070627A">
        <w:rPr>
          <w:rFonts w:cs="Times New Roman"/>
          <w:sz w:val="24"/>
          <w:szCs w:val="24"/>
        </w:rPr>
        <w:t xml:space="preserve"> * (1 + r * n)</w:t>
      </w:r>
    </w:p>
    <w:p w:rsidR="00ED224C" w:rsidRPr="0070627A" w:rsidRDefault="00ED224C" w:rsidP="00927987">
      <w:pPr>
        <w:widowControl w:val="0"/>
        <w:autoSpaceDE w:val="0"/>
        <w:autoSpaceDN w:val="0"/>
        <w:adjustRightInd w:val="0"/>
        <w:spacing w:after="120" w:line="240" w:lineRule="auto"/>
        <w:jc w:val="both"/>
        <w:rPr>
          <w:rFonts w:cs="Times New Roman"/>
          <w:sz w:val="24"/>
          <w:szCs w:val="24"/>
        </w:rPr>
      </w:pPr>
      <w:r w:rsidRPr="0070627A">
        <w:rPr>
          <w:rFonts w:cs="Times New Roman"/>
          <w:sz w:val="24"/>
          <w:szCs w:val="24"/>
        </w:rPr>
        <w:t>n = 2                                       C</w:t>
      </w:r>
      <w:r w:rsidRPr="0070627A">
        <w:rPr>
          <w:rFonts w:cs="Times New Roman"/>
          <w:sz w:val="24"/>
          <w:szCs w:val="24"/>
          <w:vertAlign w:val="subscript"/>
        </w:rPr>
        <w:t xml:space="preserve">2 </w:t>
      </w:r>
      <w:r w:rsidRPr="0070627A">
        <w:rPr>
          <w:rFonts w:cs="Times New Roman"/>
          <w:sz w:val="24"/>
          <w:szCs w:val="24"/>
        </w:rPr>
        <w:t xml:space="preserve">= 300 </w:t>
      </w:r>
      <w:r w:rsidRPr="00927987">
        <w:rPr>
          <w:rFonts w:cs="Times New Roman"/>
          <w:sz w:val="24"/>
          <w:szCs w:val="24"/>
        </w:rPr>
        <w:t>* (</w:t>
      </w:r>
      <w:r w:rsidRPr="0070627A">
        <w:rPr>
          <w:rFonts w:cs="Times New Roman"/>
          <w:sz w:val="24"/>
          <w:szCs w:val="24"/>
        </w:rPr>
        <w:t xml:space="preserve"> 1 + 0,036 * 2)</w:t>
      </w:r>
    </w:p>
    <w:p w:rsidR="00ED224C" w:rsidRPr="0070627A" w:rsidRDefault="00ED224C" w:rsidP="00927987">
      <w:pPr>
        <w:widowControl w:val="0"/>
        <w:autoSpaceDE w:val="0"/>
        <w:autoSpaceDN w:val="0"/>
        <w:adjustRightInd w:val="0"/>
        <w:spacing w:after="120" w:line="240" w:lineRule="auto"/>
        <w:jc w:val="both"/>
        <w:rPr>
          <w:rFonts w:cs="Times New Roman"/>
          <w:sz w:val="24"/>
          <w:szCs w:val="24"/>
        </w:rPr>
      </w:pPr>
      <w:r w:rsidRPr="0070627A">
        <w:rPr>
          <w:rFonts w:cs="Times New Roman"/>
          <w:sz w:val="24"/>
          <w:szCs w:val="24"/>
        </w:rPr>
        <w:t>r = 3,6                                     C</w:t>
      </w:r>
      <w:r w:rsidRPr="0070627A">
        <w:rPr>
          <w:rFonts w:cs="Times New Roman"/>
          <w:sz w:val="24"/>
          <w:szCs w:val="24"/>
          <w:vertAlign w:val="subscript"/>
        </w:rPr>
        <w:t xml:space="preserve">2 </w:t>
      </w:r>
      <w:r w:rsidRPr="0070627A">
        <w:rPr>
          <w:rFonts w:cs="Times New Roman"/>
          <w:sz w:val="24"/>
          <w:szCs w:val="24"/>
        </w:rPr>
        <w:t>= 321,6</w:t>
      </w:r>
    </w:p>
    <w:p w:rsidR="00F54646" w:rsidRDefault="00F54646" w:rsidP="00927987">
      <w:pPr>
        <w:widowControl w:val="0"/>
        <w:autoSpaceDE w:val="0"/>
        <w:autoSpaceDN w:val="0"/>
        <w:adjustRightInd w:val="0"/>
        <w:spacing w:before="240"/>
        <w:rPr>
          <w:rFonts w:cs="Times New Roman"/>
          <w:sz w:val="24"/>
          <w:szCs w:val="24"/>
        </w:rPr>
      </w:pPr>
    </w:p>
    <w:p w:rsidR="00240640" w:rsidRDefault="00240640" w:rsidP="00927987">
      <w:pPr>
        <w:widowControl w:val="0"/>
        <w:autoSpaceDE w:val="0"/>
        <w:autoSpaceDN w:val="0"/>
        <w:adjustRightInd w:val="0"/>
        <w:spacing w:before="240"/>
        <w:rPr>
          <w:rFonts w:cs="Times New Roman"/>
          <w:sz w:val="24"/>
          <w:szCs w:val="24"/>
        </w:rPr>
      </w:pPr>
    </w:p>
    <w:tbl>
      <w:tblPr>
        <w:tblStyle w:val="Reetkatablice"/>
        <w:tblW w:w="0" w:type="auto"/>
        <w:tblInd w:w="108" w:type="dxa"/>
        <w:tblLook w:val="04A0" w:firstRow="1" w:lastRow="0" w:firstColumn="1" w:lastColumn="0" w:noHBand="0" w:noVBand="1"/>
      </w:tblPr>
      <w:tblGrid>
        <w:gridCol w:w="8505"/>
      </w:tblGrid>
      <w:tr w:rsidR="00240640" w:rsidTr="00240640">
        <w:tc>
          <w:tcPr>
            <w:tcW w:w="8505" w:type="dxa"/>
          </w:tcPr>
          <w:p w:rsidR="006A6D51" w:rsidRPr="00A04A5C" w:rsidRDefault="006A6D51" w:rsidP="00A04A5C">
            <w:pPr>
              <w:spacing w:before="240"/>
              <w:jc w:val="both"/>
              <w:rPr>
                <w:rFonts w:asciiTheme="minorHAnsi" w:hAnsiTheme="minorHAnsi"/>
                <w:sz w:val="24"/>
                <w:szCs w:val="24"/>
              </w:rPr>
            </w:pPr>
            <w:r w:rsidRPr="00A04A5C">
              <w:rPr>
                <w:rFonts w:asciiTheme="minorHAnsi" w:hAnsiTheme="minorHAnsi"/>
                <w:sz w:val="24"/>
                <w:szCs w:val="24"/>
              </w:rPr>
              <w:t xml:space="preserve">Kamatne stope </w:t>
            </w:r>
            <w:r w:rsidRPr="00A04A5C">
              <w:rPr>
                <w:rFonts w:asciiTheme="minorHAnsi" w:hAnsiTheme="minorHAnsi"/>
                <w:color w:val="C00000"/>
                <w:sz w:val="24"/>
                <w:szCs w:val="24"/>
              </w:rPr>
              <w:t xml:space="preserve">koje se ugovaraju su nominalne kamatne stope </w:t>
            </w:r>
            <w:r w:rsidRPr="00A04A5C">
              <w:rPr>
                <w:rFonts w:asciiTheme="minorHAnsi" w:hAnsiTheme="minorHAnsi"/>
                <w:sz w:val="24"/>
                <w:szCs w:val="24"/>
              </w:rPr>
              <w:t>pa ih valja razlikovati od realnih kamatnih stopa.</w:t>
            </w:r>
          </w:p>
          <w:p w:rsidR="006A6D51" w:rsidRDefault="006A6D51" w:rsidP="00764439">
            <w:pPr>
              <w:jc w:val="both"/>
              <w:rPr>
                <w:sz w:val="24"/>
                <w:szCs w:val="24"/>
              </w:rPr>
            </w:pPr>
          </w:p>
          <w:p w:rsidR="00764439" w:rsidRPr="006A6D51" w:rsidRDefault="00764439" w:rsidP="00764439">
            <w:pPr>
              <w:jc w:val="both"/>
              <w:rPr>
                <w:rFonts w:asciiTheme="minorHAnsi" w:hAnsiTheme="minorHAnsi"/>
                <w:color w:val="000000" w:themeColor="text1"/>
                <w:sz w:val="24"/>
                <w:szCs w:val="24"/>
              </w:rPr>
            </w:pPr>
            <w:r w:rsidRPr="006A6D51">
              <w:rPr>
                <w:rFonts w:asciiTheme="minorHAnsi" w:hAnsiTheme="minorHAnsi"/>
                <w:b/>
                <w:color w:val="000000" w:themeColor="text1"/>
                <w:sz w:val="24"/>
                <w:szCs w:val="24"/>
              </w:rPr>
              <w:t>Realna kamatna stopa</w:t>
            </w:r>
            <w:r w:rsidRPr="006A6D51">
              <w:rPr>
                <w:rFonts w:asciiTheme="minorHAnsi" w:hAnsiTheme="minorHAnsi"/>
                <w:color w:val="000000" w:themeColor="text1"/>
                <w:sz w:val="24"/>
                <w:szCs w:val="24"/>
              </w:rPr>
              <w:t xml:space="preserve"> </w:t>
            </w:r>
          </w:p>
          <w:p w:rsidR="00764439" w:rsidRPr="006A6D51" w:rsidRDefault="00764439" w:rsidP="006A6D51">
            <w:pPr>
              <w:spacing w:before="120"/>
              <w:jc w:val="both"/>
              <w:rPr>
                <w:rFonts w:asciiTheme="minorHAnsi" w:hAnsiTheme="minorHAnsi"/>
                <w:sz w:val="24"/>
                <w:szCs w:val="24"/>
              </w:rPr>
            </w:pPr>
            <w:r w:rsidRPr="006A6D51">
              <w:rPr>
                <w:rFonts w:asciiTheme="minorHAnsi" w:hAnsiTheme="minorHAnsi"/>
                <w:sz w:val="24"/>
                <w:szCs w:val="24"/>
              </w:rPr>
              <w:t xml:space="preserve">Realna kamatna stopa u decimalnom zapisu izvodi se iz izraza </w:t>
            </w:r>
          </w:p>
          <w:p w:rsidR="00764439" w:rsidRPr="006A6D51" w:rsidRDefault="00764439" w:rsidP="00764439">
            <w:pPr>
              <w:jc w:val="both"/>
              <w:rPr>
                <w:rFonts w:asciiTheme="minorHAnsi" w:hAnsiTheme="minorHAnsi"/>
                <w:sz w:val="24"/>
                <w:szCs w:val="24"/>
              </w:rPr>
            </w:pPr>
          </w:p>
          <w:p w:rsidR="00764439" w:rsidRDefault="00764439" w:rsidP="00764439">
            <w:pPr>
              <w:jc w:val="center"/>
              <w:rPr>
                <w:rFonts w:asciiTheme="minorHAnsi" w:hAnsiTheme="minorHAnsi"/>
                <w:sz w:val="24"/>
                <w:szCs w:val="24"/>
              </w:rPr>
            </w:pPr>
            <w:r w:rsidRPr="006A6D51">
              <w:rPr>
                <w:rFonts w:asciiTheme="minorHAnsi" w:hAnsiTheme="minorHAnsi"/>
                <w:sz w:val="26"/>
                <w:szCs w:val="26"/>
              </w:rPr>
              <w:t>1 + realna kamatna stopa</w:t>
            </w:r>
            <w:r w:rsidRPr="006A6D51">
              <w:rPr>
                <w:rFonts w:asciiTheme="minorHAnsi" w:hAnsiTheme="minorHAnsi"/>
                <w:sz w:val="24"/>
                <w:szCs w:val="24"/>
              </w:rPr>
              <w:t xml:space="preserve"> =  </w:t>
            </w:r>
            <w:r w:rsidR="006A6D51" w:rsidRPr="006A6D51">
              <w:rPr>
                <w:rFonts w:asciiTheme="minorHAnsi" w:eastAsiaTheme="minorHAnsi" w:hAnsiTheme="minorHAnsi" w:cstheme="minorBidi"/>
                <w:position w:val="-28"/>
                <w:sz w:val="24"/>
                <w:szCs w:val="24"/>
                <w:lang w:eastAsia="en-US"/>
              </w:rPr>
              <w:object w:dxaOrig="2860" w:dyaOrig="660">
                <v:shape id="_x0000_i1046" type="#_x0000_t75" style="width:162pt;height:37.5pt" o:ole="">
                  <v:imagedata r:id="rId119" o:title=""/>
                </v:shape>
                <o:OLEObject Type="Embed" ProgID="Equation.3" ShapeID="_x0000_i1046" DrawAspect="Content" ObjectID="_1505681374" r:id="rId120"/>
              </w:object>
            </w:r>
            <w:r w:rsidRPr="006A6D51">
              <w:rPr>
                <w:rFonts w:asciiTheme="minorHAnsi" w:hAnsiTheme="minorHAnsi"/>
                <w:sz w:val="24"/>
                <w:szCs w:val="24"/>
              </w:rPr>
              <w:t>.</w:t>
            </w:r>
          </w:p>
          <w:p w:rsidR="006A6D51" w:rsidRPr="006A6D51" w:rsidRDefault="006A6D51" w:rsidP="00764439">
            <w:pPr>
              <w:jc w:val="center"/>
              <w:rPr>
                <w:rFonts w:asciiTheme="minorHAnsi" w:hAnsiTheme="minorHAnsi"/>
                <w:sz w:val="24"/>
                <w:szCs w:val="24"/>
              </w:rPr>
            </w:pPr>
          </w:p>
          <w:p w:rsidR="006A6D51" w:rsidRPr="006A6D51" w:rsidRDefault="006A6D51" w:rsidP="006A6D51">
            <w:pPr>
              <w:spacing w:after="120"/>
              <w:rPr>
                <w:rFonts w:asciiTheme="minorHAnsi" w:hAnsiTheme="minorHAnsi"/>
                <w:sz w:val="24"/>
                <w:szCs w:val="24"/>
              </w:rPr>
            </w:pPr>
            <w:r w:rsidRPr="006A6D51">
              <w:rPr>
                <w:rFonts w:asciiTheme="minorHAnsi" w:hAnsiTheme="minorHAnsi"/>
                <w:sz w:val="24"/>
                <w:szCs w:val="24"/>
              </w:rPr>
              <w:t xml:space="preserve">Ako su realna kamatna stopa i stopa inflacije male veličine (pa se njihov umnožak može zanemariti ) odnos realne i nominalne kamatne stope može se promatrati kroz aproksimaciju: </w:t>
            </w:r>
          </w:p>
          <w:p w:rsidR="006A6D51" w:rsidRPr="006A6D51" w:rsidRDefault="006A6D51" w:rsidP="006A6D51">
            <w:pPr>
              <w:spacing w:after="120"/>
              <w:jc w:val="center"/>
              <w:rPr>
                <w:rFonts w:asciiTheme="minorHAnsi" w:hAnsiTheme="minorHAnsi"/>
                <w:color w:val="C00000"/>
                <w:sz w:val="24"/>
                <w:szCs w:val="24"/>
              </w:rPr>
            </w:pPr>
            <w:r w:rsidRPr="006A6D51">
              <w:rPr>
                <w:rFonts w:asciiTheme="minorHAnsi" w:hAnsiTheme="minorHAnsi"/>
                <w:color w:val="C00000"/>
                <w:sz w:val="24"/>
                <w:szCs w:val="24"/>
              </w:rPr>
              <w:t>realna kamatna stopa ≈ nominalna kamatna stopa – stopa inflacije</w:t>
            </w:r>
          </w:p>
          <w:p w:rsidR="00764439" w:rsidRPr="006A6D51" w:rsidRDefault="00764439" w:rsidP="00F54646">
            <w:pPr>
              <w:widowControl w:val="0"/>
              <w:autoSpaceDE w:val="0"/>
              <w:autoSpaceDN w:val="0"/>
              <w:adjustRightInd w:val="0"/>
              <w:spacing w:before="240" w:after="240"/>
              <w:rPr>
                <w:rFonts w:asciiTheme="minorHAnsi" w:hAnsiTheme="minorHAnsi"/>
                <w:color w:val="000000" w:themeColor="text1"/>
                <w:sz w:val="24"/>
                <w:szCs w:val="24"/>
              </w:rPr>
            </w:pPr>
            <w:r w:rsidRPr="006A6D51">
              <w:rPr>
                <w:rFonts w:asciiTheme="minorHAnsi" w:hAnsiTheme="minorHAnsi"/>
                <w:color w:val="000000" w:themeColor="text1"/>
                <w:sz w:val="24"/>
                <w:szCs w:val="24"/>
              </w:rPr>
              <w:t>Realna buduća vrijednost ulaganja nakon godinu dana</w:t>
            </w:r>
          </w:p>
          <w:p w:rsidR="00764439" w:rsidRPr="006A6D51" w:rsidRDefault="00764439" w:rsidP="00F54646">
            <w:pPr>
              <w:widowControl w:val="0"/>
              <w:autoSpaceDE w:val="0"/>
              <w:autoSpaceDN w:val="0"/>
              <w:adjustRightInd w:val="0"/>
              <w:spacing w:before="240" w:after="240"/>
              <w:rPr>
                <w:rFonts w:asciiTheme="minorHAnsi" w:hAnsiTheme="minorHAnsi"/>
                <w:sz w:val="24"/>
                <w:szCs w:val="24"/>
              </w:rPr>
            </w:pPr>
            <w:r w:rsidRPr="006A6D51">
              <w:rPr>
                <w:rFonts w:asciiTheme="minorHAnsi" w:hAnsiTheme="minorHAnsi"/>
                <w:sz w:val="24"/>
                <w:szCs w:val="24"/>
              </w:rPr>
              <w:t>U izračunu realne buduće vrijednosti određenog nominalnog iznosa nakon godinu C</w:t>
            </w:r>
            <w:r w:rsidRPr="006A6D51">
              <w:rPr>
                <w:rFonts w:asciiTheme="minorHAnsi" w:hAnsiTheme="minorHAnsi"/>
                <w:sz w:val="24"/>
                <w:szCs w:val="24"/>
                <w:vertAlign w:val="subscript"/>
              </w:rPr>
              <w:t>1</w:t>
            </w:r>
            <w:r w:rsidRPr="006A6D51">
              <w:rPr>
                <w:rFonts w:asciiTheme="minorHAnsi" w:hAnsiTheme="minorHAnsi"/>
                <w:sz w:val="24"/>
                <w:szCs w:val="24"/>
              </w:rPr>
              <w:t xml:space="preserve"> dana koristi se formula</w:t>
            </w:r>
          </w:p>
          <w:p w:rsidR="00764439" w:rsidRPr="006A6D51" w:rsidRDefault="00764439" w:rsidP="006A6D51">
            <w:pPr>
              <w:widowControl w:val="0"/>
              <w:autoSpaceDE w:val="0"/>
              <w:autoSpaceDN w:val="0"/>
              <w:adjustRightInd w:val="0"/>
              <w:spacing w:before="240" w:after="240"/>
              <w:jc w:val="center"/>
              <w:rPr>
                <w:rFonts w:asciiTheme="minorHAnsi" w:hAnsiTheme="minorHAnsi"/>
                <w:color w:val="C00000"/>
                <w:sz w:val="24"/>
                <w:szCs w:val="24"/>
              </w:rPr>
            </w:pPr>
            <w:r w:rsidRPr="006A6D51">
              <w:rPr>
                <w:rFonts w:asciiTheme="minorHAnsi" w:hAnsiTheme="minorHAnsi"/>
                <w:color w:val="C00000"/>
                <w:sz w:val="24"/>
                <w:szCs w:val="24"/>
              </w:rPr>
              <w:t>C</w:t>
            </w:r>
            <w:r w:rsidRPr="006A6D51">
              <w:rPr>
                <w:rFonts w:asciiTheme="minorHAnsi" w:hAnsiTheme="minorHAnsi"/>
                <w:i/>
                <w:color w:val="C00000"/>
                <w:sz w:val="24"/>
                <w:szCs w:val="24"/>
                <w:vertAlign w:val="subscript"/>
              </w:rPr>
              <w:t xml:space="preserve">1 </w:t>
            </w:r>
            <w:r w:rsidRPr="006A6D51">
              <w:rPr>
                <w:rFonts w:asciiTheme="minorHAnsi" w:hAnsiTheme="minorHAnsi"/>
                <w:color w:val="C00000"/>
                <w:sz w:val="24"/>
                <w:szCs w:val="24"/>
              </w:rPr>
              <w:t xml:space="preserve"> u realnim terminima = </w:t>
            </w:r>
            <w:r w:rsidRPr="006A6D51">
              <w:rPr>
                <w:rFonts w:asciiTheme="minorHAnsi" w:hAnsiTheme="minorHAnsi"/>
                <w:i/>
                <w:color w:val="C00000"/>
                <w:sz w:val="24"/>
                <w:szCs w:val="24"/>
              </w:rPr>
              <w:t>C</w:t>
            </w:r>
            <w:r w:rsidRPr="006A6D51">
              <w:rPr>
                <w:rFonts w:asciiTheme="minorHAnsi" w:hAnsiTheme="minorHAnsi"/>
                <w:i/>
                <w:color w:val="C00000"/>
                <w:sz w:val="24"/>
                <w:szCs w:val="24"/>
                <w:vertAlign w:val="subscript"/>
              </w:rPr>
              <w:t xml:space="preserve">0 </w:t>
            </w:r>
            <w:r w:rsidRPr="006A6D51">
              <w:rPr>
                <w:rFonts w:asciiTheme="minorHAnsi" w:hAnsiTheme="minorHAnsi"/>
                <w:color w:val="C00000"/>
                <w:sz w:val="24"/>
                <w:szCs w:val="24"/>
              </w:rPr>
              <w:t xml:space="preserve"> ∙ (1 + realna kamatna stopa)</w:t>
            </w:r>
          </w:p>
          <w:p w:rsidR="00240640" w:rsidRDefault="00764439" w:rsidP="006A6D51">
            <w:pPr>
              <w:widowControl w:val="0"/>
              <w:autoSpaceDE w:val="0"/>
              <w:autoSpaceDN w:val="0"/>
              <w:adjustRightInd w:val="0"/>
              <w:spacing w:before="240" w:after="240"/>
              <w:rPr>
                <w:sz w:val="24"/>
                <w:szCs w:val="24"/>
              </w:rPr>
            </w:pPr>
            <w:r w:rsidRPr="006A6D51">
              <w:rPr>
                <w:rFonts w:asciiTheme="minorHAnsi" w:hAnsiTheme="minorHAnsi"/>
                <w:sz w:val="24"/>
                <w:szCs w:val="24"/>
              </w:rPr>
              <w:t>gdje je C</w:t>
            </w:r>
            <w:r w:rsidR="006A6D51" w:rsidRPr="006A6D51">
              <w:rPr>
                <w:rFonts w:asciiTheme="minorHAnsi" w:hAnsiTheme="minorHAnsi"/>
                <w:sz w:val="24"/>
                <w:szCs w:val="24"/>
                <w:vertAlign w:val="subscript"/>
              </w:rPr>
              <w:t>0</w:t>
            </w:r>
            <w:r w:rsidRPr="006A6D51">
              <w:rPr>
                <w:rFonts w:asciiTheme="minorHAnsi" w:hAnsiTheme="minorHAnsi"/>
                <w:sz w:val="24"/>
                <w:szCs w:val="24"/>
              </w:rPr>
              <w:t xml:space="preserve"> početno ulaganje u nominalnom iznosu.</w:t>
            </w:r>
          </w:p>
        </w:tc>
      </w:tr>
    </w:tbl>
    <w:p w:rsidR="00A267CB" w:rsidRPr="00A267CB" w:rsidRDefault="00A267CB" w:rsidP="00240640">
      <w:pPr>
        <w:widowControl w:val="0"/>
        <w:overflowPunct w:val="0"/>
        <w:autoSpaceDE w:val="0"/>
        <w:autoSpaceDN w:val="0"/>
        <w:adjustRightInd w:val="0"/>
        <w:spacing w:before="240" w:line="240" w:lineRule="auto"/>
        <w:jc w:val="both"/>
        <w:rPr>
          <w:rFonts w:cs="Times New Roman"/>
          <w:sz w:val="24"/>
          <w:szCs w:val="24"/>
        </w:rPr>
      </w:pPr>
      <w:r w:rsidRPr="00A267CB">
        <w:rPr>
          <w:rFonts w:cs="Times New Roman"/>
          <w:bCs/>
          <w:i/>
          <w:iCs/>
          <w:color w:val="C00000"/>
          <w:sz w:val="24"/>
          <w:szCs w:val="24"/>
        </w:rPr>
        <w:t xml:space="preserve">Primjer: </w:t>
      </w:r>
      <w:r w:rsidR="00D26479" w:rsidRPr="00D26479">
        <w:rPr>
          <w:rFonts w:cs="Times New Roman"/>
          <w:bCs/>
          <w:i/>
          <w:iCs/>
          <w:sz w:val="24"/>
          <w:szCs w:val="24"/>
        </w:rPr>
        <w:t>G</w:t>
      </w:r>
      <w:r w:rsidRPr="00A267CB">
        <w:rPr>
          <w:rFonts w:cs="Times New Roman"/>
          <w:sz w:val="24"/>
          <w:szCs w:val="24"/>
        </w:rPr>
        <w:t xml:space="preserve">odišnja stopa inflacije </w:t>
      </w:r>
      <w:r w:rsidR="00D26479">
        <w:rPr>
          <w:rFonts w:cs="Times New Roman"/>
          <w:sz w:val="24"/>
          <w:szCs w:val="24"/>
        </w:rPr>
        <w:t xml:space="preserve">je </w:t>
      </w:r>
      <w:r w:rsidR="00240640">
        <w:rPr>
          <w:rFonts w:cs="Times New Roman"/>
          <w:sz w:val="24"/>
          <w:szCs w:val="24"/>
        </w:rPr>
        <w:t>4</w:t>
      </w:r>
      <w:r w:rsidR="00D26479">
        <w:rPr>
          <w:rFonts w:cs="Times New Roman"/>
          <w:sz w:val="24"/>
          <w:szCs w:val="24"/>
        </w:rPr>
        <w:t>%, a</w:t>
      </w:r>
      <w:r w:rsidRPr="00A267CB">
        <w:rPr>
          <w:rFonts w:cs="Times New Roman"/>
          <w:sz w:val="24"/>
          <w:szCs w:val="24"/>
        </w:rPr>
        <w:t xml:space="preserve"> banka na oročeni</w:t>
      </w:r>
      <w:r w:rsidRPr="00A267CB">
        <w:rPr>
          <w:rFonts w:cs="Times New Roman"/>
          <w:bCs/>
          <w:i/>
          <w:iCs/>
          <w:color w:val="000056"/>
          <w:sz w:val="24"/>
          <w:szCs w:val="24"/>
        </w:rPr>
        <w:t xml:space="preserve"> </w:t>
      </w:r>
      <w:r w:rsidRPr="00A267CB">
        <w:rPr>
          <w:rFonts w:cs="Times New Roman"/>
          <w:sz w:val="24"/>
          <w:szCs w:val="24"/>
        </w:rPr>
        <w:t xml:space="preserve">depozit obračunava jednostavne kamate po </w:t>
      </w:r>
      <w:r w:rsidR="00D26479">
        <w:rPr>
          <w:rFonts w:cs="Times New Roman"/>
          <w:sz w:val="24"/>
          <w:szCs w:val="24"/>
        </w:rPr>
        <w:t xml:space="preserve">fiksnoj </w:t>
      </w:r>
      <w:r w:rsidRPr="00A267CB">
        <w:rPr>
          <w:rFonts w:cs="Times New Roman"/>
          <w:sz w:val="24"/>
          <w:szCs w:val="24"/>
        </w:rPr>
        <w:t>stopi 6% godišnje. Kolika je realna kamatna stopa?</w:t>
      </w:r>
    </w:p>
    <w:p w:rsidR="00A267CB" w:rsidRPr="00A267CB" w:rsidRDefault="00A267CB" w:rsidP="00240640">
      <w:pPr>
        <w:widowControl w:val="0"/>
        <w:autoSpaceDE w:val="0"/>
        <w:autoSpaceDN w:val="0"/>
        <w:adjustRightInd w:val="0"/>
        <w:spacing w:line="240" w:lineRule="auto"/>
        <w:jc w:val="center"/>
        <w:rPr>
          <w:rFonts w:cs="Times New Roman"/>
          <w:sz w:val="24"/>
          <w:szCs w:val="24"/>
        </w:rPr>
      </w:pPr>
      <w:r w:rsidRPr="00A267CB">
        <w:rPr>
          <w:rFonts w:cs="Times New Roman"/>
          <w:sz w:val="24"/>
          <w:szCs w:val="24"/>
        </w:rPr>
        <w:t xml:space="preserve">1 + realna kamatna stopa = </w:t>
      </w:r>
      <m:oMath>
        <m:f>
          <m:fPr>
            <m:ctrlPr>
              <w:rPr>
                <w:rFonts w:ascii="Cambria Math" w:hAnsi="Cambria Math" w:cs="Times New Roman"/>
                <w:i/>
                <w:sz w:val="24"/>
                <w:szCs w:val="24"/>
              </w:rPr>
            </m:ctrlPr>
          </m:fPr>
          <m:num>
            <m:r>
              <w:rPr>
                <w:rFonts w:ascii="Cambria Math" w:hAnsi="Cambria Math" w:cs="Times New Roman"/>
                <w:sz w:val="24"/>
                <w:szCs w:val="24"/>
              </w:rPr>
              <m:t>1+0,06</m:t>
            </m:r>
          </m:num>
          <m:den>
            <m:r>
              <w:rPr>
                <w:rFonts w:ascii="Cambria Math" w:hAnsi="Cambria Math" w:cs="Times New Roman"/>
                <w:sz w:val="24"/>
                <w:szCs w:val="24"/>
              </w:rPr>
              <m:t>1+0,04</m:t>
            </m:r>
          </m:den>
        </m:f>
      </m:oMath>
      <w:r w:rsidRPr="00A267CB">
        <w:rPr>
          <w:rFonts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1,06</m:t>
            </m:r>
          </m:num>
          <m:den>
            <m:r>
              <w:rPr>
                <w:rFonts w:ascii="Cambria Math" w:hAnsi="Cambria Math" w:cs="Times New Roman"/>
                <w:sz w:val="24"/>
                <w:szCs w:val="24"/>
              </w:rPr>
              <m:t>1,04</m:t>
            </m:r>
          </m:den>
        </m:f>
      </m:oMath>
      <w:r w:rsidRPr="00A267CB">
        <w:rPr>
          <w:rFonts w:cs="Times New Roman"/>
          <w:sz w:val="24"/>
          <w:szCs w:val="24"/>
        </w:rPr>
        <w:t xml:space="preserve"> =</w:t>
      </w:r>
      <w:r w:rsidR="00240640" w:rsidRPr="00240640">
        <w:t xml:space="preserve"> </w:t>
      </w:r>
      <w:r w:rsidR="00240640" w:rsidRPr="00240640">
        <w:rPr>
          <w:rFonts w:cs="Times New Roman"/>
          <w:sz w:val="24"/>
          <w:szCs w:val="24"/>
        </w:rPr>
        <w:t>1,0192307</w:t>
      </w:r>
      <w:r w:rsidR="00240640">
        <w:rPr>
          <w:rFonts w:cs="Times New Roman"/>
          <w:sz w:val="24"/>
          <w:szCs w:val="24"/>
        </w:rPr>
        <w:t>7</w:t>
      </w:r>
      <w:r w:rsidRPr="00A267CB">
        <w:rPr>
          <w:rFonts w:cs="Times New Roman"/>
          <w:sz w:val="24"/>
          <w:szCs w:val="24"/>
        </w:rPr>
        <w:t>.</w:t>
      </w:r>
    </w:p>
    <w:p w:rsidR="00A267CB" w:rsidRPr="00A267CB" w:rsidRDefault="00A267CB" w:rsidP="00240640">
      <w:pPr>
        <w:widowControl w:val="0"/>
        <w:overflowPunct w:val="0"/>
        <w:autoSpaceDE w:val="0"/>
        <w:autoSpaceDN w:val="0"/>
        <w:adjustRightInd w:val="0"/>
        <w:spacing w:after="120" w:line="240" w:lineRule="auto"/>
        <w:ind w:right="1123" w:firstLine="1032"/>
        <w:jc w:val="center"/>
        <w:rPr>
          <w:rFonts w:cs="Times New Roman"/>
          <w:sz w:val="24"/>
          <w:szCs w:val="24"/>
        </w:rPr>
      </w:pPr>
      <w:r w:rsidRPr="00A267CB">
        <w:rPr>
          <w:rFonts w:cs="Times New Roman"/>
          <w:sz w:val="24"/>
          <w:szCs w:val="24"/>
        </w:rPr>
        <w:t>Realna kamatna stopa =</w:t>
      </w:r>
      <w:r w:rsidR="00240640" w:rsidRPr="00240640">
        <w:rPr>
          <w:rFonts w:cs="Times New Roman"/>
          <w:sz w:val="24"/>
          <w:szCs w:val="24"/>
        </w:rPr>
        <w:t>1,0192307</w:t>
      </w:r>
      <w:r w:rsidR="00240640">
        <w:rPr>
          <w:rFonts w:cs="Times New Roman"/>
          <w:sz w:val="24"/>
          <w:szCs w:val="24"/>
        </w:rPr>
        <w:t>7</w:t>
      </w:r>
      <w:r w:rsidRPr="00A267CB">
        <w:rPr>
          <w:rFonts w:cs="Times New Roman"/>
          <w:sz w:val="24"/>
          <w:szCs w:val="24"/>
        </w:rPr>
        <w:t xml:space="preserve">– 1 = </w:t>
      </w:r>
      <w:r w:rsidR="00240640">
        <w:rPr>
          <w:rFonts w:cs="Times New Roman"/>
          <w:sz w:val="24"/>
          <w:szCs w:val="24"/>
        </w:rPr>
        <w:t>0</w:t>
      </w:r>
      <w:r w:rsidR="00240640" w:rsidRPr="00240640">
        <w:rPr>
          <w:rFonts w:cs="Times New Roman"/>
          <w:sz w:val="24"/>
          <w:szCs w:val="24"/>
        </w:rPr>
        <w:t>,0192307</w:t>
      </w:r>
      <w:r w:rsidR="00240640">
        <w:rPr>
          <w:rFonts w:cs="Times New Roman"/>
          <w:sz w:val="24"/>
          <w:szCs w:val="24"/>
        </w:rPr>
        <w:t>7</w:t>
      </w:r>
      <w:r w:rsidRPr="00A267CB">
        <w:rPr>
          <w:rFonts w:cs="Times New Roman"/>
          <w:sz w:val="24"/>
          <w:szCs w:val="24"/>
        </w:rPr>
        <w:t>.</w:t>
      </w:r>
    </w:p>
    <w:p w:rsidR="00A267CB" w:rsidRDefault="00A267CB" w:rsidP="00240640">
      <w:pPr>
        <w:widowControl w:val="0"/>
        <w:overflowPunct w:val="0"/>
        <w:autoSpaceDE w:val="0"/>
        <w:autoSpaceDN w:val="0"/>
        <w:adjustRightInd w:val="0"/>
        <w:spacing w:after="0" w:line="240" w:lineRule="auto"/>
        <w:jc w:val="both"/>
        <w:rPr>
          <w:rFonts w:cs="Times New Roman"/>
          <w:sz w:val="24"/>
          <w:szCs w:val="24"/>
        </w:rPr>
      </w:pPr>
      <w:r w:rsidRPr="00A267CB">
        <w:rPr>
          <w:rFonts w:cs="Times New Roman"/>
          <w:sz w:val="24"/>
          <w:szCs w:val="24"/>
        </w:rPr>
        <w:t xml:space="preserve">Iz navedenog slijedi da realna kamatna stopa iznosi približno </w:t>
      </w:r>
      <w:r w:rsidR="00240640">
        <w:rPr>
          <w:rFonts w:cs="Times New Roman"/>
          <w:sz w:val="24"/>
          <w:szCs w:val="24"/>
        </w:rPr>
        <w:t>1,92</w:t>
      </w:r>
      <w:r w:rsidRPr="00A267CB">
        <w:rPr>
          <w:rFonts w:cs="Times New Roman"/>
          <w:sz w:val="24"/>
          <w:szCs w:val="24"/>
        </w:rPr>
        <w:t>% godišnje</w:t>
      </w:r>
      <w:r w:rsidR="00D26479">
        <w:rPr>
          <w:rFonts w:cs="Times New Roman"/>
          <w:sz w:val="24"/>
          <w:szCs w:val="24"/>
        </w:rPr>
        <w:t>.</w:t>
      </w:r>
    </w:p>
    <w:p w:rsidR="00F54646" w:rsidRDefault="00F54646" w:rsidP="00F54646">
      <w:pPr>
        <w:widowControl w:val="0"/>
        <w:overflowPunct w:val="0"/>
        <w:autoSpaceDE w:val="0"/>
        <w:autoSpaceDN w:val="0"/>
        <w:adjustRightInd w:val="0"/>
        <w:spacing w:after="0" w:line="271" w:lineRule="auto"/>
        <w:jc w:val="both"/>
        <w:rPr>
          <w:rFonts w:cs="Times New Roman"/>
          <w:sz w:val="24"/>
          <w:szCs w:val="24"/>
        </w:rPr>
      </w:pPr>
    </w:p>
    <w:p w:rsidR="00A267CB" w:rsidRDefault="00A267CB" w:rsidP="00186A7E">
      <w:pPr>
        <w:spacing w:after="120"/>
        <w:jc w:val="both"/>
        <w:rPr>
          <w:rFonts w:cs="Times New Roman"/>
          <w:i/>
          <w:iCs/>
          <w:sz w:val="24"/>
          <w:szCs w:val="24"/>
        </w:rPr>
      </w:pPr>
      <w:r w:rsidRPr="00A267CB">
        <w:rPr>
          <w:rFonts w:cs="Times New Roman"/>
          <w:bCs/>
          <w:i/>
          <w:iCs/>
          <w:color w:val="C00000"/>
          <w:sz w:val="24"/>
          <w:szCs w:val="24"/>
        </w:rPr>
        <w:t>Primjer:</w:t>
      </w:r>
      <w:r w:rsidRPr="00A267CB">
        <w:rPr>
          <w:rFonts w:cs="Times New Roman"/>
          <w:b/>
          <w:bCs/>
          <w:i/>
          <w:iCs/>
          <w:color w:val="C00000"/>
          <w:sz w:val="24"/>
          <w:szCs w:val="24"/>
        </w:rPr>
        <w:t xml:space="preserve"> </w:t>
      </w:r>
      <w:r w:rsidR="00D26479">
        <w:rPr>
          <w:rFonts w:cs="Times New Roman"/>
          <w:sz w:val="24"/>
          <w:szCs w:val="24"/>
        </w:rPr>
        <w:t>B</w:t>
      </w:r>
      <w:r w:rsidR="00D26479" w:rsidRPr="00A267CB">
        <w:rPr>
          <w:rFonts w:cs="Times New Roman"/>
          <w:sz w:val="24"/>
          <w:szCs w:val="24"/>
        </w:rPr>
        <w:t xml:space="preserve">anka na primljeni depozit obračunava kamatu po stopi 6 % godišnje. </w:t>
      </w:r>
      <w:r w:rsidR="00D26479">
        <w:rPr>
          <w:rFonts w:cs="Times New Roman"/>
          <w:sz w:val="24"/>
          <w:szCs w:val="24"/>
        </w:rPr>
        <w:t>Potrebno je i</w:t>
      </w:r>
      <w:r w:rsidRPr="00A267CB">
        <w:rPr>
          <w:rFonts w:cs="Times New Roman"/>
          <w:sz w:val="24"/>
          <w:szCs w:val="24"/>
        </w:rPr>
        <w:t>zračuna</w:t>
      </w:r>
      <w:r w:rsidR="00D26479">
        <w:rPr>
          <w:rFonts w:cs="Times New Roman"/>
          <w:sz w:val="24"/>
          <w:szCs w:val="24"/>
        </w:rPr>
        <w:t>ti</w:t>
      </w:r>
      <w:r w:rsidRPr="00A267CB">
        <w:rPr>
          <w:rFonts w:cs="Times New Roman"/>
          <w:sz w:val="24"/>
          <w:szCs w:val="24"/>
        </w:rPr>
        <w:t xml:space="preserve"> realnu vrijednost oročenog depozita u iznosu od 5.000 kuna</w:t>
      </w:r>
      <w:r w:rsidRPr="00A267CB">
        <w:rPr>
          <w:rFonts w:cs="Times New Roman"/>
          <w:b/>
          <w:bCs/>
          <w:i/>
          <w:iCs/>
          <w:sz w:val="24"/>
          <w:szCs w:val="24"/>
        </w:rPr>
        <w:t xml:space="preserve"> </w:t>
      </w:r>
      <w:r w:rsidRPr="00A267CB">
        <w:rPr>
          <w:rFonts w:cs="Times New Roman"/>
          <w:sz w:val="24"/>
          <w:szCs w:val="24"/>
        </w:rPr>
        <w:t xml:space="preserve">za godinu dana </w:t>
      </w:r>
      <w:r w:rsidR="00D26479">
        <w:rPr>
          <w:rFonts w:cs="Times New Roman"/>
          <w:sz w:val="24"/>
          <w:szCs w:val="24"/>
        </w:rPr>
        <w:t xml:space="preserve">uz očekivanu inflaciju </w:t>
      </w:r>
      <w:r w:rsidR="00240640">
        <w:rPr>
          <w:rFonts w:cs="Times New Roman"/>
          <w:sz w:val="24"/>
          <w:szCs w:val="24"/>
        </w:rPr>
        <w:t>4</w:t>
      </w:r>
      <w:r w:rsidR="00D26479">
        <w:rPr>
          <w:rFonts w:cs="Times New Roman"/>
          <w:sz w:val="24"/>
          <w:szCs w:val="24"/>
        </w:rPr>
        <w:t xml:space="preserve">% godišnje. </w:t>
      </w:r>
      <w:r w:rsidRPr="00A267CB">
        <w:rPr>
          <w:rFonts w:cs="Times New Roman"/>
          <w:sz w:val="24"/>
          <w:szCs w:val="24"/>
        </w:rPr>
        <w:t xml:space="preserve">5.000 * </w:t>
      </w:r>
      <w:r w:rsidR="00240640" w:rsidRPr="00240640">
        <w:rPr>
          <w:rFonts w:cs="Times New Roman"/>
          <w:sz w:val="24"/>
          <w:szCs w:val="24"/>
        </w:rPr>
        <w:t>1,0192307</w:t>
      </w:r>
      <w:r w:rsidR="00240640">
        <w:rPr>
          <w:rFonts w:cs="Times New Roman"/>
          <w:sz w:val="24"/>
          <w:szCs w:val="24"/>
        </w:rPr>
        <w:t xml:space="preserve">7 </w:t>
      </w:r>
      <w:r w:rsidRPr="00A267CB">
        <w:rPr>
          <w:rFonts w:cs="Times New Roman"/>
          <w:sz w:val="24"/>
          <w:szCs w:val="24"/>
        </w:rPr>
        <w:t>≈ 5.0</w:t>
      </w:r>
      <w:r w:rsidR="000E3D4E">
        <w:rPr>
          <w:rFonts w:cs="Times New Roman"/>
          <w:sz w:val="24"/>
          <w:szCs w:val="24"/>
        </w:rPr>
        <w:t>96</w:t>
      </w:r>
      <w:r w:rsidRPr="00A267CB">
        <w:rPr>
          <w:rFonts w:cs="Times New Roman"/>
          <w:sz w:val="24"/>
          <w:szCs w:val="24"/>
        </w:rPr>
        <w:t>,</w:t>
      </w:r>
      <w:r w:rsidR="000E3D4E">
        <w:rPr>
          <w:rFonts w:cs="Times New Roman"/>
          <w:sz w:val="24"/>
          <w:szCs w:val="24"/>
        </w:rPr>
        <w:t>15</w:t>
      </w:r>
      <w:r w:rsidRPr="00A267CB">
        <w:rPr>
          <w:rFonts w:cs="Times New Roman"/>
          <w:sz w:val="24"/>
          <w:szCs w:val="24"/>
        </w:rPr>
        <w:t xml:space="preserve"> kn.</w:t>
      </w:r>
      <w:r w:rsidR="00186A7E">
        <w:rPr>
          <w:rFonts w:cs="Times New Roman"/>
          <w:sz w:val="24"/>
          <w:szCs w:val="24"/>
        </w:rPr>
        <w:t xml:space="preserve"> </w:t>
      </w:r>
      <w:r w:rsidR="000E3D4E">
        <w:rPr>
          <w:rFonts w:cs="Times New Roman"/>
          <w:sz w:val="24"/>
          <w:szCs w:val="24"/>
        </w:rPr>
        <w:t>„</w:t>
      </w:r>
      <w:r w:rsidRPr="00287864">
        <w:rPr>
          <w:rFonts w:cs="Times New Roman"/>
          <w:i/>
          <w:sz w:val="24"/>
          <w:szCs w:val="24"/>
        </w:rPr>
        <w:t xml:space="preserve">S obzirom na to da je godišnja kamatna stopa veća od godišnje stope inflacije, pripisane kamate pokrile su gubitak realne vrijednosti novca. </w:t>
      </w:r>
      <w:r w:rsidR="00186A7E" w:rsidRPr="00287864">
        <w:rPr>
          <w:rFonts w:cs="Times New Roman"/>
          <w:i/>
          <w:sz w:val="24"/>
          <w:szCs w:val="24"/>
        </w:rPr>
        <w:t>M</w:t>
      </w:r>
      <w:r w:rsidRPr="00287864">
        <w:rPr>
          <w:rFonts w:cs="Times New Roman"/>
          <w:i/>
          <w:iCs/>
          <w:sz w:val="24"/>
          <w:szCs w:val="24"/>
        </w:rPr>
        <w:t>eđutim buduća realna</w:t>
      </w:r>
      <w:r w:rsidRPr="00287864">
        <w:rPr>
          <w:rFonts w:cs="Times New Roman"/>
          <w:i/>
          <w:sz w:val="24"/>
          <w:szCs w:val="24"/>
        </w:rPr>
        <w:t xml:space="preserve"> </w:t>
      </w:r>
      <w:r w:rsidRPr="00287864">
        <w:rPr>
          <w:rFonts w:cs="Times New Roman"/>
          <w:i/>
          <w:iCs/>
          <w:sz w:val="24"/>
          <w:szCs w:val="24"/>
        </w:rPr>
        <w:t xml:space="preserve">vrijednost je znatno manja od buduće nominalne vrijednosti </w:t>
      </w:r>
      <w:r w:rsidRPr="00287864">
        <w:rPr>
          <w:rFonts w:cs="Times New Roman"/>
          <w:i/>
          <w:sz w:val="24"/>
          <w:szCs w:val="24"/>
        </w:rPr>
        <w:t>(</w:t>
      </w:r>
      <w:r w:rsidRPr="00287864">
        <w:rPr>
          <w:rFonts w:cs="Times New Roman"/>
          <w:i/>
          <w:iCs/>
          <w:sz w:val="24"/>
          <w:szCs w:val="24"/>
        </w:rPr>
        <w:t xml:space="preserve">koja u našem primjeru iznosi </w:t>
      </w:r>
      <w:r w:rsidRPr="00287864">
        <w:rPr>
          <w:rFonts w:cs="Times New Roman"/>
          <w:i/>
          <w:sz w:val="24"/>
          <w:szCs w:val="24"/>
        </w:rPr>
        <w:t>5.300</w:t>
      </w:r>
      <w:r w:rsidRPr="00287864">
        <w:rPr>
          <w:rFonts w:cs="Times New Roman"/>
          <w:i/>
          <w:iCs/>
          <w:sz w:val="24"/>
          <w:szCs w:val="24"/>
        </w:rPr>
        <w:t xml:space="preserve"> kuna</w:t>
      </w:r>
      <w:r w:rsidRPr="00287864">
        <w:rPr>
          <w:rFonts w:cs="Times New Roman"/>
          <w:i/>
          <w:sz w:val="24"/>
          <w:szCs w:val="24"/>
        </w:rPr>
        <w:t>)</w:t>
      </w:r>
      <w:r w:rsidRPr="00A267CB">
        <w:rPr>
          <w:rFonts w:cs="Times New Roman"/>
          <w:i/>
          <w:iCs/>
          <w:sz w:val="24"/>
          <w:szCs w:val="24"/>
        </w:rPr>
        <w:t>.</w:t>
      </w:r>
      <w:r w:rsidR="000E3D4E">
        <w:rPr>
          <w:rFonts w:cs="Times New Roman"/>
          <w:i/>
          <w:iCs/>
          <w:sz w:val="24"/>
          <w:szCs w:val="24"/>
        </w:rPr>
        <w:t>“</w:t>
      </w:r>
      <w:r w:rsidR="00F54646" w:rsidRPr="00F54646">
        <w:rPr>
          <w:rStyle w:val="Referencafusnote"/>
        </w:rPr>
        <w:t xml:space="preserve"> </w:t>
      </w:r>
      <w:r w:rsidR="00F54646" w:rsidRPr="003651E8">
        <w:rPr>
          <w:rStyle w:val="Referencafusnote"/>
        </w:rPr>
        <w:footnoteReference w:id="60"/>
      </w:r>
    </w:p>
    <w:tbl>
      <w:tblPr>
        <w:tblStyle w:val="Reetkatablice"/>
        <w:tblW w:w="0" w:type="auto"/>
        <w:tblLook w:val="04A0" w:firstRow="1" w:lastRow="0" w:firstColumn="1" w:lastColumn="0" w:noHBand="0" w:noVBand="1"/>
      </w:tblPr>
      <w:tblGrid>
        <w:gridCol w:w="8811"/>
      </w:tblGrid>
      <w:tr w:rsidR="000E3D4E" w:rsidTr="000E3D4E">
        <w:tc>
          <w:tcPr>
            <w:tcW w:w="8811" w:type="dxa"/>
          </w:tcPr>
          <w:p w:rsidR="000E3D4E" w:rsidRDefault="000E3D4E" w:rsidP="00C87686">
            <w:pPr>
              <w:tabs>
                <w:tab w:val="left" w:pos="1575"/>
              </w:tabs>
              <w:spacing w:before="120"/>
              <w:jc w:val="center"/>
              <w:rPr>
                <w:sz w:val="24"/>
                <w:szCs w:val="24"/>
              </w:rPr>
            </w:pPr>
            <w:r>
              <w:rPr>
                <w:i/>
                <w:iCs/>
                <w:noProof/>
                <w:sz w:val="24"/>
                <w:szCs w:val="24"/>
              </w:rPr>
              <w:lastRenderedPageBreak/>
              <w:drawing>
                <wp:inline distT="0" distB="0" distL="0" distR="0" wp14:anchorId="4C53CE27" wp14:editId="46189D10">
                  <wp:extent cx="5124450" cy="1146989"/>
                  <wp:effectExtent l="0" t="0" r="0" b="0"/>
                  <wp:docPr id="16394" name="Slika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24450" cy="1146989"/>
                          </a:xfrm>
                          <a:prstGeom prst="rect">
                            <a:avLst/>
                          </a:prstGeom>
                          <a:noFill/>
                          <a:ln>
                            <a:noFill/>
                          </a:ln>
                        </pic:spPr>
                      </pic:pic>
                    </a:graphicData>
                  </a:graphic>
                </wp:inline>
              </w:drawing>
            </w:r>
          </w:p>
          <w:p w:rsidR="000E3D4E" w:rsidRDefault="000E3D4E" w:rsidP="00C87686">
            <w:pPr>
              <w:tabs>
                <w:tab w:val="left" w:pos="1575"/>
              </w:tabs>
              <w:jc w:val="center"/>
              <w:rPr>
                <w:sz w:val="24"/>
                <w:szCs w:val="24"/>
              </w:rPr>
            </w:pPr>
            <w:r>
              <w:rPr>
                <w:i/>
                <w:iCs/>
                <w:noProof/>
                <w:sz w:val="24"/>
                <w:szCs w:val="24"/>
              </w:rPr>
              <w:drawing>
                <wp:inline distT="0" distB="0" distL="0" distR="0" wp14:anchorId="394E420F" wp14:editId="0A490BB9">
                  <wp:extent cx="5143500" cy="1489395"/>
                  <wp:effectExtent l="0" t="0" r="0" b="0"/>
                  <wp:docPr id="16396" name="Slika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43500" cy="1489395"/>
                          </a:xfrm>
                          <a:prstGeom prst="rect">
                            <a:avLst/>
                          </a:prstGeom>
                          <a:noFill/>
                          <a:ln>
                            <a:noFill/>
                          </a:ln>
                        </pic:spPr>
                      </pic:pic>
                    </a:graphicData>
                  </a:graphic>
                </wp:inline>
              </w:drawing>
            </w:r>
          </w:p>
          <w:p w:rsidR="000E3D4E" w:rsidRDefault="000E3D4E" w:rsidP="00C87686">
            <w:pPr>
              <w:tabs>
                <w:tab w:val="left" w:pos="1575"/>
              </w:tabs>
              <w:jc w:val="center"/>
              <w:rPr>
                <w:sz w:val="24"/>
                <w:szCs w:val="24"/>
              </w:rPr>
            </w:pPr>
            <w:r>
              <w:rPr>
                <w:i/>
                <w:iCs/>
                <w:noProof/>
                <w:sz w:val="24"/>
                <w:szCs w:val="24"/>
              </w:rPr>
              <w:drawing>
                <wp:inline distT="0" distB="0" distL="0" distR="0" wp14:anchorId="2F537C9E" wp14:editId="30E08D05">
                  <wp:extent cx="5086350" cy="1440383"/>
                  <wp:effectExtent l="0" t="0" r="0" b="7620"/>
                  <wp:docPr id="16397" name="Slika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91799" cy="1441926"/>
                          </a:xfrm>
                          <a:prstGeom prst="rect">
                            <a:avLst/>
                          </a:prstGeom>
                          <a:noFill/>
                          <a:ln>
                            <a:noFill/>
                          </a:ln>
                        </pic:spPr>
                      </pic:pic>
                    </a:graphicData>
                  </a:graphic>
                </wp:inline>
              </w:drawing>
            </w:r>
          </w:p>
          <w:p w:rsidR="000E3D4E" w:rsidRDefault="000E3D4E" w:rsidP="00927987">
            <w:pPr>
              <w:tabs>
                <w:tab w:val="left" w:pos="1575"/>
              </w:tabs>
              <w:jc w:val="both"/>
              <w:rPr>
                <w:sz w:val="24"/>
                <w:szCs w:val="24"/>
              </w:rPr>
            </w:pPr>
          </w:p>
          <w:p w:rsidR="000E3D4E" w:rsidRPr="000E3D4E" w:rsidRDefault="000E3D4E" w:rsidP="006F1C04">
            <w:pPr>
              <w:pStyle w:val="Odlomakpopisa"/>
              <w:numPr>
                <w:ilvl w:val="0"/>
                <w:numId w:val="35"/>
              </w:numPr>
              <w:tabs>
                <w:tab w:val="left" w:pos="1575"/>
              </w:tabs>
              <w:jc w:val="both"/>
              <w:rPr>
                <w:rFonts w:asciiTheme="minorHAnsi" w:hAnsiTheme="minorHAnsi"/>
                <w:sz w:val="24"/>
                <w:szCs w:val="24"/>
              </w:rPr>
            </w:pPr>
            <w:r w:rsidRPr="000E3D4E">
              <w:rPr>
                <w:rFonts w:asciiTheme="minorHAnsi" w:hAnsiTheme="minorHAnsi"/>
                <w:sz w:val="24"/>
                <w:szCs w:val="24"/>
              </w:rPr>
              <w:t xml:space="preserve">Kada je ugovorena nominalna godišnja kamatna stopa, a ukamaćivanje je mjesečno, </w:t>
            </w:r>
            <w:r w:rsidRPr="000E3D4E">
              <w:rPr>
                <w:rFonts w:asciiTheme="minorHAnsi" w:hAnsiTheme="minorHAnsi"/>
                <w:i/>
                <w:iCs/>
                <w:sz w:val="24"/>
                <w:szCs w:val="24"/>
              </w:rPr>
              <w:t>k</w:t>
            </w:r>
            <w:r w:rsidRPr="000E3D4E">
              <w:rPr>
                <w:rFonts w:asciiTheme="minorHAnsi" w:hAnsiTheme="minorHAnsi"/>
                <w:sz w:val="24"/>
                <w:szCs w:val="24"/>
              </w:rPr>
              <w:t xml:space="preserve"> </w:t>
            </w:r>
            <w:r w:rsidRPr="000E3D4E">
              <w:rPr>
                <w:rFonts w:asciiTheme="minorHAnsi" w:hAnsiTheme="minorHAnsi"/>
                <w:bCs/>
                <w:i/>
                <w:iCs/>
                <w:sz w:val="24"/>
                <w:szCs w:val="24"/>
              </w:rPr>
              <w:t>=</w:t>
            </w:r>
            <w:r w:rsidRPr="000E3D4E">
              <w:rPr>
                <w:rFonts w:asciiTheme="minorHAnsi" w:hAnsiTheme="minorHAnsi"/>
                <w:sz w:val="24"/>
                <w:szCs w:val="24"/>
              </w:rPr>
              <w:t xml:space="preserve"> 12 (što je jednako omjeru dvanaest mjeseci jedne godine kroz jedan mjesec). U tom slučaju za izračun kamata koristimo relativni mjesečni kamatnjak, </w:t>
            </w:r>
            <w:r w:rsidRPr="000E3D4E">
              <w:rPr>
                <w:rFonts w:asciiTheme="minorHAnsi" w:hAnsiTheme="minorHAnsi"/>
                <w:i/>
                <w:iCs/>
                <w:sz w:val="24"/>
                <w:szCs w:val="24"/>
              </w:rPr>
              <w:t>rr</w:t>
            </w:r>
            <w:r w:rsidRPr="000E3D4E">
              <w:rPr>
                <w:rFonts w:asciiTheme="minorHAnsi" w:hAnsiTheme="minorHAnsi"/>
                <w:i/>
                <w:iCs/>
                <w:sz w:val="24"/>
                <w:szCs w:val="24"/>
                <w:vertAlign w:val="subscript"/>
              </w:rPr>
              <w:t>m</w:t>
            </w:r>
            <w:r w:rsidRPr="000E3D4E">
              <w:rPr>
                <w:rFonts w:asciiTheme="minorHAnsi" w:hAnsiTheme="minorHAnsi"/>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r</m:t>
                  </m:r>
                </m:num>
                <m:den>
                  <m:r>
                    <m:rPr>
                      <m:sty m:val="p"/>
                    </m:rPr>
                    <w:rPr>
                      <w:rFonts w:ascii="Cambria Math" w:hAnsi="Cambria Math"/>
                      <w:sz w:val="24"/>
                      <w:szCs w:val="24"/>
                    </w:rPr>
                    <m:t>12</m:t>
                  </m:r>
                </m:den>
              </m:f>
            </m:oMath>
            <w:r w:rsidRPr="000E3D4E">
              <w:rPr>
                <w:rFonts w:asciiTheme="minorHAnsi" w:hAnsiTheme="minorHAnsi"/>
                <w:sz w:val="24"/>
                <w:szCs w:val="24"/>
              </w:rPr>
              <w:t>.</w:t>
            </w:r>
          </w:p>
          <w:p w:rsidR="000E3D4E" w:rsidRPr="000E3D4E" w:rsidRDefault="000E3D4E" w:rsidP="006F1C04">
            <w:pPr>
              <w:pStyle w:val="Odlomakpopisa"/>
              <w:numPr>
                <w:ilvl w:val="0"/>
                <w:numId w:val="34"/>
              </w:numPr>
              <w:tabs>
                <w:tab w:val="left" w:pos="1575"/>
              </w:tabs>
              <w:jc w:val="both"/>
              <w:rPr>
                <w:rFonts w:asciiTheme="minorHAnsi" w:hAnsiTheme="minorHAnsi"/>
                <w:sz w:val="24"/>
                <w:szCs w:val="24"/>
              </w:rPr>
            </w:pPr>
            <w:r w:rsidRPr="000E3D4E">
              <w:rPr>
                <w:rFonts w:asciiTheme="minorHAnsi" w:hAnsiTheme="minorHAnsi"/>
                <w:sz w:val="24"/>
                <w:szCs w:val="24"/>
              </w:rPr>
              <w:t xml:space="preserve">Kada je nominalna kamatna stopa polugodišnja, a ukamaćivanje mjesečno, </w:t>
            </w:r>
            <w:r w:rsidRPr="000E3D4E">
              <w:rPr>
                <w:rFonts w:asciiTheme="minorHAnsi" w:hAnsiTheme="minorHAnsi"/>
                <w:bCs/>
                <w:i/>
                <w:iCs/>
                <w:sz w:val="24"/>
                <w:szCs w:val="24"/>
              </w:rPr>
              <w:t xml:space="preserve">k </w:t>
            </w:r>
            <w:r w:rsidRPr="000E3D4E">
              <w:rPr>
                <w:rFonts w:asciiTheme="minorHAnsi" w:hAnsiTheme="minorHAnsi"/>
                <w:bCs/>
                <w:sz w:val="24"/>
                <w:szCs w:val="24"/>
              </w:rPr>
              <w:t>= 6</w:t>
            </w:r>
            <w:r w:rsidRPr="000E3D4E">
              <w:rPr>
                <w:rFonts w:asciiTheme="minorHAnsi" w:hAnsiTheme="minorHAnsi"/>
                <w:sz w:val="24"/>
                <w:szCs w:val="24"/>
              </w:rPr>
              <w:t>. Za izračun kamata koristimo relativni mjesečni kamatnjak,</w:t>
            </w:r>
            <w:r w:rsidRPr="000E3D4E">
              <w:rPr>
                <w:rFonts w:asciiTheme="minorHAnsi" w:hAnsiTheme="minorHAnsi"/>
                <w:bCs/>
                <w:i/>
                <w:iCs/>
                <w:sz w:val="24"/>
                <w:szCs w:val="24"/>
              </w:rPr>
              <w:t xml:space="preserve"> </w:t>
            </w:r>
            <w:r w:rsidRPr="000E3D4E">
              <w:rPr>
                <w:rFonts w:asciiTheme="minorHAnsi" w:hAnsiTheme="minorHAnsi"/>
                <w:i/>
                <w:iCs/>
                <w:sz w:val="24"/>
                <w:szCs w:val="24"/>
              </w:rPr>
              <w:t>rr</w:t>
            </w:r>
            <w:r w:rsidRPr="000E3D4E">
              <w:rPr>
                <w:rFonts w:asciiTheme="minorHAnsi" w:hAnsiTheme="minorHAnsi"/>
                <w:i/>
                <w:iCs/>
                <w:sz w:val="24"/>
                <w:szCs w:val="24"/>
                <w:vertAlign w:val="subscript"/>
              </w:rPr>
              <w:t xml:space="preserve">m </w:t>
            </w:r>
            <w:r w:rsidRPr="000E3D4E">
              <w:rPr>
                <w:rFonts w:asciiTheme="minorHAnsi" w:hAnsiTheme="minorHAnsi"/>
                <w:sz w:val="24"/>
                <w:szCs w:val="24"/>
              </w:rPr>
              <w:t xml:space="preserve">= </w:t>
            </w:r>
            <m:oMath>
              <m:f>
                <m:fPr>
                  <m:ctrlPr>
                    <w:rPr>
                      <w:rFonts w:ascii="Cambria Math" w:hAnsi="Cambria Math"/>
                      <w:sz w:val="24"/>
                      <w:szCs w:val="24"/>
                    </w:rPr>
                  </m:ctrlPr>
                </m:fPr>
                <m:num>
                  <m:r>
                    <m:rPr>
                      <m:sty m:val="p"/>
                    </m:rPr>
                    <w:rPr>
                      <w:rFonts w:ascii="Cambria Math" w:hAnsi="Cambria Math"/>
                      <w:sz w:val="24"/>
                      <w:szCs w:val="24"/>
                    </w:rPr>
                    <m:t>r</m:t>
                  </m:r>
                </m:num>
                <m:den>
                  <m:r>
                    <m:rPr>
                      <m:sty m:val="p"/>
                    </m:rPr>
                    <w:rPr>
                      <w:rFonts w:ascii="Cambria Math" w:hAnsi="Cambria Math"/>
                      <w:sz w:val="24"/>
                      <w:szCs w:val="24"/>
                    </w:rPr>
                    <m:t>6</m:t>
                  </m:r>
                </m:den>
              </m:f>
            </m:oMath>
            <w:r w:rsidRPr="000E3D4E">
              <w:rPr>
                <w:rFonts w:asciiTheme="minorHAnsi" w:hAnsiTheme="minorHAnsi"/>
                <w:sz w:val="24"/>
                <w:szCs w:val="24"/>
              </w:rPr>
              <w:t>.</w:t>
            </w:r>
          </w:p>
          <w:p w:rsidR="000E3D4E" w:rsidRPr="000E3D4E" w:rsidRDefault="000E3D4E" w:rsidP="006F1C04">
            <w:pPr>
              <w:pStyle w:val="Odlomakpopisa"/>
              <w:numPr>
                <w:ilvl w:val="0"/>
                <w:numId w:val="33"/>
              </w:numPr>
              <w:tabs>
                <w:tab w:val="left" w:pos="1575"/>
              </w:tabs>
              <w:jc w:val="both"/>
              <w:rPr>
                <w:rFonts w:asciiTheme="minorHAnsi" w:hAnsiTheme="minorHAnsi"/>
                <w:sz w:val="24"/>
                <w:szCs w:val="24"/>
              </w:rPr>
            </w:pPr>
            <w:r w:rsidRPr="000E3D4E">
              <w:rPr>
                <w:rFonts w:asciiTheme="minorHAnsi" w:hAnsiTheme="minorHAnsi"/>
                <w:sz w:val="24"/>
                <w:szCs w:val="24"/>
              </w:rPr>
              <w:t xml:space="preserve">Kada je nominalna kamatna stopa godišnja, a ukamaćivanje dnevno, </w:t>
            </w:r>
            <w:r w:rsidRPr="000E3D4E">
              <w:rPr>
                <w:rFonts w:asciiTheme="minorHAnsi" w:hAnsiTheme="minorHAnsi"/>
                <w:bCs/>
                <w:i/>
                <w:iCs/>
                <w:sz w:val="24"/>
                <w:szCs w:val="24"/>
              </w:rPr>
              <w:t>k</w:t>
            </w:r>
            <w:r w:rsidRPr="000E3D4E">
              <w:rPr>
                <w:rFonts w:asciiTheme="minorHAnsi" w:hAnsiTheme="minorHAnsi"/>
                <w:sz w:val="24"/>
                <w:szCs w:val="24"/>
              </w:rPr>
              <w:t xml:space="preserve"> </w:t>
            </w:r>
            <w:r w:rsidRPr="000E3D4E">
              <w:rPr>
                <w:rFonts w:asciiTheme="minorHAnsi" w:hAnsiTheme="minorHAnsi"/>
                <w:bCs/>
                <w:sz w:val="24"/>
                <w:szCs w:val="24"/>
              </w:rPr>
              <w:t>= broj</w:t>
            </w:r>
            <w:r w:rsidRPr="000E3D4E">
              <w:rPr>
                <w:rFonts w:asciiTheme="minorHAnsi" w:hAnsiTheme="minorHAnsi"/>
                <w:sz w:val="24"/>
                <w:szCs w:val="24"/>
              </w:rPr>
              <w:t xml:space="preserve"> </w:t>
            </w:r>
            <w:r w:rsidRPr="000E3D4E">
              <w:rPr>
                <w:rFonts w:asciiTheme="minorHAnsi" w:hAnsiTheme="minorHAnsi"/>
                <w:bCs/>
                <w:sz w:val="24"/>
                <w:szCs w:val="24"/>
              </w:rPr>
              <w:t>dana u godini</w:t>
            </w:r>
            <w:r w:rsidRPr="000E3D4E">
              <w:rPr>
                <w:rFonts w:asciiTheme="minorHAnsi" w:hAnsiTheme="minorHAnsi"/>
                <w:sz w:val="24"/>
                <w:szCs w:val="24"/>
              </w:rPr>
              <w:t xml:space="preserve">, npr. 365. Kamate obračunavamo uz dnevni relativni kamatnjak, </w:t>
            </w:r>
            <w:r w:rsidRPr="000E3D4E">
              <w:rPr>
                <w:rFonts w:asciiTheme="minorHAnsi" w:hAnsiTheme="minorHAnsi"/>
                <w:iCs/>
                <w:sz w:val="24"/>
                <w:szCs w:val="24"/>
              </w:rPr>
              <w:t>rr</w:t>
            </w:r>
            <w:r w:rsidRPr="000E3D4E">
              <w:rPr>
                <w:rFonts w:asciiTheme="minorHAnsi" w:hAnsiTheme="minorHAnsi"/>
                <w:i/>
                <w:iCs/>
                <w:sz w:val="24"/>
                <w:szCs w:val="24"/>
                <w:vertAlign w:val="subscript"/>
              </w:rPr>
              <w:t>d</w:t>
            </w:r>
            <w:r w:rsidRPr="000E3D4E">
              <w:rPr>
                <w:rFonts w:asciiTheme="minorHAnsi" w:hAnsiTheme="minorHAnsi"/>
                <w:i/>
                <w:iCs/>
                <w:sz w:val="24"/>
                <w:szCs w:val="24"/>
              </w:rPr>
              <w:t xml:space="preserve"> </w:t>
            </w:r>
            <w:r w:rsidRPr="000E3D4E">
              <w:rPr>
                <w:rFonts w:asciiTheme="minorHAnsi" w:hAnsiTheme="minorHAnsi"/>
                <w:sz w:val="24"/>
                <w:szCs w:val="24"/>
              </w:rPr>
              <w:t xml:space="preserve">= </w:t>
            </w:r>
            <m:oMath>
              <m:f>
                <m:fPr>
                  <m:ctrlPr>
                    <w:rPr>
                      <w:rFonts w:ascii="Cambria Math" w:hAnsi="Cambria Math"/>
                      <w:sz w:val="24"/>
                      <w:szCs w:val="24"/>
                    </w:rPr>
                  </m:ctrlPr>
                </m:fPr>
                <m:num>
                  <m:r>
                    <m:rPr>
                      <m:sty m:val="p"/>
                    </m:rPr>
                    <w:rPr>
                      <w:rFonts w:ascii="Cambria Math" w:hAnsi="Cambria Math"/>
                      <w:sz w:val="24"/>
                      <w:szCs w:val="24"/>
                    </w:rPr>
                    <m:t>r</m:t>
                  </m:r>
                </m:num>
                <m:den>
                  <m:r>
                    <m:rPr>
                      <m:sty m:val="p"/>
                    </m:rPr>
                    <w:rPr>
                      <w:rFonts w:ascii="Cambria Math" w:hAnsi="Cambria Math"/>
                      <w:sz w:val="24"/>
                      <w:szCs w:val="24"/>
                    </w:rPr>
                    <m:t>365</m:t>
                  </m:r>
                </m:den>
              </m:f>
            </m:oMath>
            <w:r w:rsidRPr="000E3D4E">
              <w:rPr>
                <w:rFonts w:asciiTheme="minorHAnsi" w:hAnsiTheme="minorHAnsi"/>
                <w:sz w:val="24"/>
                <w:szCs w:val="24"/>
              </w:rPr>
              <w:t>.</w:t>
            </w:r>
            <w:r w:rsidRPr="000E3D4E">
              <w:rPr>
                <w:rStyle w:val="Referencafusnote"/>
                <w:rFonts w:asciiTheme="minorHAnsi" w:hAnsiTheme="minorHAnsi"/>
              </w:rPr>
              <w:t xml:space="preserve"> </w:t>
            </w:r>
          </w:p>
          <w:p w:rsidR="000E3D4E" w:rsidRDefault="000E3D4E" w:rsidP="000E3D4E">
            <w:pPr>
              <w:tabs>
                <w:tab w:val="left" w:pos="1575"/>
              </w:tabs>
              <w:spacing w:before="240"/>
              <w:rPr>
                <w:sz w:val="24"/>
                <w:szCs w:val="24"/>
              </w:rPr>
            </w:pPr>
            <w:r w:rsidRPr="000E3D4E">
              <w:rPr>
                <w:rFonts w:asciiTheme="minorHAnsi" w:hAnsiTheme="minorHAnsi"/>
                <w:sz w:val="24"/>
                <w:szCs w:val="24"/>
              </w:rPr>
              <w:t xml:space="preserve">U slučaju korištenja </w:t>
            </w:r>
            <w:r w:rsidRPr="000E3D4E">
              <w:rPr>
                <w:rFonts w:asciiTheme="minorHAnsi" w:hAnsiTheme="minorHAnsi"/>
                <w:b/>
                <w:bCs/>
                <w:sz w:val="24"/>
                <w:szCs w:val="24"/>
              </w:rPr>
              <w:t>proporcionalne metode</w:t>
            </w:r>
            <w:r w:rsidRPr="000E3D4E">
              <w:rPr>
                <w:rFonts w:asciiTheme="minorHAnsi" w:hAnsiTheme="minorHAnsi"/>
                <w:sz w:val="24"/>
                <w:szCs w:val="24"/>
              </w:rPr>
              <w:t xml:space="preserve"> i </w:t>
            </w:r>
            <w:r w:rsidRPr="000E3D4E">
              <w:rPr>
                <w:rFonts w:asciiTheme="minorHAnsi" w:hAnsiTheme="minorHAnsi"/>
                <w:b/>
                <w:bCs/>
                <w:sz w:val="24"/>
                <w:szCs w:val="24"/>
              </w:rPr>
              <w:t>dekurzivnog načina</w:t>
            </w:r>
            <w:r w:rsidRPr="000E3D4E">
              <w:rPr>
                <w:rFonts w:asciiTheme="minorHAnsi" w:hAnsiTheme="minorHAnsi"/>
                <w:sz w:val="24"/>
                <w:szCs w:val="24"/>
              </w:rPr>
              <w:t xml:space="preserve"> obračuna kamata, </w:t>
            </w:r>
            <w:r w:rsidRPr="000E3D4E">
              <w:rPr>
                <w:rFonts w:asciiTheme="minorHAnsi" w:hAnsiTheme="minorHAnsi"/>
                <w:b/>
                <w:bCs/>
                <w:sz w:val="24"/>
                <w:szCs w:val="24"/>
              </w:rPr>
              <w:t>ukupne jednostavne kamate</w:t>
            </w:r>
            <w:r w:rsidRPr="000E3D4E">
              <w:rPr>
                <w:rFonts w:asciiTheme="minorHAnsi" w:hAnsiTheme="minorHAnsi"/>
                <w:sz w:val="24"/>
                <w:szCs w:val="24"/>
              </w:rPr>
              <w:t xml:space="preserve"> mogu se računati uz pomoć formule:</w:t>
            </w:r>
            <w:r w:rsidRPr="000E3D4E">
              <w:rPr>
                <w:noProof/>
                <w:sz w:val="24"/>
                <w:szCs w:val="24"/>
              </w:rPr>
              <w:drawing>
                <wp:inline distT="0" distB="0" distL="0" distR="0" wp14:anchorId="318EC791" wp14:editId="4D8ADBD8">
                  <wp:extent cx="5153025" cy="1507993"/>
                  <wp:effectExtent l="0" t="0" r="0" b="0"/>
                  <wp:docPr id="16400" name="Slika 16" descr="Slik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png"/>
                          <pic:cNvPicPr/>
                        </pic:nvPicPr>
                        <pic:blipFill>
                          <a:blip r:embed="rId124" cstate="print"/>
                          <a:stretch>
                            <a:fillRect/>
                          </a:stretch>
                        </pic:blipFill>
                        <pic:spPr>
                          <a:xfrm>
                            <a:off x="0" y="0"/>
                            <a:ext cx="5153025" cy="1507993"/>
                          </a:xfrm>
                          <a:prstGeom prst="rect">
                            <a:avLst/>
                          </a:prstGeom>
                        </pic:spPr>
                      </pic:pic>
                    </a:graphicData>
                  </a:graphic>
                </wp:inline>
              </w:drawing>
            </w:r>
          </w:p>
        </w:tc>
      </w:tr>
      <w:tr w:rsidR="000E3D4E" w:rsidTr="000E3D4E">
        <w:tc>
          <w:tcPr>
            <w:tcW w:w="8811" w:type="dxa"/>
          </w:tcPr>
          <w:p w:rsidR="000E3D4E" w:rsidRDefault="008605BC" w:rsidP="001A23EC">
            <w:pPr>
              <w:tabs>
                <w:tab w:val="left" w:pos="1575"/>
              </w:tabs>
              <w:spacing w:before="120" w:after="120"/>
              <w:jc w:val="both"/>
              <w:rPr>
                <w:sz w:val="24"/>
                <w:szCs w:val="24"/>
              </w:rPr>
            </w:pPr>
            <w:r>
              <w:rPr>
                <w:rFonts w:asciiTheme="minorHAnsi" w:hAnsiTheme="minorHAnsi"/>
                <w:noProof/>
              </w:rPr>
              <w:t xml:space="preserve">* </w:t>
            </w:r>
            <w:r w:rsidR="001A23EC">
              <w:rPr>
                <w:rFonts w:asciiTheme="minorHAnsi" w:hAnsiTheme="minorHAnsi"/>
                <w:noProof/>
              </w:rPr>
              <w:t>Cjelokupni tekst pr</w:t>
            </w:r>
            <w:r w:rsidR="001A23EC" w:rsidRPr="00240640">
              <w:rPr>
                <w:rFonts w:asciiTheme="minorHAnsi" w:hAnsiTheme="minorHAnsi"/>
                <w:noProof/>
              </w:rPr>
              <w:t>euzet iz</w:t>
            </w:r>
            <w:r w:rsidR="000E3D4E" w:rsidRPr="00240640">
              <w:rPr>
                <w:rFonts w:asciiTheme="minorHAnsi" w:hAnsiTheme="minorHAnsi"/>
                <w:noProof/>
              </w:rPr>
              <w:t>: Ivanov, M.; Maroshi, V. (2014.) „Bankarstvo i osiguranje“, radna bilježnica za treći razred srednje ekonomske škole,  Alka Script, 2014.</w:t>
            </w:r>
          </w:p>
        </w:tc>
      </w:tr>
    </w:tbl>
    <w:p w:rsidR="00927987" w:rsidRPr="00927987" w:rsidRDefault="00927987" w:rsidP="000E3D4E">
      <w:pPr>
        <w:tabs>
          <w:tab w:val="left" w:pos="1575"/>
        </w:tabs>
        <w:spacing w:after="240"/>
        <w:jc w:val="both"/>
        <w:rPr>
          <w:rFonts w:cs="Times New Roman"/>
          <w:sz w:val="24"/>
          <w:szCs w:val="24"/>
        </w:rPr>
      </w:pPr>
      <w:r w:rsidRPr="00927987">
        <w:rPr>
          <w:rFonts w:cs="Times New Roman"/>
          <w:sz w:val="24"/>
          <w:szCs w:val="24"/>
        </w:rPr>
        <w:lastRenderedPageBreak/>
        <w:t xml:space="preserve">Veličina </w:t>
      </w:r>
      <w:r w:rsidRPr="00927987">
        <w:rPr>
          <w:rFonts w:cs="Times New Roman"/>
          <w:i/>
          <w:iCs/>
          <w:sz w:val="24"/>
          <w:szCs w:val="24"/>
        </w:rPr>
        <w:t>t</w:t>
      </w:r>
      <w:r w:rsidRPr="00927987">
        <w:rPr>
          <w:rFonts w:cs="Times New Roman"/>
          <w:sz w:val="24"/>
          <w:szCs w:val="24"/>
        </w:rPr>
        <w:t xml:space="preserve"> općenito </w:t>
      </w:r>
      <w:r w:rsidRPr="00927987">
        <w:rPr>
          <w:rFonts w:cs="Times New Roman"/>
          <w:i/>
          <w:iCs/>
          <w:sz w:val="24"/>
          <w:szCs w:val="24"/>
        </w:rPr>
        <w:t>označava broj razdoblja</w:t>
      </w:r>
      <w:r w:rsidRPr="00927987">
        <w:rPr>
          <w:rFonts w:cs="Times New Roman"/>
          <w:sz w:val="24"/>
          <w:szCs w:val="24"/>
        </w:rPr>
        <w:t xml:space="preserve"> (dana, mjeseci, kvartala, godina) za koje se provodi ukamaćivanje uz određeni </w:t>
      </w:r>
      <w:r w:rsidRPr="00927987">
        <w:rPr>
          <w:rFonts w:cs="Times New Roman"/>
          <w:i/>
          <w:iCs/>
          <w:sz w:val="24"/>
          <w:szCs w:val="24"/>
        </w:rPr>
        <w:t>k</w:t>
      </w:r>
      <w:r w:rsidRPr="00927987">
        <w:rPr>
          <w:rFonts w:cs="Times New Roman"/>
          <w:sz w:val="24"/>
          <w:szCs w:val="24"/>
        </w:rPr>
        <w:t>, odnosno uz određeni relativni kamatnjak).</w:t>
      </w:r>
      <w:r>
        <w:rPr>
          <w:rFonts w:cs="Times New Roman"/>
          <w:sz w:val="24"/>
          <w:szCs w:val="24"/>
        </w:rPr>
        <w:t xml:space="preserve"> </w:t>
      </w:r>
    </w:p>
    <w:tbl>
      <w:tblPr>
        <w:tblStyle w:val="Reetkatablice"/>
        <w:tblW w:w="0" w:type="auto"/>
        <w:tblLook w:val="04A0" w:firstRow="1" w:lastRow="0" w:firstColumn="1" w:lastColumn="0" w:noHBand="0" w:noVBand="1"/>
      </w:tblPr>
      <w:tblGrid>
        <w:gridCol w:w="9288"/>
      </w:tblGrid>
      <w:tr w:rsidR="000E3D4E" w:rsidTr="000E3D4E">
        <w:tc>
          <w:tcPr>
            <w:tcW w:w="9288" w:type="dxa"/>
          </w:tcPr>
          <w:p w:rsidR="000E3D4E" w:rsidRDefault="000E3D4E" w:rsidP="00D87BBF">
            <w:pPr>
              <w:tabs>
                <w:tab w:val="left" w:pos="1575"/>
              </w:tabs>
              <w:spacing w:before="240"/>
              <w:jc w:val="both"/>
              <w:rPr>
                <w:rFonts w:asciiTheme="minorHAnsi" w:hAnsiTheme="minorHAnsi"/>
                <w:sz w:val="24"/>
                <w:szCs w:val="24"/>
              </w:rPr>
            </w:pPr>
            <w:r w:rsidRPr="000E3D4E">
              <w:rPr>
                <w:rFonts w:asciiTheme="minorHAnsi" w:hAnsiTheme="minorHAnsi"/>
                <w:bCs/>
                <w:i/>
                <w:iCs/>
                <w:color w:val="C00000"/>
                <w:sz w:val="24"/>
                <w:szCs w:val="24"/>
              </w:rPr>
              <w:t>Primjer</w:t>
            </w:r>
            <w:r w:rsidRPr="000E3D4E">
              <w:rPr>
                <w:rFonts w:asciiTheme="minorHAnsi" w:hAnsiTheme="minorHAnsi"/>
                <w:bCs/>
                <w:i/>
                <w:iCs/>
                <w:sz w:val="24"/>
                <w:szCs w:val="24"/>
              </w:rPr>
              <w:t xml:space="preserve">: </w:t>
            </w:r>
            <w:r w:rsidRPr="000E3D4E">
              <w:rPr>
                <w:rFonts w:asciiTheme="minorHAnsi" w:hAnsiTheme="minorHAnsi"/>
                <w:bCs/>
                <w:iCs/>
                <w:sz w:val="24"/>
                <w:szCs w:val="24"/>
              </w:rPr>
              <w:t>Potrebno je izračunati</w:t>
            </w:r>
            <w:r w:rsidRPr="000E3D4E">
              <w:rPr>
                <w:rFonts w:asciiTheme="minorHAnsi" w:hAnsiTheme="minorHAnsi"/>
                <w:bCs/>
                <w:i/>
                <w:iCs/>
                <w:sz w:val="24"/>
                <w:szCs w:val="24"/>
              </w:rPr>
              <w:t xml:space="preserve"> </w:t>
            </w:r>
            <w:r w:rsidRPr="000E3D4E">
              <w:rPr>
                <w:rFonts w:asciiTheme="minorHAnsi" w:hAnsiTheme="minorHAnsi"/>
                <w:sz w:val="24"/>
                <w:szCs w:val="24"/>
              </w:rPr>
              <w:t>jednostavne kamate na iznos od 10.000 kuna deponiran</w:t>
            </w:r>
            <w:r w:rsidRPr="000E3D4E">
              <w:rPr>
                <w:rFonts w:asciiTheme="minorHAnsi" w:hAnsiTheme="minorHAnsi"/>
                <w:bCs/>
                <w:i/>
                <w:iCs/>
                <w:sz w:val="24"/>
                <w:szCs w:val="24"/>
              </w:rPr>
              <w:t xml:space="preserve"> </w:t>
            </w:r>
            <w:r w:rsidRPr="000E3D4E">
              <w:rPr>
                <w:rFonts w:asciiTheme="minorHAnsi" w:hAnsiTheme="minorHAnsi"/>
                <w:sz w:val="24"/>
                <w:szCs w:val="24"/>
              </w:rPr>
              <w:t>u banci tri mjeseca, ako je kamatna stopa 3% godišnje, a banka provodi mjesečni obračun kamata primjenom proporcionalne metode, uz dekurzivni način obračuna.</w:t>
            </w:r>
          </w:p>
          <w:p w:rsidR="000E3D4E" w:rsidRPr="000E3D4E" w:rsidRDefault="000E3D4E" w:rsidP="00D87BBF">
            <w:pPr>
              <w:tabs>
                <w:tab w:val="left" w:pos="1575"/>
              </w:tabs>
              <w:spacing w:before="240" w:after="120"/>
              <w:rPr>
                <w:rFonts w:asciiTheme="minorHAnsi" w:hAnsiTheme="minorHAnsi"/>
                <w:i/>
                <w:color w:val="C00000"/>
                <w:sz w:val="24"/>
                <w:szCs w:val="24"/>
              </w:rPr>
            </w:pPr>
            <w:r w:rsidRPr="000E3D4E">
              <w:rPr>
                <w:rFonts w:asciiTheme="minorHAnsi" w:hAnsiTheme="minorHAnsi"/>
                <w:bCs/>
                <w:i/>
                <w:color w:val="C00000"/>
                <w:sz w:val="24"/>
                <w:szCs w:val="24"/>
              </w:rPr>
              <w:t>A) Prvi način izračuna uz zasebno računanje relativnog kamatnjaka</w:t>
            </w:r>
          </w:p>
          <w:p w:rsidR="000E3D4E" w:rsidRPr="000E3D4E" w:rsidRDefault="000E3D4E" w:rsidP="000E3D4E">
            <w:pPr>
              <w:tabs>
                <w:tab w:val="left" w:pos="1575"/>
              </w:tabs>
              <w:spacing w:before="120"/>
              <w:rPr>
                <w:rFonts w:asciiTheme="minorHAnsi" w:hAnsiTheme="minorHAnsi"/>
                <w:sz w:val="24"/>
                <w:szCs w:val="24"/>
              </w:rPr>
            </w:pPr>
            <w:r w:rsidRPr="000E3D4E">
              <w:rPr>
                <w:rFonts w:asciiTheme="minorHAnsi" w:hAnsiTheme="minorHAnsi"/>
                <w:sz w:val="24"/>
                <w:szCs w:val="24"/>
              </w:rPr>
              <w:t xml:space="preserve">Uz zadanu/ ugovorenu nominalnu godišnju kamatnu stopu i mjesečno ukamaćivanje, </w:t>
            </w:r>
            <w:r w:rsidRPr="000E3D4E">
              <w:rPr>
                <w:rFonts w:asciiTheme="minorHAnsi" w:hAnsiTheme="minorHAnsi"/>
                <w:i/>
                <w:iCs/>
                <w:sz w:val="24"/>
                <w:szCs w:val="24"/>
              </w:rPr>
              <w:t xml:space="preserve">k </w:t>
            </w:r>
            <w:r w:rsidRPr="000E3D4E">
              <w:rPr>
                <w:rFonts w:asciiTheme="minorHAnsi" w:hAnsiTheme="minorHAnsi"/>
                <w:sz w:val="24"/>
                <w:szCs w:val="24"/>
              </w:rPr>
              <w:t xml:space="preserve">= 12, </w:t>
            </w:r>
            <w:r w:rsidR="00D87BBF">
              <w:rPr>
                <w:rFonts w:asciiTheme="minorHAnsi" w:hAnsiTheme="minorHAnsi"/>
                <w:sz w:val="24"/>
                <w:szCs w:val="24"/>
              </w:rPr>
              <w:t xml:space="preserve">pa </w:t>
            </w:r>
            <w:r w:rsidRPr="000E3D4E">
              <w:rPr>
                <w:rFonts w:asciiTheme="minorHAnsi" w:hAnsiTheme="minorHAnsi"/>
                <w:sz w:val="24"/>
                <w:szCs w:val="24"/>
              </w:rPr>
              <w:t>je</w:t>
            </w:r>
            <w:r w:rsidRPr="000E3D4E">
              <w:rPr>
                <w:rFonts w:asciiTheme="minorHAnsi" w:hAnsiTheme="minorHAnsi"/>
                <w:i/>
                <w:iCs/>
                <w:sz w:val="24"/>
                <w:szCs w:val="24"/>
              </w:rPr>
              <w:t xml:space="preserve"> </w:t>
            </w:r>
            <w:r w:rsidRPr="000E3D4E">
              <w:rPr>
                <w:rFonts w:asciiTheme="minorHAnsi" w:hAnsiTheme="minorHAnsi"/>
                <w:bCs/>
                <w:color w:val="C00000"/>
                <w:sz w:val="24"/>
                <w:szCs w:val="24"/>
              </w:rPr>
              <w:t>relativni mjesečni kamatnjak</w:t>
            </w:r>
            <w:r w:rsidRPr="000E3D4E">
              <w:rPr>
                <w:noProof/>
                <w:sz w:val="24"/>
                <w:szCs w:val="24"/>
              </w:rPr>
              <w:drawing>
                <wp:inline distT="0" distB="0" distL="0" distR="0" wp14:anchorId="6320C2F6" wp14:editId="7AE43ADE">
                  <wp:extent cx="5438775" cy="571500"/>
                  <wp:effectExtent l="19050" t="0" r="9525" b="0"/>
                  <wp:docPr id="16401" name="Slika 17" descr="Slik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png"/>
                          <pic:cNvPicPr/>
                        </pic:nvPicPr>
                        <pic:blipFill>
                          <a:blip r:embed="rId125" cstate="print"/>
                          <a:stretch>
                            <a:fillRect/>
                          </a:stretch>
                        </pic:blipFill>
                        <pic:spPr>
                          <a:xfrm>
                            <a:off x="0" y="0"/>
                            <a:ext cx="5438775" cy="571500"/>
                          </a:xfrm>
                          <a:prstGeom prst="rect">
                            <a:avLst/>
                          </a:prstGeom>
                        </pic:spPr>
                      </pic:pic>
                    </a:graphicData>
                  </a:graphic>
                </wp:inline>
              </w:drawing>
            </w:r>
          </w:p>
          <w:p w:rsidR="000E3D4E" w:rsidRPr="000E3D4E" w:rsidRDefault="000E3D4E" w:rsidP="000E3D4E">
            <w:pPr>
              <w:widowControl w:val="0"/>
              <w:overflowPunct w:val="0"/>
              <w:autoSpaceDE w:val="0"/>
              <w:autoSpaceDN w:val="0"/>
              <w:adjustRightInd w:val="0"/>
              <w:spacing w:after="120"/>
              <w:ind w:right="840"/>
              <w:rPr>
                <w:rFonts w:asciiTheme="minorHAnsi" w:hAnsiTheme="minorHAnsi"/>
                <w:sz w:val="24"/>
                <w:szCs w:val="24"/>
              </w:rPr>
            </w:pPr>
            <w:r w:rsidRPr="000E3D4E">
              <w:rPr>
                <w:rFonts w:asciiTheme="minorHAnsi" w:hAnsiTheme="minorHAnsi"/>
                <w:sz w:val="24"/>
                <w:szCs w:val="24"/>
              </w:rPr>
              <w:t>Ukupne jednostavne kamate nakon tri mjeseca iznose</w:t>
            </w:r>
          </w:p>
          <w:p w:rsidR="000E3D4E" w:rsidRPr="000E3D4E" w:rsidRDefault="000E3D4E" w:rsidP="000E3D4E">
            <w:pPr>
              <w:tabs>
                <w:tab w:val="left" w:pos="1575"/>
              </w:tabs>
              <w:spacing w:after="120"/>
              <w:jc w:val="center"/>
              <w:rPr>
                <w:rFonts w:asciiTheme="minorHAnsi" w:hAnsiTheme="minorHAnsi"/>
                <w:iCs/>
                <w:sz w:val="24"/>
                <w:szCs w:val="24"/>
              </w:rPr>
            </w:pPr>
            <w:r w:rsidRPr="000E3D4E">
              <w:rPr>
                <w:rFonts w:asciiTheme="minorHAnsi" w:hAnsiTheme="minorHAnsi"/>
                <w:i/>
                <w:iCs/>
                <w:sz w:val="24"/>
                <w:szCs w:val="24"/>
              </w:rPr>
              <w:t xml:space="preserve">I </w:t>
            </w:r>
            <w:r w:rsidRPr="000E3D4E">
              <w:rPr>
                <w:rFonts w:asciiTheme="minorHAnsi" w:hAnsiTheme="minorHAnsi"/>
                <w:iCs/>
                <w:sz w:val="24"/>
                <w:szCs w:val="24"/>
              </w:rPr>
              <w:t>=</w:t>
            </w:r>
            <w:r w:rsidRPr="000E3D4E">
              <w:rPr>
                <w:rFonts w:asciiTheme="minorHAnsi" w:hAnsiTheme="minorHAnsi"/>
                <w:i/>
                <w:iCs/>
                <w:sz w:val="24"/>
                <w:szCs w:val="24"/>
              </w:rPr>
              <w:t xml:space="preserve"> C </w:t>
            </w:r>
            <w:r w:rsidRPr="000E3D4E">
              <w:rPr>
                <w:rFonts w:asciiTheme="minorHAnsi" w:hAnsiTheme="minorHAnsi"/>
                <w:iCs/>
                <w:sz w:val="24"/>
                <w:szCs w:val="24"/>
                <w:vertAlign w:val="subscript"/>
              </w:rPr>
              <w:t>0</w:t>
            </w:r>
            <w:r w:rsidRPr="000E3D4E">
              <w:rPr>
                <w:rFonts w:asciiTheme="minorHAnsi" w:hAnsiTheme="minorHAnsi"/>
                <w:i/>
                <w:iCs/>
                <w:sz w:val="24"/>
                <w:szCs w:val="24"/>
              </w:rPr>
              <w:t xml:space="preserve"> </w:t>
            </w:r>
            <w:r w:rsidRPr="000E3D4E">
              <w:rPr>
                <w:rFonts w:ascii="Cambria Math" w:hAnsi="Cambria Math" w:cs="Cambria Math"/>
                <w:iCs/>
                <w:sz w:val="24"/>
                <w:szCs w:val="24"/>
              </w:rPr>
              <w:t>⋅</w:t>
            </w:r>
            <w:r w:rsidRPr="000E3D4E">
              <w:rPr>
                <w:rFonts w:asciiTheme="minorHAnsi" w:hAnsiTheme="minorHAnsi"/>
                <w:i/>
                <w:iCs/>
                <w:sz w:val="24"/>
                <w:szCs w:val="24"/>
              </w:rPr>
              <w:t xml:space="preserve"> rr</w:t>
            </w:r>
            <w:r w:rsidRPr="000E3D4E">
              <w:rPr>
                <w:rFonts w:asciiTheme="minorHAnsi" w:hAnsiTheme="minorHAnsi"/>
                <w:i/>
                <w:iCs/>
                <w:sz w:val="24"/>
                <w:szCs w:val="24"/>
                <w:vertAlign w:val="subscript"/>
              </w:rPr>
              <w:t>m</w:t>
            </w:r>
            <w:r w:rsidRPr="000E3D4E">
              <w:rPr>
                <w:rFonts w:asciiTheme="minorHAnsi" w:hAnsiTheme="minorHAnsi"/>
                <w:i/>
                <w:iCs/>
                <w:sz w:val="24"/>
                <w:szCs w:val="24"/>
              </w:rPr>
              <w:t xml:space="preserve"> </w:t>
            </w:r>
            <w:r w:rsidRPr="000E3D4E">
              <w:rPr>
                <w:rFonts w:ascii="Cambria Math" w:hAnsi="Cambria Math" w:cs="Cambria Math"/>
                <w:iCs/>
                <w:sz w:val="24"/>
                <w:szCs w:val="24"/>
              </w:rPr>
              <w:t>⋅</w:t>
            </w:r>
            <w:r w:rsidRPr="000E3D4E">
              <w:rPr>
                <w:rFonts w:asciiTheme="minorHAnsi" w:hAnsiTheme="minorHAnsi"/>
                <w:i/>
                <w:iCs/>
                <w:sz w:val="24"/>
                <w:szCs w:val="24"/>
              </w:rPr>
              <w:t xml:space="preserve"> m </w:t>
            </w:r>
            <w:r w:rsidRPr="000E3D4E">
              <w:rPr>
                <w:rFonts w:asciiTheme="minorHAnsi" w:hAnsiTheme="minorHAnsi"/>
                <w:iCs/>
                <w:sz w:val="24"/>
                <w:szCs w:val="24"/>
              </w:rPr>
              <w:t>=</w:t>
            </w:r>
            <w:r w:rsidRPr="000E3D4E">
              <w:rPr>
                <w:rFonts w:asciiTheme="minorHAnsi" w:hAnsiTheme="minorHAnsi"/>
                <w:i/>
                <w:iCs/>
                <w:sz w:val="24"/>
                <w:szCs w:val="24"/>
              </w:rPr>
              <w:t xml:space="preserve"> </w:t>
            </w:r>
            <w:r w:rsidRPr="000E3D4E">
              <w:rPr>
                <w:rFonts w:asciiTheme="minorHAnsi" w:hAnsiTheme="minorHAnsi"/>
                <w:iCs/>
                <w:sz w:val="24"/>
                <w:szCs w:val="24"/>
              </w:rPr>
              <w:t>10.000</w:t>
            </w:r>
            <w:r w:rsidRPr="000E3D4E">
              <w:rPr>
                <w:rFonts w:asciiTheme="minorHAnsi" w:hAnsiTheme="minorHAnsi"/>
                <w:i/>
                <w:iCs/>
                <w:sz w:val="24"/>
                <w:szCs w:val="24"/>
              </w:rPr>
              <w:t xml:space="preserve"> </w:t>
            </w:r>
            <w:r w:rsidRPr="000E3D4E">
              <w:rPr>
                <w:rFonts w:ascii="Cambria Math" w:hAnsi="Cambria Math" w:cs="Cambria Math"/>
                <w:iCs/>
                <w:sz w:val="24"/>
                <w:szCs w:val="24"/>
              </w:rPr>
              <w:t>⋅</w:t>
            </w:r>
            <w:r w:rsidRPr="000E3D4E">
              <w:rPr>
                <w:rFonts w:asciiTheme="minorHAnsi" w:hAnsiTheme="minorHAnsi"/>
                <w:i/>
                <w:iCs/>
                <w:sz w:val="24"/>
                <w:szCs w:val="24"/>
              </w:rPr>
              <w:t xml:space="preserve"> </w:t>
            </w:r>
            <w:r w:rsidRPr="000E3D4E">
              <w:rPr>
                <w:rFonts w:asciiTheme="minorHAnsi" w:hAnsiTheme="minorHAnsi"/>
                <w:iCs/>
                <w:sz w:val="24"/>
                <w:szCs w:val="24"/>
              </w:rPr>
              <w:t>0,0025</w:t>
            </w:r>
            <w:r w:rsidRPr="000E3D4E">
              <w:rPr>
                <w:rFonts w:asciiTheme="minorHAnsi" w:hAnsiTheme="minorHAnsi"/>
                <w:i/>
                <w:iCs/>
                <w:sz w:val="24"/>
                <w:szCs w:val="24"/>
              </w:rPr>
              <w:t xml:space="preserve"> </w:t>
            </w:r>
            <w:r w:rsidRPr="000E3D4E">
              <w:rPr>
                <w:rFonts w:ascii="Cambria Math" w:hAnsi="Cambria Math" w:cs="Cambria Math"/>
                <w:iCs/>
                <w:sz w:val="24"/>
                <w:szCs w:val="24"/>
              </w:rPr>
              <w:t>⋅</w:t>
            </w:r>
            <w:r w:rsidRPr="000E3D4E">
              <w:rPr>
                <w:rFonts w:asciiTheme="minorHAnsi" w:hAnsiTheme="minorHAnsi"/>
                <w:i/>
                <w:iCs/>
                <w:sz w:val="24"/>
                <w:szCs w:val="24"/>
              </w:rPr>
              <w:t xml:space="preserve"> </w:t>
            </w:r>
            <w:r w:rsidRPr="000E3D4E">
              <w:rPr>
                <w:rFonts w:asciiTheme="minorHAnsi" w:hAnsiTheme="minorHAnsi"/>
                <w:iCs/>
                <w:sz w:val="24"/>
                <w:szCs w:val="24"/>
              </w:rPr>
              <w:t>3</w:t>
            </w:r>
            <w:r w:rsidRPr="000E3D4E">
              <w:rPr>
                <w:rFonts w:asciiTheme="minorHAnsi" w:hAnsiTheme="minorHAnsi"/>
                <w:i/>
                <w:iCs/>
                <w:sz w:val="24"/>
                <w:szCs w:val="24"/>
              </w:rPr>
              <w:t xml:space="preserve"> </w:t>
            </w:r>
            <w:r w:rsidRPr="000E3D4E">
              <w:rPr>
                <w:rFonts w:asciiTheme="minorHAnsi" w:hAnsiTheme="minorHAnsi"/>
                <w:iCs/>
                <w:sz w:val="24"/>
                <w:szCs w:val="24"/>
              </w:rPr>
              <w:t>=75</w:t>
            </w:r>
            <w:r w:rsidRPr="000E3D4E">
              <w:rPr>
                <w:rFonts w:asciiTheme="minorHAnsi" w:hAnsiTheme="minorHAnsi"/>
                <w:i/>
                <w:iCs/>
                <w:sz w:val="24"/>
                <w:szCs w:val="24"/>
              </w:rPr>
              <w:t xml:space="preserve"> </w:t>
            </w:r>
            <w:r w:rsidRPr="000E3D4E">
              <w:rPr>
                <w:rFonts w:asciiTheme="minorHAnsi" w:hAnsiTheme="minorHAnsi"/>
                <w:iCs/>
                <w:sz w:val="24"/>
                <w:szCs w:val="24"/>
              </w:rPr>
              <w:t>kn</w:t>
            </w:r>
          </w:p>
          <w:p w:rsidR="000E3D4E" w:rsidRPr="000E3D4E" w:rsidRDefault="000E3D4E" w:rsidP="000E3D4E">
            <w:pPr>
              <w:tabs>
                <w:tab w:val="left" w:pos="1575"/>
              </w:tabs>
              <w:spacing w:before="360" w:after="120" w:line="360" w:lineRule="auto"/>
              <w:rPr>
                <w:rFonts w:asciiTheme="minorHAnsi" w:hAnsiTheme="minorHAnsi"/>
                <w:i/>
                <w:iCs/>
                <w:color w:val="C00000"/>
                <w:sz w:val="24"/>
                <w:szCs w:val="24"/>
              </w:rPr>
            </w:pPr>
            <w:r w:rsidRPr="000E3D4E">
              <w:rPr>
                <w:rFonts w:asciiTheme="minorHAnsi" w:hAnsiTheme="minorHAnsi"/>
                <w:bCs/>
                <w:i/>
                <w:iCs/>
                <w:color w:val="C00000"/>
                <w:sz w:val="24"/>
                <w:szCs w:val="24"/>
              </w:rPr>
              <w:t xml:space="preserve">B) Drugi način izračuna s obzirom da je zadana nominalna godišnja kamatna stopa </w:t>
            </w:r>
          </w:p>
          <w:p w:rsidR="000E3D4E" w:rsidRPr="000E3D4E" w:rsidRDefault="000E3D4E" w:rsidP="00D87BBF">
            <w:pPr>
              <w:tabs>
                <w:tab w:val="left" w:pos="1575"/>
              </w:tabs>
              <w:spacing w:after="120"/>
              <w:jc w:val="both"/>
              <w:rPr>
                <w:rFonts w:asciiTheme="minorHAnsi" w:hAnsiTheme="minorHAnsi"/>
                <w:bCs/>
                <w:iCs/>
                <w:sz w:val="24"/>
                <w:szCs w:val="24"/>
              </w:rPr>
            </w:pPr>
            <w:r w:rsidRPr="000E3D4E">
              <w:rPr>
                <w:rFonts w:asciiTheme="minorHAnsi" w:hAnsiTheme="minorHAnsi"/>
                <w:iCs/>
                <w:sz w:val="24"/>
                <w:szCs w:val="24"/>
              </w:rPr>
              <w:t>Ako je zadana/ugovorena nominalna godišnja kamatna stopa, dok je ukamaćivanje mjesečno, do istog iznosa kamata možemo doći na način da u početnoj formuli za ukupne jednostavne kamate I =</w:t>
            </w:r>
            <w:r w:rsidRPr="000E3D4E">
              <w:rPr>
                <w:rFonts w:asciiTheme="minorHAnsi" w:hAnsiTheme="minorHAnsi"/>
                <w:i/>
                <w:iCs/>
                <w:sz w:val="24"/>
                <w:szCs w:val="24"/>
              </w:rPr>
              <w:t xml:space="preserve"> </w:t>
            </w:r>
            <w:r w:rsidRPr="000E3D4E">
              <w:rPr>
                <w:rFonts w:asciiTheme="minorHAnsi" w:hAnsiTheme="minorHAnsi"/>
                <w:iCs/>
                <w:sz w:val="24"/>
                <w:szCs w:val="24"/>
              </w:rPr>
              <w:t>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r * n, umjesto </w:t>
            </w:r>
            <w:r w:rsidRPr="000E3D4E">
              <w:rPr>
                <w:rFonts w:asciiTheme="minorHAnsi" w:hAnsiTheme="minorHAnsi"/>
                <w:i/>
                <w:iCs/>
                <w:sz w:val="24"/>
                <w:szCs w:val="24"/>
              </w:rPr>
              <w:t xml:space="preserve">n </w:t>
            </w:r>
            <w:r w:rsidRPr="000E3D4E">
              <w:rPr>
                <w:rFonts w:asciiTheme="minorHAnsi" w:hAnsiTheme="minorHAnsi"/>
                <w:iCs/>
                <w:sz w:val="24"/>
                <w:szCs w:val="24"/>
              </w:rPr>
              <w:t xml:space="preserve">(broja godina) pišemo </w:t>
            </w:r>
            <m:oMath>
              <m:f>
                <m:fPr>
                  <m:ctrlPr>
                    <w:rPr>
                      <w:rFonts w:ascii="Cambria Math" w:hAnsi="Cambria Math"/>
                      <w:i/>
                      <w:iCs/>
                      <w:sz w:val="24"/>
                      <w:szCs w:val="24"/>
                    </w:rPr>
                  </m:ctrlPr>
                </m:fPr>
                <m:num>
                  <m:r>
                    <w:rPr>
                      <w:rFonts w:ascii="Cambria Math" w:hAnsi="Cambria Math"/>
                      <w:sz w:val="24"/>
                      <w:szCs w:val="24"/>
                    </w:rPr>
                    <m:t>m</m:t>
                  </m:r>
                </m:num>
                <m:den>
                  <m:r>
                    <w:rPr>
                      <w:rFonts w:ascii="Cambria Math" w:hAnsi="Cambria Math"/>
                      <w:sz w:val="24"/>
                      <w:szCs w:val="24"/>
                    </w:rPr>
                    <m:t>12</m:t>
                  </m:r>
                </m:den>
              </m:f>
            </m:oMath>
            <w:r w:rsidRPr="000E3D4E">
              <w:rPr>
                <w:rFonts w:asciiTheme="minorHAnsi" w:hAnsiTheme="minorHAnsi"/>
                <w:iCs/>
                <w:sz w:val="24"/>
                <w:szCs w:val="24"/>
              </w:rPr>
              <w:t xml:space="preserve"> te dobivamo </w:t>
            </w:r>
            <w:r w:rsidRPr="000E3D4E">
              <w:rPr>
                <w:rFonts w:asciiTheme="minorHAnsi" w:hAnsiTheme="minorHAnsi"/>
                <w:bCs/>
                <w:iCs/>
                <w:sz w:val="24"/>
                <w:szCs w:val="24"/>
              </w:rPr>
              <w:t xml:space="preserve">ukupne jednostavne kamate za </w:t>
            </w:r>
            <w:r w:rsidRPr="000E3D4E">
              <w:rPr>
                <w:rFonts w:asciiTheme="minorHAnsi" w:hAnsiTheme="minorHAnsi"/>
                <w:bCs/>
                <w:i/>
                <w:iCs/>
                <w:sz w:val="24"/>
                <w:szCs w:val="24"/>
              </w:rPr>
              <w:t xml:space="preserve">m </w:t>
            </w:r>
            <w:r w:rsidRPr="000E3D4E">
              <w:rPr>
                <w:rFonts w:asciiTheme="minorHAnsi" w:hAnsiTheme="minorHAnsi"/>
                <w:bCs/>
                <w:iCs/>
                <w:sz w:val="24"/>
                <w:szCs w:val="24"/>
              </w:rPr>
              <w:t>mjeseci</w:t>
            </w:r>
          </w:p>
          <w:p w:rsidR="000E3D4E" w:rsidRPr="000E3D4E" w:rsidRDefault="000E3D4E" w:rsidP="00D87BBF">
            <w:pPr>
              <w:tabs>
                <w:tab w:val="left" w:pos="1575"/>
              </w:tabs>
              <w:spacing w:after="120"/>
              <w:jc w:val="center"/>
              <w:rPr>
                <w:rFonts w:asciiTheme="minorHAnsi" w:eastAsiaTheme="minorEastAsia" w:hAnsiTheme="minorHAnsi"/>
                <w:iCs/>
                <w:sz w:val="24"/>
                <w:szCs w:val="24"/>
              </w:rPr>
            </w:pPr>
            <w:r w:rsidRPr="000E3D4E">
              <w:rPr>
                <w:rFonts w:asciiTheme="minorHAnsi" w:hAnsiTheme="minorHAnsi"/>
                <w:bCs/>
                <w:iCs/>
                <w:sz w:val="24"/>
                <w:szCs w:val="24"/>
              </w:rPr>
              <w:t>I = C</w:t>
            </w:r>
            <w:r w:rsidRPr="000E3D4E">
              <w:rPr>
                <w:rFonts w:asciiTheme="minorHAnsi" w:hAnsiTheme="minorHAnsi"/>
                <w:bCs/>
                <w:iCs/>
                <w:sz w:val="24"/>
                <w:szCs w:val="24"/>
                <w:vertAlign w:val="subscript"/>
              </w:rPr>
              <w:t>0</w:t>
            </w:r>
            <w:r w:rsidRPr="000E3D4E">
              <w:rPr>
                <w:rFonts w:asciiTheme="minorHAnsi" w:hAnsiTheme="minorHAnsi"/>
                <w:bCs/>
                <w:iCs/>
                <w:sz w:val="24"/>
                <w:szCs w:val="24"/>
              </w:rPr>
              <w:t xml:space="preserve"> * r * </w:t>
            </w:r>
            <m:oMath>
              <m:f>
                <m:fPr>
                  <m:ctrlPr>
                    <w:rPr>
                      <w:rFonts w:ascii="Cambria Math" w:hAnsi="Cambria Math"/>
                      <w:i/>
                      <w:iCs/>
                      <w:sz w:val="24"/>
                      <w:szCs w:val="24"/>
                    </w:rPr>
                  </m:ctrlPr>
                </m:fPr>
                <m:num>
                  <m:r>
                    <w:rPr>
                      <w:rFonts w:ascii="Cambria Math" w:hAnsi="Cambria Math"/>
                      <w:sz w:val="24"/>
                      <w:szCs w:val="24"/>
                    </w:rPr>
                    <m:t>m</m:t>
                  </m:r>
                </m:num>
                <m:den>
                  <m:r>
                    <w:rPr>
                      <w:rFonts w:ascii="Cambria Math" w:hAnsi="Cambria Math"/>
                      <w:sz w:val="24"/>
                      <w:szCs w:val="24"/>
                    </w:rPr>
                    <m:t>12</m:t>
                  </m:r>
                </m:den>
              </m:f>
            </m:oMath>
          </w:p>
          <w:p w:rsidR="000E3D4E" w:rsidRPr="000E3D4E" w:rsidRDefault="000E3D4E" w:rsidP="000E3D4E">
            <w:pPr>
              <w:tabs>
                <w:tab w:val="left" w:pos="1575"/>
              </w:tabs>
              <w:spacing w:after="120"/>
              <w:rPr>
                <w:rFonts w:asciiTheme="minorHAnsi" w:hAnsiTheme="minorHAnsi"/>
                <w:iCs/>
                <w:sz w:val="24"/>
                <w:szCs w:val="24"/>
              </w:rPr>
            </w:pPr>
            <w:r w:rsidRPr="000E3D4E">
              <w:rPr>
                <w:rFonts w:asciiTheme="minorHAnsi" w:hAnsiTheme="minorHAnsi"/>
                <w:iCs/>
                <w:sz w:val="24"/>
                <w:szCs w:val="24"/>
              </w:rPr>
              <w:t xml:space="preserve">gdje </w:t>
            </w:r>
            <w:r w:rsidRPr="000E3D4E">
              <w:rPr>
                <w:rFonts w:asciiTheme="minorHAnsi" w:hAnsiTheme="minorHAnsi"/>
                <w:i/>
                <w:iCs/>
                <w:sz w:val="24"/>
                <w:szCs w:val="24"/>
              </w:rPr>
              <w:t>m označava broj mjeseci ukamaćivanja</w:t>
            </w:r>
            <w:r w:rsidRPr="000E3D4E">
              <w:rPr>
                <w:rFonts w:asciiTheme="minorHAnsi" w:hAnsiTheme="minorHAnsi"/>
                <w:iCs/>
                <w:sz w:val="24"/>
                <w:szCs w:val="24"/>
              </w:rPr>
              <w:t xml:space="preserve">, a </w:t>
            </w:r>
            <w:r w:rsidRPr="000E3D4E">
              <w:rPr>
                <w:rFonts w:asciiTheme="minorHAnsi" w:hAnsiTheme="minorHAnsi"/>
                <w:i/>
                <w:iCs/>
                <w:sz w:val="24"/>
                <w:szCs w:val="24"/>
              </w:rPr>
              <w:t>r</w:t>
            </w:r>
            <w:r w:rsidRPr="000E3D4E">
              <w:rPr>
                <w:rFonts w:asciiTheme="minorHAnsi" w:hAnsiTheme="minorHAnsi"/>
                <w:iCs/>
                <w:sz w:val="24"/>
                <w:szCs w:val="24"/>
              </w:rPr>
              <w:t xml:space="preserve"> nominalnu godišnju kamatnu stopu</w:t>
            </w:r>
          </w:p>
          <w:p w:rsidR="000E3D4E" w:rsidRPr="000E3D4E" w:rsidRDefault="000E3D4E" w:rsidP="000E3D4E">
            <w:pPr>
              <w:tabs>
                <w:tab w:val="left" w:pos="1575"/>
              </w:tabs>
              <w:jc w:val="center"/>
              <w:rPr>
                <w:rFonts w:asciiTheme="minorHAnsi" w:hAnsiTheme="minorHAnsi"/>
                <w:iCs/>
                <w:sz w:val="24"/>
                <w:szCs w:val="24"/>
              </w:rPr>
            </w:pPr>
            <w:r w:rsidRPr="000E3D4E">
              <w:rPr>
                <w:rFonts w:asciiTheme="minorHAnsi" w:hAnsiTheme="minorHAnsi"/>
                <w:iCs/>
                <w:sz w:val="24"/>
                <w:szCs w:val="24"/>
              </w:rPr>
              <w:t xml:space="preserve">I = 10 000 * 0,03 * </w:t>
            </w:r>
            <m:oMath>
              <m:f>
                <m:fPr>
                  <m:ctrlPr>
                    <w:rPr>
                      <w:rFonts w:ascii="Cambria Math" w:hAnsi="Cambria Math"/>
                      <w:i/>
                      <w:iCs/>
                      <w:sz w:val="24"/>
                      <w:szCs w:val="24"/>
                    </w:rPr>
                  </m:ctrlPr>
                </m:fPr>
                <m:num>
                  <m:r>
                    <w:rPr>
                      <w:rFonts w:ascii="Cambria Math" w:hAnsi="Cambria Math"/>
                      <w:sz w:val="24"/>
                      <w:szCs w:val="24"/>
                    </w:rPr>
                    <m:t>3</m:t>
                  </m:r>
                </m:num>
                <m:den>
                  <m:r>
                    <w:rPr>
                      <w:rFonts w:ascii="Cambria Math" w:hAnsi="Cambria Math"/>
                      <w:sz w:val="24"/>
                      <w:szCs w:val="24"/>
                    </w:rPr>
                    <m:t>12</m:t>
                  </m:r>
                </m:den>
              </m:f>
            </m:oMath>
            <w:r w:rsidRPr="000E3D4E">
              <w:rPr>
                <w:rFonts w:asciiTheme="minorHAnsi" w:hAnsiTheme="minorHAnsi"/>
                <w:iCs/>
                <w:sz w:val="24"/>
                <w:szCs w:val="24"/>
              </w:rPr>
              <w:t xml:space="preserve"> = 75 kn.</w:t>
            </w:r>
          </w:p>
          <w:p w:rsidR="000E3D4E" w:rsidRDefault="000E3D4E" w:rsidP="000E3D4E">
            <w:pPr>
              <w:tabs>
                <w:tab w:val="left" w:pos="1575"/>
              </w:tabs>
              <w:jc w:val="center"/>
              <w:rPr>
                <w:rFonts w:asciiTheme="minorHAnsi" w:hAnsiTheme="minorHAnsi"/>
                <w:iCs/>
                <w:sz w:val="24"/>
                <w:szCs w:val="24"/>
              </w:rPr>
            </w:pPr>
          </w:p>
          <w:p w:rsidR="00D87BBF" w:rsidRPr="000E3D4E" w:rsidRDefault="00D87BBF" w:rsidP="000E3D4E">
            <w:pPr>
              <w:tabs>
                <w:tab w:val="left" w:pos="1575"/>
              </w:tabs>
              <w:jc w:val="center"/>
              <w:rPr>
                <w:rFonts w:asciiTheme="minorHAnsi" w:hAnsiTheme="minorHAnsi"/>
                <w:iCs/>
                <w:sz w:val="24"/>
                <w:szCs w:val="24"/>
              </w:rPr>
            </w:pP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bCs/>
                <w:i/>
                <w:iCs/>
                <w:color w:val="C00000"/>
                <w:sz w:val="24"/>
                <w:szCs w:val="24"/>
              </w:rPr>
              <w:t xml:space="preserve">Primjer:  </w:t>
            </w:r>
            <w:r w:rsidRPr="000E3D4E">
              <w:rPr>
                <w:rFonts w:asciiTheme="minorHAnsi" w:hAnsiTheme="minorHAnsi"/>
                <w:iCs/>
                <w:sz w:val="24"/>
                <w:szCs w:val="24"/>
              </w:rPr>
              <w:t>Na rok od 32 dana položen je depozit 300.000 kuna. Kamatn</w:t>
            </w:r>
            <w:r w:rsidR="00D87BBF">
              <w:rPr>
                <w:rFonts w:asciiTheme="minorHAnsi" w:hAnsiTheme="minorHAnsi"/>
                <w:iCs/>
                <w:sz w:val="24"/>
                <w:szCs w:val="24"/>
              </w:rPr>
              <w:t>jak</w:t>
            </w:r>
            <w:r w:rsidRPr="000E3D4E">
              <w:rPr>
                <w:rFonts w:asciiTheme="minorHAnsi" w:hAnsiTheme="minorHAnsi"/>
                <w:iCs/>
                <w:sz w:val="24"/>
                <w:szCs w:val="24"/>
              </w:rPr>
              <w:t xml:space="preserve"> je  7,5% godišnje, a banka koristi dnevni obračun </w:t>
            </w:r>
            <w:r w:rsidR="00D87BBF">
              <w:rPr>
                <w:rFonts w:asciiTheme="minorHAnsi" w:hAnsiTheme="minorHAnsi"/>
                <w:iCs/>
                <w:sz w:val="24"/>
                <w:szCs w:val="24"/>
              </w:rPr>
              <w:t xml:space="preserve">jednostavnih </w:t>
            </w:r>
            <w:r w:rsidRPr="000E3D4E">
              <w:rPr>
                <w:rFonts w:asciiTheme="minorHAnsi" w:hAnsiTheme="minorHAnsi"/>
                <w:iCs/>
                <w:sz w:val="24"/>
                <w:szCs w:val="24"/>
              </w:rPr>
              <w:t>kamata</w:t>
            </w:r>
            <w:r w:rsidR="00D87BBF">
              <w:rPr>
                <w:rFonts w:asciiTheme="minorHAnsi" w:hAnsiTheme="minorHAnsi"/>
                <w:iCs/>
                <w:sz w:val="24"/>
                <w:szCs w:val="24"/>
              </w:rPr>
              <w:t xml:space="preserve"> i proporcionalnu metodu</w:t>
            </w:r>
            <w:r w:rsidRPr="000E3D4E">
              <w:rPr>
                <w:rFonts w:asciiTheme="minorHAnsi" w:hAnsiTheme="minorHAnsi"/>
                <w:iCs/>
                <w:sz w:val="24"/>
                <w:szCs w:val="24"/>
              </w:rPr>
              <w:t xml:space="preserve">. </w:t>
            </w:r>
          </w:p>
          <w:p w:rsidR="000E3D4E" w:rsidRPr="000E3D4E" w:rsidRDefault="000E3D4E" w:rsidP="00D87BBF">
            <w:pPr>
              <w:tabs>
                <w:tab w:val="left" w:pos="1575"/>
              </w:tabs>
              <w:spacing w:before="240" w:after="120"/>
              <w:rPr>
                <w:rFonts w:asciiTheme="minorHAnsi" w:hAnsiTheme="minorHAnsi"/>
                <w:i/>
                <w:iCs/>
                <w:color w:val="C00000"/>
                <w:sz w:val="24"/>
                <w:szCs w:val="24"/>
              </w:rPr>
            </w:pPr>
            <w:r w:rsidRPr="000E3D4E">
              <w:rPr>
                <w:rFonts w:asciiTheme="minorHAnsi" w:hAnsiTheme="minorHAnsi"/>
                <w:bCs/>
                <w:i/>
                <w:iCs/>
                <w:color w:val="C00000"/>
                <w:sz w:val="24"/>
                <w:szCs w:val="24"/>
              </w:rPr>
              <w:t xml:space="preserve">A) Prvi način izračuna uz zasebno računanje relativnog kamatnjaka </w:t>
            </w:r>
          </w:p>
          <w:p w:rsidR="000E3D4E" w:rsidRPr="000E3D4E" w:rsidRDefault="000E3D4E" w:rsidP="00D87BBF">
            <w:pPr>
              <w:tabs>
                <w:tab w:val="left" w:pos="1575"/>
              </w:tabs>
              <w:spacing w:before="120" w:after="120"/>
              <w:jc w:val="both"/>
              <w:rPr>
                <w:rFonts w:asciiTheme="minorHAnsi" w:hAnsiTheme="minorHAnsi"/>
                <w:iCs/>
                <w:sz w:val="24"/>
                <w:szCs w:val="24"/>
              </w:rPr>
            </w:pPr>
            <w:r w:rsidRPr="000E3D4E">
              <w:rPr>
                <w:rFonts w:asciiTheme="minorHAnsi" w:hAnsiTheme="minorHAnsi"/>
                <w:iCs/>
                <w:sz w:val="24"/>
                <w:szCs w:val="24"/>
              </w:rPr>
              <w:t xml:space="preserve">Ako je nominalni kamatnjak godišnji, a ukamaćivanje dnevno, uz </w:t>
            </w:r>
            <w:r w:rsidRPr="000E3D4E">
              <w:rPr>
                <w:rFonts w:asciiTheme="minorHAnsi" w:hAnsiTheme="minorHAnsi"/>
                <w:i/>
                <w:iCs/>
                <w:sz w:val="24"/>
                <w:szCs w:val="24"/>
              </w:rPr>
              <w:t xml:space="preserve">k </w:t>
            </w:r>
            <w:r w:rsidRPr="000E3D4E">
              <w:rPr>
                <w:rFonts w:asciiTheme="minorHAnsi" w:hAnsiTheme="minorHAnsi"/>
                <w:iCs/>
                <w:sz w:val="24"/>
                <w:szCs w:val="24"/>
              </w:rPr>
              <w:t xml:space="preserve">= 365 (znači godina nije prijestupna), </w:t>
            </w:r>
            <w:r w:rsidRPr="000E3D4E">
              <w:rPr>
                <w:rFonts w:asciiTheme="minorHAnsi" w:hAnsiTheme="minorHAnsi"/>
                <w:bCs/>
                <w:iCs/>
                <w:sz w:val="24"/>
                <w:szCs w:val="24"/>
              </w:rPr>
              <w:t xml:space="preserve">relativna dnevna kamatna stopa </w:t>
            </w:r>
            <w:r w:rsidRPr="000E3D4E">
              <w:rPr>
                <w:rFonts w:asciiTheme="minorHAnsi" w:hAnsiTheme="minorHAnsi"/>
                <w:iCs/>
                <w:sz w:val="24"/>
                <w:szCs w:val="24"/>
              </w:rPr>
              <w:t xml:space="preserve">pisana u decimalnom zapisu jednaka je </w:t>
            </w:r>
          </w:p>
          <w:p w:rsidR="000E3D4E" w:rsidRPr="000E3D4E" w:rsidRDefault="000E3D4E" w:rsidP="000E3D4E">
            <w:pPr>
              <w:tabs>
                <w:tab w:val="left" w:pos="1575"/>
              </w:tabs>
              <w:spacing w:before="120" w:after="120"/>
              <w:jc w:val="center"/>
              <w:rPr>
                <w:rFonts w:asciiTheme="minorHAnsi" w:hAnsiTheme="minorHAnsi"/>
                <w:iCs/>
                <w:sz w:val="24"/>
                <w:szCs w:val="24"/>
              </w:rPr>
            </w:pPr>
            <w:r w:rsidRPr="000E3D4E">
              <w:rPr>
                <w:rFonts w:asciiTheme="minorHAnsi" w:hAnsiTheme="minorHAnsi"/>
                <w:i/>
                <w:iCs/>
                <w:sz w:val="24"/>
                <w:szCs w:val="24"/>
              </w:rPr>
              <w:t>rr</w:t>
            </w:r>
            <w:r w:rsidRPr="000E3D4E">
              <w:rPr>
                <w:rFonts w:asciiTheme="minorHAnsi" w:hAnsiTheme="minorHAnsi"/>
                <w:i/>
                <w:iCs/>
                <w:sz w:val="24"/>
                <w:szCs w:val="24"/>
                <w:vertAlign w:val="subscript"/>
              </w:rPr>
              <w:t>d</w:t>
            </w:r>
            <w:r w:rsidRPr="000E3D4E">
              <w:rPr>
                <w:rFonts w:asciiTheme="minorHAnsi" w:hAnsiTheme="minorHAnsi"/>
                <w:i/>
                <w:iCs/>
                <w:sz w:val="24"/>
                <w:szCs w:val="24"/>
              </w:rPr>
              <w:t xml:space="preserve"> </w:t>
            </w:r>
            <w:r w:rsidRPr="000E3D4E">
              <w:rPr>
                <w:rFonts w:asciiTheme="minorHAnsi" w:hAnsiTheme="minorHAnsi"/>
                <w:iCs/>
                <w:sz w:val="24"/>
                <w:szCs w:val="24"/>
              </w:rPr>
              <w:t xml:space="preserve">= </w:t>
            </w:r>
            <m:oMath>
              <m:f>
                <m:fPr>
                  <m:ctrlPr>
                    <w:rPr>
                      <w:rFonts w:ascii="Cambria Math" w:hAnsi="Cambria Math"/>
                      <w:i/>
                      <w:iCs/>
                      <w:sz w:val="24"/>
                      <w:szCs w:val="24"/>
                    </w:rPr>
                  </m:ctrlPr>
                </m:fPr>
                <m:num>
                  <m:r>
                    <w:rPr>
                      <w:rFonts w:ascii="Cambria Math" w:hAnsi="Cambria Math"/>
                      <w:sz w:val="24"/>
                      <w:szCs w:val="24"/>
                    </w:rPr>
                    <m:t>r</m:t>
                  </m:r>
                </m:num>
                <m:den>
                  <m:r>
                    <w:rPr>
                      <w:rFonts w:ascii="Cambria Math" w:hAnsi="Cambria Math"/>
                      <w:sz w:val="24"/>
                      <w:szCs w:val="24"/>
                    </w:rPr>
                    <m:t>k</m:t>
                  </m:r>
                </m:den>
              </m:f>
            </m:oMath>
            <w:r w:rsidRPr="000E3D4E">
              <w:rPr>
                <w:rFonts w:asciiTheme="minorHAnsi" w:hAnsiTheme="minorHAnsi"/>
                <w:iCs/>
                <w:sz w:val="24"/>
                <w:szCs w:val="24"/>
              </w:rPr>
              <w:t xml:space="preserve">  = </w:t>
            </w:r>
            <m:oMath>
              <m:f>
                <m:fPr>
                  <m:ctrlPr>
                    <w:rPr>
                      <w:rFonts w:ascii="Cambria Math" w:hAnsi="Cambria Math"/>
                      <w:i/>
                      <w:iCs/>
                      <w:sz w:val="24"/>
                      <w:szCs w:val="24"/>
                    </w:rPr>
                  </m:ctrlPr>
                </m:fPr>
                <m:num>
                  <m:r>
                    <w:rPr>
                      <w:rFonts w:ascii="Cambria Math" w:hAnsi="Cambria Math"/>
                      <w:sz w:val="24"/>
                      <w:szCs w:val="24"/>
                    </w:rPr>
                    <m:t>0,075</m:t>
                  </m:r>
                </m:num>
                <m:den>
                  <m:r>
                    <w:rPr>
                      <w:rFonts w:ascii="Cambria Math" w:hAnsi="Cambria Math"/>
                      <w:sz w:val="24"/>
                      <w:szCs w:val="24"/>
                    </w:rPr>
                    <m:t>365</m:t>
                  </m:r>
                </m:den>
              </m:f>
            </m:oMath>
            <w:r w:rsidRPr="000E3D4E">
              <w:rPr>
                <w:rFonts w:asciiTheme="minorHAnsi" w:hAnsiTheme="minorHAnsi"/>
                <w:iCs/>
                <w:sz w:val="24"/>
                <w:szCs w:val="24"/>
              </w:rPr>
              <w:t xml:space="preserve"> ≈ 0,0002054794521</w:t>
            </w:r>
          </w:p>
          <w:p w:rsidR="000E3D4E" w:rsidRPr="000E3D4E" w:rsidRDefault="000E3D4E" w:rsidP="000E3D4E">
            <w:pPr>
              <w:tabs>
                <w:tab w:val="left" w:pos="1575"/>
              </w:tabs>
              <w:spacing w:before="120" w:after="120"/>
              <w:rPr>
                <w:rFonts w:asciiTheme="minorHAnsi" w:hAnsiTheme="minorHAnsi"/>
                <w:iCs/>
                <w:sz w:val="24"/>
                <w:szCs w:val="24"/>
              </w:rPr>
            </w:pPr>
            <w:r w:rsidRPr="000E3D4E">
              <w:rPr>
                <w:rFonts w:asciiTheme="minorHAnsi" w:hAnsiTheme="minorHAnsi"/>
                <w:iCs/>
                <w:sz w:val="24"/>
                <w:szCs w:val="24"/>
              </w:rPr>
              <w:t>Ukupne jednostavne kamate za 32 dana možemo izračunati formulom I = 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r</w:t>
            </w:r>
            <w:r w:rsidRPr="000E3D4E">
              <w:rPr>
                <w:rFonts w:asciiTheme="minorHAnsi" w:hAnsiTheme="minorHAnsi"/>
                <w:iCs/>
                <w:sz w:val="24"/>
                <w:szCs w:val="24"/>
                <w:vertAlign w:val="subscript"/>
              </w:rPr>
              <w:t>d</w:t>
            </w:r>
            <w:r w:rsidRPr="000E3D4E">
              <w:rPr>
                <w:rFonts w:asciiTheme="minorHAnsi" w:hAnsiTheme="minorHAnsi"/>
                <w:iCs/>
                <w:sz w:val="24"/>
                <w:szCs w:val="24"/>
              </w:rPr>
              <w:t xml:space="preserve"> * d , </w:t>
            </w:r>
          </w:p>
          <w:p w:rsidR="000E3D4E" w:rsidRPr="000E3D4E" w:rsidRDefault="000E3D4E" w:rsidP="000E3D4E">
            <w:pPr>
              <w:tabs>
                <w:tab w:val="left" w:pos="1575"/>
              </w:tabs>
              <w:spacing w:before="120" w:after="120"/>
              <w:jc w:val="center"/>
              <w:rPr>
                <w:rFonts w:asciiTheme="minorHAnsi" w:hAnsiTheme="minorHAnsi"/>
                <w:iCs/>
                <w:sz w:val="24"/>
                <w:szCs w:val="24"/>
              </w:rPr>
            </w:pPr>
            <w:r w:rsidRPr="000E3D4E">
              <w:rPr>
                <w:rFonts w:asciiTheme="minorHAnsi" w:hAnsiTheme="minorHAnsi"/>
                <w:iCs/>
                <w:sz w:val="24"/>
                <w:szCs w:val="24"/>
              </w:rPr>
              <w:t>I = 300.000 ∙ 0,0002054794521 ∙ 32 ≈ 1.972,60 kn</w:t>
            </w:r>
          </w:p>
          <w:p w:rsidR="000E3D4E" w:rsidRPr="000E3D4E" w:rsidRDefault="000E3D4E" w:rsidP="00D87BBF">
            <w:pPr>
              <w:tabs>
                <w:tab w:val="left" w:pos="1575"/>
              </w:tabs>
              <w:spacing w:before="240" w:after="120"/>
              <w:jc w:val="both"/>
              <w:rPr>
                <w:rFonts w:asciiTheme="minorHAnsi" w:hAnsiTheme="minorHAnsi"/>
                <w:iCs/>
                <w:color w:val="C00000"/>
                <w:sz w:val="24"/>
                <w:szCs w:val="24"/>
              </w:rPr>
            </w:pPr>
            <w:r w:rsidRPr="000E3D4E">
              <w:rPr>
                <w:rFonts w:asciiTheme="minorHAnsi" w:hAnsiTheme="minorHAnsi"/>
                <w:bCs/>
                <w:iCs/>
                <w:color w:val="C00000"/>
                <w:sz w:val="24"/>
                <w:szCs w:val="24"/>
              </w:rPr>
              <w:t xml:space="preserve">B) Drugi način izračuna s obzirom da je zadana nominalna godišnja kamatna stopa </w:t>
            </w: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iCs/>
                <w:sz w:val="24"/>
                <w:szCs w:val="24"/>
              </w:rPr>
              <w:t>Ako je zadana nominalna godišnja kamatna stopa, u formuli I = 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r * n umjesto </w:t>
            </w: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i/>
                <w:iCs/>
                <w:sz w:val="24"/>
                <w:szCs w:val="24"/>
              </w:rPr>
              <w:lastRenderedPageBreak/>
              <w:t xml:space="preserve">n  </w:t>
            </w:r>
            <w:r w:rsidRPr="000E3D4E">
              <w:rPr>
                <w:rFonts w:asciiTheme="minorHAnsi" w:hAnsiTheme="minorHAnsi"/>
                <w:iCs/>
                <w:sz w:val="24"/>
                <w:szCs w:val="24"/>
              </w:rPr>
              <w:t xml:space="preserve">(broj godina) možemo pisati </w:t>
            </w:r>
            <m:oMath>
              <m:f>
                <m:fPr>
                  <m:ctrlPr>
                    <w:rPr>
                      <w:rFonts w:ascii="Cambria Math" w:hAnsi="Cambria Math"/>
                      <w:i/>
                      <w:iCs/>
                      <w:sz w:val="24"/>
                      <w:szCs w:val="24"/>
                    </w:rPr>
                  </m:ctrlPr>
                </m:fPr>
                <m:num>
                  <m:r>
                    <w:rPr>
                      <w:rFonts w:ascii="Cambria Math" w:hAnsi="Cambria Math"/>
                      <w:sz w:val="24"/>
                      <w:szCs w:val="24"/>
                    </w:rPr>
                    <m:t>d</m:t>
                  </m:r>
                </m:num>
                <m:den>
                  <m:r>
                    <w:rPr>
                      <w:rFonts w:ascii="Cambria Math" w:hAnsi="Cambria Math"/>
                      <w:sz w:val="24"/>
                      <w:szCs w:val="24"/>
                    </w:rPr>
                    <m:t>365</m:t>
                  </m:r>
                </m:den>
              </m:f>
            </m:oMath>
            <w:r w:rsidRPr="000E3D4E">
              <w:rPr>
                <w:rFonts w:asciiTheme="minorHAnsi" w:hAnsiTheme="minorHAnsi"/>
                <w:i/>
                <w:iCs/>
                <w:sz w:val="24"/>
                <w:szCs w:val="24"/>
              </w:rPr>
              <w:t xml:space="preserve"> </w:t>
            </w:r>
            <w:r w:rsidRPr="000E3D4E">
              <w:rPr>
                <w:rFonts w:asciiTheme="minorHAnsi" w:hAnsiTheme="minorHAnsi"/>
                <w:iCs/>
                <w:sz w:val="24"/>
                <w:szCs w:val="24"/>
              </w:rPr>
              <w:t xml:space="preserve">. Iz toga slijedi da </w:t>
            </w:r>
            <w:r w:rsidRPr="000E3D4E">
              <w:rPr>
                <w:rFonts w:asciiTheme="minorHAnsi" w:hAnsiTheme="minorHAnsi"/>
                <w:bCs/>
                <w:iCs/>
                <w:sz w:val="24"/>
                <w:szCs w:val="24"/>
              </w:rPr>
              <w:t xml:space="preserve">ukupne jednostavne kamate </w:t>
            </w: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bCs/>
                <w:iCs/>
                <w:sz w:val="24"/>
                <w:szCs w:val="24"/>
              </w:rPr>
              <w:t xml:space="preserve">za </w:t>
            </w:r>
            <w:r w:rsidRPr="000E3D4E">
              <w:rPr>
                <w:rFonts w:asciiTheme="minorHAnsi" w:hAnsiTheme="minorHAnsi"/>
                <w:bCs/>
                <w:i/>
                <w:iCs/>
                <w:sz w:val="24"/>
                <w:szCs w:val="24"/>
              </w:rPr>
              <w:t xml:space="preserve">d </w:t>
            </w:r>
            <w:r w:rsidRPr="000E3D4E">
              <w:rPr>
                <w:rFonts w:asciiTheme="minorHAnsi" w:hAnsiTheme="minorHAnsi"/>
                <w:bCs/>
                <w:iCs/>
                <w:sz w:val="24"/>
                <w:szCs w:val="24"/>
              </w:rPr>
              <w:t xml:space="preserve">dana </w:t>
            </w:r>
            <w:r w:rsidRPr="000E3D4E">
              <w:rPr>
                <w:rFonts w:asciiTheme="minorHAnsi" w:hAnsiTheme="minorHAnsi"/>
                <w:iCs/>
                <w:sz w:val="24"/>
                <w:szCs w:val="24"/>
              </w:rPr>
              <w:t>iznose I = 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r * </w:t>
            </w:r>
            <m:oMath>
              <m:f>
                <m:fPr>
                  <m:ctrlPr>
                    <w:rPr>
                      <w:rFonts w:ascii="Cambria Math" w:hAnsi="Cambria Math"/>
                      <w:i/>
                      <w:iCs/>
                      <w:sz w:val="24"/>
                      <w:szCs w:val="24"/>
                    </w:rPr>
                  </m:ctrlPr>
                </m:fPr>
                <m:num>
                  <m:r>
                    <w:rPr>
                      <w:rFonts w:ascii="Cambria Math" w:hAnsi="Cambria Math"/>
                      <w:sz w:val="24"/>
                      <w:szCs w:val="24"/>
                    </w:rPr>
                    <m:t>d</m:t>
                  </m:r>
                </m:num>
                <m:den>
                  <m:r>
                    <w:rPr>
                      <w:rFonts w:ascii="Cambria Math" w:hAnsi="Cambria Math"/>
                      <w:sz w:val="24"/>
                      <w:szCs w:val="24"/>
                    </w:rPr>
                    <m:t>365</m:t>
                  </m:r>
                </m:den>
              </m:f>
            </m:oMath>
            <w:r w:rsidRPr="000E3D4E">
              <w:rPr>
                <w:rFonts w:asciiTheme="minorHAnsi" w:hAnsiTheme="minorHAnsi"/>
                <w:iCs/>
                <w:sz w:val="24"/>
                <w:szCs w:val="24"/>
              </w:rPr>
              <w:t xml:space="preserve"> . ( To je isto kao da smo pisali I = C</w:t>
            </w:r>
            <w:r w:rsidRPr="000E3D4E">
              <w:rPr>
                <w:rFonts w:asciiTheme="minorHAnsi" w:hAnsiTheme="minorHAnsi"/>
                <w:iCs/>
                <w:sz w:val="24"/>
                <w:szCs w:val="24"/>
                <w:vertAlign w:val="subscript"/>
              </w:rPr>
              <w:t>0</w:t>
            </w:r>
            <w:r w:rsidRPr="000E3D4E">
              <w:rPr>
                <w:rFonts w:asciiTheme="minorHAnsi" w:hAnsiTheme="minorHAnsi"/>
                <w:iCs/>
                <w:sz w:val="24"/>
                <w:szCs w:val="24"/>
              </w:rPr>
              <w:t xml:space="preserve"> * </w:t>
            </w:r>
            <m:oMath>
              <m:f>
                <m:fPr>
                  <m:ctrlPr>
                    <w:rPr>
                      <w:rFonts w:ascii="Cambria Math" w:hAnsi="Cambria Math"/>
                      <w:i/>
                      <w:iCs/>
                      <w:sz w:val="24"/>
                      <w:szCs w:val="24"/>
                    </w:rPr>
                  </m:ctrlPr>
                </m:fPr>
                <m:num>
                  <m:r>
                    <w:rPr>
                      <w:rFonts w:ascii="Cambria Math" w:hAnsi="Cambria Math"/>
                      <w:sz w:val="24"/>
                      <w:szCs w:val="24"/>
                    </w:rPr>
                    <m:t>r</m:t>
                  </m:r>
                </m:num>
                <m:den>
                  <m:r>
                    <w:rPr>
                      <w:rFonts w:ascii="Cambria Math" w:hAnsi="Cambria Math"/>
                      <w:sz w:val="24"/>
                      <w:szCs w:val="24"/>
                    </w:rPr>
                    <m:t>365</m:t>
                  </m:r>
                </m:den>
              </m:f>
            </m:oMath>
            <w:r w:rsidRPr="000E3D4E">
              <w:rPr>
                <w:rFonts w:asciiTheme="minorHAnsi" w:hAnsiTheme="minorHAnsi"/>
                <w:iCs/>
                <w:sz w:val="24"/>
                <w:szCs w:val="24"/>
              </w:rPr>
              <w:t xml:space="preserve"> * d</w:t>
            </w:r>
          </w:p>
          <w:p w:rsidR="000E3D4E" w:rsidRPr="000E3D4E" w:rsidRDefault="000E3D4E" w:rsidP="000E3D4E">
            <w:pPr>
              <w:tabs>
                <w:tab w:val="left" w:pos="1575"/>
              </w:tabs>
              <w:spacing w:before="120" w:after="120"/>
              <w:jc w:val="both"/>
              <w:rPr>
                <w:rFonts w:asciiTheme="minorHAnsi" w:hAnsiTheme="minorHAnsi"/>
                <w:iCs/>
                <w:sz w:val="24"/>
                <w:szCs w:val="24"/>
              </w:rPr>
            </w:pPr>
            <w:r w:rsidRPr="000E3D4E">
              <w:rPr>
                <w:rFonts w:asciiTheme="minorHAnsi" w:hAnsiTheme="minorHAnsi"/>
                <w:iCs/>
                <w:sz w:val="24"/>
                <w:szCs w:val="24"/>
              </w:rPr>
              <w:t xml:space="preserve">gdje je </w:t>
            </w:r>
            <m:oMath>
              <m:f>
                <m:fPr>
                  <m:ctrlPr>
                    <w:rPr>
                      <w:rFonts w:ascii="Cambria Math" w:hAnsi="Cambria Math"/>
                      <w:i/>
                      <w:iCs/>
                      <w:sz w:val="24"/>
                      <w:szCs w:val="24"/>
                    </w:rPr>
                  </m:ctrlPr>
                </m:fPr>
                <m:num>
                  <m:r>
                    <w:rPr>
                      <w:rFonts w:ascii="Cambria Math" w:hAnsi="Cambria Math"/>
                      <w:sz w:val="24"/>
                      <w:szCs w:val="24"/>
                    </w:rPr>
                    <m:t>r</m:t>
                  </m:r>
                </m:num>
                <m:den>
                  <m:r>
                    <w:rPr>
                      <w:rFonts w:ascii="Cambria Math" w:hAnsi="Cambria Math"/>
                      <w:sz w:val="24"/>
                      <w:szCs w:val="24"/>
                    </w:rPr>
                    <m:t>365</m:t>
                  </m:r>
                </m:den>
              </m:f>
            </m:oMath>
            <w:r w:rsidRPr="000E3D4E">
              <w:rPr>
                <w:rFonts w:asciiTheme="minorHAnsi" w:hAnsiTheme="minorHAnsi"/>
                <w:i/>
                <w:iCs/>
                <w:sz w:val="24"/>
                <w:szCs w:val="24"/>
              </w:rPr>
              <w:t xml:space="preserve"> </w:t>
            </w:r>
            <w:r w:rsidRPr="000E3D4E">
              <w:rPr>
                <w:rFonts w:asciiTheme="minorHAnsi" w:hAnsiTheme="minorHAnsi"/>
                <w:iCs/>
                <w:sz w:val="24"/>
                <w:szCs w:val="24"/>
              </w:rPr>
              <w:t>= rr</w:t>
            </w:r>
            <w:r w:rsidRPr="000E3D4E">
              <w:rPr>
                <w:rFonts w:asciiTheme="minorHAnsi" w:hAnsiTheme="minorHAnsi"/>
                <w:iCs/>
                <w:sz w:val="24"/>
                <w:szCs w:val="24"/>
                <w:vertAlign w:val="subscript"/>
              </w:rPr>
              <w:t>d</w:t>
            </w:r>
            <w:r w:rsidRPr="000E3D4E">
              <w:rPr>
                <w:rFonts w:asciiTheme="minorHAnsi" w:hAnsiTheme="minorHAnsi"/>
                <w:iCs/>
                <w:sz w:val="24"/>
                <w:szCs w:val="24"/>
              </w:rPr>
              <w:t xml:space="preserve">.) </w:t>
            </w:r>
          </w:p>
          <w:p w:rsidR="000E3D4E" w:rsidRDefault="000E3D4E" w:rsidP="000E3D4E">
            <w:pPr>
              <w:tabs>
                <w:tab w:val="left" w:pos="1575"/>
              </w:tabs>
              <w:spacing w:before="120" w:after="120"/>
              <w:jc w:val="center"/>
              <w:rPr>
                <w:rFonts w:asciiTheme="minorHAnsi" w:hAnsiTheme="minorHAnsi"/>
              </w:rPr>
            </w:pPr>
            <w:r w:rsidRPr="000E3D4E">
              <w:rPr>
                <w:rFonts w:asciiTheme="minorHAnsi" w:hAnsiTheme="minorHAnsi"/>
                <w:iCs/>
                <w:sz w:val="24"/>
                <w:szCs w:val="24"/>
              </w:rPr>
              <w:t>I = 300.000 ∙ 0,075 ∙ 32 365 = 1.972,60 kn.</w:t>
            </w:r>
            <w:r w:rsidRPr="000E3D4E">
              <w:rPr>
                <w:rStyle w:val="Referencafusnote"/>
                <w:rFonts w:asciiTheme="minorHAnsi" w:hAnsiTheme="minorHAnsi"/>
              </w:rPr>
              <w:t xml:space="preserve"> </w:t>
            </w:r>
          </w:p>
          <w:p w:rsidR="00D87BBF" w:rsidRPr="00D87BBF" w:rsidRDefault="00D87BBF" w:rsidP="00D87BBF">
            <w:pPr>
              <w:tabs>
                <w:tab w:val="left" w:pos="1575"/>
              </w:tabs>
              <w:spacing w:before="120" w:after="120"/>
              <w:rPr>
                <w:rFonts w:asciiTheme="minorHAnsi" w:hAnsiTheme="minorHAnsi"/>
                <w:iCs/>
                <w:sz w:val="24"/>
                <w:szCs w:val="24"/>
              </w:rPr>
            </w:pPr>
            <w:r w:rsidRPr="00D87BBF">
              <w:rPr>
                <w:rFonts w:asciiTheme="minorHAnsi" w:hAnsiTheme="minorHAnsi"/>
                <w:iCs/>
                <w:sz w:val="24"/>
                <w:szCs w:val="24"/>
              </w:rPr>
              <w:t>Iako je prvi način obračuna</w:t>
            </w:r>
            <w:r>
              <w:rPr>
                <w:rFonts w:asciiTheme="minorHAnsi" w:hAnsiTheme="minorHAnsi"/>
                <w:iCs/>
                <w:sz w:val="24"/>
                <w:szCs w:val="24"/>
              </w:rPr>
              <w:t xml:space="preserve"> ispraniji s aspekta matematičkog izračuna, radi jednostavnosti praktičnije je koristit drugi način i pravila koja se uz njega vežu ovisno o primjeni u praksi a koja su dana u nastavku.</w:t>
            </w:r>
          </w:p>
          <w:p w:rsidR="000E3D4E" w:rsidRDefault="00D87BBF" w:rsidP="000E3D4E">
            <w:pPr>
              <w:tabs>
                <w:tab w:val="left" w:pos="1575"/>
              </w:tabs>
              <w:jc w:val="center"/>
              <w:rPr>
                <w:rFonts w:asciiTheme="minorHAnsi" w:hAnsiTheme="minorHAnsi"/>
                <w:bCs/>
                <w:i/>
                <w:iCs/>
                <w:color w:val="C00000"/>
                <w:sz w:val="24"/>
                <w:szCs w:val="24"/>
              </w:rPr>
            </w:pPr>
            <w:r w:rsidRPr="00D87BBF">
              <w:rPr>
                <w:noProof/>
                <w:sz w:val="24"/>
                <w:szCs w:val="24"/>
                <w:shd w:val="clear" w:color="auto" w:fill="F2F2F2" w:themeFill="background1" w:themeFillShade="F2"/>
              </w:rPr>
              <w:drawing>
                <wp:inline distT="0" distB="0" distL="0" distR="0" wp14:anchorId="20B35F3F" wp14:editId="1C59AC76">
                  <wp:extent cx="5340154" cy="5305425"/>
                  <wp:effectExtent l="0" t="0" r="0" b="0"/>
                  <wp:docPr id="16402" name="Slika 18" descr="Slik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png"/>
                          <pic:cNvPicPr/>
                        </pic:nvPicPr>
                        <pic:blipFill>
                          <a:blip r:embed="rId126" cstate="print"/>
                          <a:stretch>
                            <a:fillRect/>
                          </a:stretch>
                        </pic:blipFill>
                        <pic:spPr>
                          <a:xfrm>
                            <a:off x="0" y="0"/>
                            <a:ext cx="5338969" cy="5304248"/>
                          </a:xfrm>
                          <a:prstGeom prst="rect">
                            <a:avLst/>
                          </a:prstGeom>
                        </pic:spPr>
                      </pic:pic>
                    </a:graphicData>
                  </a:graphic>
                </wp:inline>
              </w:drawing>
            </w:r>
          </w:p>
          <w:p w:rsidR="00FE0CE9" w:rsidRDefault="00FE0CE9" w:rsidP="000E3D4E">
            <w:pPr>
              <w:tabs>
                <w:tab w:val="left" w:pos="1575"/>
              </w:tabs>
              <w:jc w:val="center"/>
              <w:rPr>
                <w:rFonts w:asciiTheme="minorHAnsi" w:hAnsiTheme="minorHAnsi"/>
                <w:bCs/>
                <w:i/>
                <w:iCs/>
                <w:color w:val="C00000"/>
                <w:sz w:val="24"/>
                <w:szCs w:val="24"/>
              </w:rPr>
            </w:pPr>
          </w:p>
          <w:p w:rsidR="00FE0CE9" w:rsidRDefault="00FE0CE9" w:rsidP="000E3D4E">
            <w:pPr>
              <w:tabs>
                <w:tab w:val="left" w:pos="1575"/>
              </w:tabs>
              <w:jc w:val="center"/>
            </w:pPr>
            <w:r>
              <w:rPr>
                <w:rFonts w:asciiTheme="minorHAnsi" w:eastAsiaTheme="minorHAnsi" w:hAnsiTheme="minorHAnsi" w:cstheme="minorBidi"/>
                <w:sz w:val="22"/>
                <w:szCs w:val="22"/>
                <w:lang w:eastAsia="en-US"/>
              </w:rPr>
              <w:object w:dxaOrig="7395" w:dyaOrig="1110">
                <v:shape id="_x0000_i1047" type="#_x0000_t75" style="width:369.75pt;height:55.5pt" o:ole="">
                  <v:imagedata r:id="rId127" o:title=""/>
                </v:shape>
                <o:OLEObject Type="Embed" ProgID="PBrush" ShapeID="_x0000_i1047" DrawAspect="Content" ObjectID="_1505681375" r:id="rId128"/>
              </w:object>
            </w:r>
          </w:p>
          <w:p w:rsidR="00FE0CE9" w:rsidRPr="000E3D4E" w:rsidRDefault="00FE0CE9" w:rsidP="000E3D4E">
            <w:pPr>
              <w:tabs>
                <w:tab w:val="left" w:pos="1575"/>
              </w:tabs>
              <w:jc w:val="center"/>
              <w:rPr>
                <w:rFonts w:asciiTheme="minorHAnsi" w:hAnsiTheme="minorHAnsi"/>
                <w:bCs/>
                <w:i/>
                <w:iCs/>
                <w:color w:val="C00000"/>
                <w:sz w:val="24"/>
                <w:szCs w:val="24"/>
              </w:rPr>
            </w:pPr>
          </w:p>
        </w:tc>
      </w:tr>
      <w:tr w:rsidR="000E3D4E" w:rsidTr="000E3D4E">
        <w:tc>
          <w:tcPr>
            <w:tcW w:w="9288" w:type="dxa"/>
          </w:tcPr>
          <w:p w:rsidR="000E3D4E" w:rsidRDefault="008605BC" w:rsidP="001A23EC">
            <w:pPr>
              <w:tabs>
                <w:tab w:val="left" w:pos="1575"/>
              </w:tabs>
              <w:spacing w:before="120" w:after="120"/>
              <w:jc w:val="both"/>
              <w:rPr>
                <w:bCs/>
                <w:i/>
                <w:iCs/>
                <w:color w:val="C00000"/>
                <w:sz w:val="24"/>
                <w:szCs w:val="24"/>
              </w:rPr>
            </w:pPr>
            <w:r>
              <w:rPr>
                <w:rFonts w:asciiTheme="minorHAnsi" w:hAnsiTheme="minorHAnsi"/>
                <w:noProof/>
              </w:rPr>
              <w:lastRenderedPageBreak/>
              <w:t xml:space="preserve">* </w:t>
            </w:r>
            <w:r w:rsidR="001A23EC">
              <w:rPr>
                <w:rFonts w:asciiTheme="minorHAnsi" w:hAnsiTheme="minorHAnsi"/>
                <w:noProof/>
              </w:rPr>
              <w:t>Cjelokupni tekst pr</w:t>
            </w:r>
            <w:r w:rsidR="001A23EC" w:rsidRPr="00240640">
              <w:rPr>
                <w:rFonts w:asciiTheme="minorHAnsi" w:hAnsiTheme="minorHAnsi"/>
                <w:noProof/>
              </w:rPr>
              <w:t>reuzet iz</w:t>
            </w:r>
            <w:r w:rsidR="000E3D4E" w:rsidRPr="00240640">
              <w:rPr>
                <w:rFonts w:asciiTheme="minorHAnsi" w:hAnsiTheme="minorHAnsi"/>
                <w:noProof/>
              </w:rPr>
              <w:t>: Ivanov, M.; Maroshi, V. (2014.) „Bankarstvo i osiguranje“, radna bilježnica za treći razred srednje ekonomske škole,  Alka Script, 2014.</w:t>
            </w:r>
          </w:p>
        </w:tc>
      </w:tr>
      <w:tr w:rsidR="009365CB" w:rsidTr="009365CB">
        <w:tc>
          <w:tcPr>
            <w:tcW w:w="9288" w:type="dxa"/>
          </w:tcPr>
          <w:p w:rsidR="009365CB" w:rsidRDefault="009365CB" w:rsidP="00C87686">
            <w:pPr>
              <w:jc w:val="center"/>
              <w:rPr>
                <w:bCs/>
                <w:i/>
                <w:iCs/>
                <w:color w:val="C00000"/>
                <w:sz w:val="24"/>
                <w:szCs w:val="24"/>
              </w:rPr>
            </w:pPr>
            <w:r>
              <w:rPr>
                <w:iCs/>
                <w:noProof/>
                <w:sz w:val="24"/>
                <w:szCs w:val="24"/>
              </w:rPr>
              <w:lastRenderedPageBreak/>
              <w:drawing>
                <wp:inline distT="0" distB="0" distL="0" distR="0" wp14:anchorId="3739E3AA" wp14:editId="42DFBE75">
                  <wp:extent cx="5334000" cy="3238500"/>
                  <wp:effectExtent l="0" t="0" r="0" b="0"/>
                  <wp:docPr id="16404" name="Slika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34000" cy="3238500"/>
                          </a:xfrm>
                          <a:prstGeom prst="rect">
                            <a:avLst/>
                          </a:prstGeom>
                          <a:noFill/>
                          <a:ln>
                            <a:noFill/>
                          </a:ln>
                        </pic:spPr>
                      </pic:pic>
                    </a:graphicData>
                  </a:graphic>
                </wp:inline>
              </w:drawing>
            </w:r>
          </w:p>
          <w:p w:rsidR="009365CB" w:rsidRDefault="009365CB" w:rsidP="00C87686">
            <w:pPr>
              <w:jc w:val="center"/>
              <w:rPr>
                <w:bCs/>
                <w:i/>
                <w:iCs/>
                <w:color w:val="C00000"/>
                <w:sz w:val="24"/>
                <w:szCs w:val="24"/>
              </w:rPr>
            </w:pPr>
            <w:r>
              <w:rPr>
                <w:iCs/>
                <w:noProof/>
                <w:sz w:val="24"/>
                <w:szCs w:val="24"/>
              </w:rPr>
              <w:drawing>
                <wp:inline distT="0" distB="0" distL="0" distR="0" wp14:anchorId="1C9A7635" wp14:editId="6CB591B7">
                  <wp:extent cx="5353050" cy="504825"/>
                  <wp:effectExtent l="0" t="0" r="0" b="9525"/>
                  <wp:docPr id="16405" name="Slika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504825"/>
                          </a:xfrm>
                          <a:prstGeom prst="rect">
                            <a:avLst/>
                          </a:prstGeom>
                          <a:noFill/>
                          <a:ln>
                            <a:noFill/>
                          </a:ln>
                        </pic:spPr>
                      </pic:pic>
                    </a:graphicData>
                  </a:graphic>
                </wp:inline>
              </w:drawing>
            </w:r>
          </w:p>
          <w:p w:rsidR="009365CB" w:rsidRDefault="009365CB" w:rsidP="00C87686">
            <w:pPr>
              <w:jc w:val="center"/>
              <w:rPr>
                <w:bCs/>
                <w:i/>
                <w:iCs/>
                <w:color w:val="C00000"/>
                <w:sz w:val="24"/>
                <w:szCs w:val="24"/>
              </w:rPr>
            </w:pPr>
            <w:r>
              <w:rPr>
                <w:iCs/>
                <w:noProof/>
                <w:sz w:val="24"/>
                <w:szCs w:val="24"/>
              </w:rPr>
              <w:drawing>
                <wp:inline distT="0" distB="0" distL="0" distR="0" wp14:anchorId="0CA3F7BE" wp14:editId="0963FAD6">
                  <wp:extent cx="5334000" cy="2453640"/>
                  <wp:effectExtent l="0" t="0" r="0" b="3810"/>
                  <wp:docPr id="16407" name="Slika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43663" cy="2458085"/>
                          </a:xfrm>
                          <a:prstGeom prst="rect">
                            <a:avLst/>
                          </a:prstGeom>
                          <a:noFill/>
                          <a:ln>
                            <a:noFill/>
                          </a:ln>
                        </pic:spPr>
                      </pic:pic>
                    </a:graphicData>
                  </a:graphic>
                </wp:inline>
              </w:drawing>
            </w:r>
          </w:p>
          <w:p w:rsidR="009365CB" w:rsidRDefault="009365CB" w:rsidP="001A49C2">
            <w:pPr>
              <w:rPr>
                <w:bCs/>
                <w:i/>
                <w:iCs/>
                <w:color w:val="C00000"/>
                <w:sz w:val="24"/>
                <w:szCs w:val="24"/>
              </w:rPr>
            </w:pPr>
          </w:p>
          <w:p w:rsidR="009365CB" w:rsidRDefault="009365CB" w:rsidP="009365CB">
            <w:pPr>
              <w:rPr>
                <w:sz w:val="24"/>
                <w:szCs w:val="24"/>
              </w:rPr>
            </w:pPr>
            <w:r w:rsidRPr="001A49C2">
              <w:rPr>
                <w:bCs/>
                <w:i/>
                <w:iCs/>
                <w:color w:val="C00000"/>
                <w:sz w:val="24"/>
                <w:szCs w:val="24"/>
              </w:rPr>
              <w:t>Primjer:</w:t>
            </w:r>
            <w:r w:rsidRPr="001A49C2">
              <w:rPr>
                <w:b/>
                <w:bCs/>
                <w:i/>
                <w:iCs/>
                <w:color w:val="C00000"/>
                <w:sz w:val="24"/>
                <w:szCs w:val="24"/>
              </w:rPr>
              <w:t xml:space="preserve"> </w:t>
            </w:r>
            <w:r w:rsidRPr="001A49C2">
              <w:rPr>
                <w:sz w:val="24"/>
                <w:szCs w:val="24"/>
              </w:rPr>
              <w:t>Na tekućem računu nalazi se depozit u iznosu od 1.125,00 kuna, a kamatna stopa je 0,5 % godišnje. Izračunajte dnevne kamate primjenom konformne metode uz dekurzivni obračun kamata.</w:t>
            </w:r>
            <w:r w:rsidRPr="001A49C2">
              <w:rPr>
                <w:noProof/>
                <w:sz w:val="24"/>
                <w:szCs w:val="24"/>
              </w:rPr>
              <w:drawing>
                <wp:inline distT="0" distB="0" distL="0" distR="0" wp14:anchorId="5B9A89CE" wp14:editId="52A5882A">
                  <wp:extent cx="5762625" cy="733425"/>
                  <wp:effectExtent l="19050" t="0" r="0" b="0"/>
                  <wp:docPr id="16390" name="Slika 21" descr="Slika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png"/>
                          <pic:cNvPicPr/>
                        </pic:nvPicPr>
                        <pic:blipFill>
                          <a:blip r:embed="rId132" cstate="print"/>
                          <a:stretch>
                            <a:fillRect/>
                          </a:stretch>
                        </pic:blipFill>
                        <pic:spPr>
                          <a:xfrm>
                            <a:off x="0" y="0"/>
                            <a:ext cx="5760720" cy="733183"/>
                          </a:xfrm>
                          <a:prstGeom prst="rect">
                            <a:avLst/>
                          </a:prstGeom>
                        </pic:spPr>
                      </pic:pic>
                    </a:graphicData>
                  </a:graphic>
                </wp:inline>
              </w:drawing>
            </w:r>
          </w:p>
          <w:p w:rsidR="009365CB" w:rsidRDefault="009365CB" w:rsidP="009365CB">
            <w:pPr>
              <w:rPr>
                <w:bCs/>
                <w:i/>
                <w:iCs/>
                <w:color w:val="C00000"/>
                <w:sz w:val="24"/>
                <w:szCs w:val="24"/>
              </w:rPr>
            </w:pPr>
          </w:p>
        </w:tc>
      </w:tr>
      <w:tr w:rsidR="009365CB" w:rsidTr="009365CB">
        <w:tc>
          <w:tcPr>
            <w:tcW w:w="9288" w:type="dxa"/>
          </w:tcPr>
          <w:p w:rsidR="009365CB" w:rsidRDefault="008605BC" w:rsidP="001A23EC">
            <w:pPr>
              <w:rPr>
                <w:bCs/>
                <w:i/>
                <w:iCs/>
                <w:color w:val="C00000"/>
                <w:sz w:val="24"/>
                <w:szCs w:val="24"/>
              </w:rPr>
            </w:pPr>
            <w:r>
              <w:rPr>
                <w:rFonts w:asciiTheme="minorHAnsi" w:hAnsiTheme="minorHAnsi"/>
                <w:noProof/>
              </w:rPr>
              <w:t xml:space="preserve">* </w:t>
            </w:r>
            <w:r w:rsidR="001A23EC">
              <w:rPr>
                <w:rFonts w:asciiTheme="minorHAnsi" w:hAnsiTheme="minorHAnsi"/>
                <w:noProof/>
              </w:rPr>
              <w:t>Cjelokupni tekst pr</w:t>
            </w:r>
            <w:r w:rsidR="001A23EC" w:rsidRPr="00240640">
              <w:rPr>
                <w:rFonts w:asciiTheme="minorHAnsi" w:hAnsiTheme="minorHAnsi"/>
                <w:noProof/>
              </w:rPr>
              <w:t>reuzet iz</w:t>
            </w:r>
            <w:r w:rsidR="001A23EC">
              <w:rPr>
                <w:rFonts w:asciiTheme="minorHAnsi" w:hAnsiTheme="minorHAnsi"/>
                <w:noProof/>
              </w:rPr>
              <w:t>: Ivan</w:t>
            </w:r>
            <w:r w:rsidR="009365CB" w:rsidRPr="00240640">
              <w:rPr>
                <w:rFonts w:asciiTheme="minorHAnsi" w:hAnsiTheme="minorHAnsi"/>
                <w:noProof/>
              </w:rPr>
              <w:t>ov, M.; Maroshi, V. (2014.) „Bankarstvo i osiguranje“, radna bilježnica za treći razred srednje ekonomske škole,  Alka Script, 2014.</w:t>
            </w:r>
            <w:r w:rsidR="00C87686">
              <w:rPr>
                <w:rFonts w:asciiTheme="minorHAnsi" w:hAnsiTheme="minorHAnsi"/>
                <w:noProof/>
              </w:rPr>
              <w:t xml:space="preserve"> </w:t>
            </w:r>
            <w:r w:rsidR="00C87686" w:rsidRPr="00240640">
              <w:rPr>
                <w:rFonts w:asciiTheme="minorHAnsi" w:hAnsiTheme="minorHAnsi"/>
                <w:noProof/>
              </w:rPr>
              <w:t>U izradi radne bilježnice korišena su objašnjenja iz udžbenika „Matematika“, autora Šego, B. (izdvač Neodidakta, 1998.)</w:t>
            </w:r>
          </w:p>
        </w:tc>
      </w:tr>
    </w:tbl>
    <w:p w:rsidR="001E2856" w:rsidRPr="00A02AD5" w:rsidRDefault="001E2856" w:rsidP="00A02AD5">
      <w:pPr>
        <w:spacing w:before="240"/>
        <w:jc w:val="both"/>
        <w:rPr>
          <w:rFonts w:cs="Times New Roman"/>
          <w:sz w:val="24"/>
          <w:szCs w:val="24"/>
        </w:rPr>
      </w:pPr>
      <w:r>
        <w:rPr>
          <w:rFonts w:cs="Times New Roman"/>
          <w:sz w:val="24"/>
          <w:szCs w:val="24"/>
        </w:rPr>
        <w:lastRenderedPageBreak/>
        <w:t>Ovisno o vrsti financijskog instrumenta primjenjuju se različiti načini i metode obračuna kamata. Dodatno razlike mogu postojati i između banaka u jednoj zemlji u odnosu na bank</w:t>
      </w:r>
      <w:r w:rsidR="00E31F29">
        <w:rPr>
          <w:rFonts w:cs="Times New Roman"/>
          <w:sz w:val="24"/>
          <w:szCs w:val="24"/>
        </w:rPr>
        <w:t>e</w:t>
      </w:r>
      <w:r>
        <w:rPr>
          <w:rFonts w:cs="Times New Roman"/>
          <w:sz w:val="24"/>
          <w:szCs w:val="24"/>
        </w:rPr>
        <w:t xml:space="preserve"> </w:t>
      </w:r>
      <w:r w:rsidRPr="00A02AD5">
        <w:rPr>
          <w:rFonts w:cs="Times New Roman"/>
          <w:sz w:val="24"/>
          <w:szCs w:val="24"/>
        </w:rPr>
        <w:t xml:space="preserve">u drugoj zemlji. Na primjer u pojedinim zemljama se na oročene depozite primjenjuje jednostavni kamatni račun i proporcionalna metoda, a u drugima </w:t>
      </w:r>
      <w:r w:rsidR="00824007" w:rsidRPr="00A02AD5">
        <w:rPr>
          <w:rFonts w:cs="Times New Roman"/>
          <w:sz w:val="24"/>
          <w:szCs w:val="24"/>
        </w:rPr>
        <w:t xml:space="preserve">(npr. Hrvatskoj) </w:t>
      </w:r>
      <w:r w:rsidRPr="00A02AD5">
        <w:rPr>
          <w:rFonts w:cs="Times New Roman"/>
          <w:sz w:val="24"/>
          <w:szCs w:val="24"/>
        </w:rPr>
        <w:t>složeni kamatni račun i konformna metoda</w:t>
      </w:r>
      <w:r w:rsidR="00824007" w:rsidRPr="00A02AD5">
        <w:rPr>
          <w:rFonts w:cs="Times New Roman"/>
          <w:sz w:val="24"/>
          <w:szCs w:val="24"/>
        </w:rPr>
        <w:t xml:space="preserve">. </w:t>
      </w:r>
      <w:r w:rsidRPr="00A02AD5">
        <w:rPr>
          <w:rFonts w:cs="Times New Roman"/>
          <w:sz w:val="24"/>
          <w:szCs w:val="24"/>
        </w:rPr>
        <w:t>Primjer</w:t>
      </w:r>
      <w:r w:rsidR="00AB61B4" w:rsidRPr="00A02AD5">
        <w:rPr>
          <w:rFonts w:cs="Times New Roman"/>
          <w:sz w:val="24"/>
          <w:szCs w:val="24"/>
        </w:rPr>
        <w:t>i</w:t>
      </w:r>
      <w:r w:rsidRPr="00A02AD5">
        <w:rPr>
          <w:rFonts w:cs="Times New Roman"/>
          <w:sz w:val="24"/>
          <w:szCs w:val="24"/>
        </w:rPr>
        <w:t xml:space="preserve"> složenog kamatnog računa slijed</w:t>
      </w:r>
      <w:r w:rsidR="00AB61B4" w:rsidRPr="00A02AD5">
        <w:rPr>
          <w:rFonts w:cs="Times New Roman"/>
          <w:sz w:val="24"/>
          <w:szCs w:val="24"/>
        </w:rPr>
        <w:t>e</w:t>
      </w:r>
      <w:r w:rsidRPr="00A02AD5">
        <w:rPr>
          <w:rFonts w:cs="Times New Roman"/>
          <w:sz w:val="24"/>
          <w:szCs w:val="24"/>
        </w:rPr>
        <w:t xml:space="preserve"> nakon opisa </w:t>
      </w:r>
      <w:r w:rsidR="007B51BA" w:rsidRPr="00A02AD5">
        <w:rPr>
          <w:rFonts w:cs="Times New Roman"/>
          <w:sz w:val="24"/>
          <w:szCs w:val="24"/>
        </w:rPr>
        <w:t>štedn</w:t>
      </w:r>
      <w:r w:rsidR="00AB61B4" w:rsidRPr="00A02AD5">
        <w:rPr>
          <w:rFonts w:cs="Times New Roman"/>
          <w:sz w:val="24"/>
          <w:szCs w:val="24"/>
        </w:rPr>
        <w:t>ih proizvoda banaka</w:t>
      </w:r>
      <w:r w:rsidRPr="00A02AD5">
        <w:rPr>
          <w:rFonts w:cs="Times New Roman"/>
          <w:sz w:val="24"/>
          <w:szCs w:val="24"/>
        </w:rPr>
        <w:t xml:space="preserve">. </w:t>
      </w:r>
    </w:p>
    <w:p w:rsidR="00D26479" w:rsidRPr="00A02AD5" w:rsidRDefault="00E31F29" w:rsidP="00383864">
      <w:pPr>
        <w:spacing w:before="240"/>
        <w:rPr>
          <w:rFonts w:cs="Times New Roman"/>
          <w:b/>
          <w:sz w:val="24"/>
          <w:szCs w:val="24"/>
        </w:rPr>
      </w:pPr>
      <w:r w:rsidRPr="00A02AD5">
        <w:rPr>
          <w:rFonts w:cs="Times New Roman"/>
          <w:b/>
          <w:sz w:val="24"/>
          <w:szCs w:val="24"/>
        </w:rPr>
        <w:t>3.1</w:t>
      </w:r>
      <w:r w:rsidR="0093356A">
        <w:rPr>
          <w:rFonts w:cs="Times New Roman"/>
          <w:b/>
          <w:sz w:val="24"/>
          <w:szCs w:val="24"/>
        </w:rPr>
        <w:t>3</w:t>
      </w:r>
      <w:r w:rsidRPr="00A02AD5">
        <w:rPr>
          <w:rFonts w:cs="Times New Roman"/>
          <w:b/>
          <w:sz w:val="24"/>
          <w:szCs w:val="24"/>
        </w:rPr>
        <w:t xml:space="preserve">. </w:t>
      </w:r>
      <w:r w:rsidR="00D26479" w:rsidRPr="00A02AD5">
        <w:rPr>
          <w:rFonts w:cs="Times New Roman"/>
          <w:b/>
          <w:sz w:val="24"/>
          <w:szCs w:val="24"/>
        </w:rPr>
        <w:t>Štedn</w:t>
      </w:r>
      <w:r w:rsidR="00824007" w:rsidRPr="00A02AD5">
        <w:rPr>
          <w:rFonts w:cs="Times New Roman"/>
          <w:b/>
          <w:sz w:val="24"/>
          <w:szCs w:val="24"/>
        </w:rPr>
        <w:t xml:space="preserve">i proizvodi banaka </w:t>
      </w:r>
    </w:p>
    <w:p w:rsidR="00D26479" w:rsidRPr="00A02AD5" w:rsidRDefault="00D26479" w:rsidP="00607C62">
      <w:pPr>
        <w:pStyle w:val="Default"/>
        <w:spacing w:line="276" w:lineRule="auto"/>
        <w:jc w:val="both"/>
        <w:rPr>
          <w:rFonts w:asciiTheme="minorHAnsi" w:hAnsiTheme="minorHAnsi" w:cs="Times New Roman"/>
          <w:color w:val="auto"/>
        </w:rPr>
      </w:pPr>
      <w:r w:rsidRPr="00A02AD5">
        <w:rPr>
          <w:rFonts w:asciiTheme="minorHAnsi" w:hAnsiTheme="minorHAnsi" w:cs="Times New Roman"/>
          <w:color w:val="auto"/>
        </w:rPr>
        <w:t xml:space="preserve">Viškovi novčanih sredstva mogu se uložiti u različite oblike </w:t>
      </w:r>
      <w:r w:rsidR="00E31F29" w:rsidRPr="00A02AD5">
        <w:rPr>
          <w:rFonts w:asciiTheme="minorHAnsi" w:hAnsiTheme="minorHAnsi" w:cs="Times New Roman"/>
          <w:color w:val="auto"/>
        </w:rPr>
        <w:t xml:space="preserve">financijske </w:t>
      </w:r>
      <w:r w:rsidRPr="00A02AD5">
        <w:rPr>
          <w:rFonts w:asciiTheme="minorHAnsi" w:hAnsiTheme="minorHAnsi" w:cs="Times New Roman"/>
          <w:color w:val="auto"/>
        </w:rPr>
        <w:t>imovine</w:t>
      </w:r>
      <w:r w:rsidR="00E31F29" w:rsidRPr="00A02AD5">
        <w:rPr>
          <w:rFonts w:asciiTheme="minorHAnsi" w:hAnsiTheme="minorHAnsi" w:cs="Times New Roman"/>
          <w:color w:val="auto"/>
        </w:rPr>
        <w:t xml:space="preserve"> uključujući: </w:t>
      </w:r>
    </w:p>
    <w:p w:rsidR="00D26479" w:rsidRPr="00A02AD5" w:rsidRDefault="00E31F29" w:rsidP="006F1C04">
      <w:pPr>
        <w:pStyle w:val="Default"/>
        <w:numPr>
          <w:ilvl w:val="0"/>
          <w:numId w:val="38"/>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one koji su </w:t>
      </w:r>
      <w:r w:rsidR="00D26479" w:rsidRPr="00A02AD5">
        <w:rPr>
          <w:rFonts w:asciiTheme="minorHAnsi" w:hAnsiTheme="minorHAnsi" w:cs="Times New Roman"/>
          <w:color w:val="auto"/>
        </w:rPr>
        <w:t xml:space="preserve">u </w:t>
      </w:r>
      <w:r w:rsidR="00D26479" w:rsidRPr="00A02AD5">
        <w:rPr>
          <w:rFonts w:asciiTheme="minorHAnsi" w:hAnsiTheme="minorHAnsi" w:cs="Times New Roman"/>
          <w:color w:val="C00000"/>
        </w:rPr>
        <w:t xml:space="preserve">funkciji štednje </w:t>
      </w:r>
      <w:r w:rsidR="00D26479" w:rsidRPr="00A02AD5">
        <w:rPr>
          <w:rFonts w:asciiTheme="minorHAnsi" w:hAnsiTheme="minorHAnsi" w:cs="Times New Roman"/>
          <w:color w:val="auto"/>
        </w:rPr>
        <w:t>(na primjer oročeni depoziti</w:t>
      </w:r>
      <w:r w:rsidR="00824007" w:rsidRPr="00A02AD5">
        <w:rPr>
          <w:rFonts w:asciiTheme="minorHAnsi" w:hAnsiTheme="minorHAnsi" w:cs="Times New Roman"/>
          <w:color w:val="auto"/>
        </w:rPr>
        <w:t xml:space="preserve"> banaka i stambenih štedionica</w:t>
      </w:r>
      <w:r w:rsidR="00060663">
        <w:rPr>
          <w:rFonts w:asciiTheme="minorHAnsi" w:hAnsiTheme="minorHAnsi" w:cs="Times New Roman"/>
          <w:color w:val="auto"/>
        </w:rPr>
        <w:t>, udjeli u novčanim fondovima, dobrovoljnim mirovinskim fondovima …</w:t>
      </w:r>
      <w:r w:rsidR="00D26479" w:rsidRPr="00A02AD5">
        <w:rPr>
          <w:rFonts w:asciiTheme="minorHAnsi" w:hAnsiTheme="minorHAnsi" w:cs="Times New Roman"/>
          <w:color w:val="auto"/>
        </w:rPr>
        <w:t>)</w:t>
      </w:r>
      <w:r w:rsidRPr="00A02AD5">
        <w:rPr>
          <w:rFonts w:asciiTheme="minorHAnsi" w:hAnsiTheme="minorHAnsi" w:cs="Times New Roman"/>
          <w:color w:val="auto"/>
        </w:rPr>
        <w:t xml:space="preserve"> i </w:t>
      </w:r>
    </w:p>
    <w:p w:rsidR="00D26479" w:rsidRPr="00A02AD5" w:rsidRDefault="00E31F29" w:rsidP="006F1C04">
      <w:pPr>
        <w:pStyle w:val="Default"/>
        <w:numPr>
          <w:ilvl w:val="0"/>
          <w:numId w:val="38"/>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i druge koji su </w:t>
      </w:r>
      <w:r w:rsidR="00D26479" w:rsidRPr="00A02AD5">
        <w:rPr>
          <w:rFonts w:asciiTheme="minorHAnsi" w:hAnsiTheme="minorHAnsi" w:cs="Times New Roman"/>
          <w:color w:val="auto"/>
        </w:rPr>
        <w:t xml:space="preserve">u </w:t>
      </w:r>
      <w:r w:rsidR="00D26479" w:rsidRPr="00A02AD5">
        <w:rPr>
          <w:rFonts w:asciiTheme="minorHAnsi" w:hAnsiTheme="minorHAnsi" w:cs="Times New Roman"/>
          <w:color w:val="C00000"/>
        </w:rPr>
        <w:t xml:space="preserve">funkciji financijskih investicija </w:t>
      </w:r>
      <w:r w:rsidR="00D26479" w:rsidRPr="00A02AD5">
        <w:rPr>
          <w:rFonts w:asciiTheme="minorHAnsi" w:hAnsiTheme="minorHAnsi" w:cs="Times New Roman"/>
          <w:color w:val="auto"/>
        </w:rPr>
        <w:t>(na primjer dionice određenog poduzeća</w:t>
      </w:r>
      <w:r w:rsidR="00824007" w:rsidRPr="00A02AD5">
        <w:rPr>
          <w:rFonts w:asciiTheme="minorHAnsi" w:hAnsiTheme="minorHAnsi" w:cs="Times New Roman"/>
          <w:color w:val="auto"/>
        </w:rPr>
        <w:t>, državne obveznice itd.)</w:t>
      </w:r>
    </w:p>
    <w:p w:rsidR="00D26479" w:rsidRPr="00A02AD5" w:rsidRDefault="00E31F29" w:rsidP="00607C62">
      <w:pPr>
        <w:pStyle w:val="Default"/>
        <w:spacing w:before="240" w:line="276" w:lineRule="auto"/>
        <w:jc w:val="both"/>
        <w:rPr>
          <w:rFonts w:asciiTheme="minorHAnsi" w:hAnsiTheme="minorHAnsi" w:cs="Times New Roman"/>
          <w:color w:val="auto"/>
        </w:rPr>
      </w:pPr>
      <w:r w:rsidRPr="00A02AD5">
        <w:rPr>
          <w:rFonts w:asciiTheme="minorHAnsi" w:hAnsiTheme="minorHAnsi" w:cs="Times New Roman"/>
          <w:color w:val="auto"/>
        </w:rPr>
        <w:t>Da bi određena imovina bila u funkciji štednje treba zadovoljiti sljedeća</w:t>
      </w:r>
      <w:r w:rsidR="00D26479" w:rsidRPr="00A02AD5">
        <w:rPr>
          <w:rFonts w:asciiTheme="minorHAnsi" w:hAnsiTheme="minorHAnsi" w:cs="Times New Roman"/>
          <w:color w:val="auto"/>
        </w:rPr>
        <w:t xml:space="preserve"> obilježja:</w:t>
      </w:r>
    </w:p>
    <w:p w:rsidR="00D26479" w:rsidRPr="00A02AD5" w:rsidRDefault="00D26479" w:rsidP="006F1C04">
      <w:pPr>
        <w:pStyle w:val="Default"/>
        <w:numPr>
          <w:ilvl w:val="0"/>
          <w:numId w:val="39"/>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donosi određeni prihod od ulaganja (na primjer kamate) kao nagradu za odustajanje od tekuće potrošnje;</w:t>
      </w:r>
    </w:p>
    <w:p w:rsidR="00D26479" w:rsidRPr="00A02AD5" w:rsidRDefault="00D26479" w:rsidP="006F1C04">
      <w:pPr>
        <w:pStyle w:val="Default"/>
        <w:numPr>
          <w:ilvl w:val="0"/>
          <w:numId w:val="39"/>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kroz proces </w:t>
      </w:r>
      <w:r w:rsidRPr="000B027D">
        <w:rPr>
          <w:rFonts w:asciiTheme="minorHAnsi" w:hAnsiTheme="minorHAnsi" w:cs="Times New Roman"/>
          <w:color w:val="C00000"/>
        </w:rPr>
        <w:t>kapitalizacije</w:t>
      </w:r>
      <w:r w:rsidRPr="00A02AD5">
        <w:rPr>
          <w:rFonts w:asciiTheme="minorHAnsi" w:hAnsiTheme="minorHAnsi" w:cs="Times New Roman"/>
          <w:color w:val="auto"/>
        </w:rPr>
        <w:t xml:space="preserve"> (ukamaćivanja) pruža djelomičnu ili potpunu zaštitu realne vrijednost ušteđevine od nepovoljnog djelovanja inflacije;</w:t>
      </w:r>
    </w:p>
    <w:p w:rsidR="00D26479" w:rsidRPr="00A02AD5" w:rsidRDefault="00D26479" w:rsidP="006F1C04">
      <w:pPr>
        <w:pStyle w:val="Default"/>
        <w:numPr>
          <w:ilvl w:val="0"/>
          <w:numId w:val="39"/>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zadovoljava osobne preferencije štediše; </w:t>
      </w:r>
    </w:p>
    <w:p w:rsidR="00D26479" w:rsidRPr="00A02AD5" w:rsidRDefault="00D26479" w:rsidP="006F1C04">
      <w:pPr>
        <w:pStyle w:val="Default"/>
        <w:numPr>
          <w:ilvl w:val="0"/>
          <w:numId w:val="39"/>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predstavlja </w:t>
      </w:r>
      <w:r w:rsidRPr="000B027D">
        <w:rPr>
          <w:rFonts w:asciiTheme="minorHAnsi" w:hAnsiTheme="minorHAnsi" w:cs="Times New Roman"/>
          <w:color w:val="C00000"/>
        </w:rPr>
        <w:t>niskorizičan</w:t>
      </w:r>
      <w:r w:rsidRPr="00A02AD5">
        <w:rPr>
          <w:rFonts w:asciiTheme="minorHAnsi" w:hAnsiTheme="minorHAnsi" w:cs="Times New Roman"/>
          <w:color w:val="auto"/>
        </w:rPr>
        <w:t xml:space="preserve"> oblik ulaganja;</w:t>
      </w:r>
    </w:p>
    <w:p w:rsidR="00D26479" w:rsidRPr="00A02AD5" w:rsidRDefault="00D26479" w:rsidP="006F1C04">
      <w:pPr>
        <w:pStyle w:val="Default"/>
        <w:numPr>
          <w:ilvl w:val="0"/>
          <w:numId w:val="39"/>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i ima visok stupanj likvidnosti, u smislu sposobnosti brzog i lakog pretvaranja štedne imovine u novac, bez gubitaka i troškova. </w:t>
      </w:r>
    </w:p>
    <w:p w:rsidR="00D26479" w:rsidRPr="00A02AD5" w:rsidRDefault="00E31F29" w:rsidP="00607C62">
      <w:pPr>
        <w:pStyle w:val="Default"/>
        <w:spacing w:before="240" w:line="276" w:lineRule="auto"/>
        <w:jc w:val="both"/>
        <w:rPr>
          <w:rFonts w:asciiTheme="minorHAnsi" w:hAnsiTheme="minorHAnsi" w:cs="Times New Roman"/>
          <w:color w:val="auto"/>
        </w:rPr>
      </w:pPr>
      <w:r w:rsidRPr="000B027D">
        <w:rPr>
          <w:rFonts w:asciiTheme="minorHAnsi" w:hAnsiTheme="minorHAnsi" w:cs="Times New Roman"/>
          <w:color w:val="auto"/>
        </w:rPr>
        <w:t xml:space="preserve">Oblici financijske imovine koja zadovoljava ove kriterije </w:t>
      </w:r>
      <w:r w:rsidR="00060663">
        <w:rPr>
          <w:rFonts w:asciiTheme="minorHAnsi" w:hAnsiTheme="minorHAnsi" w:cs="Times New Roman"/>
          <w:color w:val="auto"/>
        </w:rPr>
        <w:t xml:space="preserve">nazivaju se </w:t>
      </w:r>
      <w:r w:rsidR="00060663" w:rsidRPr="00060663">
        <w:rPr>
          <w:rFonts w:asciiTheme="minorHAnsi" w:hAnsiTheme="minorHAnsi" w:cs="Times New Roman"/>
          <w:color w:val="C00000"/>
        </w:rPr>
        <w:t>štedno-ulagački oblici imovine</w:t>
      </w:r>
      <w:r w:rsidR="00060663">
        <w:rPr>
          <w:rFonts w:asciiTheme="minorHAnsi" w:hAnsiTheme="minorHAnsi" w:cs="Times New Roman"/>
          <w:color w:val="auto"/>
        </w:rPr>
        <w:t xml:space="preserve">, a to </w:t>
      </w:r>
      <w:r w:rsidRPr="000B027D">
        <w:rPr>
          <w:rFonts w:asciiTheme="minorHAnsi" w:hAnsiTheme="minorHAnsi" w:cs="Times New Roman"/>
          <w:color w:val="auto"/>
        </w:rPr>
        <w:t>su</w:t>
      </w:r>
      <w:r w:rsidRPr="00A02AD5">
        <w:rPr>
          <w:rFonts w:asciiTheme="minorHAnsi" w:hAnsiTheme="minorHAnsi" w:cs="Times New Roman"/>
          <w:color w:val="auto"/>
        </w:rPr>
        <w:t>: oročeni depoziti kod banaka, stambena štednja, životno osiguranje s obilježjima štednje, dobrovoljno mirovinsko osiguranje i ulaganje u otvorene investicijske fondove s javnom ponudom</w:t>
      </w:r>
      <w:r w:rsidR="00AB61B4" w:rsidRPr="00A02AD5">
        <w:rPr>
          <w:rFonts w:asciiTheme="minorHAnsi" w:hAnsiTheme="minorHAnsi" w:cs="Times New Roman"/>
          <w:color w:val="auto"/>
        </w:rPr>
        <w:t xml:space="preserve"> (novčane, dioničke, obvezničke i mješovite)</w:t>
      </w:r>
      <w:r w:rsidRPr="00A02AD5">
        <w:rPr>
          <w:rFonts w:asciiTheme="minorHAnsi" w:hAnsiTheme="minorHAnsi" w:cs="Times New Roman"/>
          <w:color w:val="auto"/>
        </w:rPr>
        <w:t xml:space="preserve">. </w:t>
      </w:r>
      <w:r w:rsidR="003C3EF1" w:rsidRPr="00A02AD5">
        <w:rPr>
          <w:rFonts w:asciiTheme="minorHAnsi" w:hAnsiTheme="minorHAnsi" w:cs="Times New Roman"/>
          <w:color w:val="auto"/>
        </w:rPr>
        <w:t xml:space="preserve">Kako se oni međusobno bitno razlikuju te se vežu uz različitu svrhu štednje prikladno ih je kombinirati u štedno-ulagačkom planu, vodeći računa o </w:t>
      </w:r>
      <w:r w:rsidR="00607C62">
        <w:rPr>
          <w:rFonts w:asciiTheme="minorHAnsi" w:hAnsiTheme="minorHAnsi" w:cs="Times New Roman"/>
          <w:color w:val="auto"/>
        </w:rPr>
        <w:t xml:space="preserve">vremenskom horizontu štednje i ulaganja te </w:t>
      </w:r>
      <w:r w:rsidR="003C3EF1" w:rsidRPr="000B027D">
        <w:rPr>
          <w:rFonts w:asciiTheme="minorHAnsi" w:hAnsiTheme="minorHAnsi" w:cs="Times New Roman"/>
          <w:color w:val="C00000"/>
        </w:rPr>
        <w:t>poželjnim principima izgradnje optimalnog portfelja imovine</w:t>
      </w:r>
      <w:r w:rsidR="003C3EF1" w:rsidRPr="00A02AD5">
        <w:rPr>
          <w:rFonts w:asciiTheme="minorHAnsi" w:hAnsiTheme="minorHAnsi" w:cs="Times New Roman"/>
          <w:color w:val="auto"/>
        </w:rPr>
        <w:t xml:space="preserve">, što znači: </w:t>
      </w:r>
    </w:p>
    <w:p w:rsidR="00AB61B4" w:rsidRPr="00A02AD5" w:rsidRDefault="00AB61B4" w:rsidP="006F1C04">
      <w:pPr>
        <w:pStyle w:val="Default"/>
        <w:numPr>
          <w:ilvl w:val="0"/>
          <w:numId w:val="37"/>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da </w:t>
      </w:r>
      <w:r w:rsidR="003C3EF1" w:rsidRPr="00A02AD5">
        <w:rPr>
          <w:rFonts w:asciiTheme="minorHAnsi" w:hAnsiTheme="minorHAnsi" w:cs="Times New Roman"/>
          <w:color w:val="auto"/>
        </w:rPr>
        <w:t xml:space="preserve">ona </w:t>
      </w:r>
      <w:r w:rsidRPr="00A02AD5">
        <w:rPr>
          <w:rFonts w:asciiTheme="minorHAnsi" w:hAnsiTheme="minorHAnsi" w:cs="Times New Roman"/>
          <w:color w:val="auto"/>
        </w:rPr>
        <w:t xml:space="preserve">uz dani rizik i likvidnost, donosi najveći mogući prinos  od ulaganja; </w:t>
      </w:r>
    </w:p>
    <w:p w:rsidR="00AB61B4" w:rsidRPr="00A02AD5" w:rsidRDefault="00AB61B4" w:rsidP="006F1C04">
      <w:pPr>
        <w:pStyle w:val="Default"/>
        <w:numPr>
          <w:ilvl w:val="0"/>
          <w:numId w:val="36"/>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 xml:space="preserve">da je imovina istodobno uložena u različite financijske oblike - diverzifikacija imovine i diverzifikacija rizika; </w:t>
      </w:r>
    </w:p>
    <w:p w:rsidR="00AB61B4" w:rsidRPr="00A02AD5" w:rsidRDefault="00AB61B4" w:rsidP="006F1C04">
      <w:pPr>
        <w:pStyle w:val="Default"/>
        <w:numPr>
          <w:ilvl w:val="0"/>
          <w:numId w:val="36"/>
        </w:numPr>
        <w:spacing w:line="264" w:lineRule="auto"/>
        <w:ind w:left="714" w:hanging="357"/>
        <w:jc w:val="both"/>
        <w:rPr>
          <w:rFonts w:asciiTheme="minorHAnsi" w:hAnsiTheme="minorHAnsi" w:cs="Times New Roman"/>
          <w:color w:val="auto"/>
        </w:rPr>
      </w:pPr>
      <w:r w:rsidRPr="00A02AD5">
        <w:rPr>
          <w:rFonts w:asciiTheme="minorHAnsi" w:hAnsiTheme="minorHAnsi" w:cs="Times New Roman"/>
          <w:color w:val="auto"/>
        </w:rPr>
        <w:t>te da skup imovine zadovoljava potrebe i sklonost štediše/ investitora.</w:t>
      </w:r>
    </w:p>
    <w:p w:rsidR="00AB61B4" w:rsidRPr="00A02AD5" w:rsidRDefault="00A02AD5" w:rsidP="00A02AD5">
      <w:pPr>
        <w:pStyle w:val="Default"/>
        <w:spacing w:before="240" w:after="200" w:line="276" w:lineRule="auto"/>
        <w:jc w:val="both"/>
        <w:rPr>
          <w:rFonts w:asciiTheme="minorHAnsi" w:hAnsiTheme="minorHAnsi" w:cs="Times New Roman"/>
        </w:rPr>
      </w:pPr>
      <w:r w:rsidRPr="005E62D5">
        <w:rPr>
          <w:rFonts w:asciiTheme="minorHAnsi" w:hAnsiTheme="minorHAnsi" w:cs="Times New Roman"/>
          <w:bCs/>
          <w:color w:val="C00000"/>
        </w:rPr>
        <w:t>Oročenje štednje</w:t>
      </w:r>
      <w:r w:rsidRPr="005E62D5">
        <w:rPr>
          <w:rFonts w:asciiTheme="minorHAnsi" w:hAnsiTheme="minorHAnsi" w:cs="Times New Roman"/>
          <w:color w:val="C00000"/>
        </w:rPr>
        <w:t xml:space="preserve"> </w:t>
      </w:r>
      <w:r w:rsidRPr="00A02AD5">
        <w:rPr>
          <w:rFonts w:asciiTheme="minorHAnsi" w:hAnsiTheme="minorHAnsi" w:cs="Times New Roman"/>
        </w:rPr>
        <w:t xml:space="preserve">predstavlja ugovorni odnos između banke i štediše (deponenta) temeljem kojeg banka prima </w:t>
      </w:r>
      <w:r w:rsidRPr="00A02AD5">
        <w:rPr>
          <w:rFonts w:asciiTheme="minorHAnsi" w:hAnsiTheme="minorHAnsi" w:cs="Times New Roman"/>
          <w:color w:val="C00000"/>
        </w:rPr>
        <w:t xml:space="preserve">oročeni štedni ulog </w:t>
      </w:r>
      <w:r w:rsidRPr="00A02AD5">
        <w:rPr>
          <w:rFonts w:asciiTheme="minorHAnsi" w:hAnsiTheme="minorHAnsi" w:cs="Times New Roman"/>
        </w:rPr>
        <w:t xml:space="preserve">i preuzima obvezu </w:t>
      </w:r>
      <w:r w:rsidRPr="00A02AD5">
        <w:rPr>
          <w:rFonts w:asciiTheme="minorHAnsi" w:hAnsiTheme="minorHAnsi" w:cs="Times New Roman"/>
          <w:color w:val="auto"/>
        </w:rPr>
        <w:t>ukamaćenja</w:t>
      </w:r>
      <w:r w:rsidRPr="00A02AD5">
        <w:rPr>
          <w:rFonts w:asciiTheme="minorHAnsi" w:hAnsiTheme="minorHAnsi" w:cs="Times New Roman"/>
        </w:rPr>
        <w:t xml:space="preserve"> iznosa primljenog depozita - u skladu s definiranim rokom oročenja, visinom i vrstom ugovorene (nominalne) kamatne stope te načinom obračuna kamata. Oročen depoziti na depozitnim računima građana, poduzeća i drugih subjekata mogu biti u domaćoj valuti, u stranoj valuti (devizni depoziti) ili u domaćoj valuti s valutnom kl</w:t>
      </w:r>
      <w:r>
        <w:rPr>
          <w:rFonts w:asciiTheme="minorHAnsi" w:hAnsiTheme="minorHAnsi" w:cs="Times New Roman"/>
        </w:rPr>
        <w:t>a</w:t>
      </w:r>
      <w:r w:rsidRPr="00A02AD5">
        <w:rPr>
          <w:rFonts w:asciiTheme="minorHAnsi" w:hAnsiTheme="minorHAnsi" w:cs="Times New Roman"/>
        </w:rPr>
        <w:t xml:space="preserve">uzulom (npr. u EUR, USD itd.). Mogu se ugovarati </w:t>
      </w:r>
      <w:r w:rsidRPr="00A02AD5">
        <w:rPr>
          <w:rFonts w:asciiTheme="minorHAnsi" w:hAnsiTheme="minorHAnsi" w:cs="Times New Roman"/>
        </w:rPr>
        <w:lastRenderedPageBreak/>
        <w:t>uz fiksnu ili promjenjivu kamatnu stopu pri čemu je visina kamatne stope različita za različite valute.</w:t>
      </w:r>
      <w:r w:rsidR="00607C62">
        <w:rPr>
          <w:rFonts w:asciiTheme="minorHAnsi" w:hAnsiTheme="minorHAnsi" w:cs="Times New Roman"/>
        </w:rPr>
        <w:t xml:space="preserve"> Dodatno, kamatne stope na nove ugovore o štednji mogu se bitno razlikovati u godinama obilja novca (niskih kamatnjaka) i godinama oskudice novca (visokih kamatnjaka). Nadalje, s obzirom na visinu stope inflacije</w:t>
      </w:r>
      <w:r w:rsidR="00EC43FD">
        <w:rPr>
          <w:rFonts w:asciiTheme="minorHAnsi" w:hAnsiTheme="minorHAnsi" w:cs="Times New Roman"/>
        </w:rPr>
        <w:t>,</w:t>
      </w:r>
      <w:r w:rsidR="00607C62">
        <w:rPr>
          <w:rFonts w:asciiTheme="minorHAnsi" w:hAnsiTheme="minorHAnsi" w:cs="Times New Roman"/>
        </w:rPr>
        <w:t xml:space="preserve"> </w:t>
      </w:r>
      <w:r w:rsidR="00607C62" w:rsidRPr="00EC43FD">
        <w:rPr>
          <w:rFonts w:asciiTheme="minorHAnsi" w:hAnsiTheme="minorHAnsi" w:cs="Times New Roman"/>
          <w:color w:val="C00000"/>
        </w:rPr>
        <w:t xml:space="preserve">realne kamatne stope </w:t>
      </w:r>
      <w:r w:rsidR="00607C62">
        <w:rPr>
          <w:rFonts w:asciiTheme="minorHAnsi" w:hAnsiTheme="minorHAnsi" w:cs="Times New Roman"/>
        </w:rPr>
        <w:t>na štednju mogu b</w:t>
      </w:r>
      <w:r w:rsidR="00EC43FD">
        <w:rPr>
          <w:rFonts w:asciiTheme="minorHAnsi" w:hAnsiTheme="minorHAnsi" w:cs="Times New Roman"/>
        </w:rPr>
        <w:t xml:space="preserve">iti pozitivne, ali i negativne, dok </w:t>
      </w:r>
      <w:r w:rsidR="00EC43FD" w:rsidRPr="00EC43FD">
        <w:rPr>
          <w:rFonts w:asciiTheme="minorHAnsi" w:hAnsiTheme="minorHAnsi" w:cs="Times New Roman"/>
          <w:color w:val="C00000"/>
        </w:rPr>
        <w:t xml:space="preserve">neto realni prinos </w:t>
      </w:r>
      <w:r w:rsidR="00EC43FD">
        <w:rPr>
          <w:rFonts w:asciiTheme="minorHAnsi" w:hAnsiTheme="minorHAnsi" w:cs="Times New Roman"/>
        </w:rPr>
        <w:t>dodatno ovisi o poreznom tretmanu kamata.</w:t>
      </w:r>
    </w:p>
    <w:p w:rsidR="00A02AD5" w:rsidRDefault="00A02AD5" w:rsidP="00A02AD5">
      <w:pPr>
        <w:autoSpaceDE w:val="0"/>
        <w:autoSpaceDN w:val="0"/>
        <w:adjustRightInd w:val="0"/>
        <w:jc w:val="both"/>
        <w:rPr>
          <w:sz w:val="24"/>
          <w:szCs w:val="24"/>
        </w:rPr>
      </w:pPr>
      <w:r w:rsidRPr="00A02AD5">
        <w:rPr>
          <w:rFonts w:cs="Times New Roman"/>
          <w:sz w:val="24"/>
          <w:szCs w:val="24"/>
        </w:rPr>
        <w:t>U ugovoru o oročenju trebaju biti naznačeni svi bitni elementi: iznos</w:t>
      </w:r>
      <w:r w:rsidRPr="00A02AD5">
        <w:rPr>
          <w:sz w:val="24"/>
          <w:szCs w:val="24"/>
        </w:rPr>
        <w:t xml:space="preserve"> oročenog štednog uloga, rok i vrsta oročenja, vrsta i visina kamatne stope, način obračuna kamata, eventualna mogućnost višekratnih uplata tijekom trajanja razdoblja oročenja, mogućnosti i uvjeti (troškovi) prijevremenog razročenja, eventualni bonus koji banka odobrava štediši kroz nagradnu premiju pri obračunu kamata, obnavljanje ugovora, raskid ugovora o oročenju i drugo. </w:t>
      </w:r>
    </w:p>
    <w:p w:rsidR="00A02AD5" w:rsidRPr="00A02AD5" w:rsidRDefault="00A02AD5" w:rsidP="00A02AD5">
      <w:pPr>
        <w:pStyle w:val="Default"/>
        <w:spacing w:line="264" w:lineRule="auto"/>
        <w:jc w:val="both"/>
        <w:rPr>
          <w:rFonts w:asciiTheme="minorHAnsi" w:eastAsiaTheme="minorHAnsi" w:hAnsiTheme="minorHAnsi" w:cstheme="minorBidi"/>
          <w:color w:val="auto"/>
          <w:lang w:eastAsia="en-US"/>
        </w:rPr>
      </w:pPr>
      <w:r w:rsidRPr="00A02AD5">
        <w:rPr>
          <w:rFonts w:asciiTheme="minorHAnsi" w:eastAsiaTheme="minorHAnsi" w:hAnsiTheme="minorHAnsi" w:cstheme="minorBidi"/>
          <w:color w:val="auto"/>
          <w:lang w:eastAsia="en-US"/>
        </w:rPr>
        <w:t xml:space="preserve">S obzirom na mogućnost obnavljanja razdoblja trajanja oročenja, nenamjenski oročeni depoziti kod banaka mogu se ugovoriti kao: </w:t>
      </w:r>
    </w:p>
    <w:p w:rsidR="00A02AD5" w:rsidRPr="00A02AD5" w:rsidRDefault="00A02AD5" w:rsidP="006F1C04">
      <w:pPr>
        <w:numPr>
          <w:ilvl w:val="0"/>
          <w:numId w:val="42"/>
        </w:numPr>
        <w:autoSpaceDE w:val="0"/>
        <w:autoSpaceDN w:val="0"/>
        <w:adjustRightInd w:val="0"/>
        <w:spacing w:before="120" w:after="0" w:line="264" w:lineRule="auto"/>
        <w:ind w:left="714" w:hanging="357"/>
        <w:jc w:val="both"/>
        <w:rPr>
          <w:sz w:val="24"/>
          <w:szCs w:val="24"/>
        </w:rPr>
      </w:pPr>
      <w:r w:rsidRPr="00A02AD5">
        <w:rPr>
          <w:color w:val="C00000"/>
          <w:sz w:val="24"/>
          <w:szCs w:val="24"/>
        </w:rPr>
        <w:t xml:space="preserve">oročeni depoziti na određeno vrijeme </w:t>
      </w:r>
      <w:r w:rsidRPr="00A02AD5">
        <w:rPr>
          <w:sz w:val="24"/>
          <w:szCs w:val="24"/>
        </w:rPr>
        <w:t xml:space="preserve">-  oročenje traje do isteka ugovorenog roka oročenja; istekom razdoblja oročenja prestaje i ukamaćivanje uz kamatne stope za oročene depozite, a na nepovučen depozit banka obračunava kamate po kamatnoj stopi za depozite po viđenju; </w:t>
      </w:r>
    </w:p>
    <w:p w:rsidR="00A02AD5" w:rsidRPr="00A02AD5" w:rsidRDefault="00A02AD5" w:rsidP="006F1C04">
      <w:pPr>
        <w:numPr>
          <w:ilvl w:val="0"/>
          <w:numId w:val="42"/>
        </w:numPr>
        <w:autoSpaceDE w:val="0"/>
        <w:autoSpaceDN w:val="0"/>
        <w:adjustRightInd w:val="0"/>
        <w:spacing w:after="0" w:line="264" w:lineRule="auto"/>
        <w:jc w:val="both"/>
        <w:rPr>
          <w:sz w:val="24"/>
          <w:szCs w:val="24"/>
        </w:rPr>
      </w:pPr>
      <w:r w:rsidRPr="00A02AD5">
        <w:rPr>
          <w:color w:val="C00000"/>
          <w:sz w:val="24"/>
          <w:szCs w:val="24"/>
        </w:rPr>
        <w:t xml:space="preserve">oročeni depoziti s automatskim obnavljanjem roka oročenja </w:t>
      </w:r>
      <w:r w:rsidRPr="00A02AD5">
        <w:rPr>
          <w:sz w:val="24"/>
          <w:szCs w:val="24"/>
        </w:rPr>
        <w:t xml:space="preserve">- kada se istekom roka oročenja sredstva ponovno automatski dalje oročavaju na isti rok, ali po uvjetima koji vrijede na dan isteka inicijalnog roka oročenja (novi uvjeti mogu biti drugačiji nego raniji); praktično funkcionira kao oročeni depozit na neodređeno vrijeme do opoziva. </w:t>
      </w:r>
    </w:p>
    <w:p w:rsidR="005E62D5" w:rsidRPr="005E62D5" w:rsidRDefault="005E62D5" w:rsidP="005E62D5">
      <w:pPr>
        <w:autoSpaceDE w:val="0"/>
        <w:autoSpaceDN w:val="0"/>
        <w:adjustRightInd w:val="0"/>
        <w:spacing w:before="240"/>
        <w:jc w:val="both"/>
        <w:rPr>
          <w:sz w:val="24"/>
          <w:szCs w:val="24"/>
        </w:rPr>
      </w:pPr>
      <w:r w:rsidRPr="005E62D5">
        <w:rPr>
          <w:sz w:val="24"/>
          <w:szCs w:val="24"/>
        </w:rPr>
        <w:t xml:space="preserve">Prijevremeno razročenje kod mnogih banaka ne donosi dodatne troškove – penale, nego štediša gubi samo kamate propuštene za razdoblje u kojem nije ostvaren rok oročenja, međutim to nije pravilo. </w:t>
      </w:r>
    </w:p>
    <w:p w:rsidR="005E62D5" w:rsidRPr="005E62D5" w:rsidRDefault="005E62D5" w:rsidP="005E62D5">
      <w:pPr>
        <w:autoSpaceDE w:val="0"/>
        <w:autoSpaceDN w:val="0"/>
        <w:adjustRightInd w:val="0"/>
        <w:spacing w:before="240"/>
        <w:jc w:val="both"/>
        <w:rPr>
          <w:sz w:val="24"/>
          <w:szCs w:val="24"/>
        </w:rPr>
      </w:pPr>
      <w:r w:rsidRPr="005E62D5">
        <w:rPr>
          <w:sz w:val="24"/>
          <w:szCs w:val="24"/>
        </w:rPr>
        <w:t xml:space="preserve">Prema regulativi koja vrijedi u </w:t>
      </w:r>
      <w:r w:rsidR="00060663">
        <w:rPr>
          <w:sz w:val="24"/>
          <w:szCs w:val="24"/>
        </w:rPr>
        <w:t xml:space="preserve">rujnu </w:t>
      </w:r>
      <w:r w:rsidRPr="005E62D5">
        <w:rPr>
          <w:sz w:val="24"/>
          <w:szCs w:val="24"/>
        </w:rPr>
        <w:t>201</w:t>
      </w:r>
      <w:r>
        <w:rPr>
          <w:sz w:val="24"/>
          <w:szCs w:val="24"/>
        </w:rPr>
        <w:t>5</w:t>
      </w:r>
      <w:r w:rsidRPr="005E62D5">
        <w:rPr>
          <w:sz w:val="24"/>
          <w:szCs w:val="24"/>
        </w:rPr>
        <w:t xml:space="preserve">. godine, sredstva oročenih depozita, štednih uloga po viđenju i drugih depozita građana kod banaka, štednih banaka i stambenih štedionica osigurani su kod Državne agencije za osiguranje depozita i sanaciju banaka (DAB) u iznosu </w:t>
      </w:r>
      <w:r w:rsidRPr="005E62D5">
        <w:rPr>
          <w:color w:val="C00000"/>
          <w:sz w:val="24"/>
          <w:szCs w:val="24"/>
        </w:rPr>
        <w:t>do 100.000,00 eura kod svake kreditne institucije</w:t>
      </w:r>
      <w:r w:rsidRPr="005E62D5">
        <w:rPr>
          <w:sz w:val="24"/>
          <w:szCs w:val="24"/>
        </w:rPr>
        <w:t>. Iz spomenutog fonda osiguranja depozita izvršavaju se isplate građanima ako to zbog određenog razloga ne može učiniti pojedinačna kreditna institucija koja je depozit primila.</w:t>
      </w:r>
    </w:p>
    <w:tbl>
      <w:tblPr>
        <w:tblStyle w:val="Reetkatablice"/>
        <w:tblW w:w="0" w:type="auto"/>
        <w:tblInd w:w="108" w:type="dxa"/>
        <w:tblLook w:val="04A0" w:firstRow="1" w:lastRow="0" w:firstColumn="1" w:lastColumn="0" w:noHBand="0" w:noVBand="1"/>
      </w:tblPr>
      <w:tblGrid>
        <w:gridCol w:w="3315"/>
        <w:gridCol w:w="5865"/>
      </w:tblGrid>
      <w:tr w:rsidR="00F4687A" w:rsidTr="00287864">
        <w:tc>
          <w:tcPr>
            <w:tcW w:w="3315" w:type="dxa"/>
          </w:tcPr>
          <w:p w:rsidR="00F4687A" w:rsidRPr="00287864" w:rsidRDefault="00F4687A" w:rsidP="00287864">
            <w:pPr>
              <w:autoSpaceDE w:val="0"/>
              <w:autoSpaceDN w:val="0"/>
              <w:adjustRightInd w:val="0"/>
              <w:spacing w:before="240"/>
              <w:jc w:val="both"/>
              <w:rPr>
                <w:sz w:val="24"/>
                <w:szCs w:val="24"/>
              </w:rPr>
            </w:pPr>
            <w:r>
              <w:rPr>
                <w:noProof/>
              </w:rPr>
              <w:drawing>
                <wp:inline distT="0" distB="0" distL="0" distR="0" wp14:anchorId="3365956A" wp14:editId="5B21DB66">
                  <wp:extent cx="1967971" cy="1540151"/>
                  <wp:effectExtent l="0" t="0" r="0" b="3175"/>
                  <wp:docPr id="16395" name="Slika 16395" descr="Sav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ving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71564" cy="1542963"/>
                          </a:xfrm>
                          <a:prstGeom prst="rect">
                            <a:avLst/>
                          </a:prstGeom>
                          <a:noFill/>
                          <a:ln>
                            <a:noFill/>
                          </a:ln>
                        </pic:spPr>
                      </pic:pic>
                    </a:graphicData>
                  </a:graphic>
                </wp:inline>
              </w:drawing>
            </w:r>
          </w:p>
        </w:tc>
        <w:tc>
          <w:tcPr>
            <w:tcW w:w="5865" w:type="dxa"/>
          </w:tcPr>
          <w:p w:rsidR="00F4687A" w:rsidRDefault="00F4687A" w:rsidP="00EC43FD">
            <w:pPr>
              <w:autoSpaceDE w:val="0"/>
              <w:autoSpaceDN w:val="0"/>
              <w:adjustRightInd w:val="0"/>
              <w:spacing w:before="120"/>
              <w:jc w:val="both"/>
              <w:rPr>
                <w:rFonts w:asciiTheme="minorHAnsi" w:hAnsiTheme="minorHAnsi"/>
                <w:sz w:val="24"/>
                <w:szCs w:val="24"/>
              </w:rPr>
            </w:pPr>
            <w:r w:rsidRPr="00F4687A">
              <w:rPr>
                <w:rFonts w:asciiTheme="minorHAnsi" w:hAnsiTheme="minorHAnsi"/>
                <w:sz w:val="24"/>
                <w:szCs w:val="24"/>
              </w:rPr>
              <w:t xml:space="preserve">Pored oročenih depozita banke klijentima nude i mogućnost </w:t>
            </w:r>
            <w:r w:rsidRPr="00F4687A">
              <w:rPr>
                <w:rFonts w:asciiTheme="minorHAnsi" w:hAnsiTheme="minorHAnsi"/>
                <w:color w:val="C00000"/>
                <w:sz w:val="24"/>
                <w:szCs w:val="24"/>
              </w:rPr>
              <w:t xml:space="preserve">štednje a vista </w:t>
            </w:r>
            <w:r w:rsidRPr="00F4687A">
              <w:rPr>
                <w:rFonts w:asciiTheme="minorHAnsi" w:hAnsiTheme="minorHAnsi"/>
                <w:sz w:val="24"/>
                <w:szCs w:val="24"/>
              </w:rPr>
              <w:t xml:space="preserve">(dostupne po viđenju) po štednoj knjižici ili a vista depozitnom računu. </w:t>
            </w:r>
          </w:p>
          <w:p w:rsidR="00F4687A" w:rsidRDefault="00F4687A" w:rsidP="00EC43FD">
            <w:pPr>
              <w:autoSpaceDE w:val="0"/>
              <w:autoSpaceDN w:val="0"/>
              <w:adjustRightInd w:val="0"/>
              <w:jc w:val="both"/>
              <w:rPr>
                <w:sz w:val="24"/>
                <w:szCs w:val="24"/>
              </w:rPr>
            </w:pPr>
            <w:r w:rsidRPr="00F4687A">
              <w:rPr>
                <w:rFonts w:asciiTheme="minorHAnsi" w:hAnsiTheme="minorHAnsi"/>
                <w:sz w:val="24"/>
                <w:szCs w:val="24"/>
              </w:rPr>
              <w:t xml:space="preserve">Isto kao u slučaju oročenih depozita, štedni a visa depoziti ne mogu se koristit za plaćanje. Po tome se bitno razlikuju od depozita po tekućim računima i žiroračunima koji se mogu koristi kao bezgotovinski platni instrumenti – stoga se ponekada nazivaju depoziti po računima za plaćanje. </w:t>
            </w:r>
          </w:p>
        </w:tc>
      </w:tr>
    </w:tbl>
    <w:p w:rsidR="00CC49B5" w:rsidRDefault="005E62D5" w:rsidP="005E62D5">
      <w:pPr>
        <w:autoSpaceDE w:val="0"/>
        <w:autoSpaceDN w:val="0"/>
        <w:adjustRightInd w:val="0"/>
        <w:spacing w:before="240"/>
        <w:jc w:val="both"/>
        <w:rPr>
          <w:sz w:val="24"/>
          <w:szCs w:val="24"/>
        </w:rPr>
      </w:pPr>
      <w:r w:rsidRPr="005E62D5">
        <w:rPr>
          <w:sz w:val="24"/>
          <w:szCs w:val="24"/>
        </w:rPr>
        <w:lastRenderedPageBreak/>
        <w:t xml:space="preserve">Ugovor o oročenju, štedna knjižica, kao i bankovne kartice predstavljaju dokumente/ isprave koje valja čuvati. Naime u pojedinim bankama raspolaganje oročenom štednjom nije moguće bez prezentiranog ugovora o oročenom štednom depozitu te klijent ima dodatne troškove u slučaju da ga je izgubio, dok je raspolaganje štednjom na štednoj knjižici uvijek uvjetovano donosom štedne knjižice u poslovnicu banke. </w:t>
      </w:r>
    </w:p>
    <w:p w:rsidR="000B027D" w:rsidRPr="00000AA6" w:rsidRDefault="0022562B" w:rsidP="000B027D">
      <w:pPr>
        <w:jc w:val="both"/>
        <w:rPr>
          <w:i/>
          <w:highlight w:val="cyan"/>
        </w:rPr>
      </w:pPr>
      <w:r>
        <w:rPr>
          <w:sz w:val="24"/>
          <w:szCs w:val="24"/>
        </w:rPr>
        <w:t>Većina banaka u Hrvatskoj pri obračunu kamata na oročene depozite koristi složeni ka</w:t>
      </w:r>
      <w:r w:rsidR="00CC49B5">
        <w:rPr>
          <w:sz w:val="24"/>
          <w:szCs w:val="24"/>
        </w:rPr>
        <w:t xml:space="preserve">matni račun i konformnu metodu, iako je dopušteno korištenje i proporcionalne metode kao i jednostavnog kamatnog računa. </w:t>
      </w:r>
      <w:r w:rsidR="000B027D" w:rsidRPr="000B027D">
        <w:rPr>
          <w:sz w:val="24"/>
          <w:szCs w:val="24"/>
        </w:rPr>
        <w:t xml:space="preserve">Pri tome je nepisano pravilo da se </w:t>
      </w:r>
      <w:r w:rsidR="000B027D" w:rsidRPr="000B027D">
        <w:rPr>
          <w:i/>
          <w:sz w:val="24"/>
          <w:szCs w:val="24"/>
        </w:rPr>
        <w:t>„</w:t>
      </w:r>
      <w:r w:rsidR="000B027D" w:rsidRPr="000B027D">
        <w:rPr>
          <w:i/>
        </w:rPr>
        <w:t xml:space="preserve">podrazumijeva primjena proporcionalne metode pri obračunu kamata, osim ako nije drugačije utvrđeno/ugovoreno“. </w:t>
      </w:r>
    </w:p>
    <w:p w:rsidR="00A02AD5" w:rsidRPr="00B94C5C" w:rsidRDefault="00B94C5C" w:rsidP="000B027D">
      <w:pPr>
        <w:pStyle w:val="Default"/>
        <w:spacing w:before="240" w:after="200" w:line="276" w:lineRule="auto"/>
        <w:jc w:val="both"/>
        <w:rPr>
          <w:rFonts w:asciiTheme="minorHAnsi" w:hAnsiTheme="minorHAnsi" w:cs="Times New Roman"/>
          <w:b/>
        </w:rPr>
      </w:pPr>
      <w:r w:rsidRPr="00B94C5C">
        <w:rPr>
          <w:rFonts w:asciiTheme="minorHAnsi" w:hAnsiTheme="minorHAnsi" w:cs="Times New Roman"/>
          <w:b/>
        </w:rPr>
        <w:t>3.1</w:t>
      </w:r>
      <w:r w:rsidR="0093356A">
        <w:rPr>
          <w:rFonts w:asciiTheme="minorHAnsi" w:hAnsiTheme="minorHAnsi" w:cs="Times New Roman"/>
          <w:b/>
        </w:rPr>
        <w:t>4</w:t>
      </w:r>
      <w:r w:rsidRPr="00B94C5C">
        <w:rPr>
          <w:rFonts w:asciiTheme="minorHAnsi" w:hAnsiTheme="minorHAnsi" w:cs="Times New Roman"/>
          <w:b/>
        </w:rPr>
        <w:t>. Složeni kamatni račun na primjeru oročenja depozita</w:t>
      </w:r>
      <w:r w:rsidR="00701568">
        <w:rPr>
          <w:rFonts w:asciiTheme="minorHAnsi" w:hAnsiTheme="minorHAnsi" w:cs="Times New Roman"/>
          <w:b/>
        </w:rPr>
        <w:t xml:space="preserve"> u banci</w:t>
      </w:r>
    </w:p>
    <w:p w:rsidR="00B94C5C" w:rsidRPr="00A02AD5" w:rsidRDefault="00B94C5C" w:rsidP="009D1C28">
      <w:pPr>
        <w:pStyle w:val="Default"/>
        <w:spacing w:after="120" w:line="276" w:lineRule="auto"/>
        <w:jc w:val="both"/>
        <w:rPr>
          <w:rFonts w:asciiTheme="minorHAnsi" w:hAnsiTheme="minorHAnsi" w:cs="Times New Roman"/>
        </w:rPr>
      </w:pPr>
      <w:r>
        <w:rPr>
          <w:rFonts w:asciiTheme="minorHAnsi" w:hAnsiTheme="minorHAnsi" w:cs="Times New Roman"/>
        </w:rPr>
        <w:t xml:space="preserve">Kod složenog kamatnog računa radi se o obračunu kamata i na početnu glavnicu i na pripisane kamate. </w:t>
      </w:r>
    </w:p>
    <w:tbl>
      <w:tblPr>
        <w:tblStyle w:val="Reetkatablice"/>
        <w:tblW w:w="0" w:type="auto"/>
        <w:tblLook w:val="04A0" w:firstRow="1" w:lastRow="0" w:firstColumn="1" w:lastColumn="0" w:noHBand="0" w:noVBand="1"/>
      </w:tblPr>
      <w:tblGrid>
        <w:gridCol w:w="9288"/>
      </w:tblGrid>
      <w:tr w:rsidR="00B94C5C" w:rsidTr="00B94C5C">
        <w:tc>
          <w:tcPr>
            <w:tcW w:w="9288" w:type="dxa"/>
          </w:tcPr>
          <w:p w:rsidR="00B94C5C" w:rsidRDefault="00B94C5C" w:rsidP="00285C8B">
            <w:pPr>
              <w:spacing w:before="120" w:line="276" w:lineRule="auto"/>
              <w:rPr>
                <w:rFonts w:asciiTheme="minorHAnsi" w:hAnsiTheme="minorHAnsi"/>
                <w:sz w:val="24"/>
                <w:szCs w:val="24"/>
              </w:rPr>
            </w:pPr>
            <w:r w:rsidRPr="00B94C5C">
              <w:rPr>
                <w:rFonts w:asciiTheme="minorHAnsi" w:hAnsiTheme="minorHAnsi"/>
                <w:sz w:val="24"/>
                <w:szCs w:val="24"/>
              </w:rPr>
              <w:t xml:space="preserve">Uz složeno ukamaćivanje općenito vrijedi da je </w:t>
            </w:r>
          </w:p>
          <w:p w:rsidR="00B94C5C" w:rsidRDefault="00285C8B" w:rsidP="00285C8B">
            <w:pPr>
              <w:spacing w:before="120" w:after="120" w:line="276" w:lineRule="auto"/>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8505" w:dyaOrig="1095">
                <v:shape id="_x0000_i1048" type="#_x0000_t75" style="width:383.25pt;height:49.5pt" o:ole="">
                  <v:imagedata r:id="rId134" o:title=""/>
                </v:shape>
                <o:OLEObject Type="Embed" ProgID="PBrush" ShapeID="_x0000_i1048" DrawAspect="Content" ObjectID="_1505681376" r:id="rId135"/>
              </w:object>
            </w:r>
            <w:r>
              <w:rPr>
                <w:rFonts w:asciiTheme="minorHAnsi" w:eastAsiaTheme="minorHAnsi" w:hAnsiTheme="minorHAnsi" w:cstheme="minorBidi"/>
                <w:sz w:val="22"/>
                <w:szCs w:val="22"/>
                <w:lang w:eastAsia="en-US"/>
              </w:rPr>
              <w:object w:dxaOrig="8325" w:dyaOrig="2520">
                <v:shape id="_x0000_i1049" type="#_x0000_t75" style="width:383.25pt;height:116.25pt" o:ole="">
                  <v:imagedata r:id="rId136" o:title=""/>
                </v:shape>
                <o:OLEObject Type="Embed" ProgID="PBrush" ShapeID="_x0000_i1049" DrawAspect="Content" ObjectID="_1505681377" r:id="rId137"/>
              </w:object>
            </w:r>
          </w:p>
          <w:p w:rsidR="009D1C28" w:rsidRDefault="009D1C28" w:rsidP="00B94C5C">
            <w:pPr>
              <w:spacing w:before="240" w:after="240" w:line="276" w:lineRule="auto"/>
              <w:rPr>
                <w:rFonts w:asciiTheme="minorHAnsi" w:hAnsiTheme="minorHAnsi"/>
                <w:sz w:val="24"/>
                <w:szCs w:val="24"/>
              </w:rPr>
            </w:pPr>
            <w:r w:rsidRPr="009D1C28">
              <w:rPr>
                <w:rFonts w:asciiTheme="minorHAnsi" w:hAnsiTheme="minorHAnsi"/>
                <w:color w:val="C00000"/>
                <w:sz w:val="24"/>
                <w:szCs w:val="24"/>
              </w:rPr>
              <w:t xml:space="preserve">Primjer: </w:t>
            </w:r>
            <w:r w:rsidRPr="009D1C28">
              <w:rPr>
                <w:rFonts w:asciiTheme="minorHAnsi" w:hAnsiTheme="minorHAnsi"/>
                <w:sz w:val="24"/>
                <w:szCs w:val="24"/>
              </w:rPr>
              <w:t xml:space="preserve">Štediša je jednokratno oročio 200 kuna na rok od 5 godina uz godišnju kamatnu stopu 3 %. Banka primjenjuje </w:t>
            </w:r>
            <w:r w:rsidRPr="009D1C28">
              <w:rPr>
                <w:rFonts w:asciiTheme="minorHAnsi" w:hAnsiTheme="minorHAnsi"/>
                <w:sz w:val="24"/>
                <w:szCs w:val="24"/>
                <w:u w:val="single"/>
              </w:rPr>
              <w:t xml:space="preserve">složeni </w:t>
            </w:r>
            <w:r w:rsidRPr="009D1C28">
              <w:rPr>
                <w:rFonts w:asciiTheme="minorHAnsi" w:hAnsiTheme="minorHAnsi"/>
                <w:sz w:val="24"/>
                <w:szCs w:val="24"/>
              </w:rPr>
              <w:t>kamatni račun i dekurzivni godišnji obračun kamata. Izračunajte vrijednost štednog uloga po proteku pete godine te ukupne složene kamate.</w:t>
            </w:r>
          </w:p>
          <w:p w:rsidR="009D1C28" w:rsidRPr="009D1C28" w:rsidRDefault="009D1C28" w:rsidP="00B94C5C">
            <w:pPr>
              <w:spacing w:before="240" w:after="240" w:line="276" w:lineRule="auto"/>
              <w:rPr>
                <w:rFonts w:asciiTheme="minorHAnsi" w:hAnsiTheme="minorHAnsi"/>
                <w:sz w:val="24"/>
                <w:szCs w:val="24"/>
              </w:rPr>
            </w:pPr>
            <w:r>
              <w:rPr>
                <w:rFonts w:asciiTheme="minorHAnsi" w:hAnsiTheme="minorHAnsi"/>
                <w:sz w:val="24"/>
                <w:szCs w:val="24"/>
              </w:rPr>
              <w:t>Budući da je k=1, vrijedi da je r = rr = r' pa se za izračun koristi nominalni kamatnjak.</w:t>
            </w:r>
          </w:p>
          <w:p w:rsidR="009D1C28" w:rsidRDefault="009D1C28" w:rsidP="00B94C5C">
            <w:pPr>
              <w:spacing w:before="240" w:after="240" w:line="276" w:lineRule="auto"/>
              <w:rPr>
                <w:sz w:val="24"/>
                <w:szCs w:val="24"/>
              </w:rPr>
            </w:pPr>
            <w:r>
              <w:rPr>
                <w:rFonts w:asciiTheme="minorHAnsi" w:eastAsiaTheme="minorHAnsi" w:hAnsiTheme="minorHAnsi" w:cstheme="minorBidi"/>
                <w:sz w:val="22"/>
                <w:szCs w:val="22"/>
                <w:lang w:eastAsia="en-US"/>
              </w:rPr>
              <w:object w:dxaOrig="8040" w:dyaOrig="2805">
                <v:shape id="_x0000_i1050" type="#_x0000_t75" style="width:402pt;height:140.25pt" o:ole="">
                  <v:imagedata r:id="rId138" o:title=""/>
                </v:shape>
                <o:OLEObject Type="Embed" ProgID="PBrush" ShapeID="_x0000_i1050" DrawAspect="Content" ObjectID="_1505681378" r:id="rId139"/>
              </w:object>
            </w:r>
          </w:p>
          <w:p w:rsidR="009D1C28" w:rsidRDefault="009D1C28" w:rsidP="009D1C28">
            <w:pPr>
              <w:spacing w:before="360" w:after="240" w:line="276" w:lineRule="auto"/>
            </w:pPr>
            <w:r>
              <w:rPr>
                <w:rFonts w:asciiTheme="minorHAnsi" w:eastAsiaTheme="minorHAnsi" w:hAnsiTheme="minorHAnsi" w:cstheme="minorBidi"/>
                <w:sz w:val="22"/>
                <w:szCs w:val="22"/>
                <w:lang w:eastAsia="en-US"/>
              </w:rPr>
              <w:object w:dxaOrig="8190" w:dyaOrig="3135">
                <v:shape id="_x0000_i1051" type="#_x0000_t75" style="width:409.5pt;height:156.75pt" o:ole="">
                  <v:imagedata r:id="rId140" o:title=""/>
                </v:shape>
                <o:OLEObject Type="Embed" ProgID="PBrush" ShapeID="_x0000_i1051" DrawAspect="Content" ObjectID="_1505681379" r:id="rId141"/>
              </w:object>
            </w:r>
          </w:p>
          <w:p w:rsidR="009D1C28" w:rsidRPr="00D0255E" w:rsidRDefault="009D1C28" w:rsidP="009D1C28">
            <w:pPr>
              <w:tabs>
                <w:tab w:val="left" w:pos="960"/>
              </w:tabs>
              <w:spacing w:line="276" w:lineRule="auto"/>
              <w:rPr>
                <w:sz w:val="24"/>
                <w:szCs w:val="24"/>
              </w:rPr>
            </w:pPr>
            <w:r w:rsidRPr="00D0255E">
              <w:rPr>
                <w:sz w:val="24"/>
                <w:szCs w:val="24"/>
              </w:rPr>
              <w:t>Ako isti postupak nastavimo do kraja pete godine, dobit ćemo vrijednost štednog uloga po proteku pete godine. Alternativno možemo ga izračunati korištenjem formule:</w:t>
            </w:r>
          </w:p>
          <w:p w:rsidR="009D1C28" w:rsidRPr="00D0255E" w:rsidRDefault="009D1C28" w:rsidP="009D1C28">
            <w:pPr>
              <w:tabs>
                <w:tab w:val="left" w:pos="960"/>
              </w:tabs>
              <w:spacing w:line="276" w:lineRule="auto"/>
              <w:rPr>
                <w:sz w:val="24"/>
                <w:szCs w:val="24"/>
              </w:rPr>
            </w:pPr>
          </w:p>
          <w:p w:rsidR="009D1C28" w:rsidRPr="00D0255E" w:rsidRDefault="009D1C28" w:rsidP="009D1C28">
            <w:pPr>
              <w:tabs>
                <w:tab w:val="left" w:pos="960"/>
              </w:tabs>
              <w:spacing w:line="276" w:lineRule="auto"/>
              <w:rPr>
                <w:sz w:val="24"/>
                <w:szCs w:val="24"/>
              </w:rPr>
            </w:pPr>
            <w:r w:rsidRPr="00D0255E">
              <w:rPr>
                <w:noProof/>
                <w:sz w:val="24"/>
                <w:szCs w:val="24"/>
              </w:rPr>
              <w:drawing>
                <wp:inline distT="0" distB="0" distL="0" distR="0" wp14:anchorId="3CEAB45E" wp14:editId="13164B99">
                  <wp:extent cx="4752975" cy="314325"/>
                  <wp:effectExtent l="19050" t="0" r="9525" b="0"/>
                  <wp:docPr id="1120" name="Slika 1119" descr="Slika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png"/>
                          <pic:cNvPicPr/>
                        </pic:nvPicPr>
                        <pic:blipFill>
                          <a:blip r:embed="rId142" cstate="print"/>
                          <a:stretch>
                            <a:fillRect/>
                          </a:stretch>
                        </pic:blipFill>
                        <pic:spPr>
                          <a:xfrm>
                            <a:off x="0" y="0"/>
                            <a:ext cx="4752975" cy="314325"/>
                          </a:xfrm>
                          <a:prstGeom prst="rect">
                            <a:avLst/>
                          </a:prstGeom>
                        </pic:spPr>
                      </pic:pic>
                    </a:graphicData>
                  </a:graphic>
                </wp:inline>
              </w:drawing>
            </w:r>
          </w:p>
          <w:p w:rsidR="009D1C28" w:rsidRPr="00D0255E" w:rsidRDefault="009D1C28" w:rsidP="009D1C28">
            <w:pPr>
              <w:tabs>
                <w:tab w:val="left" w:pos="960"/>
              </w:tabs>
              <w:spacing w:line="276" w:lineRule="auto"/>
              <w:rPr>
                <w:sz w:val="24"/>
                <w:szCs w:val="24"/>
              </w:rPr>
            </w:pPr>
            <w:r w:rsidRPr="00D0255E">
              <w:rPr>
                <w:sz w:val="24"/>
                <w:szCs w:val="24"/>
              </w:rPr>
              <w:t>Ukupne složene kamate nakon pet godina iznose 31,85 kuna (</w:t>
            </w:r>
            <w:r w:rsidRPr="00D0255E">
              <w:rPr>
                <w:i/>
                <w:iCs/>
                <w:sz w:val="24"/>
                <w:szCs w:val="24"/>
              </w:rPr>
              <w:t xml:space="preserve">C5 </w:t>
            </w:r>
            <w:r w:rsidRPr="00D0255E">
              <w:rPr>
                <w:sz w:val="24"/>
                <w:szCs w:val="24"/>
              </w:rPr>
              <w:t xml:space="preserve">– </w:t>
            </w:r>
            <w:r w:rsidRPr="00D0255E">
              <w:rPr>
                <w:i/>
                <w:iCs/>
                <w:sz w:val="24"/>
                <w:szCs w:val="24"/>
              </w:rPr>
              <w:t>C0</w:t>
            </w:r>
            <w:r w:rsidRPr="00D0255E">
              <w:rPr>
                <w:sz w:val="24"/>
                <w:szCs w:val="24"/>
              </w:rPr>
              <w:t>), a mogli smo ih izračunati i primjenom formule</w:t>
            </w:r>
          </w:p>
          <w:p w:rsidR="009D1C28" w:rsidRDefault="009D1C28" w:rsidP="009D1C28">
            <w:pPr>
              <w:tabs>
                <w:tab w:val="left" w:pos="960"/>
              </w:tabs>
              <w:spacing w:line="276" w:lineRule="auto"/>
              <w:rPr>
                <w:sz w:val="24"/>
                <w:szCs w:val="24"/>
              </w:rPr>
            </w:pPr>
            <w:r w:rsidRPr="00D0255E">
              <w:rPr>
                <w:noProof/>
                <w:sz w:val="24"/>
                <w:szCs w:val="24"/>
              </w:rPr>
              <w:drawing>
                <wp:inline distT="0" distB="0" distL="0" distR="0" wp14:anchorId="595EF111" wp14:editId="2A52F3C4">
                  <wp:extent cx="4638675" cy="428625"/>
                  <wp:effectExtent l="19050" t="0" r="9525" b="0"/>
                  <wp:docPr id="1121" name="Slika 1120" descr="Slika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png"/>
                          <pic:cNvPicPr/>
                        </pic:nvPicPr>
                        <pic:blipFill>
                          <a:blip r:embed="rId143" cstate="print"/>
                          <a:stretch>
                            <a:fillRect/>
                          </a:stretch>
                        </pic:blipFill>
                        <pic:spPr>
                          <a:xfrm>
                            <a:off x="0" y="0"/>
                            <a:ext cx="4638675" cy="428625"/>
                          </a:xfrm>
                          <a:prstGeom prst="rect">
                            <a:avLst/>
                          </a:prstGeom>
                        </pic:spPr>
                      </pic:pic>
                    </a:graphicData>
                  </a:graphic>
                </wp:inline>
              </w:drawing>
            </w:r>
          </w:p>
          <w:p w:rsidR="009D1C28" w:rsidRDefault="009D1C28" w:rsidP="009D1C28">
            <w:pPr>
              <w:tabs>
                <w:tab w:val="left" w:pos="960"/>
              </w:tabs>
              <w:spacing w:line="276" w:lineRule="auto"/>
              <w:rPr>
                <w:sz w:val="24"/>
                <w:szCs w:val="24"/>
              </w:rPr>
            </w:pPr>
          </w:p>
          <w:p w:rsidR="009D1C28" w:rsidRPr="00D0255E" w:rsidRDefault="009D1C28" w:rsidP="00C87686">
            <w:pPr>
              <w:tabs>
                <w:tab w:val="left" w:pos="960"/>
              </w:tabs>
              <w:spacing w:line="276" w:lineRule="auto"/>
              <w:jc w:val="center"/>
              <w:rPr>
                <w:sz w:val="24"/>
                <w:szCs w:val="24"/>
              </w:rPr>
            </w:pPr>
            <w:r>
              <w:rPr>
                <w:rFonts w:asciiTheme="minorHAnsi" w:eastAsiaTheme="minorHAnsi" w:hAnsiTheme="minorHAnsi" w:cstheme="minorBidi"/>
                <w:sz w:val="22"/>
                <w:szCs w:val="22"/>
                <w:lang w:eastAsia="en-US"/>
              </w:rPr>
              <w:object w:dxaOrig="8385" w:dyaOrig="5280">
                <v:shape id="_x0000_i1052" type="#_x0000_t75" style="width:420pt;height:264pt" o:ole="">
                  <v:imagedata r:id="rId144" o:title=""/>
                </v:shape>
                <o:OLEObject Type="Embed" ProgID="PBrush" ShapeID="_x0000_i1052" DrawAspect="Content" ObjectID="_1505681380" r:id="rId145"/>
              </w:object>
            </w:r>
          </w:p>
          <w:p w:rsidR="009D1C28" w:rsidRPr="009D1C28" w:rsidRDefault="009D1C28" w:rsidP="009D1C28">
            <w:pPr>
              <w:tabs>
                <w:tab w:val="left" w:pos="960"/>
              </w:tabs>
              <w:spacing w:line="276" w:lineRule="auto"/>
              <w:rPr>
                <w:rFonts w:asciiTheme="minorHAnsi" w:hAnsiTheme="minorHAnsi"/>
                <w:sz w:val="24"/>
                <w:szCs w:val="24"/>
              </w:rPr>
            </w:pPr>
          </w:p>
          <w:p w:rsidR="009D1C28" w:rsidRPr="009D1C28" w:rsidRDefault="009D1C28" w:rsidP="009D1C28">
            <w:pPr>
              <w:tabs>
                <w:tab w:val="left" w:pos="1860"/>
              </w:tabs>
              <w:rPr>
                <w:rFonts w:asciiTheme="minorHAnsi" w:hAnsiTheme="minorHAnsi"/>
                <w:sz w:val="24"/>
                <w:szCs w:val="24"/>
              </w:rPr>
            </w:pPr>
            <w:r w:rsidRPr="009D1C28">
              <w:rPr>
                <w:rFonts w:asciiTheme="minorHAnsi" w:hAnsiTheme="minorHAnsi"/>
                <w:color w:val="C00000"/>
                <w:sz w:val="24"/>
                <w:szCs w:val="24"/>
              </w:rPr>
              <w:t xml:space="preserve">Primjer: </w:t>
            </w:r>
            <w:r w:rsidRPr="009D1C28">
              <w:rPr>
                <w:rFonts w:asciiTheme="minorHAnsi" w:hAnsiTheme="minorHAnsi"/>
                <w:sz w:val="24"/>
                <w:szCs w:val="24"/>
              </w:rPr>
              <w:t>Ako kamatna stopa iznosi 3 %, izračunajte sadašnju vrijednost budućeg novčanog tijeka od 6.000 kuna koji nam je potreban za dvije godine.</w:t>
            </w:r>
          </w:p>
          <w:p w:rsidR="009D1C28" w:rsidRPr="009D1C28" w:rsidRDefault="009D1C28" w:rsidP="009D1C28">
            <w:pPr>
              <w:tabs>
                <w:tab w:val="left" w:pos="1860"/>
              </w:tabs>
              <w:jc w:val="center"/>
              <w:rPr>
                <w:rFonts w:asciiTheme="minorHAnsi" w:hAnsiTheme="minorHAnsi"/>
                <w:sz w:val="24"/>
                <w:szCs w:val="24"/>
              </w:rPr>
            </w:pPr>
          </w:p>
          <w:p w:rsidR="009D1C28" w:rsidRPr="009D1C28" w:rsidRDefault="009D1C28" w:rsidP="009D1C28">
            <w:pPr>
              <w:tabs>
                <w:tab w:val="left" w:pos="1860"/>
              </w:tabs>
              <w:jc w:val="center"/>
              <w:rPr>
                <w:rFonts w:asciiTheme="minorHAnsi" w:hAnsiTheme="minorHAnsi"/>
                <w:sz w:val="24"/>
                <w:szCs w:val="24"/>
              </w:rPr>
            </w:pPr>
            <w:r w:rsidRPr="009D1C28">
              <w:rPr>
                <w:rFonts w:asciiTheme="minorHAnsi" w:hAnsiTheme="minorHAnsi"/>
                <w:sz w:val="24"/>
                <w:szCs w:val="24"/>
              </w:rPr>
              <w:t>SV = 6.000 / (1+0,03)</w:t>
            </w:r>
            <w:r w:rsidRPr="009D1C28">
              <w:rPr>
                <w:rFonts w:asciiTheme="minorHAnsi" w:hAnsiTheme="minorHAnsi"/>
                <w:sz w:val="24"/>
                <w:szCs w:val="24"/>
                <w:vertAlign w:val="superscript"/>
              </w:rPr>
              <w:t>2</w:t>
            </w:r>
            <w:r w:rsidRPr="009D1C28">
              <w:rPr>
                <w:rFonts w:asciiTheme="minorHAnsi" w:hAnsiTheme="minorHAnsi"/>
                <w:sz w:val="24"/>
                <w:szCs w:val="24"/>
              </w:rPr>
              <w:t xml:space="preserve"> = 5.655,58 kn</w:t>
            </w:r>
          </w:p>
          <w:p w:rsidR="009D1C28" w:rsidRPr="009D1C28" w:rsidRDefault="009D1C28" w:rsidP="009D1C28">
            <w:pPr>
              <w:tabs>
                <w:tab w:val="left" w:pos="1860"/>
              </w:tabs>
              <w:spacing w:before="240"/>
              <w:rPr>
                <w:rFonts w:asciiTheme="minorHAnsi" w:hAnsiTheme="minorHAnsi"/>
                <w:sz w:val="24"/>
                <w:szCs w:val="24"/>
              </w:rPr>
            </w:pPr>
            <w:r w:rsidRPr="009D1C28">
              <w:rPr>
                <w:rFonts w:asciiTheme="minorHAnsi" w:hAnsiTheme="minorHAnsi"/>
                <w:bCs/>
                <w:i/>
                <w:iCs/>
                <w:color w:val="C00000"/>
                <w:sz w:val="24"/>
                <w:szCs w:val="24"/>
              </w:rPr>
              <w:lastRenderedPageBreak/>
              <w:t>Primjer:</w:t>
            </w:r>
            <w:r w:rsidRPr="009D1C28">
              <w:rPr>
                <w:rFonts w:asciiTheme="minorHAnsi" w:hAnsiTheme="minorHAnsi"/>
                <w:b/>
                <w:bCs/>
                <w:i/>
                <w:iCs/>
                <w:color w:val="C00000"/>
                <w:sz w:val="24"/>
                <w:szCs w:val="24"/>
              </w:rPr>
              <w:t xml:space="preserve"> </w:t>
            </w:r>
            <w:r w:rsidRPr="009D1C28">
              <w:rPr>
                <w:rFonts w:asciiTheme="minorHAnsi" w:hAnsiTheme="minorHAnsi"/>
                <w:sz w:val="24"/>
                <w:szCs w:val="24"/>
              </w:rPr>
              <w:t>Uz pomoć formule za odnos sadašnje i buduće vrijednosti, izračunajte sadašnju vrijednost iznosa od 112,36 kuna koje ćemo uz kamatnu stopu 6 % dobiti za dvije godine</w:t>
            </w:r>
          </w:p>
          <w:p w:rsidR="009D1C28" w:rsidRPr="009D1C28" w:rsidRDefault="009D1C28" w:rsidP="009D1C28">
            <w:pPr>
              <w:tabs>
                <w:tab w:val="left" w:pos="1860"/>
              </w:tabs>
              <w:jc w:val="center"/>
              <w:rPr>
                <w:rFonts w:asciiTheme="minorHAnsi" w:hAnsiTheme="minorHAnsi"/>
                <w:sz w:val="24"/>
                <w:szCs w:val="24"/>
              </w:rPr>
            </w:pPr>
            <w:r w:rsidRPr="009D1C28">
              <w:rPr>
                <w:noProof/>
                <w:sz w:val="24"/>
                <w:szCs w:val="24"/>
              </w:rPr>
              <w:drawing>
                <wp:inline distT="0" distB="0" distL="0" distR="0" wp14:anchorId="4B5E70D5" wp14:editId="011B71ED">
                  <wp:extent cx="5248275" cy="1228725"/>
                  <wp:effectExtent l="19050" t="0" r="9525" b="0"/>
                  <wp:docPr id="1123" name="Slika 1122" descr="Slika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png"/>
                          <pic:cNvPicPr/>
                        </pic:nvPicPr>
                        <pic:blipFill>
                          <a:blip r:embed="rId146" cstate="print"/>
                          <a:stretch>
                            <a:fillRect/>
                          </a:stretch>
                        </pic:blipFill>
                        <pic:spPr>
                          <a:xfrm>
                            <a:off x="0" y="0"/>
                            <a:ext cx="5248275" cy="1228725"/>
                          </a:xfrm>
                          <a:prstGeom prst="rect">
                            <a:avLst/>
                          </a:prstGeom>
                        </pic:spPr>
                      </pic:pic>
                    </a:graphicData>
                  </a:graphic>
                </wp:inline>
              </w:drawing>
            </w:r>
          </w:p>
          <w:p w:rsidR="009D1C28" w:rsidRPr="009D1C28" w:rsidRDefault="009D1C28" w:rsidP="009D1C28">
            <w:pPr>
              <w:tabs>
                <w:tab w:val="left" w:pos="1860"/>
              </w:tabs>
              <w:rPr>
                <w:rFonts w:asciiTheme="minorHAnsi" w:hAnsiTheme="minorHAnsi"/>
                <w:b/>
                <w:bCs/>
                <w:i/>
                <w:iCs/>
                <w:sz w:val="24"/>
                <w:szCs w:val="24"/>
              </w:rPr>
            </w:pPr>
          </w:p>
          <w:p w:rsidR="009D1C28" w:rsidRPr="009D1C28" w:rsidRDefault="009D1C28" w:rsidP="009D1C28">
            <w:pPr>
              <w:tabs>
                <w:tab w:val="left" w:pos="1860"/>
              </w:tabs>
              <w:rPr>
                <w:rFonts w:asciiTheme="minorHAnsi" w:hAnsiTheme="minorHAnsi"/>
                <w:bCs/>
                <w:i/>
                <w:iCs/>
                <w:color w:val="C00000"/>
                <w:sz w:val="24"/>
                <w:szCs w:val="24"/>
              </w:rPr>
            </w:pPr>
          </w:p>
          <w:p w:rsidR="009D1C28" w:rsidRPr="009D1C28" w:rsidRDefault="009D1C28" w:rsidP="009D1C28">
            <w:pPr>
              <w:tabs>
                <w:tab w:val="left" w:pos="1860"/>
              </w:tabs>
              <w:rPr>
                <w:rFonts w:asciiTheme="minorHAnsi" w:hAnsiTheme="minorHAnsi"/>
                <w:sz w:val="24"/>
                <w:szCs w:val="24"/>
              </w:rPr>
            </w:pPr>
            <w:r w:rsidRPr="009D1C28">
              <w:rPr>
                <w:rFonts w:asciiTheme="minorHAnsi" w:hAnsiTheme="minorHAnsi"/>
                <w:bCs/>
                <w:i/>
                <w:iCs/>
                <w:color w:val="C00000"/>
                <w:sz w:val="24"/>
                <w:szCs w:val="24"/>
              </w:rPr>
              <w:t>Primjer:</w:t>
            </w:r>
            <w:r w:rsidRPr="009D1C28">
              <w:rPr>
                <w:rFonts w:asciiTheme="minorHAnsi" w:hAnsiTheme="minorHAnsi"/>
                <w:b/>
                <w:bCs/>
                <w:i/>
                <w:iCs/>
                <w:color w:val="C00000"/>
                <w:sz w:val="24"/>
                <w:szCs w:val="24"/>
              </w:rPr>
              <w:t xml:space="preserve"> </w:t>
            </w:r>
            <w:r w:rsidRPr="009D1C28">
              <w:rPr>
                <w:rFonts w:asciiTheme="minorHAnsi" w:hAnsiTheme="minorHAnsi"/>
                <w:sz w:val="24"/>
                <w:szCs w:val="24"/>
              </w:rPr>
              <w:t xml:space="preserve">Pretpostavimo da sljedeće godine trebamo 3.000 kuna za kupnju novog mobitela. Ako je kamatna stopa 3 % godišnje, koliko novca trebamo odvojiti danas i oročiti u banku na godinu dana kako bismo imali dovoljno za kupnju mobitela? </w:t>
            </w:r>
          </w:p>
          <w:p w:rsidR="009D1C28" w:rsidRPr="009D1C28" w:rsidRDefault="009D1C28" w:rsidP="009D1C28">
            <w:pPr>
              <w:tabs>
                <w:tab w:val="left" w:pos="1860"/>
              </w:tabs>
              <w:rPr>
                <w:rFonts w:asciiTheme="minorHAnsi" w:hAnsiTheme="minorHAnsi"/>
                <w:sz w:val="24"/>
                <w:szCs w:val="24"/>
              </w:rPr>
            </w:pPr>
          </w:p>
          <w:p w:rsidR="009D1C28" w:rsidRPr="009D1C28" w:rsidRDefault="009D1C28" w:rsidP="009D1C28">
            <w:pPr>
              <w:tabs>
                <w:tab w:val="left" w:pos="1860"/>
              </w:tabs>
              <w:rPr>
                <w:rFonts w:asciiTheme="minorHAnsi" w:hAnsiTheme="minorHAnsi"/>
                <w:sz w:val="24"/>
                <w:szCs w:val="24"/>
              </w:rPr>
            </w:pPr>
            <w:r w:rsidRPr="009D1C28">
              <w:rPr>
                <w:rFonts w:asciiTheme="minorHAnsi" w:hAnsiTheme="minorHAnsi"/>
                <w:sz w:val="24"/>
                <w:szCs w:val="24"/>
              </w:rPr>
              <w:t>U tu svrhu izračunat ćemo sadašnju vrijednost budućeg novčanog tijeka od 3.000 kuna.</w:t>
            </w:r>
          </w:p>
          <w:p w:rsidR="009D1C28" w:rsidRPr="009D1C28" w:rsidRDefault="009D1C28" w:rsidP="009D1C28">
            <w:pPr>
              <w:tabs>
                <w:tab w:val="left" w:pos="1860"/>
              </w:tabs>
              <w:jc w:val="center"/>
              <w:rPr>
                <w:rFonts w:asciiTheme="minorHAnsi" w:hAnsiTheme="minorHAnsi"/>
                <w:sz w:val="24"/>
                <w:szCs w:val="24"/>
              </w:rPr>
            </w:pPr>
            <w:r w:rsidRPr="009D1C28">
              <w:rPr>
                <w:noProof/>
                <w:sz w:val="24"/>
                <w:szCs w:val="24"/>
              </w:rPr>
              <w:drawing>
                <wp:inline distT="0" distB="0" distL="0" distR="0" wp14:anchorId="14EE3CB5" wp14:editId="129BBAA8">
                  <wp:extent cx="2819400" cy="762000"/>
                  <wp:effectExtent l="19050" t="0" r="0" b="0"/>
                  <wp:docPr id="1124" name="Slika 1123" descr="Slika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png"/>
                          <pic:cNvPicPr/>
                        </pic:nvPicPr>
                        <pic:blipFill>
                          <a:blip r:embed="rId147" cstate="print"/>
                          <a:stretch>
                            <a:fillRect/>
                          </a:stretch>
                        </pic:blipFill>
                        <pic:spPr>
                          <a:xfrm>
                            <a:off x="0" y="0"/>
                            <a:ext cx="2819400" cy="762000"/>
                          </a:xfrm>
                          <a:prstGeom prst="rect">
                            <a:avLst/>
                          </a:prstGeom>
                        </pic:spPr>
                      </pic:pic>
                    </a:graphicData>
                  </a:graphic>
                </wp:inline>
              </w:drawing>
            </w:r>
          </w:p>
          <w:p w:rsidR="009D1C28" w:rsidRPr="009D1C28" w:rsidRDefault="009D1C28" w:rsidP="009D1C28">
            <w:pPr>
              <w:tabs>
                <w:tab w:val="left" w:pos="1860"/>
              </w:tabs>
              <w:rPr>
                <w:rFonts w:asciiTheme="minorHAnsi" w:hAnsiTheme="minorHAnsi"/>
                <w:sz w:val="24"/>
                <w:szCs w:val="24"/>
              </w:rPr>
            </w:pPr>
          </w:p>
          <w:p w:rsidR="009D1C28" w:rsidRDefault="009D1C28" w:rsidP="00C87686">
            <w:pPr>
              <w:tabs>
                <w:tab w:val="left" w:pos="1860"/>
              </w:tabs>
              <w:jc w:val="center"/>
            </w:pPr>
            <w:r>
              <w:rPr>
                <w:rFonts w:asciiTheme="minorHAnsi" w:eastAsiaTheme="minorHAnsi" w:hAnsiTheme="minorHAnsi" w:cstheme="minorBidi"/>
                <w:sz w:val="22"/>
                <w:szCs w:val="22"/>
                <w:lang w:eastAsia="en-US"/>
              </w:rPr>
              <w:object w:dxaOrig="8385" w:dyaOrig="3720">
                <v:shape id="_x0000_i1053" type="#_x0000_t75" style="width:420pt;height:186pt" o:ole="">
                  <v:imagedata r:id="rId148" o:title=""/>
                </v:shape>
                <o:OLEObject Type="Embed" ProgID="PBrush" ShapeID="_x0000_i1053" DrawAspect="Content" ObjectID="_1505681381" r:id="rId149"/>
              </w:object>
            </w:r>
          </w:p>
          <w:p w:rsidR="009D1C28" w:rsidRPr="009D1C28" w:rsidRDefault="009D1C28" w:rsidP="009D1C28">
            <w:pPr>
              <w:tabs>
                <w:tab w:val="left" w:pos="1860"/>
              </w:tabs>
              <w:spacing w:before="240" w:line="276" w:lineRule="auto"/>
              <w:rPr>
                <w:rFonts w:asciiTheme="minorHAnsi" w:hAnsiTheme="minorHAnsi"/>
                <w:sz w:val="24"/>
                <w:szCs w:val="24"/>
              </w:rPr>
            </w:pPr>
            <w:r w:rsidRPr="009D1C28">
              <w:rPr>
                <w:rFonts w:asciiTheme="minorHAnsi" w:hAnsiTheme="minorHAnsi"/>
                <w:bCs/>
                <w:i/>
                <w:iCs/>
                <w:color w:val="C00000"/>
                <w:sz w:val="24"/>
                <w:szCs w:val="24"/>
              </w:rPr>
              <w:t>Primjer:</w:t>
            </w:r>
            <w:r w:rsidRPr="009D1C28">
              <w:rPr>
                <w:rFonts w:asciiTheme="minorHAnsi" w:hAnsiTheme="minorHAnsi"/>
                <w:b/>
                <w:bCs/>
                <w:i/>
                <w:iCs/>
                <w:color w:val="C00000"/>
                <w:sz w:val="24"/>
                <w:szCs w:val="24"/>
              </w:rPr>
              <w:t xml:space="preserve"> </w:t>
            </w:r>
            <w:r w:rsidRPr="009D1C28">
              <w:rPr>
                <w:rFonts w:asciiTheme="minorHAnsi" w:hAnsiTheme="minorHAnsi"/>
                <w:sz w:val="24"/>
                <w:szCs w:val="24"/>
              </w:rPr>
              <w:t xml:space="preserve">Pretpostavimo da je štediša oročio 200 kuna depozita na rok od 5 godina uz godišnju kamatnu stopu 3%. Izračunajte vrijednost štednog uloga nakon pete godine te ukupan iznos složenih kamata, ako se ukamaćivanje vrši na kraju svakog polugodišta uz proporcionalnu metodu i dekurzivni način obračuna kamata. </w:t>
            </w:r>
          </w:p>
          <w:p w:rsidR="009D1C28" w:rsidRPr="009D1C28" w:rsidRDefault="009D1C28" w:rsidP="009D1C28">
            <w:pPr>
              <w:tabs>
                <w:tab w:val="left" w:pos="1860"/>
              </w:tabs>
              <w:spacing w:line="276" w:lineRule="auto"/>
              <w:rPr>
                <w:rFonts w:asciiTheme="minorHAnsi" w:hAnsiTheme="minorHAnsi"/>
                <w:sz w:val="24"/>
                <w:szCs w:val="24"/>
              </w:rPr>
            </w:pPr>
          </w:p>
          <w:p w:rsidR="009D1C28" w:rsidRPr="009D1C28" w:rsidRDefault="009D1C28" w:rsidP="009D1C28">
            <w:pPr>
              <w:tabs>
                <w:tab w:val="left" w:pos="1860"/>
              </w:tabs>
              <w:spacing w:line="276" w:lineRule="auto"/>
              <w:rPr>
                <w:rFonts w:asciiTheme="minorHAnsi" w:hAnsiTheme="minorHAnsi"/>
                <w:b/>
                <w:bCs/>
                <w:sz w:val="24"/>
                <w:szCs w:val="24"/>
              </w:rPr>
            </w:pPr>
            <w:r w:rsidRPr="009D1C28">
              <w:rPr>
                <w:rFonts w:asciiTheme="minorHAnsi" w:hAnsiTheme="minorHAnsi"/>
                <w:sz w:val="24"/>
                <w:szCs w:val="24"/>
              </w:rPr>
              <w:t xml:space="preserve">Ako je nominalni kamatnjak godišnji, a </w:t>
            </w:r>
            <w:r w:rsidRPr="009D1C28">
              <w:rPr>
                <w:rFonts w:asciiTheme="minorHAnsi" w:hAnsiTheme="minorHAnsi"/>
                <w:i/>
                <w:iCs/>
                <w:sz w:val="24"/>
                <w:szCs w:val="24"/>
              </w:rPr>
              <w:t xml:space="preserve">ukamaćivanje polugodišnje </w:t>
            </w:r>
            <w:r w:rsidRPr="009D1C28">
              <w:rPr>
                <w:rFonts w:asciiTheme="minorHAnsi" w:hAnsiTheme="minorHAnsi"/>
                <w:sz w:val="24"/>
                <w:szCs w:val="24"/>
              </w:rPr>
              <w:t>(</w:t>
            </w:r>
            <w:r w:rsidRPr="009D1C28">
              <w:rPr>
                <w:rFonts w:asciiTheme="minorHAnsi" w:hAnsiTheme="minorHAnsi"/>
                <w:i/>
                <w:iCs/>
                <w:sz w:val="24"/>
                <w:szCs w:val="24"/>
              </w:rPr>
              <w:t xml:space="preserve">k </w:t>
            </w:r>
            <w:r w:rsidRPr="009D1C28">
              <w:rPr>
                <w:rFonts w:asciiTheme="minorHAnsi" w:hAnsiTheme="minorHAnsi"/>
                <w:sz w:val="24"/>
                <w:szCs w:val="24"/>
              </w:rPr>
              <w:t xml:space="preserve">= 2), potrebno je izračunati </w:t>
            </w:r>
            <w:r w:rsidRPr="00285C8B">
              <w:rPr>
                <w:rFonts w:asciiTheme="minorHAnsi" w:hAnsiTheme="minorHAnsi"/>
                <w:bCs/>
                <w:color w:val="C00000"/>
                <w:sz w:val="24"/>
                <w:szCs w:val="24"/>
              </w:rPr>
              <w:t>relativni polugodišnji kamatnjak</w:t>
            </w:r>
          </w:p>
          <w:p w:rsidR="009D1C28" w:rsidRDefault="009D1C28" w:rsidP="009D1C28">
            <w:pPr>
              <w:tabs>
                <w:tab w:val="left" w:pos="1860"/>
              </w:tabs>
              <w:spacing w:line="276" w:lineRule="auto"/>
              <w:jc w:val="center"/>
              <w:rPr>
                <w:sz w:val="24"/>
                <w:szCs w:val="24"/>
              </w:rPr>
            </w:pPr>
            <w:r w:rsidRPr="00D0255E">
              <w:rPr>
                <w:noProof/>
                <w:sz w:val="24"/>
                <w:szCs w:val="24"/>
              </w:rPr>
              <w:drawing>
                <wp:inline distT="0" distB="0" distL="0" distR="0" wp14:anchorId="7B548845" wp14:editId="74FCC154">
                  <wp:extent cx="4162425" cy="533400"/>
                  <wp:effectExtent l="19050" t="0" r="9525" b="0"/>
                  <wp:docPr id="1126" name="Slika 1125" descr="Slika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png"/>
                          <pic:cNvPicPr/>
                        </pic:nvPicPr>
                        <pic:blipFill>
                          <a:blip r:embed="rId150" cstate="print"/>
                          <a:stretch>
                            <a:fillRect/>
                          </a:stretch>
                        </pic:blipFill>
                        <pic:spPr>
                          <a:xfrm>
                            <a:off x="0" y="0"/>
                            <a:ext cx="4162425" cy="533400"/>
                          </a:xfrm>
                          <a:prstGeom prst="rect">
                            <a:avLst/>
                          </a:prstGeom>
                        </pic:spPr>
                      </pic:pic>
                    </a:graphicData>
                  </a:graphic>
                </wp:inline>
              </w:drawing>
            </w:r>
          </w:p>
          <w:p w:rsidR="009D1C28" w:rsidRPr="00D0255E" w:rsidRDefault="009D1C28" w:rsidP="009D1C28">
            <w:pPr>
              <w:tabs>
                <w:tab w:val="left" w:pos="1860"/>
              </w:tabs>
              <w:spacing w:line="276" w:lineRule="auto"/>
              <w:jc w:val="center"/>
              <w:rPr>
                <w:sz w:val="24"/>
                <w:szCs w:val="24"/>
              </w:rPr>
            </w:pPr>
          </w:p>
          <w:p w:rsidR="009D1C28" w:rsidRPr="009D1C28" w:rsidRDefault="009D1C28" w:rsidP="009D1C28">
            <w:pPr>
              <w:tabs>
                <w:tab w:val="left" w:pos="1860"/>
              </w:tabs>
              <w:spacing w:before="120" w:line="276" w:lineRule="auto"/>
              <w:rPr>
                <w:rFonts w:asciiTheme="minorHAnsi" w:hAnsiTheme="minorHAnsi"/>
                <w:sz w:val="24"/>
                <w:szCs w:val="24"/>
              </w:rPr>
            </w:pPr>
            <w:r w:rsidRPr="009D1C28">
              <w:rPr>
                <w:rFonts w:asciiTheme="minorHAnsi" w:hAnsiTheme="minorHAnsi"/>
                <w:sz w:val="24"/>
                <w:szCs w:val="24"/>
              </w:rPr>
              <w:lastRenderedPageBreak/>
              <w:t xml:space="preserve">S obzirom na to da je iznos od 200 kuna štediša oročio na pet godina (što je jednako 10 polugodišta obračuna složenih kamata, </w:t>
            </w:r>
            <w:r w:rsidRPr="009D1C28">
              <w:rPr>
                <w:rFonts w:asciiTheme="minorHAnsi" w:hAnsiTheme="minorHAnsi"/>
                <w:i/>
                <w:iCs/>
                <w:sz w:val="24"/>
                <w:szCs w:val="24"/>
              </w:rPr>
              <w:t xml:space="preserve">t </w:t>
            </w:r>
            <w:r w:rsidRPr="009D1C28">
              <w:rPr>
                <w:rFonts w:asciiTheme="minorHAnsi" w:hAnsiTheme="minorHAnsi"/>
                <w:sz w:val="24"/>
                <w:szCs w:val="24"/>
              </w:rPr>
              <w:t xml:space="preserve">= </w:t>
            </w:r>
            <w:r w:rsidRPr="009D1C28">
              <w:rPr>
                <w:rFonts w:asciiTheme="minorHAnsi" w:hAnsiTheme="minorHAnsi"/>
                <w:i/>
                <w:iCs/>
                <w:sz w:val="24"/>
                <w:szCs w:val="24"/>
              </w:rPr>
              <w:t xml:space="preserve">h </w:t>
            </w:r>
            <w:r w:rsidRPr="009D1C28">
              <w:rPr>
                <w:rFonts w:asciiTheme="minorHAnsi" w:hAnsiTheme="minorHAnsi"/>
                <w:sz w:val="24"/>
                <w:szCs w:val="24"/>
              </w:rPr>
              <w:t>= 10), nakon pete godine raspolagat će iznosom:</w:t>
            </w:r>
          </w:p>
          <w:p w:rsidR="009D1C28" w:rsidRPr="009D1C28" w:rsidRDefault="009D1C28" w:rsidP="009D1C28">
            <w:pPr>
              <w:tabs>
                <w:tab w:val="left" w:pos="1860"/>
              </w:tabs>
              <w:spacing w:line="276" w:lineRule="auto"/>
              <w:rPr>
                <w:rFonts w:asciiTheme="minorHAnsi" w:hAnsiTheme="minorHAnsi"/>
                <w:sz w:val="24"/>
                <w:szCs w:val="24"/>
              </w:rPr>
            </w:pPr>
          </w:p>
          <w:p w:rsidR="009D1C28" w:rsidRPr="009D1C28" w:rsidRDefault="009D1C28" w:rsidP="009D1C28">
            <w:pPr>
              <w:tabs>
                <w:tab w:val="left" w:pos="1860"/>
              </w:tabs>
              <w:spacing w:line="276" w:lineRule="auto"/>
              <w:rPr>
                <w:rFonts w:asciiTheme="minorHAnsi" w:hAnsiTheme="minorHAnsi"/>
                <w:sz w:val="24"/>
                <w:szCs w:val="24"/>
              </w:rPr>
            </w:pPr>
            <w:r w:rsidRPr="009D1C28">
              <w:rPr>
                <w:noProof/>
                <w:sz w:val="24"/>
                <w:szCs w:val="24"/>
              </w:rPr>
              <w:drawing>
                <wp:inline distT="0" distB="0" distL="0" distR="0" wp14:anchorId="1F919826" wp14:editId="2F869B2F">
                  <wp:extent cx="5760720" cy="401320"/>
                  <wp:effectExtent l="19050" t="0" r="0" b="0"/>
                  <wp:docPr id="1127" name="Slika 1126" descr="Slika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png"/>
                          <pic:cNvPicPr/>
                        </pic:nvPicPr>
                        <pic:blipFill>
                          <a:blip r:embed="rId151" cstate="print"/>
                          <a:stretch>
                            <a:fillRect/>
                          </a:stretch>
                        </pic:blipFill>
                        <pic:spPr>
                          <a:xfrm>
                            <a:off x="0" y="0"/>
                            <a:ext cx="5760720" cy="401320"/>
                          </a:xfrm>
                          <a:prstGeom prst="rect">
                            <a:avLst/>
                          </a:prstGeom>
                        </pic:spPr>
                      </pic:pic>
                    </a:graphicData>
                  </a:graphic>
                </wp:inline>
              </w:drawing>
            </w:r>
          </w:p>
          <w:p w:rsidR="009D1C28" w:rsidRPr="009D1C28" w:rsidRDefault="009D1C28" w:rsidP="009D1C28">
            <w:pPr>
              <w:tabs>
                <w:tab w:val="left" w:pos="1860"/>
              </w:tabs>
              <w:spacing w:line="276" w:lineRule="auto"/>
              <w:rPr>
                <w:rFonts w:asciiTheme="minorHAnsi" w:hAnsiTheme="minorHAnsi"/>
                <w:sz w:val="24"/>
                <w:szCs w:val="24"/>
              </w:rPr>
            </w:pPr>
            <w:r w:rsidRPr="009D1C28">
              <w:rPr>
                <w:rFonts w:asciiTheme="minorHAnsi" w:hAnsiTheme="minorHAnsi"/>
                <w:i/>
                <w:iCs/>
                <w:sz w:val="24"/>
                <w:szCs w:val="24"/>
              </w:rPr>
              <w:t xml:space="preserve">Ukupne složene kamate nakon pet godina </w:t>
            </w:r>
            <w:r w:rsidRPr="009D1C28">
              <w:rPr>
                <w:rFonts w:asciiTheme="minorHAnsi" w:hAnsiTheme="minorHAnsi"/>
                <w:sz w:val="24"/>
                <w:szCs w:val="24"/>
              </w:rPr>
              <w:t xml:space="preserve">obračunate </w:t>
            </w:r>
            <w:r w:rsidRPr="009D1C28">
              <w:rPr>
                <w:rFonts w:asciiTheme="minorHAnsi" w:hAnsiTheme="minorHAnsi"/>
                <w:i/>
                <w:iCs/>
                <w:sz w:val="24"/>
                <w:szCs w:val="24"/>
              </w:rPr>
              <w:t xml:space="preserve">proporcionalnom metodom </w:t>
            </w:r>
            <w:r w:rsidRPr="009D1C28">
              <w:rPr>
                <w:rFonts w:asciiTheme="minorHAnsi" w:hAnsiTheme="minorHAnsi"/>
                <w:sz w:val="24"/>
                <w:szCs w:val="24"/>
              </w:rPr>
              <w:t>uz polugodišnji obračun kamata iznose I = C</w:t>
            </w:r>
            <w:r w:rsidRPr="009D1C28">
              <w:rPr>
                <w:rFonts w:asciiTheme="minorHAnsi" w:hAnsiTheme="minorHAnsi"/>
                <w:sz w:val="24"/>
                <w:szCs w:val="24"/>
                <w:vertAlign w:val="subscript"/>
              </w:rPr>
              <w:t>10</w:t>
            </w:r>
            <w:r w:rsidRPr="009D1C28">
              <w:rPr>
                <w:rFonts w:asciiTheme="minorHAnsi" w:hAnsiTheme="minorHAnsi"/>
                <w:sz w:val="24"/>
                <w:szCs w:val="24"/>
              </w:rPr>
              <w:t xml:space="preserve"> – C</w:t>
            </w:r>
            <w:r w:rsidRPr="009D1C28">
              <w:rPr>
                <w:rFonts w:asciiTheme="minorHAnsi" w:hAnsiTheme="minorHAnsi"/>
                <w:sz w:val="24"/>
                <w:szCs w:val="24"/>
                <w:vertAlign w:val="subscript"/>
              </w:rPr>
              <w:t>0</w:t>
            </w:r>
            <w:r w:rsidRPr="009D1C28">
              <w:rPr>
                <w:rFonts w:asciiTheme="minorHAnsi" w:hAnsiTheme="minorHAnsi"/>
                <w:sz w:val="24"/>
                <w:szCs w:val="24"/>
              </w:rPr>
              <w:t xml:space="preserve"> = 32,11 kn.</w:t>
            </w:r>
          </w:p>
          <w:p w:rsidR="009D1C28" w:rsidRPr="009D1C28" w:rsidRDefault="009D1C28" w:rsidP="009D1C28">
            <w:pPr>
              <w:tabs>
                <w:tab w:val="left" w:pos="1860"/>
              </w:tabs>
              <w:spacing w:line="276" w:lineRule="auto"/>
              <w:rPr>
                <w:rFonts w:asciiTheme="minorHAnsi" w:hAnsiTheme="minorHAnsi"/>
                <w:sz w:val="24"/>
                <w:szCs w:val="24"/>
              </w:rPr>
            </w:pPr>
          </w:p>
          <w:p w:rsidR="009D1C28" w:rsidRPr="00D0255E" w:rsidRDefault="009D1C28" w:rsidP="009D1C28">
            <w:pPr>
              <w:tabs>
                <w:tab w:val="left" w:pos="1860"/>
              </w:tabs>
              <w:spacing w:line="276" w:lineRule="auto"/>
              <w:rPr>
                <w:sz w:val="24"/>
                <w:szCs w:val="24"/>
              </w:rPr>
            </w:pPr>
            <w:r w:rsidRPr="00D0255E">
              <w:rPr>
                <w:noProof/>
                <w:sz w:val="24"/>
                <w:szCs w:val="24"/>
              </w:rPr>
              <w:drawing>
                <wp:inline distT="0" distB="0" distL="0" distR="0" wp14:anchorId="59FC2873" wp14:editId="39A89D78">
                  <wp:extent cx="5760720" cy="2067560"/>
                  <wp:effectExtent l="19050" t="0" r="0" b="0"/>
                  <wp:docPr id="1128" name="Slika 1127" descr="Slika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png"/>
                          <pic:cNvPicPr/>
                        </pic:nvPicPr>
                        <pic:blipFill>
                          <a:blip r:embed="rId152" cstate="print"/>
                          <a:stretch>
                            <a:fillRect/>
                          </a:stretch>
                        </pic:blipFill>
                        <pic:spPr>
                          <a:xfrm>
                            <a:off x="0" y="0"/>
                            <a:ext cx="5760720" cy="2067560"/>
                          </a:xfrm>
                          <a:prstGeom prst="rect">
                            <a:avLst/>
                          </a:prstGeom>
                        </pic:spPr>
                      </pic:pic>
                    </a:graphicData>
                  </a:graphic>
                </wp:inline>
              </w:drawing>
            </w:r>
          </w:p>
          <w:p w:rsidR="009D1C28" w:rsidRPr="009D1C28" w:rsidRDefault="00945CE4" w:rsidP="009D1C28">
            <w:pPr>
              <w:tabs>
                <w:tab w:val="left" w:pos="1860"/>
              </w:tabs>
              <w:rPr>
                <w:rFonts w:asciiTheme="minorHAnsi" w:hAnsiTheme="minorHAnsi"/>
                <w:sz w:val="24"/>
                <w:szCs w:val="24"/>
              </w:rPr>
            </w:pPr>
            <w:r w:rsidRPr="00D0255E">
              <w:rPr>
                <w:noProof/>
                <w:sz w:val="24"/>
                <w:szCs w:val="24"/>
              </w:rPr>
              <w:drawing>
                <wp:inline distT="0" distB="0" distL="0" distR="0" wp14:anchorId="14ADC855" wp14:editId="69EB2025">
                  <wp:extent cx="5760720" cy="3185795"/>
                  <wp:effectExtent l="19050" t="0" r="0" b="0"/>
                  <wp:docPr id="1129" name="Slika 1128" descr="Slika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7.png"/>
                          <pic:cNvPicPr/>
                        </pic:nvPicPr>
                        <pic:blipFill>
                          <a:blip r:embed="rId153" cstate="print"/>
                          <a:stretch>
                            <a:fillRect/>
                          </a:stretch>
                        </pic:blipFill>
                        <pic:spPr>
                          <a:xfrm>
                            <a:off x="0" y="0"/>
                            <a:ext cx="5760720" cy="3185795"/>
                          </a:xfrm>
                          <a:prstGeom prst="rect">
                            <a:avLst/>
                          </a:prstGeom>
                        </pic:spPr>
                      </pic:pic>
                    </a:graphicData>
                  </a:graphic>
                </wp:inline>
              </w:drawing>
            </w:r>
          </w:p>
          <w:p w:rsidR="009D1C28" w:rsidRPr="009D1C28" w:rsidRDefault="009D1C28" w:rsidP="009D1C28">
            <w:pPr>
              <w:tabs>
                <w:tab w:val="left" w:pos="1860"/>
              </w:tabs>
              <w:jc w:val="center"/>
              <w:rPr>
                <w:rFonts w:asciiTheme="minorHAnsi" w:hAnsiTheme="minorHAnsi"/>
                <w:sz w:val="24"/>
                <w:szCs w:val="24"/>
              </w:rPr>
            </w:pPr>
          </w:p>
          <w:p w:rsidR="00945CE4" w:rsidRPr="00945CE4" w:rsidRDefault="00945CE4" w:rsidP="00945CE4">
            <w:pPr>
              <w:tabs>
                <w:tab w:val="left" w:pos="1860"/>
              </w:tabs>
              <w:spacing w:line="276" w:lineRule="auto"/>
              <w:rPr>
                <w:rFonts w:asciiTheme="minorHAnsi" w:hAnsiTheme="minorHAnsi"/>
                <w:sz w:val="24"/>
                <w:szCs w:val="24"/>
              </w:rPr>
            </w:pPr>
            <w:r w:rsidRPr="00945CE4">
              <w:rPr>
                <w:rFonts w:asciiTheme="minorHAnsi" w:hAnsiTheme="minorHAnsi"/>
                <w:color w:val="C00000"/>
                <w:sz w:val="24"/>
                <w:szCs w:val="24"/>
              </w:rPr>
              <w:t xml:space="preserve">Primjer: </w:t>
            </w:r>
            <w:r w:rsidRPr="00945CE4">
              <w:rPr>
                <w:rFonts w:asciiTheme="minorHAnsi" w:hAnsiTheme="minorHAnsi"/>
                <w:sz w:val="24"/>
                <w:szCs w:val="24"/>
              </w:rPr>
              <w:t xml:space="preserve">Štediša je oročio 6.000 kuna depozita na rok od 3 godine uz kamatnu stopu 4 % godišnje. Ukamaćivanje je polugodišnje, a obračun kamata je složen i dekurzivan. Izračunajte </w:t>
            </w:r>
            <w:r w:rsidRPr="00945CE4">
              <w:rPr>
                <w:rFonts w:asciiTheme="minorHAnsi" w:hAnsiTheme="minorHAnsi"/>
                <w:i/>
                <w:iCs/>
                <w:sz w:val="24"/>
                <w:szCs w:val="24"/>
              </w:rPr>
              <w:t>C</w:t>
            </w:r>
            <w:r w:rsidRPr="00945CE4">
              <w:rPr>
                <w:rFonts w:asciiTheme="minorHAnsi" w:hAnsiTheme="minorHAnsi"/>
                <w:sz w:val="24"/>
                <w:szCs w:val="24"/>
              </w:rPr>
              <w:t>3 i ukupne složene kamate I uz primjenu proporcionalne metode.</w:t>
            </w:r>
          </w:p>
          <w:p w:rsidR="00945CE4" w:rsidRPr="00945CE4" w:rsidRDefault="00945CE4" w:rsidP="00945CE4">
            <w:pPr>
              <w:tabs>
                <w:tab w:val="left" w:pos="1860"/>
              </w:tabs>
              <w:spacing w:line="276" w:lineRule="auto"/>
              <w:jc w:val="center"/>
              <w:rPr>
                <w:rFonts w:asciiTheme="minorHAnsi" w:hAnsiTheme="minorHAnsi"/>
                <w:sz w:val="24"/>
                <w:szCs w:val="24"/>
              </w:rPr>
            </w:pPr>
            <w:r w:rsidRPr="00945CE4">
              <w:rPr>
                <w:rFonts w:asciiTheme="minorHAnsi" w:hAnsiTheme="minorHAnsi"/>
                <w:sz w:val="24"/>
                <w:szCs w:val="24"/>
              </w:rPr>
              <w:t>rr = 0,04/2 = 0,02</w:t>
            </w:r>
          </w:p>
          <w:p w:rsidR="00945CE4" w:rsidRPr="00945CE4" w:rsidRDefault="00945CE4" w:rsidP="00945CE4">
            <w:pPr>
              <w:tabs>
                <w:tab w:val="left" w:pos="1860"/>
              </w:tabs>
              <w:spacing w:line="276" w:lineRule="auto"/>
              <w:jc w:val="center"/>
              <w:rPr>
                <w:rFonts w:asciiTheme="minorHAnsi" w:hAnsiTheme="minorHAnsi"/>
                <w:sz w:val="24"/>
                <w:szCs w:val="24"/>
              </w:rPr>
            </w:pPr>
            <w:r w:rsidRPr="00945CE4">
              <w:rPr>
                <w:rFonts w:asciiTheme="minorHAnsi" w:hAnsiTheme="minorHAnsi"/>
                <w:sz w:val="24"/>
                <w:szCs w:val="24"/>
              </w:rPr>
              <w:t xml:space="preserve">Kako tri godine imaju šest polugodišta slijedi da je: </w:t>
            </w:r>
          </w:p>
          <w:p w:rsidR="00945CE4" w:rsidRPr="00945CE4" w:rsidRDefault="00945CE4" w:rsidP="00945CE4">
            <w:pPr>
              <w:tabs>
                <w:tab w:val="left" w:pos="1860"/>
              </w:tabs>
              <w:spacing w:line="276" w:lineRule="auto"/>
              <w:jc w:val="center"/>
              <w:rPr>
                <w:rFonts w:asciiTheme="minorHAnsi" w:hAnsiTheme="minorHAnsi"/>
                <w:sz w:val="24"/>
                <w:szCs w:val="24"/>
              </w:rPr>
            </w:pPr>
            <w:r w:rsidRPr="00945CE4">
              <w:rPr>
                <w:rFonts w:asciiTheme="minorHAnsi" w:hAnsiTheme="minorHAnsi"/>
                <w:sz w:val="24"/>
                <w:szCs w:val="24"/>
              </w:rPr>
              <w:t>C</w:t>
            </w:r>
            <w:r w:rsidRPr="00945CE4">
              <w:rPr>
                <w:rFonts w:asciiTheme="minorHAnsi" w:hAnsiTheme="minorHAnsi"/>
                <w:sz w:val="24"/>
                <w:szCs w:val="24"/>
                <w:vertAlign w:val="subscript"/>
              </w:rPr>
              <w:t>3</w:t>
            </w:r>
            <w:r w:rsidRPr="00945CE4">
              <w:rPr>
                <w:rFonts w:asciiTheme="minorHAnsi" w:hAnsiTheme="minorHAnsi"/>
                <w:sz w:val="24"/>
                <w:szCs w:val="24"/>
              </w:rPr>
              <w:t xml:space="preserve"> = 6.000 * (1 + 0,02)</w:t>
            </w:r>
            <w:r w:rsidRPr="00945CE4">
              <w:rPr>
                <w:rFonts w:asciiTheme="minorHAnsi" w:hAnsiTheme="minorHAnsi"/>
                <w:sz w:val="24"/>
                <w:szCs w:val="24"/>
                <w:vertAlign w:val="superscript"/>
              </w:rPr>
              <w:t>6</w:t>
            </w:r>
            <w:r w:rsidRPr="00945CE4">
              <w:rPr>
                <w:rFonts w:asciiTheme="minorHAnsi" w:hAnsiTheme="minorHAnsi"/>
                <w:sz w:val="24"/>
                <w:szCs w:val="24"/>
              </w:rPr>
              <w:t xml:space="preserve"> = 6.000,00 * 1,126162419264 = 6756,97 kn</w:t>
            </w:r>
          </w:p>
          <w:p w:rsidR="00945CE4" w:rsidRPr="00945CE4" w:rsidRDefault="00945CE4" w:rsidP="00945CE4">
            <w:pPr>
              <w:tabs>
                <w:tab w:val="left" w:pos="1860"/>
              </w:tabs>
              <w:spacing w:line="276" w:lineRule="auto"/>
              <w:jc w:val="center"/>
              <w:rPr>
                <w:rFonts w:asciiTheme="minorHAnsi" w:hAnsiTheme="minorHAnsi"/>
                <w:sz w:val="24"/>
                <w:szCs w:val="24"/>
              </w:rPr>
            </w:pPr>
            <w:r w:rsidRPr="00945CE4">
              <w:rPr>
                <w:rFonts w:asciiTheme="minorHAnsi" w:hAnsiTheme="minorHAnsi"/>
                <w:sz w:val="24"/>
                <w:szCs w:val="24"/>
              </w:rPr>
              <w:t>I = C</w:t>
            </w:r>
            <w:r w:rsidRPr="00945CE4">
              <w:rPr>
                <w:rFonts w:asciiTheme="minorHAnsi" w:hAnsiTheme="minorHAnsi"/>
                <w:sz w:val="24"/>
                <w:szCs w:val="24"/>
                <w:vertAlign w:val="subscript"/>
              </w:rPr>
              <w:t>3</w:t>
            </w:r>
            <w:r w:rsidRPr="00945CE4">
              <w:rPr>
                <w:rFonts w:asciiTheme="minorHAnsi" w:hAnsiTheme="minorHAnsi"/>
                <w:sz w:val="24"/>
                <w:szCs w:val="24"/>
              </w:rPr>
              <w:t xml:space="preserve"> – C</w:t>
            </w:r>
            <w:r w:rsidRPr="00945CE4">
              <w:rPr>
                <w:rFonts w:asciiTheme="minorHAnsi" w:hAnsiTheme="minorHAnsi"/>
                <w:sz w:val="24"/>
                <w:szCs w:val="24"/>
                <w:vertAlign w:val="subscript"/>
              </w:rPr>
              <w:t>0</w:t>
            </w:r>
            <w:r w:rsidRPr="00945CE4">
              <w:rPr>
                <w:rFonts w:asciiTheme="minorHAnsi" w:hAnsiTheme="minorHAnsi"/>
                <w:sz w:val="24"/>
                <w:szCs w:val="24"/>
              </w:rPr>
              <w:t xml:space="preserve"> = 6.756,97 – 6.000 = 756,97 kn</w:t>
            </w:r>
          </w:p>
          <w:p w:rsidR="00945CE4" w:rsidRDefault="004762E0" w:rsidP="00C87686">
            <w:pPr>
              <w:tabs>
                <w:tab w:val="left" w:pos="1860"/>
              </w:tabs>
              <w:spacing w:before="360" w:line="276" w:lineRule="auto"/>
              <w:jc w:val="center"/>
            </w:pPr>
            <w:r>
              <w:rPr>
                <w:rFonts w:asciiTheme="minorHAnsi" w:eastAsiaTheme="minorHAnsi" w:hAnsiTheme="minorHAnsi" w:cstheme="minorBidi"/>
                <w:sz w:val="22"/>
                <w:szCs w:val="22"/>
                <w:lang w:eastAsia="en-US"/>
              </w:rPr>
              <w:object w:dxaOrig="8160" w:dyaOrig="4980">
                <v:shape id="_x0000_i1054" type="#_x0000_t75" style="width:440.25pt;height:268.5pt" o:ole="">
                  <v:imagedata r:id="rId154" o:title=""/>
                </v:shape>
                <o:OLEObject Type="Embed" ProgID="PBrush" ShapeID="_x0000_i1054" DrawAspect="Content" ObjectID="_1505681382" r:id="rId155"/>
              </w:object>
            </w:r>
            <w:r>
              <w:rPr>
                <w:rFonts w:asciiTheme="minorHAnsi" w:eastAsiaTheme="minorHAnsi" w:hAnsiTheme="minorHAnsi" w:cstheme="minorBidi"/>
                <w:sz w:val="22"/>
                <w:szCs w:val="22"/>
                <w:lang w:eastAsia="en-US"/>
              </w:rPr>
              <w:object w:dxaOrig="7920" w:dyaOrig="4710">
                <v:shape id="_x0000_i1055" type="#_x0000_t75" style="width:440.25pt;height:261.75pt" o:ole="">
                  <v:imagedata r:id="rId156" o:title=""/>
                </v:shape>
                <o:OLEObject Type="Embed" ProgID="PBrush" ShapeID="_x0000_i1055" DrawAspect="Content" ObjectID="_1505681383" r:id="rId157"/>
              </w:object>
            </w:r>
          </w:p>
          <w:p w:rsidR="00945CE4" w:rsidRDefault="00945CE4" w:rsidP="00945CE4">
            <w:pPr>
              <w:tabs>
                <w:tab w:val="left" w:pos="1860"/>
              </w:tabs>
              <w:spacing w:before="240" w:line="276" w:lineRule="auto"/>
              <w:jc w:val="both"/>
              <w:rPr>
                <w:rFonts w:asciiTheme="minorHAnsi" w:hAnsiTheme="minorHAnsi"/>
                <w:bCs/>
                <w:i/>
                <w:iCs/>
                <w:color w:val="C00000"/>
                <w:sz w:val="24"/>
                <w:szCs w:val="24"/>
              </w:rPr>
            </w:pPr>
          </w:p>
          <w:p w:rsidR="00945CE4" w:rsidRPr="00945CE4" w:rsidRDefault="00945CE4" w:rsidP="00945CE4">
            <w:pPr>
              <w:tabs>
                <w:tab w:val="left" w:pos="1860"/>
              </w:tabs>
              <w:spacing w:line="276" w:lineRule="auto"/>
              <w:jc w:val="both"/>
              <w:rPr>
                <w:rFonts w:asciiTheme="minorHAnsi" w:hAnsiTheme="minorHAnsi"/>
                <w:sz w:val="24"/>
                <w:szCs w:val="24"/>
              </w:rPr>
            </w:pPr>
            <w:r w:rsidRPr="00945CE4">
              <w:rPr>
                <w:rFonts w:asciiTheme="minorHAnsi" w:hAnsiTheme="minorHAnsi"/>
                <w:bCs/>
                <w:i/>
                <w:iCs/>
                <w:color w:val="C00000"/>
                <w:sz w:val="24"/>
                <w:szCs w:val="24"/>
              </w:rPr>
              <w:t>Primjer:</w:t>
            </w:r>
            <w:r w:rsidRPr="00945CE4">
              <w:rPr>
                <w:rFonts w:asciiTheme="minorHAnsi" w:hAnsiTheme="minorHAnsi"/>
                <w:b/>
                <w:bCs/>
                <w:i/>
                <w:iCs/>
                <w:color w:val="C00000"/>
                <w:sz w:val="24"/>
                <w:szCs w:val="24"/>
              </w:rPr>
              <w:t xml:space="preserve"> </w:t>
            </w:r>
            <w:r w:rsidRPr="00945CE4">
              <w:rPr>
                <w:rFonts w:asciiTheme="minorHAnsi" w:hAnsiTheme="minorHAnsi"/>
                <w:sz w:val="24"/>
                <w:szCs w:val="24"/>
              </w:rPr>
              <w:t xml:space="preserve">Štediša je oročio 200 kuna na rok od 5 godina uz </w:t>
            </w:r>
            <w:r w:rsidRPr="00945CE4">
              <w:rPr>
                <w:rFonts w:asciiTheme="minorHAnsi" w:hAnsiTheme="minorHAnsi"/>
                <w:i/>
                <w:iCs/>
                <w:sz w:val="24"/>
                <w:szCs w:val="24"/>
              </w:rPr>
              <w:t xml:space="preserve">godišnju </w:t>
            </w:r>
            <w:r w:rsidRPr="00945CE4">
              <w:rPr>
                <w:rFonts w:asciiTheme="minorHAnsi" w:hAnsiTheme="minorHAnsi"/>
                <w:sz w:val="24"/>
                <w:szCs w:val="24"/>
              </w:rPr>
              <w:t xml:space="preserve">kamatnu stopu 3 %. Izračunajte konačnu vrijednost štednog uloga te ukupan iznos složenih kamata ako se ukamaćivanje vrši na kraju svakog </w:t>
            </w:r>
            <w:r w:rsidRPr="00945CE4">
              <w:rPr>
                <w:rFonts w:asciiTheme="minorHAnsi" w:hAnsiTheme="minorHAnsi"/>
                <w:i/>
                <w:iCs/>
                <w:sz w:val="24"/>
                <w:szCs w:val="24"/>
              </w:rPr>
              <w:t xml:space="preserve">polugodišta </w:t>
            </w:r>
            <w:r w:rsidRPr="00945CE4">
              <w:rPr>
                <w:rFonts w:asciiTheme="minorHAnsi" w:hAnsiTheme="minorHAnsi"/>
                <w:sz w:val="24"/>
                <w:szCs w:val="24"/>
              </w:rPr>
              <w:t xml:space="preserve">primjenom konformne kamatne stope. Uz </w:t>
            </w:r>
            <w:r w:rsidRPr="00945CE4">
              <w:rPr>
                <w:rFonts w:asciiTheme="minorHAnsi" w:hAnsiTheme="minorHAnsi"/>
                <w:i/>
                <w:iCs/>
                <w:sz w:val="24"/>
                <w:szCs w:val="24"/>
              </w:rPr>
              <w:t xml:space="preserve">k = 2 </w:t>
            </w:r>
            <w:r w:rsidRPr="00945CE4">
              <w:rPr>
                <w:rFonts w:asciiTheme="minorHAnsi" w:hAnsiTheme="minorHAnsi"/>
                <w:sz w:val="24"/>
                <w:szCs w:val="24"/>
              </w:rPr>
              <w:t xml:space="preserve">i godišnju nominalnu kamatnu stopu 3 % </w:t>
            </w:r>
            <w:r w:rsidRPr="00945CE4">
              <w:rPr>
                <w:rFonts w:asciiTheme="minorHAnsi" w:hAnsiTheme="minorHAnsi"/>
                <w:i/>
                <w:iCs/>
                <w:sz w:val="24"/>
                <w:szCs w:val="24"/>
              </w:rPr>
              <w:t xml:space="preserve">konformna polugodišnja kamatna stopa </w:t>
            </w:r>
            <w:r w:rsidRPr="00945CE4">
              <w:rPr>
                <w:rFonts w:asciiTheme="minorHAnsi" w:hAnsiTheme="minorHAnsi"/>
                <w:sz w:val="24"/>
                <w:szCs w:val="24"/>
              </w:rPr>
              <w:t xml:space="preserve">jednaka je </w:t>
            </w:r>
          </w:p>
          <w:p w:rsidR="00945CE4" w:rsidRDefault="00945CE4" w:rsidP="00945CE4">
            <w:pPr>
              <w:tabs>
                <w:tab w:val="left" w:pos="1860"/>
              </w:tabs>
              <w:spacing w:line="276" w:lineRule="auto"/>
              <w:rPr>
                <w:rFonts w:asciiTheme="minorHAnsi" w:hAnsiTheme="minorHAnsi"/>
                <w:sz w:val="24"/>
                <w:szCs w:val="24"/>
              </w:rPr>
            </w:pPr>
            <w:r w:rsidRPr="00945CE4">
              <w:rPr>
                <w:noProof/>
                <w:sz w:val="24"/>
                <w:szCs w:val="24"/>
              </w:rPr>
              <w:drawing>
                <wp:inline distT="0" distB="0" distL="0" distR="0" wp14:anchorId="7C3D1F47" wp14:editId="4FE5DFF4">
                  <wp:extent cx="5143500" cy="352425"/>
                  <wp:effectExtent l="19050" t="0" r="0" b="0"/>
                  <wp:docPr id="1135" name="Slika 1134" descr="Slika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2.png"/>
                          <pic:cNvPicPr/>
                        </pic:nvPicPr>
                        <pic:blipFill>
                          <a:blip r:embed="rId158" cstate="print"/>
                          <a:stretch>
                            <a:fillRect/>
                          </a:stretch>
                        </pic:blipFill>
                        <pic:spPr>
                          <a:xfrm>
                            <a:off x="0" y="0"/>
                            <a:ext cx="5143500" cy="352425"/>
                          </a:xfrm>
                          <a:prstGeom prst="rect">
                            <a:avLst/>
                          </a:prstGeom>
                        </pic:spPr>
                      </pic:pic>
                    </a:graphicData>
                  </a:graphic>
                </wp:inline>
              </w:drawing>
            </w:r>
          </w:p>
          <w:p w:rsidR="00945CE4" w:rsidRPr="00945CE4" w:rsidRDefault="00945CE4" w:rsidP="00CC0448">
            <w:pPr>
              <w:spacing w:before="120" w:line="276" w:lineRule="auto"/>
              <w:rPr>
                <w:rFonts w:asciiTheme="minorHAnsi" w:hAnsiTheme="minorHAnsi"/>
                <w:sz w:val="24"/>
                <w:szCs w:val="24"/>
              </w:rPr>
            </w:pPr>
            <w:r w:rsidRPr="00945CE4">
              <w:rPr>
                <w:rFonts w:asciiTheme="minorHAnsi" w:hAnsiTheme="minorHAnsi"/>
                <w:sz w:val="24"/>
                <w:szCs w:val="24"/>
              </w:rPr>
              <w:lastRenderedPageBreak/>
              <w:t xml:space="preserve">Uz konformni polugodišnji kamatnjak 1,49 % vrijednost štednog uloga nakon pet godina (deset polugodišnjih razdoblja ukamaćivanja, </w:t>
            </w:r>
            <w:r w:rsidRPr="00945CE4">
              <w:rPr>
                <w:rFonts w:asciiTheme="minorHAnsi" w:hAnsiTheme="minorHAnsi"/>
                <w:i/>
                <w:iCs/>
                <w:sz w:val="24"/>
                <w:szCs w:val="24"/>
              </w:rPr>
              <w:t xml:space="preserve">t </w:t>
            </w:r>
            <w:r w:rsidRPr="00945CE4">
              <w:rPr>
                <w:rFonts w:asciiTheme="minorHAnsi" w:hAnsiTheme="minorHAnsi"/>
                <w:sz w:val="24"/>
                <w:szCs w:val="24"/>
              </w:rPr>
              <w:t xml:space="preserve">= </w:t>
            </w:r>
            <w:r w:rsidRPr="00945CE4">
              <w:rPr>
                <w:rFonts w:asciiTheme="minorHAnsi" w:hAnsiTheme="minorHAnsi"/>
                <w:i/>
                <w:iCs/>
                <w:sz w:val="24"/>
                <w:szCs w:val="24"/>
              </w:rPr>
              <w:t xml:space="preserve">h </w:t>
            </w:r>
            <w:r w:rsidRPr="00945CE4">
              <w:rPr>
                <w:rFonts w:asciiTheme="minorHAnsi" w:hAnsiTheme="minorHAnsi"/>
                <w:sz w:val="24"/>
                <w:szCs w:val="24"/>
              </w:rPr>
              <w:t>= 10) iznosi:</w:t>
            </w:r>
          </w:p>
          <w:p w:rsidR="00945CE4" w:rsidRPr="00945CE4" w:rsidRDefault="00945CE4" w:rsidP="00945CE4">
            <w:pPr>
              <w:rPr>
                <w:rFonts w:asciiTheme="minorHAnsi" w:hAnsiTheme="minorHAnsi"/>
                <w:sz w:val="24"/>
                <w:szCs w:val="24"/>
              </w:rPr>
            </w:pPr>
            <w:r w:rsidRPr="00945CE4">
              <w:rPr>
                <w:noProof/>
                <w:sz w:val="24"/>
                <w:szCs w:val="24"/>
              </w:rPr>
              <w:drawing>
                <wp:inline distT="0" distB="0" distL="0" distR="0" wp14:anchorId="40CD628A" wp14:editId="224A2C3D">
                  <wp:extent cx="5410200" cy="476250"/>
                  <wp:effectExtent l="19050" t="0" r="0" b="0"/>
                  <wp:docPr id="1136" name="Slika 1135" descr="Slika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3.png"/>
                          <pic:cNvPicPr/>
                        </pic:nvPicPr>
                        <pic:blipFill>
                          <a:blip r:embed="rId159" cstate="print"/>
                          <a:stretch>
                            <a:fillRect/>
                          </a:stretch>
                        </pic:blipFill>
                        <pic:spPr>
                          <a:xfrm>
                            <a:off x="0" y="0"/>
                            <a:ext cx="5410200" cy="476250"/>
                          </a:xfrm>
                          <a:prstGeom prst="rect">
                            <a:avLst/>
                          </a:prstGeom>
                        </pic:spPr>
                      </pic:pic>
                    </a:graphicData>
                  </a:graphic>
                </wp:inline>
              </w:drawing>
            </w:r>
          </w:p>
          <w:p w:rsidR="00945CE4" w:rsidRPr="00945CE4" w:rsidRDefault="00945CE4" w:rsidP="00945CE4">
            <w:pPr>
              <w:spacing w:after="120" w:line="276" w:lineRule="auto"/>
              <w:rPr>
                <w:rFonts w:asciiTheme="minorHAnsi" w:hAnsiTheme="minorHAnsi"/>
                <w:sz w:val="24"/>
                <w:szCs w:val="24"/>
              </w:rPr>
            </w:pPr>
            <w:r w:rsidRPr="00945CE4">
              <w:rPr>
                <w:rFonts w:asciiTheme="minorHAnsi" w:hAnsiTheme="minorHAnsi"/>
                <w:sz w:val="24"/>
                <w:szCs w:val="24"/>
              </w:rPr>
              <w:t xml:space="preserve">Ukupne složene kamate nakon pet godina obračunate </w:t>
            </w:r>
            <w:r w:rsidRPr="00945CE4">
              <w:rPr>
                <w:rFonts w:asciiTheme="minorHAnsi" w:hAnsiTheme="minorHAnsi"/>
                <w:i/>
                <w:iCs/>
                <w:sz w:val="24"/>
                <w:szCs w:val="24"/>
              </w:rPr>
              <w:t xml:space="preserve">konformnom metodom </w:t>
            </w:r>
            <w:r w:rsidRPr="00945CE4">
              <w:rPr>
                <w:rFonts w:asciiTheme="minorHAnsi" w:hAnsiTheme="minorHAnsi"/>
                <w:sz w:val="24"/>
                <w:szCs w:val="24"/>
              </w:rPr>
              <w:t>uz polugodišnji obračun kamata (t = 10 polugodišta) jednake su</w:t>
            </w:r>
          </w:p>
          <w:p w:rsidR="00945CE4" w:rsidRPr="00945CE4" w:rsidRDefault="00945CE4" w:rsidP="00945CE4">
            <w:pPr>
              <w:rPr>
                <w:rFonts w:asciiTheme="minorHAnsi" w:hAnsiTheme="minorHAnsi"/>
                <w:sz w:val="24"/>
                <w:szCs w:val="24"/>
              </w:rPr>
            </w:pPr>
            <w:r w:rsidRPr="00945CE4">
              <w:rPr>
                <w:noProof/>
                <w:sz w:val="24"/>
                <w:szCs w:val="24"/>
              </w:rPr>
              <w:drawing>
                <wp:inline distT="0" distB="0" distL="0" distR="0" wp14:anchorId="128FED6A" wp14:editId="3693B966">
                  <wp:extent cx="3819525" cy="723900"/>
                  <wp:effectExtent l="19050" t="0" r="9525" b="0"/>
                  <wp:docPr id="1137" name="Slika 1136" descr="Slika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png"/>
                          <pic:cNvPicPr/>
                        </pic:nvPicPr>
                        <pic:blipFill>
                          <a:blip r:embed="rId160" cstate="print"/>
                          <a:stretch>
                            <a:fillRect/>
                          </a:stretch>
                        </pic:blipFill>
                        <pic:spPr>
                          <a:xfrm>
                            <a:off x="0" y="0"/>
                            <a:ext cx="3819525" cy="723900"/>
                          </a:xfrm>
                          <a:prstGeom prst="rect">
                            <a:avLst/>
                          </a:prstGeom>
                        </pic:spPr>
                      </pic:pic>
                    </a:graphicData>
                  </a:graphic>
                </wp:inline>
              </w:drawing>
            </w:r>
          </w:p>
          <w:p w:rsidR="00945CE4" w:rsidRPr="00945CE4" w:rsidRDefault="00945CE4" w:rsidP="00945CE4">
            <w:pPr>
              <w:tabs>
                <w:tab w:val="left" w:pos="2400"/>
              </w:tabs>
              <w:rPr>
                <w:rFonts w:asciiTheme="minorHAnsi" w:hAnsiTheme="minorHAnsi"/>
                <w:sz w:val="24"/>
                <w:szCs w:val="24"/>
              </w:rPr>
            </w:pPr>
            <w:r w:rsidRPr="00945CE4">
              <w:rPr>
                <w:rFonts w:asciiTheme="minorHAnsi" w:hAnsiTheme="minorHAnsi"/>
                <w:sz w:val="24"/>
                <w:szCs w:val="24"/>
              </w:rPr>
              <w:tab/>
            </w:r>
          </w:p>
          <w:p w:rsidR="00945CE4" w:rsidRPr="00945CE4" w:rsidRDefault="00945CE4" w:rsidP="00945CE4">
            <w:pPr>
              <w:tabs>
                <w:tab w:val="left" w:pos="2400"/>
              </w:tabs>
              <w:rPr>
                <w:rFonts w:asciiTheme="minorHAnsi" w:hAnsiTheme="minorHAnsi"/>
                <w:sz w:val="24"/>
                <w:szCs w:val="24"/>
              </w:rPr>
            </w:pPr>
            <w:r w:rsidRPr="00945CE4">
              <w:rPr>
                <w:rFonts w:asciiTheme="minorHAnsi" w:hAnsiTheme="minorHAnsi"/>
                <w:sz w:val="24"/>
                <w:szCs w:val="24"/>
              </w:rPr>
              <w:t>Alternativno možemo ih izračunati i uz pomoć formule</w:t>
            </w:r>
          </w:p>
          <w:p w:rsidR="00945CE4" w:rsidRPr="00945CE4" w:rsidRDefault="00945CE4" w:rsidP="00945CE4">
            <w:pPr>
              <w:tabs>
                <w:tab w:val="left" w:pos="2400"/>
              </w:tabs>
              <w:rPr>
                <w:rFonts w:asciiTheme="minorHAnsi" w:hAnsiTheme="minorHAnsi"/>
                <w:sz w:val="24"/>
                <w:szCs w:val="24"/>
              </w:rPr>
            </w:pPr>
          </w:p>
          <w:p w:rsidR="00945CE4" w:rsidRPr="00945CE4" w:rsidRDefault="00945CE4" w:rsidP="00945CE4">
            <w:pPr>
              <w:tabs>
                <w:tab w:val="left" w:pos="2400"/>
              </w:tabs>
              <w:rPr>
                <w:rFonts w:asciiTheme="minorHAnsi" w:hAnsiTheme="minorHAnsi"/>
                <w:sz w:val="24"/>
                <w:szCs w:val="24"/>
              </w:rPr>
            </w:pPr>
            <w:r w:rsidRPr="00945CE4">
              <w:rPr>
                <w:noProof/>
                <w:sz w:val="24"/>
                <w:szCs w:val="24"/>
              </w:rPr>
              <w:drawing>
                <wp:inline distT="0" distB="0" distL="0" distR="0" wp14:anchorId="5C3C593E" wp14:editId="12387B8A">
                  <wp:extent cx="5760720" cy="3865880"/>
                  <wp:effectExtent l="19050" t="0" r="0" b="0"/>
                  <wp:docPr id="1138" name="Slika 1137" descr="Slika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5.png"/>
                          <pic:cNvPicPr/>
                        </pic:nvPicPr>
                        <pic:blipFill>
                          <a:blip r:embed="rId161" cstate="print"/>
                          <a:stretch>
                            <a:fillRect/>
                          </a:stretch>
                        </pic:blipFill>
                        <pic:spPr>
                          <a:xfrm>
                            <a:off x="0" y="0"/>
                            <a:ext cx="5760720" cy="3865880"/>
                          </a:xfrm>
                          <a:prstGeom prst="rect">
                            <a:avLst/>
                          </a:prstGeom>
                        </pic:spPr>
                      </pic:pic>
                    </a:graphicData>
                  </a:graphic>
                </wp:inline>
              </w:drawing>
            </w:r>
          </w:p>
          <w:p w:rsidR="004762E0" w:rsidRDefault="004762E0" w:rsidP="004762E0">
            <w:pPr>
              <w:tabs>
                <w:tab w:val="left" w:pos="3000"/>
              </w:tabs>
              <w:spacing w:before="120" w:after="120" w:line="276" w:lineRule="auto"/>
              <w:rPr>
                <w:rFonts w:asciiTheme="minorHAnsi" w:hAnsiTheme="minorHAnsi"/>
                <w:color w:val="C00000"/>
                <w:sz w:val="24"/>
                <w:szCs w:val="24"/>
              </w:rPr>
            </w:pPr>
          </w:p>
          <w:p w:rsidR="004762E0" w:rsidRDefault="004762E0" w:rsidP="00CC0448">
            <w:pPr>
              <w:tabs>
                <w:tab w:val="left" w:pos="3000"/>
              </w:tabs>
              <w:spacing w:after="120" w:line="276" w:lineRule="auto"/>
              <w:rPr>
                <w:rFonts w:asciiTheme="minorHAnsi" w:hAnsiTheme="minorHAnsi"/>
                <w:sz w:val="24"/>
                <w:szCs w:val="24"/>
              </w:rPr>
            </w:pPr>
            <w:r w:rsidRPr="004762E0">
              <w:rPr>
                <w:rFonts w:asciiTheme="minorHAnsi" w:hAnsiTheme="minorHAnsi"/>
                <w:color w:val="C00000"/>
                <w:sz w:val="24"/>
                <w:szCs w:val="24"/>
              </w:rPr>
              <w:t xml:space="preserve">Primjer:  </w:t>
            </w:r>
            <w:r w:rsidRPr="004762E0">
              <w:rPr>
                <w:rFonts w:asciiTheme="minorHAnsi" w:hAnsiTheme="minorHAnsi"/>
                <w:sz w:val="24"/>
                <w:szCs w:val="24"/>
              </w:rPr>
              <w:t>Izračunajte složene kamate na depozit na štednoj knjižici prema podacima u tablici. Kamatna stopa je 1,5 % godišnje. Primjenjuje se engleska metoda izračuna broja dana, dekurzivni obračun kamata, konformna metoda i dnevno ukamaćivanje. Godina nije prestupna. Koristi se pravilo: prvi dan ulazi, a zadnji dan ne ulazi u obračun kamata. Pripis kamata glavnici evidentira se u štednoj knjižici nakon svake uplate ili isplate po štednom računu.</w:t>
            </w:r>
          </w:p>
          <w:p w:rsidR="00CC0448" w:rsidRDefault="00CC0448" w:rsidP="00CC0448">
            <w:pPr>
              <w:tabs>
                <w:tab w:val="left" w:pos="3000"/>
              </w:tabs>
              <w:spacing w:after="120" w:line="276" w:lineRule="auto"/>
              <w:rPr>
                <w:rFonts w:asciiTheme="minorHAnsi" w:hAnsiTheme="minorHAnsi"/>
                <w:sz w:val="24"/>
                <w:szCs w:val="24"/>
              </w:rPr>
            </w:pPr>
            <w:r>
              <w:rPr>
                <w:rFonts w:asciiTheme="minorHAnsi" w:hAnsiTheme="minorHAnsi"/>
                <w:sz w:val="24"/>
                <w:szCs w:val="24"/>
              </w:rPr>
              <w:t xml:space="preserve">Engleska metoda znači da je broj dana u mjesecu jednak stvarnom broju dana u mjesecu, a broj dana u godini jednak stvarnom broju dana u godini. (Situacija je drugačija ako se koristi </w:t>
            </w:r>
            <w:r>
              <w:rPr>
                <w:rFonts w:asciiTheme="minorHAnsi" w:hAnsiTheme="minorHAnsi"/>
                <w:sz w:val="24"/>
                <w:szCs w:val="24"/>
              </w:rPr>
              <w:lastRenderedPageBreak/>
              <w:t xml:space="preserve">njemačka ili francuska metoda.) </w:t>
            </w:r>
          </w:p>
          <w:p w:rsidR="004762E0" w:rsidRDefault="00CC0448" w:rsidP="00CC0448">
            <w:pPr>
              <w:tabs>
                <w:tab w:val="left" w:pos="3000"/>
              </w:tabs>
              <w:spacing w:after="120" w:line="276" w:lineRule="auto"/>
              <w:rPr>
                <w:rFonts w:asciiTheme="minorHAnsi" w:hAnsiTheme="minorHAnsi"/>
                <w:sz w:val="24"/>
                <w:szCs w:val="24"/>
              </w:rPr>
            </w:pPr>
            <w:r>
              <w:rPr>
                <w:rFonts w:asciiTheme="minorHAnsi" w:hAnsiTheme="minorHAnsi"/>
                <w:sz w:val="24"/>
                <w:szCs w:val="24"/>
              </w:rPr>
              <w:t>Stanje uplata i isplata po štednoj knjižici te obračun kamata su dani u nastavku:</w:t>
            </w:r>
          </w:p>
          <w:p w:rsidR="00CC0448" w:rsidRPr="004762E0" w:rsidRDefault="00CC0448" w:rsidP="004762E0">
            <w:pPr>
              <w:tabs>
                <w:tab w:val="left" w:pos="3000"/>
              </w:tabs>
              <w:spacing w:before="120" w:after="120" w:line="276" w:lineRule="auto"/>
              <w:rPr>
                <w:rFonts w:asciiTheme="minorHAnsi" w:hAnsiTheme="minorHAnsi"/>
                <w:sz w:val="24"/>
                <w:szCs w:val="24"/>
              </w:rPr>
            </w:pPr>
            <w:r>
              <w:rPr>
                <w:rFonts w:asciiTheme="minorHAnsi" w:eastAsiaTheme="minorHAnsi" w:hAnsiTheme="minorHAnsi" w:cstheme="minorBidi"/>
                <w:sz w:val="22"/>
                <w:szCs w:val="22"/>
                <w:lang w:eastAsia="en-US"/>
              </w:rPr>
              <w:object w:dxaOrig="9375" w:dyaOrig="2715">
                <v:shape id="_x0000_i1056" type="#_x0000_t75" style="width:453pt;height:131.25pt" o:ole="">
                  <v:imagedata r:id="rId162" o:title=""/>
                </v:shape>
                <o:OLEObject Type="Embed" ProgID="PBrush" ShapeID="_x0000_i1056" DrawAspect="Content" ObjectID="_1505681384" r:id="rId163"/>
              </w:object>
            </w:r>
          </w:p>
          <w:p w:rsidR="004762E0" w:rsidRDefault="004762E0" w:rsidP="004762E0">
            <w:pPr>
              <w:tabs>
                <w:tab w:val="left" w:pos="3000"/>
              </w:tabs>
              <w:spacing w:line="276" w:lineRule="auto"/>
              <w:rPr>
                <w:sz w:val="24"/>
                <w:szCs w:val="24"/>
              </w:rPr>
            </w:pPr>
          </w:p>
          <w:p w:rsidR="00CC0448" w:rsidRDefault="00CC0448" w:rsidP="004762E0">
            <w:pPr>
              <w:tabs>
                <w:tab w:val="left" w:pos="3000"/>
              </w:tabs>
              <w:spacing w:line="276" w:lineRule="auto"/>
              <w:rPr>
                <w:sz w:val="24"/>
                <w:szCs w:val="24"/>
              </w:rPr>
            </w:pPr>
            <w:r w:rsidRPr="00D0255E">
              <w:rPr>
                <w:b/>
                <w:bCs/>
                <w:noProof/>
                <w:sz w:val="24"/>
                <w:szCs w:val="24"/>
              </w:rPr>
              <w:drawing>
                <wp:inline distT="0" distB="0" distL="0" distR="0" wp14:anchorId="1BE812B6" wp14:editId="31227EB9">
                  <wp:extent cx="5257800" cy="885524"/>
                  <wp:effectExtent l="19050" t="0" r="0" b="0"/>
                  <wp:docPr id="1132" name="Slika 1131" descr="Slik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png"/>
                          <pic:cNvPicPr/>
                        </pic:nvPicPr>
                        <pic:blipFill>
                          <a:blip r:embed="rId164" cstate="print"/>
                          <a:stretch>
                            <a:fillRect/>
                          </a:stretch>
                        </pic:blipFill>
                        <pic:spPr>
                          <a:xfrm>
                            <a:off x="0" y="0"/>
                            <a:ext cx="5256064" cy="885232"/>
                          </a:xfrm>
                          <a:prstGeom prst="rect">
                            <a:avLst/>
                          </a:prstGeom>
                        </pic:spPr>
                      </pic:pic>
                    </a:graphicData>
                  </a:graphic>
                </wp:inline>
              </w:drawing>
            </w:r>
          </w:p>
          <w:p w:rsidR="00CC0448" w:rsidRDefault="00CC0448" w:rsidP="004762E0">
            <w:pPr>
              <w:tabs>
                <w:tab w:val="left" w:pos="3000"/>
              </w:tabs>
              <w:spacing w:line="276" w:lineRule="auto"/>
              <w:rPr>
                <w:rFonts w:asciiTheme="minorHAnsi" w:hAnsiTheme="minorHAnsi"/>
                <w:sz w:val="24"/>
                <w:szCs w:val="24"/>
              </w:rPr>
            </w:pPr>
          </w:p>
          <w:p w:rsidR="00CC0448" w:rsidRPr="00CC0448" w:rsidRDefault="00CC0448" w:rsidP="004762E0">
            <w:pPr>
              <w:tabs>
                <w:tab w:val="left" w:pos="3000"/>
              </w:tabs>
              <w:spacing w:line="276" w:lineRule="auto"/>
              <w:rPr>
                <w:rFonts w:asciiTheme="minorHAnsi" w:hAnsiTheme="minorHAnsi"/>
                <w:sz w:val="24"/>
                <w:szCs w:val="24"/>
              </w:rPr>
            </w:pPr>
            <w:r w:rsidRPr="00CC0448">
              <w:rPr>
                <w:rFonts w:asciiTheme="minorHAnsi" w:hAnsiTheme="minorHAnsi"/>
                <w:sz w:val="24"/>
                <w:szCs w:val="24"/>
              </w:rPr>
              <w:t xml:space="preserve">Pri obračunu kamata </w:t>
            </w:r>
            <w:r>
              <w:rPr>
                <w:rFonts w:asciiTheme="minorHAnsi" w:hAnsiTheme="minorHAnsi"/>
                <w:sz w:val="24"/>
                <w:szCs w:val="24"/>
              </w:rPr>
              <w:t xml:space="preserve">u prethodnom primjeru </w:t>
            </w:r>
            <w:r w:rsidRPr="00CC0448">
              <w:rPr>
                <w:rFonts w:asciiTheme="minorHAnsi" w:hAnsiTheme="minorHAnsi"/>
                <w:sz w:val="24"/>
                <w:szCs w:val="24"/>
              </w:rPr>
              <w:t>korištena je formula u nastavku.</w:t>
            </w:r>
          </w:p>
          <w:p w:rsidR="00CC0448" w:rsidRDefault="00CC0448" w:rsidP="004762E0">
            <w:pPr>
              <w:tabs>
                <w:tab w:val="left" w:pos="3000"/>
              </w:tabs>
              <w:spacing w:line="276" w:lineRule="auto"/>
              <w:rPr>
                <w:sz w:val="24"/>
                <w:szCs w:val="24"/>
              </w:rPr>
            </w:pPr>
          </w:p>
          <w:p w:rsidR="00CC0448" w:rsidRPr="00D0255E" w:rsidRDefault="00CC0448" w:rsidP="00C87686">
            <w:pPr>
              <w:tabs>
                <w:tab w:val="left" w:pos="3000"/>
              </w:tabs>
              <w:spacing w:line="276" w:lineRule="auto"/>
              <w:jc w:val="center"/>
              <w:rPr>
                <w:sz w:val="24"/>
                <w:szCs w:val="24"/>
              </w:rPr>
            </w:pPr>
            <w:r>
              <w:rPr>
                <w:rFonts w:asciiTheme="minorHAnsi" w:eastAsiaTheme="minorHAnsi" w:hAnsiTheme="minorHAnsi" w:cstheme="minorBidi"/>
                <w:sz w:val="22"/>
                <w:szCs w:val="22"/>
                <w:lang w:eastAsia="en-US"/>
              </w:rPr>
              <w:object w:dxaOrig="8415" w:dyaOrig="5400">
                <v:shape id="_x0000_i1057" type="#_x0000_t75" style="width:420.75pt;height:270pt" o:ole="">
                  <v:imagedata r:id="rId165" o:title=""/>
                </v:shape>
                <o:OLEObject Type="Embed" ProgID="PBrush" ShapeID="_x0000_i1057" DrawAspect="Content" ObjectID="_1505681385" r:id="rId166"/>
              </w:object>
            </w:r>
          </w:p>
          <w:p w:rsidR="004762E0" w:rsidRDefault="004762E0" w:rsidP="009D1C28">
            <w:pPr>
              <w:tabs>
                <w:tab w:val="left" w:pos="960"/>
              </w:tabs>
              <w:spacing w:line="276" w:lineRule="auto"/>
              <w:rPr>
                <w:sz w:val="24"/>
                <w:szCs w:val="24"/>
              </w:rPr>
            </w:pPr>
          </w:p>
        </w:tc>
      </w:tr>
      <w:tr w:rsidR="00B94C5C" w:rsidTr="00B94C5C">
        <w:tc>
          <w:tcPr>
            <w:tcW w:w="9288" w:type="dxa"/>
          </w:tcPr>
          <w:p w:rsidR="00B94C5C" w:rsidRDefault="008605BC" w:rsidP="001A23EC">
            <w:pPr>
              <w:rPr>
                <w:sz w:val="24"/>
                <w:szCs w:val="24"/>
              </w:rPr>
            </w:pPr>
            <w:r>
              <w:rPr>
                <w:rFonts w:asciiTheme="minorHAnsi" w:hAnsiTheme="minorHAnsi"/>
                <w:noProof/>
              </w:rPr>
              <w:lastRenderedPageBreak/>
              <w:t xml:space="preserve">* </w:t>
            </w:r>
            <w:r w:rsidR="001A23EC">
              <w:rPr>
                <w:rFonts w:asciiTheme="minorHAnsi" w:hAnsiTheme="minorHAnsi"/>
                <w:noProof/>
              </w:rPr>
              <w:t>Cjelokupni tekst p</w:t>
            </w:r>
            <w:r w:rsidR="00B94C5C" w:rsidRPr="00240640">
              <w:rPr>
                <w:rFonts w:asciiTheme="minorHAnsi" w:hAnsiTheme="minorHAnsi"/>
                <w:noProof/>
              </w:rPr>
              <w:t>reuzet iz: Ivanov, M.; Maroshi, V. (2014.) „Bankarstvo i osiguranje“, radna bilježnica za treći razred srednje ekonomske škole,  Alka Script, 2014.</w:t>
            </w:r>
          </w:p>
        </w:tc>
      </w:tr>
    </w:tbl>
    <w:p w:rsidR="008605BC" w:rsidRDefault="008605BC" w:rsidP="00207478">
      <w:pPr>
        <w:spacing w:before="240"/>
        <w:jc w:val="both"/>
        <w:rPr>
          <w:rFonts w:cs="Times New Roman"/>
          <w:sz w:val="24"/>
          <w:szCs w:val="24"/>
        </w:rPr>
      </w:pPr>
      <w:r w:rsidRPr="008605BC">
        <w:rPr>
          <w:rFonts w:cs="Times New Roman"/>
          <w:sz w:val="24"/>
          <w:szCs w:val="24"/>
        </w:rPr>
        <w:t xml:space="preserve">U praksi banaka i drugih financijski institucija osim klasične </w:t>
      </w:r>
      <w:r w:rsidR="00207478">
        <w:rPr>
          <w:rFonts w:cs="Times New Roman"/>
          <w:sz w:val="24"/>
          <w:szCs w:val="24"/>
        </w:rPr>
        <w:t xml:space="preserve">oročene </w:t>
      </w:r>
      <w:r w:rsidRPr="008605BC">
        <w:rPr>
          <w:rFonts w:cs="Times New Roman"/>
          <w:sz w:val="24"/>
          <w:szCs w:val="24"/>
        </w:rPr>
        <w:t xml:space="preserve">štednje s jednokratnom uplatom iznosa štednog uloga također postoje i štedni proizvodi tzv. </w:t>
      </w:r>
      <w:r w:rsidRPr="00207478">
        <w:rPr>
          <w:rFonts w:cs="Times New Roman"/>
          <w:color w:val="C00000"/>
          <w:sz w:val="24"/>
          <w:szCs w:val="24"/>
        </w:rPr>
        <w:t>otvorene štednje</w:t>
      </w:r>
      <w:r w:rsidR="0060791E">
        <w:rPr>
          <w:rFonts w:cs="Times New Roman"/>
          <w:sz w:val="24"/>
          <w:szCs w:val="24"/>
        </w:rPr>
        <w:t xml:space="preserve">, što </w:t>
      </w:r>
      <w:r w:rsidR="0060791E">
        <w:rPr>
          <w:rFonts w:cs="Times New Roman"/>
          <w:sz w:val="24"/>
          <w:szCs w:val="24"/>
        </w:rPr>
        <w:lastRenderedPageBreak/>
        <w:t xml:space="preserve">znači da </w:t>
      </w:r>
      <w:r w:rsidRPr="008605BC">
        <w:rPr>
          <w:rFonts w:cs="Times New Roman"/>
          <w:sz w:val="24"/>
          <w:szCs w:val="24"/>
        </w:rPr>
        <w:t>klijent sam izabire dinamiku uplata u iznosima kako i kada želi</w:t>
      </w:r>
      <w:r w:rsidR="0060791E">
        <w:rPr>
          <w:rFonts w:cs="Times New Roman"/>
          <w:sz w:val="24"/>
          <w:szCs w:val="24"/>
        </w:rPr>
        <w:t xml:space="preserve"> a sredstva se uplaćuju u korist istog depozitnog računa</w:t>
      </w:r>
      <w:r w:rsidR="00207478">
        <w:rPr>
          <w:rFonts w:cs="Times New Roman"/>
          <w:sz w:val="24"/>
          <w:szCs w:val="24"/>
        </w:rPr>
        <w:t xml:space="preserve"> oročene štednje</w:t>
      </w:r>
      <w:r w:rsidR="0060791E">
        <w:rPr>
          <w:rFonts w:cs="Times New Roman"/>
          <w:sz w:val="24"/>
          <w:szCs w:val="24"/>
        </w:rPr>
        <w:t xml:space="preserve">. Nadalje postoje i opcije tzv. </w:t>
      </w:r>
      <w:r w:rsidR="0060791E" w:rsidRPr="00207478">
        <w:rPr>
          <w:rFonts w:cs="Times New Roman"/>
          <w:color w:val="C00000"/>
          <w:sz w:val="24"/>
          <w:szCs w:val="24"/>
        </w:rPr>
        <w:t xml:space="preserve">ciljanje štednje </w:t>
      </w:r>
      <w:r w:rsidR="0060791E">
        <w:rPr>
          <w:rFonts w:cs="Times New Roman"/>
          <w:sz w:val="24"/>
          <w:szCs w:val="24"/>
        </w:rPr>
        <w:t xml:space="preserve">s namjenom dostizanja planiranog ciljanog iznosa </w:t>
      </w:r>
      <w:r w:rsidR="00207478">
        <w:rPr>
          <w:rFonts w:cs="Times New Roman"/>
          <w:sz w:val="24"/>
          <w:szCs w:val="24"/>
        </w:rPr>
        <w:t>ušteđevine</w:t>
      </w:r>
      <w:r w:rsidR="0060791E">
        <w:rPr>
          <w:rFonts w:cs="Times New Roman"/>
          <w:sz w:val="24"/>
          <w:szCs w:val="24"/>
        </w:rPr>
        <w:t xml:space="preserve"> protekom određenog vremena, a s obzirom na svrhu koju je štediša sam definirao npr. za školovanje djece, opremanje stana</w:t>
      </w:r>
      <w:r w:rsidR="00207478">
        <w:rPr>
          <w:rFonts w:cs="Times New Roman"/>
          <w:sz w:val="24"/>
          <w:szCs w:val="24"/>
        </w:rPr>
        <w:t xml:space="preserve"> itd. </w:t>
      </w:r>
      <w:r w:rsidR="0060791E">
        <w:rPr>
          <w:rFonts w:cs="Times New Roman"/>
          <w:sz w:val="24"/>
          <w:szCs w:val="24"/>
        </w:rPr>
        <w:t xml:space="preserve">U tom slučaju </w:t>
      </w:r>
      <w:r w:rsidR="00207478">
        <w:rPr>
          <w:rFonts w:cs="Times New Roman"/>
          <w:sz w:val="24"/>
          <w:szCs w:val="24"/>
        </w:rPr>
        <w:t xml:space="preserve">može se ugovoriti štednja u modelu </w:t>
      </w:r>
      <w:r w:rsidRPr="0060791E">
        <w:rPr>
          <w:rFonts w:cs="Times New Roman"/>
          <w:color w:val="C00000"/>
          <w:sz w:val="24"/>
          <w:szCs w:val="24"/>
        </w:rPr>
        <w:t xml:space="preserve">više periodičkih uplata nominalno jednakih iznosa </w:t>
      </w:r>
      <w:r w:rsidRPr="008605BC">
        <w:rPr>
          <w:rFonts w:cs="Times New Roman"/>
          <w:sz w:val="24"/>
          <w:szCs w:val="24"/>
        </w:rPr>
        <w:t xml:space="preserve">koji se uplaćuju početkom svake od n godina - pa se radi o tzv. </w:t>
      </w:r>
      <w:r w:rsidRPr="0060791E">
        <w:rPr>
          <w:rFonts w:cs="Times New Roman"/>
          <w:color w:val="C00000"/>
          <w:sz w:val="24"/>
          <w:szCs w:val="24"/>
        </w:rPr>
        <w:t>prenumerando uplatama</w:t>
      </w:r>
      <w:r w:rsidR="0060791E">
        <w:rPr>
          <w:rFonts w:cs="Times New Roman"/>
          <w:color w:val="C00000"/>
          <w:sz w:val="24"/>
          <w:szCs w:val="24"/>
        </w:rPr>
        <w:t xml:space="preserve">. </w:t>
      </w:r>
      <w:r w:rsidR="00207478">
        <w:rPr>
          <w:rFonts w:cs="Times New Roman"/>
          <w:color w:val="C00000"/>
          <w:sz w:val="24"/>
          <w:szCs w:val="24"/>
        </w:rPr>
        <w:t>(</w:t>
      </w:r>
      <w:r w:rsidR="00207478" w:rsidRPr="00207478">
        <w:rPr>
          <w:rFonts w:cs="Times New Roman"/>
          <w:color w:val="000000" w:themeColor="text1"/>
          <w:sz w:val="24"/>
          <w:szCs w:val="24"/>
        </w:rPr>
        <w:t xml:space="preserve">Najpraktičnije ih je izvršavati putem otvorenog </w:t>
      </w:r>
      <w:r w:rsidR="00207478" w:rsidRPr="00207478">
        <w:rPr>
          <w:rFonts w:cs="Times New Roman"/>
          <w:color w:val="C00000"/>
          <w:sz w:val="24"/>
          <w:szCs w:val="24"/>
        </w:rPr>
        <w:t>trajnog naloga</w:t>
      </w:r>
      <w:r w:rsidR="00207478" w:rsidRPr="00207478">
        <w:rPr>
          <w:rFonts w:cs="Times New Roman"/>
          <w:color w:val="000000" w:themeColor="text1"/>
          <w:sz w:val="24"/>
          <w:szCs w:val="24"/>
        </w:rPr>
        <w:t>.</w:t>
      </w:r>
      <w:r w:rsidR="00207478">
        <w:rPr>
          <w:rFonts w:cs="Times New Roman"/>
          <w:color w:val="000000" w:themeColor="text1"/>
          <w:sz w:val="24"/>
          <w:szCs w:val="24"/>
        </w:rPr>
        <w:t>)</w:t>
      </w:r>
      <w:r w:rsidR="00207478" w:rsidRPr="00207478">
        <w:rPr>
          <w:rFonts w:cs="Times New Roman"/>
          <w:color w:val="000000" w:themeColor="text1"/>
          <w:sz w:val="24"/>
          <w:szCs w:val="24"/>
        </w:rPr>
        <w:t xml:space="preserve"> </w:t>
      </w:r>
      <w:r w:rsidR="0060791E" w:rsidRPr="0060791E">
        <w:rPr>
          <w:rFonts w:cs="Times New Roman"/>
          <w:color w:val="000000" w:themeColor="text1"/>
          <w:sz w:val="24"/>
          <w:szCs w:val="24"/>
        </w:rPr>
        <w:t xml:space="preserve">Također su moguće </w:t>
      </w:r>
      <w:r w:rsidRPr="008605BC">
        <w:rPr>
          <w:rFonts w:cs="Times New Roman"/>
          <w:sz w:val="24"/>
          <w:szCs w:val="24"/>
        </w:rPr>
        <w:t xml:space="preserve">opcije više periodičkih uplata nominalno jednakih iznosa koji se uplaćuju krajem svake od n godina-  tzv. </w:t>
      </w:r>
      <w:r w:rsidRPr="00207478">
        <w:rPr>
          <w:rFonts w:cs="Times New Roman"/>
          <w:color w:val="C00000"/>
          <w:sz w:val="24"/>
          <w:szCs w:val="24"/>
        </w:rPr>
        <w:t>postnumerando uplate</w:t>
      </w:r>
      <w:r w:rsidRPr="008605BC">
        <w:rPr>
          <w:rFonts w:cs="Times New Roman"/>
          <w:sz w:val="24"/>
          <w:szCs w:val="24"/>
        </w:rPr>
        <w:t>.</w:t>
      </w:r>
      <w:r>
        <w:rPr>
          <w:rFonts w:cs="Times New Roman"/>
          <w:sz w:val="24"/>
          <w:szCs w:val="24"/>
        </w:rPr>
        <w:t xml:space="preserve"> Na sličnom principu prenumerando uplata funkcionira i stambena štednja, ali je dinamika uplata (kao i kod banaka) češće na mjesečnoj razini.</w:t>
      </w:r>
    </w:p>
    <w:tbl>
      <w:tblPr>
        <w:tblStyle w:val="Reetkatablice"/>
        <w:tblW w:w="0" w:type="auto"/>
        <w:tblLook w:val="04A0" w:firstRow="1" w:lastRow="0" w:firstColumn="1" w:lastColumn="0" w:noHBand="0" w:noVBand="1"/>
      </w:tblPr>
      <w:tblGrid>
        <w:gridCol w:w="9288"/>
      </w:tblGrid>
      <w:tr w:rsidR="008605BC" w:rsidTr="008605BC">
        <w:tc>
          <w:tcPr>
            <w:tcW w:w="9288" w:type="dxa"/>
          </w:tcPr>
          <w:p w:rsidR="008605BC" w:rsidRDefault="008605BC" w:rsidP="00391697">
            <w:pPr>
              <w:jc w:val="center"/>
            </w:pPr>
            <w:r>
              <w:rPr>
                <w:rFonts w:asciiTheme="minorHAnsi" w:eastAsiaTheme="minorHAnsi" w:hAnsiTheme="minorHAnsi" w:cstheme="minorBidi"/>
                <w:sz w:val="22"/>
                <w:szCs w:val="22"/>
                <w:lang w:eastAsia="en-US"/>
              </w:rPr>
              <w:object w:dxaOrig="8325" w:dyaOrig="5805">
                <v:shape id="_x0000_i1058" type="#_x0000_t75" style="width:416.25pt;height:290.25pt" o:ole="">
                  <v:imagedata r:id="rId167" o:title=""/>
                </v:shape>
                <o:OLEObject Type="Embed" ProgID="PBrush" ShapeID="_x0000_i1058" DrawAspect="Content" ObjectID="_1505681386" r:id="rId168"/>
              </w:object>
            </w:r>
          </w:p>
          <w:p w:rsidR="008605BC" w:rsidRDefault="008605BC" w:rsidP="00391697">
            <w:pPr>
              <w:jc w:val="center"/>
              <w:rPr>
                <w:sz w:val="24"/>
                <w:szCs w:val="24"/>
              </w:rPr>
            </w:pPr>
            <w:r>
              <w:rPr>
                <w:rFonts w:asciiTheme="minorHAnsi" w:eastAsiaTheme="minorHAnsi" w:hAnsiTheme="minorHAnsi" w:cstheme="minorBidi"/>
                <w:sz w:val="22"/>
                <w:szCs w:val="22"/>
                <w:lang w:eastAsia="en-US"/>
              </w:rPr>
              <w:object w:dxaOrig="8325" w:dyaOrig="3390">
                <v:shape id="_x0000_i1059" type="#_x0000_t75" style="width:416.25pt;height:169.5pt" o:ole="">
                  <v:imagedata r:id="rId169" o:title=""/>
                </v:shape>
                <o:OLEObject Type="Embed" ProgID="PBrush" ShapeID="_x0000_i1059" DrawAspect="Content" ObjectID="_1505681387" r:id="rId170"/>
              </w:object>
            </w:r>
          </w:p>
        </w:tc>
      </w:tr>
      <w:tr w:rsidR="008605BC" w:rsidTr="008605BC">
        <w:tc>
          <w:tcPr>
            <w:tcW w:w="9288" w:type="dxa"/>
          </w:tcPr>
          <w:p w:rsidR="008605BC" w:rsidRDefault="0010266F" w:rsidP="001A23EC">
            <w:pPr>
              <w:jc w:val="both"/>
              <w:rPr>
                <w:sz w:val="24"/>
                <w:szCs w:val="24"/>
              </w:rPr>
            </w:pPr>
            <w:r>
              <w:rPr>
                <w:rFonts w:asciiTheme="minorHAnsi" w:hAnsiTheme="minorHAnsi"/>
                <w:noProof/>
              </w:rPr>
              <w:t xml:space="preserve">* </w:t>
            </w:r>
            <w:r w:rsidR="001A23EC">
              <w:rPr>
                <w:rFonts w:asciiTheme="minorHAnsi" w:hAnsiTheme="minorHAnsi"/>
                <w:noProof/>
              </w:rPr>
              <w:t>Cjelokupni tekst p</w:t>
            </w:r>
            <w:r w:rsidRPr="00240640">
              <w:rPr>
                <w:rFonts w:asciiTheme="minorHAnsi" w:hAnsiTheme="minorHAnsi"/>
                <w:noProof/>
              </w:rPr>
              <w:t>reuzet iz: Ivanov, M.; Maroshi, V. (2014.) „Bankarstvo i osiguranje“, radna bilježnica za treći razred srednje ekonomske škole,  Alka Script, 2014.</w:t>
            </w:r>
          </w:p>
        </w:tc>
      </w:tr>
    </w:tbl>
    <w:p w:rsidR="0010266F" w:rsidRPr="00D0255E" w:rsidRDefault="0010266F" w:rsidP="0010266F">
      <w:pPr>
        <w:rPr>
          <w:rFonts w:ascii="Times New Roman" w:hAnsi="Times New Roman" w:cs="Times New Roman"/>
          <w:i/>
          <w:iCs/>
          <w:sz w:val="24"/>
          <w:szCs w:val="24"/>
        </w:rPr>
      </w:pPr>
      <w:r w:rsidRPr="00391697">
        <w:rPr>
          <w:rFonts w:ascii="Times New Roman" w:hAnsi="Times New Roman" w:cs="Times New Roman"/>
          <w:bCs/>
          <w:i/>
          <w:iCs/>
          <w:color w:val="C00000"/>
          <w:sz w:val="24"/>
          <w:szCs w:val="24"/>
        </w:rPr>
        <w:lastRenderedPageBreak/>
        <w:t>Primjer:</w:t>
      </w:r>
      <w:r w:rsidRPr="00391697">
        <w:rPr>
          <w:rFonts w:ascii="Times New Roman" w:hAnsi="Times New Roman" w:cs="Times New Roman"/>
          <w:b/>
          <w:bCs/>
          <w:i/>
          <w:iCs/>
          <w:color w:val="C00000"/>
          <w:sz w:val="24"/>
          <w:szCs w:val="24"/>
        </w:rPr>
        <w:t xml:space="preserve"> </w:t>
      </w:r>
      <w:r w:rsidRPr="00391697">
        <w:rPr>
          <w:rFonts w:ascii="Times New Roman" w:hAnsi="Times New Roman" w:cs="Times New Roman"/>
          <w:bCs/>
          <w:iCs/>
          <w:sz w:val="24"/>
          <w:szCs w:val="24"/>
        </w:rPr>
        <w:t>Ugovoren</w:t>
      </w:r>
      <w:r w:rsidR="00391697" w:rsidRPr="00391697">
        <w:rPr>
          <w:rFonts w:ascii="Times New Roman" w:hAnsi="Times New Roman" w:cs="Times New Roman"/>
          <w:bCs/>
          <w:iCs/>
          <w:sz w:val="24"/>
          <w:szCs w:val="24"/>
        </w:rPr>
        <w:t>a</w:t>
      </w:r>
      <w:r w:rsidRPr="00391697">
        <w:rPr>
          <w:rFonts w:ascii="Times New Roman" w:hAnsi="Times New Roman" w:cs="Times New Roman"/>
          <w:bCs/>
          <w:iCs/>
          <w:sz w:val="24"/>
          <w:szCs w:val="24"/>
        </w:rPr>
        <w:t xml:space="preserve"> je fiksna kamatna stopa za cijelo razdoblje štednje i iznosi </w:t>
      </w:r>
      <w:r w:rsidRPr="00391697">
        <w:rPr>
          <w:rFonts w:ascii="Times New Roman" w:hAnsi="Times New Roman" w:cs="Times New Roman"/>
          <w:sz w:val="24"/>
          <w:szCs w:val="24"/>
        </w:rPr>
        <w:t>3</w:t>
      </w:r>
      <w:r w:rsidRPr="00D0255E">
        <w:rPr>
          <w:rFonts w:ascii="Times New Roman" w:hAnsi="Times New Roman" w:cs="Times New Roman"/>
          <w:sz w:val="24"/>
          <w:szCs w:val="24"/>
        </w:rPr>
        <w:t>% godišnje</w:t>
      </w:r>
      <w:r>
        <w:rPr>
          <w:rFonts w:ascii="Times New Roman" w:hAnsi="Times New Roman" w:cs="Times New Roman"/>
          <w:sz w:val="24"/>
          <w:szCs w:val="24"/>
        </w:rPr>
        <w:t xml:space="preserve">. </w:t>
      </w:r>
      <w:r w:rsidR="00391697">
        <w:rPr>
          <w:rFonts w:ascii="Times New Roman" w:hAnsi="Times New Roman" w:cs="Times New Roman"/>
          <w:sz w:val="24"/>
          <w:szCs w:val="24"/>
        </w:rPr>
        <w:t>Obitelj Perić p</w:t>
      </w:r>
      <w:r w:rsidRPr="00D0255E">
        <w:rPr>
          <w:rFonts w:ascii="Times New Roman" w:hAnsi="Times New Roman" w:cs="Times New Roman"/>
          <w:sz w:val="24"/>
          <w:szCs w:val="24"/>
        </w:rPr>
        <w:t>očetkom svake godine ulaže 5.000 kuna depozita</w:t>
      </w:r>
      <w:r w:rsidR="00391697">
        <w:rPr>
          <w:rFonts w:ascii="Times New Roman" w:hAnsi="Times New Roman" w:cs="Times New Roman"/>
          <w:sz w:val="24"/>
          <w:szCs w:val="24"/>
        </w:rPr>
        <w:t xml:space="preserve"> kroz šest godina. Potrebno je utvrditi konačnu buduću vrijednost periodičkih jednakih iznosa otvorene štednje. </w:t>
      </w:r>
    </w:p>
    <w:p w:rsidR="0010266F" w:rsidRDefault="0010266F" w:rsidP="0010266F">
      <w:pPr>
        <w:rPr>
          <w:rFonts w:ascii="Times New Roman" w:hAnsi="Times New Roman" w:cs="Times New Roman"/>
          <w:sz w:val="24"/>
          <w:szCs w:val="24"/>
        </w:rPr>
      </w:pPr>
      <w:r w:rsidRPr="00D0255E">
        <w:rPr>
          <w:rFonts w:ascii="Times New Roman" w:hAnsi="Times New Roman" w:cs="Times New Roman"/>
          <w:noProof/>
          <w:sz w:val="24"/>
          <w:szCs w:val="24"/>
          <w:lang w:eastAsia="hr-HR"/>
        </w:rPr>
        <w:drawing>
          <wp:inline distT="0" distB="0" distL="0" distR="0" wp14:anchorId="1364584D" wp14:editId="0B9C3454">
            <wp:extent cx="5760720" cy="684530"/>
            <wp:effectExtent l="19050" t="0" r="0" b="0"/>
            <wp:docPr id="1142" name="Slika 1140" descr="Slik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png"/>
                    <pic:cNvPicPr/>
                  </pic:nvPicPr>
                  <pic:blipFill>
                    <a:blip r:embed="rId171" cstate="print"/>
                    <a:stretch>
                      <a:fillRect/>
                    </a:stretch>
                  </pic:blipFill>
                  <pic:spPr>
                    <a:xfrm>
                      <a:off x="0" y="0"/>
                      <a:ext cx="5760720" cy="684530"/>
                    </a:xfrm>
                    <a:prstGeom prst="rect">
                      <a:avLst/>
                    </a:prstGeom>
                  </pic:spPr>
                </pic:pic>
              </a:graphicData>
            </a:graphic>
          </wp:inline>
        </w:drawing>
      </w:r>
    </w:p>
    <w:p w:rsidR="00391697" w:rsidRPr="00D0255E" w:rsidRDefault="00391697" w:rsidP="00391697">
      <w:pPr>
        <w:tabs>
          <w:tab w:val="left" w:pos="930"/>
        </w:tabs>
        <w:rPr>
          <w:rFonts w:ascii="Times New Roman" w:hAnsi="Times New Roman" w:cs="Times New Roman"/>
          <w:sz w:val="24"/>
          <w:szCs w:val="24"/>
        </w:rPr>
      </w:pPr>
      <w:r w:rsidRPr="00391697">
        <w:rPr>
          <w:rFonts w:ascii="Times New Roman" w:hAnsi="Times New Roman" w:cs="Times New Roman"/>
          <w:i/>
          <w:color w:val="C00000"/>
          <w:sz w:val="24"/>
          <w:szCs w:val="24"/>
        </w:rPr>
        <w:t>Primjer:</w:t>
      </w:r>
      <w:r w:rsidRPr="00391697">
        <w:rPr>
          <w:rFonts w:ascii="Times New Roman" w:hAnsi="Times New Roman" w:cs="Times New Roman"/>
          <w:color w:val="C00000"/>
          <w:sz w:val="24"/>
          <w:szCs w:val="24"/>
        </w:rPr>
        <w:t xml:space="preserve"> </w:t>
      </w:r>
      <w:r>
        <w:rPr>
          <w:rFonts w:ascii="Times New Roman" w:hAnsi="Times New Roman" w:cs="Times New Roman"/>
          <w:color w:val="C00000"/>
          <w:sz w:val="24"/>
          <w:szCs w:val="24"/>
        </w:rPr>
        <w:t xml:space="preserve">Obitelj </w:t>
      </w:r>
      <w:r w:rsidR="001A23EC">
        <w:rPr>
          <w:rFonts w:ascii="Times New Roman" w:hAnsi="Times New Roman" w:cs="Times New Roman"/>
          <w:color w:val="C00000"/>
          <w:sz w:val="24"/>
          <w:szCs w:val="24"/>
        </w:rPr>
        <w:t>Franjković</w:t>
      </w:r>
      <w:r>
        <w:rPr>
          <w:rFonts w:ascii="Times New Roman" w:hAnsi="Times New Roman" w:cs="Times New Roman"/>
          <w:color w:val="C00000"/>
          <w:sz w:val="24"/>
          <w:szCs w:val="24"/>
        </w:rPr>
        <w:t xml:space="preserve"> želi kroz pet godina ostvariti ciljani iznos  </w:t>
      </w:r>
      <w:r w:rsidRPr="00D0255E">
        <w:rPr>
          <w:rFonts w:ascii="Times New Roman" w:hAnsi="Times New Roman" w:cs="Times New Roman"/>
          <w:sz w:val="24"/>
          <w:szCs w:val="24"/>
        </w:rPr>
        <w:t xml:space="preserve">vlastitih sredstava </w:t>
      </w:r>
      <w:r>
        <w:rPr>
          <w:rFonts w:ascii="Times New Roman" w:hAnsi="Times New Roman" w:cs="Times New Roman"/>
          <w:sz w:val="24"/>
          <w:szCs w:val="24"/>
        </w:rPr>
        <w:t xml:space="preserve">stambene štednje </w:t>
      </w:r>
      <w:r w:rsidRPr="00D0255E">
        <w:rPr>
          <w:rFonts w:ascii="Times New Roman" w:hAnsi="Times New Roman" w:cs="Times New Roman"/>
          <w:sz w:val="24"/>
          <w:szCs w:val="24"/>
        </w:rPr>
        <w:t>od 120.000 kuna</w:t>
      </w:r>
      <w:r>
        <w:rPr>
          <w:rFonts w:ascii="Times New Roman" w:hAnsi="Times New Roman" w:cs="Times New Roman"/>
          <w:sz w:val="24"/>
          <w:szCs w:val="24"/>
        </w:rPr>
        <w:t>. K</w:t>
      </w:r>
      <w:r w:rsidRPr="00D0255E">
        <w:rPr>
          <w:rFonts w:ascii="Times New Roman" w:hAnsi="Times New Roman" w:cs="Times New Roman"/>
          <w:sz w:val="24"/>
          <w:szCs w:val="24"/>
        </w:rPr>
        <w:t xml:space="preserve">oliki iznos treba uplaćivati početkom svake godine </w:t>
      </w:r>
      <w:r>
        <w:rPr>
          <w:rFonts w:ascii="Times New Roman" w:hAnsi="Times New Roman" w:cs="Times New Roman"/>
          <w:sz w:val="24"/>
          <w:szCs w:val="24"/>
        </w:rPr>
        <w:t xml:space="preserve">kako bi ostvario navedeni iznos na kraju pete godine, </w:t>
      </w:r>
      <w:r w:rsidRPr="00D0255E">
        <w:rPr>
          <w:rFonts w:ascii="Times New Roman" w:hAnsi="Times New Roman" w:cs="Times New Roman"/>
          <w:sz w:val="24"/>
          <w:szCs w:val="24"/>
        </w:rPr>
        <w:t xml:space="preserve">ako je kamatna stopa 2,5 % godišnje, a obračun kamata složen, godišnji i dekurzivan. </w:t>
      </w:r>
    </w:p>
    <w:p w:rsidR="00391697" w:rsidRPr="00D0255E" w:rsidRDefault="00391697" w:rsidP="00391697">
      <w:pPr>
        <w:tabs>
          <w:tab w:val="left" w:pos="6825"/>
        </w:tabs>
        <w:jc w:val="center"/>
        <w:rPr>
          <w:rFonts w:ascii="Times New Roman" w:hAnsi="Times New Roman" w:cs="Times New Roman"/>
          <w:sz w:val="24"/>
          <w:szCs w:val="24"/>
        </w:rPr>
      </w:pPr>
      <w:r w:rsidRPr="00D0255E">
        <w:rPr>
          <w:rFonts w:ascii="Times New Roman" w:hAnsi="Times New Roman" w:cs="Times New Roman"/>
          <w:noProof/>
          <w:sz w:val="24"/>
          <w:szCs w:val="24"/>
          <w:lang w:eastAsia="hr-HR"/>
        </w:rPr>
        <w:drawing>
          <wp:inline distT="0" distB="0" distL="0" distR="0" wp14:anchorId="02903065" wp14:editId="709D36CE">
            <wp:extent cx="4419600" cy="1401099"/>
            <wp:effectExtent l="0" t="0" r="0" b="8890"/>
            <wp:docPr id="1144" name="Slika 1142" descr="Slika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png"/>
                    <pic:cNvPicPr/>
                  </pic:nvPicPr>
                  <pic:blipFill>
                    <a:blip r:embed="rId172" cstate="print"/>
                    <a:stretch>
                      <a:fillRect/>
                    </a:stretch>
                  </pic:blipFill>
                  <pic:spPr>
                    <a:xfrm>
                      <a:off x="0" y="0"/>
                      <a:ext cx="4418139" cy="1400636"/>
                    </a:xfrm>
                    <a:prstGeom prst="rect">
                      <a:avLst/>
                    </a:prstGeom>
                  </pic:spPr>
                </pic:pic>
              </a:graphicData>
            </a:graphic>
          </wp:inline>
        </w:drawing>
      </w:r>
    </w:p>
    <w:tbl>
      <w:tblPr>
        <w:tblStyle w:val="Reetkatablice"/>
        <w:tblW w:w="0" w:type="auto"/>
        <w:tblLook w:val="04A0" w:firstRow="1" w:lastRow="0" w:firstColumn="1" w:lastColumn="0" w:noHBand="0" w:noVBand="1"/>
      </w:tblPr>
      <w:tblGrid>
        <w:gridCol w:w="9288"/>
      </w:tblGrid>
      <w:tr w:rsidR="00391697" w:rsidTr="00391697">
        <w:tc>
          <w:tcPr>
            <w:tcW w:w="9288" w:type="dxa"/>
          </w:tcPr>
          <w:p w:rsidR="00391697" w:rsidRDefault="00391697" w:rsidP="00391697">
            <w:pPr>
              <w:jc w:val="center"/>
              <w:rPr>
                <w:sz w:val="24"/>
                <w:szCs w:val="24"/>
              </w:rPr>
            </w:pPr>
            <w:r>
              <w:rPr>
                <w:rFonts w:asciiTheme="minorHAnsi" w:eastAsiaTheme="minorHAnsi" w:hAnsiTheme="minorHAnsi" w:cstheme="minorBidi"/>
                <w:sz w:val="22"/>
                <w:szCs w:val="22"/>
                <w:lang w:eastAsia="en-US"/>
              </w:rPr>
              <w:object w:dxaOrig="8445" w:dyaOrig="6855">
                <v:shape id="_x0000_i1060" type="#_x0000_t75" style="width:421.5pt;height:342.75pt" o:ole="">
                  <v:imagedata r:id="rId173" o:title=""/>
                </v:shape>
                <o:OLEObject Type="Embed" ProgID="PBrush" ShapeID="_x0000_i1060" DrawAspect="Content" ObjectID="_1505681388" r:id="rId174"/>
              </w:object>
            </w:r>
          </w:p>
        </w:tc>
      </w:tr>
      <w:tr w:rsidR="00391697" w:rsidTr="00391697">
        <w:tc>
          <w:tcPr>
            <w:tcW w:w="9288" w:type="dxa"/>
          </w:tcPr>
          <w:p w:rsidR="00391697" w:rsidRDefault="00391697" w:rsidP="001A23EC">
            <w:pPr>
              <w:rPr>
                <w:sz w:val="24"/>
                <w:szCs w:val="24"/>
              </w:rPr>
            </w:pPr>
            <w:r>
              <w:rPr>
                <w:rFonts w:asciiTheme="minorHAnsi" w:hAnsiTheme="minorHAnsi"/>
                <w:noProof/>
              </w:rPr>
              <w:t xml:space="preserve">* </w:t>
            </w:r>
            <w:r w:rsidR="001A23EC">
              <w:rPr>
                <w:rFonts w:asciiTheme="minorHAnsi" w:hAnsiTheme="minorHAnsi"/>
                <w:noProof/>
              </w:rPr>
              <w:t>Cjelokupni tekst p</w:t>
            </w:r>
            <w:r w:rsidRPr="00240640">
              <w:rPr>
                <w:rFonts w:asciiTheme="minorHAnsi" w:hAnsiTheme="minorHAnsi"/>
                <w:noProof/>
              </w:rPr>
              <w:t>reuzet iz: Ivanov, M.; Maroshi, V. (2014.) „Bankarstvo i osiguranje“, radna bilježnica za treći razred srednje ekonomske škole,  Alka Script, 2014.</w:t>
            </w:r>
          </w:p>
        </w:tc>
      </w:tr>
    </w:tbl>
    <w:p w:rsidR="00391697" w:rsidRPr="00A642A7" w:rsidRDefault="00391697" w:rsidP="00391697">
      <w:pPr>
        <w:tabs>
          <w:tab w:val="left" w:pos="3885"/>
        </w:tabs>
        <w:rPr>
          <w:rFonts w:cs="Times New Roman"/>
          <w:sz w:val="24"/>
          <w:szCs w:val="24"/>
        </w:rPr>
      </w:pPr>
      <w:r w:rsidRPr="00A642A7">
        <w:rPr>
          <w:rFonts w:cs="Times New Roman"/>
          <w:bCs/>
          <w:i/>
          <w:iCs/>
          <w:color w:val="C00000"/>
          <w:sz w:val="24"/>
          <w:szCs w:val="24"/>
        </w:rPr>
        <w:lastRenderedPageBreak/>
        <w:t>Primjer:</w:t>
      </w:r>
      <w:r w:rsidRPr="00A642A7">
        <w:rPr>
          <w:rFonts w:cs="Times New Roman"/>
          <w:b/>
          <w:bCs/>
          <w:i/>
          <w:iCs/>
          <w:color w:val="C00000"/>
          <w:sz w:val="24"/>
          <w:szCs w:val="24"/>
        </w:rPr>
        <w:t xml:space="preserve"> </w:t>
      </w:r>
      <w:r w:rsidRPr="00A642A7">
        <w:rPr>
          <w:rFonts w:cs="Times New Roman"/>
          <w:sz w:val="24"/>
          <w:szCs w:val="24"/>
        </w:rPr>
        <w:t>Kamatna stopa je 2 % godišnje. Pojedinac  krajem svake godine ulaže 5.000 kuna depozita u banku. Kolikom će ušteđevinom raspolagati nakon šest godina ako je obračun kamata složen, godišnji i dekurzivni?</w:t>
      </w:r>
      <w:r w:rsidRPr="00A642A7">
        <w:rPr>
          <w:rFonts w:cs="Times New Roman"/>
          <w:sz w:val="24"/>
          <w:szCs w:val="24"/>
        </w:rPr>
        <w:tab/>
      </w:r>
    </w:p>
    <w:p w:rsidR="00391697" w:rsidRPr="00D0255E" w:rsidRDefault="00391697" w:rsidP="00391697">
      <w:pPr>
        <w:tabs>
          <w:tab w:val="left" w:pos="3885"/>
        </w:tabs>
        <w:jc w:val="center"/>
        <w:rPr>
          <w:rFonts w:ascii="Times New Roman" w:hAnsi="Times New Roman" w:cs="Times New Roman"/>
          <w:sz w:val="24"/>
          <w:szCs w:val="24"/>
        </w:rPr>
      </w:pPr>
      <w:r w:rsidRPr="00D0255E">
        <w:rPr>
          <w:rFonts w:ascii="Times New Roman" w:hAnsi="Times New Roman" w:cs="Times New Roman"/>
          <w:noProof/>
          <w:sz w:val="24"/>
          <w:szCs w:val="24"/>
          <w:lang w:eastAsia="hr-HR"/>
        </w:rPr>
        <w:drawing>
          <wp:inline distT="0" distB="0" distL="0" distR="0" wp14:anchorId="5A4C6BCE" wp14:editId="40D0AF0E">
            <wp:extent cx="5760720" cy="589280"/>
            <wp:effectExtent l="19050" t="0" r="0" b="0"/>
            <wp:docPr id="1145" name="Slika 1144" descr="Slika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png"/>
                    <pic:cNvPicPr/>
                  </pic:nvPicPr>
                  <pic:blipFill>
                    <a:blip r:embed="rId175" cstate="print"/>
                    <a:stretch>
                      <a:fillRect/>
                    </a:stretch>
                  </pic:blipFill>
                  <pic:spPr>
                    <a:xfrm>
                      <a:off x="0" y="0"/>
                      <a:ext cx="5760720" cy="589280"/>
                    </a:xfrm>
                    <a:prstGeom prst="rect">
                      <a:avLst/>
                    </a:prstGeom>
                  </pic:spPr>
                </pic:pic>
              </a:graphicData>
            </a:graphic>
          </wp:inline>
        </w:drawing>
      </w:r>
    </w:p>
    <w:p w:rsidR="001E2856" w:rsidRPr="00A95D4F" w:rsidRDefault="00942170" w:rsidP="001A49C2">
      <w:pPr>
        <w:rPr>
          <w:rFonts w:cs="Times New Roman"/>
          <w:b/>
          <w:sz w:val="24"/>
          <w:szCs w:val="24"/>
        </w:rPr>
      </w:pPr>
      <w:r w:rsidRPr="00A95D4F">
        <w:rPr>
          <w:rFonts w:cs="Times New Roman"/>
          <w:b/>
          <w:sz w:val="24"/>
          <w:szCs w:val="24"/>
        </w:rPr>
        <w:t>3.1</w:t>
      </w:r>
      <w:r w:rsidR="0093356A">
        <w:rPr>
          <w:rFonts w:cs="Times New Roman"/>
          <w:b/>
          <w:sz w:val="24"/>
          <w:szCs w:val="24"/>
        </w:rPr>
        <w:t>5</w:t>
      </w:r>
      <w:r w:rsidRPr="00A95D4F">
        <w:rPr>
          <w:rFonts w:cs="Times New Roman"/>
          <w:b/>
          <w:sz w:val="24"/>
          <w:szCs w:val="24"/>
        </w:rPr>
        <w:t>. Stambena štednja</w:t>
      </w:r>
    </w:p>
    <w:p w:rsidR="00A95D4F" w:rsidRDefault="00942170" w:rsidP="00942170">
      <w:pPr>
        <w:tabs>
          <w:tab w:val="left" w:pos="1575"/>
        </w:tabs>
        <w:spacing w:before="120" w:after="120"/>
        <w:jc w:val="both"/>
        <w:rPr>
          <w:rFonts w:cs="Times New Roman"/>
          <w:iCs/>
          <w:sz w:val="24"/>
          <w:szCs w:val="24"/>
        </w:rPr>
      </w:pPr>
      <w:r w:rsidRPr="00942170">
        <w:rPr>
          <w:rFonts w:cs="Times New Roman"/>
          <w:iCs/>
          <w:sz w:val="24"/>
          <w:szCs w:val="24"/>
        </w:rPr>
        <w:t xml:space="preserve">Stambene štedionice </w:t>
      </w:r>
      <w:r>
        <w:rPr>
          <w:rFonts w:cs="Times New Roman"/>
          <w:iCs/>
          <w:sz w:val="24"/>
          <w:szCs w:val="24"/>
        </w:rPr>
        <w:t xml:space="preserve">su kreditne institucije </w:t>
      </w:r>
      <w:r w:rsidR="00203195">
        <w:rPr>
          <w:rFonts w:cs="Times New Roman"/>
          <w:iCs/>
          <w:sz w:val="24"/>
          <w:szCs w:val="24"/>
        </w:rPr>
        <w:t xml:space="preserve">kao i </w:t>
      </w:r>
      <w:r>
        <w:rPr>
          <w:rFonts w:cs="Times New Roman"/>
          <w:iCs/>
          <w:sz w:val="24"/>
          <w:szCs w:val="24"/>
        </w:rPr>
        <w:t>bank</w:t>
      </w:r>
      <w:r w:rsidR="00203195">
        <w:rPr>
          <w:rFonts w:cs="Times New Roman"/>
          <w:iCs/>
          <w:sz w:val="24"/>
          <w:szCs w:val="24"/>
        </w:rPr>
        <w:t>e</w:t>
      </w:r>
      <w:r>
        <w:rPr>
          <w:rFonts w:cs="Times New Roman"/>
          <w:iCs/>
          <w:sz w:val="24"/>
          <w:szCs w:val="24"/>
        </w:rPr>
        <w:t xml:space="preserve">. Nadalje i one poput banaka prikupljaju depozite kao osnovne izvor sredstava koji određuju iznos kredita koji mogu odobriti. Dodano poput banaka trebaju zadovoljavati uvjete regulatornog kapitala, upravljati rizicima sukladno istoj regulativi te se po potrebi mogu zaduživati na domaćem i stranom </w:t>
      </w:r>
      <w:r w:rsidRPr="00203195">
        <w:rPr>
          <w:rFonts w:cs="Times New Roman"/>
          <w:iCs/>
          <w:color w:val="C00000"/>
          <w:sz w:val="24"/>
          <w:szCs w:val="24"/>
        </w:rPr>
        <w:t xml:space="preserve">tržištu novca </w:t>
      </w:r>
      <w:r>
        <w:rPr>
          <w:rFonts w:cs="Times New Roman"/>
          <w:iCs/>
          <w:sz w:val="24"/>
          <w:szCs w:val="24"/>
        </w:rPr>
        <w:t xml:space="preserve">(duga kratkog roka – do godinu dana) ili </w:t>
      </w:r>
      <w:r w:rsidRPr="00203195">
        <w:rPr>
          <w:rFonts w:cs="Times New Roman"/>
          <w:iCs/>
          <w:color w:val="C00000"/>
          <w:sz w:val="24"/>
          <w:szCs w:val="24"/>
        </w:rPr>
        <w:t xml:space="preserve">tržištu kapitala </w:t>
      </w:r>
      <w:r>
        <w:rPr>
          <w:rFonts w:cs="Times New Roman"/>
          <w:iCs/>
          <w:sz w:val="24"/>
          <w:szCs w:val="24"/>
        </w:rPr>
        <w:t>(duga dugog roka – preko jedne godine). U oba slučaja i kod banka i stambenih štedionica</w:t>
      </w:r>
      <w:r w:rsidR="00A95D4F">
        <w:rPr>
          <w:rFonts w:cs="Times New Roman"/>
          <w:iCs/>
          <w:sz w:val="24"/>
          <w:szCs w:val="24"/>
        </w:rPr>
        <w:t>,</w:t>
      </w:r>
      <w:r>
        <w:rPr>
          <w:rFonts w:cs="Times New Roman"/>
          <w:iCs/>
          <w:sz w:val="24"/>
          <w:szCs w:val="24"/>
        </w:rPr>
        <w:t xml:space="preserve"> visina kamatne stope na kredite određena je troškovima financiranja institucije</w:t>
      </w:r>
      <w:r w:rsidR="00D877E8">
        <w:rPr>
          <w:rFonts w:cs="Times New Roman"/>
          <w:iCs/>
          <w:sz w:val="24"/>
          <w:szCs w:val="24"/>
        </w:rPr>
        <w:t>,</w:t>
      </w:r>
      <w:r>
        <w:rPr>
          <w:rFonts w:cs="Times New Roman"/>
          <w:iCs/>
          <w:sz w:val="24"/>
          <w:szCs w:val="24"/>
        </w:rPr>
        <w:t xml:space="preserve"> visinom premije rizika te regulatornim troškom. Na primjer banke moraju držati različite oblike obveznih rezervi na primljene depozite i druge izvore </w:t>
      </w:r>
      <w:r w:rsidR="00A95D4F">
        <w:rPr>
          <w:rFonts w:cs="Times New Roman"/>
          <w:iCs/>
          <w:sz w:val="24"/>
          <w:szCs w:val="24"/>
        </w:rPr>
        <w:t xml:space="preserve">sredstava, dok i banke i stambene štedionice moraju održavati adekvatnu razinu rezervi likvidnosti i udovoljavati regulativi koja se na navedeno odnosi. </w:t>
      </w:r>
    </w:p>
    <w:p w:rsidR="00480F71" w:rsidRDefault="00A95D4F" w:rsidP="00942170">
      <w:pPr>
        <w:tabs>
          <w:tab w:val="left" w:pos="1575"/>
        </w:tabs>
        <w:spacing w:before="120" w:after="120"/>
        <w:jc w:val="both"/>
        <w:rPr>
          <w:rFonts w:cs="Times New Roman"/>
          <w:iCs/>
          <w:sz w:val="24"/>
          <w:szCs w:val="24"/>
        </w:rPr>
      </w:pPr>
      <w:r>
        <w:rPr>
          <w:rFonts w:cs="Times New Roman"/>
          <w:iCs/>
          <w:sz w:val="24"/>
          <w:szCs w:val="24"/>
        </w:rPr>
        <w:t xml:space="preserve">Unatoč nabrojenim sličnostima te specifičnim razlikama, između banaka i stambenih štedionica postoje značajne razlike. </w:t>
      </w:r>
      <w:r w:rsidR="00942170">
        <w:rPr>
          <w:rFonts w:cs="Times New Roman"/>
          <w:iCs/>
          <w:sz w:val="24"/>
          <w:szCs w:val="24"/>
        </w:rPr>
        <w:t xml:space="preserve"> </w:t>
      </w:r>
      <w:r>
        <w:rPr>
          <w:rFonts w:cs="Times New Roman"/>
          <w:iCs/>
          <w:sz w:val="24"/>
          <w:szCs w:val="24"/>
        </w:rPr>
        <w:t>Banke odobravaju namjenske i nenamjenske kredite građanima, poduzećima i državi</w:t>
      </w:r>
      <w:r w:rsidR="007730BD">
        <w:rPr>
          <w:rFonts w:cs="Times New Roman"/>
          <w:iCs/>
          <w:sz w:val="24"/>
          <w:szCs w:val="24"/>
        </w:rPr>
        <w:t xml:space="preserve"> (uz promjenjivu ili fiksnu kamatnu stopu)</w:t>
      </w:r>
      <w:r>
        <w:rPr>
          <w:rFonts w:cs="Times New Roman"/>
          <w:iCs/>
          <w:sz w:val="24"/>
          <w:szCs w:val="24"/>
        </w:rPr>
        <w:t>, ulažu u različite vrijednosnice od državnih obveznica i trezorskih zapisa do diionica, mogu obavljati poslove financijskog leasing</w:t>
      </w:r>
      <w:r w:rsidR="001619CF">
        <w:rPr>
          <w:rFonts w:cs="Times New Roman"/>
          <w:iCs/>
          <w:sz w:val="24"/>
          <w:szCs w:val="24"/>
        </w:rPr>
        <w:t>-</w:t>
      </w:r>
      <w:r>
        <w:rPr>
          <w:rFonts w:cs="Times New Roman"/>
          <w:iCs/>
          <w:sz w:val="24"/>
          <w:szCs w:val="24"/>
        </w:rPr>
        <w:t>a te su ključne institucije u funkcioniranju platnog prometa u zemlji jer svoji klijentima otvaraju tekuće račune</w:t>
      </w:r>
      <w:r w:rsidR="00D877E8">
        <w:rPr>
          <w:rFonts w:cs="Times New Roman"/>
          <w:iCs/>
          <w:sz w:val="24"/>
          <w:szCs w:val="24"/>
        </w:rPr>
        <w:t xml:space="preserve"> i </w:t>
      </w:r>
      <w:r>
        <w:rPr>
          <w:rFonts w:cs="Times New Roman"/>
          <w:iCs/>
          <w:sz w:val="24"/>
          <w:szCs w:val="24"/>
        </w:rPr>
        <w:t xml:space="preserve"> žiro</w:t>
      </w:r>
      <w:r w:rsidR="00D877E8">
        <w:rPr>
          <w:rFonts w:cs="Times New Roman"/>
          <w:iCs/>
          <w:sz w:val="24"/>
          <w:szCs w:val="24"/>
        </w:rPr>
        <w:t xml:space="preserve"> </w:t>
      </w:r>
      <w:r>
        <w:rPr>
          <w:rFonts w:cs="Times New Roman"/>
          <w:iCs/>
          <w:sz w:val="24"/>
          <w:szCs w:val="24"/>
        </w:rPr>
        <w:t>račune vezane uz obavljanje platnog prometa</w:t>
      </w:r>
      <w:r w:rsidR="00203195">
        <w:rPr>
          <w:rFonts w:cs="Times New Roman"/>
          <w:iCs/>
          <w:sz w:val="24"/>
          <w:szCs w:val="24"/>
        </w:rPr>
        <w:t xml:space="preserve"> (</w:t>
      </w:r>
      <w:r>
        <w:rPr>
          <w:rFonts w:cs="Times New Roman"/>
          <w:iCs/>
          <w:sz w:val="24"/>
          <w:szCs w:val="24"/>
        </w:rPr>
        <w:t>podizanja gotovine u poslovnici banke i na bankomatima, obavljanje plaćanja na EFT POS uređajima itd</w:t>
      </w:r>
      <w:r w:rsidR="00203195">
        <w:rPr>
          <w:rFonts w:cs="Times New Roman"/>
          <w:iCs/>
          <w:sz w:val="24"/>
          <w:szCs w:val="24"/>
        </w:rPr>
        <w:t>.)</w:t>
      </w:r>
      <w:r>
        <w:rPr>
          <w:rFonts w:cs="Times New Roman"/>
          <w:iCs/>
          <w:sz w:val="24"/>
          <w:szCs w:val="24"/>
        </w:rPr>
        <w:t xml:space="preserve">. </w:t>
      </w:r>
      <w:r w:rsidR="005D10C4">
        <w:rPr>
          <w:rFonts w:cs="Times New Roman"/>
          <w:iCs/>
          <w:sz w:val="24"/>
          <w:szCs w:val="24"/>
        </w:rPr>
        <w:t>S druge strane, kod stambenih štedionica takvi računi za plaćanje se ne mogu otvoriti</w:t>
      </w:r>
      <w:r w:rsidR="00480F71">
        <w:rPr>
          <w:rFonts w:cs="Times New Roman"/>
          <w:iCs/>
          <w:sz w:val="24"/>
          <w:szCs w:val="24"/>
        </w:rPr>
        <w:t xml:space="preserve">, dok su </w:t>
      </w:r>
      <w:r w:rsidR="00480F71" w:rsidRPr="00480F71">
        <w:rPr>
          <w:rFonts w:cs="Times New Roman"/>
          <w:iCs/>
          <w:color w:val="C00000"/>
          <w:sz w:val="24"/>
          <w:szCs w:val="24"/>
        </w:rPr>
        <w:t xml:space="preserve">kamatne stope kod stambenih štedionica tipično fiksne i na depozite i na kredite </w:t>
      </w:r>
      <w:r w:rsidR="00480F71">
        <w:rPr>
          <w:rFonts w:cs="Times New Roman"/>
          <w:iCs/>
          <w:sz w:val="24"/>
          <w:szCs w:val="24"/>
        </w:rPr>
        <w:t>(što nažalost građani nisu u dovoljnoj mjeri prepoznali kako bi se zaštitili od rizika rasta promjenjivih kamatnih stopa nego su radije preferirali zaduživanje kod banaka)</w:t>
      </w:r>
      <w:r w:rsidR="005D10C4">
        <w:rPr>
          <w:rFonts w:cs="Times New Roman"/>
          <w:iCs/>
          <w:sz w:val="24"/>
          <w:szCs w:val="24"/>
        </w:rPr>
        <w:t xml:space="preserve">. </w:t>
      </w:r>
    </w:p>
    <w:p w:rsidR="005D10C4" w:rsidRPr="00480F71" w:rsidRDefault="00480F71" w:rsidP="00480F71">
      <w:pPr>
        <w:tabs>
          <w:tab w:val="left" w:pos="1575"/>
        </w:tabs>
        <w:spacing w:before="120" w:after="120"/>
        <w:jc w:val="both"/>
        <w:rPr>
          <w:sz w:val="24"/>
          <w:szCs w:val="24"/>
        </w:rPr>
      </w:pPr>
      <w:r w:rsidRPr="00480F71">
        <w:rPr>
          <w:rFonts w:cs="Times New Roman"/>
          <w:iCs/>
          <w:sz w:val="24"/>
          <w:szCs w:val="24"/>
        </w:rPr>
        <w:t xml:space="preserve">Deponenti banaka </w:t>
      </w:r>
      <w:r w:rsidR="00A95D4F" w:rsidRPr="00480F71">
        <w:rPr>
          <w:rFonts w:cs="Times New Roman"/>
          <w:iCs/>
          <w:sz w:val="24"/>
          <w:szCs w:val="24"/>
        </w:rPr>
        <w:t>uglavnom drže nenamjenske depozite kao što su oročeni depoziti i a vista štedni depoziti, a u oba slučaja takvi depoziti su vrlo likvidni jer troškovi prijevremenog razročenja nisu pretjerano visoki.</w:t>
      </w:r>
      <w:r w:rsidRPr="00480F71">
        <w:rPr>
          <w:rFonts w:cs="Times New Roman"/>
          <w:iCs/>
          <w:sz w:val="24"/>
          <w:szCs w:val="24"/>
        </w:rPr>
        <w:t xml:space="preserve"> </w:t>
      </w:r>
      <w:r w:rsidR="00A95D4F" w:rsidRPr="00480F71">
        <w:rPr>
          <w:rFonts w:cs="Times New Roman"/>
          <w:iCs/>
          <w:sz w:val="24"/>
          <w:szCs w:val="24"/>
        </w:rPr>
        <w:t xml:space="preserve">S druge strane, </w:t>
      </w:r>
      <w:r w:rsidR="00A95D4F" w:rsidRPr="00480F71">
        <w:rPr>
          <w:rFonts w:cs="Times New Roman"/>
          <w:iCs/>
          <w:color w:val="C00000"/>
          <w:sz w:val="24"/>
          <w:szCs w:val="24"/>
        </w:rPr>
        <w:t xml:space="preserve">stambene štedionice primaju namjenske depozite (stambenu štednju) </w:t>
      </w:r>
      <w:r w:rsidR="00A95D4F" w:rsidRPr="00480F71">
        <w:rPr>
          <w:rFonts w:cs="Times New Roman"/>
          <w:iCs/>
          <w:sz w:val="24"/>
          <w:szCs w:val="24"/>
        </w:rPr>
        <w:t>i odobravaju namjenske kredite (stambene kredite), a po potrebi viškove rezervi uglavnom ulažu u državne v</w:t>
      </w:r>
      <w:r w:rsidR="007B3AAB" w:rsidRPr="00480F71">
        <w:rPr>
          <w:rFonts w:cs="Times New Roman"/>
          <w:iCs/>
          <w:sz w:val="24"/>
          <w:szCs w:val="24"/>
        </w:rPr>
        <w:t>rijednosnice različite ročnosti kako bi ostvarile prinos na prikupljene izvore financiranja koji nisu plasirani u stambene kredite.</w:t>
      </w:r>
      <w:r w:rsidR="00C878A3" w:rsidRPr="00480F71">
        <w:rPr>
          <w:rFonts w:cs="Times New Roman"/>
          <w:iCs/>
          <w:sz w:val="24"/>
          <w:szCs w:val="24"/>
        </w:rPr>
        <w:t xml:space="preserve"> </w:t>
      </w:r>
      <w:r w:rsidR="00F90147" w:rsidRPr="00480F71">
        <w:rPr>
          <w:rFonts w:cs="Times New Roman"/>
          <w:iCs/>
          <w:color w:val="C00000"/>
          <w:sz w:val="24"/>
          <w:szCs w:val="24"/>
        </w:rPr>
        <w:t>Depoziti s</w:t>
      </w:r>
      <w:r w:rsidR="00F90147" w:rsidRPr="00480F71">
        <w:rPr>
          <w:color w:val="C00000"/>
          <w:sz w:val="24"/>
          <w:szCs w:val="24"/>
        </w:rPr>
        <w:t>tambena štednja su osigurani na isti način kao u slučaju banka (do 100.000 eura po svakoj kreditnoj instituciji)</w:t>
      </w:r>
      <w:r w:rsidR="00B24CB9" w:rsidRPr="00480F71">
        <w:rPr>
          <w:color w:val="C00000"/>
          <w:sz w:val="24"/>
          <w:szCs w:val="24"/>
        </w:rPr>
        <w:t xml:space="preserve"> </w:t>
      </w:r>
      <w:r w:rsidR="00B24CB9" w:rsidRPr="00480F71">
        <w:rPr>
          <w:sz w:val="24"/>
          <w:szCs w:val="24"/>
        </w:rPr>
        <w:t xml:space="preserve">te se kamate </w:t>
      </w:r>
      <w:r w:rsidR="000965EA" w:rsidRPr="00480F71">
        <w:rPr>
          <w:sz w:val="24"/>
          <w:szCs w:val="24"/>
        </w:rPr>
        <w:t xml:space="preserve">na štednju </w:t>
      </w:r>
      <w:r w:rsidR="00B24CB9" w:rsidRPr="00480F71">
        <w:rPr>
          <w:sz w:val="24"/>
          <w:szCs w:val="24"/>
        </w:rPr>
        <w:t>oporezuju na isti način. No,</w:t>
      </w:r>
      <w:r w:rsidR="00F90147" w:rsidRPr="00480F71">
        <w:rPr>
          <w:sz w:val="24"/>
          <w:szCs w:val="24"/>
        </w:rPr>
        <w:t xml:space="preserve"> zbog </w:t>
      </w:r>
      <w:r>
        <w:rPr>
          <w:sz w:val="24"/>
          <w:szCs w:val="24"/>
        </w:rPr>
        <w:t xml:space="preserve">ugovaranja dugoročne stambene štednje, kao i </w:t>
      </w:r>
      <w:r w:rsidR="00D877E8">
        <w:rPr>
          <w:sz w:val="24"/>
          <w:szCs w:val="24"/>
        </w:rPr>
        <w:t xml:space="preserve">(najčešće prisutnih) </w:t>
      </w:r>
      <w:r w:rsidR="00F90147" w:rsidRPr="00480F71">
        <w:rPr>
          <w:sz w:val="24"/>
          <w:szCs w:val="24"/>
        </w:rPr>
        <w:t>ulaznih i izlaznih naknada</w:t>
      </w:r>
      <w:r>
        <w:rPr>
          <w:sz w:val="24"/>
          <w:szCs w:val="24"/>
        </w:rPr>
        <w:t>,</w:t>
      </w:r>
      <w:r w:rsidR="00F90147" w:rsidRPr="00480F71">
        <w:rPr>
          <w:sz w:val="24"/>
          <w:szCs w:val="24"/>
        </w:rPr>
        <w:t xml:space="preserve"> stambena štednja je ipak </w:t>
      </w:r>
      <w:r w:rsidR="00F90147" w:rsidRPr="00480F71">
        <w:rPr>
          <w:color w:val="C00000"/>
          <w:sz w:val="24"/>
          <w:szCs w:val="24"/>
        </w:rPr>
        <w:t xml:space="preserve">manje likvidna </w:t>
      </w:r>
      <w:r w:rsidR="00F90147" w:rsidRPr="00480F71">
        <w:rPr>
          <w:sz w:val="24"/>
          <w:szCs w:val="24"/>
        </w:rPr>
        <w:t xml:space="preserve">nego u slučaju oročene štednje u banci. </w:t>
      </w:r>
    </w:p>
    <w:p w:rsidR="00C878A3" w:rsidRDefault="000965EA" w:rsidP="00F90147">
      <w:pPr>
        <w:pStyle w:val="Default"/>
        <w:spacing w:after="200" w:line="276" w:lineRule="auto"/>
        <w:jc w:val="both"/>
        <w:rPr>
          <w:rFonts w:asciiTheme="minorHAnsi" w:eastAsiaTheme="minorHAnsi" w:hAnsiTheme="minorHAnsi" w:cs="Times New Roman"/>
          <w:iCs/>
          <w:color w:val="auto"/>
          <w:lang w:eastAsia="en-US"/>
        </w:rPr>
      </w:pPr>
      <w:r>
        <w:rPr>
          <w:rFonts w:asciiTheme="minorHAnsi" w:hAnsiTheme="minorHAnsi"/>
        </w:rPr>
        <w:lastRenderedPageBreak/>
        <w:t>Nadalje, d</w:t>
      </w:r>
      <w:r w:rsidR="00C878A3" w:rsidRPr="00E649BD">
        <w:rPr>
          <w:rFonts w:asciiTheme="minorHAnsi" w:eastAsiaTheme="minorHAnsi" w:hAnsiTheme="minorHAnsi" w:cs="Times New Roman"/>
          <w:iCs/>
          <w:color w:val="auto"/>
          <w:lang w:eastAsia="en-US"/>
        </w:rPr>
        <w:t xml:space="preserve">ok deponenti i korisnici kredita banaka mogu biti i fizičke i pravne osobe te rezidenti i nerezidenti, ugovor o stambenoj štednji </w:t>
      </w:r>
      <w:r w:rsidR="005D10C4">
        <w:rPr>
          <w:rFonts w:asciiTheme="minorHAnsi" w:eastAsiaTheme="minorHAnsi" w:hAnsiTheme="minorHAnsi" w:cs="Times New Roman"/>
          <w:iCs/>
          <w:color w:val="auto"/>
          <w:lang w:eastAsia="en-US"/>
        </w:rPr>
        <w:t>mogu zaključiti</w:t>
      </w:r>
      <w:r w:rsidR="00C878A3" w:rsidRPr="00E649BD">
        <w:rPr>
          <w:rFonts w:asciiTheme="minorHAnsi" w:eastAsiaTheme="minorHAnsi" w:hAnsiTheme="minorHAnsi" w:cs="Times New Roman"/>
          <w:iCs/>
          <w:color w:val="auto"/>
          <w:lang w:eastAsia="en-US"/>
        </w:rPr>
        <w:t xml:space="preserve"> </w:t>
      </w:r>
      <w:r w:rsidR="00C878A3" w:rsidRPr="000965EA">
        <w:rPr>
          <w:rFonts w:asciiTheme="minorHAnsi" w:eastAsiaTheme="minorHAnsi" w:hAnsiTheme="minorHAnsi" w:cs="Times New Roman"/>
          <w:iCs/>
          <w:color w:val="C00000"/>
          <w:lang w:eastAsia="en-US"/>
        </w:rPr>
        <w:t>hrvatski državljani</w:t>
      </w:r>
      <w:r w:rsidR="00C878A3" w:rsidRPr="00E649BD">
        <w:rPr>
          <w:rFonts w:asciiTheme="minorHAnsi" w:eastAsiaTheme="minorHAnsi" w:hAnsiTheme="minorHAnsi" w:cs="Times New Roman"/>
          <w:iCs/>
          <w:color w:val="auto"/>
          <w:lang w:eastAsia="en-US"/>
        </w:rPr>
        <w:t xml:space="preserve"> i fizičke osobe s prebivalištem u Republici Hrvatskoj</w:t>
      </w:r>
      <w:r w:rsidR="005D10C4">
        <w:rPr>
          <w:rFonts w:asciiTheme="minorHAnsi" w:eastAsiaTheme="minorHAnsi" w:hAnsiTheme="minorHAnsi" w:cs="Times New Roman"/>
          <w:iCs/>
          <w:color w:val="auto"/>
          <w:lang w:eastAsia="en-US"/>
        </w:rPr>
        <w:t xml:space="preserve"> (te kao izuzetak, općine i gradovi ako njima financiraju izgradnju stanova za osobe slabijeg imovinskog stanja)</w:t>
      </w:r>
      <w:r w:rsidR="00C878A3" w:rsidRPr="00E649BD">
        <w:rPr>
          <w:rFonts w:asciiTheme="minorHAnsi" w:eastAsiaTheme="minorHAnsi" w:hAnsiTheme="minorHAnsi" w:cs="Times New Roman"/>
          <w:iCs/>
          <w:color w:val="auto"/>
          <w:lang w:eastAsia="en-US"/>
        </w:rPr>
        <w:t xml:space="preserve">. </w:t>
      </w:r>
      <w:r>
        <w:rPr>
          <w:rFonts w:asciiTheme="minorHAnsi" w:eastAsiaTheme="minorHAnsi" w:hAnsiTheme="minorHAnsi" w:cs="Times New Roman"/>
          <w:iCs/>
          <w:color w:val="auto"/>
          <w:lang w:eastAsia="en-US"/>
        </w:rPr>
        <w:t>S</w:t>
      </w:r>
      <w:r w:rsidR="00C878A3" w:rsidRPr="00E649BD">
        <w:rPr>
          <w:rFonts w:asciiTheme="minorHAnsi" w:eastAsiaTheme="minorHAnsi" w:hAnsiTheme="minorHAnsi" w:cs="Times New Roman"/>
          <w:iCs/>
          <w:color w:val="auto"/>
          <w:lang w:eastAsia="en-US"/>
        </w:rPr>
        <w:t>tambene štedionice mogu odobravati stambene kredite samo stambenim štedišama</w:t>
      </w:r>
      <w:r>
        <w:rPr>
          <w:rFonts w:asciiTheme="minorHAnsi" w:eastAsiaTheme="minorHAnsi" w:hAnsiTheme="minorHAnsi" w:cs="Times New Roman"/>
          <w:iCs/>
          <w:color w:val="auto"/>
          <w:lang w:eastAsia="en-US"/>
        </w:rPr>
        <w:t xml:space="preserve"> - uz korištenje sredstava </w:t>
      </w:r>
      <w:r w:rsidR="005D10C4">
        <w:rPr>
          <w:rFonts w:asciiTheme="minorHAnsi" w:eastAsiaTheme="minorHAnsi" w:hAnsiTheme="minorHAnsi" w:cs="Times New Roman"/>
          <w:iCs/>
          <w:color w:val="auto"/>
          <w:lang w:eastAsia="en-US"/>
        </w:rPr>
        <w:t xml:space="preserve">odobrenog </w:t>
      </w:r>
      <w:r>
        <w:rPr>
          <w:rFonts w:asciiTheme="minorHAnsi" w:eastAsiaTheme="minorHAnsi" w:hAnsiTheme="minorHAnsi" w:cs="Times New Roman"/>
          <w:iCs/>
          <w:color w:val="auto"/>
          <w:lang w:eastAsia="en-US"/>
        </w:rPr>
        <w:t xml:space="preserve">kredita samo u Hrvatskoj. </w:t>
      </w:r>
    </w:p>
    <w:tbl>
      <w:tblPr>
        <w:tblStyle w:val="Reetkatablice"/>
        <w:tblW w:w="0" w:type="auto"/>
        <w:tblInd w:w="108" w:type="dxa"/>
        <w:tblLook w:val="04A0" w:firstRow="1" w:lastRow="0" w:firstColumn="1" w:lastColumn="0" w:noHBand="0" w:noVBand="1"/>
      </w:tblPr>
      <w:tblGrid>
        <w:gridCol w:w="9180"/>
      </w:tblGrid>
      <w:tr w:rsidR="007B3AAB" w:rsidTr="007B3AAB">
        <w:tc>
          <w:tcPr>
            <w:tcW w:w="9180" w:type="dxa"/>
            <w:shd w:val="clear" w:color="auto" w:fill="F2F2F2" w:themeFill="background1" w:themeFillShade="F2"/>
          </w:tcPr>
          <w:p w:rsidR="007B3AAB" w:rsidRDefault="007B3AAB" w:rsidP="00391697">
            <w:pPr>
              <w:pStyle w:val="Default"/>
              <w:spacing w:before="120" w:after="120" w:line="276" w:lineRule="auto"/>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Zakonska regulativa stambene štednje definirana je </w:t>
            </w:r>
            <w:r w:rsidRPr="00480F71">
              <w:rPr>
                <w:rFonts w:asciiTheme="minorHAnsi" w:eastAsiaTheme="minorHAnsi" w:hAnsiTheme="minorHAnsi" w:cs="Times New Roman"/>
                <w:i/>
                <w:iCs/>
                <w:color w:val="auto"/>
                <w:lang w:eastAsia="en-US"/>
              </w:rPr>
              <w:t>Zakonom o stambenoj štednji i državnom poticanju stambene štednje</w:t>
            </w:r>
            <w:r w:rsidRPr="00E649BD">
              <w:rPr>
                <w:rFonts w:asciiTheme="minorHAnsi" w:eastAsiaTheme="minorHAnsi" w:hAnsiTheme="minorHAnsi" w:cs="Times New Roman"/>
                <w:iCs/>
                <w:color w:val="auto"/>
                <w:lang w:eastAsia="en-US"/>
              </w:rPr>
              <w:t xml:space="preserve">. </w:t>
            </w:r>
            <w:r w:rsidRPr="007B3AAB">
              <w:rPr>
                <w:rFonts w:asciiTheme="minorHAnsi" w:eastAsiaTheme="minorHAnsi" w:hAnsiTheme="minorHAnsi" w:cs="Times New Roman"/>
                <w:iCs/>
                <w:color w:val="C00000"/>
                <w:lang w:eastAsia="en-US"/>
              </w:rPr>
              <w:t xml:space="preserve">Stambena štednja </w:t>
            </w:r>
            <w:r w:rsidRPr="00E649BD">
              <w:rPr>
                <w:rFonts w:asciiTheme="minorHAnsi" w:eastAsiaTheme="minorHAnsi" w:hAnsiTheme="minorHAnsi" w:cs="Times New Roman"/>
                <w:iCs/>
                <w:color w:val="auto"/>
                <w:lang w:eastAsia="en-US"/>
              </w:rPr>
              <w:t xml:space="preserve">u smislu Zakona je </w:t>
            </w:r>
            <w:r w:rsidRPr="00E649BD">
              <w:rPr>
                <w:rFonts w:asciiTheme="minorHAnsi" w:eastAsiaTheme="minorHAnsi" w:hAnsiTheme="minorHAnsi" w:cs="Times New Roman"/>
                <w:i/>
                <w:iCs/>
                <w:color w:val="auto"/>
                <w:lang w:eastAsia="en-US"/>
              </w:rPr>
              <w:t>„organizirano prikupljanje novčanih sredstava – depozita od fizičkih i pravnih osoba radi rješavanja stambenih potreba stambenih štediša odobravanjem stambenih kredita uz financijsku potporu države na području Republike Hrvatske.“</w:t>
            </w:r>
          </w:p>
        </w:tc>
      </w:tr>
    </w:tbl>
    <w:p w:rsidR="007B3AAB" w:rsidRPr="00E649BD" w:rsidRDefault="000965EA" w:rsidP="005D10C4">
      <w:pPr>
        <w:pStyle w:val="Default"/>
        <w:spacing w:before="240" w:after="120"/>
        <w:jc w:val="both"/>
        <w:rPr>
          <w:rFonts w:asciiTheme="minorHAnsi" w:eastAsiaTheme="minorHAnsi" w:hAnsiTheme="minorHAnsi" w:cs="Times New Roman"/>
          <w:iCs/>
          <w:color w:val="auto"/>
          <w:lang w:eastAsia="en-US"/>
        </w:rPr>
      </w:pPr>
      <w:r>
        <w:rPr>
          <w:rFonts w:asciiTheme="minorHAnsi" w:eastAsiaTheme="minorHAnsi" w:hAnsiTheme="minorHAnsi" w:cs="Times New Roman"/>
          <w:iCs/>
          <w:color w:val="auto"/>
          <w:lang w:eastAsia="en-US"/>
        </w:rPr>
        <w:t xml:space="preserve">Temeljni pojam vezan uz stambenu štednju je </w:t>
      </w:r>
      <w:r w:rsidRPr="000965EA">
        <w:rPr>
          <w:rFonts w:asciiTheme="minorHAnsi" w:eastAsiaTheme="minorHAnsi" w:hAnsiTheme="minorHAnsi" w:cs="Times New Roman"/>
          <w:iCs/>
          <w:color w:val="C00000"/>
          <w:lang w:eastAsia="en-US"/>
        </w:rPr>
        <w:t xml:space="preserve">ugovorna svota </w:t>
      </w:r>
      <w:r w:rsidRPr="000965EA">
        <w:rPr>
          <w:rFonts w:asciiTheme="minorHAnsi" w:eastAsiaTheme="minorHAnsi" w:hAnsiTheme="minorHAnsi" w:cs="Times New Roman"/>
          <w:iCs/>
          <w:color w:val="auto"/>
          <w:lang w:eastAsia="en-US"/>
        </w:rPr>
        <w:t>ili</w:t>
      </w:r>
      <w:r>
        <w:rPr>
          <w:rFonts w:asciiTheme="minorHAnsi" w:eastAsiaTheme="minorHAnsi" w:hAnsiTheme="minorHAnsi" w:cs="Times New Roman"/>
          <w:iCs/>
          <w:color w:val="C00000"/>
          <w:lang w:eastAsia="en-US"/>
        </w:rPr>
        <w:t xml:space="preserve"> ugovoreni iznos </w:t>
      </w:r>
      <w:r w:rsidRPr="000965EA">
        <w:rPr>
          <w:rFonts w:asciiTheme="minorHAnsi" w:eastAsiaTheme="minorHAnsi" w:hAnsiTheme="minorHAnsi" w:cs="Times New Roman"/>
          <w:iCs/>
          <w:color w:val="auto"/>
          <w:lang w:eastAsia="en-US"/>
        </w:rPr>
        <w:t>(kao ciljani iznos sredstava kojima stambeni štediša želi raspolagati za rješavanje stambenih potreba)</w:t>
      </w:r>
      <w:r w:rsidR="007B3AAB" w:rsidRPr="00E649BD">
        <w:rPr>
          <w:rFonts w:asciiTheme="minorHAnsi" w:eastAsiaTheme="minorHAnsi" w:hAnsiTheme="minorHAnsi" w:cs="Times New Roman"/>
          <w:iCs/>
          <w:color w:val="auto"/>
          <w:lang w:eastAsia="en-US"/>
        </w:rPr>
        <w:t>. Ugovornu svotu čine:</w:t>
      </w:r>
    </w:p>
    <w:p w:rsidR="007B3AAB" w:rsidRPr="00E649BD" w:rsidRDefault="007B3AAB" w:rsidP="007B3AAB">
      <w:pPr>
        <w:pStyle w:val="Default"/>
        <w:spacing w:after="120"/>
        <w:ind w:left="30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1. </w:t>
      </w:r>
      <w:r w:rsidRPr="00F90147">
        <w:rPr>
          <w:rFonts w:asciiTheme="minorHAnsi" w:eastAsiaTheme="minorHAnsi" w:hAnsiTheme="minorHAnsi" w:cs="Times New Roman"/>
          <w:iCs/>
          <w:color w:val="C00000"/>
          <w:lang w:eastAsia="en-US"/>
        </w:rPr>
        <w:t xml:space="preserve">stambena ušteđevina (vlastita sredstva) </w:t>
      </w:r>
      <w:r w:rsidRPr="00E649BD">
        <w:rPr>
          <w:rFonts w:asciiTheme="minorHAnsi" w:eastAsiaTheme="minorHAnsi" w:hAnsiTheme="minorHAnsi" w:cs="Times New Roman"/>
          <w:iCs/>
          <w:color w:val="auto"/>
          <w:lang w:eastAsia="en-US"/>
        </w:rPr>
        <w:t>– sastoji se od depozita stambene štednje, državnih poticajnih sredstava (DPS), kamata pripisivanih depozitu i državnih poticajnih sredstava :</w:t>
      </w:r>
    </w:p>
    <w:p w:rsidR="007B3AAB" w:rsidRPr="00E649BD" w:rsidRDefault="007B3AAB" w:rsidP="007B3AAB">
      <w:pPr>
        <w:spacing w:after="120" w:line="240" w:lineRule="auto"/>
        <w:rPr>
          <w:rFonts w:cs="Times New Roman"/>
          <w:iCs/>
          <w:sz w:val="24"/>
          <w:szCs w:val="24"/>
        </w:rPr>
      </w:pPr>
      <w:r w:rsidRPr="00E649BD">
        <w:rPr>
          <w:rFonts w:cs="Times New Roman"/>
          <w:iCs/>
          <w:noProof/>
          <w:sz w:val="24"/>
          <w:szCs w:val="24"/>
          <w:lang w:eastAsia="hr-HR"/>
        </w:rPr>
        <mc:AlternateContent>
          <mc:Choice Requires="wpc">
            <w:drawing>
              <wp:inline distT="0" distB="0" distL="0" distR="0" wp14:anchorId="20D8712C" wp14:editId="2A7A6A98">
                <wp:extent cx="5715000" cy="847725"/>
                <wp:effectExtent l="0" t="0" r="0" b="0"/>
                <wp:docPr id="1141" name="Područje crtanja 11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25" name="Text Box 23"/>
                        <wps:cNvSpPr txBox="1">
                          <a:spLocks noChangeArrowheads="1"/>
                        </wps:cNvSpPr>
                        <wps:spPr bwMode="auto">
                          <a:xfrm>
                            <a:off x="254000" y="135054"/>
                            <a:ext cx="952500" cy="604853"/>
                          </a:xfrm>
                          <a:prstGeom prst="rect">
                            <a:avLst/>
                          </a:prstGeom>
                          <a:solidFill>
                            <a:srgbClr val="CCFFFF"/>
                          </a:solidFill>
                          <a:ln w="9525">
                            <a:solidFill>
                              <a:srgbClr val="CCFFFF"/>
                            </a:solidFill>
                            <a:miter lim="800000"/>
                            <a:headEnd/>
                            <a:tailEnd/>
                          </a:ln>
                        </wps:spPr>
                        <wps:txbx>
                          <w:txbxContent>
                            <w:p w:rsidR="00BD2553" w:rsidRDefault="00BD2553" w:rsidP="00123E88">
                              <w:pPr>
                                <w:jc w:val="center"/>
                              </w:pPr>
                              <w:r>
                                <w:t>Štedni ulog</w:t>
                              </w:r>
                            </w:p>
                            <w:p w:rsidR="00BD2553" w:rsidRDefault="00BD2553" w:rsidP="007B3AAB"/>
                          </w:txbxContent>
                        </wps:txbx>
                        <wps:bodyPr rot="0" vert="horz" wrap="square" lIns="91440" tIns="45720" rIns="91440" bIns="45720" anchor="t" anchorCtr="0" upright="1">
                          <a:noAutofit/>
                        </wps:bodyPr>
                      </wps:wsp>
                      <wps:wsp>
                        <wps:cNvPr id="1130" name="Text Box 24"/>
                        <wps:cNvSpPr txBox="1">
                          <a:spLocks noChangeArrowheads="1"/>
                        </wps:cNvSpPr>
                        <wps:spPr bwMode="auto">
                          <a:xfrm>
                            <a:off x="1651000" y="135054"/>
                            <a:ext cx="914400" cy="604853"/>
                          </a:xfrm>
                          <a:prstGeom prst="rect">
                            <a:avLst/>
                          </a:prstGeom>
                          <a:solidFill>
                            <a:srgbClr val="CCFFFF"/>
                          </a:solidFill>
                          <a:ln w="9525">
                            <a:solidFill>
                              <a:srgbClr val="CCFFFF"/>
                            </a:solidFill>
                            <a:miter lim="800000"/>
                            <a:headEnd/>
                            <a:tailEnd/>
                          </a:ln>
                        </wps:spPr>
                        <wps:txbx>
                          <w:txbxContent>
                            <w:p w:rsidR="00BD2553" w:rsidRDefault="00BD2553" w:rsidP="00123E88">
                              <w:pPr>
                                <w:jc w:val="center"/>
                              </w:pPr>
                              <w:r>
                                <w:t>Kamate</w:t>
                              </w:r>
                            </w:p>
                          </w:txbxContent>
                        </wps:txbx>
                        <wps:bodyPr rot="0" vert="horz" wrap="square" lIns="91440" tIns="45720" rIns="91440" bIns="45720" anchor="t" anchorCtr="0" upright="1">
                          <a:noAutofit/>
                        </wps:bodyPr>
                      </wps:wsp>
                      <wps:wsp>
                        <wps:cNvPr id="1131" name="Text Box 25"/>
                        <wps:cNvSpPr txBox="1">
                          <a:spLocks noChangeArrowheads="1"/>
                        </wps:cNvSpPr>
                        <wps:spPr bwMode="auto">
                          <a:xfrm>
                            <a:off x="2984500" y="0"/>
                            <a:ext cx="952500" cy="739908"/>
                          </a:xfrm>
                          <a:prstGeom prst="rect">
                            <a:avLst/>
                          </a:prstGeom>
                          <a:solidFill>
                            <a:srgbClr val="CCFFFF"/>
                          </a:solidFill>
                          <a:ln w="9525">
                            <a:solidFill>
                              <a:srgbClr val="CCFFFF"/>
                            </a:solidFill>
                            <a:miter lim="800000"/>
                            <a:headEnd/>
                            <a:tailEnd/>
                          </a:ln>
                        </wps:spPr>
                        <wps:txbx>
                          <w:txbxContent>
                            <w:p w:rsidR="00BD2553" w:rsidRDefault="00BD2553" w:rsidP="00123E88">
                              <w:pPr>
                                <w:jc w:val="center"/>
                              </w:pPr>
                              <w:r>
                                <w:t>Državna poticajna sredstva</w:t>
                              </w:r>
                            </w:p>
                          </w:txbxContent>
                        </wps:txbx>
                        <wps:bodyPr rot="0" vert="horz" wrap="square" lIns="91440" tIns="45720" rIns="91440" bIns="45720" anchor="t" anchorCtr="0" upright="1">
                          <a:noAutofit/>
                        </wps:bodyPr>
                      </wps:wsp>
                      <wps:wsp>
                        <wps:cNvPr id="1133" name="Text Box 26"/>
                        <wps:cNvSpPr txBox="1">
                          <a:spLocks noChangeArrowheads="1"/>
                        </wps:cNvSpPr>
                        <wps:spPr bwMode="auto">
                          <a:xfrm>
                            <a:off x="4381500" y="135054"/>
                            <a:ext cx="1016000" cy="604853"/>
                          </a:xfrm>
                          <a:prstGeom prst="rect">
                            <a:avLst/>
                          </a:prstGeom>
                          <a:solidFill>
                            <a:srgbClr val="CCFFFF"/>
                          </a:solidFill>
                          <a:ln w="9525">
                            <a:solidFill>
                              <a:srgbClr val="CCFFFF"/>
                            </a:solidFill>
                            <a:miter lim="800000"/>
                            <a:headEnd/>
                            <a:tailEnd/>
                          </a:ln>
                        </wps:spPr>
                        <wps:txbx>
                          <w:txbxContent>
                            <w:p w:rsidR="00BD2553" w:rsidRDefault="00BD2553" w:rsidP="00123E88">
                              <w:pPr>
                                <w:jc w:val="center"/>
                              </w:pPr>
                              <w:r>
                                <w:t>Vlastita sredstva</w:t>
                              </w:r>
                            </w:p>
                          </w:txbxContent>
                        </wps:txbx>
                        <wps:bodyPr rot="0" vert="horz" wrap="square" lIns="91440" tIns="45720" rIns="91440" bIns="45720" anchor="t" anchorCtr="0" upright="1">
                          <a:noAutofit/>
                        </wps:bodyPr>
                      </wps:wsp>
                      <wps:wsp>
                        <wps:cNvPr id="1134" name="Text Box 27"/>
                        <wps:cNvSpPr txBox="1">
                          <a:spLocks noChangeArrowheads="1"/>
                        </wps:cNvSpPr>
                        <wps:spPr bwMode="auto">
                          <a:xfrm>
                            <a:off x="1333500" y="308440"/>
                            <a:ext cx="254000" cy="25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553" w:rsidRDefault="00BD2553" w:rsidP="007B3AAB">
                              <w:r>
                                <w:t>+</w:t>
                              </w:r>
                            </w:p>
                          </w:txbxContent>
                        </wps:txbx>
                        <wps:bodyPr rot="0" vert="horz" wrap="square" lIns="91440" tIns="45720" rIns="91440" bIns="45720" anchor="t" anchorCtr="0" upright="1">
                          <a:noAutofit/>
                        </wps:bodyPr>
                      </wps:wsp>
                      <wps:wsp>
                        <wps:cNvPr id="1139" name="Text Box 28"/>
                        <wps:cNvSpPr txBox="1">
                          <a:spLocks noChangeArrowheads="1"/>
                        </wps:cNvSpPr>
                        <wps:spPr bwMode="auto">
                          <a:xfrm>
                            <a:off x="2603500" y="308440"/>
                            <a:ext cx="317500" cy="25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553" w:rsidRDefault="00BD2553" w:rsidP="007B3AAB">
                              <w:r>
                                <w:t>+</w:t>
                              </w:r>
                            </w:p>
                          </w:txbxContent>
                        </wps:txbx>
                        <wps:bodyPr rot="0" vert="horz" wrap="square" lIns="91440" tIns="45720" rIns="91440" bIns="45720" anchor="t" anchorCtr="0" upright="1">
                          <a:noAutofit/>
                        </wps:bodyPr>
                      </wps:wsp>
                      <wps:wsp>
                        <wps:cNvPr id="1140" name="Text Box 29"/>
                        <wps:cNvSpPr txBox="1">
                          <a:spLocks noChangeArrowheads="1"/>
                        </wps:cNvSpPr>
                        <wps:spPr bwMode="auto">
                          <a:xfrm>
                            <a:off x="4064000" y="308440"/>
                            <a:ext cx="190500" cy="25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553" w:rsidRDefault="00BD2553" w:rsidP="007B3AAB">
                              <w:r>
                                <w:t>=</w:t>
                              </w:r>
                            </w:p>
                          </w:txbxContent>
                        </wps:txbx>
                        <wps:bodyPr rot="0" vert="horz" wrap="square" lIns="91440" tIns="45720" rIns="91440" bIns="45720" anchor="t" anchorCtr="0" upright="1">
                          <a:noAutofit/>
                        </wps:bodyPr>
                      </wps:wsp>
                    </wpc:wpc>
                  </a:graphicData>
                </a:graphic>
              </wp:inline>
            </w:drawing>
          </mc:Choice>
          <mc:Fallback>
            <w:pict>
              <v:group id="Područje crtanja 1141" o:spid="_x0000_s1033" editas="canvas" style="width:450pt;height:66.75pt;mso-position-horizontal-relative:char;mso-position-vertical-relative:line" coordsize="57150,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">
                <v:shape id="_x0000_s1034" type="#_x0000_t75" style="position:absolute;width:57150;height:8477;visibility:visible;mso-wrap-style:square">
                  <v:fill o:detectmouseclick="t"/>
                  <v:path o:connecttype="none"/>
                </v:shape>
                <v:shape id="Text Box 23" o:spid="_x0000_s1035" type="#_x0000_t202" style="position:absolute;left:2540;top:1350;width:9525;height:6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ncQA&#10;AADdAAAADwAAAGRycy9kb3ducmV2LnhtbERPTWvCQBC9C/6HZQRvdWOKYlNX0RbBCh7clvY6ZMck&#10;mJ1Ns6um/fVdoeBtHu9z5svO1uJCra8cKxiPEhDEuTMVFwo+3jcPMxA+IBusHZOCH/KwXPR7c8yM&#10;u/KBLjoUIoawz1BBGUKTSenzkiz6kWuII3d0rcUQYVtI0+I1httapkkylRYrjg0lNvRSUn7SZ6vg&#10;cVfsXtdv6V4H+/WNn096m/5qpYaDbvUMIlAX7uJ/99bE+eN0Ardv4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xJ3EAAAA3QAAAA8AAAAAAAAAAAAAAAAAmAIAAGRycy9k&#10;b3ducmV2LnhtbFBLBQYAAAAABAAEAPUAAACJAwAAAAA=&#10;" fillcolor="#cff" strokecolor="#cff">
                  <v:textbox>
                    <w:txbxContent>
                      <w:p w:rsidR="00BD2553" w:rsidRDefault="00BD2553" w:rsidP="00123E88">
                        <w:pPr>
                          <w:jc w:val="center"/>
                        </w:pPr>
                        <w:r>
                          <w:t>Štedni ulog</w:t>
                        </w:r>
                      </w:p>
                      <w:p w:rsidR="00BD2553" w:rsidRDefault="00BD2553" w:rsidP="007B3AAB"/>
                    </w:txbxContent>
                  </v:textbox>
                </v:shape>
                <v:shape id="Text Box 24" o:spid="_x0000_s1036" type="#_x0000_t202" style="position:absolute;left:16510;top:1350;width:9144;height:6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Hx2McA&#10;AADdAAAADwAAAGRycy9kb3ducmV2LnhtbESPT2vCQBDF74V+h2UK3urGCEVTV+kfBCt4cFv0OmSn&#10;SWh2Ns1uNfXTO4dCbzO8N+/9ZrEafKtO1McmsIHJOANFXAbXcGXg4319PwMVE7LDNjAZ+KUIq+Xt&#10;zQILF868p5NNlZIQjgUaqFPqCq1jWZPHOA4dsWifofeYZO0r7Xo8S7hvdZ5lD9pjw9JQY0cvNZVf&#10;9scbmG6r7evzW76zyR+/8TC3m/xijRndDU+PoBIN6d/8d71xgj+ZCr98Iy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R8djHAAAA3QAAAA8AAAAAAAAAAAAAAAAAmAIAAGRy&#10;cy9kb3ducmV2LnhtbFBLBQYAAAAABAAEAPUAAACMAwAAAAA=&#10;" fillcolor="#cff" strokecolor="#cff">
                  <v:textbox>
                    <w:txbxContent>
                      <w:p w:rsidR="00BD2553" w:rsidRDefault="00BD2553" w:rsidP="00123E88">
                        <w:pPr>
                          <w:jc w:val="center"/>
                        </w:pPr>
                        <w:r>
                          <w:t>Kamate</w:t>
                        </w:r>
                      </w:p>
                    </w:txbxContent>
                  </v:textbox>
                </v:shape>
                <v:shape id="Text Box 25" o:spid="_x0000_s1037" type="#_x0000_t202" style="position:absolute;left:29845;width:9525;height:7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UQ8QA&#10;AADdAAAADwAAAGRycy9kb3ducmV2LnhtbERPTWvCQBC9F/wPywi91U0ilBpdpVoKVujBVfQ6ZMck&#10;NDubZrea+uvdQsHbPN7nzBa9bcSZOl87VpCOEhDEhTM1lwr2u/enFxA+IBtsHJOCX/KwmA8eZpgb&#10;d+EtnXUoRQxhn6OCKoQ2l9IXFVn0I9cSR+7kOoshwq6UpsNLDLeNzJLkWVqsOTZU2NKqouJL/1gF&#10;4025eVt+ZJ862OM3HiZ6nV21Uo/D/nUKIlAf7uJ/99rE+ek4hb9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dVEPEAAAA3QAAAA8AAAAAAAAAAAAAAAAAmAIAAGRycy9k&#10;b3ducmV2LnhtbFBLBQYAAAAABAAEAPUAAACJAwAAAAA=&#10;" fillcolor="#cff" strokecolor="#cff">
                  <v:textbox>
                    <w:txbxContent>
                      <w:p w:rsidR="00BD2553" w:rsidRDefault="00BD2553" w:rsidP="00123E88">
                        <w:pPr>
                          <w:jc w:val="center"/>
                        </w:pPr>
                        <w:r>
                          <w:t>Državna poticajna sredstva</w:t>
                        </w:r>
                      </w:p>
                    </w:txbxContent>
                  </v:textbox>
                </v:shape>
                <v:shape id="Text Box 26" o:spid="_x0000_s1038" type="#_x0000_t202" style="position:absolute;left:43815;top:1350;width:10160;height:6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Nvr8QA&#10;AADdAAAADwAAAGRycy9kb3ducmV2LnhtbERPTWvCQBC9F/wPywje6sYEShtdpVoEFXpwFb0O2TEJ&#10;zc6m2VXT/vpuodDbPN7nzBa9bcSNOl87VjAZJyCIC2dqLhUcD+vHZxA+IBtsHJOCL/KwmA8eZpgb&#10;d+c93XQoRQxhn6OCKoQ2l9IXFVn0Y9cSR+7iOoshwq6UpsN7DLeNTJPkSVqsOTZU2NKqouJDX62C&#10;bFfu3pbb9F0He/7E04vepN9aqdGwf52CCNSHf/Gfe2Pi/EmWwe838QQ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Db6/EAAAA3QAAAA8AAAAAAAAAAAAAAAAAmAIAAGRycy9k&#10;b3ducmV2LnhtbFBLBQYAAAAABAAEAPUAAACJAwAAAAA=&#10;" fillcolor="#cff" strokecolor="#cff">
                  <v:textbox>
                    <w:txbxContent>
                      <w:p w:rsidR="00BD2553" w:rsidRDefault="00BD2553" w:rsidP="00123E88">
                        <w:pPr>
                          <w:jc w:val="center"/>
                        </w:pPr>
                        <w:r>
                          <w:t>Vlastita sredstva</w:t>
                        </w:r>
                      </w:p>
                    </w:txbxContent>
                  </v:textbox>
                </v:shape>
                <v:shape id="Text Box 27" o:spid="_x0000_s1039" type="#_x0000_t202" style="position:absolute;left:13335;top:3084;width:2540;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kCMIA&#10;AADdAAAADwAAAGRycy9kb3ducmV2LnhtbERPS4vCMBC+L/gfwix408THLto1iiiCJ5f1BXsbmrEt&#10;20xKE23990YQ9jYf33Nmi9aW4ka1LxxrGPQVCOLUmYIzDcfDpjcB4QOywdIxabiTh8W88zbDxLiG&#10;f+i2D5mIIewT1JCHUCVS+jQni77vKuLIXVxtMURYZ9LU2MRwW8qhUp/SYsGxIceKVjmlf/ur1XDa&#10;XX7PY/Wdre1H1bhWSbZTqXX3vV1+gQjUhn/xy701cf5gNIbnN/E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n6QIwgAAAN0AAAAPAAAAAAAAAAAAAAAAAJgCAABkcnMvZG93&#10;bnJldi54bWxQSwUGAAAAAAQABAD1AAAAhwMAAAAA&#10;" filled="f" stroked="f">
                  <v:textbox>
                    <w:txbxContent>
                      <w:p w:rsidR="00BD2553" w:rsidRDefault="00BD2553" w:rsidP="007B3AAB">
                        <w:r>
                          <w:t>+</w:t>
                        </w:r>
                      </w:p>
                    </w:txbxContent>
                  </v:textbox>
                </v:shape>
                <v:shape id="Text Box 28" o:spid="_x0000_s1040" type="#_x0000_t202" style="position:absolute;left:26035;top:3084;width:3175;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4LlsIA&#10;AADdAAAADwAAAGRycy9kb3ducmV2LnhtbERPTWvCQBC9C/6HZQRvumutotFVSkuhp4ppFbwN2TEJ&#10;ZmdDdmviv3cLgrd5vM9ZbztbiSs1vnSsYTJWIIgzZ0rONfz+fI4WIHxANlg5Jg038rDd9HtrTIxr&#10;eU/XNOQihrBPUEMRQp1I6bOCLPqxq4kjd3aNxRBhk0vTYBvDbSVflJpLiyXHhgJrei8ou6R/VsPh&#10;+3w6vqpd/mFndes6JdkupdbDQfe2AhGoC0/xw/1l4vzJdAn/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guWwgAAAN0AAAAPAAAAAAAAAAAAAAAAAJgCAABkcnMvZG93&#10;bnJldi54bWxQSwUGAAAAAAQABAD1AAAAhwMAAAAA&#10;" filled="f" stroked="f">
                  <v:textbox>
                    <w:txbxContent>
                      <w:p w:rsidR="00BD2553" w:rsidRDefault="00BD2553" w:rsidP="007B3AAB">
                        <w:r>
                          <w:t>+</w:t>
                        </w:r>
                      </w:p>
                    </w:txbxContent>
                  </v:textbox>
                </v:shape>
                <v:shape id="Text Box 29" o:spid="_x0000_s1041" type="#_x0000_t202" style="position:absolute;left:40640;top:3084;width:1905;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RdsUA&#10;AADdAAAADwAAAGRycy9kb3ducmV2LnhtbESPQWvCQBCF7wX/wzKCt7prsaVGV5GK4KmlVgVvQ3ZM&#10;gtnZkF1N/PedQ6G3Gd6b975ZrHpfqzu1sQpsYTI2oIjz4CouLBx+ts/voGJCdlgHJgsPirBaDp4W&#10;mLnQ8Tfd96lQEsIxQwtlSk2mdcxL8hjHoSEW7RJaj0nWttCuxU7Cfa1fjHnTHiuWhhIb+igpv+5v&#10;3sLx83I+Tc1XsfGvTRd6o9nPtLWjYb+eg0rUp3/z3/XOCf5kKv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tF2xQAAAN0AAAAPAAAAAAAAAAAAAAAAAJgCAABkcnMv&#10;ZG93bnJldi54bWxQSwUGAAAAAAQABAD1AAAAigMAAAAA&#10;" filled="f" stroked="f">
                  <v:textbox>
                    <w:txbxContent>
                      <w:p w:rsidR="00BD2553" w:rsidRDefault="00BD2553" w:rsidP="007B3AAB">
                        <w:r>
                          <w:t>=</w:t>
                        </w:r>
                      </w:p>
                    </w:txbxContent>
                  </v:textbox>
                </v:shape>
                <w10:anchorlock/>
              </v:group>
            </w:pict>
          </mc:Fallback>
        </mc:AlternateContent>
      </w:r>
    </w:p>
    <w:p w:rsidR="007B3AAB" w:rsidRPr="00E649BD" w:rsidRDefault="007B3AAB" w:rsidP="007B3AAB">
      <w:pPr>
        <w:pStyle w:val="Default"/>
        <w:spacing w:after="120"/>
        <w:ind w:left="30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2. </w:t>
      </w:r>
      <w:r w:rsidRPr="00F90147">
        <w:rPr>
          <w:rFonts w:asciiTheme="minorHAnsi" w:eastAsiaTheme="minorHAnsi" w:hAnsiTheme="minorHAnsi" w:cs="Times New Roman"/>
          <w:iCs/>
          <w:color w:val="C00000"/>
          <w:lang w:eastAsia="en-US"/>
        </w:rPr>
        <w:t xml:space="preserve">kredit stambene štednje </w:t>
      </w:r>
      <w:r w:rsidRPr="00E649BD">
        <w:rPr>
          <w:rFonts w:asciiTheme="minorHAnsi" w:eastAsiaTheme="minorHAnsi" w:hAnsiTheme="minorHAnsi" w:cs="Times New Roman"/>
          <w:iCs/>
          <w:color w:val="auto"/>
          <w:lang w:eastAsia="en-US"/>
        </w:rPr>
        <w:t>(u visini razlike između ugovorene svote i stambene ušteđevine).</w:t>
      </w:r>
      <w:r w:rsidR="005F2910" w:rsidRPr="005F2910">
        <w:rPr>
          <w:rFonts w:asciiTheme="minorHAnsi" w:eastAsiaTheme="minorHAnsi" w:hAnsiTheme="minorHAnsi" w:cs="Times New Roman"/>
          <w:iCs/>
          <w:noProof/>
          <w:color w:val="auto"/>
        </w:rPr>
        <w:t xml:space="preserve"> </w:t>
      </w:r>
      <w:r w:rsidR="005F2910" w:rsidRPr="00E649BD">
        <w:rPr>
          <w:rFonts w:asciiTheme="minorHAnsi" w:eastAsiaTheme="minorHAnsi" w:hAnsiTheme="minorHAnsi" w:cs="Times New Roman"/>
          <w:iCs/>
          <w:noProof/>
          <w:color w:val="auto"/>
        </w:rPr>
        <mc:AlternateContent>
          <mc:Choice Requires="wpc">
            <w:drawing>
              <wp:inline distT="0" distB="0" distL="0" distR="0" wp14:anchorId="3558193E" wp14:editId="0FCD3911">
                <wp:extent cx="5715000" cy="777240"/>
                <wp:effectExtent l="0" t="0" r="0" b="3810"/>
                <wp:docPr id="1122" name="Područje crtanja 11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410" name="Text Box 32"/>
                        <wps:cNvSpPr txBox="1">
                          <a:spLocks noChangeArrowheads="1"/>
                        </wps:cNvSpPr>
                        <wps:spPr bwMode="auto">
                          <a:xfrm>
                            <a:off x="63500" y="86271"/>
                            <a:ext cx="952500" cy="518426"/>
                          </a:xfrm>
                          <a:prstGeom prst="rect">
                            <a:avLst/>
                          </a:prstGeom>
                          <a:solidFill>
                            <a:srgbClr val="CCFFFF"/>
                          </a:solidFill>
                          <a:ln w="9525">
                            <a:solidFill>
                              <a:srgbClr val="CCFFFF"/>
                            </a:solidFill>
                            <a:miter lim="800000"/>
                            <a:headEnd/>
                            <a:tailEnd/>
                          </a:ln>
                        </wps:spPr>
                        <wps:txbx>
                          <w:txbxContent>
                            <w:p w:rsidR="00BD2553" w:rsidRDefault="00BD2553" w:rsidP="00123E88">
                              <w:pPr>
                                <w:jc w:val="center"/>
                              </w:pPr>
                              <w:r>
                                <w:t>Kredit</w:t>
                              </w:r>
                            </w:p>
                          </w:txbxContent>
                        </wps:txbx>
                        <wps:bodyPr rot="0" vert="horz" wrap="square" lIns="91440" tIns="45720" rIns="91440" bIns="45720" anchor="t" anchorCtr="0" upright="1">
                          <a:noAutofit/>
                        </wps:bodyPr>
                      </wps:wsp>
                      <wps:wsp>
                        <wps:cNvPr id="16411" name="Text Box 33"/>
                        <wps:cNvSpPr txBox="1">
                          <a:spLocks noChangeArrowheads="1"/>
                        </wps:cNvSpPr>
                        <wps:spPr bwMode="auto">
                          <a:xfrm>
                            <a:off x="1079500" y="258814"/>
                            <a:ext cx="317500" cy="259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553" w:rsidRDefault="00BD2553" w:rsidP="005F2910">
                              <w:r>
                                <w:t>+</w:t>
                              </w:r>
                            </w:p>
                          </w:txbxContent>
                        </wps:txbx>
                        <wps:bodyPr rot="0" vert="horz" wrap="square" lIns="91440" tIns="45720" rIns="91440" bIns="45720" anchor="t" anchorCtr="0" upright="1">
                          <a:noAutofit/>
                        </wps:bodyPr>
                      </wps:wsp>
                      <wps:wsp>
                        <wps:cNvPr id="16412" name="Text Box 34"/>
                        <wps:cNvSpPr txBox="1">
                          <a:spLocks noChangeArrowheads="1"/>
                        </wps:cNvSpPr>
                        <wps:spPr bwMode="auto">
                          <a:xfrm>
                            <a:off x="1397000" y="86271"/>
                            <a:ext cx="952500" cy="675728"/>
                          </a:xfrm>
                          <a:prstGeom prst="rect">
                            <a:avLst/>
                          </a:prstGeom>
                          <a:solidFill>
                            <a:srgbClr val="CCFFFF"/>
                          </a:solidFill>
                          <a:ln w="9525">
                            <a:solidFill>
                              <a:srgbClr val="CCFFFF"/>
                            </a:solidFill>
                            <a:miter lim="800000"/>
                            <a:headEnd/>
                            <a:tailEnd/>
                          </a:ln>
                        </wps:spPr>
                        <wps:txbx>
                          <w:txbxContent>
                            <w:p w:rsidR="00BD2553" w:rsidRDefault="00BD2553" w:rsidP="00123E88">
                              <w:pPr>
                                <w:jc w:val="center"/>
                              </w:pPr>
                              <w:r>
                                <w:t>Vlastita</w:t>
                              </w:r>
                            </w:p>
                            <w:p w:rsidR="00BD2553" w:rsidRDefault="00BD2553" w:rsidP="00123E88">
                              <w:pPr>
                                <w:jc w:val="center"/>
                              </w:pPr>
                              <w:r>
                                <w:t>sredstva</w:t>
                              </w:r>
                            </w:p>
                          </w:txbxContent>
                        </wps:txbx>
                        <wps:bodyPr rot="0" vert="horz" wrap="square" lIns="91440" tIns="45720" rIns="91440" bIns="45720" anchor="t" anchorCtr="0" upright="1">
                          <a:noAutofit/>
                        </wps:bodyPr>
                      </wps:wsp>
                      <wps:wsp>
                        <wps:cNvPr id="16414" name="Text Box 35"/>
                        <wps:cNvSpPr txBox="1">
                          <a:spLocks noChangeArrowheads="1"/>
                        </wps:cNvSpPr>
                        <wps:spPr bwMode="auto">
                          <a:xfrm>
                            <a:off x="2413000" y="258814"/>
                            <a:ext cx="317500" cy="259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553" w:rsidRDefault="00BD2553" w:rsidP="005F2910">
                              <w:r>
                                <w:t>=</w:t>
                              </w:r>
                            </w:p>
                          </w:txbxContent>
                        </wps:txbx>
                        <wps:bodyPr rot="0" vert="horz" wrap="square" lIns="91440" tIns="45720" rIns="91440" bIns="45720" anchor="t" anchorCtr="0" upright="1">
                          <a:noAutofit/>
                        </wps:bodyPr>
                      </wps:wsp>
                      <wps:wsp>
                        <wps:cNvPr id="16415" name="Text Box 36"/>
                        <wps:cNvSpPr txBox="1">
                          <a:spLocks noChangeArrowheads="1"/>
                        </wps:cNvSpPr>
                        <wps:spPr bwMode="auto">
                          <a:xfrm>
                            <a:off x="2730500" y="86270"/>
                            <a:ext cx="1270000" cy="675729"/>
                          </a:xfrm>
                          <a:prstGeom prst="rect">
                            <a:avLst/>
                          </a:prstGeom>
                          <a:solidFill>
                            <a:srgbClr val="CCFFFF"/>
                          </a:solidFill>
                          <a:ln w="9525">
                            <a:solidFill>
                              <a:srgbClr val="CCFFFF"/>
                            </a:solidFill>
                            <a:miter lim="800000"/>
                            <a:headEnd/>
                            <a:tailEnd/>
                          </a:ln>
                        </wps:spPr>
                        <wps:txbx>
                          <w:txbxContent>
                            <w:p w:rsidR="00BD2553" w:rsidRDefault="00BD2553" w:rsidP="00123E88">
                              <w:pPr>
                                <w:jc w:val="center"/>
                              </w:pPr>
                              <w:r>
                                <w:t>Ugovorni</w:t>
                              </w:r>
                            </w:p>
                            <w:p w:rsidR="00BD2553" w:rsidRDefault="00BD2553" w:rsidP="00123E88">
                              <w:pPr>
                                <w:jc w:val="center"/>
                              </w:pPr>
                              <w:r>
                                <w:t>iznos / svota</w:t>
                              </w:r>
                            </w:p>
                          </w:txbxContent>
                        </wps:txbx>
                        <wps:bodyPr rot="0" vert="horz" wrap="square" lIns="91440" tIns="45720" rIns="91440" bIns="45720" anchor="t" anchorCtr="0" upright="1">
                          <a:noAutofit/>
                        </wps:bodyPr>
                      </wps:wsp>
                    </wpc:wpc>
                  </a:graphicData>
                </a:graphic>
              </wp:inline>
            </w:drawing>
          </mc:Choice>
          <mc:Fallback>
            <w:pict>
              <v:group id="Područje crtanja 1122" o:spid="_x0000_s1042" editas="canvas" style="width:450pt;height:61.2pt;mso-position-horizontal-relative:char;mso-position-vertical-relative:line" coordsize="57150,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">
                <v:shape id="_x0000_s1043" type="#_x0000_t75" style="position:absolute;width:57150;height:7772;visibility:visible;mso-wrap-style:square">
                  <v:fill o:detectmouseclick="t"/>
                  <v:path o:connecttype="none"/>
                </v:shape>
                <v:shape id="Text Box 32" o:spid="_x0000_s1044" type="#_x0000_t202" style="position:absolute;left:635;top:862;width:9525;height:5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PSz8gA&#10;AADeAAAADwAAAGRycy9kb3ducmV2LnhtbESPQU/CQBCF7yT+h82YeJMt1RCtLEQxJkjCwZXgddId&#10;28bubOmuUPn1zMGE20zmzXvvmy0G36oD9bEJbGAyzkARl8E1XBnYfr7dPoCKCdlhG5gM/FGExfxq&#10;NMPChSN/0MGmSokJxwIN1Cl1hdaxrMljHIeOWG7fofeYZO0r7Xo8irlvdZ5lU+2xYUmosaNlTeWP&#10;/fUG7tbV+vXlPd/Y5L/2uHu0q/xkjbm5Hp6fQCUa0kX8/71yUn96PxEAwZEZ9Pw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E9LPyAAAAN4AAAAPAAAAAAAAAAAAAAAAAJgCAABk&#10;cnMvZG93bnJldi54bWxQSwUGAAAAAAQABAD1AAAAjQMAAAAA&#10;" fillcolor="#cff" strokecolor="#cff">
                  <v:textbox>
                    <w:txbxContent>
                      <w:p w:rsidR="00BD2553" w:rsidRDefault="00BD2553" w:rsidP="00123E88">
                        <w:pPr>
                          <w:jc w:val="center"/>
                        </w:pPr>
                        <w:r>
                          <w:t>Kredit</w:t>
                        </w:r>
                      </w:p>
                    </w:txbxContent>
                  </v:textbox>
                </v:shape>
                <v:shape id="Text Box 33" o:spid="_x0000_s1045" type="#_x0000_t202" style="position:absolute;left:10795;top:2588;width:3175;height:2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UNMMA&#10;AADeAAAADwAAAGRycy9kb3ducmV2LnhtbERPTYvCMBC9L/gfwgje1qSi4lajiCJ4UtZ1F/Y2NGNb&#10;bCalibb+eyMs7G0e73MWq85W4k6NLx1rSIYKBHHmTMm5hvPX7n0Gwgdkg5Vj0vAgD6tl722BqXEt&#10;f9L9FHIRQ9inqKEIoU6l9FlBFv3Q1cSRu7jGYoiwyaVpsI3htpIjpabSYsmxocCaNgVl19PNavg+&#10;XH5/xuqYb+2kbl2nJNsPqfWg363nIAJ14V/8596bOH86ThJ4vRNv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IUNMMAAADeAAAADwAAAAAAAAAAAAAAAACYAgAAZHJzL2Rv&#10;d25yZXYueG1sUEsFBgAAAAAEAAQA9QAAAIgDAAAAAA==&#10;" filled="f" stroked="f">
                  <v:textbox>
                    <w:txbxContent>
                      <w:p w:rsidR="00BD2553" w:rsidRDefault="00BD2553" w:rsidP="005F2910">
                        <w:r>
                          <w:t>+</w:t>
                        </w:r>
                      </w:p>
                    </w:txbxContent>
                  </v:textbox>
                </v:shape>
                <v:shape id="Text Box 34" o:spid="_x0000_s1046" type="#_x0000_t202" style="position:absolute;left:13970;top:862;width:9525;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3pI8UA&#10;AADeAAAADwAAAGRycy9kb3ducmV2LnhtbERPTWvCQBC9C/6HZYTedGNapI2uYpWCFTy4Le11yI5J&#10;MDubZrea9te7guBtHu9zZovO1uJEra8cKxiPEhDEuTMVFwo+P96GzyB8QDZYOyYFf+RhMe/3ZpgZ&#10;d+Y9nXQoRAxhn6GCMoQmk9LnJVn0I9cQR+7gWoshwraQpsVzDLe1TJNkIi1WHBtKbGhVUn7Uv1bB&#10;47bYrl/f050O9vsHv170Jv3XSj0MuuUURKAu3MU398bE+ZOncQrXd+INc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ekjxQAAAN4AAAAPAAAAAAAAAAAAAAAAAJgCAABkcnMv&#10;ZG93bnJldi54bWxQSwUGAAAAAAQABAD1AAAAigMAAAAA&#10;" fillcolor="#cff" strokecolor="#cff">
                  <v:textbox>
                    <w:txbxContent>
                      <w:p w:rsidR="00BD2553" w:rsidRDefault="00BD2553" w:rsidP="00123E88">
                        <w:pPr>
                          <w:jc w:val="center"/>
                        </w:pPr>
                        <w:r>
                          <w:t>Vlastita</w:t>
                        </w:r>
                      </w:p>
                      <w:p w:rsidR="00BD2553" w:rsidRDefault="00BD2553" w:rsidP="00123E88">
                        <w:pPr>
                          <w:jc w:val="center"/>
                        </w:pPr>
                        <w:r>
                          <w:t>sredstva</w:t>
                        </w:r>
                      </w:p>
                    </w:txbxContent>
                  </v:textbox>
                </v:shape>
                <v:shape id="Text Box 35" o:spid="_x0000_s1047" type="#_x0000_t202" style="position:absolute;left:24130;top:2588;width:3175;height:2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3rMQA&#10;AADeAAAADwAAAGRycy9kb3ducmV2LnhtbERPTWvCQBC9C/6HZYTezK4llZq6CWIp9NSiVsHbkB2T&#10;0OxsyG5N+u+7BcHbPN7nrIvRtuJKvW8ca1gkCgRx6UzDlYavw9v8GYQPyAZbx6ThlzwU+XSyxsy4&#10;gXd03YdKxBD2GWqoQ+gyKX1Zk0WfuI44chfXWwwR9pU0PQ4x3LbyUamltNhwbKixo21N5ff+x2o4&#10;flzOp1R9Vq/2qRvcqCTbldT6YTZuXkAEGsNdfHO/mzh/mS5S+H8n3i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1t6zEAAAA3gAAAA8AAAAAAAAAAAAAAAAAmAIAAGRycy9k&#10;b3ducmV2LnhtbFBLBQYAAAAABAAEAPUAAACJAwAAAAA=&#10;" filled="f" stroked="f">
                  <v:textbox>
                    <w:txbxContent>
                      <w:p w:rsidR="00BD2553" w:rsidRDefault="00BD2553" w:rsidP="005F2910">
                        <w:r>
                          <w:t>=</w:t>
                        </w:r>
                      </w:p>
                    </w:txbxContent>
                  </v:textbox>
                </v:shape>
                <v:shape id="Text Box 36" o:spid="_x0000_s1048" type="#_x0000_t202" style="position:absolute;left:27305;top:862;width:12700;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xV8YA&#10;AADeAAAADwAAAGRycy9kb3ducmV2LnhtbERPTWvCQBC9F/wPywi91Y1pFRtdxbYUVOiha9HrkB2T&#10;YHY2zW419de7QqG3ebzPmS06W4sTtb5yrGA4SEAQ585UXCj42r4/TED4gGywdkwKfsnDYt67m2Fm&#10;3Jk/6aRDIWII+wwVlCE0mZQ+L8miH7iGOHIH11oMEbaFNC2eY7itZZokY2mx4thQYkOvJeVH/WMV&#10;PG6KzdvLOv3Qwe6/cfesV+lFK3Xf75ZTEIG68C/+c69MnD9+Go7g9k68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RxV8YAAADeAAAADwAAAAAAAAAAAAAAAACYAgAAZHJz&#10;L2Rvd25yZXYueG1sUEsFBgAAAAAEAAQA9QAAAIsDAAAAAA==&#10;" fillcolor="#cff" strokecolor="#cff">
                  <v:textbox>
                    <w:txbxContent>
                      <w:p w:rsidR="00BD2553" w:rsidRDefault="00BD2553" w:rsidP="00123E88">
                        <w:pPr>
                          <w:jc w:val="center"/>
                        </w:pPr>
                        <w:r>
                          <w:t>Ugovorni</w:t>
                        </w:r>
                      </w:p>
                      <w:p w:rsidR="00BD2553" w:rsidRDefault="00BD2553" w:rsidP="00123E88">
                        <w:pPr>
                          <w:jc w:val="center"/>
                        </w:pPr>
                        <w:r>
                          <w:t>iznos / svota</w:t>
                        </w:r>
                      </w:p>
                    </w:txbxContent>
                  </v:textbox>
                </v:shape>
                <w10:anchorlock/>
              </v:group>
            </w:pict>
          </mc:Fallback>
        </mc:AlternateContent>
      </w:r>
    </w:p>
    <w:p w:rsidR="007B3AAB" w:rsidRDefault="001619CF" w:rsidP="005F2910">
      <w:pPr>
        <w:pStyle w:val="Default"/>
        <w:spacing w:before="240" w:after="200" w:line="276" w:lineRule="auto"/>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S</w:t>
      </w:r>
      <w:r w:rsidR="007B3AAB">
        <w:rPr>
          <w:rFonts w:asciiTheme="minorHAnsi" w:eastAsiaTheme="minorHAnsi" w:hAnsiTheme="minorHAnsi" w:cs="Times New Roman"/>
          <w:iCs/>
          <w:color w:val="auto"/>
          <w:lang w:eastAsia="en-US"/>
        </w:rPr>
        <w:t xml:space="preserve">tambene štedionice financiraju se iz namjenske oročene stambene štednje koja se </w:t>
      </w:r>
      <w:r w:rsidR="00E7649D">
        <w:rPr>
          <w:rFonts w:asciiTheme="minorHAnsi" w:eastAsiaTheme="minorHAnsi" w:hAnsiTheme="minorHAnsi" w:cs="Times New Roman"/>
          <w:iCs/>
          <w:color w:val="auto"/>
          <w:lang w:eastAsia="en-US"/>
        </w:rPr>
        <w:t xml:space="preserve">može (u cijelosti ili djelomično) </w:t>
      </w:r>
      <w:r w:rsidR="007B3AAB">
        <w:rPr>
          <w:rFonts w:asciiTheme="minorHAnsi" w:eastAsiaTheme="minorHAnsi" w:hAnsiTheme="minorHAnsi" w:cs="Times New Roman"/>
          <w:iCs/>
          <w:color w:val="auto"/>
          <w:lang w:eastAsia="en-US"/>
        </w:rPr>
        <w:t xml:space="preserve">jednokratno oročiti kao učešće vlastitih sredstava u ugovornom iznosu ili postupno oročavati u određenom </w:t>
      </w:r>
      <w:r w:rsidR="000965EA">
        <w:rPr>
          <w:rFonts w:asciiTheme="minorHAnsi" w:eastAsiaTheme="minorHAnsi" w:hAnsiTheme="minorHAnsi" w:cs="Times New Roman"/>
          <w:iCs/>
          <w:color w:val="auto"/>
          <w:lang w:eastAsia="en-US"/>
        </w:rPr>
        <w:t xml:space="preserve">definiranom </w:t>
      </w:r>
      <w:r w:rsidR="007B3AAB">
        <w:rPr>
          <w:rFonts w:asciiTheme="minorHAnsi" w:eastAsiaTheme="minorHAnsi" w:hAnsiTheme="minorHAnsi" w:cs="Times New Roman"/>
          <w:iCs/>
          <w:color w:val="auto"/>
          <w:lang w:eastAsia="en-US"/>
        </w:rPr>
        <w:t xml:space="preserve">iznosu (ili više) kroz ciljane mjesečne štedne uloge tijekom ugovorenog roka (npr. </w:t>
      </w:r>
      <w:r w:rsidR="001F5E83">
        <w:rPr>
          <w:rFonts w:asciiTheme="minorHAnsi" w:eastAsiaTheme="minorHAnsi" w:hAnsiTheme="minorHAnsi" w:cs="Times New Roman"/>
          <w:iCs/>
          <w:color w:val="auto"/>
          <w:lang w:eastAsia="en-US"/>
        </w:rPr>
        <w:t xml:space="preserve">2, </w:t>
      </w:r>
      <w:r w:rsidR="007B3AAB">
        <w:rPr>
          <w:rFonts w:asciiTheme="minorHAnsi" w:eastAsiaTheme="minorHAnsi" w:hAnsiTheme="minorHAnsi" w:cs="Times New Roman"/>
          <w:iCs/>
          <w:color w:val="auto"/>
          <w:lang w:eastAsia="en-US"/>
        </w:rPr>
        <w:t>5,</w:t>
      </w:r>
      <w:r w:rsidR="001F5E83">
        <w:rPr>
          <w:rFonts w:asciiTheme="minorHAnsi" w:eastAsiaTheme="minorHAnsi" w:hAnsiTheme="minorHAnsi" w:cs="Times New Roman"/>
          <w:iCs/>
          <w:color w:val="auto"/>
          <w:lang w:eastAsia="en-US"/>
        </w:rPr>
        <w:t xml:space="preserve"> </w:t>
      </w:r>
      <w:r w:rsidR="007B3AAB">
        <w:rPr>
          <w:rFonts w:asciiTheme="minorHAnsi" w:eastAsiaTheme="minorHAnsi" w:hAnsiTheme="minorHAnsi" w:cs="Times New Roman"/>
          <w:iCs/>
          <w:color w:val="auto"/>
          <w:lang w:eastAsia="en-US"/>
        </w:rPr>
        <w:t>7 ili 10 godina) kroz koji štediša ciljano formira iznos vlastitih sredstava u ugovor</w:t>
      </w:r>
      <w:r w:rsidR="000965EA">
        <w:rPr>
          <w:rFonts w:asciiTheme="minorHAnsi" w:eastAsiaTheme="minorHAnsi" w:hAnsiTheme="minorHAnsi" w:cs="Times New Roman"/>
          <w:iCs/>
          <w:color w:val="auto"/>
          <w:lang w:eastAsia="en-US"/>
        </w:rPr>
        <w:t>e</w:t>
      </w:r>
      <w:r w:rsidR="007B3AAB">
        <w:rPr>
          <w:rFonts w:asciiTheme="minorHAnsi" w:eastAsiaTheme="minorHAnsi" w:hAnsiTheme="minorHAnsi" w:cs="Times New Roman"/>
          <w:iCs/>
          <w:color w:val="auto"/>
          <w:lang w:eastAsia="en-US"/>
        </w:rPr>
        <w:t>nom iznosu.</w:t>
      </w:r>
      <w:r w:rsidR="00E7649D">
        <w:rPr>
          <w:rFonts w:asciiTheme="minorHAnsi" w:eastAsiaTheme="minorHAnsi" w:hAnsiTheme="minorHAnsi" w:cs="Times New Roman"/>
          <w:iCs/>
          <w:color w:val="auto"/>
          <w:lang w:eastAsia="en-US"/>
        </w:rPr>
        <w:t xml:space="preserve"> Bitn</w:t>
      </w:r>
      <w:r w:rsidR="00272E85">
        <w:rPr>
          <w:rFonts w:asciiTheme="minorHAnsi" w:eastAsiaTheme="minorHAnsi" w:hAnsiTheme="minorHAnsi" w:cs="Times New Roman"/>
          <w:iCs/>
          <w:color w:val="auto"/>
          <w:lang w:eastAsia="en-US"/>
        </w:rPr>
        <w:t xml:space="preserve">i elementi su </w:t>
      </w:r>
      <w:r w:rsidR="00E7649D">
        <w:rPr>
          <w:rFonts w:asciiTheme="minorHAnsi" w:eastAsiaTheme="minorHAnsi" w:hAnsiTheme="minorHAnsi" w:cs="Times New Roman"/>
          <w:iCs/>
          <w:color w:val="auto"/>
          <w:lang w:eastAsia="en-US"/>
        </w:rPr>
        <w:t xml:space="preserve">stoga ugovoreni iznos, vrijeme štednje te iznos štednih uloga.  </w:t>
      </w:r>
    </w:p>
    <w:p w:rsidR="00E7649D" w:rsidRDefault="007B3AAB" w:rsidP="005D10C4">
      <w:pPr>
        <w:shd w:val="clear" w:color="auto" w:fill="FFFFFF"/>
        <w:jc w:val="both"/>
        <w:rPr>
          <w:rFonts w:cs="Times New Roman"/>
          <w:iCs/>
          <w:sz w:val="24"/>
          <w:szCs w:val="24"/>
        </w:rPr>
      </w:pPr>
      <w:r w:rsidRPr="005D10C4">
        <w:rPr>
          <w:rFonts w:cs="Times New Roman"/>
          <w:iCs/>
          <w:sz w:val="24"/>
          <w:szCs w:val="24"/>
        </w:rPr>
        <w:t xml:space="preserve">Od štediše se očekuje da </w:t>
      </w:r>
      <w:r w:rsidR="000965EA" w:rsidRPr="005D10C4">
        <w:rPr>
          <w:rFonts w:cs="Times New Roman"/>
          <w:iCs/>
          <w:sz w:val="24"/>
          <w:szCs w:val="24"/>
        </w:rPr>
        <w:t xml:space="preserve">definirani </w:t>
      </w:r>
      <w:r w:rsidR="001619CF" w:rsidRPr="005D10C4">
        <w:rPr>
          <w:rFonts w:cs="Times New Roman"/>
          <w:iCs/>
          <w:sz w:val="24"/>
          <w:szCs w:val="24"/>
        </w:rPr>
        <w:t>štedni ulog uplaćuje redovito i u skladu s ugovorenom dinamikom uplata</w:t>
      </w:r>
      <w:r w:rsidRPr="005D10C4">
        <w:rPr>
          <w:rFonts w:cs="Times New Roman"/>
          <w:iCs/>
          <w:sz w:val="24"/>
          <w:szCs w:val="24"/>
        </w:rPr>
        <w:t xml:space="preserve"> kako </w:t>
      </w:r>
      <w:r w:rsidR="004D3F95" w:rsidRPr="005D10C4">
        <w:rPr>
          <w:rFonts w:cs="Times New Roman"/>
          <w:iCs/>
          <w:sz w:val="24"/>
          <w:szCs w:val="24"/>
        </w:rPr>
        <w:t xml:space="preserve">bi stekao minimalni broj bodova za dodjelu ugovorenog iznosa po proteku razdoblja štednje, odnosno kako </w:t>
      </w:r>
      <w:r w:rsidRPr="005D10C4">
        <w:rPr>
          <w:rFonts w:cs="Times New Roman"/>
          <w:iCs/>
          <w:sz w:val="24"/>
          <w:szCs w:val="24"/>
        </w:rPr>
        <w:t xml:space="preserve">ne bi izgubio pravo na stambeni kredit. </w:t>
      </w:r>
      <w:r w:rsidR="00E7649D">
        <w:rPr>
          <w:rFonts w:cs="Times New Roman"/>
          <w:iCs/>
          <w:sz w:val="24"/>
          <w:szCs w:val="24"/>
        </w:rPr>
        <w:t>Međutim, u slučaju neredovitih štednih uplata ugovor o štednji se ne otkazuje</w:t>
      </w:r>
      <w:r w:rsidR="00D75DE9">
        <w:rPr>
          <w:rFonts w:cs="Times New Roman"/>
          <w:iCs/>
          <w:sz w:val="24"/>
          <w:szCs w:val="24"/>
        </w:rPr>
        <w:t xml:space="preserve"> (ili to barem ne bi trebao biti slučaj)</w:t>
      </w:r>
      <w:r w:rsidR="00E7649D">
        <w:rPr>
          <w:rFonts w:cs="Times New Roman"/>
          <w:iCs/>
          <w:sz w:val="24"/>
          <w:szCs w:val="24"/>
        </w:rPr>
        <w:t xml:space="preserve">. </w:t>
      </w:r>
    </w:p>
    <w:p w:rsidR="001F5E83" w:rsidRPr="00E7649D" w:rsidRDefault="00E7649D" w:rsidP="005D10C4">
      <w:pPr>
        <w:shd w:val="clear" w:color="auto" w:fill="FFFFFF"/>
        <w:jc w:val="both"/>
        <w:rPr>
          <w:rFonts w:cs="Times New Roman"/>
          <w:i/>
          <w:iCs/>
          <w:sz w:val="24"/>
          <w:szCs w:val="24"/>
        </w:rPr>
      </w:pPr>
      <w:r>
        <w:rPr>
          <w:rFonts w:cs="Times New Roman"/>
          <w:iCs/>
          <w:sz w:val="24"/>
          <w:szCs w:val="24"/>
        </w:rPr>
        <w:lastRenderedPageBreak/>
        <w:t xml:space="preserve">Kako se posljednjih godina relativno </w:t>
      </w:r>
      <w:r w:rsidRPr="00060663">
        <w:rPr>
          <w:rFonts w:cs="Times New Roman"/>
          <w:iCs/>
          <w:color w:val="C00000"/>
          <w:sz w:val="24"/>
          <w:szCs w:val="24"/>
        </w:rPr>
        <w:t xml:space="preserve">često mijenjala regulativa </w:t>
      </w:r>
      <w:r>
        <w:rPr>
          <w:rFonts w:cs="Times New Roman"/>
          <w:iCs/>
          <w:sz w:val="24"/>
          <w:szCs w:val="24"/>
        </w:rPr>
        <w:t>koja se odnosi na pogodnosti proizvoda stambenih štedionica,</w:t>
      </w:r>
      <w:r w:rsidR="006B3D1C">
        <w:rPr>
          <w:rFonts w:cs="Times New Roman"/>
          <w:iCs/>
          <w:sz w:val="24"/>
          <w:szCs w:val="24"/>
        </w:rPr>
        <w:t xml:space="preserve"> prije donošenja odluke o ugovaranju </w:t>
      </w:r>
      <w:r w:rsidR="005B1C17">
        <w:rPr>
          <w:rFonts w:cs="Times New Roman"/>
          <w:iCs/>
          <w:sz w:val="24"/>
          <w:szCs w:val="24"/>
        </w:rPr>
        <w:t>(</w:t>
      </w:r>
      <w:r w:rsidR="006B3D1C">
        <w:rPr>
          <w:rFonts w:cs="Times New Roman"/>
          <w:iCs/>
          <w:sz w:val="24"/>
          <w:szCs w:val="24"/>
        </w:rPr>
        <w:t>ovog ili bilo kojeg drugog ob</w:t>
      </w:r>
      <w:r w:rsidR="005B1C17">
        <w:rPr>
          <w:rFonts w:cs="Times New Roman"/>
          <w:iCs/>
          <w:sz w:val="24"/>
          <w:szCs w:val="24"/>
        </w:rPr>
        <w:t xml:space="preserve">lika dugoročne ugovorne štednje) </w:t>
      </w:r>
      <w:r w:rsidR="006B3D1C">
        <w:rPr>
          <w:rFonts w:cs="Times New Roman"/>
          <w:iCs/>
          <w:sz w:val="24"/>
          <w:szCs w:val="24"/>
        </w:rPr>
        <w:t>potrebno je proučiti zakonsku regulativu važeću u određenom trenutku</w:t>
      </w:r>
      <w:r>
        <w:rPr>
          <w:rFonts w:cs="Times New Roman"/>
          <w:iCs/>
          <w:sz w:val="24"/>
          <w:szCs w:val="24"/>
        </w:rPr>
        <w:t xml:space="preserve">. </w:t>
      </w:r>
      <w:r w:rsidR="006B3D1C">
        <w:rPr>
          <w:rFonts w:cs="Times New Roman"/>
          <w:iCs/>
          <w:sz w:val="24"/>
          <w:szCs w:val="24"/>
        </w:rPr>
        <w:t xml:space="preserve">Nadalje, </w:t>
      </w:r>
      <w:r>
        <w:rPr>
          <w:rFonts w:cs="Times New Roman"/>
          <w:iCs/>
          <w:sz w:val="24"/>
          <w:szCs w:val="24"/>
        </w:rPr>
        <w:t xml:space="preserve">bitno </w:t>
      </w:r>
      <w:r w:rsidR="006B3D1C">
        <w:rPr>
          <w:rFonts w:cs="Times New Roman"/>
          <w:iCs/>
          <w:sz w:val="24"/>
          <w:szCs w:val="24"/>
        </w:rPr>
        <w:t xml:space="preserve">je </w:t>
      </w:r>
      <w:r>
        <w:rPr>
          <w:rFonts w:cs="Times New Roman"/>
          <w:iCs/>
          <w:sz w:val="24"/>
          <w:szCs w:val="24"/>
        </w:rPr>
        <w:t xml:space="preserve">napomenuti da od jedne do druge stambene štedionice postoje određene razlike </w:t>
      </w:r>
      <w:r w:rsidR="00B40E77">
        <w:rPr>
          <w:rFonts w:cs="Times New Roman"/>
          <w:iCs/>
          <w:sz w:val="24"/>
          <w:szCs w:val="24"/>
        </w:rPr>
        <w:t>u uvjetima ponude proizvoda (kao i visini kamatnih stopa, razdoblj</w:t>
      </w:r>
      <w:r w:rsidR="00123E88">
        <w:rPr>
          <w:rFonts w:cs="Times New Roman"/>
          <w:iCs/>
          <w:sz w:val="24"/>
          <w:szCs w:val="24"/>
        </w:rPr>
        <w:t>u</w:t>
      </w:r>
      <w:r w:rsidR="00B40E77">
        <w:rPr>
          <w:rFonts w:cs="Times New Roman"/>
          <w:iCs/>
          <w:sz w:val="24"/>
          <w:szCs w:val="24"/>
        </w:rPr>
        <w:t xml:space="preserve"> stambene štednje</w:t>
      </w:r>
      <w:r w:rsidR="00123E88">
        <w:rPr>
          <w:rFonts w:cs="Times New Roman"/>
          <w:iCs/>
          <w:sz w:val="24"/>
          <w:szCs w:val="24"/>
        </w:rPr>
        <w:t>, mogućnostima stambene štednje i kredita u kunama bez valutne klauzule itd.</w:t>
      </w:r>
      <w:r w:rsidR="00B40E77">
        <w:rPr>
          <w:rFonts w:cs="Times New Roman"/>
          <w:iCs/>
          <w:sz w:val="24"/>
          <w:szCs w:val="24"/>
        </w:rPr>
        <w:t xml:space="preserve">) </w:t>
      </w:r>
      <w:r>
        <w:rPr>
          <w:rFonts w:cs="Times New Roman"/>
          <w:iCs/>
          <w:sz w:val="24"/>
          <w:szCs w:val="24"/>
        </w:rPr>
        <w:t xml:space="preserve">pa uvjete svake pojedinačne institucije treba detaljno </w:t>
      </w:r>
      <w:r w:rsidR="005B1C17">
        <w:rPr>
          <w:rFonts w:cs="Times New Roman"/>
          <w:iCs/>
          <w:sz w:val="24"/>
          <w:szCs w:val="24"/>
        </w:rPr>
        <w:t xml:space="preserve">analizirati, a prije potpisivanja ugovora proučiti opće uvjete poslovanja institucije. </w:t>
      </w:r>
    </w:p>
    <w:p w:rsidR="00C878A3" w:rsidRDefault="000965EA" w:rsidP="00E649BD">
      <w:pPr>
        <w:pStyle w:val="Default"/>
        <w:spacing w:after="200" w:line="276" w:lineRule="auto"/>
        <w:jc w:val="both"/>
        <w:rPr>
          <w:rFonts w:asciiTheme="minorHAnsi" w:eastAsiaTheme="minorHAnsi" w:hAnsiTheme="minorHAnsi" w:cs="Times New Roman"/>
          <w:iCs/>
          <w:color w:val="auto"/>
          <w:lang w:eastAsia="en-US"/>
        </w:rPr>
      </w:pPr>
      <w:r>
        <w:rPr>
          <w:rFonts w:asciiTheme="minorHAnsi" w:eastAsiaTheme="minorHAnsi" w:hAnsiTheme="minorHAnsi" w:cs="Times New Roman"/>
          <w:iCs/>
          <w:color w:val="auto"/>
          <w:lang w:eastAsia="en-US"/>
        </w:rPr>
        <w:t>U skladu sa zakonskom regulativom u Hrvatskoj, stambene š</w:t>
      </w:r>
      <w:r w:rsidR="00C878A3" w:rsidRPr="00E649BD">
        <w:rPr>
          <w:rFonts w:asciiTheme="minorHAnsi" w:eastAsiaTheme="minorHAnsi" w:hAnsiTheme="minorHAnsi" w:cs="Times New Roman"/>
          <w:iCs/>
          <w:color w:val="auto"/>
          <w:lang w:eastAsia="en-US"/>
        </w:rPr>
        <w:t xml:space="preserve">tediše imaju pravo na </w:t>
      </w:r>
      <w:r w:rsidR="00C878A3" w:rsidRPr="00B24CB9">
        <w:rPr>
          <w:rFonts w:asciiTheme="minorHAnsi" w:eastAsiaTheme="minorHAnsi" w:hAnsiTheme="minorHAnsi" w:cs="Times New Roman"/>
          <w:iCs/>
          <w:color w:val="C00000"/>
          <w:lang w:eastAsia="en-US"/>
        </w:rPr>
        <w:t>državna poticajna sredstva (DPS)</w:t>
      </w:r>
      <w:r w:rsidR="00C878A3" w:rsidRPr="00B24CB9">
        <w:rPr>
          <w:rFonts w:asciiTheme="minorHAnsi" w:eastAsiaTheme="minorHAnsi" w:hAnsiTheme="minorHAnsi" w:cs="Times New Roman"/>
          <w:iCs/>
          <w:color w:val="auto"/>
          <w:lang w:eastAsia="en-US"/>
        </w:rPr>
        <w:t xml:space="preserve">, </w:t>
      </w:r>
      <w:r w:rsidR="00C878A3" w:rsidRPr="00E649BD">
        <w:rPr>
          <w:rFonts w:asciiTheme="minorHAnsi" w:eastAsiaTheme="minorHAnsi" w:hAnsiTheme="minorHAnsi" w:cs="Times New Roman"/>
          <w:iCs/>
          <w:color w:val="auto"/>
          <w:lang w:eastAsia="en-US"/>
        </w:rPr>
        <w:t>čiji maksimalan godišnji i</w:t>
      </w:r>
      <w:r w:rsidR="007B3AAB">
        <w:rPr>
          <w:rFonts w:asciiTheme="minorHAnsi" w:eastAsiaTheme="minorHAnsi" w:hAnsiTheme="minorHAnsi" w:cs="Times New Roman"/>
          <w:iCs/>
          <w:color w:val="auto"/>
          <w:lang w:eastAsia="en-US"/>
        </w:rPr>
        <w:t>znos po jednom štediši definira država</w:t>
      </w:r>
      <w:r w:rsidR="005D10C4">
        <w:rPr>
          <w:rFonts w:asciiTheme="minorHAnsi" w:eastAsiaTheme="minorHAnsi" w:hAnsiTheme="minorHAnsi" w:cs="Times New Roman"/>
          <w:iCs/>
          <w:color w:val="auto"/>
          <w:lang w:eastAsia="en-US"/>
        </w:rPr>
        <w:t>,</w:t>
      </w:r>
      <w:r w:rsidR="007B3AAB">
        <w:rPr>
          <w:rFonts w:asciiTheme="minorHAnsi" w:eastAsiaTheme="minorHAnsi" w:hAnsiTheme="minorHAnsi" w:cs="Times New Roman"/>
          <w:iCs/>
          <w:color w:val="auto"/>
          <w:lang w:eastAsia="en-US"/>
        </w:rPr>
        <w:t xml:space="preserve"> </w:t>
      </w:r>
      <w:r>
        <w:rPr>
          <w:rFonts w:asciiTheme="minorHAnsi" w:eastAsiaTheme="minorHAnsi" w:hAnsiTheme="minorHAnsi" w:cs="Times New Roman"/>
          <w:iCs/>
          <w:color w:val="auto"/>
          <w:lang w:eastAsia="en-US"/>
        </w:rPr>
        <w:t>ali treba vodi računa da</w:t>
      </w:r>
      <w:r w:rsidR="00DD2BEE" w:rsidRPr="00E649BD">
        <w:rPr>
          <w:rFonts w:asciiTheme="minorHAnsi" w:eastAsiaTheme="minorHAnsi" w:hAnsiTheme="minorHAnsi" w:cs="Times New Roman"/>
          <w:iCs/>
          <w:color w:val="auto"/>
          <w:lang w:eastAsia="en-US"/>
        </w:rPr>
        <w:t xml:space="preserve"> se radi o </w:t>
      </w:r>
      <w:r w:rsidR="00DD2BEE" w:rsidRPr="00060663">
        <w:rPr>
          <w:rFonts w:asciiTheme="minorHAnsi" w:eastAsiaTheme="minorHAnsi" w:hAnsiTheme="minorHAnsi" w:cs="Times New Roman"/>
          <w:iCs/>
          <w:color w:val="C00000"/>
          <w:lang w:eastAsia="en-US"/>
        </w:rPr>
        <w:t>iznosu koji je podložan promjenama</w:t>
      </w:r>
      <w:r w:rsidR="00D51B67">
        <w:rPr>
          <w:rFonts w:asciiTheme="minorHAnsi" w:eastAsiaTheme="minorHAnsi" w:hAnsiTheme="minorHAnsi" w:cs="Times New Roman"/>
          <w:iCs/>
          <w:color w:val="auto"/>
          <w:lang w:eastAsia="en-US"/>
        </w:rPr>
        <w:t xml:space="preserve">. </w:t>
      </w:r>
      <w:r w:rsidR="00272E85">
        <w:rPr>
          <w:rFonts w:asciiTheme="minorHAnsi" w:eastAsiaTheme="minorHAnsi" w:hAnsiTheme="minorHAnsi" w:cs="Times New Roman"/>
          <w:iCs/>
          <w:color w:val="auto"/>
          <w:lang w:eastAsia="en-US"/>
        </w:rPr>
        <w:t>Sukladno Zakonu</w:t>
      </w:r>
      <w:r w:rsidR="00D51B67">
        <w:rPr>
          <w:rFonts w:asciiTheme="minorHAnsi" w:eastAsiaTheme="minorHAnsi" w:hAnsiTheme="minorHAnsi" w:cs="Times New Roman"/>
          <w:iCs/>
          <w:color w:val="auto"/>
          <w:lang w:eastAsia="en-US"/>
        </w:rPr>
        <w:t>,</w:t>
      </w:r>
      <w:r w:rsidR="00272E85">
        <w:rPr>
          <w:rFonts w:asciiTheme="minorHAnsi" w:eastAsiaTheme="minorHAnsi" w:hAnsiTheme="minorHAnsi" w:cs="Times New Roman"/>
          <w:iCs/>
          <w:color w:val="auto"/>
          <w:lang w:eastAsia="en-US"/>
        </w:rPr>
        <w:t xml:space="preserve"> na DPS ima pravo stambeni štediša koji je ostvario pravo na stambeni kredit </w:t>
      </w:r>
      <w:r w:rsidR="007032C3">
        <w:rPr>
          <w:rFonts w:asciiTheme="minorHAnsi" w:eastAsiaTheme="minorHAnsi" w:hAnsiTheme="minorHAnsi" w:cs="Times New Roman"/>
          <w:iCs/>
          <w:color w:val="auto"/>
          <w:lang w:eastAsia="en-US"/>
        </w:rPr>
        <w:t xml:space="preserve">(stambene štedionice) </w:t>
      </w:r>
      <w:r w:rsidR="00272E85">
        <w:rPr>
          <w:rFonts w:asciiTheme="minorHAnsi" w:eastAsiaTheme="minorHAnsi" w:hAnsiTheme="minorHAnsi" w:cs="Times New Roman"/>
          <w:iCs/>
          <w:color w:val="auto"/>
          <w:lang w:eastAsia="en-US"/>
        </w:rPr>
        <w:t xml:space="preserve">i sklopio ugovor o stambenom kreditu. </w:t>
      </w:r>
      <w:r w:rsidR="00C878A3" w:rsidRPr="00E649BD">
        <w:rPr>
          <w:rFonts w:asciiTheme="minorHAnsi" w:eastAsiaTheme="minorHAnsi" w:hAnsiTheme="minorHAnsi" w:cs="Times New Roman"/>
          <w:iCs/>
          <w:color w:val="auto"/>
          <w:lang w:eastAsia="en-US"/>
        </w:rPr>
        <w:t>U slučaju štednje kraće od pet godina</w:t>
      </w:r>
      <w:r w:rsidR="00F90147">
        <w:rPr>
          <w:rFonts w:asciiTheme="minorHAnsi" w:eastAsiaTheme="minorHAnsi" w:hAnsiTheme="minorHAnsi" w:cs="Times New Roman"/>
          <w:iCs/>
          <w:color w:val="auto"/>
          <w:lang w:eastAsia="en-US"/>
        </w:rPr>
        <w:t>,</w:t>
      </w:r>
      <w:r w:rsidR="00C878A3" w:rsidRPr="00E649BD">
        <w:rPr>
          <w:rFonts w:asciiTheme="minorHAnsi" w:eastAsiaTheme="minorHAnsi" w:hAnsiTheme="minorHAnsi" w:cs="Times New Roman"/>
          <w:iCs/>
          <w:color w:val="auto"/>
          <w:lang w:eastAsia="en-US"/>
        </w:rPr>
        <w:t xml:space="preserve"> štediša</w:t>
      </w:r>
      <w:r w:rsidR="001F5E83">
        <w:rPr>
          <w:rFonts w:asciiTheme="minorHAnsi" w:eastAsiaTheme="minorHAnsi" w:hAnsiTheme="minorHAnsi" w:cs="Times New Roman"/>
          <w:iCs/>
          <w:color w:val="auto"/>
          <w:lang w:eastAsia="en-US"/>
        </w:rPr>
        <w:t xml:space="preserve"> nema</w:t>
      </w:r>
      <w:r w:rsidR="00C878A3" w:rsidRPr="00E649BD">
        <w:rPr>
          <w:rFonts w:asciiTheme="minorHAnsi" w:eastAsiaTheme="minorHAnsi" w:hAnsiTheme="minorHAnsi" w:cs="Times New Roman"/>
          <w:iCs/>
          <w:color w:val="auto"/>
          <w:lang w:eastAsia="en-US"/>
        </w:rPr>
        <w:t xml:space="preserve"> pravo na DPS. </w:t>
      </w:r>
      <w:r w:rsidR="00F90147">
        <w:rPr>
          <w:rFonts w:asciiTheme="minorHAnsi" w:eastAsiaTheme="minorHAnsi" w:hAnsiTheme="minorHAnsi" w:cs="Times New Roman"/>
          <w:iCs/>
          <w:color w:val="auto"/>
          <w:lang w:eastAsia="en-US"/>
        </w:rPr>
        <w:t xml:space="preserve">S druge strane, </w:t>
      </w:r>
      <w:r w:rsidR="007032C3" w:rsidRPr="007032C3">
        <w:rPr>
          <w:rFonts w:asciiTheme="minorHAnsi" w:eastAsiaTheme="minorHAnsi" w:hAnsiTheme="minorHAnsi" w:cs="Times New Roman"/>
          <w:iCs/>
          <w:color w:val="C00000"/>
          <w:lang w:eastAsia="en-US"/>
        </w:rPr>
        <w:t>ukoliko štediša ne otkaže ugovor o stambenoj štednji u razdoblju kraćem od pet godina od početka stambene štednje</w:t>
      </w:r>
      <w:r w:rsidR="00C878A3" w:rsidRPr="007032C3">
        <w:rPr>
          <w:rFonts w:asciiTheme="minorHAnsi" w:eastAsiaTheme="minorHAnsi" w:hAnsiTheme="minorHAnsi" w:cs="Times New Roman"/>
          <w:iCs/>
          <w:color w:val="C00000"/>
          <w:lang w:eastAsia="en-US"/>
        </w:rPr>
        <w:t>, zadržava pravo na DPS neovisno da li korist</w:t>
      </w:r>
      <w:r w:rsidR="007032C3" w:rsidRPr="007032C3">
        <w:rPr>
          <w:rFonts w:asciiTheme="minorHAnsi" w:eastAsiaTheme="minorHAnsi" w:hAnsiTheme="minorHAnsi" w:cs="Times New Roman"/>
          <w:iCs/>
          <w:color w:val="C00000"/>
          <w:lang w:eastAsia="en-US"/>
        </w:rPr>
        <w:t>i</w:t>
      </w:r>
      <w:r w:rsidR="00C878A3" w:rsidRPr="007032C3">
        <w:rPr>
          <w:rFonts w:asciiTheme="minorHAnsi" w:eastAsiaTheme="minorHAnsi" w:hAnsiTheme="minorHAnsi" w:cs="Times New Roman"/>
          <w:iCs/>
          <w:color w:val="C00000"/>
          <w:lang w:eastAsia="en-US"/>
        </w:rPr>
        <w:t xml:space="preserve"> </w:t>
      </w:r>
      <w:r w:rsidR="005D10C4" w:rsidRPr="007032C3">
        <w:rPr>
          <w:rFonts w:asciiTheme="minorHAnsi" w:eastAsiaTheme="minorHAnsi" w:hAnsiTheme="minorHAnsi" w:cs="Times New Roman"/>
          <w:iCs/>
          <w:color w:val="C00000"/>
          <w:lang w:eastAsia="en-US"/>
        </w:rPr>
        <w:t xml:space="preserve">stambeni </w:t>
      </w:r>
      <w:r w:rsidR="00C878A3" w:rsidRPr="007032C3">
        <w:rPr>
          <w:rFonts w:asciiTheme="minorHAnsi" w:eastAsiaTheme="minorHAnsi" w:hAnsiTheme="minorHAnsi" w:cs="Times New Roman"/>
          <w:iCs/>
          <w:color w:val="C00000"/>
          <w:lang w:eastAsia="en-US"/>
        </w:rPr>
        <w:t>kredit</w:t>
      </w:r>
      <w:r w:rsidR="00C878A3" w:rsidRPr="00E649BD">
        <w:rPr>
          <w:rFonts w:asciiTheme="minorHAnsi" w:eastAsiaTheme="minorHAnsi" w:hAnsiTheme="minorHAnsi" w:cs="Times New Roman"/>
          <w:iCs/>
          <w:color w:val="auto"/>
          <w:lang w:eastAsia="en-US"/>
        </w:rPr>
        <w:t>.</w:t>
      </w:r>
      <w:r w:rsidR="00272E85">
        <w:rPr>
          <w:rFonts w:asciiTheme="minorHAnsi" w:eastAsiaTheme="minorHAnsi" w:hAnsiTheme="minorHAnsi" w:cs="Times New Roman"/>
          <w:iCs/>
          <w:color w:val="auto"/>
          <w:lang w:eastAsia="en-US"/>
        </w:rPr>
        <w:t xml:space="preserve"> </w:t>
      </w:r>
    </w:p>
    <w:tbl>
      <w:tblPr>
        <w:tblStyle w:val="Reetkatablice"/>
        <w:tblW w:w="0" w:type="auto"/>
        <w:tblInd w:w="108" w:type="dxa"/>
        <w:tblLook w:val="04A0" w:firstRow="1" w:lastRow="0" w:firstColumn="1" w:lastColumn="0" w:noHBand="0" w:noVBand="1"/>
      </w:tblPr>
      <w:tblGrid>
        <w:gridCol w:w="4536"/>
        <w:gridCol w:w="4536"/>
      </w:tblGrid>
      <w:tr w:rsidR="00C878A3" w:rsidRPr="00E649BD" w:rsidTr="00F90147">
        <w:tc>
          <w:tcPr>
            <w:tcW w:w="4536" w:type="dxa"/>
            <w:shd w:val="clear" w:color="auto" w:fill="F2F2F2" w:themeFill="background1" w:themeFillShade="F2"/>
          </w:tcPr>
          <w:p w:rsidR="00C878A3" w:rsidRPr="00E649BD" w:rsidRDefault="00C878A3" w:rsidP="007032C3">
            <w:pPr>
              <w:pStyle w:val="Default"/>
              <w:spacing w:after="20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Prema regulativi u lipnju 2013. godine državna poticajna sredstva iznosila su maksimalno 500 kn godišnje po jednom stambenom štediši ili manje - u visini 10% od iznosa štednje uplaćene u godini za koju država isplaćuje DPS (ne računajući plaćane naknade stambenoj štedionici). </w:t>
            </w:r>
          </w:p>
        </w:tc>
        <w:tc>
          <w:tcPr>
            <w:tcW w:w="4536" w:type="dxa"/>
            <w:shd w:val="clear" w:color="auto" w:fill="F2F2F2" w:themeFill="background1" w:themeFillShade="F2"/>
          </w:tcPr>
          <w:p w:rsidR="00C878A3" w:rsidRPr="00E649BD" w:rsidRDefault="00DD2BEE" w:rsidP="007032C3">
            <w:pPr>
              <w:spacing w:after="200"/>
              <w:jc w:val="both"/>
              <w:rPr>
                <w:rFonts w:asciiTheme="minorHAnsi" w:eastAsiaTheme="minorHAnsi" w:hAnsiTheme="minorHAnsi"/>
                <w:iCs/>
                <w:sz w:val="24"/>
                <w:szCs w:val="24"/>
                <w:lang w:eastAsia="en-US"/>
              </w:rPr>
            </w:pPr>
            <w:r w:rsidRPr="00E649BD">
              <w:rPr>
                <w:rFonts w:asciiTheme="minorHAnsi" w:hAnsiTheme="minorHAnsi"/>
                <w:sz w:val="24"/>
                <w:szCs w:val="24"/>
              </w:rPr>
              <w:t xml:space="preserve">Za </w:t>
            </w:r>
            <w:r w:rsidRPr="00E649BD">
              <w:rPr>
                <w:rFonts w:asciiTheme="minorHAnsi" w:hAnsiTheme="minorHAnsi"/>
                <w:color w:val="C00000"/>
                <w:sz w:val="24"/>
                <w:szCs w:val="24"/>
              </w:rPr>
              <w:t xml:space="preserve">stambenu štednju prikupljenu u 2015. </w:t>
            </w:r>
            <w:r w:rsidR="00060663">
              <w:rPr>
                <w:rFonts w:asciiTheme="minorHAnsi" w:hAnsiTheme="minorHAnsi"/>
                <w:color w:val="C00000"/>
                <w:sz w:val="24"/>
                <w:szCs w:val="24"/>
              </w:rPr>
              <w:t>g</w:t>
            </w:r>
            <w:r w:rsidRPr="00E649BD">
              <w:rPr>
                <w:rFonts w:asciiTheme="minorHAnsi" w:hAnsiTheme="minorHAnsi"/>
                <w:color w:val="C00000"/>
                <w:sz w:val="24"/>
                <w:szCs w:val="24"/>
              </w:rPr>
              <w:t>odini</w:t>
            </w:r>
            <w:r w:rsidR="000965EA">
              <w:rPr>
                <w:rFonts w:asciiTheme="minorHAnsi" w:hAnsiTheme="minorHAnsi"/>
                <w:sz w:val="24"/>
                <w:szCs w:val="24"/>
              </w:rPr>
              <w:t>,</w:t>
            </w:r>
            <w:r w:rsidRPr="00E649BD">
              <w:rPr>
                <w:rFonts w:asciiTheme="minorHAnsi" w:hAnsiTheme="minorHAnsi"/>
                <w:sz w:val="24"/>
                <w:szCs w:val="24"/>
              </w:rPr>
              <w:t xml:space="preserve"> DPS iznosi 4,9%</w:t>
            </w:r>
            <w:r w:rsidR="00E649BD" w:rsidRPr="00E649BD">
              <w:rPr>
                <w:rFonts w:asciiTheme="minorHAnsi" w:hAnsiTheme="minorHAnsi"/>
                <w:sz w:val="24"/>
                <w:szCs w:val="24"/>
              </w:rPr>
              <w:t xml:space="preserve"> štednje koju je stambeni štediš</w:t>
            </w:r>
            <w:r w:rsidR="000965EA">
              <w:rPr>
                <w:rFonts w:asciiTheme="minorHAnsi" w:hAnsiTheme="minorHAnsi"/>
                <w:sz w:val="24"/>
                <w:szCs w:val="24"/>
              </w:rPr>
              <w:t xml:space="preserve">a uplatio tijekom tekuće godine, ali se </w:t>
            </w:r>
            <w:r w:rsidR="00E649BD" w:rsidRPr="00E649BD">
              <w:rPr>
                <w:rFonts w:asciiTheme="minorHAnsi" w:hAnsiTheme="minorHAnsi"/>
                <w:sz w:val="24"/>
                <w:szCs w:val="24"/>
              </w:rPr>
              <w:t xml:space="preserve">može koristiti </w:t>
            </w:r>
            <w:r w:rsidRPr="00E649BD">
              <w:rPr>
                <w:rFonts w:asciiTheme="minorHAnsi" w:hAnsiTheme="minorHAnsi"/>
                <w:sz w:val="24"/>
                <w:szCs w:val="24"/>
              </w:rPr>
              <w:t xml:space="preserve">najviše do iznosa od 5.000,00 kn štednje </w:t>
            </w:r>
            <w:r w:rsidR="00E649BD" w:rsidRPr="00E649BD">
              <w:rPr>
                <w:rFonts w:asciiTheme="minorHAnsi" w:hAnsiTheme="minorHAnsi"/>
                <w:sz w:val="24"/>
                <w:szCs w:val="24"/>
              </w:rPr>
              <w:t>u tekućoj godini (umanjeno za iznose naknada koju naplaćuje štedionica)</w:t>
            </w:r>
            <w:r w:rsidR="00F90147">
              <w:rPr>
                <w:rFonts w:asciiTheme="minorHAnsi" w:hAnsiTheme="minorHAnsi"/>
                <w:sz w:val="24"/>
                <w:szCs w:val="24"/>
              </w:rPr>
              <w:t>.</w:t>
            </w:r>
          </w:p>
        </w:tc>
      </w:tr>
    </w:tbl>
    <w:p w:rsidR="000965EA" w:rsidRDefault="000965EA" w:rsidP="00F90147">
      <w:pPr>
        <w:pStyle w:val="Default"/>
        <w:spacing w:before="240" w:after="200" w:line="276" w:lineRule="auto"/>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Nakon proteka ugovorenog roka namjenske štednje</w:t>
      </w:r>
      <w:r w:rsidR="004D3F95">
        <w:rPr>
          <w:rFonts w:asciiTheme="minorHAnsi" w:eastAsiaTheme="minorHAnsi" w:hAnsiTheme="minorHAnsi" w:cs="Times New Roman"/>
          <w:iCs/>
          <w:color w:val="auto"/>
          <w:lang w:eastAsia="en-US"/>
        </w:rPr>
        <w:t xml:space="preserve"> i ostvarenja definirane visine ušteđevine (vlastitih sredstava), </w:t>
      </w:r>
      <w:r w:rsidRPr="00E649BD">
        <w:rPr>
          <w:rFonts w:asciiTheme="minorHAnsi" w:eastAsiaTheme="minorHAnsi" w:hAnsiTheme="minorHAnsi" w:cs="Times New Roman"/>
          <w:iCs/>
          <w:color w:val="auto"/>
          <w:lang w:eastAsia="en-US"/>
        </w:rPr>
        <w:t xml:space="preserve">štediša </w:t>
      </w:r>
      <w:r w:rsidR="004D3F95">
        <w:rPr>
          <w:rFonts w:asciiTheme="minorHAnsi" w:eastAsiaTheme="minorHAnsi" w:hAnsiTheme="minorHAnsi" w:cs="Times New Roman"/>
          <w:iCs/>
          <w:color w:val="auto"/>
          <w:lang w:eastAsia="en-US"/>
        </w:rPr>
        <w:t xml:space="preserve">na kućnu adresu dobiva </w:t>
      </w:r>
      <w:r w:rsidR="004D3F95" w:rsidRPr="004D3F95">
        <w:rPr>
          <w:rFonts w:asciiTheme="minorHAnsi" w:eastAsiaTheme="minorHAnsi" w:hAnsiTheme="minorHAnsi" w:cs="Times New Roman"/>
          <w:iCs/>
          <w:color w:val="C00000"/>
          <w:lang w:eastAsia="en-US"/>
        </w:rPr>
        <w:t>obavijest o dodijeli ugovorenog iznosa</w:t>
      </w:r>
      <w:r w:rsidR="004D3F95">
        <w:rPr>
          <w:rFonts w:asciiTheme="minorHAnsi" w:eastAsiaTheme="minorHAnsi" w:hAnsiTheme="minorHAnsi" w:cs="Times New Roman"/>
          <w:iCs/>
          <w:color w:val="auto"/>
          <w:lang w:eastAsia="en-US"/>
        </w:rPr>
        <w:t xml:space="preserve">. Ukoliko štediša prihvaća dodijeljeni treba potpisati </w:t>
      </w:r>
      <w:r w:rsidR="004D3F95" w:rsidRPr="004D3F95">
        <w:rPr>
          <w:rFonts w:asciiTheme="minorHAnsi" w:eastAsiaTheme="minorHAnsi" w:hAnsiTheme="minorHAnsi" w:cs="Times New Roman"/>
          <w:iCs/>
          <w:color w:val="C00000"/>
          <w:lang w:eastAsia="en-US"/>
        </w:rPr>
        <w:t>izjavu o prihvaćanju dodijeljenog ugovorenog iznosa</w:t>
      </w:r>
      <w:r w:rsidR="004D3F95">
        <w:rPr>
          <w:rFonts w:asciiTheme="minorHAnsi" w:eastAsiaTheme="minorHAnsi" w:hAnsiTheme="minorHAnsi" w:cs="Times New Roman"/>
          <w:iCs/>
          <w:color w:val="auto"/>
          <w:lang w:eastAsia="en-US"/>
        </w:rPr>
        <w:t xml:space="preserve"> i dostaviti je štedionice, a potom poduzeti druge radnje s ciljem korištenja s</w:t>
      </w:r>
      <w:r w:rsidRPr="00E649BD">
        <w:rPr>
          <w:rFonts w:asciiTheme="minorHAnsi" w:eastAsiaTheme="minorHAnsi" w:hAnsiTheme="minorHAnsi" w:cs="Times New Roman"/>
          <w:iCs/>
          <w:color w:val="auto"/>
          <w:lang w:eastAsia="en-US"/>
        </w:rPr>
        <w:t>tamben</w:t>
      </w:r>
      <w:r w:rsidR="004D3F95">
        <w:rPr>
          <w:rFonts w:asciiTheme="minorHAnsi" w:eastAsiaTheme="minorHAnsi" w:hAnsiTheme="minorHAnsi" w:cs="Times New Roman"/>
          <w:iCs/>
          <w:color w:val="auto"/>
          <w:lang w:eastAsia="en-US"/>
        </w:rPr>
        <w:t>og</w:t>
      </w:r>
      <w:r w:rsidRPr="00E649BD">
        <w:rPr>
          <w:rFonts w:asciiTheme="minorHAnsi" w:eastAsiaTheme="minorHAnsi" w:hAnsiTheme="minorHAnsi" w:cs="Times New Roman"/>
          <w:iCs/>
          <w:color w:val="auto"/>
          <w:lang w:eastAsia="en-US"/>
        </w:rPr>
        <w:t xml:space="preserve"> kredita (ili to pravo može ustupiti drugoj osobi koju predviđa Zakon)</w:t>
      </w:r>
      <w:r w:rsidR="004D3F95">
        <w:rPr>
          <w:rFonts w:asciiTheme="minorHAnsi" w:eastAsiaTheme="minorHAnsi" w:hAnsiTheme="minorHAnsi" w:cs="Times New Roman"/>
          <w:iCs/>
          <w:color w:val="auto"/>
          <w:lang w:eastAsia="en-US"/>
        </w:rPr>
        <w:t xml:space="preserve"> i ocijene njegove kreditne sposobnosti</w:t>
      </w:r>
      <w:r w:rsidRPr="00E649BD">
        <w:rPr>
          <w:rFonts w:asciiTheme="minorHAnsi" w:eastAsiaTheme="minorHAnsi" w:hAnsiTheme="minorHAnsi" w:cs="Times New Roman"/>
          <w:iCs/>
          <w:color w:val="auto"/>
          <w:lang w:eastAsia="en-US"/>
        </w:rPr>
        <w:t xml:space="preserve">. Pri tome se stambeni krediti mogu koristiti  za kupnju ili izgradnju stana ili kuće,  za adaptacije,  popravke  za kupnju građevinske čestice i   slično. </w:t>
      </w:r>
    </w:p>
    <w:p w:rsidR="00B25BA2" w:rsidRDefault="00E649BD" w:rsidP="00F90147">
      <w:pPr>
        <w:pStyle w:val="Default"/>
        <w:spacing w:before="240" w:after="200" w:line="276" w:lineRule="auto"/>
        <w:jc w:val="both"/>
        <w:rPr>
          <w:rFonts w:asciiTheme="minorHAnsi" w:hAnsiTheme="minorHAnsi"/>
        </w:rPr>
      </w:pPr>
      <w:r w:rsidRPr="00E649BD">
        <w:rPr>
          <w:rFonts w:asciiTheme="minorHAnsi" w:hAnsiTheme="minorHAnsi"/>
        </w:rPr>
        <w:t xml:space="preserve">Iako </w:t>
      </w:r>
      <w:r w:rsidR="00F90147">
        <w:rPr>
          <w:rFonts w:asciiTheme="minorHAnsi" w:hAnsiTheme="minorHAnsi"/>
        </w:rPr>
        <w:t xml:space="preserve">pojedine </w:t>
      </w:r>
      <w:r w:rsidRPr="00E649BD">
        <w:rPr>
          <w:rFonts w:asciiTheme="minorHAnsi" w:hAnsiTheme="minorHAnsi"/>
        </w:rPr>
        <w:t xml:space="preserve">stambene štedionice ne naplaćuju </w:t>
      </w:r>
      <w:r w:rsidR="001F5E83">
        <w:rPr>
          <w:rFonts w:asciiTheme="minorHAnsi" w:hAnsiTheme="minorHAnsi"/>
          <w:color w:val="C00000"/>
        </w:rPr>
        <w:t>naknadu za sklapanje ugovora</w:t>
      </w:r>
      <w:r w:rsidR="00771025">
        <w:rPr>
          <w:rFonts w:asciiTheme="minorHAnsi" w:hAnsiTheme="minorHAnsi"/>
          <w:color w:val="C00000"/>
        </w:rPr>
        <w:t xml:space="preserve"> </w:t>
      </w:r>
      <w:r w:rsidR="001F5E83" w:rsidRPr="001F5E83">
        <w:rPr>
          <w:rFonts w:asciiTheme="minorHAnsi" w:hAnsiTheme="minorHAnsi"/>
          <w:color w:val="000000" w:themeColor="text1"/>
        </w:rPr>
        <w:t>(</w:t>
      </w:r>
      <w:r w:rsidR="00771025">
        <w:rPr>
          <w:rFonts w:asciiTheme="minorHAnsi" w:hAnsiTheme="minorHAnsi"/>
          <w:color w:val="000000" w:themeColor="text1"/>
        </w:rPr>
        <w:t xml:space="preserve">tzv. </w:t>
      </w:r>
      <w:r w:rsidR="001F5E83" w:rsidRPr="001F5E83">
        <w:rPr>
          <w:rFonts w:asciiTheme="minorHAnsi" w:hAnsiTheme="minorHAnsi"/>
          <w:color w:val="000000" w:themeColor="text1"/>
        </w:rPr>
        <w:t>ulaznu naknadu</w:t>
      </w:r>
      <w:r w:rsidR="00771025">
        <w:rPr>
          <w:rFonts w:asciiTheme="minorHAnsi" w:hAnsiTheme="minorHAnsi"/>
          <w:color w:val="000000" w:themeColor="text1"/>
        </w:rPr>
        <w:t xml:space="preserve"> za ugovaranje stambene štednje</w:t>
      </w:r>
      <w:r w:rsidR="001F5E83" w:rsidRPr="001F5E83">
        <w:rPr>
          <w:rFonts w:asciiTheme="minorHAnsi" w:hAnsiTheme="minorHAnsi"/>
          <w:color w:val="000000" w:themeColor="text1"/>
        </w:rPr>
        <w:t>)</w:t>
      </w:r>
      <w:r w:rsidRPr="00E649BD">
        <w:rPr>
          <w:rFonts w:asciiTheme="minorHAnsi" w:hAnsiTheme="minorHAnsi"/>
        </w:rPr>
        <w:t xml:space="preserve">, kod </w:t>
      </w:r>
      <w:r w:rsidR="001F5E83">
        <w:rPr>
          <w:rFonts w:asciiTheme="minorHAnsi" w:hAnsiTheme="minorHAnsi"/>
        </w:rPr>
        <w:t>većine štedionica ona</w:t>
      </w:r>
      <w:r w:rsidRPr="00E649BD">
        <w:rPr>
          <w:rFonts w:asciiTheme="minorHAnsi" w:hAnsiTheme="minorHAnsi"/>
        </w:rPr>
        <w:t xml:space="preserve"> iznosi 1% ugovor</w:t>
      </w:r>
      <w:r w:rsidR="001F5E83">
        <w:rPr>
          <w:rFonts w:asciiTheme="minorHAnsi" w:hAnsiTheme="minorHAnsi"/>
        </w:rPr>
        <w:t>e</w:t>
      </w:r>
      <w:r w:rsidRPr="00E649BD">
        <w:rPr>
          <w:rFonts w:asciiTheme="minorHAnsi" w:hAnsiTheme="minorHAnsi"/>
        </w:rPr>
        <w:t>n</w:t>
      </w:r>
      <w:r w:rsidR="001F5E83">
        <w:rPr>
          <w:rFonts w:asciiTheme="minorHAnsi" w:hAnsiTheme="minorHAnsi"/>
        </w:rPr>
        <w:t>og iznosa</w:t>
      </w:r>
      <w:r w:rsidR="006E7B5C">
        <w:rPr>
          <w:rFonts w:asciiTheme="minorHAnsi" w:hAnsiTheme="minorHAnsi"/>
        </w:rPr>
        <w:t xml:space="preserve"> (kao</w:t>
      </w:r>
      <w:r w:rsidR="00D51B67">
        <w:rPr>
          <w:rFonts w:asciiTheme="minorHAnsi" w:hAnsiTheme="minorHAnsi"/>
        </w:rPr>
        <w:t xml:space="preserve"> zbroja</w:t>
      </w:r>
      <w:r w:rsidRPr="00E649BD">
        <w:rPr>
          <w:rFonts w:asciiTheme="minorHAnsi" w:hAnsiTheme="minorHAnsi"/>
        </w:rPr>
        <w:t xml:space="preserve"> </w:t>
      </w:r>
      <w:r w:rsidR="006E7B5C">
        <w:rPr>
          <w:rFonts w:asciiTheme="minorHAnsi" w:hAnsiTheme="minorHAnsi"/>
        </w:rPr>
        <w:t xml:space="preserve">planiranih </w:t>
      </w:r>
      <w:r w:rsidRPr="00E649BD">
        <w:rPr>
          <w:rFonts w:asciiTheme="minorHAnsi" w:hAnsiTheme="minorHAnsi"/>
        </w:rPr>
        <w:t>vlastitih sredstava</w:t>
      </w:r>
      <w:r w:rsidR="006E7B5C">
        <w:rPr>
          <w:rFonts w:asciiTheme="minorHAnsi" w:hAnsiTheme="minorHAnsi"/>
        </w:rPr>
        <w:t xml:space="preserve"> štednje i stambenog kredita</w:t>
      </w:r>
      <w:r w:rsidR="00B25BA2">
        <w:rPr>
          <w:rFonts w:asciiTheme="minorHAnsi" w:hAnsiTheme="minorHAnsi"/>
        </w:rPr>
        <w:t>)</w:t>
      </w:r>
      <w:r w:rsidR="006E7B5C">
        <w:rPr>
          <w:rFonts w:asciiTheme="minorHAnsi" w:hAnsiTheme="minorHAnsi"/>
        </w:rPr>
        <w:t>.</w:t>
      </w:r>
      <w:r w:rsidRPr="00E649BD">
        <w:rPr>
          <w:rFonts w:asciiTheme="minorHAnsi" w:hAnsiTheme="minorHAnsi"/>
        </w:rPr>
        <w:t xml:space="preserve"> </w:t>
      </w:r>
      <w:r w:rsidR="001F5E83">
        <w:rPr>
          <w:rFonts w:asciiTheme="minorHAnsi" w:hAnsiTheme="minorHAnsi"/>
        </w:rPr>
        <w:t xml:space="preserve">U slučaju otkazivanja ugovora o stambenoj štednji, </w:t>
      </w:r>
      <w:r w:rsidRPr="00E649BD">
        <w:rPr>
          <w:rFonts w:asciiTheme="minorHAnsi" w:hAnsiTheme="minorHAnsi"/>
        </w:rPr>
        <w:t>štedionic</w:t>
      </w:r>
      <w:r w:rsidR="00F90147">
        <w:rPr>
          <w:rFonts w:asciiTheme="minorHAnsi" w:hAnsiTheme="minorHAnsi"/>
        </w:rPr>
        <w:t>e</w:t>
      </w:r>
      <w:r w:rsidR="001F5E83">
        <w:rPr>
          <w:rFonts w:asciiTheme="minorHAnsi" w:hAnsiTheme="minorHAnsi"/>
        </w:rPr>
        <w:t xml:space="preserve"> naplaćuju </w:t>
      </w:r>
      <w:r w:rsidR="001F5E83" w:rsidRPr="001F5E83">
        <w:rPr>
          <w:rFonts w:asciiTheme="minorHAnsi" w:hAnsiTheme="minorHAnsi"/>
          <w:color w:val="C00000"/>
        </w:rPr>
        <w:t xml:space="preserve">naknadu za prijevremeni otkaz ugovora </w:t>
      </w:r>
      <w:r w:rsidR="001F5E83" w:rsidRPr="001F5E83">
        <w:rPr>
          <w:rFonts w:asciiTheme="minorHAnsi" w:hAnsiTheme="minorHAnsi"/>
          <w:color w:val="000000" w:themeColor="text1"/>
        </w:rPr>
        <w:t>(</w:t>
      </w:r>
      <w:r w:rsidR="00771025">
        <w:rPr>
          <w:rFonts w:asciiTheme="minorHAnsi" w:hAnsiTheme="minorHAnsi"/>
          <w:color w:val="000000" w:themeColor="text1"/>
        </w:rPr>
        <w:t xml:space="preserve">tzv. </w:t>
      </w:r>
      <w:r w:rsidRPr="001F5E83">
        <w:rPr>
          <w:rFonts w:asciiTheme="minorHAnsi" w:hAnsiTheme="minorHAnsi"/>
          <w:color w:val="000000" w:themeColor="text1"/>
        </w:rPr>
        <w:t>izlaznu naknadu</w:t>
      </w:r>
      <w:r w:rsidR="001F5E83" w:rsidRPr="001F5E83">
        <w:rPr>
          <w:rFonts w:asciiTheme="minorHAnsi" w:hAnsiTheme="minorHAnsi"/>
          <w:color w:val="000000" w:themeColor="text1"/>
        </w:rPr>
        <w:t>)</w:t>
      </w:r>
      <w:r w:rsidRPr="001F5E83">
        <w:rPr>
          <w:rFonts w:asciiTheme="minorHAnsi" w:hAnsiTheme="minorHAnsi"/>
          <w:color w:val="000000" w:themeColor="text1"/>
        </w:rPr>
        <w:t xml:space="preserve"> </w:t>
      </w:r>
      <w:r w:rsidRPr="001F5E83">
        <w:rPr>
          <w:rFonts w:asciiTheme="minorHAnsi" w:eastAsiaTheme="minorHAnsi" w:hAnsiTheme="minorHAnsi" w:cs="Times New Roman"/>
          <w:iCs/>
          <w:color w:val="000000" w:themeColor="text1"/>
          <w:lang w:eastAsia="en-US"/>
        </w:rPr>
        <w:t xml:space="preserve">u visini </w:t>
      </w:r>
      <w:r w:rsidRPr="00E649BD">
        <w:rPr>
          <w:rFonts w:asciiTheme="minorHAnsi" w:eastAsiaTheme="minorHAnsi" w:hAnsiTheme="minorHAnsi" w:cs="Times New Roman"/>
          <w:iCs/>
          <w:color w:val="auto"/>
          <w:lang w:eastAsia="en-US"/>
        </w:rPr>
        <w:t>određenog postotka ugovornog iznosa (</w:t>
      </w:r>
      <w:r w:rsidR="00771025">
        <w:rPr>
          <w:rFonts w:asciiTheme="minorHAnsi" w:eastAsiaTheme="minorHAnsi" w:hAnsiTheme="minorHAnsi" w:cs="Times New Roman"/>
          <w:iCs/>
          <w:color w:val="auto"/>
          <w:lang w:eastAsia="en-US"/>
        </w:rPr>
        <w:t>kao zbroja planiranih vlastitih sredstava štednje i stambenog kredita</w:t>
      </w:r>
      <w:r w:rsidRPr="00E649BD">
        <w:rPr>
          <w:rFonts w:asciiTheme="minorHAnsi" w:eastAsiaTheme="minorHAnsi" w:hAnsiTheme="minorHAnsi" w:cs="Times New Roman"/>
          <w:iCs/>
          <w:color w:val="auto"/>
          <w:lang w:eastAsia="en-US"/>
        </w:rPr>
        <w:t>)</w:t>
      </w:r>
      <w:r w:rsidR="001F5E83">
        <w:rPr>
          <w:rFonts w:asciiTheme="minorHAnsi" w:eastAsiaTheme="minorHAnsi" w:hAnsiTheme="minorHAnsi" w:cs="Times New Roman"/>
          <w:iCs/>
          <w:color w:val="auto"/>
          <w:lang w:eastAsia="en-US"/>
        </w:rPr>
        <w:t xml:space="preserve"> npr. 0,75% (</w:t>
      </w:r>
      <w:r w:rsidR="00771025">
        <w:rPr>
          <w:rFonts w:asciiTheme="minorHAnsi" w:eastAsiaTheme="minorHAnsi" w:hAnsiTheme="minorHAnsi" w:cs="Times New Roman"/>
          <w:iCs/>
          <w:color w:val="auto"/>
          <w:lang w:eastAsia="en-US"/>
        </w:rPr>
        <w:t xml:space="preserve">pri čemu ne postoji mogućnost </w:t>
      </w:r>
      <w:r w:rsidR="001F5E83">
        <w:rPr>
          <w:rFonts w:asciiTheme="minorHAnsi" w:eastAsiaTheme="minorHAnsi" w:hAnsiTheme="minorHAnsi" w:cs="Times New Roman"/>
          <w:iCs/>
          <w:color w:val="auto"/>
          <w:lang w:eastAsia="en-US"/>
        </w:rPr>
        <w:t>vraćanje ulazne naknade)</w:t>
      </w:r>
      <w:r w:rsidRPr="00E649BD">
        <w:rPr>
          <w:rFonts w:asciiTheme="minorHAnsi" w:hAnsiTheme="minorHAnsi"/>
        </w:rPr>
        <w:t xml:space="preserve">, dok se </w:t>
      </w:r>
      <w:r w:rsidR="001F5E83">
        <w:rPr>
          <w:rFonts w:asciiTheme="minorHAnsi" w:hAnsiTheme="minorHAnsi"/>
        </w:rPr>
        <w:t xml:space="preserve">dodatno </w:t>
      </w:r>
      <w:r w:rsidRPr="00E649BD">
        <w:rPr>
          <w:rFonts w:asciiTheme="minorHAnsi" w:hAnsiTheme="minorHAnsi"/>
        </w:rPr>
        <w:t xml:space="preserve">u slučaju raskida stambene štednje prije proteka pet godina gubi pravo na državna poticajna sredstva. </w:t>
      </w:r>
    </w:p>
    <w:p w:rsidR="00E649BD" w:rsidRDefault="00F90147" w:rsidP="00771025">
      <w:pPr>
        <w:pStyle w:val="Default"/>
        <w:spacing w:before="240" w:after="200" w:line="271" w:lineRule="auto"/>
        <w:jc w:val="both"/>
        <w:rPr>
          <w:rFonts w:asciiTheme="minorHAnsi" w:hAnsiTheme="minorHAnsi"/>
          <w:color w:val="auto"/>
        </w:rPr>
      </w:pPr>
      <w:r>
        <w:rPr>
          <w:rFonts w:asciiTheme="minorHAnsi" w:hAnsiTheme="minorHAnsi"/>
        </w:rPr>
        <w:lastRenderedPageBreak/>
        <w:t xml:space="preserve">Naime, stambena štednja predstavlja srednjoročni ili dugoročni model ugovorne štednje, a svrha </w:t>
      </w:r>
      <w:r w:rsidR="001F5E83">
        <w:rPr>
          <w:rFonts w:asciiTheme="minorHAnsi" w:hAnsiTheme="minorHAnsi"/>
        </w:rPr>
        <w:t xml:space="preserve">izlazne </w:t>
      </w:r>
      <w:r>
        <w:rPr>
          <w:rFonts w:asciiTheme="minorHAnsi" w:hAnsiTheme="minorHAnsi"/>
        </w:rPr>
        <w:t xml:space="preserve">naknada je prvenstveno u motiviranju dugoročne (i </w:t>
      </w:r>
      <w:r w:rsidR="00B25BA2">
        <w:rPr>
          <w:rFonts w:asciiTheme="minorHAnsi" w:hAnsiTheme="minorHAnsi"/>
        </w:rPr>
        <w:t>postupne) namjens</w:t>
      </w:r>
      <w:r w:rsidR="00060663">
        <w:rPr>
          <w:rFonts w:asciiTheme="minorHAnsi" w:hAnsiTheme="minorHAnsi"/>
        </w:rPr>
        <w:t xml:space="preserve">ke štednje, </w:t>
      </w:r>
      <w:r w:rsidR="00B25BA2">
        <w:rPr>
          <w:rFonts w:asciiTheme="minorHAnsi" w:hAnsiTheme="minorHAnsi"/>
        </w:rPr>
        <w:t xml:space="preserve">koju štedionica </w:t>
      </w:r>
      <w:r>
        <w:rPr>
          <w:rFonts w:asciiTheme="minorHAnsi" w:hAnsiTheme="minorHAnsi"/>
        </w:rPr>
        <w:t xml:space="preserve">koristi za odobravanje dugoročnih kredita. </w:t>
      </w:r>
      <w:r w:rsidRPr="000A2E15">
        <w:rPr>
          <w:rFonts w:asciiTheme="minorHAnsi" w:hAnsiTheme="minorHAnsi"/>
          <w:color w:val="000000" w:themeColor="text1"/>
        </w:rPr>
        <w:t xml:space="preserve">Stambena štednja stoga nije financijski proizvod namijenjen osobama koje će kroz godinu dana htjeti raspolagati svojom štednjom, nego je </w:t>
      </w:r>
      <w:r w:rsidRPr="00B24CB9">
        <w:rPr>
          <w:rFonts w:asciiTheme="minorHAnsi" w:hAnsiTheme="minorHAnsi"/>
          <w:color w:val="C00000"/>
        </w:rPr>
        <w:t>namijenjena strpljivim štedišama koje određeno vrijeme neće zahtijevati isplatu štednje</w:t>
      </w:r>
      <w:r w:rsidR="001F5E83">
        <w:rPr>
          <w:rFonts w:asciiTheme="minorHAnsi" w:hAnsiTheme="minorHAnsi"/>
          <w:color w:val="C00000"/>
        </w:rPr>
        <w:t xml:space="preserve"> </w:t>
      </w:r>
      <w:r w:rsidR="001F5E83" w:rsidRPr="001F5E83">
        <w:rPr>
          <w:rFonts w:asciiTheme="minorHAnsi" w:hAnsiTheme="minorHAnsi"/>
          <w:color w:val="auto"/>
        </w:rPr>
        <w:t>– odnosno sve do proteka definiranog razdoblja</w:t>
      </w:r>
      <w:r w:rsidR="00D51B67">
        <w:rPr>
          <w:rFonts w:asciiTheme="minorHAnsi" w:hAnsiTheme="minorHAnsi"/>
          <w:color w:val="auto"/>
        </w:rPr>
        <w:t>, npr. pet godina</w:t>
      </w:r>
      <w:r w:rsidRPr="001F5E83">
        <w:rPr>
          <w:rFonts w:asciiTheme="minorHAnsi" w:hAnsiTheme="minorHAnsi"/>
          <w:color w:val="auto"/>
        </w:rPr>
        <w:t>.</w:t>
      </w:r>
    </w:p>
    <w:p w:rsidR="00391697" w:rsidRPr="00E649BD" w:rsidRDefault="00391697" w:rsidP="00771025">
      <w:pPr>
        <w:pStyle w:val="Default"/>
        <w:spacing w:after="200" w:line="271" w:lineRule="auto"/>
        <w:jc w:val="both"/>
        <w:rPr>
          <w:rFonts w:asciiTheme="minorHAnsi" w:hAnsiTheme="minorHAnsi" w:cs="Times New Roman"/>
          <w:iCs/>
        </w:rPr>
      </w:pPr>
      <w:r w:rsidRPr="00E649BD">
        <w:rPr>
          <w:rFonts w:asciiTheme="minorHAnsi" w:eastAsiaTheme="minorHAnsi" w:hAnsiTheme="minorHAnsi" w:cs="Times New Roman"/>
          <w:iCs/>
          <w:color w:val="auto"/>
          <w:lang w:eastAsia="en-US"/>
        </w:rPr>
        <w:t xml:space="preserve">Vrijeme stambene štednje počinje teći zaključenjem ugovora o stambenoj štednji, a završava otkazom ugovora, raskidom ili prestankom ugovora, odnosno dodjelom kredita po redovnim uvjetima na temelju stambene štednje. </w:t>
      </w:r>
      <w:r>
        <w:rPr>
          <w:rFonts w:asciiTheme="minorHAnsi" w:eastAsiaTheme="minorHAnsi" w:hAnsiTheme="minorHAnsi" w:cs="Times New Roman"/>
          <w:iCs/>
          <w:color w:val="auto"/>
          <w:lang w:eastAsia="en-US"/>
        </w:rPr>
        <w:t xml:space="preserve">Pri tome se, </w:t>
      </w:r>
      <w:r w:rsidRPr="00B25BA2">
        <w:rPr>
          <w:rFonts w:asciiTheme="minorHAnsi" w:eastAsiaTheme="minorHAnsi" w:hAnsiTheme="minorHAnsi" w:cs="Times New Roman"/>
          <w:iCs/>
          <w:color w:val="C00000"/>
          <w:lang w:eastAsia="en-US"/>
        </w:rPr>
        <w:t xml:space="preserve">svaki zahtjev štediše za raspolaganjem sredstvima stambene štednje smatra se otkazom ugovora </w:t>
      </w:r>
      <w:r>
        <w:rPr>
          <w:rFonts w:asciiTheme="minorHAnsi" w:eastAsiaTheme="minorHAnsi" w:hAnsiTheme="minorHAnsi" w:cs="Times New Roman"/>
          <w:iCs/>
          <w:color w:val="auto"/>
          <w:lang w:eastAsia="en-US"/>
        </w:rPr>
        <w:t xml:space="preserve">(i nosi posljedice plaćanja izlaznih naknada). </w:t>
      </w:r>
      <w:r w:rsidR="00123D02">
        <w:rPr>
          <w:rFonts w:asciiTheme="minorHAnsi" w:eastAsiaTheme="minorHAnsi" w:hAnsiTheme="minorHAnsi" w:cs="Times New Roman"/>
          <w:iCs/>
          <w:color w:val="auto"/>
          <w:lang w:eastAsia="en-US"/>
        </w:rPr>
        <w:t>Međutim, š</w:t>
      </w:r>
      <w:r w:rsidRPr="00E649BD">
        <w:rPr>
          <w:rFonts w:asciiTheme="minorHAnsi" w:hAnsiTheme="minorHAnsi" w:cs="Times New Roman"/>
          <w:iCs/>
        </w:rPr>
        <w:t>tediše imaju pravo jednom godišnje prenijeti sredstava raspoložive stambene štednje iz jedne stambene štedionice u drugu stambenu štedionicu</w:t>
      </w:r>
      <w:r>
        <w:rPr>
          <w:rFonts w:asciiTheme="minorHAnsi" w:hAnsiTheme="minorHAnsi" w:cs="Times New Roman"/>
          <w:iCs/>
        </w:rPr>
        <w:t xml:space="preserve"> i to se</w:t>
      </w:r>
      <w:r w:rsidRPr="00E649BD">
        <w:rPr>
          <w:rFonts w:asciiTheme="minorHAnsi" w:hAnsiTheme="minorHAnsi" w:cs="Times New Roman"/>
          <w:iCs/>
        </w:rPr>
        <w:t xml:space="preserve"> ne smatra raskidom ugovora o stambenoj štednji. U tom slučaju štediša ne gubi pravo na državna poticajna sredstva.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0"/>
        <w:gridCol w:w="4572"/>
      </w:tblGrid>
      <w:tr w:rsidR="00391697" w:rsidRPr="00E649BD" w:rsidTr="00123D02">
        <w:tc>
          <w:tcPr>
            <w:tcW w:w="4500" w:type="dxa"/>
          </w:tcPr>
          <w:p w:rsidR="00123D02" w:rsidRPr="00E649BD" w:rsidRDefault="00123D02" w:rsidP="00771025">
            <w:pPr>
              <w:pStyle w:val="Default"/>
              <w:spacing w:after="20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noProof/>
                <w:color w:val="auto"/>
              </w:rPr>
              <w:drawing>
                <wp:inline distT="0" distB="0" distL="0" distR="0" wp14:anchorId="4F12F6F9" wp14:editId="25999855">
                  <wp:extent cx="2572918" cy="1419225"/>
                  <wp:effectExtent l="0" t="0" r="0" b="0"/>
                  <wp:docPr id="16399" name="Slika 16399" descr="parents-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rents-kid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74073" cy="1419862"/>
                          </a:xfrm>
                          <a:prstGeom prst="rect">
                            <a:avLst/>
                          </a:prstGeom>
                          <a:noFill/>
                          <a:ln>
                            <a:noFill/>
                          </a:ln>
                        </pic:spPr>
                      </pic:pic>
                    </a:graphicData>
                  </a:graphic>
                </wp:inline>
              </w:drawing>
            </w:r>
          </w:p>
        </w:tc>
        <w:tc>
          <w:tcPr>
            <w:tcW w:w="4572" w:type="dxa"/>
            <w:shd w:val="clear" w:color="auto" w:fill="F2F2F2" w:themeFill="background1" w:themeFillShade="F2"/>
          </w:tcPr>
          <w:p w:rsidR="00123D02" w:rsidRPr="00E649BD" w:rsidRDefault="00391697" w:rsidP="00771025">
            <w:pPr>
              <w:pStyle w:val="Default"/>
              <w:spacing w:before="120" w:after="120"/>
              <w:jc w:val="both"/>
              <w:rPr>
                <w:rFonts w:asciiTheme="minorHAnsi" w:eastAsiaTheme="minorHAnsi" w:hAnsiTheme="minorHAnsi" w:cs="Times New Roman"/>
                <w:iCs/>
                <w:color w:val="auto"/>
                <w:lang w:eastAsia="en-US"/>
              </w:rPr>
            </w:pPr>
            <w:r w:rsidRPr="00E649BD">
              <w:rPr>
                <w:rFonts w:asciiTheme="minorHAnsi" w:eastAsiaTheme="minorHAnsi" w:hAnsiTheme="minorHAnsi" w:cs="Times New Roman"/>
                <w:iCs/>
                <w:color w:val="auto"/>
                <w:lang w:eastAsia="en-US"/>
              </w:rPr>
              <w:t xml:space="preserve">Osim individualne štednje, stambene štedionice nude mogućnost </w:t>
            </w:r>
            <w:r w:rsidRPr="00B24CB9">
              <w:rPr>
                <w:rFonts w:asciiTheme="minorHAnsi" w:eastAsiaTheme="minorHAnsi" w:hAnsiTheme="minorHAnsi" w:cs="Times New Roman"/>
                <w:iCs/>
                <w:color w:val="C00000"/>
                <w:lang w:eastAsia="en-US"/>
              </w:rPr>
              <w:t>obiteljske štednje</w:t>
            </w:r>
            <w:r w:rsidRPr="00E649BD">
              <w:rPr>
                <w:rFonts w:asciiTheme="minorHAnsi" w:eastAsiaTheme="minorHAnsi" w:hAnsiTheme="minorHAnsi" w:cs="Times New Roman"/>
                <w:iCs/>
                <w:color w:val="auto"/>
                <w:lang w:eastAsia="en-US"/>
              </w:rPr>
              <w:t xml:space="preserve">, gdje svaki član obitelji ima svoj individualan ugovor o stambenoj štednji i ostvaruje pravo na </w:t>
            </w:r>
            <w:r>
              <w:rPr>
                <w:rFonts w:asciiTheme="minorHAnsi" w:eastAsiaTheme="minorHAnsi" w:hAnsiTheme="minorHAnsi" w:cs="Times New Roman"/>
                <w:iCs/>
                <w:color w:val="auto"/>
                <w:lang w:eastAsia="en-US"/>
              </w:rPr>
              <w:t>DPS</w:t>
            </w:r>
            <w:r w:rsidRPr="00E649BD">
              <w:rPr>
                <w:rFonts w:asciiTheme="minorHAnsi" w:eastAsiaTheme="minorHAnsi" w:hAnsiTheme="minorHAnsi" w:cs="Times New Roman"/>
                <w:iCs/>
                <w:color w:val="auto"/>
                <w:lang w:eastAsia="en-US"/>
              </w:rPr>
              <w:t xml:space="preserve">, </w:t>
            </w:r>
            <w:r>
              <w:rPr>
                <w:rFonts w:asciiTheme="minorHAnsi" w:eastAsiaTheme="minorHAnsi" w:hAnsiTheme="minorHAnsi" w:cs="Times New Roman"/>
                <w:iCs/>
                <w:color w:val="auto"/>
                <w:lang w:eastAsia="en-US"/>
              </w:rPr>
              <w:t xml:space="preserve">dok se </w:t>
            </w:r>
            <w:r w:rsidRPr="00E649BD">
              <w:rPr>
                <w:rFonts w:asciiTheme="minorHAnsi" w:eastAsiaTheme="minorHAnsi" w:hAnsiTheme="minorHAnsi" w:cs="Times New Roman"/>
                <w:iCs/>
                <w:color w:val="auto"/>
                <w:lang w:eastAsia="en-US"/>
              </w:rPr>
              <w:t>(ukupni) ugovor</w:t>
            </w:r>
            <w:r>
              <w:rPr>
                <w:rFonts w:asciiTheme="minorHAnsi" w:eastAsiaTheme="minorHAnsi" w:hAnsiTheme="minorHAnsi" w:cs="Times New Roman"/>
                <w:iCs/>
                <w:color w:val="auto"/>
                <w:lang w:eastAsia="en-US"/>
              </w:rPr>
              <w:t>e</w:t>
            </w:r>
            <w:r w:rsidRPr="00E649BD">
              <w:rPr>
                <w:rFonts w:asciiTheme="minorHAnsi" w:eastAsiaTheme="minorHAnsi" w:hAnsiTheme="minorHAnsi" w:cs="Times New Roman"/>
                <w:iCs/>
                <w:color w:val="auto"/>
                <w:lang w:eastAsia="en-US"/>
              </w:rPr>
              <w:t xml:space="preserve">ni iznos i svi njegovi elementi promatraju zajedno. </w:t>
            </w:r>
          </w:p>
        </w:tc>
      </w:tr>
      <w:tr w:rsidR="00123D02" w:rsidTr="00481625">
        <w:tblPrEx>
          <w:tblLook w:val="0000" w:firstRow="0" w:lastRow="0" w:firstColumn="0" w:lastColumn="0" w:noHBand="0" w:noVBand="0"/>
        </w:tblPrEx>
        <w:trPr>
          <w:trHeight w:val="510"/>
        </w:trPr>
        <w:tc>
          <w:tcPr>
            <w:tcW w:w="9072" w:type="dxa"/>
            <w:gridSpan w:val="2"/>
            <w:shd w:val="clear" w:color="auto" w:fill="F2F2F2" w:themeFill="background1" w:themeFillShade="F2"/>
          </w:tcPr>
          <w:p w:rsidR="00123D02" w:rsidRDefault="00123D02" w:rsidP="00771025">
            <w:pPr>
              <w:pStyle w:val="Default"/>
              <w:spacing w:before="120" w:after="120"/>
              <w:jc w:val="both"/>
              <w:rPr>
                <w:rFonts w:asciiTheme="minorHAnsi" w:eastAsiaTheme="minorHAnsi" w:hAnsiTheme="minorHAnsi" w:cs="Times New Roman"/>
                <w:iCs/>
                <w:color w:val="C00000"/>
                <w:lang w:eastAsia="en-US"/>
              </w:rPr>
            </w:pPr>
            <w:r>
              <w:rPr>
                <w:rFonts w:asciiTheme="minorHAnsi" w:eastAsiaTheme="minorHAnsi" w:hAnsiTheme="minorHAnsi" w:cs="Times New Roman"/>
                <w:iCs/>
                <w:color w:val="auto"/>
                <w:lang w:eastAsia="en-US"/>
              </w:rPr>
              <w:t xml:space="preserve">Dodatno, stambene štedionice (slično kao i banke) nude mogućnost </w:t>
            </w:r>
            <w:r w:rsidRPr="00123D02">
              <w:rPr>
                <w:rFonts w:asciiTheme="minorHAnsi" w:eastAsiaTheme="minorHAnsi" w:hAnsiTheme="minorHAnsi" w:cs="Times New Roman"/>
                <w:iCs/>
                <w:color w:val="C00000"/>
                <w:lang w:eastAsia="en-US"/>
              </w:rPr>
              <w:t xml:space="preserve">dječje štednje </w:t>
            </w:r>
            <w:r>
              <w:rPr>
                <w:rFonts w:asciiTheme="minorHAnsi" w:eastAsiaTheme="minorHAnsi" w:hAnsiTheme="minorHAnsi" w:cs="Times New Roman"/>
                <w:iCs/>
                <w:color w:val="auto"/>
                <w:lang w:eastAsia="en-US"/>
              </w:rPr>
              <w:t>uz kamatne stope nešto veće od redovnih.</w:t>
            </w:r>
          </w:p>
        </w:tc>
      </w:tr>
    </w:tbl>
    <w:p w:rsidR="00391697" w:rsidRDefault="00391697" w:rsidP="00771025">
      <w:pPr>
        <w:pStyle w:val="Default"/>
        <w:spacing w:before="240" w:after="200" w:line="271" w:lineRule="auto"/>
        <w:jc w:val="both"/>
        <w:rPr>
          <w:rFonts w:asciiTheme="minorHAnsi" w:eastAsiaTheme="minorHAnsi" w:hAnsiTheme="minorHAnsi" w:cs="Times New Roman"/>
          <w:iCs/>
          <w:color w:val="auto"/>
          <w:lang w:eastAsia="en-US"/>
        </w:rPr>
      </w:pPr>
      <w:r w:rsidRPr="0058096C">
        <w:rPr>
          <w:rFonts w:asciiTheme="minorHAnsi" w:eastAsiaTheme="minorHAnsi" w:hAnsiTheme="minorHAnsi" w:cs="Times New Roman"/>
          <w:iCs/>
          <w:color w:val="C00000"/>
          <w:lang w:eastAsia="en-US"/>
        </w:rPr>
        <w:t xml:space="preserve">Redovni uvjeti stjecanja prava na stambeni kredit </w:t>
      </w:r>
      <w:r w:rsidRPr="00E649BD">
        <w:rPr>
          <w:rFonts w:asciiTheme="minorHAnsi" w:eastAsiaTheme="minorHAnsi" w:hAnsiTheme="minorHAnsi" w:cs="Times New Roman"/>
          <w:iCs/>
          <w:color w:val="auto"/>
          <w:lang w:eastAsia="en-US"/>
        </w:rPr>
        <w:t>podrazumijevaju štednju</w:t>
      </w:r>
      <w:r>
        <w:rPr>
          <w:rFonts w:asciiTheme="minorHAnsi" w:eastAsiaTheme="minorHAnsi" w:hAnsiTheme="minorHAnsi" w:cs="Times New Roman"/>
          <w:iCs/>
          <w:color w:val="auto"/>
          <w:lang w:eastAsia="en-US"/>
        </w:rPr>
        <w:t xml:space="preserve"> tijekom određenog definiranog razdoblja</w:t>
      </w:r>
      <w:r w:rsidRPr="00E649BD">
        <w:rPr>
          <w:rFonts w:asciiTheme="minorHAnsi" w:eastAsiaTheme="minorHAnsi" w:hAnsiTheme="minorHAnsi" w:cs="Times New Roman"/>
          <w:iCs/>
          <w:color w:val="auto"/>
          <w:lang w:eastAsia="en-US"/>
        </w:rPr>
        <w:t xml:space="preserve">, a protekom ugovorenog roka štednje </w:t>
      </w:r>
      <w:r>
        <w:rPr>
          <w:rFonts w:asciiTheme="minorHAnsi" w:eastAsiaTheme="minorHAnsi" w:hAnsiTheme="minorHAnsi" w:cs="Times New Roman"/>
          <w:iCs/>
          <w:color w:val="auto"/>
          <w:lang w:eastAsia="en-US"/>
        </w:rPr>
        <w:t xml:space="preserve">(npr. pet godina) </w:t>
      </w:r>
      <w:r w:rsidRPr="00E649BD">
        <w:rPr>
          <w:rFonts w:asciiTheme="minorHAnsi" w:eastAsiaTheme="minorHAnsi" w:hAnsiTheme="minorHAnsi" w:cs="Times New Roman"/>
          <w:iCs/>
          <w:color w:val="auto"/>
          <w:lang w:eastAsia="en-US"/>
        </w:rPr>
        <w:t xml:space="preserve">stječe se pravo na </w:t>
      </w:r>
      <w:r>
        <w:rPr>
          <w:rFonts w:asciiTheme="minorHAnsi" w:eastAsiaTheme="minorHAnsi" w:hAnsiTheme="minorHAnsi" w:cs="Times New Roman"/>
          <w:iCs/>
          <w:color w:val="auto"/>
          <w:lang w:eastAsia="en-US"/>
        </w:rPr>
        <w:t xml:space="preserve">stambeno </w:t>
      </w:r>
      <w:r w:rsidRPr="00E649BD">
        <w:rPr>
          <w:rFonts w:asciiTheme="minorHAnsi" w:eastAsiaTheme="minorHAnsi" w:hAnsiTheme="minorHAnsi" w:cs="Times New Roman"/>
          <w:iCs/>
          <w:color w:val="auto"/>
          <w:lang w:eastAsia="en-US"/>
        </w:rPr>
        <w:t>zaduživanje, što znači da u narednih n</w:t>
      </w:r>
      <w:r>
        <w:rPr>
          <w:rFonts w:asciiTheme="minorHAnsi" w:eastAsiaTheme="minorHAnsi" w:hAnsiTheme="minorHAnsi" w:cs="Times New Roman"/>
          <w:iCs/>
          <w:color w:val="auto"/>
          <w:lang w:eastAsia="en-US"/>
        </w:rPr>
        <w:t>pr.</w:t>
      </w:r>
      <w:r w:rsidRPr="00E649BD">
        <w:rPr>
          <w:rFonts w:asciiTheme="minorHAnsi" w:eastAsiaTheme="minorHAnsi" w:hAnsiTheme="minorHAnsi" w:cs="Times New Roman"/>
          <w:iCs/>
          <w:color w:val="auto"/>
          <w:lang w:eastAsia="en-US"/>
        </w:rPr>
        <w:t xml:space="preserve"> 1</w:t>
      </w:r>
      <w:r>
        <w:rPr>
          <w:rFonts w:asciiTheme="minorHAnsi" w:eastAsiaTheme="minorHAnsi" w:hAnsiTheme="minorHAnsi" w:cs="Times New Roman"/>
          <w:iCs/>
          <w:color w:val="auto"/>
          <w:lang w:eastAsia="en-US"/>
        </w:rPr>
        <w:t>0</w:t>
      </w:r>
      <w:r w:rsidRPr="00E649BD">
        <w:rPr>
          <w:rFonts w:asciiTheme="minorHAnsi" w:eastAsiaTheme="minorHAnsi" w:hAnsiTheme="minorHAnsi" w:cs="Times New Roman"/>
          <w:iCs/>
          <w:color w:val="auto"/>
          <w:lang w:eastAsia="en-US"/>
        </w:rPr>
        <w:t xml:space="preserve"> godina korisnik otplaćuje stambeni kredit (ali istovremeno više ne uplaćuje štedne uloge).</w:t>
      </w:r>
      <w:r>
        <w:rPr>
          <w:rFonts w:asciiTheme="minorHAnsi" w:eastAsiaTheme="minorHAnsi" w:hAnsiTheme="minorHAnsi" w:cs="Times New Roman"/>
          <w:iCs/>
          <w:color w:val="auto"/>
          <w:lang w:eastAsia="en-US"/>
        </w:rPr>
        <w:t xml:space="preserve"> </w:t>
      </w:r>
    </w:p>
    <w:p w:rsidR="00123D02" w:rsidRDefault="00123D02" w:rsidP="00771025">
      <w:pPr>
        <w:pStyle w:val="Default"/>
        <w:spacing w:before="240" w:after="200" w:line="271" w:lineRule="auto"/>
        <w:jc w:val="both"/>
        <w:rPr>
          <w:rFonts w:asciiTheme="minorHAnsi" w:eastAsiaTheme="minorHAnsi" w:hAnsiTheme="minorHAnsi" w:cs="Times New Roman"/>
          <w:iCs/>
          <w:color w:val="auto"/>
          <w:lang w:eastAsia="en-US"/>
        </w:rPr>
      </w:pPr>
      <w:r>
        <w:rPr>
          <w:rFonts w:asciiTheme="minorHAnsi" w:eastAsiaTheme="minorHAnsi" w:hAnsiTheme="minorHAnsi" w:cs="Times New Roman"/>
          <w:iCs/>
          <w:color w:val="auto"/>
          <w:lang w:eastAsia="en-US"/>
        </w:rPr>
        <w:t xml:space="preserve">Nadalje, </w:t>
      </w:r>
      <w:r w:rsidR="00391697" w:rsidRPr="00E649BD">
        <w:rPr>
          <w:rFonts w:asciiTheme="minorHAnsi" w:eastAsiaTheme="minorHAnsi" w:hAnsiTheme="minorHAnsi" w:cs="Times New Roman"/>
          <w:iCs/>
          <w:color w:val="auto"/>
          <w:lang w:eastAsia="en-US"/>
        </w:rPr>
        <w:t xml:space="preserve">postoji i mogućnost zaduživanja </w:t>
      </w:r>
      <w:r w:rsidR="00391697">
        <w:rPr>
          <w:rFonts w:asciiTheme="minorHAnsi" w:eastAsiaTheme="minorHAnsi" w:hAnsiTheme="minorHAnsi" w:cs="Times New Roman"/>
          <w:iCs/>
          <w:color w:val="auto"/>
          <w:lang w:eastAsia="en-US"/>
        </w:rPr>
        <w:t xml:space="preserve">u razdoblju kada još uvijek traje stambena štednja, </w:t>
      </w:r>
      <w:r w:rsidR="00391697" w:rsidRPr="00E649BD">
        <w:rPr>
          <w:rFonts w:asciiTheme="minorHAnsi" w:eastAsiaTheme="minorHAnsi" w:hAnsiTheme="minorHAnsi" w:cs="Times New Roman"/>
          <w:iCs/>
          <w:color w:val="auto"/>
          <w:lang w:eastAsia="en-US"/>
        </w:rPr>
        <w:t xml:space="preserve">što se naziva </w:t>
      </w:r>
      <w:r w:rsidR="00391697" w:rsidRPr="0058096C">
        <w:rPr>
          <w:rFonts w:asciiTheme="minorHAnsi" w:eastAsiaTheme="minorHAnsi" w:hAnsiTheme="minorHAnsi" w:cs="Times New Roman"/>
          <w:iCs/>
          <w:color w:val="C00000"/>
          <w:lang w:eastAsia="en-US"/>
        </w:rPr>
        <w:t>međufinanciranje</w:t>
      </w:r>
      <w:r w:rsidR="00391697" w:rsidRPr="00E649BD">
        <w:rPr>
          <w:rFonts w:asciiTheme="minorHAnsi" w:eastAsiaTheme="minorHAnsi" w:hAnsiTheme="minorHAnsi" w:cs="Times New Roman"/>
          <w:iCs/>
          <w:color w:val="auto"/>
          <w:lang w:eastAsia="en-US"/>
        </w:rPr>
        <w:t xml:space="preserve">. </w:t>
      </w:r>
      <w:r w:rsidR="00391697">
        <w:rPr>
          <w:rFonts w:asciiTheme="minorHAnsi" w:eastAsiaTheme="minorHAnsi" w:hAnsiTheme="minorHAnsi" w:cs="Times New Roman"/>
          <w:iCs/>
          <w:color w:val="auto"/>
          <w:lang w:eastAsia="en-US"/>
        </w:rPr>
        <w:t xml:space="preserve">Pri tome se krediti za međufinanciranje odobravaju do visine ugovorenog iznosa štednje (i obično traže određeno učešće uplaćenih vlastitih sredstava štednje), a Zakon definira da ugovor o kreditu za međufinanciranje ne može biti sklopljen na rok duži od roka na koji je sklopljen ugovor o stambenoj štednji. </w:t>
      </w:r>
    </w:p>
    <w:p w:rsidR="00391697" w:rsidRDefault="00391697" w:rsidP="00771025">
      <w:pPr>
        <w:pStyle w:val="Default"/>
        <w:spacing w:before="240" w:after="200" w:line="271" w:lineRule="auto"/>
        <w:jc w:val="both"/>
        <w:rPr>
          <w:rFonts w:asciiTheme="minorHAnsi" w:hAnsiTheme="minorHAnsi" w:cs="Times New Roman"/>
          <w:iCs/>
        </w:rPr>
      </w:pPr>
      <w:r w:rsidRPr="00123D02">
        <w:rPr>
          <w:rFonts w:asciiTheme="minorHAnsi" w:hAnsiTheme="minorHAnsi" w:cs="Times New Roman"/>
          <w:iCs/>
          <w:color w:val="C00000"/>
        </w:rPr>
        <w:t>Kamatne stope na stambenu štednju i stambene kredite preko stambenih štedionica su fiksne</w:t>
      </w:r>
      <w:r w:rsidRPr="00123D02">
        <w:rPr>
          <w:rFonts w:asciiTheme="minorHAnsi" w:hAnsiTheme="minorHAnsi" w:cs="Times New Roman"/>
          <w:iCs/>
        </w:rPr>
        <w:t>. Konkretna visina kamatne stope na štednju (vlastita sredstva) ovisi o tarifi (vrsti) stambene štednje koja se ugovara.</w:t>
      </w:r>
    </w:p>
    <w:p w:rsidR="00D51B67" w:rsidRPr="00123D02" w:rsidRDefault="00D51B67" w:rsidP="00771025">
      <w:pPr>
        <w:pStyle w:val="Default"/>
        <w:spacing w:before="240" w:after="200" w:line="271" w:lineRule="auto"/>
        <w:jc w:val="both"/>
        <w:rPr>
          <w:rFonts w:asciiTheme="minorHAnsi" w:hAnsiTheme="minorHAnsi" w:cs="Times New Roman"/>
          <w:iCs/>
        </w:rPr>
      </w:pPr>
    </w:p>
    <w:tbl>
      <w:tblPr>
        <w:tblStyle w:val="Reetkatablice"/>
        <w:tblW w:w="0" w:type="auto"/>
        <w:tblInd w:w="108" w:type="dxa"/>
        <w:tblLook w:val="04A0" w:firstRow="1" w:lastRow="0" w:firstColumn="1" w:lastColumn="0" w:noHBand="0" w:noVBand="1"/>
      </w:tblPr>
      <w:tblGrid>
        <w:gridCol w:w="9180"/>
      </w:tblGrid>
      <w:tr w:rsidR="00E649BD" w:rsidRPr="00E649BD" w:rsidTr="004D3F95">
        <w:tc>
          <w:tcPr>
            <w:tcW w:w="9180" w:type="dxa"/>
          </w:tcPr>
          <w:p w:rsidR="00B25BA2" w:rsidRDefault="00060663" w:rsidP="00383864">
            <w:pPr>
              <w:pStyle w:val="Default"/>
              <w:spacing w:after="120"/>
              <w:jc w:val="both"/>
              <w:rPr>
                <w:rFonts w:asciiTheme="minorHAnsi" w:eastAsiaTheme="minorHAnsi" w:hAnsiTheme="minorHAnsi" w:cs="Times New Roman"/>
                <w:iCs/>
                <w:color w:val="auto"/>
                <w:lang w:eastAsia="en-US"/>
              </w:rPr>
            </w:pPr>
            <w:r w:rsidRPr="00060663">
              <w:rPr>
                <w:rFonts w:asciiTheme="minorHAnsi" w:eastAsiaTheme="minorHAnsi" w:hAnsiTheme="minorHAnsi" w:cs="Times New Roman"/>
                <w:iCs/>
                <w:color w:val="C00000"/>
                <w:lang w:eastAsia="en-US"/>
              </w:rPr>
              <w:lastRenderedPageBreak/>
              <w:t xml:space="preserve">Primjer: </w:t>
            </w:r>
            <w:r w:rsidR="00B25BA2" w:rsidRPr="00E649BD">
              <w:rPr>
                <w:rFonts w:asciiTheme="minorHAnsi" w:eastAsiaTheme="minorHAnsi" w:hAnsiTheme="minorHAnsi" w:cs="Times New Roman"/>
                <w:iCs/>
                <w:color w:val="auto"/>
                <w:lang w:eastAsia="en-US"/>
              </w:rPr>
              <w:t xml:space="preserve">Svi opisani elementi </w:t>
            </w:r>
            <w:r w:rsidR="00B25BA2">
              <w:rPr>
                <w:rFonts w:asciiTheme="minorHAnsi" w:eastAsiaTheme="minorHAnsi" w:hAnsiTheme="minorHAnsi" w:cs="Times New Roman"/>
                <w:iCs/>
                <w:color w:val="auto"/>
                <w:lang w:eastAsia="en-US"/>
              </w:rPr>
              <w:t xml:space="preserve">koji se odnose na stambenu štednju i korištenje stambenog kredita kod stambenih štedionica, </w:t>
            </w:r>
            <w:r w:rsidR="00B25BA2" w:rsidRPr="00E649BD">
              <w:rPr>
                <w:rFonts w:asciiTheme="minorHAnsi" w:eastAsiaTheme="minorHAnsi" w:hAnsiTheme="minorHAnsi" w:cs="Times New Roman"/>
                <w:iCs/>
                <w:color w:val="auto"/>
                <w:lang w:eastAsia="en-US"/>
              </w:rPr>
              <w:t xml:space="preserve">sažeto su </w:t>
            </w:r>
            <w:r w:rsidR="00B25BA2">
              <w:rPr>
                <w:rFonts w:asciiTheme="minorHAnsi" w:eastAsiaTheme="minorHAnsi" w:hAnsiTheme="minorHAnsi" w:cs="Times New Roman"/>
                <w:iCs/>
                <w:color w:val="auto"/>
                <w:lang w:eastAsia="en-US"/>
              </w:rPr>
              <w:t xml:space="preserve">prikazani na </w:t>
            </w:r>
            <w:r w:rsidR="00B25BA2" w:rsidRPr="00E649BD">
              <w:rPr>
                <w:rFonts w:asciiTheme="minorHAnsi" w:eastAsiaTheme="minorHAnsi" w:hAnsiTheme="minorHAnsi" w:cs="Times New Roman"/>
                <w:iCs/>
                <w:color w:val="auto"/>
                <w:lang w:eastAsia="en-US"/>
              </w:rPr>
              <w:t xml:space="preserve">primjeru </w:t>
            </w:r>
            <w:r w:rsidR="00B25BA2">
              <w:rPr>
                <w:rFonts w:asciiTheme="minorHAnsi" w:eastAsiaTheme="minorHAnsi" w:hAnsiTheme="minorHAnsi" w:cs="Times New Roman"/>
                <w:iCs/>
                <w:color w:val="auto"/>
                <w:lang w:eastAsia="en-US"/>
              </w:rPr>
              <w:t xml:space="preserve">s predviđenom otplatom stambenog kredita 10 godina po isteku prvih pet godina stambene štednje (iako su moguće i opcije kraće ili duže štednje npr. 2 godine ili 7 godina). Primjer se odnosi na stambenu štednju kod koje je iznos mjesečnih štednih uloga </w:t>
            </w:r>
            <w:r w:rsidR="003271FE">
              <w:rPr>
                <w:rFonts w:asciiTheme="minorHAnsi" w:eastAsiaTheme="minorHAnsi" w:hAnsiTheme="minorHAnsi" w:cs="Times New Roman"/>
                <w:iCs/>
                <w:color w:val="auto"/>
                <w:lang w:eastAsia="en-US"/>
              </w:rPr>
              <w:t xml:space="preserve">definiran u eurima, </w:t>
            </w:r>
            <w:r w:rsidR="00B25BA2">
              <w:rPr>
                <w:rFonts w:asciiTheme="minorHAnsi" w:eastAsiaTheme="minorHAnsi" w:hAnsiTheme="minorHAnsi" w:cs="Times New Roman"/>
                <w:iCs/>
                <w:color w:val="auto"/>
                <w:lang w:eastAsia="en-US"/>
              </w:rPr>
              <w:t xml:space="preserve">a stambeni kredit s valutnom klauzulom u eurima, </w:t>
            </w:r>
            <w:r w:rsidR="00B25BA2" w:rsidRPr="00060663">
              <w:rPr>
                <w:rFonts w:asciiTheme="minorHAnsi" w:eastAsiaTheme="minorHAnsi" w:hAnsiTheme="minorHAnsi" w:cs="Times New Roman"/>
                <w:iCs/>
                <w:color w:val="C00000"/>
                <w:lang w:eastAsia="en-US"/>
              </w:rPr>
              <w:t>iako u praksi pojedine stambene štedionice pružaju i mogućnost kunske stambene štednje i zaduživanja bez valutne klauzule</w:t>
            </w:r>
            <w:r w:rsidR="00B25BA2">
              <w:rPr>
                <w:rFonts w:asciiTheme="minorHAnsi" w:eastAsiaTheme="minorHAnsi" w:hAnsiTheme="minorHAnsi" w:cs="Times New Roman"/>
                <w:iCs/>
                <w:color w:val="auto"/>
                <w:lang w:eastAsia="en-US"/>
              </w:rPr>
              <w:t xml:space="preserve">. </w:t>
            </w:r>
            <w:r w:rsidR="003271FE">
              <w:rPr>
                <w:rFonts w:asciiTheme="minorHAnsi" w:eastAsiaTheme="minorHAnsi" w:hAnsiTheme="minorHAnsi" w:cs="Times New Roman"/>
                <w:iCs/>
                <w:color w:val="auto"/>
                <w:lang w:eastAsia="en-US"/>
              </w:rPr>
              <w:t xml:space="preserve">Međutim, u oba slučaja stambene štedionice mogu primati novčane depozite i </w:t>
            </w:r>
            <w:r w:rsidR="007032C3">
              <w:rPr>
                <w:rFonts w:asciiTheme="minorHAnsi" w:eastAsiaTheme="minorHAnsi" w:hAnsiTheme="minorHAnsi" w:cs="Times New Roman"/>
                <w:iCs/>
                <w:color w:val="auto"/>
                <w:lang w:eastAsia="en-US"/>
              </w:rPr>
              <w:t xml:space="preserve">isplaćivati </w:t>
            </w:r>
            <w:r w:rsidR="003271FE">
              <w:rPr>
                <w:rFonts w:asciiTheme="minorHAnsi" w:eastAsiaTheme="minorHAnsi" w:hAnsiTheme="minorHAnsi" w:cs="Times New Roman"/>
                <w:iCs/>
                <w:color w:val="auto"/>
                <w:lang w:eastAsia="en-US"/>
              </w:rPr>
              <w:t>kredite isključivo u domaćoj valuti.</w:t>
            </w:r>
            <w:r w:rsidR="005F2910">
              <w:rPr>
                <w:rFonts w:asciiTheme="minorHAnsi" w:eastAsiaTheme="minorHAnsi" w:hAnsiTheme="minorHAnsi" w:cs="Times New Roman"/>
                <w:iCs/>
                <w:color w:val="auto"/>
                <w:lang w:eastAsia="en-US"/>
              </w:rPr>
              <w:t xml:space="preserve"> </w:t>
            </w:r>
            <w:r w:rsidR="00B25BA2">
              <w:rPr>
                <w:rFonts w:asciiTheme="minorHAnsi" w:eastAsiaTheme="minorHAnsi" w:hAnsiTheme="minorHAnsi" w:cs="Times New Roman"/>
                <w:iCs/>
                <w:color w:val="auto"/>
                <w:lang w:eastAsia="en-US"/>
              </w:rPr>
              <w:t xml:space="preserve">Razlika u visini ugovorene nominalne kamatne stope i efektivne kamatne stope </w:t>
            </w:r>
            <w:r>
              <w:rPr>
                <w:rFonts w:asciiTheme="minorHAnsi" w:eastAsiaTheme="minorHAnsi" w:hAnsiTheme="minorHAnsi" w:cs="Times New Roman"/>
                <w:iCs/>
                <w:color w:val="auto"/>
                <w:lang w:eastAsia="en-US"/>
              </w:rPr>
              <w:t xml:space="preserve">u primjeru u nastavku </w:t>
            </w:r>
            <w:r w:rsidR="00B25BA2">
              <w:rPr>
                <w:rFonts w:asciiTheme="minorHAnsi" w:eastAsiaTheme="minorHAnsi" w:hAnsiTheme="minorHAnsi" w:cs="Times New Roman"/>
                <w:iCs/>
                <w:color w:val="auto"/>
                <w:lang w:eastAsia="en-US"/>
              </w:rPr>
              <w:t xml:space="preserve">proizlazi iz iznosa naknada (kod štednje </w:t>
            </w:r>
            <w:r>
              <w:rPr>
                <w:rFonts w:asciiTheme="minorHAnsi" w:eastAsiaTheme="minorHAnsi" w:hAnsiTheme="minorHAnsi" w:cs="Times New Roman"/>
                <w:iCs/>
                <w:color w:val="auto"/>
                <w:lang w:eastAsia="en-US"/>
              </w:rPr>
              <w:t xml:space="preserve">to je </w:t>
            </w:r>
            <w:r w:rsidR="00B25BA2">
              <w:rPr>
                <w:rFonts w:asciiTheme="minorHAnsi" w:eastAsiaTheme="minorHAnsi" w:hAnsiTheme="minorHAnsi" w:cs="Times New Roman"/>
                <w:iCs/>
                <w:color w:val="auto"/>
                <w:lang w:eastAsia="en-US"/>
              </w:rPr>
              <w:t>nakna</w:t>
            </w:r>
            <w:r>
              <w:rPr>
                <w:rFonts w:asciiTheme="minorHAnsi" w:eastAsiaTheme="minorHAnsi" w:hAnsiTheme="minorHAnsi" w:cs="Times New Roman"/>
                <w:iCs/>
                <w:color w:val="auto"/>
                <w:lang w:eastAsia="en-US"/>
              </w:rPr>
              <w:t>de za sklapanje ugovora – ulazna naknada</w:t>
            </w:r>
            <w:r w:rsidR="00B25BA2">
              <w:rPr>
                <w:rFonts w:asciiTheme="minorHAnsi" w:eastAsiaTheme="minorHAnsi" w:hAnsiTheme="minorHAnsi" w:cs="Times New Roman"/>
                <w:iCs/>
                <w:color w:val="auto"/>
                <w:lang w:eastAsia="en-US"/>
              </w:rPr>
              <w:t xml:space="preserve"> u visini 1%, a kod kredita naknad</w:t>
            </w:r>
            <w:r>
              <w:rPr>
                <w:rFonts w:asciiTheme="minorHAnsi" w:eastAsiaTheme="minorHAnsi" w:hAnsiTheme="minorHAnsi" w:cs="Times New Roman"/>
                <w:iCs/>
                <w:color w:val="auto"/>
                <w:lang w:eastAsia="en-US"/>
              </w:rPr>
              <w:t>a</w:t>
            </w:r>
            <w:r w:rsidR="00B25BA2">
              <w:rPr>
                <w:rFonts w:asciiTheme="minorHAnsi" w:eastAsiaTheme="minorHAnsi" w:hAnsiTheme="minorHAnsi" w:cs="Times New Roman"/>
                <w:iCs/>
                <w:color w:val="auto"/>
                <w:lang w:eastAsia="en-US"/>
              </w:rPr>
              <w:t xml:space="preserve"> za odobrenje kredita - troškova kreditnog postupka, </w:t>
            </w:r>
            <w:r w:rsidR="00B25BA2" w:rsidRPr="00060663">
              <w:rPr>
                <w:rFonts w:asciiTheme="minorHAnsi" w:eastAsiaTheme="minorHAnsi" w:hAnsiTheme="minorHAnsi" w:cs="Times New Roman"/>
                <w:iCs/>
                <w:color w:val="C00000"/>
                <w:lang w:eastAsia="en-US"/>
              </w:rPr>
              <w:t>EKS na štednju je stoga niži od nominalne kamatne stope, a EKS na kredit viši od nominalne kamatne stope</w:t>
            </w:r>
            <w:r w:rsidR="00B25BA2">
              <w:rPr>
                <w:rFonts w:asciiTheme="minorHAnsi" w:eastAsiaTheme="minorHAnsi" w:hAnsiTheme="minorHAnsi" w:cs="Times New Roman"/>
                <w:iCs/>
                <w:color w:val="auto"/>
                <w:lang w:eastAsia="en-US"/>
              </w:rPr>
              <w:t>).</w:t>
            </w:r>
          </w:p>
          <w:p w:rsidR="00A642A7" w:rsidRPr="00A642A7" w:rsidRDefault="00677012" w:rsidP="005F2910">
            <w:pPr>
              <w:pStyle w:val="Default"/>
              <w:spacing w:line="276" w:lineRule="auto"/>
              <w:jc w:val="both"/>
              <w:rPr>
                <w:rFonts w:asciiTheme="minorHAnsi" w:hAnsiTheme="minorHAnsi"/>
                <w:sz w:val="20"/>
                <w:szCs w:val="20"/>
              </w:rPr>
            </w:pPr>
            <w:r w:rsidRPr="00E649BD">
              <w:rPr>
                <w:rFonts w:asciiTheme="minorHAnsi" w:eastAsiaTheme="minorHAnsi" w:hAnsiTheme="minorHAnsi" w:cstheme="minorBidi"/>
                <w:lang w:eastAsia="en-US"/>
              </w:rPr>
              <w:object w:dxaOrig="9885" w:dyaOrig="6525">
                <v:shape id="_x0000_i1061" type="#_x0000_t75" style="width:453pt;height:298.5pt" o:ole="">
                  <v:imagedata r:id="rId66" o:title=""/>
                </v:shape>
                <o:OLEObject Type="Embed" ProgID="PBrush" ShapeID="_x0000_i1061" DrawAspect="Content" ObjectID="_1505681389" r:id="rId177"/>
              </w:object>
            </w:r>
            <w:r w:rsidR="00A642A7" w:rsidRPr="00A642A7">
              <w:rPr>
                <w:rFonts w:asciiTheme="minorHAnsi" w:hAnsiTheme="minorHAnsi"/>
                <w:sz w:val="20"/>
                <w:szCs w:val="20"/>
              </w:rPr>
              <w:t xml:space="preserve">* </w:t>
            </w:r>
            <w:r w:rsidR="00A642A7" w:rsidRPr="00A642A7">
              <w:rPr>
                <w:rFonts w:asciiTheme="minorHAnsi" w:hAnsiTheme="minorHAnsi" w:cs="Arial"/>
                <w:sz w:val="20"/>
                <w:szCs w:val="20"/>
                <w:shd w:val="clear" w:color="auto" w:fill="FFFFFF"/>
              </w:rPr>
              <w:t>Izračun je informativan i ne može se koristiti u druge svrhe</w:t>
            </w:r>
            <w:r w:rsidR="000A3D03">
              <w:rPr>
                <w:rFonts w:asciiTheme="minorHAnsi" w:hAnsiTheme="minorHAnsi"/>
                <w:sz w:val="20"/>
                <w:szCs w:val="20"/>
              </w:rPr>
              <w:t>.</w:t>
            </w:r>
          </w:p>
          <w:p w:rsidR="005F2910" w:rsidRDefault="000A2E15" w:rsidP="005F2910">
            <w:pPr>
              <w:pStyle w:val="Default"/>
              <w:spacing w:line="276" w:lineRule="auto"/>
              <w:jc w:val="both"/>
              <w:rPr>
                <w:rFonts w:asciiTheme="minorHAnsi" w:hAnsiTheme="minorHAnsi"/>
              </w:rPr>
            </w:pPr>
            <w:r>
              <w:rPr>
                <w:rFonts w:asciiTheme="minorHAnsi" w:hAnsiTheme="minorHAnsi"/>
              </w:rPr>
              <w:t xml:space="preserve">Osim prezentirane tarife stambene štednje i zaduživanja ista stambena štedionica </w:t>
            </w:r>
            <w:r w:rsidR="00060663">
              <w:rPr>
                <w:rFonts w:asciiTheme="minorHAnsi" w:hAnsiTheme="minorHAnsi"/>
              </w:rPr>
              <w:t xml:space="preserve">iz primjera </w:t>
            </w:r>
            <w:r>
              <w:rPr>
                <w:rFonts w:asciiTheme="minorHAnsi" w:hAnsiTheme="minorHAnsi"/>
              </w:rPr>
              <w:t>nudi i sljedeće modalitete</w:t>
            </w:r>
            <w:r w:rsidR="00D75DE9">
              <w:rPr>
                <w:rFonts w:asciiTheme="minorHAnsi" w:hAnsiTheme="minorHAnsi"/>
              </w:rPr>
              <w:t xml:space="preserve"> štednje i redovitih uvjeta stambenog zaduživanja</w:t>
            </w:r>
            <w:r>
              <w:rPr>
                <w:rFonts w:asciiTheme="minorHAnsi" w:hAnsiTheme="minorHAnsi"/>
              </w:rPr>
              <w:t>:</w:t>
            </w:r>
          </w:p>
          <w:p w:rsidR="000A2E15" w:rsidRPr="00B24CB9" w:rsidRDefault="00383864" w:rsidP="00A642A7">
            <w:pPr>
              <w:pStyle w:val="Default"/>
              <w:jc w:val="both"/>
              <w:rPr>
                <w:rFonts w:asciiTheme="minorHAnsi" w:eastAsiaTheme="minorHAnsi" w:hAnsiTheme="minorHAnsi"/>
                <w:iCs/>
                <w:lang w:eastAsia="en-US"/>
              </w:rPr>
            </w:pPr>
            <w:r>
              <w:object w:dxaOrig="8160" w:dyaOrig="2895">
                <v:shape id="_x0000_i1062" type="#_x0000_t75" style="width:390pt;height:138pt" o:ole="">
                  <v:imagedata r:id="rId178" o:title=""/>
                </v:shape>
                <o:OLEObject Type="Embed" ProgID="PBrush" ShapeID="_x0000_i1062" DrawAspect="Content" ObjectID="_1505681390" r:id="rId179"/>
              </w:object>
            </w:r>
          </w:p>
        </w:tc>
      </w:tr>
    </w:tbl>
    <w:p w:rsidR="00F679CA" w:rsidRPr="003B1C88" w:rsidRDefault="003B1C88" w:rsidP="00E649BD">
      <w:pPr>
        <w:tabs>
          <w:tab w:val="left" w:pos="1575"/>
        </w:tabs>
        <w:rPr>
          <w:rFonts w:cs="Times New Roman"/>
          <w:b/>
          <w:iCs/>
          <w:sz w:val="24"/>
          <w:szCs w:val="24"/>
        </w:rPr>
      </w:pPr>
      <w:r w:rsidRPr="003B1C88">
        <w:rPr>
          <w:rFonts w:cs="Times New Roman"/>
          <w:b/>
          <w:iCs/>
          <w:sz w:val="24"/>
          <w:szCs w:val="24"/>
        </w:rPr>
        <w:lastRenderedPageBreak/>
        <w:t>3.1</w:t>
      </w:r>
      <w:r w:rsidR="0093356A">
        <w:rPr>
          <w:rFonts w:cs="Times New Roman"/>
          <w:b/>
          <w:iCs/>
          <w:sz w:val="24"/>
          <w:szCs w:val="24"/>
        </w:rPr>
        <w:t>6</w:t>
      </w:r>
      <w:r w:rsidRPr="003B1C88">
        <w:rPr>
          <w:rFonts w:cs="Times New Roman"/>
          <w:b/>
          <w:iCs/>
          <w:sz w:val="24"/>
          <w:szCs w:val="24"/>
        </w:rPr>
        <w:t>. Anticipativni način obračuna kamata</w:t>
      </w:r>
      <w:r w:rsidR="002B0FFE">
        <w:rPr>
          <w:rFonts w:cs="Times New Roman"/>
          <w:b/>
          <w:iCs/>
          <w:sz w:val="24"/>
          <w:szCs w:val="24"/>
        </w:rPr>
        <w:t xml:space="preserve"> u slučaju </w:t>
      </w:r>
      <w:r w:rsidR="00A6359C">
        <w:rPr>
          <w:rFonts w:cs="Times New Roman"/>
          <w:b/>
          <w:iCs/>
          <w:sz w:val="24"/>
          <w:szCs w:val="24"/>
        </w:rPr>
        <w:t xml:space="preserve">oročene </w:t>
      </w:r>
      <w:r w:rsidR="002B0FFE">
        <w:rPr>
          <w:rFonts w:cs="Times New Roman"/>
          <w:b/>
          <w:iCs/>
          <w:sz w:val="24"/>
          <w:szCs w:val="24"/>
        </w:rPr>
        <w:t>štednje</w:t>
      </w:r>
    </w:p>
    <w:p w:rsidR="00481625" w:rsidRDefault="003B1C88" w:rsidP="00481625">
      <w:pPr>
        <w:tabs>
          <w:tab w:val="left" w:pos="1575"/>
        </w:tabs>
        <w:jc w:val="both"/>
        <w:rPr>
          <w:rFonts w:cs="Times New Roman"/>
          <w:iCs/>
          <w:sz w:val="24"/>
          <w:szCs w:val="24"/>
        </w:rPr>
      </w:pPr>
      <w:r>
        <w:rPr>
          <w:rFonts w:cs="Times New Roman"/>
          <w:iCs/>
          <w:sz w:val="24"/>
          <w:szCs w:val="24"/>
        </w:rPr>
        <w:t xml:space="preserve">U svim prethodnim primjerima </w:t>
      </w:r>
      <w:r w:rsidR="00481625">
        <w:rPr>
          <w:rFonts w:cs="Times New Roman"/>
          <w:iCs/>
          <w:sz w:val="24"/>
          <w:szCs w:val="24"/>
        </w:rPr>
        <w:t xml:space="preserve">oročenja štednje </w:t>
      </w:r>
      <w:r>
        <w:rPr>
          <w:rFonts w:cs="Times New Roman"/>
          <w:iCs/>
          <w:sz w:val="24"/>
          <w:szCs w:val="24"/>
        </w:rPr>
        <w:t xml:space="preserve">korišten je dekurzivni način obračuna kamata koji je uobičajeno korišten u praksi banaka i stambenih štedionica. Međutim, moguće je </w:t>
      </w:r>
      <w:r w:rsidR="002B0FFE">
        <w:rPr>
          <w:rFonts w:cs="Times New Roman"/>
          <w:iCs/>
          <w:sz w:val="24"/>
          <w:szCs w:val="24"/>
        </w:rPr>
        <w:t xml:space="preserve">eventualno </w:t>
      </w:r>
      <w:r>
        <w:rPr>
          <w:rFonts w:cs="Times New Roman"/>
          <w:iCs/>
          <w:sz w:val="24"/>
          <w:szCs w:val="24"/>
        </w:rPr>
        <w:t xml:space="preserve">i korištenje anticipativnog načina obračuna kamata </w:t>
      </w:r>
      <w:r w:rsidR="00481625">
        <w:rPr>
          <w:rFonts w:cs="Times New Roman"/>
          <w:iCs/>
          <w:sz w:val="24"/>
          <w:szCs w:val="24"/>
        </w:rPr>
        <w:t xml:space="preserve">na oročenu štednju </w:t>
      </w:r>
      <w:r>
        <w:rPr>
          <w:rFonts w:cs="Times New Roman"/>
          <w:iCs/>
          <w:sz w:val="24"/>
          <w:szCs w:val="24"/>
        </w:rPr>
        <w:t>ako to predviđaju uvjeti poslovanja financijske institucije, odnosno ako ga predviđaju pojedinačni financijski proizvodi štednje za gra</w:t>
      </w:r>
      <w:r w:rsidR="002B0FFE">
        <w:rPr>
          <w:rFonts w:cs="Times New Roman"/>
          <w:iCs/>
          <w:sz w:val="24"/>
          <w:szCs w:val="24"/>
        </w:rPr>
        <w:t xml:space="preserve">đane. </w:t>
      </w:r>
    </w:p>
    <w:p w:rsidR="002B0FFE" w:rsidRPr="007032C3" w:rsidRDefault="002B0FFE" w:rsidP="00481625">
      <w:pPr>
        <w:tabs>
          <w:tab w:val="left" w:pos="1575"/>
        </w:tabs>
        <w:jc w:val="both"/>
        <w:rPr>
          <w:rFonts w:cs="Times New Roman"/>
          <w:iCs/>
          <w:sz w:val="24"/>
          <w:szCs w:val="24"/>
        </w:rPr>
      </w:pPr>
      <w:r w:rsidRPr="007032C3">
        <w:rPr>
          <w:rFonts w:cs="Times New Roman"/>
          <w:iCs/>
          <w:sz w:val="24"/>
          <w:szCs w:val="24"/>
        </w:rPr>
        <w:t xml:space="preserve">Pri tome vrijedi slijedeće: uz isti jednaki početni iznos sredstava koje štediša oročava te uz istu kamatnu stopu i isti broj godina, </w:t>
      </w:r>
      <w:r w:rsidR="00481625" w:rsidRPr="007032C3">
        <w:rPr>
          <w:rFonts w:cs="Times New Roman"/>
          <w:iCs/>
          <w:sz w:val="24"/>
          <w:szCs w:val="24"/>
        </w:rPr>
        <w:t xml:space="preserve">iznos kamata je veći u slučaju anticipativnog načina obračuna kamata nego u slučaju dekurzivnog načina obračuna kamata. Razlog tome je što se </w:t>
      </w:r>
      <w:r w:rsidRPr="007032C3">
        <w:rPr>
          <w:sz w:val="24"/>
          <w:szCs w:val="24"/>
        </w:rPr>
        <w:t xml:space="preserve">pri dekurzivnom </w:t>
      </w:r>
      <w:r w:rsidR="00481625" w:rsidRPr="007032C3">
        <w:rPr>
          <w:sz w:val="24"/>
          <w:szCs w:val="24"/>
        </w:rPr>
        <w:t>ukamaćivanju</w:t>
      </w:r>
      <w:r w:rsidRPr="007032C3">
        <w:rPr>
          <w:sz w:val="24"/>
          <w:szCs w:val="24"/>
        </w:rPr>
        <w:t xml:space="preserve"> </w:t>
      </w:r>
      <w:r w:rsidR="00481625" w:rsidRPr="007032C3">
        <w:rPr>
          <w:sz w:val="24"/>
          <w:szCs w:val="24"/>
        </w:rPr>
        <w:t xml:space="preserve">kamate računaju na </w:t>
      </w:r>
      <w:r w:rsidRPr="007032C3">
        <w:rPr>
          <w:sz w:val="24"/>
          <w:szCs w:val="24"/>
        </w:rPr>
        <w:t xml:space="preserve">vrijednosti iznosa na </w:t>
      </w:r>
      <w:r w:rsidR="00481625" w:rsidRPr="007032C3">
        <w:rPr>
          <w:sz w:val="24"/>
          <w:szCs w:val="24"/>
        </w:rPr>
        <w:t>početku razdoblja</w:t>
      </w:r>
      <w:r w:rsidRPr="007032C3">
        <w:rPr>
          <w:sz w:val="24"/>
          <w:szCs w:val="24"/>
        </w:rPr>
        <w:t xml:space="preserve">, </w:t>
      </w:r>
      <w:r w:rsidR="00481625" w:rsidRPr="007032C3">
        <w:rPr>
          <w:sz w:val="24"/>
          <w:szCs w:val="24"/>
        </w:rPr>
        <w:t xml:space="preserve">a </w:t>
      </w:r>
      <w:r w:rsidRPr="007032C3">
        <w:rPr>
          <w:sz w:val="24"/>
          <w:szCs w:val="24"/>
        </w:rPr>
        <w:t>kod anticipativnog</w:t>
      </w:r>
      <w:r w:rsidR="00481625" w:rsidRPr="007032C3">
        <w:rPr>
          <w:sz w:val="24"/>
          <w:szCs w:val="24"/>
        </w:rPr>
        <w:t xml:space="preserve"> na konačnu vrijednost iznosa na kraju razdoblja. </w:t>
      </w:r>
      <w:r w:rsidRPr="007032C3">
        <w:rPr>
          <w:sz w:val="24"/>
          <w:szCs w:val="24"/>
        </w:rPr>
        <w:t xml:space="preserve"> </w:t>
      </w:r>
    </w:p>
    <w:tbl>
      <w:tblPr>
        <w:tblStyle w:val="Reetkatablice"/>
        <w:tblW w:w="0" w:type="auto"/>
        <w:tblLook w:val="04A0" w:firstRow="1" w:lastRow="0" w:firstColumn="1" w:lastColumn="0" w:noHBand="0" w:noVBand="1"/>
      </w:tblPr>
      <w:tblGrid>
        <w:gridCol w:w="9288"/>
      </w:tblGrid>
      <w:tr w:rsidR="002B0FFE" w:rsidTr="002B0FFE">
        <w:tc>
          <w:tcPr>
            <w:tcW w:w="9288" w:type="dxa"/>
          </w:tcPr>
          <w:p w:rsidR="002B0FFE" w:rsidRDefault="002B0FFE" w:rsidP="002B0FFE">
            <w:pPr>
              <w:tabs>
                <w:tab w:val="left" w:pos="1575"/>
              </w:tabs>
              <w:jc w:val="center"/>
            </w:pPr>
          </w:p>
          <w:p w:rsidR="002B0FFE" w:rsidRDefault="002B0FFE" w:rsidP="002B0FFE">
            <w:pPr>
              <w:tabs>
                <w:tab w:val="left" w:pos="1575"/>
              </w:tabs>
              <w:jc w:val="center"/>
            </w:pPr>
            <w:r>
              <w:rPr>
                <w:rFonts w:asciiTheme="minorHAnsi" w:eastAsiaTheme="minorHAnsi" w:hAnsiTheme="minorHAnsi" w:cstheme="minorBidi"/>
                <w:sz w:val="22"/>
                <w:szCs w:val="22"/>
                <w:lang w:eastAsia="en-US"/>
              </w:rPr>
              <w:object w:dxaOrig="7995" w:dyaOrig="7215">
                <v:shape id="_x0000_i1063" type="#_x0000_t75" style="width:399pt;height:360.75pt" o:ole="">
                  <v:imagedata r:id="rId180" o:title=""/>
                </v:shape>
                <o:OLEObject Type="Embed" ProgID="PBrush" ShapeID="_x0000_i1063" DrawAspect="Content" ObjectID="_1505681391" r:id="rId181"/>
              </w:object>
            </w:r>
          </w:p>
          <w:p w:rsidR="002B0FFE" w:rsidRDefault="002B0FFE" w:rsidP="002B0FFE">
            <w:pPr>
              <w:tabs>
                <w:tab w:val="left" w:pos="1575"/>
              </w:tabs>
              <w:jc w:val="center"/>
            </w:pPr>
          </w:p>
          <w:p w:rsidR="002B0FFE" w:rsidRPr="00D0255E" w:rsidRDefault="002B0FFE" w:rsidP="00481625">
            <w:pPr>
              <w:spacing w:before="240" w:line="276" w:lineRule="auto"/>
              <w:rPr>
                <w:sz w:val="24"/>
                <w:szCs w:val="24"/>
              </w:rPr>
            </w:pPr>
            <w:r w:rsidRPr="002B0FFE">
              <w:rPr>
                <w:bCs/>
                <w:i/>
                <w:iCs/>
                <w:color w:val="C00000"/>
                <w:sz w:val="24"/>
                <w:szCs w:val="24"/>
              </w:rPr>
              <w:t>Primjer</w:t>
            </w:r>
            <w:r w:rsidRPr="002B0FFE">
              <w:rPr>
                <w:i/>
                <w:iCs/>
                <w:color w:val="C00000"/>
                <w:sz w:val="24"/>
                <w:szCs w:val="24"/>
              </w:rPr>
              <w:t xml:space="preserve">: </w:t>
            </w:r>
            <w:r w:rsidRPr="00D0255E">
              <w:rPr>
                <w:sz w:val="24"/>
                <w:szCs w:val="24"/>
              </w:rPr>
              <w:t xml:space="preserve">Uz štedni ulog od 6.000 kuna i godišnju kamatnu stopu 3 % izračunajte jednostavne kamate i vrijednost štednje kojom će štediša raspolagati nakon godinu dana, ako se primjenjuje anticipativni način obračuna jednostavnih kamata. </w:t>
            </w:r>
          </w:p>
          <w:p w:rsidR="002B0FFE" w:rsidRPr="00D0255E" w:rsidRDefault="002B0FFE" w:rsidP="002B0FFE">
            <w:pPr>
              <w:spacing w:line="276" w:lineRule="auto"/>
              <w:rPr>
                <w:sz w:val="24"/>
                <w:szCs w:val="24"/>
              </w:rPr>
            </w:pPr>
          </w:p>
          <w:p w:rsidR="002B0FFE" w:rsidRPr="00481625" w:rsidRDefault="002B0FFE" w:rsidP="002B0FFE">
            <w:pPr>
              <w:spacing w:line="276" w:lineRule="auto"/>
              <w:rPr>
                <w:bCs/>
                <w:sz w:val="24"/>
                <w:szCs w:val="24"/>
              </w:rPr>
            </w:pPr>
            <w:r w:rsidRPr="00D0255E">
              <w:rPr>
                <w:sz w:val="24"/>
                <w:szCs w:val="24"/>
              </w:rPr>
              <w:t xml:space="preserve">S obzirom da nam je vrijednost </w:t>
            </w:r>
            <w:r w:rsidRPr="00D0255E">
              <w:rPr>
                <w:i/>
                <w:iCs/>
                <w:sz w:val="24"/>
                <w:szCs w:val="24"/>
              </w:rPr>
              <w:t>C</w:t>
            </w:r>
            <w:r w:rsidRPr="00D0255E">
              <w:rPr>
                <w:sz w:val="24"/>
                <w:szCs w:val="24"/>
                <w:vertAlign w:val="subscript"/>
              </w:rPr>
              <w:t>0</w:t>
            </w:r>
            <w:r w:rsidRPr="00D0255E">
              <w:rPr>
                <w:sz w:val="24"/>
                <w:szCs w:val="24"/>
              </w:rPr>
              <w:t xml:space="preserve"> poznata, </w:t>
            </w:r>
            <w:r w:rsidRPr="00D0255E">
              <w:rPr>
                <w:i/>
                <w:iCs/>
                <w:sz w:val="24"/>
                <w:szCs w:val="24"/>
              </w:rPr>
              <w:t>C</w:t>
            </w:r>
            <w:r w:rsidRPr="00D0255E">
              <w:rPr>
                <w:sz w:val="24"/>
                <w:szCs w:val="24"/>
                <w:vertAlign w:val="superscript"/>
              </w:rPr>
              <w:t>0</w:t>
            </w:r>
            <w:r w:rsidRPr="00D0255E">
              <w:rPr>
                <w:sz w:val="24"/>
                <w:szCs w:val="24"/>
              </w:rPr>
              <w:t xml:space="preserve"> </w:t>
            </w:r>
            <w:r w:rsidRPr="00D0255E">
              <w:rPr>
                <w:b/>
                <w:bCs/>
                <w:sz w:val="24"/>
                <w:szCs w:val="24"/>
              </w:rPr>
              <w:t xml:space="preserve">= </w:t>
            </w:r>
            <w:r w:rsidRPr="00D0255E">
              <w:rPr>
                <w:sz w:val="24"/>
                <w:szCs w:val="24"/>
              </w:rPr>
              <w:t xml:space="preserve">6.000, možemo izračunati </w:t>
            </w:r>
            <w:r w:rsidRPr="00481625">
              <w:rPr>
                <w:bCs/>
                <w:sz w:val="24"/>
                <w:szCs w:val="24"/>
              </w:rPr>
              <w:t xml:space="preserve">konačnu </w:t>
            </w:r>
            <w:r w:rsidRPr="00481625">
              <w:rPr>
                <w:bCs/>
                <w:sz w:val="24"/>
                <w:szCs w:val="24"/>
              </w:rPr>
              <w:lastRenderedPageBreak/>
              <w:t xml:space="preserve">vrijednost iznosa na kraju razdoblja (nakon godinu dana) </w:t>
            </w:r>
            <w:r w:rsidRPr="00481625">
              <w:rPr>
                <w:bCs/>
                <w:i/>
                <w:iCs/>
                <w:sz w:val="24"/>
                <w:szCs w:val="24"/>
              </w:rPr>
              <w:t>C</w:t>
            </w:r>
            <w:r w:rsidRPr="00481625">
              <w:rPr>
                <w:bCs/>
                <w:sz w:val="24"/>
                <w:szCs w:val="24"/>
                <w:vertAlign w:val="subscript"/>
              </w:rPr>
              <w:t xml:space="preserve">1 </w:t>
            </w:r>
            <w:r w:rsidRPr="00481625">
              <w:rPr>
                <w:bCs/>
                <w:sz w:val="24"/>
                <w:szCs w:val="24"/>
              </w:rPr>
              <w:t>.</w:t>
            </w:r>
          </w:p>
          <w:p w:rsidR="002B0FFE" w:rsidRPr="00D0255E" w:rsidRDefault="002B0FFE" w:rsidP="002B0FFE">
            <w:pPr>
              <w:spacing w:line="276" w:lineRule="auto"/>
              <w:jc w:val="center"/>
              <w:rPr>
                <w:b/>
                <w:bCs/>
                <w:sz w:val="24"/>
                <w:szCs w:val="24"/>
              </w:rPr>
            </w:pPr>
            <w:r w:rsidRPr="00D0255E">
              <w:rPr>
                <w:b/>
                <w:bCs/>
                <w:noProof/>
                <w:sz w:val="24"/>
                <w:szCs w:val="24"/>
              </w:rPr>
              <w:drawing>
                <wp:inline distT="0" distB="0" distL="0" distR="0" wp14:anchorId="1075C19C" wp14:editId="10913127">
                  <wp:extent cx="4714875" cy="542925"/>
                  <wp:effectExtent l="19050" t="0" r="9525" b="0"/>
                  <wp:docPr id="984" name="Slika 983" descr="Slika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png"/>
                          <pic:cNvPicPr/>
                        </pic:nvPicPr>
                        <pic:blipFill>
                          <a:blip r:embed="rId182" cstate="print"/>
                          <a:stretch>
                            <a:fillRect/>
                          </a:stretch>
                        </pic:blipFill>
                        <pic:spPr>
                          <a:xfrm>
                            <a:off x="0" y="0"/>
                            <a:ext cx="4714875" cy="542925"/>
                          </a:xfrm>
                          <a:prstGeom prst="rect">
                            <a:avLst/>
                          </a:prstGeom>
                        </pic:spPr>
                      </pic:pic>
                    </a:graphicData>
                  </a:graphic>
                </wp:inline>
              </w:drawing>
            </w:r>
          </w:p>
          <w:p w:rsidR="002B0FFE" w:rsidRPr="00D0255E" w:rsidRDefault="002B0FFE" w:rsidP="002B0FFE">
            <w:pPr>
              <w:spacing w:line="276" w:lineRule="auto"/>
              <w:rPr>
                <w:sz w:val="24"/>
                <w:szCs w:val="24"/>
              </w:rPr>
            </w:pPr>
            <w:r w:rsidRPr="00D0255E">
              <w:rPr>
                <w:sz w:val="24"/>
                <w:szCs w:val="24"/>
              </w:rPr>
              <w:t>Navedeno predstavlja iznos kojim će štediša raspolagati nakon godinu dana, što je jednako sumi početnog ulaganja i jednostavnih kamata obračunatih uz anticipativni način obračuna.</w:t>
            </w:r>
          </w:p>
          <w:p w:rsidR="002B0FFE" w:rsidRPr="00D0255E" w:rsidRDefault="002B0FFE" w:rsidP="002B0FFE">
            <w:pPr>
              <w:spacing w:line="276" w:lineRule="auto"/>
              <w:rPr>
                <w:sz w:val="24"/>
                <w:szCs w:val="24"/>
              </w:rPr>
            </w:pPr>
            <w:r w:rsidRPr="00D0255E">
              <w:rPr>
                <w:noProof/>
                <w:sz w:val="24"/>
                <w:szCs w:val="24"/>
              </w:rPr>
              <w:drawing>
                <wp:inline distT="0" distB="0" distL="0" distR="0" wp14:anchorId="2D17507A" wp14:editId="727731B5">
                  <wp:extent cx="4286250" cy="561975"/>
                  <wp:effectExtent l="19050" t="0" r="0" b="0"/>
                  <wp:docPr id="985" name="Slika 984" descr="Slika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png"/>
                          <pic:cNvPicPr/>
                        </pic:nvPicPr>
                        <pic:blipFill>
                          <a:blip r:embed="rId183" cstate="print"/>
                          <a:stretch>
                            <a:fillRect/>
                          </a:stretch>
                        </pic:blipFill>
                        <pic:spPr>
                          <a:xfrm>
                            <a:off x="0" y="0"/>
                            <a:ext cx="4286250" cy="561975"/>
                          </a:xfrm>
                          <a:prstGeom prst="rect">
                            <a:avLst/>
                          </a:prstGeom>
                        </pic:spPr>
                      </pic:pic>
                    </a:graphicData>
                  </a:graphic>
                </wp:inline>
              </w:drawing>
            </w:r>
          </w:p>
          <w:p w:rsidR="00481625" w:rsidRDefault="00481625" w:rsidP="002B0FFE">
            <w:pPr>
              <w:spacing w:line="276" w:lineRule="auto"/>
              <w:rPr>
                <w:sz w:val="24"/>
                <w:szCs w:val="24"/>
              </w:rPr>
            </w:pPr>
          </w:p>
          <w:p w:rsidR="002B0FFE" w:rsidRDefault="002B0FFE" w:rsidP="00481625">
            <w:pPr>
              <w:spacing w:line="276" w:lineRule="auto"/>
              <w:rPr>
                <w:i/>
                <w:iCs/>
                <w:sz w:val="24"/>
                <w:szCs w:val="24"/>
              </w:rPr>
            </w:pPr>
            <w:r w:rsidRPr="00D0255E">
              <w:rPr>
                <w:i/>
                <w:iCs/>
                <w:sz w:val="24"/>
                <w:szCs w:val="24"/>
              </w:rPr>
              <w:t xml:space="preserve">Da </w:t>
            </w:r>
            <w:r w:rsidR="00481625">
              <w:rPr>
                <w:i/>
                <w:iCs/>
                <w:sz w:val="24"/>
                <w:szCs w:val="24"/>
              </w:rPr>
              <w:t xml:space="preserve">je u </w:t>
            </w:r>
            <w:r w:rsidRPr="00D0255E">
              <w:rPr>
                <w:i/>
                <w:iCs/>
                <w:sz w:val="24"/>
                <w:szCs w:val="24"/>
              </w:rPr>
              <w:t xml:space="preserve"> istom primjeru kori</w:t>
            </w:r>
            <w:r w:rsidR="00481625">
              <w:rPr>
                <w:i/>
                <w:iCs/>
                <w:sz w:val="24"/>
                <w:szCs w:val="24"/>
              </w:rPr>
              <w:t>šten</w:t>
            </w:r>
            <w:r w:rsidRPr="00D0255E">
              <w:rPr>
                <w:i/>
                <w:iCs/>
                <w:sz w:val="24"/>
                <w:szCs w:val="24"/>
              </w:rPr>
              <w:t>i dekurzivni način obračuna kamata, kamate bi iznosile 180 kuna.</w:t>
            </w:r>
          </w:p>
          <w:p w:rsidR="00481625" w:rsidRDefault="00481625" w:rsidP="00481625">
            <w:pPr>
              <w:spacing w:line="276" w:lineRule="auto"/>
              <w:rPr>
                <w:i/>
                <w:iCs/>
                <w:sz w:val="24"/>
                <w:szCs w:val="24"/>
              </w:rPr>
            </w:pPr>
          </w:p>
          <w:p w:rsidR="00481625" w:rsidRDefault="00481625" w:rsidP="00481625">
            <w:pPr>
              <w:spacing w:line="276" w:lineRule="auto"/>
              <w:jc w:val="center"/>
            </w:pPr>
            <w:r>
              <w:rPr>
                <w:rFonts w:asciiTheme="minorHAnsi" w:eastAsiaTheme="minorHAnsi" w:hAnsiTheme="minorHAnsi" w:cstheme="minorBidi"/>
                <w:sz w:val="22"/>
                <w:szCs w:val="22"/>
                <w:lang w:eastAsia="en-US"/>
              </w:rPr>
              <w:object w:dxaOrig="8400" w:dyaOrig="5025">
                <v:shape id="_x0000_i1064" type="#_x0000_t75" style="width:420pt;height:251.25pt" o:ole="">
                  <v:imagedata r:id="rId184" o:title=""/>
                </v:shape>
                <o:OLEObject Type="Embed" ProgID="PBrush" ShapeID="_x0000_i1064" DrawAspect="Content" ObjectID="_1505681392" r:id="rId185"/>
              </w:object>
            </w:r>
          </w:p>
          <w:p w:rsidR="00481625" w:rsidRPr="00D0255E" w:rsidRDefault="00481625" w:rsidP="00481625">
            <w:pPr>
              <w:spacing w:before="480" w:line="276" w:lineRule="auto"/>
              <w:rPr>
                <w:sz w:val="24"/>
                <w:szCs w:val="24"/>
              </w:rPr>
            </w:pPr>
            <w:r w:rsidRPr="00481625">
              <w:rPr>
                <w:bCs/>
                <w:i/>
                <w:iCs/>
                <w:color w:val="C00000"/>
                <w:sz w:val="24"/>
                <w:szCs w:val="24"/>
              </w:rPr>
              <w:t>Primjer</w:t>
            </w:r>
            <w:r w:rsidRPr="00481625">
              <w:rPr>
                <w:i/>
                <w:iCs/>
                <w:color w:val="C00000"/>
                <w:sz w:val="24"/>
                <w:szCs w:val="24"/>
              </w:rPr>
              <w:t xml:space="preserve">: </w:t>
            </w:r>
            <w:r w:rsidRPr="00D0255E">
              <w:rPr>
                <w:sz w:val="24"/>
                <w:szCs w:val="24"/>
              </w:rPr>
              <w:t>Ana Anić uložila je u banku 7.500 kuna na rok deset godina. Kolika je vrijednost tog uloga na kraju pete godine, a kolika na kraju desete godine, ako je obračun kamata složen, godišnji i anticipativan uz godišnji kamatnjak 2 %.</w:t>
            </w:r>
          </w:p>
          <w:p w:rsidR="00481625" w:rsidRPr="00D0255E" w:rsidRDefault="00481625" w:rsidP="00481625">
            <w:pPr>
              <w:spacing w:line="276" w:lineRule="auto"/>
              <w:rPr>
                <w:sz w:val="24"/>
                <w:szCs w:val="24"/>
              </w:rPr>
            </w:pPr>
          </w:p>
          <w:p w:rsidR="00481625" w:rsidRPr="00481625" w:rsidRDefault="00481625" w:rsidP="00481625">
            <w:pPr>
              <w:spacing w:line="276" w:lineRule="auto"/>
              <w:rPr>
                <w:sz w:val="24"/>
                <w:szCs w:val="24"/>
              </w:rPr>
            </w:pPr>
            <w:r w:rsidRPr="00D0255E">
              <w:rPr>
                <w:noProof/>
                <w:sz w:val="24"/>
                <w:szCs w:val="24"/>
              </w:rPr>
              <w:drawing>
                <wp:inline distT="0" distB="0" distL="0" distR="0" wp14:anchorId="61BAE157" wp14:editId="5963B8B8">
                  <wp:extent cx="5448300" cy="1295400"/>
                  <wp:effectExtent l="19050" t="0" r="0" b="0"/>
                  <wp:docPr id="987" name="Slika 986" descr="Slika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png"/>
                          <pic:cNvPicPr/>
                        </pic:nvPicPr>
                        <pic:blipFill>
                          <a:blip r:embed="rId186" cstate="print"/>
                          <a:stretch>
                            <a:fillRect/>
                          </a:stretch>
                        </pic:blipFill>
                        <pic:spPr>
                          <a:xfrm>
                            <a:off x="0" y="0"/>
                            <a:ext cx="5448300" cy="1295400"/>
                          </a:xfrm>
                          <a:prstGeom prst="rect">
                            <a:avLst/>
                          </a:prstGeom>
                        </pic:spPr>
                      </pic:pic>
                    </a:graphicData>
                  </a:graphic>
                </wp:inline>
              </w:drawing>
            </w:r>
          </w:p>
        </w:tc>
      </w:tr>
      <w:tr w:rsidR="002B0FFE" w:rsidTr="002B0FFE">
        <w:tc>
          <w:tcPr>
            <w:tcW w:w="9288" w:type="dxa"/>
          </w:tcPr>
          <w:p w:rsidR="002B0FFE" w:rsidRDefault="00481625" w:rsidP="001A23EC">
            <w:pPr>
              <w:tabs>
                <w:tab w:val="left" w:pos="1575"/>
              </w:tabs>
              <w:jc w:val="both"/>
              <w:rPr>
                <w:iCs/>
                <w:sz w:val="24"/>
                <w:szCs w:val="24"/>
              </w:rPr>
            </w:pPr>
            <w:r>
              <w:rPr>
                <w:rFonts w:asciiTheme="minorHAnsi" w:hAnsiTheme="minorHAnsi"/>
                <w:noProof/>
              </w:rPr>
              <w:lastRenderedPageBreak/>
              <w:t xml:space="preserve">* </w:t>
            </w:r>
            <w:r w:rsidR="001A23EC">
              <w:rPr>
                <w:rFonts w:asciiTheme="minorHAnsi" w:hAnsiTheme="minorHAnsi"/>
                <w:noProof/>
              </w:rPr>
              <w:t>Cjelokpni tekst p</w:t>
            </w:r>
            <w:r w:rsidRPr="00240640">
              <w:rPr>
                <w:rFonts w:asciiTheme="minorHAnsi" w:hAnsiTheme="minorHAnsi"/>
                <w:noProof/>
              </w:rPr>
              <w:t>reuzet iz: Ivanov, M.; Maroshi, V. (2014.) „Bankarstvo i osiguranje“, radna bilježnica za treći razred srednje ekonomske škole,  Alka Script, 2014.</w:t>
            </w:r>
            <w:r w:rsidR="00D467E7">
              <w:rPr>
                <w:rFonts w:asciiTheme="minorHAnsi" w:hAnsiTheme="minorHAnsi"/>
                <w:noProof/>
              </w:rPr>
              <w:t xml:space="preserve"> </w:t>
            </w:r>
            <w:r w:rsidR="00D467E7" w:rsidRPr="00240640">
              <w:rPr>
                <w:rFonts w:asciiTheme="minorHAnsi" w:hAnsiTheme="minorHAnsi"/>
                <w:noProof/>
              </w:rPr>
              <w:t>U izradi radne bilježnice korišena su objašnjenja iz udžbenika „Matematika“, autora Šego, B. (izdvač Neodidakta, 1998.)</w:t>
            </w:r>
          </w:p>
        </w:tc>
      </w:tr>
    </w:tbl>
    <w:p w:rsidR="008E14A6" w:rsidRPr="008C61A9" w:rsidRDefault="008E14A6" w:rsidP="008E14A6">
      <w:pPr>
        <w:tabs>
          <w:tab w:val="left" w:pos="1575"/>
        </w:tabs>
        <w:rPr>
          <w:rFonts w:cs="Times New Roman"/>
          <w:b/>
          <w:iCs/>
          <w:sz w:val="24"/>
          <w:szCs w:val="24"/>
        </w:rPr>
      </w:pPr>
      <w:r w:rsidRPr="008C61A9">
        <w:rPr>
          <w:rFonts w:cs="Times New Roman"/>
          <w:b/>
          <w:iCs/>
          <w:sz w:val="24"/>
          <w:szCs w:val="24"/>
        </w:rPr>
        <w:lastRenderedPageBreak/>
        <w:t>4. DONOŠENJE ODLUKA O KUPOVINI</w:t>
      </w:r>
      <w:r w:rsidR="00794C41">
        <w:rPr>
          <w:rFonts w:cs="Times New Roman"/>
          <w:b/>
          <w:iCs/>
          <w:sz w:val="24"/>
          <w:szCs w:val="24"/>
        </w:rPr>
        <w:t>, NAČINU PLAĆANJA</w:t>
      </w:r>
      <w:r w:rsidRPr="008C61A9">
        <w:rPr>
          <w:rFonts w:cs="Times New Roman"/>
          <w:b/>
          <w:iCs/>
          <w:sz w:val="24"/>
          <w:szCs w:val="24"/>
        </w:rPr>
        <w:t xml:space="preserve"> I ZADUŽIVANJU</w:t>
      </w:r>
    </w:p>
    <w:p w:rsidR="00B8611C" w:rsidRDefault="00B8611C" w:rsidP="001A23EC">
      <w:pPr>
        <w:tabs>
          <w:tab w:val="left" w:pos="1575"/>
        </w:tabs>
        <w:jc w:val="both"/>
        <w:rPr>
          <w:rFonts w:cs="Times New Roman"/>
          <w:iCs/>
          <w:sz w:val="24"/>
          <w:szCs w:val="24"/>
        </w:rPr>
      </w:pPr>
      <w:r>
        <w:rPr>
          <w:rFonts w:cs="Times New Roman"/>
          <w:iCs/>
          <w:sz w:val="24"/>
          <w:szCs w:val="24"/>
        </w:rPr>
        <w:t xml:space="preserve">U svakodnevnom životu pojedinac donosi brojne odluke o kupovini dobara i usluga. Većina njih vezana je uz zadovoljavanje temeljnih životnih potreba uključujući nabavku hrane, plaćanje izdataka vezanih uz stanovanje, kupovinu odjeće i obuće, kao i povremene izdatke za kupnju tajnih potrošnih dobara od hladnjaka i televizora do automobila. Izdaci kućanstva vezuju se i uz investicije u financijsku i/ili realnu imovinu, uključujući ulaganje u dionice, stanove, kuće i vikendice, kupnju građevinskog ili poljoprivrednog zemljišta, ulaganje u investicijsko zlato itd. </w:t>
      </w:r>
    </w:p>
    <w:p w:rsidR="00CC6A13" w:rsidRDefault="00B8611C" w:rsidP="009B3243">
      <w:pPr>
        <w:tabs>
          <w:tab w:val="left" w:pos="1575"/>
        </w:tabs>
        <w:jc w:val="both"/>
        <w:rPr>
          <w:rFonts w:cs="Times New Roman"/>
          <w:iCs/>
          <w:sz w:val="24"/>
          <w:szCs w:val="24"/>
        </w:rPr>
      </w:pPr>
      <w:r>
        <w:rPr>
          <w:rFonts w:cs="Times New Roman"/>
          <w:iCs/>
          <w:sz w:val="24"/>
          <w:szCs w:val="24"/>
        </w:rPr>
        <w:t xml:space="preserve">Aktivnosti potrošnje i investicija mogu se </w:t>
      </w:r>
      <w:r w:rsidRPr="009B3243">
        <w:rPr>
          <w:rFonts w:cs="Times New Roman"/>
          <w:iCs/>
          <w:color w:val="C00000"/>
          <w:sz w:val="24"/>
          <w:szCs w:val="24"/>
        </w:rPr>
        <w:t>financirati iz vlastitih izvora</w:t>
      </w:r>
      <w:r>
        <w:rPr>
          <w:rFonts w:cs="Times New Roman"/>
          <w:iCs/>
          <w:sz w:val="24"/>
          <w:szCs w:val="24"/>
        </w:rPr>
        <w:t>, uključujući tekuće prihode i ra</w:t>
      </w:r>
      <w:r w:rsidR="00CC6A13">
        <w:rPr>
          <w:rFonts w:cs="Times New Roman"/>
          <w:iCs/>
          <w:sz w:val="24"/>
          <w:szCs w:val="24"/>
        </w:rPr>
        <w:t xml:space="preserve">nije kumuliranu novčanu štednju te novčana sredstava pribavljena prodajom određene nenovčane imovine. </w:t>
      </w:r>
      <w:r>
        <w:rPr>
          <w:rFonts w:cs="Times New Roman"/>
          <w:iCs/>
          <w:sz w:val="24"/>
          <w:szCs w:val="24"/>
        </w:rPr>
        <w:t xml:space="preserve">Također se mogu </w:t>
      </w:r>
      <w:r w:rsidRPr="009B3243">
        <w:rPr>
          <w:rFonts w:cs="Times New Roman"/>
          <w:iCs/>
          <w:color w:val="C00000"/>
          <w:sz w:val="24"/>
          <w:szCs w:val="24"/>
        </w:rPr>
        <w:t xml:space="preserve">financirat iz sredstava stečenih pozajmljivanjem </w:t>
      </w:r>
      <w:r w:rsidR="009B2F94" w:rsidRPr="009B2F94">
        <w:rPr>
          <w:rFonts w:cs="Times New Roman"/>
          <w:iCs/>
          <w:sz w:val="24"/>
          <w:szCs w:val="24"/>
        </w:rPr>
        <w:t xml:space="preserve">(povećanjem obveza) </w:t>
      </w:r>
      <w:r>
        <w:rPr>
          <w:rFonts w:cs="Times New Roman"/>
          <w:iCs/>
          <w:sz w:val="24"/>
          <w:szCs w:val="24"/>
        </w:rPr>
        <w:t>uključujući kredite banaka i stambenih štedionica, kredite koji se realiziraju preko kreditnih unija</w:t>
      </w:r>
      <w:r w:rsidR="009B3243">
        <w:rPr>
          <w:rFonts w:cs="Times New Roman"/>
          <w:iCs/>
          <w:sz w:val="24"/>
          <w:szCs w:val="24"/>
        </w:rPr>
        <w:t xml:space="preserve">, </w:t>
      </w:r>
      <w:r w:rsidR="00CC6A13">
        <w:rPr>
          <w:rFonts w:cs="Times New Roman"/>
          <w:iCs/>
          <w:sz w:val="24"/>
          <w:szCs w:val="24"/>
        </w:rPr>
        <w:t xml:space="preserve">beskamatne </w:t>
      </w:r>
      <w:r w:rsidR="009B3243">
        <w:rPr>
          <w:rFonts w:cs="Times New Roman"/>
          <w:iCs/>
          <w:sz w:val="24"/>
          <w:szCs w:val="24"/>
        </w:rPr>
        <w:t>obročne otplate i potrošačke kredite koje odobravaju prodajna mjesta ili proizvođači</w:t>
      </w:r>
      <w:r w:rsidR="00CC6A13">
        <w:rPr>
          <w:rFonts w:cs="Times New Roman"/>
          <w:iCs/>
          <w:sz w:val="24"/>
          <w:szCs w:val="24"/>
        </w:rPr>
        <w:t>, korištenjem revolving kredita po kreditnim karticama, odgođenom naplatom po charge karticama</w:t>
      </w:r>
      <w:r>
        <w:rPr>
          <w:rFonts w:cs="Times New Roman"/>
          <w:iCs/>
          <w:sz w:val="24"/>
          <w:szCs w:val="24"/>
        </w:rPr>
        <w:t xml:space="preserve"> itd., kao i pozajmljivanja iz drugih izvora npr. od rodbine ili prijatelja. </w:t>
      </w:r>
      <w:r w:rsidR="00CC6A13">
        <w:rPr>
          <w:rFonts w:cs="Times New Roman"/>
          <w:iCs/>
          <w:sz w:val="24"/>
          <w:szCs w:val="24"/>
        </w:rPr>
        <w:t xml:space="preserve">Svaka odluka o zaduživanju, odnosno kumuliranju obveza treba se adekvatno planirati, a u tu svrhu potrebno je planirati potrošnju i investicijske aktivnosti kućanstva. </w:t>
      </w:r>
      <w:r w:rsidR="00DD6CDD">
        <w:rPr>
          <w:rFonts w:cs="Times New Roman"/>
          <w:iCs/>
          <w:sz w:val="24"/>
          <w:szCs w:val="24"/>
        </w:rPr>
        <w:t xml:space="preserve">Međutim, namjere pojedinca da ostvare financijske ciljeve i racionalno upravljaju izdacima kućanstva svakodnevno su izložene izazovu da troše više, kupujući robe i usluge koje im možda nisu prijeko potrebne, a jedan od faktora koji tome pridonosi je učestalost reklamnog sadržaja i različitih metoda unaprjeđenja prodaje koje imaju sugestivnu i manipulativnu moć u utjecaju na ponašanje potrošača. </w:t>
      </w:r>
    </w:p>
    <w:p w:rsidR="003174AA" w:rsidRPr="003174AA" w:rsidRDefault="003174AA" w:rsidP="00EF2766">
      <w:pPr>
        <w:widowControl w:val="0"/>
        <w:overflowPunct w:val="0"/>
        <w:autoSpaceDE w:val="0"/>
        <w:autoSpaceDN w:val="0"/>
        <w:adjustRightInd w:val="0"/>
        <w:spacing w:before="240" w:line="240" w:lineRule="auto"/>
        <w:jc w:val="both"/>
        <w:rPr>
          <w:rFonts w:cs="Times New Roman"/>
          <w:b/>
          <w:iCs/>
          <w:sz w:val="24"/>
          <w:szCs w:val="24"/>
        </w:rPr>
      </w:pPr>
      <w:r w:rsidRPr="003174AA">
        <w:rPr>
          <w:rFonts w:cs="Times New Roman"/>
          <w:b/>
          <w:iCs/>
          <w:sz w:val="24"/>
          <w:szCs w:val="24"/>
        </w:rPr>
        <w:t>4.1. Planiranje kupovine potrošnih dobara i trajnih dobara</w:t>
      </w:r>
      <w:r w:rsidR="00EF2766">
        <w:rPr>
          <w:rFonts w:cs="Times New Roman"/>
          <w:b/>
          <w:iCs/>
          <w:sz w:val="24"/>
          <w:szCs w:val="24"/>
        </w:rPr>
        <w:t xml:space="preserve"> – izbjegavanje stihijske i emotivne kupnje</w:t>
      </w:r>
    </w:p>
    <w:p w:rsidR="0010085D" w:rsidRPr="00F4562D" w:rsidRDefault="00DD6CDD" w:rsidP="00E649BD">
      <w:pPr>
        <w:widowControl w:val="0"/>
        <w:overflowPunct w:val="0"/>
        <w:autoSpaceDE w:val="0"/>
        <w:autoSpaceDN w:val="0"/>
        <w:adjustRightInd w:val="0"/>
        <w:jc w:val="both"/>
        <w:rPr>
          <w:rFonts w:cs="Times New Roman"/>
          <w:iCs/>
          <w:sz w:val="24"/>
          <w:szCs w:val="24"/>
        </w:rPr>
      </w:pPr>
      <w:r>
        <w:rPr>
          <w:rFonts w:cs="Times New Roman"/>
          <w:iCs/>
          <w:sz w:val="24"/>
          <w:szCs w:val="24"/>
        </w:rPr>
        <w:t xml:space="preserve">Kroz posljednjih trideset godina, </w:t>
      </w:r>
      <w:r w:rsidR="0048391D">
        <w:rPr>
          <w:rFonts w:cs="Times New Roman"/>
          <w:iCs/>
          <w:sz w:val="24"/>
          <w:szCs w:val="24"/>
        </w:rPr>
        <w:t xml:space="preserve">prakse </w:t>
      </w:r>
      <w:r w:rsidR="003174AA" w:rsidRPr="00F4562D">
        <w:rPr>
          <w:rFonts w:cs="Times New Roman"/>
          <w:iCs/>
          <w:sz w:val="24"/>
          <w:szCs w:val="24"/>
        </w:rPr>
        <w:t xml:space="preserve">marketinga i </w:t>
      </w:r>
      <w:r w:rsidR="003174AA" w:rsidRPr="00F4562D">
        <w:rPr>
          <w:rFonts w:cs="Times New Roman"/>
          <w:iCs/>
          <w:color w:val="C00000"/>
          <w:sz w:val="24"/>
          <w:szCs w:val="24"/>
        </w:rPr>
        <w:t xml:space="preserve">upravljanja ponašanjem potrošača </w:t>
      </w:r>
      <w:r w:rsidR="00801F02" w:rsidRPr="00F4562D">
        <w:rPr>
          <w:rFonts w:cs="Times New Roman"/>
          <w:iCs/>
          <w:sz w:val="24"/>
          <w:szCs w:val="24"/>
        </w:rPr>
        <w:t>razvile</w:t>
      </w:r>
      <w:r w:rsidR="003174AA" w:rsidRPr="00F4562D">
        <w:rPr>
          <w:rFonts w:cs="Times New Roman"/>
          <w:iCs/>
          <w:sz w:val="24"/>
          <w:szCs w:val="24"/>
        </w:rPr>
        <w:t xml:space="preserve"> </w:t>
      </w:r>
      <w:r>
        <w:rPr>
          <w:rFonts w:cs="Times New Roman"/>
          <w:iCs/>
          <w:sz w:val="24"/>
          <w:szCs w:val="24"/>
        </w:rPr>
        <w:t xml:space="preserve">su </w:t>
      </w:r>
      <w:r w:rsidR="003174AA" w:rsidRPr="00F4562D">
        <w:rPr>
          <w:rFonts w:cs="Times New Roman"/>
          <w:iCs/>
          <w:sz w:val="24"/>
          <w:szCs w:val="24"/>
        </w:rPr>
        <w:t xml:space="preserve">niz tehnika i metoda </w:t>
      </w:r>
      <w:r w:rsidR="0075005B" w:rsidRPr="00F4562D">
        <w:rPr>
          <w:rFonts w:cs="Times New Roman"/>
          <w:iCs/>
          <w:sz w:val="24"/>
          <w:szCs w:val="24"/>
        </w:rPr>
        <w:t xml:space="preserve">s ciljem </w:t>
      </w:r>
      <w:r w:rsidR="003174AA" w:rsidRPr="00F4562D">
        <w:rPr>
          <w:rFonts w:cs="Times New Roman"/>
          <w:iCs/>
          <w:sz w:val="24"/>
          <w:szCs w:val="24"/>
        </w:rPr>
        <w:t>unapređenja prodaje</w:t>
      </w:r>
      <w:r>
        <w:rPr>
          <w:rFonts w:cs="Times New Roman"/>
          <w:iCs/>
          <w:sz w:val="24"/>
          <w:szCs w:val="24"/>
        </w:rPr>
        <w:t xml:space="preserve">. One </w:t>
      </w:r>
      <w:r w:rsidR="002F7D65">
        <w:rPr>
          <w:rFonts w:cs="Times New Roman"/>
          <w:iCs/>
          <w:sz w:val="24"/>
          <w:szCs w:val="24"/>
        </w:rPr>
        <w:t>se</w:t>
      </w:r>
      <w:r>
        <w:rPr>
          <w:rFonts w:cs="Times New Roman"/>
          <w:iCs/>
          <w:sz w:val="24"/>
          <w:szCs w:val="24"/>
        </w:rPr>
        <w:t xml:space="preserve"> na vrlo sličan način </w:t>
      </w:r>
      <w:r w:rsidR="002F7D65">
        <w:rPr>
          <w:rFonts w:cs="Times New Roman"/>
          <w:iCs/>
          <w:sz w:val="24"/>
          <w:szCs w:val="24"/>
        </w:rPr>
        <w:t xml:space="preserve">koriste </w:t>
      </w:r>
      <w:r w:rsidR="00631B7D">
        <w:rPr>
          <w:rFonts w:cs="Times New Roman"/>
          <w:iCs/>
          <w:sz w:val="24"/>
          <w:szCs w:val="24"/>
        </w:rPr>
        <w:t>u slučaju proizvoda namijenjenih svakodnevnoj i trajnoj potrošnji</w:t>
      </w:r>
      <w:r w:rsidR="006D44D1">
        <w:rPr>
          <w:rFonts w:cs="Times New Roman"/>
          <w:iCs/>
          <w:sz w:val="24"/>
          <w:szCs w:val="24"/>
        </w:rPr>
        <w:t>,</w:t>
      </w:r>
      <w:r w:rsidR="00631B7D">
        <w:rPr>
          <w:rFonts w:cs="Times New Roman"/>
          <w:iCs/>
          <w:sz w:val="24"/>
          <w:szCs w:val="24"/>
        </w:rPr>
        <w:t xml:space="preserve"> </w:t>
      </w:r>
      <w:r w:rsidR="002F7D65">
        <w:rPr>
          <w:rFonts w:cs="Times New Roman"/>
          <w:iCs/>
          <w:sz w:val="24"/>
          <w:szCs w:val="24"/>
        </w:rPr>
        <w:t xml:space="preserve">kao </w:t>
      </w:r>
      <w:r w:rsidR="0048391D">
        <w:rPr>
          <w:rFonts w:cs="Times New Roman"/>
          <w:iCs/>
          <w:sz w:val="24"/>
          <w:szCs w:val="24"/>
        </w:rPr>
        <w:t xml:space="preserve">i </w:t>
      </w:r>
      <w:r w:rsidR="00631B7D">
        <w:rPr>
          <w:rFonts w:cs="Times New Roman"/>
          <w:iCs/>
          <w:sz w:val="24"/>
          <w:szCs w:val="24"/>
        </w:rPr>
        <w:t xml:space="preserve">u slučaju financijskih proizvoda – od onih namijenjenih štednji (npr. životnog osiguranja) i zaduživanju (krediti banaka i kreditne kartice) do onih koji se vežu uz financijske </w:t>
      </w:r>
      <w:r w:rsidR="00F83F19">
        <w:rPr>
          <w:rFonts w:cs="Times New Roman"/>
          <w:iCs/>
          <w:sz w:val="24"/>
          <w:szCs w:val="24"/>
        </w:rPr>
        <w:t xml:space="preserve">i realne </w:t>
      </w:r>
      <w:r w:rsidR="00631B7D">
        <w:rPr>
          <w:rFonts w:cs="Times New Roman"/>
          <w:iCs/>
          <w:sz w:val="24"/>
          <w:szCs w:val="24"/>
        </w:rPr>
        <w:t>investicije</w:t>
      </w:r>
      <w:r w:rsidR="00F83F19">
        <w:rPr>
          <w:rFonts w:cs="Times New Roman"/>
          <w:iCs/>
          <w:sz w:val="24"/>
          <w:szCs w:val="24"/>
        </w:rPr>
        <w:t xml:space="preserve"> (npr. ulaganje u investicijsko zlato, srebro itd.)</w:t>
      </w:r>
      <w:r w:rsidR="002F7D65">
        <w:rPr>
          <w:rFonts w:cs="Times New Roman"/>
          <w:iCs/>
          <w:sz w:val="24"/>
          <w:szCs w:val="24"/>
        </w:rPr>
        <w:t xml:space="preserve">. U tu svrhu koriste se </w:t>
      </w:r>
      <w:r w:rsidR="003174AA" w:rsidRPr="00F4562D">
        <w:rPr>
          <w:rFonts w:cs="Times New Roman"/>
          <w:iCs/>
          <w:sz w:val="24"/>
          <w:szCs w:val="24"/>
        </w:rPr>
        <w:t>istraživanja potrošača</w:t>
      </w:r>
      <w:r w:rsidR="002F7D65">
        <w:rPr>
          <w:rFonts w:cs="Times New Roman"/>
          <w:iCs/>
          <w:sz w:val="24"/>
          <w:szCs w:val="24"/>
        </w:rPr>
        <w:t xml:space="preserve">, </w:t>
      </w:r>
      <w:r w:rsidR="003174AA" w:rsidRPr="00F4562D">
        <w:rPr>
          <w:rFonts w:cs="Times New Roman"/>
          <w:iCs/>
          <w:sz w:val="24"/>
          <w:szCs w:val="24"/>
        </w:rPr>
        <w:t xml:space="preserve">marketinške strategije te </w:t>
      </w:r>
      <w:r w:rsidR="003174AA" w:rsidRPr="00F4562D">
        <w:rPr>
          <w:rFonts w:cs="Times New Roman"/>
          <w:iCs/>
          <w:color w:val="C00000"/>
          <w:sz w:val="24"/>
          <w:szCs w:val="24"/>
        </w:rPr>
        <w:t xml:space="preserve">znanja iz psihologije </w:t>
      </w:r>
      <w:r w:rsidR="002F7D65">
        <w:rPr>
          <w:rFonts w:cs="Times New Roman"/>
          <w:iCs/>
          <w:color w:val="C00000"/>
          <w:sz w:val="24"/>
          <w:szCs w:val="24"/>
        </w:rPr>
        <w:t xml:space="preserve">i </w:t>
      </w:r>
      <w:r w:rsidR="003174AA" w:rsidRPr="00F4562D">
        <w:rPr>
          <w:rFonts w:cs="Times New Roman"/>
          <w:iCs/>
          <w:color w:val="C00000"/>
          <w:sz w:val="24"/>
          <w:szCs w:val="24"/>
        </w:rPr>
        <w:t>biheviorističke teorije</w:t>
      </w:r>
      <w:r w:rsidR="002F7D65">
        <w:rPr>
          <w:rFonts w:cs="Times New Roman"/>
          <w:iCs/>
          <w:sz w:val="24"/>
          <w:szCs w:val="24"/>
        </w:rPr>
        <w:t xml:space="preserve"> koja</w:t>
      </w:r>
      <w:r w:rsidR="003174AA" w:rsidRPr="00F4562D">
        <w:rPr>
          <w:rFonts w:cs="Times New Roman"/>
          <w:iCs/>
          <w:sz w:val="24"/>
          <w:szCs w:val="24"/>
        </w:rPr>
        <w:t xml:space="preserve"> imaju za cilj </w:t>
      </w:r>
      <w:r w:rsidR="0075005B" w:rsidRPr="00F4562D">
        <w:rPr>
          <w:rFonts w:cs="Times New Roman"/>
          <w:iCs/>
          <w:sz w:val="24"/>
          <w:szCs w:val="24"/>
        </w:rPr>
        <w:t xml:space="preserve">ne samo </w:t>
      </w:r>
      <w:r w:rsidR="003174AA" w:rsidRPr="00F4562D">
        <w:rPr>
          <w:rFonts w:cs="Times New Roman"/>
          <w:iCs/>
          <w:sz w:val="24"/>
          <w:szCs w:val="24"/>
        </w:rPr>
        <w:t xml:space="preserve">razumjeti </w:t>
      </w:r>
      <w:r w:rsidR="00EF3AAA">
        <w:rPr>
          <w:rFonts w:cs="Times New Roman"/>
          <w:iCs/>
          <w:sz w:val="24"/>
          <w:szCs w:val="24"/>
        </w:rPr>
        <w:t xml:space="preserve">motive i </w:t>
      </w:r>
      <w:r w:rsidR="003174AA" w:rsidRPr="00F4562D">
        <w:rPr>
          <w:rFonts w:cs="Times New Roman"/>
          <w:iCs/>
          <w:sz w:val="24"/>
          <w:szCs w:val="24"/>
        </w:rPr>
        <w:t>ponašanje potrošača</w:t>
      </w:r>
      <w:r w:rsidR="002F7D65" w:rsidRPr="00F4562D">
        <w:rPr>
          <w:rFonts w:cs="Times New Roman"/>
          <w:iCs/>
          <w:sz w:val="24"/>
          <w:szCs w:val="24"/>
        </w:rPr>
        <w:t xml:space="preserve">, </w:t>
      </w:r>
      <w:r w:rsidR="002F7D65">
        <w:rPr>
          <w:rFonts w:cs="Times New Roman"/>
          <w:iCs/>
          <w:sz w:val="24"/>
          <w:szCs w:val="24"/>
        </w:rPr>
        <w:t>nego i utjecati na njihovo</w:t>
      </w:r>
      <w:r w:rsidR="0075005B" w:rsidRPr="00F4562D">
        <w:rPr>
          <w:rFonts w:cs="Times New Roman"/>
          <w:iCs/>
          <w:sz w:val="24"/>
          <w:szCs w:val="24"/>
        </w:rPr>
        <w:t xml:space="preserve">  ponašanje. </w:t>
      </w:r>
      <w:r w:rsidR="0010085D" w:rsidRPr="00F4562D">
        <w:rPr>
          <w:rFonts w:cs="Times New Roman"/>
          <w:iCs/>
          <w:sz w:val="24"/>
          <w:szCs w:val="24"/>
        </w:rPr>
        <w:t xml:space="preserve">Smisao je </w:t>
      </w:r>
      <w:r w:rsidR="00EF3AAA">
        <w:rPr>
          <w:rFonts w:cs="Times New Roman"/>
          <w:iCs/>
          <w:sz w:val="24"/>
          <w:szCs w:val="24"/>
        </w:rPr>
        <w:t xml:space="preserve">prvenstveno </w:t>
      </w:r>
      <w:r w:rsidR="003174AA" w:rsidRPr="00F4562D">
        <w:rPr>
          <w:rFonts w:cs="Times New Roman"/>
          <w:iCs/>
          <w:sz w:val="24"/>
          <w:szCs w:val="24"/>
        </w:rPr>
        <w:t xml:space="preserve">prepoznati i zadovoljiti potrebe </w:t>
      </w:r>
      <w:r w:rsidR="0010085D" w:rsidRPr="00F4562D">
        <w:rPr>
          <w:rFonts w:cs="Times New Roman"/>
          <w:iCs/>
          <w:sz w:val="24"/>
          <w:szCs w:val="24"/>
        </w:rPr>
        <w:t xml:space="preserve">potrošača </w:t>
      </w:r>
      <w:r w:rsidR="003174AA" w:rsidRPr="00F4562D">
        <w:rPr>
          <w:rFonts w:cs="Times New Roman"/>
          <w:iCs/>
          <w:sz w:val="24"/>
          <w:szCs w:val="24"/>
        </w:rPr>
        <w:t xml:space="preserve">kroz prilagođavanje proizvoda i usluga, </w:t>
      </w:r>
      <w:r w:rsidR="0010085D" w:rsidRPr="00F4562D">
        <w:rPr>
          <w:rFonts w:cs="Times New Roman"/>
          <w:iCs/>
          <w:sz w:val="24"/>
          <w:szCs w:val="24"/>
        </w:rPr>
        <w:t xml:space="preserve">prilagođavanje </w:t>
      </w:r>
      <w:r w:rsidR="003174AA" w:rsidRPr="00F4562D">
        <w:rPr>
          <w:rFonts w:cs="Times New Roman"/>
          <w:iCs/>
          <w:sz w:val="24"/>
          <w:szCs w:val="24"/>
        </w:rPr>
        <w:t>načina njihove distribucije</w:t>
      </w:r>
      <w:r w:rsidR="0010085D" w:rsidRPr="00F4562D">
        <w:rPr>
          <w:rFonts w:cs="Times New Roman"/>
          <w:iCs/>
          <w:sz w:val="24"/>
          <w:szCs w:val="24"/>
        </w:rPr>
        <w:t xml:space="preserve"> kako bi se smanjile fizičke ili druge barijere</w:t>
      </w:r>
      <w:r w:rsidR="00F83F19">
        <w:rPr>
          <w:rFonts w:cs="Times New Roman"/>
          <w:iCs/>
          <w:sz w:val="24"/>
          <w:szCs w:val="24"/>
        </w:rPr>
        <w:t xml:space="preserve"> (što su sve pozitivni elementi), ali i </w:t>
      </w:r>
      <w:r w:rsidR="003174AA" w:rsidRPr="00F4562D">
        <w:rPr>
          <w:rFonts w:cs="Times New Roman"/>
          <w:iCs/>
          <w:sz w:val="24"/>
          <w:szCs w:val="24"/>
        </w:rPr>
        <w:t>stvaranje ambijenta za razvoj pozitivnih emocija spram kupnje</w:t>
      </w:r>
      <w:r w:rsidR="006D44D1">
        <w:rPr>
          <w:rFonts w:cs="Times New Roman"/>
          <w:iCs/>
          <w:sz w:val="24"/>
          <w:szCs w:val="24"/>
        </w:rPr>
        <w:t>,</w:t>
      </w:r>
      <w:r w:rsidR="003174AA" w:rsidRPr="00F4562D">
        <w:rPr>
          <w:rFonts w:cs="Times New Roman"/>
          <w:iCs/>
          <w:sz w:val="24"/>
          <w:szCs w:val="24"/>
        </w:rPr>
        <w:t xml:space="preserve"> potrošnje</w:t>
      </w:r>
      <w:r w:rsidR="006D44D1">
        <w:rPr>
          <w:rFonts w:cs="Times New Roman"/>
          <w:iCs/>
          <w:sz w:val="24"/>
          <w:szCs w:val="24"/>
        </w:rPr>
        <w:t xml:space="preserve"> ili ulaganja</w:t>
      </w:r>
      <w:r w:rsidR="003174AA" w:rsidRPr="00F4562D">
        <w:rPr>
          <w:rFonts w:cs="Times New Roman"/>
          <w:iCs/>
          <w:sz w:val="24"/>
          <w:szCs w:val="24"/>
        </w:rPr>
        <w:t>, odnosno djelova</w:t>
      </w:r>
      <w:r w:rsidR="00F83F19">
        <w:rPr>
          <w:rFonts w:cs="Times New Roman"/>
          <w:iCs/>
          <w:sz w:val="24"/>
          <w:szCs w:val="24"/>
        </w:rPr>
        <w:t>nje</w:t>
      </w:r>
      <w:r w:rsidR="003174AA" w:rsidRPr="00F4562D">
        <w:rPr>
          <w:rFonts w:cs="Times New Roman"/>
          <w:iCs/>
          <w:sz w:val="24"/>
          <w:szCs w:val="24"/>
        </w:rPr>
        <w:t xml:space="preserve"> na informiranost </w:t>
      </w:r>
      <w:r w:rsidR="0010085D" w:rsidRPr="00F4562D">
        <w:rPr>
          <w:rFonts w:cs="Times New Roman"/>
          <w:iCs/>
          <w:sz w:val="24"/>
          <w:szCs w:val="24"/>
        </w:rPr>
        <w:t xml:space="preserve">potrošača </w:t>
      </w:r>
      <w:r w:rsidR="0069350C" w:rsidRPr="00F4562D">
        <w:rPr>
          <w:rFonts w:cs="Times New Roman"/>
          <w:iCs/>
          <w:sz w:val="24"/>
          <w:szCs w:val="24"/>
        </w:rPr>
        <w:t xml:space="preserve">kako bi se </w:t>
      </w:r>
      <w:r w:rsidR="006D44D1">
        <w:rPr>
          <w:rFonts w:cs="Times New Roman"/>
          <w:iCs/>
          <w:sz w:val="24"/>
          <w:szCs w:val="24"/>
        </w:rPr>
        <w:t>oni u što većoj mjeri uključili</w:t>
      </w:r>
      <w:r w:rsidR="0069350C" w:rsidRPr="00F4562D">
        <w:rPr>
          <w:rFonts w:cs="Times New Roman"/>
          <w:iCs/>
          <w:sz w:val="24"/>
          <w:szCs w:val="24"/>
        </w:rPr>
        <w:t xml:space="preserve"> u kupnju i konzumiranje </w:t>
      </w:r>
      <w:r w:rsidR="00F83F19">
        <w:rPr>
          <w:rFonts w:cs="Times New Roman"/>
          <w:iCs/>
          <w:sz w:val="24"/>
          <w:szCs w:val="24"/>
        </w:rPr>
        <w:t xml:space="preserve">određenih </w:t>
      </w:r>
      <w:r w:rsidR="0069350C" w:rsidRPr="00F4562D">
        <w:rPr>
          <w:rFonts w:cs="Times New Roman"/>
          <w:iCs/>
          <w:sz w:val="24"/>
          <w:szCs w:val="24"/>
        </w:rPr>
        <w:t xml:space="preserve">proizvoda i usluga. </w:t>
      </w:r>
    </w:p>
    <w:p w:rsidR="00717091" w:rsidRPr="00F4562D" w:rsidRDefault="0069350C" w:rsidP="00E649BD">
      <w:pPr>
        <w:widowControl w:val="0"/>
        <w:overflowPunct w:val="0"/>
        <w:autoSpaceDE w:val="0"/>
        <w:autoSpaceDN w:val="0"/>
        <w:adjustRightInd w:val="0"/>
        <w:jc w:val="both"/>
        <w:rPr>
          <w:rFonts w:cs="Times New Roman"/>
          <w:iCs/>
          <w:sz w:val="24"/>
          <w:szCs w:val="24"/>
        </w:rPr>
      </w:pPr>
      <w:r w:rsidRPr="00F4562D">
        <w:rPr>
          <w:rFonts w:cs="Times New Roman"/>
          <w:iCs/>
          <w:sz w:val="24"/>
          <w:szCs w:val="24"/>
        </w:rPr>
        <w:t xml:space="preserve">Navedeno dolazi do izražaja i kroz </w:t>
      </w:r>
      <w:r w:rsidRPr="00F4562D">
        <w:rPr>
          <w:rFonts w:cs="Times New Roman"/>
          <w:iCs/>
          <w:color w:val="C00000"/>
          <w:sz w:val="24"/>
          <w:szCs w:val="24"/>
        </w:rPr>
        <w:t xml:space="preserve">agresiju reklamnog sadržaja </w:t>
      </w:r>
      <w:r w:rsidRPr="00F4562D">
        <w:rPr>
          <w:rFonts w:cs="Times New Roman"/>
          <w:iCs/>
          <w:sz w:val="24"/>
          <w:szCs w:val="24"/>
        </w:rPr>
        <w:t>koj</w:t>
      </w:r>
      <w:r w:rsidR="0010085D" w:rsidRPr="00F4562D">
        <w:rPr>
          <w:rFonts w:cs="Times New Roman"/>
          <w:iCs/>
          <w:sz w:val="24"/>
          <w:szCs w:val="24"/>
        </w:rPr>
        <w:t>em</w:t>
      </w:r>
      <w:r w:rsidRPr="00F4562D">
        <w:rPr>
          <w:rFonts w:cs="Times New Roman"/>
          <w:iCs/>
          <w:sz w:val="24"/>
          <w:szCs w:val="24"/>
        </w:rPr>
        <w:t xml:space="preserve"> je potrošač izložen </w:t>
      </w:r>
      <w:r w:rsidRPr="00F4562D">
        <w:rPr>
          <w:rFonts w:cs="Times New Roman"/>
          <w:iCs/>
          <w:sz w:val="24"/>
          <w:szCs w:val="24"/>
        </w:rPr>
        <w:lastRenderedPageBreak/>
        <w:t>gledajući televiziju, slušajući radio, na web portalima, zaslonima mobitela i poštanskim sandučićima prepunim letaka promotivn</w:t>
      </w:r>
      <w:r w:rsidR="0010085D" w:rsidRPr="00F4562D">
        <w:rPr>
          <w:rFonts w:cs="Times New Roman"/>
          <w:iCs/>
          <w:sz w:val="24"/>
          <w:szCs w:val="24"/>
        </w:rPr>
        <w:t>ih materijala</w:t>
      </w:r>
      <w:r w:rsidRPr="00F4562D">
        <w:rPr>
          <w:rFonts w:cs="Times New Roman"/>
          <w:iCs/>
          <w:sz w:val="24"/>
          <w:szCs w:val="24"/>
        </w:rPr>
        <w:t xml:space="preserve"> itd. </w:t>
      </w:r>
      <w:r w:rsidR="00A14E03" w:rsidRPr="00F4562D">
        <w:rPr>
          <w:bCs/>
          <w:sz w:val="24"/>
          <w:szCs w:val="24"/>
        </w:rPr>
        <w:t xml:space="preserve">Pri </w:t>
      </w:r>
      <w:r w:rsidR="00A14E03">
        <w:rPr>
          <w:bCs/>
          <w:sz w:val="24"/>
          <w:szCs w:val="24"/>
        </w:rPr>
        <w:t xml:space="preserve">tome je za oglašivače </w:t>
      </w:r>
      <w:r w:rsidR="00A14E03" w:rsidRPr="00F4562D">
        <w:rPr>
          <w:bCs/>
          <w:sz w:val="24"/>
          <w:szCs w:val="24"/>
        </w:rPr>
        <w:t xml:space="preserve">najvažnije pobuditi pažnju gledatelja/ čitatelja/ klijenta. </w:t>
      </w:r>
      <w:r w:rsidR="00A14E03">
        <w:rPr>
          <w:bCs/>
          <w:sz w:val="24"/>
          <w:szCs w:val="24"/>
        </w:rPr>
        <w:t xml:space="preserve">U tu svrhu </w:t>
      </w:r>
      <w:r w:rsidR="006D44D1">
        <w:rPr>
          <w:bCs/>
          <w:sz w:val="24"/>
          <w:szCs w:val="24"/>
        </w:rPr>
        <w:t xml:space="preserve">koriste se </w:t>
      </w:r>
      <w:r w:rsidR="00A14E03" w:rsidRPr="00F4562D">
        <w:rPr>
          <w:bCs/>
          <w:sz w:val="24"/>
          <w:szCs w:val="24"/>
        </w:rPr>
        <w:t>kombinacij</w:t>
      </w:r>
      <w:r w:rsidR="006D44D1">
        <w:rPr>
          <w:bCs/>
          <w:sz w:val="24"/>
          <w:szCs w:val="24"/>
        </w:rPr>
        <w:t>e</w:t>
      </w:r>
      <w:r w:rsidR="00A14E03" w:rsidRPr="00F4562D">
        <w:rPr>
          <w:bCs/>
          <w:sz w:val="24"/>
          <w:szCs w:val="24"/>
        </w:rPr>
        <w:t xml:space="preserve"> boja</w:t>
      </w:r>
      <w:r w:rsidR="006D44D1">
        <w:rPr>
          <w:bCs/>
          <w:sz w:val="24"/>
          <w:szCs w:val="24"/>
        </w:rPr>
        <w:t xml:space="preserve"> i tonova</w:t>
      </w:r>
      <w:r w:rsidR="00A14E03" w:rsidRPr="00F4562D">
        <w:rPr>
          <w:bCs/>
          <w:sz w:val="24"/>
          <w:szCs w:val="24"/>
        </w:rPr>
        <w:t xml:space="preserve">, odnosno vizualnih i auditivnih </w:t>
      </w:r>
      <w:r w:rsidR="006D44D1">
        <w:rPr>
          <w:bCs/>
          <w:sz w:val="24"/>
          <w:szCs w:val="24"/>
        </w:rPr>
        <w:t xml:space="preserve">elemenata </w:t>
      </w:r>
      <w:r w:rsidR="00A14E03">
        <w:rPr>
          <w:bCs/>
          <w:sz w:val="24"/>
          <w:szCs w:val="24"/>
        </w:rPr>
        <w:t xml:space="preserve">te paralelnih sugestivnih filmova </w:t>
      </w:r>
      <w:r w:rsidR="006D44D1">
        <w:rPr>
          <w:bCs/>
          <w:sz w:val="24"/>
          <w:szCs w:val="24"/>
        </w:rPr>
        <w:t xml:space="preserve">i sadržaja </w:t>
      </w:r>
      <w:r w:rsidR="00A14E03" w:rsidRPr="00F4562D">
        <w:rPr>
          <w:bCs/>
          <w:sz w:val="24"/>
          <w:szCs w:val="24"/>
        </w:rPr>
        <w:t>koji stvaraju pozitivn</w:t>
      </w:r>
      <w:r w:rsidR="006D44D1">
        <w:rPr>
          <w:bCs/>
          <w:sz w:val="24"/>
          <w:szCs w:val="24"/>
        </w:rPr>
        <w:t xml:space="preserve">u percepciju </w:t>
      </w:r>
      <w:r w:rsidR="00A14E03" w:rsidRPr="00F4562D">
        <w:rPr>
          <w:bCs/>
          <w:sz w:val="24"/>
          <w:szCs w:val="24"/>
        </w:rPr>
        <w:t xml:space="preserve">i ugođaj (čak i kada se govori o temi koja nije </w:t>
      </w:r>
      <w:r w:rsidR="006D44D1">
        <w:rPr>
          <w:bCs/>
          <w:sz w:val="24"/>
          <w:szCs w:val="24"/>
        </w:rPr>
        <w:t xml:space="preserve">omiljena, npr. smrt ili bolest), </w:t>
      </w:r>
      <w:r w:rsidR="003A4678">
        <w:rPr>
          <w:bCs/>
          <w:sz w:val="24"/>
          <w:szCs w:val="24"/>
        </w:rPr>
        <w:t xml:space="preserve">odnosno kombinacija </w:t>
      </w:r>
      <w:r w:rsidR="006D44D1">
        <w:rPr>
          <w:bCs/>
          <w:sz w:val="24"/>
          <w:szCs w:val="24"/>
        </w:rPr>
        <w:t>sadržaja koji</w:t>
      </w:r>
      <w:r w:rsidR="00A14E03" w:rsidRPr="00F4562D">
        <w:rPr>
          <w:bCs/>
          <w:sz w:val="24"/>
          <w:szCs w:val="24"/>
        </w:rPr>
        <w:t xml:space="preserve"> pridonose povjerenju i osjećaju sigurnosti</w:t>
      </w:r>
      <w:r w:rsidR="00A14E03">
        <w:rPr>
          <w:bCs/>
          <w:sz w:val="24"/>
          <w:szCs w:val="24"/>
        </w:rPr>
        <w:t>, izazivaju osmjeh gledatelja</w:t>
      </w:r>
      <w:r w:rsidR="00A14E03" w:rsidRPr="00F4562D">
        <w:rPr>
          <w:bCs/>
          <w:sz w:val="24"/>
          <w:szCs w:val="24"/>
        </w:rPr>
        <w:t xml:space="preserve"> itd. </w:t>
      </w:r>
      <w:r w:rsidR="003A4678">
        <w:rPr>
          <w:bCs/>
          <w:sz w:val="24"/>
          <w:szCs w:val="24"/>
        </w:rPr>
        <w:t>S</w:t>
      </w:r>
      <w:r w:rsidR="00A14E03" w:rsidRPr="00F4562D">
        <w:rPr>
          <w:bCs/>
          <w:sz w:val="24"/>
          <w:szCs w:val="24"/>
        </w:rPr>
        <w:t xml:space="preserve">poredni sadržaj </w:t>
      </w:r>
      <w:r w:rsidR="003A4678">
        <w:rPr>
          <w:bCs/>
          <w:sz w:val="24"/>
          <w:szCs w:val="24"/>
        </w:rPr>
        <w:t xml:space="preserve">tako </w:t>
      </w:r>
      <w:r w:rsidR="00A14E03" w:rsidRPr="00F4562D">
        <w:rPr>
          <w:bCs/>
          <w:sz w:val="24"/>
          <w:szCs w:val="24"/>
        </w:rPr>
        <w:t xml:space="preserve">praktično </w:t>
      </w:r>
      <w:r w:rsidR="00A14E03">
        <w:rPr>
          <w:bCs/>
          <w:sz w:val="24"/>
          <w:szCs w:val="24"/>
        </w:rPr>
        <w:t xml:space="preserve">dobiva više na važnosti </w:t>
      </w:r>
      <w:r w:rsidR="00A14E03" w:rsidRPr="00F4562D">
        <w:rPr>
          <w:bCs/>
          <w:sz w:val="24"/>
          <w:szCs w:val="24"/>
        </w:rPr>
        <w:t xml:space="preserve">od temeljne usmene ili pisane informacije koja se prenosi. </w:t>
      </w:r>
      <w:r w:rsidR="00A14E03">
        <w:rPr>
          <w:bCs/>
          <w:sz w:val="24"/>
          <w:szCs w:val="24"/>
        </w:rPr>
        <w:t>Dodatno, o</w:t>
      </w:r>
      <w:r w:rsidR="00801F02" w:rsidRPr="00F4562D">
        <w:rPr>
          <w:rFonts w:cs="Times New Roman"/>
          <w:iCs/>
          <w:sz w:val="24"/>
          <w:szCs w:val="24"/>
        </w:rPr>
        <w:t>sim za direktno reklamno oglašavanje, mediji su vrlo često korišteni u svrhu PR aktivnosti kroz intervjue s čelnim osobama proizvodno ili uslužno orijentiranih poduzeća i profitnih institucija, kroz vijesti koje govore o poslovnim rezultatima poduzeća</w:t>
      </w:r>
      <w:r w:rsidR="00DD6FE8">
        <w:rPr>
          <w:rFonts w:cs="Times New Roman"/>
          <w:iCs/>
          <w:sz w:val="24"/>
          <w:szCs w:val="24"/>
        </w:rPr>
        <w:t>, financijskih institucija</w:t>
      </w:r>
      <w:r w:rsidR="00801F02" w:rsidRPr="00F4562D">
        <w:rPr>
          <w:rFonts w:cs="Times New Roman"/>
          <w:iCs/>
          <w:sz w:val="24"/>
          <w:szCs w:val="24"/>
        </w:rPr>
        <w:t xml:space="preserve"> </w:t>
      </w:r>
      <w:r w:rsidR="006D44D1">
        <w:rPr>
          <w:rFonts w:cs="Times New Roman"/>
          <w:iCs/>
          <w:sz w:val="24"/>
          <w:szCs w:val="24"/>
        </w:rPr>
        <w:t>ili novim proizvodima</w:t>
      </w:r>
      <w:r w:rsidR="00154122" w:rsidRPr="00F4562D">
        <w:rPr>
          <w:rFonts w:cs="Times New Roman"/>
          <w:iCs/>
          <w:sz w:val="24"/>
          <w:szCs w:val="24"/>
        </w:rPr>
        <w:t xml:space="preserve">. </w:t>
      </w:r>
    </w:p>
    <w:p w:rsidR="00F83F19" w:rsidRDefault="00154122" w:rsidP="00E649BD">
      <w:pPr>
        <w:widowControl w:val="0"/>
        <w:overflowPunct w:val="0"/>
        <w:autoSpaceDE w:val="0"/>
        <w:autoSpaceDN w:val="0"/>
        <w:adjustRightInd w:val="0"/>
        <w:jc w:val="both"/>
        <w:rPr>
          <w:rFonts w:cs="Times New Roman"/>
          <w:iCs/>
          <w:sz w:val="24"/>
          <w:szCs w:val="24"/>
        </w:rPr>
      </w:pPr>
      <w:r w:rsidRPr="00F4562D">
        <w:rPr>
          <w:rFonts w:cs="Times New Roman"/>
          <w:iCs/>
          <w:sz w:val="24"/>
          <w:szCs w:val="24"/>
        </w:rPr>
        <w:t>U aktivnostima unapređenja prodaje, v</w:t>
      </w:r>
      <w:r w:rsidR="00801F02" w:rsidRPr="00F4562D">
        <w:rPr>
          <w:rFonts w:cs="Times New Roman"/>
          <w:iCs/>
          <w:sz w:val="24"/>
          <w:szCs w:val="24"/>
        </w:rPr>
        <w:t xml:space="preserve">odi se računa o </w:t>
      </w:r>
      <w:r w:rsidR="00801F02" w:rsidRPr="00F4562D">
        <w:rPr>
          <w:rFonts w:cs="Times New Roman"/>
          <w:iCs/>
          <w:color w:val="C00000"/>
          <w:sz w:val="24"/>
          <w:szCs w:val="24"/>
        </w:rPr>
        <w:t>danima u tjednu i razdoblju dana kada se koji informativ</w:t>
      </w:r>
      <w:r w:rsidR="00C62278" w:rsidRPr="00F4562D">
        <w:rPr>
          <w:rFonts w:cs="Times New Roman"/>
          <w:iCs/>
          <w:color w:val="C00000"/>
          <w:sz w:val="24"/>
          <w:szCs w:val="24"/>
        </w:rPr>
        <w:t>no-reklamni sadržaj emitira</w:t>
      </w:r>
      <w:r w:rsidR="00C62278" w:rsidRPr="00F4562D">
        <w:rPr>
          <w:rFonts w:cs="Times New Roman"/>
          <w:iCs/>
          <w:sz w:val="24"/>
          <w:szCs w:val="24"/>
        </w:rPr>
        <w:t xml:space="preserve">, a do potencijalnog kupca se dolazi i pozivima na privatni kućni telefon, mobitel, slanjem pisama </w:t>
      </w:r>
      <w:r w:rsidR="00C62278" w:rsidRPr="00A14E03">
        <w:rPr>
          <w:rFonts w:cs="Times New Roman"/>
          <w:i/>
          <w:iCs/>
          <w:sz w:val="24"/>
          <w:szCs w:val="24"/>
        </w:rPr>
        <w:t>(</w:t>
      </w:r>
      <w:r w:rsidR="00A14E03" w:rsidRPr="00A14E03">
        <w:rPr>
          <w:rFonts w:cs="Times New Roman"/>
          <w:i/>
          <w:iCs/>
          <w:sz w:val="24"/>
          <w:szCs w:val="24"/>
        </w:rPr>
        <w:t>„</w:t>
      </w:r>
      <w:r w:rsidR="00C62278" w:rsidRPr="00A14E03">
        <w:rPr>
          <w:rFonts w:cs="Times New Roman"/>
          <w:i/>
          <w:iCs/>
          <w:sz w:val="24"/>
          <w:szCs w:val="24"/>
        </w:rPr>
        <w:t>s povratnicom za slučaj da se odluči na kupnju</w:t>
      </w:r>
      <w:r w:rsidR="00A14E03" w:rsidRPr="00A14E03">
        <w:rPr>
          <w:rFonts w:cs="Times New Roman"/>
          <w:i/>
          <w:iCs/>
          <w:sz w:val="24"/>
          <w:szCs w:val="24"/>
        </w:rPr>
        <w:t>“</w:t>
      </w:r>
      <w:r w:rsidR="00C62278" w:rsidRPr="00F4562D">
        <w:rPr>
          <w:rFonts w:cs="Times New Roman"/>
          <w:iCs/>
          <w:sz w:val="24"/>
          <w:szCs w:val="24"/>
        </w:rPr>
        <w:t xml:space="preserve">) uz dopis o koristi određenog proizvoda ili usluge te rizicima </w:t>
      </w:r>
      <w:r w:rsidR="00A14E03">
        <w:rPr>
          <w:rFonts w:cs="Times New Roman"/>
          <w:iCs/>
          <w:sz w:val="24"/>
          <w:szCs w:val="24"/>
        </w:rPr>
        <w:t xml:space="preserve">ili </w:t>
      </w:r>
      <w:r w:rsidR="00DD6FE8">
        <w:rPr>
          <w:rFonts w:cs="Times New Roman"/>
          <w:iCs/>
          <w:sz w:val="24"/>
          <w:szCs w:val="24"/>
        </w:rPr>
        <w:t>„</w:t>
      </w:r>
      <w:r w:rsidR="00A14E03">
        <w:rPr>
          <w:rFonts w:cs="Times New Roman"/>
          <w:iCs/>
          <w:sz w:val="24"/>
          <w:szCs w:val="24"/>
        </w:rPr>
        <w:t>pogreškama</w:t>
      </w:r>
      <w:r w:rsidR="00DD6FE8">
        <w:rPr>
          <w:rFonts w:cs="Times New Roman"/>
          <w:iCs/>
          <w:sz w:val="24"/>
          <w:szCs w:val="24"/>
        </w:rPr>
        <w:t>“</w:t>
      </w:r>
      <w:r w:rsidR="00A14E03">
        <w:rPr>
          <w:rFonts w:cs="Times New Roman"/>
          <w:iCs/>
          <w:sz w:val="24"/>
          <w:szCs w:val="24"/>
        </w:rPr>
        <w:t xml:space="preserve"> </w:t>
      </w:r>
      <w:r w:rsidR="00C62278" w:rsidRPr="00F4562D">
        <w:rPr>
          <w:rFonts w:cs="Times New Roman"/>
          <w:iCs/>
          <w:sz w:val="24"/>
          <w:szCs w:val="24"/>
        </w:rPr>
        <w:t xml:space="preserve">kojima se osoba izlaže ako ne ugovori određeni proizvod </w:t>
      </w:r>
      <w:r w:rsidR="00DD6FE8">
        <w:rPr>
          <w:rFonts w:cs="Times New Roman"/>
          <w:iCs/>
          <w:sz w:val="24"/>
          <w:szCs w:val="24"/>
        </w:rPr>
        <w:t>(</w:t>
      </w:r>
      <w:r w:rsidR="002E753E">
        <w:rPr>
          <w:rFonts w:cs="Times New Roman"/>
          <w:iCs/>
          <w:sz w:val="24"/>
          <w:szCs w:val="24"/>
        </w:rPr>
        <w:t>npr. osiguranja</w:t>
      </w:r>
      <w:r w:rsidR="00DD6FE8">
        <w:rPr>
          <w:rFonts w:cs="Times New Roman"/>
          <w:iCs/>
          <w:sz w:val="24"/>
          <w:szCs w:val="24"/>
        </w:rPr>
        <w:t>)</w:t>
      </w:r>
      <w:r w:rsidR="002E753E">
        <w:rPr>
          <w:rFonts w:cs="Times New Roman"/>
          <w:iCs/>
          <w:sz w:val="24"/>
          <w:szCs w:val="24"/>
        </w:rPr>
        <w:t xml:space="preserve"> </w:t>
      </w:r>
      <w:r w:rsidR="00C62278" w:rsidRPr="00F4562D">
        <w:rPr>
          <w:rFonts w:cs="Times New Roman"/>
          <w:iCs/>
          <w:sz w:val="24"/>
          <w:szCs w:val="24"/>
        </w:rPr>
        <w:t xml:space="preserve">- pa ako već i nije voljan na kupnju možda će to učiniti zbog grižnje savjesti na koju ga je netko pobudio. </w:t>
      </w:r>
      <w:r w:rsidR="00F83F19">
        <w:rPr>
          <w:rFonts w:cs="Times New Roman"/>
          <w:iCs/>
          <w:sz w:val="24"/>
          <w:szCs w:val="24"/>
        </w:rPr>
        <w:t xml:space="preserve">No samo o pojedincu ovisi koliko će se oduprijeti kupovini proizvoda koji možda ne treba, čija kupnja može ugroziti </w:t>
      </w:r>
      <w:r w:rsidR="00DD6FE8">
        <w:rPr>
          <w:rFonts w:cs="Times New Roman"/>
          <w:iCs/>
          <w:sz w:val="24"/>
          <w:szCs w:val="24"/>
        </w:rPr>
        <w:t xml:space="preserve">buduću </w:t>
      </w:r>
      <w:r w:rsidR="00F83F19">
        <w:rPr>
          <w:rFonts w:cs="Times New Roman"/>
          <w:iCs/>
          <w:sz w:val="24"/>
          <w:szCs w:val="24"/>
        </w:rPr>
        <w:t>financijsku situaciju</w:t>
      </w:r>
      <w:r w:rsidR="002E753E">
        <w:rPr>
          <w:rFonts w:cs="Times New Roman"/>
          <w:iCs/>
          <w:sz w:val="24"/>
          <w:szCs w:val="24"/>
        </w:rPr>
        <w:t xml:space="preserve">, koji možda uopće ne odgovaraju sadržaju i namjeni u koju se prodaju ili imaju nepovoljni odnos cijene i kvalitete/ koristi. </w:t>
      </w:r>
    </w:p>
    <w:p w:rsidR="00F83F19" w:rsidRDefault="00F83F19" w:rsidP="00E649BD">
      <w:pPr>
        <w:widowControl w:val="0"/>
        <w:overflowPunct w:val="0"/>
        <w:autoSpaceDE w:val="0"/>
        <w:autoSpaceDN w:val="0"/>
        <w:adjustRightInd w:val="0"/>
        <w:jc w:val="both"/>
        <w:rPr>
          <w:rFonts w:cs="Times New Roman"/>
          <w:iCs/>
          <w:sz w:val="24"/>
          <w:szCs w:val="24"/>
        </w:rPr>
      </w:pPr>
      <w:r>
        <w:rPr>
          <w:rFonts w:cs="Times New Roman"/>
          <w:iCs/>
          <w:sz w:val="24"/>
          <w:szCs w:val="24"/>
        </w:rPr>
        <w:t xml:space="preserve">Marketinške strategije i tehnike istraživanja ponašanja potrošača fokusiraju se na </w:t>
      </w:r>
      <w:r w:rsidRPr="00C230C3">
        <w:rPr>
          <w:rFonts w:cs="Times New Roman"/>
          <w:iCs/>
          <w:color w:val="C00000"/>
          <w:sz w:val="24"/>
          <w:szCs w:val="24"/>
        </w:rPr>
        <w:t>specifične segmente potencijalnih potrošača</w:t>
      </w:r>
      <w:r>
        <w:rPr>
          <w:rFonts w:cs="Times New Roman"/>
          <w:iCs/>
          <w:sz w:val="24"/>
          <w:szCs w:val="24"/>
        </w:rPr>
        <w:t xml:space="preserve"> s obzirom na dob, spol, društveni status i druga obilježja, vodeći računa o navikama tipične potrošnje </w:t>
      </w:r>
      <w:r w:rsidR="002E753E">
        <w:rPr>
          <w:rFonts w:cs="Times New Roman"/>
          <w:iCs/>
          <w:sz w:val="24"/>
          <w:szCs w:val="24"/>
        </w:rPr>
        <w:t xml:space="preserve">ili korištenja usluga </w:t>
      </w:r>
      <w:r>
        <w:rPr>
          <w:rFonts w:cs="Times New Roman"/>
          <w:iCs/>
          <w:sz w:val="24"/>
          <w:szCs w:val="24"/>
        </w:rPr>
        <w:t>mladih, samaca, parova s</w:t>
      </w:r>
      <w:r w:rsidR="002E753E">
        <w:rPr>
          <w:rFonts w:cs="Times New Roman"/>
          <w:iCs/>
          <w:sz w:val="24"/>
          <w:szCs w:val="24"/>
        </w:rPr>
        <w:t xml:space="preserve"> malom djecom u odnosu na stariju djecu</w:t>
      </w:r>
      <w:r>
        <w:rPr>
          <w:rFonts w:cs="Times New Roman"/>
          <w:iCs/>
          <w:sz w:val="24"/>
          <w:szCs w:val="24"/>
        </w:rPr>
        <w:t>, samohranih roditelja</w:t>
      </w:r>
      <w:r w:rsidR="002E753E">
        <w:rPr>
          <w:rFonts w:cs="Times New Roman"/>
          <w:iCs/>
          <w:sz w:val="24"/>
          <w:szCs w:val="24"/>
        </w:rPr>
        <w:t xml:space="preserve"> ili razvedenih roditelja, kao i starijih osoba, udovica/ udovaca itd. U tu svrhu koriste se različite baze podataka i anketna istraživanja o strukturi i obilježjima stanovn</w:t>
      </w:r>
      <w:r w:rsidR="001E71B0">
        <w:rPr>
          <w:rFonts w:cs="Times New Roman"/>
          <w:iCs/>
          <w:sz w:val="24"/>
          <w:szCs w:val="24"/>
        </w:rPr>
        <w:t xml:space="preserve">ištva i potencijalnih segmenata potrošača, npr. prilagođeno tipičnim </w:t>
      </w:r>
      <w:r w:rsidR="00C55D3D">
        <w:rPr>
          <w:rFonts w:cs="Times New Roman"/>
          <w:iCs/>
          <w:sz w:val="24"/>
          <w:szCs w:val="24"/>
        </w:rPr>
        <w:t xml:space="preserve">kupnjama koje obavljaju </w:t>
      </w:r>
      <w:r>
        <w:rPr>
          <w:rFonts w:cs="Times New Roman"/>
          <w:iCs/>
          <w:sz w:val="24"/>
          <w:szCs w:val="24"/>
        </w:rPr>
        <w:t xml:space="preserve">žene (uključujući </w:t>
      </w:r>
      <w:r w:rsidR="00C55D3D">
        <w:rPr>
          <w:rFonts w:cs="Times New Roman"/>
          <w:iCs/>
          <w:sz w:val="24"/>
          <w:szCs w:val="24"/>
        </w:rPr>
        <w:t>npr. kozmetiku, nakit, posuđe, lijekove, ženske odjevne predmete te odjeću i obuću za djecu) u odnosu na one koji su više izraženi kod muškaraca (npr. sportska oprema, automobil</w:t>
      </w:r>
      <w:r w:rsidR="00DB2BC7">
        <w:rPr>
          <w:rFonts w:cs="Times New Roman"/>
          <w:iCs/>
          <w:sz w:val="24"/>
          <w:szCs w:val="24"/>
        </w:rPr>
        <w:t>), odnosno one koje su podjednako zastupljene kod oba spola</w:t>
      </w:r>
      <w:r w:rsidR="003A4678">
        <w:rPr>
          <w:rFonts w:cs="Times New Roman"/>
          <w:iCs/>
          <w:sz w:val="24"/>
          <w:szCs w:val="24"/>
        </w:rPr>
        <w:t xml:space="preserve"> (npr. financijski proizvodi)</w:t>
      </w:r>
      <w:r w:rsidR="00DB2BC7">
        <w:rPr>
          <w:rFonts w:cs="Times New Roman"/>
          <w:iCs/>
          <w:sz w:val="24"/>
          <w:szCs w:val="24"/>
        </w:rPr>
        <w:t>.</w:t>
      </w:r>
    </w:p>
    <w:p w:rsidR="00717091" w:rsidRPr="00F4562D" w:rsidRDefault="007F0392" w:rsidP="00E649BD">
      <w:pPr>
        <w:widowControl w:val="0"/>
        <w:overflowPunct w:val="0"/>
        <w:autoSpaceDE w:val="0"/>
        <w:autoSpaceDN w:val="0"/>
        <w:adjustRightInd w:val="0"/>
        <w:jc w:val="both"/>
        <w:rPr>
          <w:rFonts w:cs="Times New Roman"/>
          <w:iCs/>
          <w:sz w:val="24"/>
          <w:szCs w:val="24"/>
        </w:rPr>
      </w:pPr>
      <w:r w:rsidRPr="00F4562D">
        <w:rPr>
          <w:rFonts w:cs="Times New Roman"/>
          <w:iCs/>
          <w:sz w:val="24"/>
          <w:szCs w:val="24"/>
        </w:rPr>
        <w:t xml:space="preserve">Pri svemu navedenom uglavnom se vodi računa o regulativi </w:t>
      </w:r>
      <w:r w:rsidRPr="00F4562D">
        <w:rPr>
          <w:rFonts w:cs="Times New Roman"/>
          <w:iCs/>
          <w:color w:val="C00000"/>
          <w:sz w:val="24"/>
          <w:szCs w:val="24"/>
        </w:rPr>
        <w:t xml:space="preserve">zaštite potrošača </w:t>
      </w:r>
      <w:r w:rsidRPr="00F4562D">
        <w:rPr>
          <w:rFonts w:cs="Times New Roman"/>
          <w:iCs/>
          <w:sz w:val="24"/>
          <w:szCs w:val="24"/>
        </w:rPr>
        <w:t xml:space="preserve">i ukazuje </w:t>
      </w:r>
      <w:r w:rsidR="00C230C3">
        <w:rPr>
          <w:rFonts w:cs="Times New Roman"/>
          <w:iCs/>
          <w:sz w:val="24"/>
          <w:szCs w:val="24"/>
        </w:rPr>
        <w:t xml:space="preserve">se </w:t>
      </w:r>
      <w:r w:rsidRPr="00F4562D">
        <w:rPr>
          <w:rFonts w:cs="Times New Roman"/>
          <w:iCs/>
          <w:sz w:val="24"/>
          <w:szCs w:val="24"/>
        </w:rPr>
        <w:t>na interes i dobrobit koju takve aktivnosti imaju na društvo</w:t>
      </w:r>
      <w:r w:rsidR="00C230C3">
        <w:rPr>
          <w:rFonts w:cs="Times New Roman"/>
          <w:iCs/>
          <w:sz w:val="24"/>
          <w:szCs w:val="24"/>
        </w:rPr>
        <w:t xml:space="preserve"> i ekonomiju</w:t>
      </w:r>
      <w:r w:rsidRPr="00F4562D">
        <w:rPr>
          <w:rFonts w:cs="Times New Roman"/>
          <w:iCs/>
          <w:sz w:val="24"/>
          <w:szCs w:val="24"/>
        </w:rPr>
        <w:t xml:space="preserve">, odnosno interes potrošača, ali </w:t>
      </w:r>
      <w:r w:rsidR="00717091" w:rsidRPr="00F4562D">
        <w:rPr>
          <w:rFonts w:cs="Times New Roman"/>
          <w:iCs/>
          <w:sz w:val="24"/>
          <w:szCs w:val="24"/>
        </w:rPr>
        <w:t xml:space="preserve">je uvijek pitanje koliko ti interesi dolaze do izražaja s aspekta financija kućanstva, a koliko s </w:t>
      </w:r>
      <w:r w:rsidRPr="00F4562D">
        <w:rPr>
          <w:rFonts w:cs="Times New Roman"/>
          <w:iCs/>
          <w:sz w:val="24"/>
          <w:szCs w:val="24"/>
        </w:rPr>
        <w:t>aspekta financija proizvođača, prodavatelja</w:t>
      </w:r>
      <w:r w:rsidR="001E71B0">
        <w:rPr>
          <w:rFonts w:cs="Times New Roman"/>
          <w:iCs/>
          <w:sz w:val="24"/>
          <w:szCs w:val="24"/>
        </w:rPr>
        <w:t>, oglašivača</w:t>
      </w:r>
      <w:r w:rsidRPr="00F4562D">
        <w:rPr>
          <w:rFonts w:cs="Times New Roman"/>
          <w:iCs/>
          <w:sz w:val="24"/>
          <w:szCs w:val="24"/>
        </w:rPr>
        <w:t xml:space="preserve"> i pružatelja usluga. </w:t>
      </w:r>
      <w:r w:rsidR="003A4678" w:rsidRPr="00DD6FE8">
        <w:rPr>
          <w:rFonts w:cs="Times New Roman"/>
          <w:iCs/>
          <w:color w:val="C00000"/>
          <w:sz w:val="24"/>
          <w:szCs w:val="24"/>
        </w:rPr>
        <w:t>Reklamne aktivnosti i drugi oblici unapređenja prodaje neupitno imaju pozitivne učinke u smislu da pridonose većoj informiranosti potrošača</w:t>
      </w:r>
      <w:r w:rsidR="003A4678">
        <w:rPr>
          <w:rFonts w:cs="Times New Roman"/>
          <w:iCs/>
          <w:sz w:val="24"/>
          <w:szCs w:val="24"/>
        </w:rPr>
        <w:t>. Na sličan način</w:t>
      </w:r>
      <w:r w:rsidR="00C12838">
        <w:rPr>
          <w:rFonts w:cs="Times New Roman"/>
          <w:iCs/>
          <w:sz w:val="24"/>
          <w:szCs w:val="24"/>
        </w:rPr>
        <w:t>,</w:t>
      </w:r>
      <w:r w:rsidR="003A4678">
        <w:rPr>
          <w:rFonts w:cs="Times New Roman"/>
          <w:iCs/>
          <w:sz w:val="24"/>
          <w:szCs w:val="24"/>
        </w:rPr>
        <w:t xml:space="preserve"> interesu potrošača uglavnom pridonosi i konkurencija između proizvođača međusobno </w:t>
      </w:r>
      <w:r w:rsidR="00C12838">
        <w:rPr>
          <w:rFonts w:cs="Times New Roman"/>
          <w:iCs/>
          <w:sz w:val="24"/>
          <w:szCs w:val="24"/>
        </w:rPr>
        <w:t xml:space="preserve">(odnosno trgovačkih poduzeća međusobno) </w:t>
      </w:r>
      <w:r w:rsidR="003A4678">
        <w:rPr>
          <w:rFonts w:cs="Times New Roman"/>
          <w:iCs/>
          <w:sz w:val="24"/>
          <w:szCs w:val="24"/>
        </w:rPr>
        <w:t>jer se postiže povoljniji odnos cijene i kvalitete</w:t>
      </w:r>
      <w:r w:rsidR="00C12838">
        <w:rPr>
          <w:rFonts w:cs="Times New Roman"/>
          <w:iCs/>
          <w:sz w:val="24"/>
          <w:szCs w:val="24"/>
        </w:rPr>
        <w:t xml:space="preserve"> proizvoda, odnosno ponuđači se trude povećati izbor za potrošača. Međutim, upravo </w:t>
      </w:r>
      <w:r w:rsidR="00C12838" w:rsidRPr="00C12838">
        <w:rPr>
          <w:rFonts w:cs="Times New Roman"/>
          <w:iCs/>
          <w:color w:val="C00000"/>
          <w:sz w:val="24"/>
          <w:szCs w:val="24"/>
        </w:rPr>
        <w:t xml:space="preserve">različite </w:t>
      </w:r>
      <w:r w:rsidR="00C12838" w:rsidRPr="00C12838">
        <w:rPr>
          <w:rFonts w:cs="Times New Roman"/>
          <w:iCs/>
          <w:color w:val="C00000"/>
          <w:sz w:val="24"/>
          <w:szCs w:val="24"/>
        </w:rPr>
        <w:lastRenderedPageBreak/>
        <w:t>promotivne aktivnosti mogu postati faktor koji ometa ostvarivanje ekonomskih i financijskih ciljeva kućanstva, ukoliko postanu faktor većih izdataka u odnosu na one koji su planirani</w:t>
      </w:r>
      <w:r w:rsidR="00C12838">
        <w:rPr>
          <w:rFonts w:cs="Times New Roman"/>
          <w:iCs/>
          <w:sz w:val="24"/>
          <w:szCs w:val="24"/>
        </w:rPr>
        <w:t xml:space="preserve">. Kupnju dobara i usluga stoga treba planirati te analizirati odnos koristi i troškova također i u situacijama različitih sniženja na pojedine artikle kod pojedinog trgovačkog poduzeća, a svakako i provjeriti da li je cijena možda niža kod drugih trgovačkih poduzeća koja uz isti proizvod ne ističu popust. </w:t>
      </w:r>
    </w:p>
    <w:tbl>
      <w:tblPr>
        <w:tblStyle w:val="Reetkatablice"/>
        <w:tblW w:w="0" w:type="auto"/>
        <w:tblInd w:w="108" w:type="dxa"/>
        <w:tblLook w:val="04A0" w:firstRow="1" w:lastRow="0" w:firstColumn="1" w:lastColumn="0" w:noHBand="0" w:noVBand="1"/>
      </w:tblPr>
      <w:tblGrid>
        <w:gridCol w:w="9180"/>
      </w:tblGrid>
      <w:tr w:rsidR="008C1E2E" w:rsidTr="006D44D1">
        <w:tc>
          <w:tcPr>
            <w:tcW w:w="9180" w:type="dxa"/>
            <w:shd w:val="clear" w:color="auto" w:fill="F2F2F2" w:themeFill="background1" w:themeFillShade="F2"/>
          </w:tcPr>
          <w:p w:rsidR="00C230C3" w:rsidRDefault="008C1E2E" w:rsidP="00C230C3">
            <w:pPr>
              <w:widowControl w:val="0"/>
              <w:overflowPunct w:val="0"/>
              <w:autoSpaceDE w:val="0"/>
              <w:autoSpaceDN w:val="0"/>
              <w:adjustRightInd w:val="0"/>
              <w:spacing w:before="120" w:after="120" w:line="276" w:lineRule="auto"/>
              <w:jc w:val="both"/>
              <w:rPr>
                <w:rFonts w:asciiTheme="minorHAnsi" w:hAnsiTheme="minorHAnsi"/>
                <w:iCs/>
                <w:sz w:val="24"/>
                <w:szCs w:val="24"/>
              </w:rPr>
            </w:pPr>
            <w:r w:rsidRPr="008C1E2E">
              <w:rPr>
                <w:rFonts w:asciiTheme="minorHAnsi" w:hAnsiTheme="minorHAnsi"/>
                <w:iCs/>
                <w:sz w:val="24"/>
                <w:szCs w:val="24"/>
              </w:rPr>
              <w:t xml:space="preserve">U cilju povećanja zadovoljstva potrošača </w:t>
            </w:r>
            <w:r w:rsidR="00C12838">
              <w:rPr>
                <w:rFonts w:asciiTheme="minorHAnsi" w:hAnsiTheme="minorHAnsi"/>
                <w:iCs/>
                <w:sz w:val="24"/>
                <w:szCs w:val="24"/>
              </w:rPr>
              <w:t xml:space="preserve">praksa upravljanja ponašanjem potrošača vodi </w:t>
            </w:r>
            <w:r w:rsidRPr="008C1E2E">
              <w:rPr>
                <w:rFonts w:asciiTheme="minorHAnsi" w:hAnsiTheme="minorHAnsi"/>
                <w:iCs/>
                <w:sz w:val="24"/>
                <w:szCs w:val="24"/>
              </w:rPr>
              <w:t xml:space="preserve">računa o predprodajnim aktivnostima i procesima, fazi kupnje, kao i o poslijeprodajnim aktivnostima i procesima tijekom konzumiranja te vrednovanja proizvoda i usluga („zadovoljan kupac i sutra će doći u trgovinu/ kupiti određeni proizvod“). </w:t>
            </w:r>
          </w:p>
          <w:p w:rsidR="008C1E2E" w:rsidRPr="008C1E2E" w:rsidRDefault="008C1E2E" w:rsidP="00C230C3">
            <w:pPr>
              <w:widowControl w:val="0"/>
              <w:overflowPunct w:val="0"/>
              <w:autoSpaceDE w:val="0"/>
              <w:autoSpaceDN w:val="0"/>
              <w:adjustRightInd w:val="0"/>
              <w:spacing w:before="120" w:after="120" w:line="276" w:lineRule="auto"/>
              <w:jc w:val="both"/>
              <w:rPr>
                <w:rFonts w:asciiTheme="minorHAnsi" w:hAnsiTheme="minorHAnsi"/>
                <w:sz w:val="24"/>
                <w:szCs w:val="24"/>
              </w:rPr>
            </w:pPr>
            <w:r w:rsidRPr="008C1E2E">
              <w:rPr>
                <w:rFonts w:asciiTheme="minorHAnsi" w:hAnsiTheme="minorHAnsi"/>
                <w:iCs/>
                <w:sz w:val="24"/>
                <w:szCs w:val="24"/>
              </w:rPr>
              <w:t>Kao što stručna literatura iz područja ponašanja potrošača ističe, polazište su pet ključnih načela ponašanja potrošača: 1) p</w:t>
            </w:r>
            <w:r w:rsidRPr="008C1E2E">
              <w:rPr>
                <w:rFonts w:asciiTheme="minorHAnsi" w:hAnsiTheme="minorHAnsi"/>
                <w:sz w:val="24"/>
                <w:szCs w:val="24"/>
              </w:rPr>
              <w:t>otrošač je suveren; 2) motivi ponašanja potrošača se mogu identificirati; 3) na ponašanje potrošača se može utjecati , 4) utjecaji moraju biti društveno prihvatljivi i 5) ponašanje potrošača je dinamičan proces (mijenja se tijekom vremena).</w:t>
            </w:r>
          </w:p>
        </w:tc>
      </w:tr>
    </w:tbl>
    <w:p w:rsidR="00392333" w:rsidRDefault="006D44D1" w:rsidP="008C1E2E">
      <w:pPr>
        <w:widowControl w:val="0"/>
        <w:overflowPunct w:val="0"/>
        <w:autoSpaceDE w:val="0"/>
        <w:autoSpaceDN w:val="0"/>
        <w:adjustRightInd w:val="0"/>
        <w:spacing w:before="240"/>
        <w:jc w:val="both"/>
        <w:rPr>
          <w:sz w:val="24"/>
          <w:szCs w:val="24"/>
        </w:rPr>
      </w:pPr>
      <w:r w:rsidRPr="00C12838">
        <w:rPr>
          <w:sz w:val="24"/>
          <w:szCs w:val="24"/>
        </w:rPr>
        <w:t>S</w:t>
      </w:r>
      <w:r w:rsidR="00303108" w:rsidRPr="00C12838">
        <w:rPr>
          <w:sz w:val="24"/>
          <w:szCs w:val="24"/>
        </w:rPr>
        <w:t xml:space="preserve">uvereni potrošač </w:t>
      </w:r>
      <w:r w:rsidR="00154122" w:rsidRPr="00C12838">
        <w:rPr>
          <w:sz w:val="24"/>
          <w:szCs w:val="24"/>
        </w:rPr>
        <w:t xml:space="preserve">svoje </w:t>
      </w:r>
      <w:r w:rsidR="00303108" w:rsidRPr="00F01BF0">
        <w:rPr>
          <w:color w:val="C00000"/>
          <w:sz w:val="24"/>
          <w:szCs w:val="24"/>
        </w:rPr>
        <w:t xml:space="preserve">odluke </w:t>
      </w:r>
      <w:r w:rsidR="00154122" w:rsidRPr="008C1E2E">
        <w:rPr>
          <w:sz w:val="24"/>
          <w:szCs w:val="24"/>
        </w:rPr>
        <w:t>kupnji</w:t>
      </w:r>
      <w:r w:rsidR="000C0349" w:rsidRPr="008C1E2E">
        <w:rPr>
          <w:sz w:val="24"/>
          <w:szCs w:val="24"/>
        </w:rPr>
        <w:t>, investiraju il</w:t>
      </w:r>
      <w:r w:rsidR="00303108" w:rsidRPr="008C1E2E">
        <w:rPr>
          <w:sz w:val="24"/>
          <w:szCs w:val="24"/>
        </w:rPr>
        <w:t xml:space="preserve">i zaduživanju </w:t>
      </w:r>
      <w:r w:rsidR="00303108" w:rsidRPr="00C12838">
        <w:rPr>
          <w:sz w:val="24"/>
          <w:szCs w:val="24"/>
        </w:rPr>
        <w:t xml:space="preserve">može donijeti </w:t>
      </w:r>
      <w:r w:rsidR="00303108" w:rsidRPr="00F01BF0">
        <w:rPr>
          <w:color w:val="C00000"/>
          <w:sz w:val="24"/>
          <w:szCs w:val="24"/>
        </w:rPr>
        <w:t>racionalno</w:t>
      </w:r>
      <w:r w:rsidR="00303108" w:rsidRPr="00F4562D">
        <w:rPr>
          <w:sz w:val="24"/>
          <w:szCs w:val="24"/>
        </w:rPr>
        <w:t xml:space="preserve"> </w:t>
      </w:r>
      <w:r w:rsidR="000C0349" w:rsidRPr="00F4562D">
        <w:rPr>
          <w:sz w:val="24"/>
          <w:szCs w:val="24"/>
        </w:rPr>
        <w:t xml:space="preserve">(uz zadovoljenu informacijsko arbitražnu efikasnost) </w:t>
      </w:r>
      <w:r w:rsidR="00303108" w:rsidRPr="00F01BF0">
        <w:rPr>
          <w:color w:val="C00000"/>
          <w:sz w:val="24"/>
          <w:szCs w:val="24"/>
        </w:rPr>
        <w:t xml:space="preserve">ili iracionalno </w:t>
      </w:r>
      <w:r w:rsidR="00D36352" w:rsidRPr="00C12838">
        <w:rPr>
          <w:sz w:val="24"/>
          <w:szCs w:val="24"/>
        </w:rPr>
        <w:t xml:space="preserve">npr. u slučaju </w:t>
      </w:r>
      <w:r w:rsidR="00C12838">
        <w:rPr>
          <w:color w:val="C00000"/>
          <w:sz w:val="24"/>
          <w:szCs w:val="24"/>
        </w:rPr>
        <w:t xml:space="preserve">emotivne i/ili </w:t>
      </w:r>
      <w:r w:rsidR="00D36352" w:rsidRPr="00F01BF0">
        <w:rPr>
          <w:color w:val="C00000"/>
          <w:sz w:val="24"/>
          <w:szCs w:val="24"/>
        </w:rPr>
        <w:t>stihijske kupnje</w:t>
      </w:r>
      <w:r w:rsidR="000E3A09">
        <w:rPr>
          <w:color w:val="C00000"/>
          <w:sz w:val="24"/>
          <w:szCs w:val="24"/>
        </w:rPr>
        <w:t xml:space="preserve"> </w:t>
      </w:r>
      <w:r w:rsidR="000E3A09" w:rsidRPr="000E3A09">
        <w:rPr>
          <w:sz w:val="24"/>
          <w:szCs w:val="24"/>
        </w:rPr>
        <w:t xml:space="preserve">– </w:t>
      </w:r>
      <w:r w:rsidR="00C12838" w:rsidRPr="00C12838">
        <w:rPr>
          <w:i/>
          <w:sz w:val="24"/>
          <w:szCs w:val="24"/>
        </w:rPr>
        <w:t>„</w:t>
      </w:r>
      <w:r w:rsidR="000E3A09" w:rsidRPr="00C12838">
        <w:rPr>
          <w:i/>
          <w:sz w:val="24"/>
          <w:szCs w:val="24"/>
        </w:rPr>
        <w:t>kupnje svega što se učini zgodnim ili je palo pod ruku</w:t>
      </w:r>
      <w:r w:rsidR="00C12838" w:rsidRPr="00C12838">
        <w:rPr>
          <w:i/>
          <w:sz w:val="24"/>
          <w:szCs w:val="24"/>
        </w:rPr>
        <w:t>“</w:t>
      </w:r>
      <w:r w:rsidR="00D36352" w:rsidRPr="00C12838">
        <w:rPr>
          <w:i/>
          <w:sz w:val="24"/>
          <w:szCs w:val="24"/>
        </w:rPr>
        <w:t>.</w:t>
      </w:r>
      <w:r w:rsidR="00D36352" w:rsidRPr="000E3A09">
        <w:rPr>
          <w:sz w:val="24"/>
          <w:szCs w:val="24"/>
        </w:rPr>
        <w:t xml:space="preserve"> </w:t>
      </w:r>
      <w:r w:rsidR="000E3A09">
        <w:rPr>
          <w:sz w:val="24"/>
          <w:szCs w:val="24"/>
        </w:rPr>
        <w:t xml:space="preserve">Tim više što kasnija vraćanja nepotrebnih proizvoda u trgovinu mogu biti ograničena različitim faktorima, a posebno ako je u stanju žurbe i stihije </w:t>
      </w:r>
      <w:r w:rsidR="00C12838">
        <w:rPr>
          <w:sz w:val="24"/>
          <w:szCs w:val="24"/>
        </w:rPr>
        <w:t xml:space="preserve">kupac </w:t>
      </w:r>
      <w:r w:rsidR="000E3A09">
        <w:rPr>
          <w:sz w:val="24"/>
          <w:szCs w:val="24"/>
        </w:rPr>
        <w:t>izgub</w:t>
      </w:r>
      <w:r w:rsidR="00C12838">
        <w:rPr>
          <w:sz w:val="24"/>
          <w:szCs w:val="24"/>
        </w:rPr>
        <w:t>io</w:t>
      </w:r>
      <w:r w:rsidR="000E3A09">
        <w:rPr>
          <w:sz w:val="24"/>
          <w:szCs w:val="24"/>
        </w:rPr>
        <w:t xml:space="preserve"> račun ili </w:t>
      </w:r>
      <w:r w:rsidR="00C12838">
        <w:rPr>
          <w:sz w:val="24"/>
          <w:szCs w:val="24"/>
        </w:rPr>
        <w:t xml:space="preserve">je </w:t>
      </w:r>
      <w:r w:rsidR="000E3A09">
        <w:rPr>
          <w:sz w:val="24"/>
          <w:szCs w:val="24"/>
        </w:rPr>
        <w:t xml:space="preserve">roba oštećena. </w:t>
      </w:r>
      <w:r w:rsidR="00D36352" w:rsidRPr="00F4562D">
        <w:rPr>
          <w:sz w:val="24"/>
          <w:szCs w:val="24"/>
        </w:rPr>
        <w:t>Kako bi se izbjegla stihijska kupnja</w:t>
      </w:r>
      <w:r w:rsidR="00DD6FE8">
        <w:rPr>
          <w:sz w:val="24"/>
          <w:szCs w:val="24"/>
        </w:rPr>
        <w:t xml:space="preserve"> i zamke adrenalinskog raspoloženja tijekom kupovine ili pak</w:t>
      </w:r>
      <w:r w:rsidR="005C66A5">
        <w:rPr>
          <w:sz w:val="24"/>
          <w:szCs w:val="24"/>
        </w:rPr>
        <w:t xml:space="preserve"> korištenje odlaska u trgovinu kao „antidepresiva“</w:t>
      </w:r>
      <w:r w:rsidR="00D36352" w:rsidRPr="00F4562D">
        <w:rPr>
          <w:sz w:val="24"/>
          <w:szCs w:val="24"/>
        </w:rPr>
        <w:t xml:space="preserve"> </w:t>
      </w:r>
      <w:r w:rsidR="005C66A5">
        <w:rPr>
          <w:sz w:val="24"/>
          <w:szCs w:val="24"/>
        </w:rPr>
        <w:t xml:space="preserve">- </w:t>
      </w:r>
      <w:r w:rsidR="00D36352" w:rsidRPr="00F4562D">
        <w:rPr>
          <w:sz w:val="24"/>
          <w:szCs w:val="24"/>
        </w:rPr>
        <w:t>važno je planirati potrošnju</w:t>
      </w:r>
      <w:r w:rsidR="000C0349" w:rsidRPr="00F4562D">
        <w:rPr>
          <w:sz w:val="24"/>
          <w:szCs w:val="24"/>
        </w:rPr>
        <w:t>, štednju i investicije</w:t>
      </w:r>
      <w:r w:rsidR="00D36352" w:rsidRPr="00F4562D">
        <w:rPr>
          <w:sz w:val="24"/>
          <w:szCs w:val="24"/>
        </w:rPr>
        <w:t>, odnosno financijske izdatke koji se uz nj</w:t>
      </w:r>
      <w:r w:rsidR="000C0349" w:rsidRPr="00F4562D">
        <w:rPr>
          <w:sz w:val="24"/>
          <w:szCs w:val="24"/>
        </w:rPr>
        <w:t>ih</w:t>
      </w:r>
      <w:r w:rsidR="00D36352" w:rsidRPr="00F4562D">
        <w:rPr>
          <w:sz w:val="24"/>
          <w:szCs w:val="24"/>
        </w:rPr>
        <w:t xml:space="preserve"> vežu</w:t>
      </w:r>
      <w:r w:rsidR="000C0349" w:rsidRPr="00F4562D">
        <w:rPr>
          <w:sz w:val="24"/>
          <w:szCs w:val="24"/>
        </w:rPr>
        <w:t>, sagledavajući ne samo kratkoročne učinke nego i dugoročne</w:t>
      </w:r>
      <w:r w:rsidR="00D36352" w:rsidRPr="00F4562D">
        <w:rPr>
          <w:sz w:val="24"/>
          <w:szCs w:val="24"/>
        </w:rPr>
        <w:t xml:space="preserve"> </w:t>
      </w:r>
      <w:r w:rsidR="000C0349" w:rsidRPr="00F4562D">
        <w:rPr>
          <w:sz w:val="24"/>
          <w:szCs w:val="24"/>
        </w:rPr>
        <w:t>tim više ako se radi o odluci koja se može duže vremensko razdoblje odražavati na financije kućanstva.</w:t>
      </w:r>
      <w:r w:rsidR="00392333">
        <w:rPr>
          <w:sz w:val="24"/>
          <w:szCs w:val="24"/>
        </w:rPr>
        <w:t xml:space="preserve"> </w:t>
      </w:r>
    </w:p>
    <w:p w:rsidR="000C0349" w:rsidRPr="00F4562D" w:rsidRDefault="00392333" w:rsidP="008C1E2E">
      <w:pPr>
        <w:widowControl w:val="0"/>
        <w:overflowPunct w:val="0"/>
        <w:autoSpaceDE w:val="0"/>
        <w:autoSpaceDN w:val="0"/>
        <w:adjustRightInd w:val="0"/>
        <w:spacing w:before="240"/>
        <w:jc w:val="both"/>
        <w:rPr>
          <w:sz w:val="24"/>
          <w:szCs w:val="24"/>
        </w:rPr>
      </w:pPr>
      <w:r>
        <w:rPr>
          <w:sz w:val="24"/>
          <w:szCs w:val="24"/>
        </w:rPr>
        <w:t xml:space="preserve">Također je </w:t>
      </w:r>
      <w:r w:rsidR="00DD6FE8">
        <w:rPr>
          <w:sz w:val="24"/>
          <w:szCs w:val="24"/>
        </w:rPr>
        <w:t>(</w:t>
      </w:r>
      <w:r>
        <w:rPr>
          <w:sz w:val="24"/>
          <w:szCs w:val="24"/>
        </w:rPr>
        <w:t>kao i u slučaju svake druge aktivnosti</w:t>
      </w:r>
      <w:r w:rsidR="00DD6FE8">
        <w:rPr>
          <w:sz w:val="24"/>
          <w:szCs w:val="24"/>
        </w:rPr>
        <w:t>)</w:t>
      </w:r>
      <w:r>
        <w:rPr>
          <w:sz w:val="24"/>
          <w:szCs w:val="24"/>
        </w:rPr>
        <w:t xml:space="preserve"> potrebno </w:t>
      </w:r>
      <w:r w:rsidRPr="00392333">
        <w:rPr>
          <w:color w:val="C00000"/>
          <w:sz w:val="24"/>
          <w:szCs w:val="24"/>
        </w:rPr>
        <w:t>planirati vrijeme odlaska u trgovinu, vrijeme potrebno za istraživanje tržišta i vrednovanje alternativa</w:t>
      </w:r>
      <w:r>
        <w:rPr>
          <w:color w:val="C00000"/>
          <w:sz w:val="24"/>
          <w:szCs w:val="24"/>
        </w:rPr>
        <w:t xml:space="preserve"> -</w:t>
      </w:r>
      <w:r>
        <w:rPr>
          <w:sz w:val="24"/>
          <w:szCs w:val="24"/>
        </w:rPr>
        <w:t xml:space="preserve"> kako oskudnost raspoloživog vremena ne bi rezultirala „kupnjom onoga što prvo dođe pod ruku“ i/ili po znatno višoj cijeni od uobičajene. O rizicima stihijske i emotivne kupnje posebno treba vodi računa u razdobljima euforije optimizma, „razdoblju darivanja“ i blagdanskih kupovina, kao i „velikih sniženja“ kada prodaje robe uz diskont povećava izglednost kupovine robe koja nije nužno potrebna</w:t>
      </w:r>
      <w:r w:rsidR="005C66A5">
        <w:rPr>
          <w:sz w:val="24"/>
          <w:szCs w:val="24"/>
        </w:rPr>
        <w:t>, odnosno kako ističu brojna savjetovališta za potrošače: „N</w:t>
      </w:r>
      <w:r w:rsidR="005C66A5" w:rsidRPr="005C66A5">
        <w:rPr>
          <w:sz w:val="24"/>
          <w:szCs w:val="24"/>
        </w:rPr>
        <w:t>ikako ne treba kupovati nešto samo zato što je na akciji</w:t>
      </w:r>
      <w:r w:rsidR="005C66A5">
        <w:rPr>
          <w:sz w:val="24"/>
          <w:szCs w:val="24"/>
        </w:rPr>
        <w:t>!</w:t>
      </w:r>
      <w:r w:rsidR="005C66A5" w:rsidRPr="005C66A5">
        <w:rPr>
          <w:sz w:val="24"/>
          <w:szCs w:val="24"/>
        </w:rPr>
        <w:t>“</w:t>
      </w:r>
      <w:r>
        <w:rPr>
          <w:sz w:val="24"/>
          <w:szCs w:val="24"/>
        </w:rPr>
        <w:t xml:space="preserve"> S druge strane, upravo su </w:t>
      </w:r>
      <w:r w:rsidRPr="00392333">
        <w:rPr>
          <w:color w:val="C00000"/>
          <w:sz w:val="24"/>
          <w:szCs w:val="24"/>
        </w:rPr>
        <w:t xml:space="preserve">sezonska sniženja i diskonti </w:t>
      </w:r>
      <w:r>
        <w:rPr>
          <w:sz w:val="24"/>
          <w:szCs w:val="24"/>
        </w:rPr>
        <w:t xml:space="preserve">u trgovinama </w:t>
      </w:r>
      <w:r w:rsidR="005C66A5">
        <w:rPr>
          <w:sz w:val="24"/>
          <w:szCs w:val="24"/>
        </w:rPr>
        <w:t xml:space="preserve">(pod pretpostavkom da se doista radi o sniženju) </w:t>
      </w:r>
      <w:r w:rsidRPr="00DD6FE8">
        <w:rPr>
          <w:color w:val="C00000"/>
          <w:sz w:val="24"/>
          <w:szCs w:val="24"/>
        </w:rPr>
        <w:t>prilike kada je moguće racionalizirati troškove</w:t>
      </w:r>
      <w:r>
        <w:rPr>
          <w:sz w:val="24"/>
          <w:szCs w:val="24"/>
        </w:rPr>
        <w:t>, ali vodeći računa o opravdanosti svake pojedinačne kupovine</w:t>
      </w:r>
      <w:r w:rsidR="005C66A5">
        <w:rPr>
          <w:sz w:val="24"/>
          <w:szCs w:val="24"/>
        </w:rPr>
        <w:t>,</w:t>
      </w:r>
      <w:r>
        <w:rPr>
          <w:sz w:val="24"/>
          <w:szCs w:val="24"/>
        </w:rPr>
        <w:t>roku trajanja različitih roba i usluga</w:t>
      </w:r>
      <w:r w:rsidR="005C66A5">
        <w:rPr>
          <w:sz w:val="24"/>
          <w:szCs w:val="24"/>
        </w:rPr>
        <w:t xml:space="preserve">, cijenama iste robe u drugim trgovinama te </w:t>
      </w:r>
      <w:r w:rsidR="005C66A5" w:rsidRPr="005C66A5">
        <w:rPr>
          <w:color w:val="C00000"/>
          <w:sz w:val="24"/>
          <w:szCs w:val="24"/>
        </w:rPr>
        <w:t>odnosu cijene i kvalitete</w:t>
      </w:r>
      <w:r>
        <w:rPr>
          <w:sz w:val="24"/>
          <w:szCs w:val="24"/>
        </w:rPr>
        <w:t xml:space="preserve">. </w:t>
      </w:r>
    </w:p>
    <w:p w:rsidR="00303108" w:rsidRPr="00F4562D" w:rsidRDefault="00D36352" w:rsidP="00E649BD">
      <w:pPr>
        <w:widowControl w:val="0"/>
        <w:overflowPunct w:val="0"/>
        <w:autoSpaceDE w:val="0"/>
        <w:autoSpaceDN w:val="0"/>
        <w:adjustRightInd w:val="0"/>
        <w:jc w:val="both"/>
        <w:rPr>
          <w:sz w:val="24"/>
          <w:szCs w:val="24"/>
        </w:rPr>
      </w:pPr>
      <w:r w:rsidRPr="00F4562D">
        <w:rPr>
          <w:sz w:val="24"/>
          <w:szCs w:val="24"/>
        </w:rPr>
        <w:t xml:space="preserve">Za donošenje </w:t>
      </w:r>
      <w:r w:rsidR="000C0349" w:rsidRPr="00F4562D">
        <w:rPr>
          <w:sz w:val="24"/>
          <w:szCs w:val="24"/>
        </w:rPr>
        <w:t xml:space="preserve">racionalne i </w:t>
      </w:r>
      <w:r w:rsidRPr="00F4562D">
        <w:rPr>
          <w:sz w:val="24"/>
          <w:szCs w:val="24"/>
        </w:rPr>
        <w:t xml:space="preserve">ispravne odluke o kupovini </w:t>
      </w:r>
      <w:r w:rsidR="000C0349" w:rsidRPr="00F4562D">
        <w:rPr>
          <w:sz w:val="24"/>
          <w:szCs w:val="24"/>
        </w:rPr>
        <w:t xml:space="preserve">(ulaganju) </w:t>
      </w:r>
      <w:r w:rsidRPr="00F4562D">
        <w:rPr>
          <w:sz w:val="24"/>
          <w:szCs w:val="24"/>
        </w:rPr>
        <w:t>potreb</w:t>
      </w:r>
      <w:r w:rsidR="007855E8" w:rsidRPr="00F4562D">
        <w:rPr>
          <w:sz w:val="24"/>
          <w:szCs w:val="24"/>
        </w:rPr>
        <w:t>a</w:t>
      </w:r>
      <w:r w:rsidRPr="00F4562D">
        <w:rPr>
          <w:sz w:val="24"/>
          <w:szCs w:val="24"/>
        </w:rPr>
        <w:t>n</w:t>
      </w:r>
      <w:r w:rsidR="007855E8" w:rsidRPr="00F4562D">
        <w:rPr>
          <w:sz w:val="24"/>
          <w:szCs w:val="24"/>
        </w:rPr>
        <w:t xml:space="preserve"> je određeni napor i</w:t>
      </w:r>
      <w:r w:rsidRPr="00F4562D">
        <w:rPr>
          <w:sz w:val="24"/>
          <w:szCs w:val="24"/>
        </w:rPr>
        <w:t xml:space="preserve"> </w:t>
      </w:r>
      <w:r w:rsidRPr="00F4562D">
        <w:rPr>
          <w:sz w:val="24"/>
          <w:szCs w:val="24"/>
        </w:rPr>
        <w:lastRenderedPageBreak/>
        <w:t>vrijeme tijekom kojeg dolazi do izražaja tzv</w:t>
      </w:r>
      <w:r w:rsidRPr="00F4562D">
        <w:rPr>
          <w:color w:val="C00000"/>
          <w:sz w:val="24"/>
          <w:szCs w:val="24"/>
        </w:rPr>
        <w:t>. kontrolirano razmišljanje</w:t>
      </w:r>
      <w:r w:rsidR="006910F5" w:rsidRPr="00F4562D">
        <w:rPr>
          <w:color w:val="C00000"/>
          <w:sz w:val="24"/>
          <w:szCs w:val="24"/>
        </w:rPr>
        <w:t xml:space="preserve"> </w:t>
      </w:r>
      <w:r w:rsidR="006910F5" w:rsidRPr="00F4562D">
        <w:rPr>
          <w:sz w:val="24"/>
          <w:szCs w:val="24"/>
        </w:rPr>
        <w:t>u okviru kojega osoba: spoznaje problem, pribavlja informacije, prerađuje informacije i vrednuje alternative te donosi odluku (npr. odluku o kupovini određene robe ili usluge)</w:t>
      </w:r>
      <w:r w:rsidR="007855E8" w:rsidRPr="00F4562D">
        <w:rPr>
          <w:sz w:val="24"/>
          <w:szCs w:val="24"/>
        </w:rPr>
        <w:t xml:space="preserve">. Tim više što proces donošenja odluke o kupovini ne prestaje donošenjem odluke i izvršavanjem plaćanja, nego se </w:t>
      </w:r>
      <w:r w:rsidR="006910F5" w:rsidRPr="00F4562D">
        <w:rPr>
          <w:sz w:val="24"/>
          <w:szCs w:val="24"/>
        </w:rPr>
        <w:t xml:space="preserve">praktično nastavlja i nakon donošenja odluke </w:t>
      </w:r>
      <w:r w:rsidR="007855E8" w:rsidRPr="00F4562D">
        <w:rPr>
          <w:sz w:val="24"/>
          <w:szCs w:val="24"/>
        </w:rPr>
        <w:t>(</w:t>
      </w:r>
      <w:r w:rsidR="006910F5" w:rsidRPr="00F4562D">
        <w:rPr>
          <w:sz w:val="24"/>
          <w:szCs w:val="24"/>
        </w:rPr>
        <w:t>kupnje</w:t>
      </w:r>
      <w:r w:rsidR="007855E8" w:rsidRPr="00F4562D">
        <w:rPr>
          <w:sz w:val="24"/>
          <w:szCs w:val="24"/>
        </w:rPr>
        <w:t xml:space="preserve">, </w:t>
      </w:r>
      <w:r w:rsidR="006910F5" w:rsidRPr="00F4562D">
        <w:rPr>
          <w:sz w:val="24"/>
          <w:szCs w:val="24"/>
        </w:rPr>
        <w:t xml:space="preserve">ulaganja) kroz vrednovanje proizvoda </w:t>
      </w:r>
      <w:r w:rsidR="007855E8" w:rsidRPr="00F4562D">
        <w:rPr>
          <w:sz w:val="24"/>
          <w:szCs w:val="24"/>
        </w:rPr>
        <w:t xml:space="preserve">(investicije) </w:t>
      </w:r>
      <w:r w:rsidR="006910F5" w:rsidRPr="00F4562D">
        <w:rPr>
          <w:sz w:val="24"/>
          <w:szCs w:val="24"/>
        </w:rPr>
        <w:t xml:space="preserve">i potreba koje zadovoljava ili ih ne zadovoljava. Kroz </w:t>
      </w:r>
      <w:r w:rsidR="00794C41">
        <w:rPr>
          <w:sz w:val="24"/>
          <w:szCs w:val="24"/>
        </w:rPr>
        <w:t xml:space="preserve">veću informiranost, </w:t>
      </w:r>
      <w:r w:rsidR="006910F5" w:rsidRPr="00F4562D">
        <w:rPr>
          <w:sz w:val="24"/>
          <w:szCs w:val="24"/>
        </w:rPr>
        <w:t xml:space="preserve">kontrolirano razmišljanje </w:t>
      </w:r>
      <w:r w:rsidR="00794C41">
        <w:rPr>
          <w:sz w:val="24"/>
          <w:szCs w:val="24"/>
        </w:rPr>
        <w:t xml:space="preserve">i </w:t>
      </w:r>
      <w:r w:rsidR="006910F5" w:rsidRPr="00F4562D">
        <w:rPr>
          <w:sz w:val="24"/>
          <w:szCs w:val="24"/>
        </w:rPr>
        <w:t xml:space="preserve">racionalno donošenje odluka djeluje se u pravcu izbjegavanja </w:t>
      </w:r>
      <w:r w:rsidR="003E119A" w:rsidRPr="00F4562D">
        <w:rPr>
          <w:sz w:val="24"/>
          <w:szCs w:val="24"/>
        </w:rPr>
        <w:t xml:space="preserve">kasnijeg kajanja, </w:t>
      </w:r>
      <w:r w:rsidR="006910F5" w:rsidRPr="00F4562D">
        <w:rPr>
          <w:sz w:val="24"/>
          <w:szCs w:val="24"/>
        </w:rPr>
        <w:t xml:space="preserve">žaljenja i samosažaljenja zbog krivih </w:t>
      </w:r>
      <w:r w:rsidR="007855E8" w:rsidRPr="00F4562D">
        <w:rPr>
          <w:sz w:val="24"/>
          <w:szCs w:val="24"/>
        </w:rPr>
        <w:t xml:space="preserve">i stihijskih </w:t>
      </w:r>
      <w:r w:rsidR="006910F5" w:rsidRPr="00F4562D">
        <w:rPr>
          <w:sz w:val="24"/>
          <w:szCs w:val="24"/>
        </w:rPr>
        <w:t>odluka</w:t>
      </w:r>
      <w:r w:rsidR="007855E8" w:rsidRPr="00F4562D">
        <w:rPr>
          <w:sz w:val="24"/>
          <w:szCs w:val="24"/>
        </w:rPr>
        <w:t>, odnosno stanja nezadovoljstva</w:t>
      </w:r>
      <w:r w:rsidR="00794C41">
        <w:rPr>
          <w:sz w:val="24"/>
          <w:szCs w:val="24"/>
        </w:rPr>
        <w:t xml:space="preserve"> zbog učinjenog troška</w:t>
      </w:r>
      <w:r w:rsidR="007855E8" w:rsidRPr="00F4562D">
        <w:rPr>
          <w:sz w:val="24"/>
          <w:szCs w:val="24"/>
        </w:rPr>
        <w:t xml:space="preserve">. </w:t>
      </w:r>
    </w:p>
    <w:tbl>
      <w:tblPr>
        <w:tblStyle w:val="Reetkatablice"/>
        <w:tblW w:w="0" w:type="auto"/>
        <w:tblInd w:w="108" w:type="dxa"/>
        <w:tblLook w:val="04A0" w:firstRow="1" w:lastRow="0" w:firstColumn="1" w:lastColumn="0" w:noHBand="0" w:noVBand="1"/>
      </w:tblPr>
      <w:tblGrid>
        <w:gridCol w:w="9180"/>
      </w:tblGrid>
      <w:tr w:rsidR="00794C41" w:rsidTr="00794C41">
        <w:tc>
          <w:tcPr>
            <w:tcW w:w="9180" w:type="dxa"/>
            <w:shd w:val="clear" w:color="auto" w:fill="F2F2F2" w:themeFill="background1" w:themeFillShade="F2"/>
          </w:tcPr>
          <w:p w:rsidR="00794C41" w:rsidRDefault="00794C41" w:rsidP="00794C41">
            <w:pPr>
              <w:widowControl w:val="0"/>
              <w:overflowPunct w:val="0"/>
              <w:autoSpaceDE w:val="0"/>
              <w:autoSpaceDN w:val="0"/>
              <w:adjustRightInd w:val="0"/>
              <w:spacing w:before="120" w:after="120"/>
              <w:jc w:val="both"/>
              <w:rPr>
                <w:sz w:val="24"/>
                <w:szCs w:val="24"/>
              </w:rPr>
            </w:pPr>
            <w:r w:rsidRPr="008C1E2E">
              <w:rPr>
                <w:rFonts w:asciiTheme="minorHAnsi" w:hAnsiTheme="minorHAnsi"/>
                <w:color w:val="C00000"/>
                <w:sz w:val="24"/>
                <w:szCs w:val="24"/>
              </w:rPr>
              <w:t xml:space="preserve">Kontrolirano razmišljanje </w:t>
            </w:r>
            <w:r w:rsidRPr="00F4562D">
              <w:rPr>
                <w:rFonts w:asciiTheme="minorHAnsi" w:hAnsiTheme="minorHAnsi"/>
                <w:sz w:val="24"/>
                <w:szCs w:val="24"/>
              </w:rPr>
              <w:t>predstavlja svjestan, namjeran i dobrovoljan proces u koji se ulaže trud, mentalna energija, motivacija i vrijeme. Njime se izbjegavaju različite zamke pristranosti te daje prostora analizi i ocjeni točnosti (istinitosti) prezentiranih informacija. U protivnom, uz stanja umora,  manjka koncentracije i odsustva kontroliranog razmišljanja osoba lako postaje žrtva netočne ili nepotpune informacije. Tim više što su ljudi skloni vjerovati svemu što čuju ili vide, a analizi istinitosti posvećuju pažnju jedino ako im je dovoljno stalo analizirati problem.</w:t>
            </w:r>
          </w:p>
        </w:tc>
      </w:tr>
    </w:tbl>
    <w:p w:rsidR="00794C41" w:rsidRDefault="00794C41" w:rsidP="00794C41">
      <w:pPr>
        <w:widowControl w:val="0"/>
        <w:overflowPunct w:val="0"/>
        <w:autoSpaceDE w:val="0"/>
        <w:autoSpaceDN w:val="0"/>
        <w:adjustRightInd w:val="0"/>
        <w:spacing w:before="240"/>
        <w:jc w:val="both"/>
        <w:rPr>
          <w:bCs/>
          <w:sz w:val="24"/>
          <w:szCs w:val="24"/>
        </w:rPr>
      </w:pPr>
      <w:r w:rsidRPr="00F4562D">
        <w:rPr>
          <w:sz w:val="24"/>
          <w:szCs w:val="24"/>
        </w:rPr>
        <w:t xml:space="preserve">Suprotnost kontroliranom razmišljanju je tzv. </w:t>
      </w:r>
      <w:r w:rsidRPr="00F4562D">
        <w:rPr>
          <w:color w:val="C00000"/>
          <w:sz w:val="24"/>
          <w:szCs w:val="24"/>
        </w:rPr>
        <w:t xml:space="preserve">automatsko mišljenje </w:t>
      </w:r>
      <w:r w:rsidRPr="00F4562D">
        <w:rPr>
          <w:sz w:val="24"/>
          <w:szCs w:val="24"/>
        </w:rPr>
        <w:t xml:space="preserve">– odnosno </w:t>
      </w:r>
      <w:r w:rsidRPr="00F4562D">
        <w:rPr>
          <w:bCs/>
          <w:sz w:val="24"/>
          <w:szCs w:val="24"/>
        </w:rPr>
        <w:t>razmišljanje koje nije svjesno i u koje se ne ulaže napor a djeluje „</w:t>
      </w:r>
      <w:r w:rsidRPr="00F4562D">
        <w:rPr>
          <w:bCs/>
          <w:i/>
          <w:sz w:val="24"/>
          <w:szCs w:val="24"/>
        </w:rPr>
        <w:t>poput kognitivnog čudovišta koje upravlja ljudskim mozgom</w:t>
      </w:r>
      <w:r w:rsidRPr="00F4562D">
        <w:rPr>
          <w:bCs/>
          <w:sz w:val="24"/>
          <w:szCs w:val="24"/>
        </w:rPr>
        <w:t xml:space="preserve">“ (John Bargh). Kako kapacitet prosječnog pojedinca podrazumijeva da svjesno i kontrolirano razmišlja samo o jedno stvari, svi ostali paralelni procesi „događaju se u pozadini“  i vežu se uz automatsko mišljenje, a u pojedinim situacijama ono može prevladati vodeći se načelom „vidjeti znači vjerovati“. </w:t>
      </w:r>
    </w:p>
    <w:p w:rsidR="005C66A5" w:rsidRDefault="00794C41" w:rsidP="00427BEA">
      <w:pPr>
        <w:widowControl w:val="0"/>
        <w:overflowPunct w:val="0"/>
        <w:autoSpaceDE w:val="0"/>
        <w:autoSpaceDN w:val="0"/>
        <w:adjustRightInd w:val="0"/>
        <w:jc w:val="both"/>
        <w:rPr>
          <w:bCs/>
          <w:sz w:val="24"/>
          <w:szCs w:val="24"/>
        </w:rPr>
      </w:pPr>
      <w:r w:rsidRPr="00F4562D">
        <w:rPr>
          <w:bCs/>
          <w:sz w:val="24"/>
          <w:szCs w:val="24"/>
        </w:rPr>
        <w:t xml:space="preserve">Faktor koji posebno djeluje na automatsko mišljenje su tzv. </w:t>
      </w:r>
      <w:r w:rsidRPr="00F4562D">
        <w:rPr>
          <w:bCs/>
          <w:color w:val="C00000"/>
          <w:sz w:val="24"/>
          <w:szCs w:val="24"/>
        </w:rPr>
        <w:t>sheme</w:t>
      </w:r>
      <w:r w:rsidRPr="00F4562D">
        <w:rPr>
          <w:bCs/>
          <w:sz w:val="24"/>
          <w:szCs w:val="24"/>
        </w:rPr>
        <w:t xml:space="preserve"> – spoznajne strukturirane cjeline koje ljudi stvaraju kako bi organizirali svoje znanje i razmišljanje o „svijetu koji ih okružuje“, odnosno određenoj temi ili području. One  utječu na informacije koje ljudi uočavaju (koje percipiraju u odnosu na druge koje ne percipiraju</w:t>
      </w:r>
      <w:r>
        <w:rPr>
          <w:bCs/>
          <w:sz w:val="24"/>
          <w:szCs w:val="24"/>
        </w:rPr>
        <w:t xml:space="preserve"> ili ih manje percipiraju</w:t>
      </w:r>
      <w:r w:rsidRPr="00F4562D">
        <w:rPr>
          <w:bCs/>
          <w:sz w:val="24"/>
          <w:szCs w:val="24"/>
        </w:rPr>
        <w:t xml:space="preserve">),  o kojima misle i koje pamte, odnosno informacije </w:t>
      </w:r>
      <w:r>
        <w:rPr>
          <w:bCs/>
          <w:sz w:val="24"/>
          <w:szCs w:val="24"/>
        </w:rPr>
        <w:t xml:space="preserve">kojih će se kasnije sjetiti (npr. kada ih </w:t>
      </w:r>
      <w:r w:rsidRPr="00F4562D">
        <w:rPr>
          <w:bCs/>
          <w:sz w:val="24"/>
          <w:szCs w:val="24"/>
        </w:rPr>
        <w:t>određeni vanjski impuls</w:t>
      </w:r>
      <w:r>
        <w:rPr>
          <w:bCs/>
          <w:sz w:val="24"/>
          <w:szCs w:val="24"/>
        </w:rPr>
        <w:t xml:space="preserve"> stimulira)</w:t>
      </w:r>
      <w:r w:rsidRPr="00F4562D">
        <w:rPr>
          <w:bCs/>
          <w:sz w:val="24"/>
          <w:szCs w:val="24"/>
        </w:rPr>
        <w:t xml:space="preserve">. Sheme su često razlog različitih </w:t>
      </w:r>
      <w:r w:rsidRPr="00F4562D">
        <w:rPr>
          <w:bCs/>
          <w:color w:val="C00000"/>
          <w:sz w:val="24"/>
          <w:szCs w:val="24"/>
        </w:rPr>
        <w:t xml:space="preserve">rekonstrukcija u pamćenju </w:t>
      </w:r>
      <w:r w:rsidRPr="00F4562D">
        <w:rPr>
          <w:bCs/>
          <w:sz w:val="24"/>
          <w:szCs w:val="24"/>
        </w:rPr>
        <w:t>(npr. prošlih iskustvenih sadržaja i informacija) na način da one nastoje biti u skladu sa shemama koje se formirane.</w:t>
      </w:r>
      <w:r w:rsidRPr="00F4562D">
        <w:rPr>
          <w:sz w:val="24"/>
          <w:szCs w:val="24"/>
          <w:vertAlign w:val="superscript"/>
        </w:rPr>
        <w:t xml:space="preserve"> </w:t>
      </w:r>
      <w:r w:rsidRPr="00F4562D">
        <w:rPr>
          <w:sz w:val="24"/>
          <w:szCs w:val="24"/>
          <w:vertAlign w:val="superscript"/>
        </w:rPr>
        <w:footnoteReference w:id="61"/>
      </w:r>
      <w:r w:rsidRPr="00F4562D">
        <w:rPr>
          <w:bCs/>
          <w:sz w:val="24"/>
          <w:szCs w:val="24"/>
        </w:rPr>
        <w:t xml:space="preserve"> Na formiranje sheme utječu</w:t>
      </w:r>
      <w:r w:rsidR="005C66A5">
        <w:rPr>
          <w:bCs/>
          <w:sz w:val="24"/>
          <w:szCs w:val="24"/>
        </w:rPr>
        <w:t>:</w:t>
      </w:r>
      <w:r w:rsidRPr="00F4562D">
        <w:rPr>
          <w:bCs/>
          <w:sz w:val="24"/>
          <w:szCs w:val="24"/>
        </w:rPr>
        <w:t xml:space="preserve"> </w:t>
      </w:r>
    </w:p>
    <w:p w:rsidR="005C66A5" w:rsidRPr="005C66A5" w:rsidRDefault="00794C41" w:rsidP="006F1C04">
      <w:pPr>
        <w:pStyle w:val="Odlomakpopisa"/>
        <w:widowControl w:val="0"/>
        <w:numPr>
          <w:ilvl w:val="0"/>
          <w:numId w:val="45"/>
        </w:numPr>
        <w:overflowPunct w:val="0"/>
        <w:autoSpaceDE w:val="0"/>
        <w:autoSpaceDN w:val="0"/>
        <w:adjustRightInd w:val="0"/>
        <w:spacing w:after="120" w:line="269" w:lineRule="auto"/>
        <w:ind w:left="714" w:hanging="357"/>
        <w:jc w:val="both"/>
        <w:rPr>
          <w:bCs/>
          <w:sz w:val="24"/>
          <w:szCs w:val="24"/>
        </w:rPr>
      </w:pPr>
      <w:r w:rsidRPr="005C66A5">
        <w:rPr>
          <w:bCs/>
          <w:sz w:val="24"/>
          <w:szCs w:val="24"/>
        </w:rPr>
        <w:t>faktori okruženja (kultura, društvene vrijednosti, socijalne grupe</w:t>
      </w:r>
      <w:r w:rsidR="00BE05D1" w:rsidRPr="005C66A5">
        <w:rPr>
          <w:bCs/>
          <w:sz w:val="24"/>
          <w:szCs w:val="24"/>
        </w:rPr>
        <w:t>,</w:t>
      </w:r>
      <w:r w:rsidRPr="005C66A5">
        <w:rPr>
          <w:bCs/>
          <w:sz w:val="24"/>
          <w:szCs w:val="24"/>
        </w:rPr>
        <w:t xml:space="preserve"> obitelj, utjecaj drugih </w:t>
      </w:r>
      <w:r w:rsidR="00BE05D1" w:rsidRPr="005C66A5">
        <w:rPr>
          <w:bCs/>
          <w:sz w:val="24"/>
          <w:szCs w:val="24"/>
        </w:rPr>
        <w:t>te</w:t>
      </w:r>
      <w:r w:rsidRPr="005C66A5">
        <w:rPr>
          <w:bCs/>
          <w:sz w:val="24"/>
          <w:szCs w:val="24"/>
        </w:rPr>
        <w:t xml:space="preserve"> opća situacija u ekonomiji i društvu), </w:t>
      </w:r>
      <w:r w:rsidR="005C66A5" w:rsidRPr="005C66A5">
        <w:rPr>
          <w:bCs/>
          <w:sz w:val="24"/>
          <w:szCs w:val="24"/>
        </w:rPr>
        <w:t xml:space="preserve">kao i </w:t>
      </w:r>
    </w:p>
    <w:p w:rsidR="00794C41" w:rsidRPr="005C66A5" w:rsidRDefault="005C66A5" w:rsidP="006F1C04">
      <w:pPr>
        <w:pStyle w:val="Odlomakpopisa"/>
        <w:widowControl w:val="0"/>
        <w:numPr>
          <w:ilvl w:val="0"/>
          <w:numId w:val="45"/>
        </w:numPr>
        <w:overflowPunct w:val="0"/>
        <w:autoSpaceDE w:val="0"/>
        <w:autoSpaceDN w:val="0"/>
        <w:adjustRightInd w:val="0"/>
        <w:spacing w:after="120" w:line="269" w:lineRule="auto"/>
        <w:ind w:left="714" w:hanging="357"/>
        <w:jc w:val="both"/>
        <w:rPr>
          <w:bCs/>
          <w:sz w:val="24"/>
          <w:szCs w:val="24"/>
        </w:rPr>
      </w:pPr>
      <w:r w:rsidRPr="005C66A5">
        <w:rPr>
          <w:bCs/>
          <w:sz w:val="24"/>
          <w:szCs w:val="24"/>
        </w:rPr>
        <w:t xml:space="preserve">faktori </w:t>
      </w:r>
      <w:r w:rsidR="00794C41" w:rsidRPr="005C66A5">
        <w:rPr>
          <w:bCs/>
          <w:sz w:val="24"/>
          <w:szCs w:val="24"/>
        </w:rPr>
        <w:t>individualni</w:t>
      </w:r>
      <w:r w:rsidRPr="005C66A5">
        <w:rPr>
          <w:bCs/>
          <w:sz w:val="24"/>
          <w:szCs w:val="24"/>
        </w:rPr>
        <w:t>h različitosti</w:t>
      </w:r>
      <w:r w:rsidR="00794C41" w:rsidRPr="005C66A5">
        <w:rPr>
          <w:bCs/>
          <w:sz w:val="24"/>
          <w:szCs w:val="24"/>
        </w:rPr>
        <w:t xml:space="preserve"> (znanje, stavovi, obilježja ličnosti</w:t>
      </w:r>
      <w:r w:rsidRPr="005C66A5">
        <w:rPr>
          <w:bCs/>
          <w:sz w:val="24"/>
          <w:szCs w:val="24"/>
        </w:rPr>
        <w:t xml:space="preserve">, </w:t>
      </w:r>
      <w:r w:rsidR="00794C41" w:rsidRPr="005C66A5">
        <w:rPr>
          <w:bCs/>
          <w:sz w:val="24"/>
          <w:szCs w:val="24"/>
        </w:rPr>
        <w:t xml:space="preserve"> </w:t>
      </w:r>
      <w:r w:rsidRPr="005C66A5">
        <w:rPr>
          <w:bCs/>
          <w:sz w:val="24"/>
          <w:szCs w:val="24"/>
        </w:rPr>
        <w:t>osobne</w:t>
      </w:r>
      <w:r w:rsidR="00794C41" w:rsidRPr="005C66A5">
        <w:rPr>
          <w:bCs/>
          <w:sz w:val="24"/>
          <w:szCs w:val="24"/>
        </w:rPr>
        <w:t xml:space="preserve"> vrijednosti i stilom života).</w:t>
      </w:r>
    </w:p>
    <w:p w:rsidR="00FF63EC" w:rsidRPr="00F4562D" w:rsidRDefault="00E65873" w:rsidP="005C66A5">
      <w:pPr>
        <w:widowControl w:val="0"/>
        <w:overflowPunct w:val="0"/>
        <w:autoSpaceDE w:val="0"/>
        <w:autoSpaceDN w:val="0"/>
        <w:adjustRightInd w:val="0"/>
        <w:spacing w:before="240"/>
        <w:jc w:val="both"/>
        <w:rPr>
          <w:bCs/>
          <w:sz w:val="24"/>
          <w:szCs w:val="24"/>
        </w:rPr>
      </w:pPr>
      <w:r w:rsidRPr="00F4562D">
        <w:rPr>
          <w:bCs/>
          <w:sz w:val="24"/>
          <w:szCs w:val="24"/>
        </w:rPr>
        <w:t>Proces donošenja iracionalnih odluka pojedinca često je pod utjecajem različitih heuristika</w:t>
      </w:r>
      <w:r w:rsidR="0027086B" w:rsidRPr="00F4562D">
        <w:rPr>
          <w:bCs/>
          <w:sz w:val="24"/>
          <w:szCs w:val="24"/>
        </w:rPr>
        <w:t xml:space="preserve">, kao što su </w:t>
      </w:r>
      <w:r w:rsidRPr="00F4562D">
        <w:rPr>
          <w:bCs/>
          <w:color w:val="C00000"/>
          <w:sz w:val="24"/>
          <w:szCs w:val="24"/>
        </w:rPr>
        <w:t>heuristike dostupnosti</w:t>
      </w:r>
      <w:r w:rsidR="0027086B" w:rsidRPr="00F4562D">
        <w:rPr>
          <w:bCs/>
          <w:sz w:val="24"/>
          <w:szCs w:val="24"/>
        </w:rPr>
        <w:t xml:space="preserve">. Vrlo često ljudi </w:t>
      </w:r>
      <w:r w:rsidR="00EF2766" w:rsidRPr="00F4562D">
        <w:rPr>
          <w:bCs/>
          <w:sz w:val="24"/>
          <w:szCs w:val="24"/>
        </w:rPr>
        <w:t xml:space="preserve">donose prosudbe </w:t>
      </w:r>
      <w:r w:rsidR="0027086B" w:rsidRPr="00F4562D">
        <w:rPr>
          <w:bCs/>
          <w:sz w:val="24"/>
          <w:szCs w:val="24"/>
        </w:rPr>
        <w:t xml:space="preserve">i odluke o određenom </w:t>
      </w:r>
      <w:r w:rsidR="0027086B" w:rsidRPr="00F4562D">
        <w:rPr>
          <w:bCs/>
          <w:sz w:val="24"/>
          <w:szCs w:val="24"/>
        </w:rPr>
        <w:lastRenderedPageBreak/>
        <w:t xml:space="preserve">izboru </w:t>
      </w:r>
      <w:r w:rsidR="00EF2766" w:rsidRPr="00F4562D">
        <w:rPr>
          <w:bCs/>
          <w:sz w:val="24"/>
          <w:szCs w:val="24"/>
        </w:rPr>
        <w:t>ne temelju lakoće kojom se mogu nečega dosjetiti</w:t>
      </w:r>
      <w:r w:rsidR="0027086B" w:rsidRPr="00F4562D">
        <w:rPr>
          <w:bCs/>
          <w:sz w:val="24"/>
          <w:szCs w:val="24"/>
        </w:rPr>
        <w:t xml:space="preserve"> odnosno informacija koje im „prve padaju na pamet“ (npr. reklame koja se svakih 20 minuta „vrti</w:t>
      </w:r>
      <w:r w:rsidR="005007F9" w:rsidRPr="00F4562D">
        <w:rPr>
          <w:bCs/>
          <w:sz w:val="24"/>
          <w:szCs w:val="24"/>
        </w:rPr>
        <w:t>“</w:t>
      </w:r>
      <w:r w:rsidR="0027086B" w:rsidRPr="00F4562D">
        <w:rPr>
          <w:bCs/>
          <w:sz w:val="24"/>
          <w:szCs w:val="24"/>
        </w:rPr>
        <w:t xml:space="preserve"> na TV-u</w:t>
      </w:r>
      <w:r w:rsidR="0027086B" w:rsidRPr="00F4562D">
        <w:rPr>
          <w:b/>
          <w:bCs/>
          <w:sz w:val="24"/>
          <w:szCs w:val="24"/>
        </w:rPr>
        <w:t xml:space="preserve">). </w:t>
      </w:r>
      <w:r w:rsidR="00C55D3D" w:rsidRPr="00F4562D">
        <w:rPr>
          <w:bCs/>
          <w:sz w:val="24"/>
          <w:szCs w:val="24"/>
        </w:rPr>
        <w:t xml:space="preserve">Čimbenici koji </w:t>
      </w:r>
      <w:r w:rsidR="00FF63EC" w:rsidRPr="00F4562D">
        <w:rPr>
          <w:bCs/>
          <w:sz w:val="24"/>
          <w:szCs w:val="24"/>
        </w:rPr>
        <w:t xml:space="preserve">djeluju na dostupnost a </w:t>
      </w:r>
      <w:r w:rsidR="00C55D3D" w:rsidRPr="00F4562D">
        <w:rPr>
          <w:bCs/>
          <w:sz w:val="24"/>
          <w:szCs w:val="24"/>
        </w:rPr>
        <w:t xml:space="preserve">odluke čine manje </w:t>
      </w:r>
      <w:r w:rsidR="00FF63EC" w:rsidRPr="00F4562D">
        <w:rPr>
          <w:bCs/>
          <w:sz w:val="24"/>
          <w:szCs w:val="24"/>
        </w:rPr>
        <w:t xml:space="preserve">racionalnima </w:t>
      </w:r>
      <w:r w:rsidR="00C55D3D" w:rsidRPr="00F4562D">
        <w:rPr>
          <w:bCs/>
          <w:sz w:val="24"/>
          <w:szCs w:val="24"/>
        </w:rPr>
        <w:t>su recentnost i familijarnost</w:t>
      </w:r>
      <w:r w:rsidR="00FF63EC" w:rsidRPr="00F4562D">
        <w:rPr>
          <w:bCs/>
          <w:sz w:val="24"/>
          <w:szCs w:val="24"/>
        </w:rPr>
        <w:t>:</w:t>
      </w:r>
      <w:r w:rsidR="00FF63EC" w:rsidRPr="00F4562D">
        <w:rPr>
          <w:b/>
          <w:bCs/>
          <w:sz w:val="24"/>
          <w:szCs w:val="24"/>
        </w:rPr>
        <w:t xml:space="preserve"> </w:t>
      </w:r>
      <w:r w:rsidR="00FF63EC" w:rsidRPr="00F4562D">
        <w:rPr>
          <w:b/>
          <w:bCs/>
          <w:i/>
          <w:sz w:val="24"/>
          <w:szCs w:val="24"/>
        </w:rPr>
        <w:t>„</w:t>
      </w:r>
      <w:r w:rsidR="00C55D3D" w:rsidRPr="00F4562D">
        <w:rPr>
          <w:bCs/>
          <w:i/>
          <w:sz w:val="24"/>
          <w:szCs w:val="24"/>
        </w:rPr>
        <w:t>Bolje pamtimo događaje koji su se dogodili nedavno nego davno prije</w:t>
      </w:r>
      <w:r w:rsidR="00FF63EC" w:rsidRPr="00F4562D">
        <w:rPr>
          <w:bCs/>
          <w:i/>
          <w:sz w:val="24"/>
          <w:szCs w:val="24"/>
        </w:rPr>
        <w:t xml:space="preserve">.“ </w:t>
      </w:r>
      <w:r w:rsidR="0027086B" w:rsidRPr="00F4562D">
        <w:rPr>
          <w:bCs/>
          <w:color w:val="C00000"/>
          <w:sz w:val="24"/>
          <w:szCs w:val="24"/>
        </w:rPr>
        <w:t>Dostupnost</w:t>
      </w:r>
      <w:r w:rsidR="0027086B" w:rsidRPr="00F4562D">
        <w:rPr>
          <w:bCs/>
          <w:sz w:val="24"/>
          <w:szCs w:val="24"/>
        </w:rPr>
        <w:t xml:space="preserve"> </w:t>
      </w:r>
      <w:r w:rsidR="00FF63EC" w:rsidRPr="00F4562D">
        <w:rPr>
          <w:bCs/>
          <w:sz w:val="24"/>
          <w:szCs w:val="24"/>
        </w:rPr>
        <w:t xml:space="preserve">tako </w:t>
      </w:r>
      <w:r w:rsidR="0027086B" w:rsidRPr="00F4562D">
        <w:rPr>
          <w:bCs/>
          <w:sz w:val="24"/>
          <w:szCs w:val="24"/>
        </w:rPr>
        <w:t xml:space="preserve">predstavlja </w:t>
      </w:r>
      <w:r w:rsidR="00EF2766" w:rsidRPr="00F4562D">
        <w:rPr>
          <w:bCs/>
          <w:sz w:val="24"/>
          <w:szCs w:val="24"/>
        </w:rPr>
        <w:t xml:space="preserve">stupanj u kojem su </w:t>
      </w:r>
      <w:r w:rsidR="0027086B" w:rsidRPr="00F4562D">
        <w:rPr>
          <w:bCs/>
          <w:sz w:val="24"/>
          <w:szCs w:val="24"/>
        </w:rPr>
        <w:t xml:space="preserve">određene informacije, </w:t>
      </w:r>
      <w:r w:rsidR="00EF2766" w:rsidRPr="00F4562D">
        <w:rPr>
          <w:bCs/>
          <w:sz w:val="24"/>
          <w:szCs w:val="24"/>
        </w:rPr>
        <w:t xml:space="preserve">sheme ili koncepti na najistaknutijem mjestu u mislima </w:t>
      </w:r>
      <w:r w:rsidR="0027086B" w:rsidRPr="00F4562D">
        <w:rPr>
          <w:bCs/>
          <w:sz w:val="24"/>
          <w:szCs w:val="24"/>
        </w:rPr>
        <w:t xml:space="preserve">pojedinca </w:t>
      </w:r>
      <w:r w:rsidR="00EF2766" w:rsidRPr="00F4562D">
        <w:rPr>
          <w:bCs/>
          <w:sz w:val="24"/>
          <w:szCs w:val="24"/>
        </w:rPr>
        <w:t>i stoga je vjerojatno da će</w:t>
      </w:r>
      <w:r w:rsidR="0027086B" w:rsidRPr="00F4562D">
        <w:rPr>
          <w:bCs/>
          <w:sz w:val="24"/>
          <w:szCs w:val="24"/>
        </w:rPr>
        <w:t xml:space="preserve"> ih upotrijebiti kada donosi</w:t>
      </w:r>
      <w:r w:rsidR="00EF2766" w:rsidRPr="00F4562D">
        <w:rPr>
          <w:bCs/>
          <w:sz w:val="24"/>
          <w:szCs w:val="24"/>
        </w:rPr>
        <w:t xml:space="preserve"> prosudbu.</w:t>
      </w:r>
      <w:r w:rsidR="0027086B" w:rsidRPr="00F4562D">
        <w:rPr>
          <w:bCs/>
          <w:sz w:val="24"/>
          <w:szCs w:val="24"/>
        </w:rPr>
        <w:t xml:space="preserve"> Dio njih je trajno dostupan zbog određenih iskustva u prošlosti koja su se duboko urezala u pamćenje, a dio je tek trenutno dostupan pa utječu na donošenje prosudba i odluka u skoroj budućnosti.</w:t>
      </w:r>
    </w:p>
    <w:p w:rsidR="00F4562D" w:rsidRDefault="0027086B" w:rsidP="00F4562D">
      <w:pPr>
        <w:widowControl w:val="0"/>
        <w:overflowPunct w:val="0"/>
        <w:autoSpaceDE w:val="0"/>
        <w:autoSpaceDN w:val="0"/>
        <w:adjustRightInd w:val="0"/>
        <w:spacing w:after="240"/>
        <w:jc w:val="both"/>
        <w:rPr>
          <w:bCs/>
          <w:sz w:val="24"/>
          <w:szCs w:val="24"/>
        </w:rPr>
      </w:pPr>
      <w:r w:rsidRPr="00F4562D">
        <w:rPr>
          <w:bCs/>
          <w:sz w:val="24"/>
          <w:szCs w:val="24"/>
        </w:rPr>
        <w:t xml:space="preserve">Ističu se i </w:t>
      </w:r>
      <w:r w:rsidRPr="00F4562D">
        <w:rPr>
          <w:bCs/>
          <w:color w:val="C00000"/>
          <w:sz w:val="24"/>
          <w:szCs w:val="24"/>
        </w:rPr>
        <w:t xml:space="preserve">heuristike u prosuđivanju </w:t>
      </w:r>
      <w:r w:rsidRPr="00F4562D">
        <w:rPr>
          <w:bCs/>
          <w:sz w:val="24"/>
          <w:szCs w:val="24"/>
        </w:rPr>
        <w:t xml:space="preserve">koje predstavljaju mentalne prečace za brže i efikasnije donošenje prosudbe ali predstavljaju rizik za donošenje brzopletih zaključaka. Dodatno to su i </w:t>
      </w:r>
      <w:r w:rsidRPr="00F4562D">
        <w:rPr>
          <w:bCs/>
          <w:color w:val="C00000"/>
          <w:sz w:val="24"/>
          <w:szCs w:val="24"/>
        </w:rPr>
        <w:t xml:space="preserve">heuristike reprezentativnosti </w:t>
      </w:r>
      <w:r w:rsidRPr="00F4562D">
        <w:rPr>
          <w:bCs/>
          <w:sz w:val="24"/>
          <w:szCs w:val="24"/>
        </w:rPr>
        <w:t xml:space="preserve">kao mentalni prečac kojim osoba klasificira objekte razmišljanja s obzirom na to koliko su slični tipičnom slučaju (situaciji). </w:t>
      </w:r>
      <w:r w:rsidR="00F4562D" w:rsidRPr="00F4562D">
        <w:rPr>
          <w:bCs/>
          <w:sz w:val="24"/>
          <w:szCs w:val="24"/>
        </w:rPr>
        <w:t xml:space="preserve">Prema </w:t>
      </w:r>
      <w:r w:rsidR="00F4562D" w:rsidRPr="00F4562D">
        <w:rPr>
          <w:bCs/>
          <w:color w:val="C00000"/>
          <w:sz w:val="24"/>
          <w:szCs w:val="24"/>
        </w:rPr>
        <w:t xml:space="preserve">teoriji ograničene racionalnosti </w:t>
      </w:r>
      <w:r w:rsidR="00F4562D" w:rsidRPr="00F4562D">
        <w:rPr>
          <w:bCs/>
          <w:sz w:val="24"/>
          <w:szCs w:val="24"/>
        </w:rPr>
        <w:t xml:space="preserve">Herberta Simona (1955.) donositelji odluka pri zadovoljenju ciljeva (potreba) ne </w:t>
      </w:r>
      <w:r w:rsidR="00F4562D">
        <w:rPr>
          <w:bCs/>
          <w:sz w:val="24"/>
          <w:szCs w:val="24"/>
        </w:rPr>
        <w:t>vode se praksom analize koristi i troškova (dobitaka i gubitaka) svih mogućih opcija</w:t>
      </w:r>
      <w:r w:rsidR="00C55D3D" w:rsidRPr="00F4562D">
        <w:rPr>
          <w:bCs/>
          <w:sz w:val="24"/>
          <w:szCs w:val="24"/>
        </w:rPr>
        <w:t>,</w:t>
      </w:r>
      <w:r w:rsidR="00F4562D" w:rsidRPr="00F4562D">
        <w:rPr>
          <w:bCs/>
          <w:sz w:val="24"/>
          <w:szCs w:val="24"/>
        </w:rPr>
        <w:t xml:space="preserve"> nego razmatraju</w:t>
      </w:r>
      <w:r w:rsidR="00F4562D">
        <w:rPr>
          <w:bCs/>
          <w:sz w:val="24"/>
          <w:szCs w:val="24"/>
        </w:rPr>
        <w:t>ći</w:t>
      </w:r>
      <w:r w:rsidR="00F4562D" w:rsidRPr="00F4562D">
        <w:rPr>
          <w:bCs/>
          <w:sz w:val="24"/>
          <w:szCs w:val="24"/>
        </w:rPr>
        <w:t xml:space="preserve"> opcije jednu </w:t>
      </w:r>
      <w:r w:rsidR="00F4562D">
        <w:rPr>
          <w:bCs/>
          <w:sz w:val="24"/>
          <w:szCs w:val="24"/>
        </w:rPr>
        <w:t xml:space="preserve">za drugom </w:t>
      </w:r>
      <w:r w:rsidR="00F4562D" w:rsidRPr="00F4562D">
        <w:rPr>
          <w:bCs/>
          <w:sz w:val="24"/>
          <w:szCs w:val="24"/>
        </w:rPr>
        <w:t xml:space="preserve">izabiru prvu koja je zadovoljavajuća ili jednostavno dovoljno dobra za najnižu razinu prihvatljivosti. </w:t>
      </w:r>
    </w:p>
    <w:p w:rsidR="00427BEA" w:rsidRPr="00427BEA" w:rsidRDefault="00427BEA" w:rsidP="00427BEA">
      <w:pPr>
        <w:widowControl w:val="0"/>
        <w:overflowPunct w:val="0"/>
        <w:autoSpaceDE w:val="0"/>
        <w:autoSpaceDN w:val="0"/>
        <w:adjustRightInd w:val="0"/>
        <w:spacing w:before="240"/>
        <w:jc w:val="both"/>
        <w:rPr>
          <w:b/>
          <w:bCs/>
          <w:sz w:val="24"/>
          <w:szCs w:val="24"/>
        </w:rPr>
      </w:pPr>
      <w:r w:rsidRPr="00427BEA">
        <w:rPr>
          <w:b/>
          <w:bCs/>
          <w:sz w:val="24"/>
          <w:szCs w:val="24"/>
        </w:rPr>
        <w:t>Tablica 16: Poznati primjeri efekta okvira</w:t>
      </w:r>
    </w:p>
    <w:tbl>
      <w:tblPr>
        <w:tblStyle w:val="Reetkatablice"/>
        <w:tblW w:w="0" w:type="auto"/>
        <w:tblInd w:w="108" w:type="dxa"/>
        <w:tblLook w:val="04A0" w:firstRow="1" w:lastRow="0" w:firstColumn="1" w:lastColumn="0" w:noHBand="0" w:noVBand="1"/>
      </w:tblPr>
      <w:tblGrid>
        <w:gridCol w:w="4536"/>
        <w:gridCol w:w="4536"/>
      </w:tblGrid>
      <w:tr w:rsidR="00427BEA" w:rsidTr="00427BEA">
        <w:tc>
          <w:tcPr>
            <w:tcW w:w="4536" w:type="dxa"/>
          </w:tcPr>
          <w:p w:rsidR="00427BEA" w:rsidRDefault="00427BEA" w:rsidP="007A0F57">
            <w:pPr>
              <w:widowControl w:val="0"/>
              <w:overflowPunct w:val="0"/>
              <w:autoSpaceDE w:val="0"/>
              <w:autoSpaceDN w:val="0"/>
              <w:adjustRightInd w:val="0"/>
              <w:spacing w:before="120"/>
              <w:jc w:val="both"/>
              <w:rPr>
                <w:bCs/>
                <w:sz w:val="24"/>
                <w:szCs w:val="24"/>
              </w:rPr>
            </w:pPr>
            <w:r w:rsidRPr="00F4562D">
              <w:rPr>
                <w:rFonts w:asciiTheme="minorHAnsi" w:hAnsiTheme="minorHAnsi"/>
                <w:bCs/>
                <w:i/>
                <w:iCs/>
                <w:sz w:val="24"/>
                <w:szCs w:val="24"/>
              </w:rPr>
              <w:t>„Hoćemo li kupiti više proizvoda ako se prodaje s 20% popusta na primarnu cijenu od 2.5 $, nego što bismo kupili ako se prodaje po cijeni od 2 $.“</w:t>
            </w:r>
          </w:p>
        </w:tc>
        <w:tc>
          <w:tcPr>
            <w:tcW w:w="4536" w:type="dxa"/>
          </w:tcPr>
          <w:p w:rsidR="00427BEA" w:rsidRDefault="00427BEA" w:rsidP="007A0F57">
            <w:pPr>
              <w:widowControl w:val="0"/>
              <w:overflowPunct w:val="0"/>
              <w:autoSpaceDE w:val="0"/>
              <w:autoSpaceDN w:val="0"/>
              <w:adjustRightInd w:val="0"/>
              <w:spacing w:before="120"/>
              <w:jc w:val="both"/>
              <w:rPr>
                <w:bCs/>
                <w:sz w:val="24"/>
                <w:szCs w:val="24"/>
              </w:rPr>
            </w:pPr>
            <w:r w:rsidRPr="00F4562D">
              <w:rPr>
                <w:rFonts w:asciiTheme="minorHAnsi" w:hAnsiTheme="minorHAnsi"/>
                <w:bCs/>
                <w:i/>
                <w:sz w:val="24"/>
                <w:szCs w:val="24"/>
              </w:rPr>
              <w:t>„Ako TV reporter uzvikne: “Cijene na tržištu padaju – Dow indeks je pao 100 bodova” većinu ljudi intuitivno uhvati jeza. Međutim na razini Dow indeksa od npr. 10.000 bodova to je pad od 1 posto.“</w:t>
            </w:r>
          </w:p>
        </w:tc>
      </w:tr>
      <w:tr w:rsidR="00427BEA" w:rsidTr="00427BEA">
        <w:trPr>
          <w:trHeight w:val="735"/>
        </w:trPr>
        <w:tc>
          <w:tcPr>
            <w:tcW w:w="4536" w:type="dxa"/>
          </w:tcPr>
          <w:p w:rsidR="00427BEA" w:rsidRDefault="00427BEA" w:rsidP="00C54C2A">
            <w:pPr>
              <w:widowControl w:val="0"/>
              <w:overflowPunct w:val="0"/>
              <w:autoSpaceDE w:val="0"/>
              <w:autoSpaceDN w:val="0"/>
              <w:adjustRightInd w:val="0"/>
              <w:spacing w:before="120"/>
              <w:jc w:val="both"/>
              <w:rPr>
                <w:bCs/>
                <w:sz w:val="24"/>
                <w:szCs w:val="24"/>
              </w:rPr>
            </w:pPr>
            <w:r w:rsidRPr="00F4562D">
              <w:rPr>
                <w:rFonts w:asciiTheme="minorHAnsi" w:hAnsiTheme="minorHAnsi"/>
                <w:bCs/>
                <w:i/>
                <w:sz w:val="24"/>
                <w:szCs w:val="24"/>
              </w:rPr>
              <w:t>„Bolje se prodaje hrana na kojoj piše 80% suhih tvari, nego 20% masnoće.“</w:t>
            </w:r>
          </w:p>
        </w:tc>
        <w:tc>
          <w:tcPr>
            <w:tcW w:w="4536" w:type="dxa"/>
            <w:vMerge w:val="restart"/>
          </w:tcPr>
          <w:p w:rsidR="00427BEA" w:rsidRDefault="00427BEA" w:rsidP="007A0F57">
            <w:pPr>
              <w:widowControl w:val="0"/>
              <w:overflowPunct w:val="0"/>
              <w:autoSpaceDE w:val="0"/>
              <w:autoSpaceDN w:val="0"/>
              <w:adjustRightInd w:val="0"/>
              <w:spacing w:before="120"/>
              <w:jc w:val="both"/>
              <w:rPr>
                <w:bCs/>
                <w:sz w:val="24"/>
                <w:szCs w:val="24"/>
              </w:rPr>
            </w:pPr>
            <w:r w:rsidRPr="00F4562D">
              <w:rPr>
                <w:rFonts w:asciiTheme="minorHAnsi" w:hAnsiTheme="minorHAnsi"/>
                <w:bCs/>
                <w:i/>
                <w:sz w:val="24"/>
                <w:szCs w:val="24"/>
              </w:rPr>
              <w:t>„Kada cijene određenih dionica padaju ljudi su neskloni prodati ih kako bi kupili druge dionice. Međutim situacija se mijenja ako brokeri vlasnicima dionica sugeriraju restrukturiranje imovine.“</w:t>
            </w:r>
          </w:p>
        </w:tc>
      </w:tr>
      <w:tr w:rsidR="00427BEA" w:rsidTr="00427BEA">
        <w:trPr>
          <w:trHeight w:val="889"/>
        </w:trPr>
        <w:tc>
          <w:tcPr>
            <w:tcW w:w="4536" w:type="dxa"/>
          </w:tcPr>
          <w:p w:rsidR="00427BEA" w:rsidRPr="00F4562D" w:rsidRDefault="00427BEA" w:rsidP="00C54C2A">
            <w:pPr>
              <w:widowControl w:val="0"/>
              <w:overflowPunct w:val="0"/>
              <w:autoSpaceDE w:val="0"/>
              <w:autoSpaceDN w:val="0"/>
              <w:adjustRightInd w:val="0"/>
              <w:spacing w:before="120"/>
              <w:jc w:val="both"/>
              <w:rPr>
                <w:bCs/>
                <w:i/>
                <w:sz w:val="24"/>
                <w:szCs w:val="24"/>
              </w:rPr>
            </w:pPr>
            <w:r w:rsidRPr="00427BEA">
              <w:rPr>
                <w:rFonts w:asciiTheme="minorHAnsi" w:hAnsiTheme="minorHAnsi"/>
                <w:bCs/>
                <w:i/>
                <w:sz w:val="24"/>
                <w:szCs w:val="24"/>
              </w:rPr>
              <w:t>„Ljudi će lakše potpisati ugovor o upravljanju rizicima ako ga nazovemo “osiguranjem” jer ta riječ implicira sigurnost.“</w:t>
            </w:r>
          </w:p>
        </w:tc>
        <w:tc>
          <w:tcPr>
            <w:tcW w:w="4536" w:type="dxa"/>
            <w:vMerge/>
          </w:tcPr>
          <w:p w:rsidR="00427BEA" w:rsidRPr="00F4562D" w:rsidRDefault="00427BEA" w:rsidP="007A0F57">
            <w:pPr>
              <w:widowControl w:val="0"/>
              <w:numPr>
                <w:ilvl w:val="0"/>
                <w:numId w:val="44"/>
              </w:numPr>
              <w:overflowPunct w:val="0"/>
              <w:autoSpaceDE w:val="0"/>
              <w:autoSpaceDN w:val="0"/>
              <w:adjustRightInd w:val="0"/>
              <w:jc w:val="both"/>
              <w:rPr>
                <w:bCs/>
                <w:i/>
                <w:sz w:val="24"/>
                <w:szCs w:val="24"/>
              </w:rPr>
            </w:pPr>
          </w:p>
        </w:tc>
      </w:tr>
      <w:tr w:rsidR="00427BEA" w:rsidTr="00427BEA">
        <w:tblPrEx>
          <w:tblLook w:val="0000" w:firstRow="0" w:lastRow="0" w:firstColumn="0" w:lastColumn="0" w:noHBand="0" w:noVBand="0"/>
        </w:tblPrEx>
        <w:trPr>
          <w:trHeight w:val="600"/>
        </w:trPr>
        <w:tc>
          <w:tcPr>
            <w:tcW w:w="9072" w:type="dxa"/>
            <w:gridSpan w:val="2"/>
          </w:tcPr>
          <w:p w:rsidR="00427BEA" w:rsidRPr="00F4562D" w:rsidRDefault="00427BEA" w:rsidP="00C54C2A">
            <w:pPr>
              <w:widowControl w:val="0"/>
              <w:overflowPunct w:val="0"/>
              <w:autoSpaceDE w:val="0"/>
              <w:autoSpaceDN w:val="0"/>
              <w:adjustRightInd w:val="0"/>
              <w:spacing w:before="120"/>
              <w:jc w:val="both"/>
              <w:rPr>
                <w:rFonts w:asciiTheme="minorHAnsi" w:hAnsiTheme="minorHAnsi"/>
                <w:bCs/>
                <w:i/>
                <w:sz w:val="24"/>
                <w:szCs w:val="24"/>
              </w:rPr>
            </w:pPr>
            <w:r w:rsidRPr="00F4562D">
              <w:rPr>
                <w:rFonts w:asciiTheme="minorHAnsi" w:hAnsiTheme="minorHAnsi"/>
                <w:bCs/>
                <w:i/>
                <w:sz w:val="24"/>
                <w:szCs w:val="24"/>
              </w:rPr>
              <w:t>„Časopis The Economist objavio je na svojim internetskim stranicama načine pretplate svojim čitateljima:</w:t>
            </w:r>
          </w:p>
          <w:p w:rsidR="00427BEA" w:rsidRPr="00F4562D" w:rsidRDefault="00427BEA" w:rsidP="007A0F57">
            <w:pPr>
              <w:widowControl w:val="0"/>
              <w:numPr>
                <w:ilvl w:val="0"/>
                <w:numId w:val="44"/>
              </w:numPr>
              <w:overflowPunct w:val="0"/>
              <w:autoSpaceDE w:val="0"/>
              <w:autoSpaceDN w:val="0"/>
              <w:adjustRightInd w:val="0"/>
              <w:ind w:left="714" w:hanging="357"/>
              <w:jc w:val="both"/>
              <w:rPr>
                <w:rFonts w:asciiTheme="minorHAnsi" w:hAnsiTheme="minorHAnsi"/>
                <w:bCs/>
                <w:i/>
                <w:sz w:val="24"/>
                <w:szCs w:val="24"/>
              </w:rPr>
            </w:pPr>
            <w:r w:rsidRPr="00F4562D">
              <w:rPr>
                <w:rFonts w:asciiTheme="minorHAnsi" w:hAnsiTheme="minorHAnsi"/>
                <w:bCs/>
                <w:i/>
                <w:sz w:val="24"/>
                <w:szCs w:val="24"/>
              </w:rPr>
              <w:t>Economist.com pretplata – 59,00 $; uključuje jednogodišnju pretplatu i online pristup svim člancima objavljenim od 1997.</w:t>
            </w:r>
          </w:p>
          <w:p w:rsidR="00427BEA" w:rsidRPr="00427BEA" w:rsidRDefault="00427BEA" w:rsidP="007A0F57">
            <w:pPr>
              <w:widowControl w:val="0"/>
              <w:numPr>
                <w:ilvl w:val="0"/>
                <w:numId w:val="44"/>
              </w:numPr>
              <w:overflowPunct w:val="0"/>
              <w:autoSpaceDE w:val="0"/>
              <w:autoSpaceDN w:val="0"/>
              <w:adjustRightInd w:val="0"/>
              <w:ind w:left="714" w:hanging="357"/>
              <w:jc w:val="both"/>
              <w:rPr>
                <w:bCs/>
                <w:sz w:val="24"/>
                <w:szCs w:val="24"/>
              </w:rPr>
            </w:pPr>
            <w:r w:rsidRPr="00F4562D">
              <w:rPr>
                <w:rFonts w:asciiTheme="minorHAnsi" w:hAnsiTheme="minorHAnsi"/>
                <w:bCs/>
                <w:i/>
                <w:sz w:val="24"/>
                <w:szCs w:val="24"/>
              </w:rPr>
              <w:t>Tiskana pretplata – 125$; uključuje jednogodišnju pretplatu na tiskana izdanja časopisa</w:t>
            </w:r>
          </w:p>
          <w:p w:rsidR="00427BEA" w:rsidRDefault="00427BEA" w:rsidP="007A0F57">
            <w:pPr>
              <w:widowControl w:val="0"/>
              <w:numPr>
                <w:ilvl w:val="0"/>
                <w:numId w:val="44"/>
              </w:numPr>
              <w:overflowPunct w:val="0"/>
              <w:autoSpaceDE w:val="0"/>
              <w:autoSpaceDN w:val="0"/>
              <w:adjustRightInd w:val="0"/>
              <w:ind w:left="714" w:hanging="357"/>
              <w:jc w:val="both"/>
              <w:rPr>
                <w:bCs/>
                <w:sz w:val="24"/>
                <w:szCs w:val="24"/>
              </w:rPr>
            </w:pPr>
            <w:r w:rsidRPr="00F4562D">
              <w:rPr>
                <w:rFonts w:asciiTheme="minorHAnsi" w:hAnsiTheme="minorHAnsi"/>
                <w:bCs/>
                <w:i/>
                <w:sz w:val="24"/>
                <w:szCs w:val="24"/>
              </w:rPr>
              <w:t>Tiskana i internetska pretplata – 125$; uključuje jednogodišnju pretplatu na tiskana izdanja i online pristup svim članicima od 1997.“</w:t>
            </w:r>
          </w:p>
        </w:tc>
      </w:tr>
      <w:tr w:rsidR="003C63D4" w:rsidTr="00427BEA">
        <w:tblPrEx>
          <w:tblLook w:val="0000" w:firstRow="0" w:lastRow="0" w:firstColumn="0" w:lastColumn="0" w:noHBand="0" w:noVBand="0"/>
        </w:tblPrEx>
        <w:trPr>
          <w:trHeight w:val="600"/>
        </w:trPr>
        <w:tc>
          <w:tcPr>
            <w:tcW w:w="9072" w:type="dxa"/>
            <w:gridSpan w:val="2"/>
          </w:tcPr>
          <w:p w:rsidR="003C63D4" w:rsidRPr="003C63D4" w:rsidRDefault="003C63D4" w:rsidP="003C63D4">
            <w:pPr>
              <w:widowControl w:val="0"/>
              <w:overflowPunct w:val="0"/>
              <w:autoSpaceDE w:val="0"/>
              <w:autoSpaceDN w:val="0"/>
              <w:adjustRightInd w:val="0"/>
              <w:spacing w:before="120" w:after="120"/>
              <w:jc w:val="both"/>
              <w:rPr>
                <w:rFonts w:asciiTheme="minorHAnsi" w:hAnsiTheme="minorHAnsi"/>
                <w:bCs/>
                <w:i/>
                <w:sz w:val="24"/>
                <w:szCs w:val="24"/>
              </w:rPr>
            </w:pPr>
            <w:r w:rsidRPr="003C63D4">
              <w:rPr>
                <w:rFonts w:asciiTheme="minorHAnsi" w:hAnsiTheme="minorHAnsi"/>
                <w:bCs/>
                <w:lang w:val="en-GB"/>
              </w:rPr>
              <w:t xml:space="preserve">Izvor: preuzeto iz: Shefrin, H. (2000): Beyond Greed and Fear: </w:t>
            </w:r>
            <w:r w:rsidRPr="003C63D4">
              <w:rPr>
                <w:rFonts w:asciiTheme="minorHAnsi" w:hAnsiTheme="minorHAnsi"/>
                <w:bCs/>
              </w:rPr>
              <w:t>"</w:t>
            </w:r>
            <w:r w:rsidRPr="003C63D4">
              <w:rPr>
                <w:rFonts w:asciiTheme="minorHAnsi" w:hAnsiTheme="minorHAnsi"/>
                <w:bCs/>
                <w:lang w:val="en-GB"/>
              </w:rPr>
              <w:t>Understanding Behavioral Finance and the Psychology of Investing</w:t>
            </w:r>
            <w:r w:rsidRPr="003C63D4">
              <w:rPr>
                <w:rFonts w:asciiTheme="minorHAnsi" w:hAnsiTheme="minorHAnsi"/>
                <w:bCs/>
              </w:rPr>
              <w:t xml:space="preserve">", Harvard Business School Press, Boston </w:t>
            </w:r>
          </w:p>
        </w:tc>
      </w:tr>
    </w:tbl>
    <w:p w:rsidR="00EF3AAA" w:rsidRDefault="00EF3AAA" w:rsidP="00EF3AAA">
      <w:pPr>
        <w:widowControl w:val="0"/>
        <w:overflowPunct w:val="0"/>
        <w:autoSpaceDE w:val="0"/>
        <w:autoSpaceDN w:val="0"/>
        <w:adjustRightInd w:val="0"/>
        <w:spacing w:before="240"/>
        <w:jc w:val="both"/>
        <w:rPr>
          <w:bCs/>
          <w:sz w:val="24"/>
          <w:szCs w:val="24"/>
        </w:rPr>
      </w:pPr>
      <w:r>
        <w:rPr>
          <w:bCs/>
          <w:sz w:val="24"/>
          <w:szCs w:val="24"/>
        </w:rPr>
        <w:lastRenderedPageBreak/>
        <w:t xml:space="preserve">Ljudi </w:t>
      </w:r>
      <w:r w:rsidRPr="00F4562D">
        <w:rPr>
          <w:bCs/>
          <w:sz w:val="24"/>
          <w:szCs w:val="24"/>
        </w:rPr>
        <w:t xml:space="preserve">su podložni i različitim </w:t>
      </w:r>
      <w:r w:rsidRPr="00F4562D">
        <w:rPr>
          <w:bCs/>
          <w:color w:val="C00000"/>
          <w:sz w:val="24"/>
          <w:szCs w:val="24"/>
        </w:rPr>
        <w:t>perceptivnim varkam</w:t>
      </w:r>
      <w:r w:rsidRPr="001C6E43">
        <w:rPr>
          <w:bCs/>
          <w:color w:val="C00000"/>
          <w:sz w:val="24"/>
          <w:szCs w:val="24"/>
        </w:rPr>
        <w:t>a</w:t>
      </w:r>
      <w:r w:rsidRPr="00F4562D">
        <w:rPr>
          <w:bCs/>
          <w:sz w:val="24"/>
          <w:szCs w:val="24"/>
        </w:rPr>
        <w:t xml:space="preserve">  i iluzijama (krivo percipiranim pojavama, npr. zbog tromosti oka ili nesavršenosti u radu mozga), ali i </w:t>
      </w:r>
      <w:r w:rsidRPr="00F4562D">
        <w:rPr>
          <w:bCs/>
          <w:color w:val="C00000"/>
          <w:sz w:val="24"/>
          <w:szCs w:val="24"/>
        </w:rPr>
        <w:t xml:space="preserve">krivom percipiranju informacija - </w:t>
      </w:r>
      <w:r w:rsidRPr="00F4562D">
        <w:rPr>
          <w:bCs/>
          <w:sz w:val="24"/>
          <w:szCs w:val="24"/>
        </w:rPr>
        <w:t xml:space="preserve">ne zbog nesavršenosti osjetila, nego načina kako su informacije  prezentirane. Jednu od kognitivnih zamka predstavlja tzv.  </w:t>
      </w:r>
      <w:r w:rsidRPr="00F4562D">
        <w:rPr>
          <w:bCs/>
          <w:color w:val="C00000"/>
          <w:sz w:val="24"/>
          <w:szCs w:val="24"/>
        </w:rPr>
        <w:t>efekt okvira</w:t>
      </w:r>
      <w:r w:rsidRPr="00F4562D">
        <w:rPr>
          <w:bCs/>
          <w:sz w:val="24"/>
          <w:szCs w:val="24"/>
        </w:rPr>
        <w:t>. Prema njemu, način kako su prikazane opcije ili kako je formulirana određena pogodnost ili problem utječu na izbor, odnosno na ponašanje i odlučivanje potrošača, štediše, investitora ili ugovaratelja osiguranja. Na odluku može značajno djelovati, npr. da li je problem odlučivanja postavljen (izrečen) na nači</w:t>
      </w:r>
      <w:r>
        <w:rPr>
          <w:bCs/>
          <w:sz w:val="24"/>
          <w:szCs w:val="24"/>
        </w:rPr>
        <w:t>n koji spominje riječ "gubitak", „sigurnost“, „osiguranje“ itd. Neki od poznatih primjera efekta okvira dani su u tablici 16.</w:t>
      </w:r>
    </w:p>
    <w:p w:rsidR="00EF3AAA" w:rsidRDefault="00EF3AAA" w:rsidP="00EF3AAA">
      <w:pPr>
        <w:widowControl w:val="0"/>
        <w:overflowPunct w:val="0"/>
        <w:autoSpaceDE w:val="0"/>
        <w:autoSpaceDN w:val="0"/>
        <w:adjustRightInd w:val="0"/>
        <w:spacing w:before="240"/>
        <w:jc w:val="both"/>
        <w:rPr>
          <w:bCs/>
          <w:sz w:val="24"/>
          <w:szCs w:val="24"/>
        </w:rPr>
      </w:pPr>
      <w:r w:rsidRPr="00AE4DAF">
        <w:rPr>
          <w:bCs/>
          <w:sz w:val="24"/>
          <w:szCs w:val="24"/>
        </w:rPr>
        <w:t xml:space="preserve">Stihijska kupnja najčešće je posljedica faktora iracionalnog ponašanja, ali i </w:t>
      </w:r>
      <w:r w:rsidRPr="001C6E43">
        <w:rPr>
          <w:bCs/>
          <w:color w:val="C00000"/>
          <w:sz w:val="24"/>
          <w:szCs w:val="24"/>
        </w:rPr>
        <w:t>posljedica odsustva financijskog planiranja</w:t>
      </w:r>
      <w:r w:rsidRPr="00F4562D">
        <w:rPr>
          <w:bCs/>
          <w:sz w:val="24"/>
          <w:szCs w:val="24"/>
        </w:rPr>
        <w:t xml:space="preserve">. Izrada financijskog plana i budžeta kućanstva te njihovo striktno pridržavanje u izvršavanju, uz vođenje evidencija o svim učinjenim troškovima te planiranju budućih izdataka u skladu s postavljenim financijskim i ekonomskim ciljevima </w:t>
      </w:r>
      <w:r>
        <w:rPr>
          <w:bCs/>
          <w:sz w:val="24"/>
          <w:szCs w:val="24"/>
        </w:rPr>
        <w:t xml:space="preserve">- </w:t>
      </w:r>
      <w:r w:rsidRPr="00F4562D">
        <w:rPr>
          <w:bCs/>
          <w:sz w:val="24"/>
          <w:szCs w:val="24"/>
        </w:rPr>
        <w:t xml:space="preserve">stoga su najbolja zaštita od donošenja odluka o kupnji proizvoda i usluga koji nisu nužni, koji ugrožavaju namjeru racionalnog upravljanja rashodima i izdacima, odnosno izbjegavanja onih odluka zbog kojih </w:t>
      </w:r>
      <w:r>
        <w:rPr>
          <w:bCs/>
          <w:sz w:val="24"/>
          <w:szCs w:val="24"/>
        </w:rPr>
        <w:t xml:space="preserve">će </w:t>
      </w:r>
      <w:r w:rsidRPr="00F4562D">
        <w:rPr>
          <w:bCs/>
          <w:sz w:val="24"/>
          <w:szCs w:val="24"/>
        </w:rPr>
        <w:t xml:space="preserve">se pojedinac kasnije kajati i žaliti zbog učinjenog troška. </w:t>
      </w:r>
    </w:p>
    <w:p w:rsidR="00427BEA" w:rsidRDefault="00EB5A06" w:rsidP="00427BEA">
      <w:pPr>
        <w:widowControl w:val="0"/>
        <w:overflowPunct w:val="0"/>
        <w:autoSpaceDE w:val="0"/>
        <w:autoSpaceDN w:val="0"/>
        <w:adjustRightInd w:val="0"/>
        <w:spacing w:before="240"/>
        <w:jc w:val="both"/>
        <w:rPr>
          <w:bCs/>
          <w:sz w:val="24"/>
          <w:szCs w:val="24"/>
        </w:rPr>
      </w:pPr>
      <w:r w:rsidRPr="00F4562D">
        <w:rPr>
          <w:bCs/>
          <w:sz w:val="24"/>
          <w:szCs w:val="24"/>
        </w:rPr>
        <w:t xml:space="preserve">Jedan od načina izbjegavanja stihijske i emotivne kupnje je </w:t>
      </w:r>
      <w:r w:rsidR="00E450C3" w:rsidRPr="00631B7D">
        <w:rPr>
          <w:bCs/>
          <w:color w:val="C00000"/>
          <w:sz w:val="24"/>
          <w:szCs w:val="24"/>
        </w:rPr>
        <w:t xml:space="preserve">planiranje svake pojedinačne kupovine, </w:t>
      </w:r>
      <w:r w:rsidRPr="00631B7D">
        <w:rPr>
          <w:bCs/>
          <w:color w:val="C00000"/>
          <w:sz w:val="24"/>
          <w:szCs w:val="24"/>
        </w:rPr>
        <w:t>odlazak u trgovinu s popisom</w:t>
      </w:r>
      <w:r w:rsidR="00E450C3" w:rsidRPr="00631B7D">
        <w:rPr>
          <w:bCs/>
          <w:color w:val="C00000"/>
          <w:sz w:val="24"/>
          <w:szCs w:val="24"/>
        </w:rPr>
        <w:t xml:space="preserve"> te izbjegavanje svake kupnje izvan popisanih stavki</w:t>
      </w:r>
      <w:r w:rsidRPr="00F4562D">
        <w:rPr>
          <w:bCs/>
          <w:sz w:val="24"/>
          <w:szCs w:val="24"/>
        </w:rPr>
        <w:t>.</w:t>
      </w:r>
      <w:r w:rsidR="00E450C3">
        <w:rPr>
          <w:bCs/>
          <w:sz w:val="24"/>
          <w:szCs w:val="24"/>
        </w:rPr>
        <w:t xml:space="preserve"> Tome može pomoći odlazak u trgovinu u sitom stanju i dobre volje, izbjegavanje odlaska u kupovinu s djecom mlađom od npr. </w:t>
      </w:r>
      <w:r w:rsidR="00631B7D">
        <w:rPr>
          <w:bCs/>
          <w:sz w:val="24"/>
          <w:szCs w:val="24"/>
        </w:rPr>
        <w:t>8</w:t>
      </w:r>
      <w:r w:rsidR="00E450C3">
        <w:rPr>
          <w:bCs/>
          <w:sz w:val="24"/>
          <w:szCs w:val="24"/>
        </w:rPr>
        <w:t xml:space="preserve"> godina jer njihove želje su neograničene</w:t>
      </w:r>
      <w:r w:rsidR="005C66A5">
        <w:rPr>
          <w:bCs/>
          <w:sz w:val="24"/>
          <w:szCs w:val="24"/>
        </w:rPr>
        <w:t>,</w:t>
      </w:r>
      <w:r w:rsidR="00E450C3">
        <w:rPr>
          <w:bCs/>
          <w:sz w:val="24"/>
          <w:szCs w:val="24"/>
        </w:rPr>
        <w:t xml:space="preserve"> a sposobnost racionalnog prosuđivanja o nužnosti štednje i racionalizaciji potrošnje prilično upitna. Dodatno da bi roditelji djelovali na racionalnost </w:t>
      </w:r>
      <w:r w:rsidR="005C66A5">
        <w:rPr>
          <w:bCs/>
          <w:sz w:val="24"/>
          <w:szCs w:val="24"/>
        </w:rPr>
        <w:t xml:space="preserve">želja i </w:t>
      </w:r>
      <w:r w:rsidR="00E450C3">
        <w:rPr>
          <w:bCs/>
          <w:sz w:val="24"/>
          <w:szCs w:val="24"/>
        </w:rPr>
        <w:t xml:space="preserve">trošenja djece potrebno je da upravo oni budu primjer djeci, da im objasne </w:t>
      </w:r>
      <w:r w:rsidR="008456D5">
        <w:rPr>
          <w:bCs/>
          <w:sz w:val="24"/>
          <w:szCs w:val="24"/>
        </w:rPr>
        <w:t>„</w:t>
      </w:r>
      <w:r w:rsidR="00E450C3" w:rsidRPr="008456D5">
        <w:rPr>
          <w:bCs/>
          <w:i/>
          <w:sz w:val="24"/>
          <w:szCs w:val="24"/>
        </w:rPr>
        <w:t>kako bi rado kupili nove cipele ali nemaju dovoljno novca</w:t>
      </w:r>
      <w:r w:rsidR="008456D5" w:rsidRPr="008456D5">
        <w:rPr>
          <w:bCs/>
          <w:i/>
          <w:sz w:val="24"/>
          <w:szCs w:val="24"/>
        </w:rPr>
        <w:t>“</w:t>
      </w:r>
      <w:r w:rsidR="00E450C3">
        <w:rPr>
          <w:bCs/>
          <w:sz w:val="24"/>
          <w:szCs w:val="24"/>
        </w:rPr>
        <w:t xml:space="preserve"> ili da </w:t>
      </w:r>
      <w:r w:rsidR="008456D5" w:rsidRPr="008456D5">
        <w:rPr>
          <w:bCs/>
          <w:i/>
          <w:sz w:val="24"/>
          <w:szCs w:val="24"/>
        </w:rPr>
        <w:t>„</w:t>
      </w:r>
      <w:r w:rsidR="00E450C3" w:rsidRPr="008456D5">
        <w:rPr>
          <w:bCs/>
          <w:i/>
          <w:sz w:val="24"/>
          <w:szCs w:val="24"/>
        </w:rPr>
        <w:t xml:space="preserve">iako su cipele jako lijepe </w:t>
      </w:r>
      <w:r w:rsidR="008456D5" w:rsidRPr="008456D5">
        <w:rPr>
          <w:bCs/>
          <w:i/>
          <w:sz w:val="24"/>
          <w:szCs w:val="24"/>
        </w:rPr>
        <w:t xml:space="preserve">ni mami ni tati </w:t>
      </w:r>
      <w:r w:rsidR="00E450C3" w:rsidRPr="008456D5">
        <w:rPr>
          <w:bCs/>
          <w:i/>
          <w:sz w:val="24"/>
          <w:szCs w:val="24"/>
        </w:rPr>
        <w:t>zapravo ne trebaju nove cipele jer i one kod kuće sasvim dobro služe svrsi</w:t>
      </w:r>
      <w:r w:rsidR="008456D5" w:rsidRPr="008456D5">
        <w:rPr>
          <w:bCs/>
          <w:i/>
          <w:sz w:val="24"/>
          <w:szCs w:val="24"/>
        </w:rPr>
        <w:t>“</w:t>
      </w:r>
      <w:r w:rsidR="00E450C3" w:rsidRPr="008456D5">
        <w:rPr>
          <w:bCs/>
          <w:i/>
          <w:sz w:val="24"/>
          <w:szCs w:val="24"/>
        </w:rPr>
        <w:t>.</w:t>
      </w:r>
      <w:r w:rsidR="00E450C3">
        <w:rPr>
          <w:bCs/>
          <w:sz w:val="24"/>
          <w:szCs w:val="24"/>
        </w:rPr>
        <w:t xml:space="preserve"> </w:t>
      </w:r>
    </w:p>
    <w:p w:rsidR="00C230C3" w:rsidRDefault="008456D5" w:rsidP="00427BEA">
      <w:pPr>
        <w:widowControl w:val="0"/>
        <w:overflowPunct w:val="0"/>
        <w:autoSpaceDE w:val="0"/>
        <w:autoSpaceDN w:val="0"/>
        <w:adjustRightInd w:val="0"/>
        <w:spacing w:before="240"/>
        <w:jc w:val="both"/>
        <w:rPr>
          <w:bCs/>
          <w:sz w:val="24"/>
          <w:szCs w:val="24"/>
        </w:rPr>
      </w:pPr>
      <w:r>
        <w:rPr>
          <w:bCs/>
          <w:sz w:val="24"/>
          <w:szCs w:val="24"/>
        </w:rPr>
        <w:t>Nadalje, nakon što se u trgovini uoči izvrstan proizvod i doživi adrenalinsko raspoloženje, poželjno je odluku ostaviti za sutra nakon što se racionalno analizira</w:t>
      </w:r>
      <w:r w:rsidR="00C230C3">
        <w:rPr>
          <w:bCs/>
          <w:sz w:val="24"/>
          <w:szCs w:val="24"/>
        </w:rPr>
        <w:t>:</w:t>
      </w:r>
    </w:p>
    <w:p w:rsidR="00C230C3" w:rsidRPr="00C230C3" w:rsidRDefault="008456D5" w:rsidP="006F1C04">
      <w:pPr>
        <w:pStyle w:val="Odlomakpopisa"/>
        <w:widowControl w:val="0"/>
        <w:numPr>
          <w:ilvl w:val="0"/>
          <w:numId w:val="46"/>
        </w:numPr>
        <w:overflowPunct w:val="0"/>
        <w:autoSpaceDE w:val="0"/>
        <w:autoSpaceDN w:val="0"/>
        <w:adjustRightInd w:val="0"/>
        <w:jc w:val="both"/>
        <w:rPr>
          <w:bCs/>
          <w:sz w:val="24"/>
          <w:szCs w:val="24"/>
        </w:rPr>
      </w:pPr>
      <w:r w:rsidRPr="00C230C3">
        <w:rPr>
          <w:bCs/>
          <w:sz w:val="24"/>
          <w:szCs w:val="24"/>
        </w:rPr>
        <w:t xml:space="preserve">da li je određeni proizvod uistinu potreban, </w:t>
      </w:r>
    </w:p>
    <w:p w:rsidR="00C230C3" w:rsidRPr="00C230C3" w:rsidRDefault="008456D5" w:rsidP="006F1C04">
      <w:pPr>
        <w:pStyle w:val="Odlomakpopisa"/>
        <w:widowControl w:val="0"/>
        <w:numPr>
          <w:ilvl w:val="0"/>
          <w:numId w:val="46"/>
        </w:numPr>
        <w:overflowPunct w:val="0"/>
        <w:autoSpaceDE w:val="0"/>
        <w:autoSpaceDN w:val="0"/>
        <w:adjustRightInd w:val="0"/>
        <w:jc w:val="both"/>
        <w:rPr>
          <w:bCs/>
          <w:sz w:val="24"/>
          <w:szCs w:val="24"/>
        </w:rPr>
      </w:pPr>
      <w:r w:rsidRPr="00C230C3">
        <w:rPr>
          <w:bCs/>
          <w:sz w:val="24"/>
          <w:szCs w:val="24"/>
        </w:rPr>
        <w:t xml:space="preserve">da li ima odgovarajući odnos cijene i kvalitete, </w:t>
      </w:r>
    </w:p>
    <w:p w:rsidR="00C230C3" w:rsidRPr="00C230C3" w:rsidRDefault="008456D5" w:rsidP="006F1C04">
      <w:pPr>
        <w:pStyle w:val="Odlomakpopisa"/>
        <w:widowControl w:val="0"/>
        <w:numPr>
          <w:ilvl w:val="0"/>
          <w:numId w:val="46"/>
        </w:numPr>
        <w:overflowPunct w:val="0"/>
        <w:autoSpaceDE w:val="0"/>
        <w:autoSpaceDN w:val="0"/>
        <w:adjustRightInd w:val="0"/>
        <w:jc w:val="both"/>
        <w:rPr>
          <w:bCs/>
          <w:sz w:val="24"/>
          <w:szCs w:val="24"/>
        </w:rPr>
      </w:pPr>
      <w:r w:rsidRPr="00C230C3">
        <w:rPr>
          <w:bCs/>
          <w:sz w:val="24"/>
          <w:szCs w:val="24"/>
        </w:rPr>
        <w:t xml:space="preserve">uklapa li se u stambeni prostor ili stil života pojedinca, </w:t>
      </w:r>
    </w:p>
    <w:p w:rsidR="00C230C3" w:rsidRPr="00C230C3" w:rsidRDefault="008456D5" w:rsidP="006F1C04">
      <w:pPr>
        <w:pStyle w:val="Odlomakpopisa"/>
        <w:widowControl w:val="0"/>
        <w:numPr>
          <w:ilvl w:val="0"/>
          <w:numId w:val="46"/>
        </w:numPr>
        <w:overflowPunct w:val="0"/>
        <w:autoSpaceDE w:val="0"/>
        <w:autoSpaceDN w:val="0"/>
        <w:adjustRightInd w:val="0"/>
        <w:jc w:val="both"/>
        <w:rPr>
          <w:bCs/>
          <w:sz w:val="24"/>
          <w:szCs w:val="24"/>
        </w:rPr>
      </w:pPr>
      <w:r w:rsidRPr="00C230C3">
        <w:rPr>
          <w:bCs/>
          <w:sz w:val="24"/>
          <w:szCs w:val="24"/>
        </w:rPr>
        <w:t xml:space="preserve">hoće li osoba kasnije žaliti što ga je kupila </w:t>
      </w:r>
    </w:p>
    <w:p w:rsidR="00EB5A06" w:rsidRPr="00C230C3" w:rsidRDefault="008456D5" w:rsidP="006F1C04">
      <w:pPr>
        <w:pStyle w:val="Odlomakpopisa"/>
        <w:widowControl w:val="0"/>
        <w:numPr>
          <w:ilvl w:val="0"/>
          <w:numId w:val="46"/>
        </w:numPr>
        <w:overflowPunct w:val="0"/>
        <w:autoSpaceDE w:val="0"/>
        <w:autoSpaceDN w:val="0"/>
        <w:adjustRightInd w:val="0"/>
        <w:jc w:val="both"/>
        <w:rPr>
          <w:bCs/>
          <w:sz w:val="24"/>
          <w:szCs w:val="24"/>
        </w:rPr>
      </w:pPr>
      <w:r w:rsidRPr="00C230C3">
        <w:rPr>
          <w:bCs/>
          <w:sz w:val="24"/>
          <w:szCs w:val="24"/>
        </w:rPr>
        <w:t xml:space="preserve">te ono najvažnije da li prihodi </w:t>
      </w:r>
      <w:r w:rsidR="00C34742" w:rsidRPr="00C230C3">
        <w:rPr>
          <w:bCs/>
          <w:sz w:val="24"/>
          <w:szCs w:val="24"/>
        </w:rPr>
        <w:t xml:space="preserve">i bogatstvo </w:t>
      </w:r>
      <w:r w:rsidRPr="00C230C3">
        <w:rPr>
          <w:bCs/>
          <w:sz w:val="24"/>
          <w:szCs w:val="24"/>
        </w:rPr>
        <w:t xml:space="preserve">kućanstva podržavaju takav izdatak, odnosno </w:t>
      </w:r>
      <w:r w:rsidR="00C230C3">
        <w:rPr>
          <w:bCs/>
          <w:i/>
          <w:sz w:val="24"/>
          <w:szCs w:val="24"/>
        </w:rPr>
        <w:t xml:space="preserve">„može li si osoba </w:t>
      </w:r>
      <w:r w:rsidRPr="00C230C3">
        <w:rPr>
          <w:bCs/>
          <w:i/>
          <w:sz w:val="24"/>
          <w:szCs w:val="24"/>
        </w:rPr>
        <w:t>i kućanstvo to priuštiti“.</w:t>
      </w:r>
      <w:r w:rsidRPr="00C230C3">
        <w:rPr>
          <w:bCs/>
          <w:sz w:val="24"/>
          <w:szCs w:val="24"/>
        </w:rPr>
        <w:t xml:space="preserve"> </w:t>
      </w:r>
    </w:p>
    <w:p w:rsidR="004051F6" w:rsidRDefault="004051F6" w:rsidP="00C34742">
      <w:pPr>
        <w:widowControl w:val="0"/>
        <w:overflowPunct w:val="0"/>
        <w:autoSpaceDE w:val="0"/>
        <w:autoSpaceDN w:val="0"/>
        <w:adjustRightInd w:val="0"/>
        <w:jc w:val="both"/>
        <w:rPr>
          <w:bCs/>
          <w:sz w:val="24"/>
          <w:szCs w:val="24"/>
        </w:rPr>
      </w:pPr>
      <w:r>
        <w:rPr>
          <w:bCs/>
          <w:sz w:val="24"/>
          <w:szCs w:val="24"/>
        </w:rPr>
        <w:t xml:space="preserve">Dodatno treba biti svjestan i da je </w:t>
      </w:r>
      <w:r w:rsidRPr="00470460">
        <w:rPr>
          <w:bCs/>
          <w:color w:val="C00000"/>
          <w:sz w:val="24"/>
          <w:szCs w:val="24"/>
        </w:rPr>
        <w:t xml:space="preserve">atmosfera u prodavaonicama </w:t>
      </w:r>
      <w:r>
        <w:rPr>
          <w:bCs/>
          <w:sz w:val="24"/>
          <w:szCs w:val="24"/>
        </w:rPr>
        <w:t>prilagođena stvaranju pozitivnih emocija i osjećaja ugode kod potrošača s ciljem da „kupovina bude užitak“</w:t>
      </w:r>
      <w:r w:rsidR="009E03F1">
        <w:rPr>
          <w:bCs/>
          <w:sz w:val="24"/>
          <w:szCs w:val="24"/>
        </w:rPr>
        <w:t xml:space="preserve">. Kako bi „kupovina bila užitak“ tome je prilagođena pozicija i dizajn zgrade, boja zidova i tkanina u prodajnom prostoru, zvukovi i mirisi u prodavaonici, kao i raznovrsnost pratećeg sadržaja </w:t>
      </w:r>
      <w:r w:rsidR="009E03F1">
        <w:rPr>
          <w:bCs/>
          <w:sz w:val="24"/>
          <w:szCs w:val="24"/>
        </w:rPr>
        <w:lastRenderedPageBreak/>
        <w:t xml:space="preserve">koji privlači kupce ili im nudi dodatne pogodnosti (restorani, barovi, igraonice za djecu), produžuje vrijeme provedeno u trgovini (posebno u trgovačkim centrima), otvara prostor za komunikaciju i slično, odnosno potiče aktivnosti kupovine i ponovnog dolaska. Sve navedeno je </w:t>
      </w:r>
      <w:r w:rsidR="00427BEA">
        <w:rPr>
          <w:bCs/>
          <w:sz w:val="24"/>
          <w:szCs w:val="24"/>
        </w:rPr>
        <w:t xml:space="preserve">što je </w:t>
      </w:r>
      <w:r w:rsidR="00470460">
        <w:rPr>
          <w:bCs/>
          <w:sz w:val="24"/>
          <w:szCs w:val="24"/>
        </w:rPr>
        <w:t xml:space="preserve">dobro </w:t>
      </w:r>
      <w:r w:rsidR="00427BEA">
        <w:rPr>
          <w:bCs/>
          <w:sz w:val="24"/>
          <w:szCs w:val="24"/>
        </w:rPr>
        <w:t xml:space="preserve">za potrošače </w:t>
      </w:r>
      <w:r w:rsidR="00470460">
        <w:rPr>
          <w:bCs/>
          <w:sz w:val="24"/>
          <w:szCs w:val="24"/>
        </w:rPr>
        <w:t xml:space="preserve">u smislu da </w:t>
      </w:r>
      <w:r w:rsidR="00427BEA">
        <w:rPr>
          <w:bCs/>
          <w:sz w:val="24"/>
          <w:szCs w:val="24"/>
        </w:rPr>
        <w:t xml:space="preserve">pridonosi povećanju </w:t>
      </w:r>
      <w:r w:rsidR="00470460">
        <w:rPr>
          <w:bCs/>
          <w:sz w:val="24"/>
          <w:szCs w:val="24"/>
        </w:rPr>
        <w:t xml:space="preserve">osjećaja </w:t>
      </w:r>
      <w:r w:rsidR="00427BEA">
        <w:rPr>
          <w:bCs/>
          <w:sz w:val="24"/>
          <w:szCs w:val="24"/>
        </w:rPr>
        <w:t>zadovoljstva</w:t>
      </w:r>
      <w:r w:rsidR="00470460">
        <w:rPr>
          <w:bCs/>
          <w:sz w:val="24"/>
          <w:szCs w:val="24"/>
        </w:rPr>
        <w:t xml:space="preserve"> te ukazuje da je </w:t>
      </w:r>
      <w:r w:rsidR="009E03F1">
        <w:rPr>
          <w:bCs/>
          <w:sz w:val="24"/>
          <w:szCs w:val="24"/>
        </w:rPr>
        <w:t xml:space="preserve">kao </w:t>
      </w:r>
      <w:r w:rsidR="00470460">
        <w:rPr>
          <w:bCs/>
          <w:sz w:val="24"/>
          <w:szCs w:val="24"/>
        </w:rPr>
        <w:t>kupac cijenjen</w:t>
      </w:r>
      <w:r w:rsidR="00427BEA">
        <w:rPr>
          <w:bCs/>
          <w:sz w:val="24"/>
          <w:szCs w:val="24"/>
        </w:rPr>
        <w:t>, ali je loše ako postane razlog rastrošne</w:t>
      </w:r>
      <w:r w:rsidR="009E03F1">
        <w:rPr>
          <w:bCs/>
          <w:sz w:val="24"/>
          <w:szCs w:val="24"/>
        </w:rPr>
        <w:t xml:space="preserve">, emotivne </w:t>
      </w:r>
      <w:r w:rsidR="00427BEA">
        <w:rPr>
          <w:bCs/>
          <w:sz w:val="24"/>
          <w:szCs w:val="24"/>
        </w:rPr>
        <w:t xml:space="preserve">i prekomjerne </w:t>
      </w:r>
      <w:r w:rsidR="00470460">
        <w:rPr>
          <w:bCs/>
          <w:sz w:val="24"/>
          <w:szCs w:val="24"/>
        </w:rPr>
        <w:t>potrošnje u iznosima koji premašuju planirane</w:t>
      </w:r>
      <w:r>
        <w:rPr>
          <w:bCs/>
          <w:sz w:val="24"/>
          <w:szCs w:val="24"/>
        </w:rPr>
        <w:t xml:space="preserve">. </w:t>
      </w:r>
    </w:p>
    <w:p w:rsidR="00AA0F34" w:rsidRDefault="00C34742" w:rsidP="00C34742">
      <w:pPr>
        <w:widowControl w:val="0"/>
        <w:overflowPunct w:val="0"/>
        <w:autoSpaceDE w:val="0"/>
        <w:autoSpaceDN w:val="0"/>
        <w:adjustRightInd w:val="0"/>
        <w:jc w:val="both"/>
        <w:rPr>
          <w:bCs/>
          <w:sz w:val="24"/>
          <w:szCs w:val="24"/>
        </w:rPr>
      </w:pPr>
      <w:r>
        <w:rPr>
          <w:bCs/>
          <w:sz w:val="24"/>
          <w:szCs w:val="24"/>
        </w:rPr>
        <w:t xml:space="preserve">Primjer emotivnog ponašanja pri donošenju odluka o kupovini </w:t>
      </w:r>
      <w:r w:rsidR="00AA0F34">
        <w:rPr>
          <w:bCs/>
          <w:sz w:val="24"/>
          <w:szCs w:val="24"/>
        </w:rPr>
        <w:t xml:space="preserve">(kao i investiranju) </w:t>
      </w:r>
      <w:r>
        <w:rPr>
          <w:bCs/>
          <w:sz w:val="24"/>
          <w:szCs w:val="24"/>
        </w:rPr>
        <w:t xml:space="preserve">su i </w:t>
      </w:r>
      <w:r w:rsidRPr="00631B7D">
        <w:rPr>
          <w:bCs/>
          <w:color w:val="C00000"/>
          <w:sz w:val="24"/>
          <w:szCs w:val="24"/>
        </w:rPr>
        <w:t xml:space="preserve">prilagodljivi stavovi </w:t>
      </w:r>
      <w:r>
        <w:rPr>
          <w:bCs/>
          <w:sz w:val="24"/>
          <w:szCs w:val="24"/>
        </w:rPr>
        <w:t>u kojima pojedinac prihvaća vrijednosti, norme i mišljenja određene referentne grupe kao polazište u izboru marke i proizvoda koje će odabrati</w:t>
      </w:r>
      <w:r w:rsidR="00AA0F34">
        <w:rPr>
          <w:bCs/>
          <w:sz w:val="24"/>
          <w:szCs w:val="24"/>
        </w:rPr>
        <w:t xml:space="preserve">, pri donošenju odluke o </w:t>
      </w:r>
      <w:r>
        <w:rPr>
          <w:bCs/>
          <w:sz w:val="24"/>
          <w:szCs w:val="24"/>
        </w:rPr>
        <w:t>odlasku na skijanje i jedrenje ne zbog osobnog zadovoljstva nego samo zato jer isto rade i kolege na radnom mjestu</w:t>
      </w:r>
      <w:r w:rsidR="00AA0F34">
        <w:rPr>
          <w:bCs/>
          <w:sz w:val="24"/>
          <w:szCs w:val="24"/>
        </w:rPr>
        <w:t>, ulaganju u dionice ili zlato jer to rade drugi i</w:t>
      </w:r>
      <w:r>
        <w:rPr>
          <w:bCs/>
          <w:sz w:val="24"/>
          <w:szCs w:val="24"/>
        </w:rPr>
        <w:t xml:space="preserve"> slično, a sve sa ciljem da osoba bude cijenjena u okolini</w:t>
      </w:r>
      <w:r w:rsidR="00AA0F34">
        <w:rPr>
          <w:bCs/>
          <w:sz w:val="24"/>
          <w:szCs w:val="24"/>
        </w:rPr>
        <w:t xml:space="preserve">, </w:t>
      </w:r>
      <w:r>
        <w:rPr>
          <w:bCs/>
          <w:sz w:val="24"/>
          <w:szCs w:val="24"/>
        </w:rPr>
        <w:t>poveća reputaciju</w:t>
      </w:r>
      <w:r w:rsidR="00AA0F34">
        <w:rPr>
          <w:bCs/>
          <w:sz w:val="24"/>
          <w:szCs w:val="24"/>
        </w:rPr>
        <w:t xml:space="preserve"> i /ili prati određene društveno prihvaćene trendove</w:t>
      </w:r>
      <w:r>
        <w:rPr>
          <w:bCs/>
          <w:sz w:val="24"/>
          <w:szCs w:val="24"/>
        </w:rPr>
        <w:t xml:space="preserve">. </w:t>
      </w:r>
    </w:p>
    <w:p w:rsidR="00C34742" w:rsidRDefault="001E71B0" w:rsidP="00C34742">
      <w:pPr>
        <w:widowControl w:val="0"/>
        <w:overflowPunct w:val="0"/>
        <w:autoSpaceDE w:val="0"/>
        <w:autoSpaceDN w:val="0"/>
        <w:adjustRightInd w:val="0"/>
        <w:jc w:val="both"/>
        <w:rPr>
          <w:bCs/>
          <w:sz w:val="24"/>
          <w:szCs w:val="24"/>
        </w:rPr>
      </w:pPr>
      <w:r>
        <w:rPr>
          <w:bCs/>
          <w:sz w:val="24"/>
          <w:szCs w:val="24"/>
        </w:rPr>
        <w:t xml:space="preserve">Potrošnja svakog pojedinca stoga je značajno determinirana njegovim stavovima spram materijalnih </w:t>
      </w:r>
      <w:r w:rsidR="00AA0F34">
        <w:rPr>
          <w:bCs/>
          <w:sz w:val="24"/>
          <w:szCs w:val="24"/>
        </w:rPr>
        <w:t xml:space="preserve">vrijednosti, ali i </w:t>
      </w:r>
      <w:r w:rsidR="00AA0F34" w:rsidRPr="00470460">
        <w:rPr>
          <w:bCs/>
          <w:color w:val="C00000"/>
          <w:sz w:val="24"/>
          <w:szCs w:val="24"/>
        </w:rPr>
        <w:t>motiv</w:t>
      </w:r>
      <w:r w:rsidR="00470460" w:rsidRPr="00470460">
        <w:rPr>
          <w:bCs/>
          <w:color w:val="C00000"/>
          <w:sz w:val="24"/>
          <w:szCs w:val="24"/>
        </w:rPr>
        <w:t>ima</w:t>
      </w:r>
      <w:r w:rsidR="00AA0F34" w:rsidRPr="00470460">
        <w:rPr>
          <w:bCs/>
          <w:color w:val="C00000"/>
          <w:sz w:val="24"/>
          <w:szCs w:val="24"/>
        </w:rPr>
        <w:t xml:space="preserve"> koji djeluju na njegove potrebe</w:t>
      </w:r>
      <w:r w:rsidR="00AA0F34">
        <w:rPr>
          <w:bCs/>
          <w:sz w:val="24"/>
          <w:szCs w:val="24"/>
        </w:rPr>
        <w:t>: od zadovoljenja temeljnih životnih potreba, potreba za sigurnošću, pripadnosti, samopoštovanju i statusu do potrebe za samodokazivanjem</w:t>
      </w:r>
      <w:r w:rsidR="00AA0F34" w:rsidRPr="00AA0F34">
        <w:rPr>
          <w:bCs/>
          <w:sz w:val="24"/>
          <w:szCs w:val="24"/>
        </w:rPr>
        <w:t xml:space="preserve"> (Maslowljeva hijerarhija potreba)</w:t>
      </w:r>
      <w:r w:rsidR="00AA0F34">
        <w:rPr>
          <w:bCs/>
          <w:sz w:val="24"/>
          <w:szCs w:val="24"/>
        </w:rPr>
        <w:t xml:space="preserve">. </w:t>
      </w:r>
    </w:p>
    <w:p w:rsidR="00C34742" w:rsidRDefault="001E71B0" w:rsidP="00E65873">
      <w:pPr>
        <w:widowControl w:val="0"/>
        <w:overflowPunct w:val="0"/>
        <w:autoSpaceDE w:val="0"/>
        <w:autoSpaceDN w:val="0"/>
        <w:adjustRightInd w:val="0"/>
        <w:jc w:val="both"/>
        <w:rPr>
          <w:bCs/>
          <w:sz w:val="24"/>
          <w:szCs w:val="24"/>
        </w:rPr>
      </w:pPr>
      <w:r>
        <w:rPr>
          <w:bCs/>
          <w:sz w:val="24"/>
          <w:szCs w:val="24"/>
        </w:rPr>
        <w:t>Jedan od faktora koji pridonosi razvoju potrošačkog društva te je često povezan u</w:t>
      </w:r>
      <w:r w:rsidR="00470460">
        <w:rPr>
          <w:bCs/>
          <w:sz w:val="24"/>
          <w:szCs w:val="24"/>
        </w:rPr>
        <w:t xml:space="preserve">z stihijsku i emotivnu kupovinu, kako i (svakodnevnu ili povremenu) kupovinu u znatno većim iznosima od planiranih, </w:t>
      </w:r>
      <w:r>
        <w:rPr>
          <w:bCs/>
          <w:sz w:val="24"/>
          <w:szCs w:val="24"/>
        </w:rPr>
        <w:t>je korištenje kreditnih kartica</w:t>
      </w:r>
      <w:r w:rsidR="00470460">
        <w:rPr>
          <w:bCs/>
          <w:sz w:val="24"/>
          <w:szCs w:val="24"/>
        </w:rPr>
        <w:t>. No, isto tako i</w:t>
      </w:r>
      <w:r>
        <w:rPr>
          <w:bCs/>
          <w:sz w:val="24"/>
          <w:szCs w:val="24"/>
        </w:rPr>
        <w:t xml:space="preserve"> debitnih kartica </w:t>
      </w:r>
      <w:r w:rsidR="00F67D38">
        <w:rPr>
          <w:bCs/>
          <w:sz w:val="24"/>
          <w:szCs w:val="24"/>
        </w:rPr>
        <w:t xml:space="preserve">(sa ili bez dopuštenog prekoračenja) </w:t>
      </w:r>
      <w:r>
        <w:rPr>
          <w:bCs/>
          <w:sz w:val="24"/>
          <w:szCs w:val="24"/>
        </w:rPr>
        <w:t xml:space="preserve">koje omogućavaju stalnu raspoloživost platnih instrumenata, odnosno dostupnost kupovne moći </w:t>
      </w:r>
      <w:r w:rsidR="00F67D38">
        <w:rPr>
          <w:bCs/>
          <w:sz w:val="24"/>
          <w:szCs w:val="24"/>
        </w:rPr>
        <w:t xml:space="preserve">u situacijama kada nije dostupna gotovina. </w:t>
      </w:r>
      <w:r w:rsidR="00470460">
        <w:rPr>
          <w:bCs/>
          <w:sz w:val="24"/>
          <w:szCs w:val="24"/>
        </w:rPr>
        <w:t>Za osobe koje se ne mogu oduprijeti izazovu kupnje kada ugledaju proizvod koji ih obilježjima i/ ili cijenom motivira na potrošnju veću od planirane, poželjno je da ne koriste bezgotovinske instrumente plaćanja, nego da sve mjesečne transakcije obavljaju gotovinom.</w:t>
      </w:r>
    </w:p>
    <w:p w:rsidR="000A49A2" w:rsidRPr="009D6D32" w:rsidRDefault="000A49A2" w:rsidP="0051389F">
      <w:pPr>
        <w:widowControl w:val="0"/>
        <w:overflowPunct w:val="0"/>
        <w:autoSpaceDE w:val="0"/>
        <w:autoSpaceDN w:val="0"/>
        <w:adjustRightInd w:val="0"/>
        <w:spacing w:before="240"/>
        <w:jc w:val="both"/>
        <w:rPr>
          <w:b/>
          <w:bCs/>
          <w:sz w:val="24"/>
          <w:szCs w:val="24"/>
        </w:rPr>
      </w:pPr>
      <w:r w:rsidRPr="009D6D32">
        <w:rPr>
          <w:b/>
          <w:bCs/>
          <w:sz w:val="24"/>
          <w:szCs w:val="24"/>
        </w:rPr>
        <w:t>4.2. Odabir metoda plaćanja</w:t>
      </w:r>
      <w:r w:rsidR="008D0F30">
        <w:rPr>
          <w:b/>
          <w:bCs/>
          <w:sz w:val="24"/>
          <w:szCs w:val="24"/>
        </w:rPr>
        <w:t xml:space="preserve"> </w:t>
      </w:r>
      <w:r w:rsidR="0051389F">
        <w:rPr>
          <w:b/>
          <w:bCs/>
          <w:sz w:val="24"/>
          <w:szCs w:val="24"/>
        </w:rPr>
        <w:t xml:space="preserve">i korištenje </w:t>
      </w:r>
      <w:r w:rsidR="008D0F30">
        <w:rPr>
          <w:b/>
          <w:bCs/>
          <w:sz w:val="24"/>
          <w:szCs w:val="24"/>
        </w:rPr>
        <w:t>bezgotovinsk</w:t>
      </w:r>
      <w:r w:rsidR="0051389F">
        <w:rPr>
          <w:b/>
          <w:bCs/>
          <w:sz w:val="24"/>
          <w:szCs w:val="24"/>
        </w:rPr>
        <w:t>ih platnih instrumenata</w:t>
      </w:r>
    </w:p>
    <w:p w:rsidR="003025C2" w:rsidRDefault="000A49A2" w:rsidP="00E65873">
      <w:pPr>
        <w:widowControl w:val="0"/>
        <w:overflowPunct w:val="0"/>
        <w:autoSpaceDE w:val="0"/>
        <w:autoSpaceDN w:val="0"/>
        <w:adjustRightInd w:val="0"/>
        <w:jc w:val="both"/>
        <w:rPr>
          <w:bCs/>
          <w:sz w:val="24"/>
          <w:szCs w:val="24"/>
        </w:rPr>
      </w:pPr>
      <w:r>
        <w:rPr>
          <w:bCs/>
          <w:sz w:val="24"/>
          <w:szCs w:val="24"/>
        </w:rPr>
        <w:t>Prije 30 godina većina plaćanja građana u Hrvatskoj odvijala se isključivo u gotovini. S vremenom je postala razvijenija praksa korištenja čekova posebno tijekom 90-ih</w:t>
      </w:r>
      <w:r w:rsidR="000C2CE2">
        <w:rPr>
          <w:bCs/>
          <w:sz w:val="24"/>
          <w:szCs w:val="24"/>
        </w:rPr>
        <w:t xml:space="preserve"> kao i charge platnih kartica (koje je javnost pogrešno naziva</w:t>
      </w:r>
      <w:r w:rsidR="00FF4003">
        <w:rPr>
          <w:bCs/>
          <w:sz w:val="24"/>
          <w:szCs w:val="24"/>
        </w:rPr>
        <w:t xml:space="preserve">la kreditnim karticama), </w:t>
      </w:r>
      <w:r w:rsidR="003025C2">
        <w:rPr>
          <w:bCs/>
          <w:sz w:val="24"/>
          <w:szCs w:val="24"/>
        </w:rPr>
        <w:t xml:space="preserve">dok su </w:t>
      </w:r>
      <w:r w:rsidR="00FF4003">
        <w:rPr>
          <w:bCs/>
          <w:sz w:val="24"/>
          <w:szCs w:val="24"/>
        </w:rPr>
        <w:t xml:space="preserve">sve </w:t>
      </w:r>
      <w:r w:rsidR="003025C2">
        <w:rPr>
          <w:bCs/>
          <w:sz w:val="24"/>
          <w:szCs w:val="24"/>
        </w:rPr>
        <w:t xml:space="preserve">češćem </w:t>
      </w:r>
      <w:r w:rsidR="00FF4003">
        <w:rPr>
          <w:bCs/>
          <w:sz w:val="24"/>
          <w:szCs w:val="24"/>
        </w:rPr>
        <w:t xml:space="preserve">korištenju bezgotovinskih instrumenata plaćanja pridonijele isplate </w:t>
      </w:r>
      <w:r w:rsidR="003025C2">
        <w:rPr>
          <w:bCs/>
          <w:sz w:val="24"/>
          <w:szCs w:val="24"/>
        </w:rPr>
        <w:t xml:space="preserve">plaća </w:t>
      </w:r>
      <w:r w:rsidR="00FF4003">
        <w:rPr>
          <w:bCs/>
          <w:sz w:val="24"/>
          <w:szCs w:val="24"/>
        </w:rPr>
        <w:t>putem banaka (umjesto na blagajni poslodavc</w:t>
      </w:r>
      <w:r w:rsidR="003025C2">
        <w:rPr>
          <w:bCs/>
          <w:sz w:val="24"/>
          <w:szCs w:val="24"/>
        </w:rPr>
        <w:t>a</w:t>
      </w:r>
      <w:r w:rsidR="00FF4003">
        <w:rPr>
          <w:bCs/>
          <w:sz w:val="24"/>
          <w:szCs w:val="24"/>
        </w:rPr>
        <w:t xml:space="preserve">), a u koju svrhu su </w:t>
      </w:r>
      <w:r w:rsidR="003025C2">
        <w:rPr>
          <w:bCs/>
          <w:sz w:val="24"/>
          <w:szCs w:val="24"/>
        </w:rPr>
        <w:t xml:space="preserve">primatelji plaćanja </w:t>
      </w:r>
      <w:r w:rsidR="00FF4003">
        <w:rPr>
          <w:bCs/>
          <w:sz w:val="24"/>
          <w:szCs w:val="24"/>
        </w:rPr>
        <w:t>trebali otvoriti tekući račun odnosno po potrebi druge račune za plaćanje.</w:t>
      </w:r>
      <w:r w:rsidR="000C2CE2">
        <w:rPr>
          <w:bCs/>
          <w:sz w:val="24"/>
          <w:szCs w:val="24"/>
        </w:rPr>
        <w:t xml:space="preserve"> </w:t>
      </w:r>
      <w:r w:rsidR="003025C2">
        <w:rPr>
          <w:bCs/>
          <w:sz w:val="24"/>
          <w:szCs w:val="24"/>
        </w:rPr>
        <w:t xml:space="preserve"> Osim zaposlenih radnika i primatelja povremenih prihoda, korištenje tekućih računa i s njima povezanih proizvoda počeli su intenzivnije koristiti i umirovljenici u urbanim sredinama. </w:t>
      </w:r>
    </w:p>
    <w:p w:rsidR="00066C46" w:rsidRDefault="000C2CE2" w:rsidP="00E65873">
      <w:pPr>
        <w:widowControl w:val="0"/>
        <w:overflowPunct w:val="0"/>
        <w:autoSpaceDE w:val="0"/>
        <w:autoSpaceDN w:val="0"/>
        <w:adjustRightInd w:val="0"/>
        <w:jc w:val="both"/>
        <w:rPr>
          <w:bCs/>
          <w:sz w:val="24"/>
          <w:szCs w:val="24"/>
        </w:rPr>
      </w:pPr>
      <w:r>
        <w:rPr>
          <w:bCs/>
          <w:sz w:val="24"/>
          <w:szCs w:val="24"/>
        </w:rPr>
        <w:t>U</w:t>
      </w:r>
      <w:r w:rsidR="000A49A2">
        <w:rPr>
          <w:bCs/>
          <w:sz w:val="24"/>
          <w:szCs w:val="24"/>
        </w:rPr>
        <w:t xml:space="preserve"> novom tisućljeću</w:t>
      </w:r>
      <w:r w:rsidR="003025C2">
        <w:rPr>
          <w:bCs/>
          <w:sz w:val="24"/>
          <w:szCs w:val="24"/>
        </w:rPr>
        <w:t xml:space="preserve">, gotovinu i čekove </w:t>
      </w:r>
      <w:r w:rsidR="009D6D32">
        <w:rPr>
          <w:bCs/>
          <w:sz w:val="24"/>
          <w:szCs w:val="24"/>
        </w:rPr>
        <w:t>zamijenil</w:t>
      </w:r>
      <w:r>
        <w:rPr>
          <w:bCs/>
          <w:sz w:val="24"/>
          <w:szCs w:val="24"/>
        </w:rPr>
        <w:t xml:space="preserve">i </w:t>
      </w:r>
      <w:r w:rsidR="00190D15">
        <w:rPr>
          <w:bCs/>
          <w:sz w:val="24"/>
          <w:szCs w:val="24"/>
        </w:rPr>
        <w:t xml:space="preserve">su </w:t>
      </w:r>
      <w:r>
        <w:rPr>
          <w:bCs/>
          <w:sz w:val="24"/>
          <w:szCs w:val="24"/>
        </w:rPr>
        <w:t>različiti kartični proizvodi: debitne kartice, charge kartice, revolving kreditne kartice, prepaid kartice, kartice s mogućnošću beskontaktnog plaćanja itd.</w:t>
      </w:r>
      <w:r w:rsidR="009E7379">
        <w:rPr>
          <w:bCs/>
          <w:sz w:val="24"/>
          <w:szCs w:val="24"/>
        </w:rPr>
        <w:t xml:space="preserve"> koje se koriste putem EFT POS uređaja</w:t>
      </w:r>
      <w:r w:rsidR="00025C45">
        <w:rPr>
          <w:bCs/>
          <w:sz w:val="24"/>
          <w:szCs w:val="24"/>
        </w:rPr>
        <w:t xml:space="preserve"> na prodajnim mjestima</w:t>
      </w:r>
      <w:r w:rsidR="009E7379">
        <w:rPr>
          <w:bCs/>
          <w:sz w:val="24"/>
          <w:szCs w:val="24"/>
        </w:rPr>
        <w:t>.</w:t>
      </w:r>
      <w:r>
        <w:rPr>
          <w:bCs/>
          <w:sz w:val="24"/>
          <w:szCs w:val="24"/>
        </w:rPr>
        <w:t xml:space="preserve"> </w:t>
      </w:r>
      <w:r w:rsidR="003025C2">
        <w:rPr>
          <w:bCs/>
          <w:sz w:val="24"/>
          <w:szCs w:val="24"/>
        </w:rPr>
        <w:lastRenderedPageBreak/>
        <w:t>Dodatno razvile</w:t>
      </w:r>
      <w:r>
        <w:rPr>
          <w:bCs/>
          <w:sz w:val="24"/>
          <w:szCs w:val="24"/>
        </w:rPr>
        <w:t xml:space="preserve"> su se različite mogućnosti elektroničkog plaćanja uključujući internetsko bankarstvo, mobilno bankarstvo i</w:t>
      </w:r>
      <w:r w:rsidR="00025C45">
        <w:rPr>
          <w:bCs/>
          <w:sz w:val="24"/>
          <w:szCs w:val="24"/>
        </w:rPr>
        <w:t xml:space="preserve"> drugo</w:t>
      </w:r>
      <w:r>
        <w:rPr>
          <w:bCs/>
          <w:sz w:val="24"/>
          <w:szCs w:val="24"/>
        </w:rPr>
        <w:t xml:space="preserve">. </w:t>
      </w:r>
    </w:p>
    <w:tbl>
      <w:tblPr>
        <w:tblStyle w:val="Reetkatablice"/>
        <w:tblW w:w="0" w:type="auto"/>
        <w:tblInd w:w="108" w:type="dxa"/>
        <w:tblLook w:val="04A0" w:firstRow="1" w:lastRow="0" w:firstColumn="1" w:lastColumn="0" w:noHBand="0" w:noVBand="1"/>
      </w:tblPr>
      <w:tblGrid>
        <w:gridCol w:w="9072"/>
      </w:tblGrid>
      <w:tr w:rsidR="00D3154E" w:rsidTr="00D3154E">
        <w:tc>
          <w:tcPr>
            <w:tcW w:w="9072" w:type="dxa"/>
            <w:shd w:val="clear" w:color="auto" w:fill="F2F2F2" w:themeFill="background1" w:themeFillShade="F2"/>
          </w:tcPr>
          <w:p w:rsidR="00D3154E" w:rsidRDefault="00D3154E" w:rsidP="00D3154E">
            <w:pPr>
              <w:pStyle w:val="StandardWeb"/>
              <w:spacing w:before="120" w:beforeAutospacing="0" w:after="120" w:afterAutospacing="0"/>
              <w:jc w:val="both"/>
              <w:rPr>
                <w:rFonts w:asciiTheme="minorHAnsi" w:hAnsiTheme="minorHAnsi"/>
                <w:color w:val="000000" w:themeColor="text1"/>
              </w:rPr>
            </w:pPr>
            <w:r w:rsidRPr="009E7379">
              <w:rPr>
                <w:rStyle w:val="podnaslov1"/>
                <w:rFonts w:asciiTheme="minorHAnsi" w:hAnsiTheme="minorHAnsi"/>
                <w:b w:val="0"/>
                <w:color w:val="C00000"/>
                <w:sz w:val="24"/>
                <w:szCs w:val="24"/>
              </w:rPr>
              <w:t xml:space="preserve">EFT POS </w:t>
            </w:r>
            <w:r w:rsidRPr="00D3154E">
              <w:rPr>
                <w:rStyle w:val="podnaslov1"/>
                <w:rFonts w:asciiTheme="minorHAnsi" w:hAnsiTheme="minorHAnsi"/>
                <w:b w:val="0"/>
                <w:color w:val="000000" w:themeColor="text1"/>
                <w:sz w:val="24"/>
                <w:szCs w:val="24"/>
              </w:rPr>
              <w:t>je</w:t>
            </w:r>
            <w:r w:rsidRPr="00D3154E">
              <w:rPr>
                <w:rStyle w:val="podnaslov1"/>
                <w:rFonts w:asciiTheme="minorHAnsi" w:hAnsiTheme="minorHAnsi"/>
                <w:color w:val="000000" w:themeColor="text1"/>
                <w:sz w:val="24"/>
                <w:szCs w:val="24"/>
              </w:rPr>
              <w:t xml:space="preserve"> </w:t>
            </w:r>
            <w:r w:rsidRPr="00D3154E">
              <w:rPr>
                <w:rFonts w:asciiTheme="minorHAnsi" w:hAnsiTheme="minorHAnsi"/>
                <w:color w:val="000000" w:themeColor="text1"/>
              </w:rPr>
              <w:t xml:space="preserve">uređaj </w:t>
            </w:r>
            <w:r w:rsidR="009E7379">
              <w:rPr>
                <w:rFonts w:asciiTheme="minorHAnsi" w:hAnsiTheme="minorHAnsi"/>
                <w:color w:val="000000" w:themeColor="text1"/>
              </w:rPr>
              <w:t xml:space="preserve">za obavljanje bezgotovinskih platnih transakcija </w:t>
            </w:r>
            <w:r w:rsidRPr="00D3154E">
              <w:rPr>
                <w:rFonts w:asciiTheme="minorHAnsi" w:hAnsiTheme="minorHAnsi"/>
                <w:color w:val="000000" w:themeColor="text1"/>
              </w:rPr>
              <w:t xml:space="preserve">instaliran na prodajnom mjestu </w:t>
            </w:r>
            <w:r w:rsidR="009E7379">
              <w:rPr>
                <w:rFonts w:asciiTheme="minorHAnsi" w:hAnsiTheme="minorHAnsi"/>
                <w:color w:val="000000" w:themeColor="text1"/>
              </w:rPr>
              <w:t xml:space="preserve">(ili mobilan </w:t>
            </w:r>
            <w:r w:rsidR="00025C45">
              <w:rPr>
                <w:rFonts w:asciiTheme="minorHAnsi" w:hAnsiTheme="minorHAnsi"/>
                <w:color w:val="000000" w:themeColor="text1"/>
              </w:rPr>
              <w:t xml:space="preserve">uređaj </w:t>
            </w:r>
            <w:r w:rsidR="009E7379">
              <w:rPr>
                <w:rFonts w:asciiTheme="minorHAnsi" w:hAnsiTheme="minorHAnsi"/>
                <w:color w:val="000000" w:themeColor="text1"/>
              </w:rPr>
              <w:t xml:space="preserve">temeljen na prijenosu informacija bežičnim putem). U </w:t>
            </w:r>
            <w:r w:rsidRPr="00D3154E">
              <w:rPr>
                <w:rFonts w:asciiTheme="minorHAnsi" w:hAnsiTheme="minorHAnsi"/>
                <w:color w:val="000000" w:themeColor="text1"/>
              </w:rPr>
              <w:t>u slučaju korištenja debitnih kartica omogućuje plaćanje terećenjem transakcijskog računa korisnika uz njegovu istodobnu identifikaciju i autorizaciju pomoću osobnog identifikacijskog broja - PIN-a</w:t>
            </w:r>
            <w:r>
              <w:rPr>
                <w:rFonts w:asciiTheme="minorHAnsi" w:hAnsiTheme="minorHAnsi"/>
                <w:color w:val="000000" w:themeColor="text1"/>
              </w:rPr>
              <w:t xml:space="preserve"> ili samo prislanjanjem debitne kratice </w:t>
            </w:r>
            <w:r w:rsidR="009E7379">
              <w:rPr>
                <w:rFonts w:asciiTheme="minorHAnsi" w:hAnsiTheme="minorHAnsi"/>
                <w:color w:val="000000" w:themeColor="text1"/>
              </w:rPr>
              <w:t xml:space="preserve">(npr. </w:t>
            </w:r>
            <w:r>
              <w:rPr>
                <w:rFonts w:asciiTheme="minorHAnsi" w:hAnsiTheme="minorHAnsi"/>
                <w:color w:val="000000" w:themeColor="text1"/>
              </w:rPr>
              <w:t>u slučaju beskontaktnog plaćanja u iznosima do 100 kuna po transakciji</w:t>
            </w:r>
            <w:r w:rsidR="009E7379">
              <w:rPr>
                <w:rFonts w:asciiTheme="minorHAnsi" w:hAnsiTheme="minorHAnsi"/>
                <w:color w:val="000000" w:themeColor="text1"/>
              </w:rPr>
              <w:t>)</w:t>
            </w:r>
            <w:r w:rsidRPr="00D3154E">
              <w:rPr>
                <w:rFonts w:asciiTheme="minorHAnsi" w:hAnsiTheme="minorHAnsi"/>
                <w:color w:val="000000" w:themeColor="text1"/>
              </w:rPr>
              <w:t>. S druge strane u slučaju korištenja kreditnih i charge kartica EFT POS prvenstveno služi za provjeru valjanosti kartice.</w:t>
            </w:r>
          </w:p>
          <w:p w:rsidR="009E7379" w:rsidRPr="001205BE" w:rsidRDefault="009E7379" w:rsidP="001205BE">
            <w:pPr>
              <w:pStyle w:val="Tekstfusnote"/>
              <w:spacing w:after="120"/>
              <w:jc w:val="both"/>
              <w:rPr>
                <w:rFonts w:asciiTheme="minorHAnsi" w:hAnsiTheme="minorHAnsi"/>
                <w:color w:val="000000" w:themeColor="text1"/>
                <w:sz w:val="24"/>
                <w:szCs w:val="24"/>
              </w:rPr>
            </w:pPr>
            <w:r w:rsidRPr="009E7379">
              <w:rPr>
                <w:rFonts w:asciiTheme="minorHAnsi" w:hAnsiTheme="minorHAnsi"/>
                <w:color w:val="C00000"/>
                <w:sz w:val="24"/>
                <w:szCs w:val="24"/>
              </w:rPr>
              <w:t xml:space="preserve">Internetsko bankarstvo </w:t>
            </w:r>
            <w:r w:rsidRPr="009E7379">
              <w:rPr>
                <w:rFonts w:asciiTheme="minorHAnsi" w:hAnsiTheme="minorHAnsi"/>
                <w:color w:val="000000" w:themeColor="text1"/>
                <w:sz w:val="24"/>
                <w:szCs w:val="24"/>
              </w:rPr>
              <w:t xml:space="preserve">je usluga ugovorena između imatelja transakcijskog računa i banke koja klijentu omogućuje korištenje usluga elektroničkog bankarstva temeljenog na internetskoj tehnologiji. </w:t>
            </w:r>
            <w:r>
              <w:rPr>
                <w:rFonts w:asciiTheme="minorHAnsi" w:hAnsiTheme="minorHAnsi"/>
                <w:color w:val="000000" w:themeColor="text1"/>
                <w:sz w:val="24"/>
                <w:szCs w:val="24"/>
              </w:rPr>
              <w:t xml:space="preserve">U slučaju kada je </w:t>
            </w:r>
            <w:r w:rsidRPr="009E7379">
              <w:rPr>
                <w:rFonts w:asciiTheme="minorHAnsi" w:hAnsiTheme="minorHAnsi"/>
                <w:color w:val="000000" w:themeColor="text1"/>
                <w:sz w:val="24"/>
                <w:szCs w:val="24"/>
              </w:rPr>
              <w:t xml:space="preserve">usluga elektroničkog bankarstva temeljena na komunikacijskoj tehnologiji fiksne telefonske mreže radi se </w:t>
            </w:r>
            <w:r w:rsidRPr="009E7379">
              <w:rPr>
                <w:rFonts w:asciiTheme="minorHAnsi" w:hAnsiTheme="minorHAnsi"/>
                <w:color w:val="C00000"/>
                <w:sz w:val="24"/>
                <w:szCs w:val="24"/>
              </w:rPr>
              <w:t>o telebanking</w:t>
            </w:r>
            <w:r w:rsidRPr="009E7379">
              <w:rPr>
                <w:rFonts w:asciiTheme="minorHAnsi" w:hAnsiTheme="minorHAnsi"/>
                <w:color w:val="000000" w:themeColor="text1"/>
                <w:sz w:val="24"/>
                <w:szCs w:val="24"/>
              </w:rPr>
              <w:t xml:space="preserve">-u, a ako se odvija preko mobilnih telefona radi se o </w:t>
            </w:r>
            <w:r w:rsidRPr="009E7379">
              <w:rPr>
                <w:rFonts w:asciiTheme="minorHAnsi" w:hAnsiTheme="minorHAnsi"/>
                <w:color w:val="C00000"/>
                <w:sz w:val="24"/>
                <w:szCs w:val="24"/>
              </w:rPr>
              <w:t>mobilnom bankarstvu</w:t>
            </w:r>
            <w:r w:rsidR="001205BE">
              <w:rPr>
                <w:rFonts w:asciiTheme="minorHAnsi" w:hAnsiTheme="minorHAnsi"/>
                <w:color w:val="000000" w:themeColor="text1"/>
                <w:sz w:val="24"/>
                <w:szCs w:val="24"/>
              </w:rPr>
              <w:t>.</w:t>
            </w:r>
          </w:p>
        </w:tc>
      </w:tr>
    </w:tbl>
    <w:p w:rsidR="00F8595B" w:rsidRDefault="009E7379" w:rsidP="00D3154E">
      <w:pPr>
        <w:widowControl w:val="0"/>
        <w:overflowPunct w:val="0"/>
        <w:autoSpaceDE w:val="0"/>
        <w:autoSpaceDN w:val="0"/>
        <w:adjustRightInd w:val="0"/>
        <w:spacing w:before="240"/>
        <w:jc w:val="both"/>
        <w:rPr>
          <w:bCs/>
          <w:sz w:val="24"/>
          <w:szCs w:val="24"/>
        </w:rPr>
      </w:pPr>
      <w:r>
        <w:rPr>
          <w:bCs/>
          <w:sz w:val="24"/>
          <w:szCs w:val="24"/>
        </w:rPr>
        <w:t xml:space="preserve">Kroz široku ponudu platnih instrumenata i posredovanje u gotovo svim platnim transakcijama, banke danas predstavljaju osnovne institucije platnog prometa, a građani su sve više financijski uključeni subjekti (kako se često kaže postali su „bankirani„ – što znači da koriste tekuće račune i druge proizvode i usluge banaka). Međutim, gotovina kao najlikvidniji oblik imovine i dalje je neophodna za plaćanja na brojnim mjestima koja nemaju EFT POS uređaje ili ne prihvaćaju bezgotovinska plaćanja. </w:t>
      </w:r>
      <w:r w:rsidR="00066C46">
        <w:rPr>
          <w:bCs/>
          <w:sz w:val="24"/>
          <w:szCs w:val="24"/>
        </w:rPr>
        <w:t xml:space="preserve">Dodatno, u brojnim situacijama je moguće ostvariti </w:t>
      </w:r>
      <w:r w:rsidR="00066C46" w:rsidRPr="00066C46">
        <w:rPr>
          <w:bCs/>
          <w:color w:val="C00000"/>
          <w:sz w:val="24"/>
          <w:szCs w:val="24"/>
        </w:rPr>
        <w:t>popuste za plaćanja gotovinom</w:t>
      </w:r>
      <w:r w:rsidR="00F8595B">
        <w:rPr>
          <w:bCs/>
          <w:color w:val="C00000"/>
          <w:sz w:val="24"/>
          <w:szCs w:val="24"/>
        </w:rPr>
        <w:t xml:space="preserve"> </w:t>
      </w:r>
      <w:r w:rsidR="00F8595B">
        <w:rPr>
          <w:bCs/>
          <w:sz w:val="24"/>
          <w:szCs w:val="24"/>
        </w:rPr>
        <w:t>(npr. 5%</w:t>
      </w:r>
      <w:r w:rsidR="00F8595B" w:rsidRPr="00F8595B">
        <w:rPr>
          <w:bCs/>
          <w:sz w:val="24"/>
          <w:szCs w:val="24"/>
        </w:rPr>
        <w:t>)</w:t>
      </w:r>
      <w:r w:rsidR="00066C46" w:rsidRPr="00F8595B">
        <w:rPr>
          <w:bCs/>
          <w:sz w:val="24"/>
          <w:szCs w:val="24"/>
        </w:rPr>
        <w:t xml:space="preserve">, </w:t>
      </w:r>
      <w:r w:rsidR="00066C46">
        <w:rPr>
          <w:bCs/>
          <w:sz w:val="24"/>
          <w:szCs w:val="24"/>
        </w:rPr>
        <w:t>a koji se npr. ne mogu realizirati u slučaju plaćanja debitnom karticom tekućeg računa - iako i u jednom i drugom slučaju primatelj plaćanja u vrlo kratkom roku može raspolagati sredstvima koja su mu uplaćena.</w:t>
      </w:r>
      <w:r w:rsidR="00F8595B">
        <w:rPr>
          <w:bCs/>
          <w:sz w:val="24"/>
          <w:szCs w:val="24"/>
        </w:rPr>
        <w:t xml:space="preserve"> </w:t>
      </w:r>
    </w:p>
    <w:p w:rsidR="00F8595B" w:rsidRDefault="00F8595B" w:rsidP="00D3154E">
      <w:pPr>
        <w:widowControl w:val="0"/>
        <w:overflowPunct w:val="0"/>
        <w:autoSpaceDE w:val="0"/>
        <w:autoSpaceDN w:val="0"/>
        <w:adjustRightInd w:val="0"/>
        <w:spacing w:before="240"/>
        <w:jc w:val="both"/>
        <w:rPr>
          <w:bCs/>
          <w:sz w:val="24"/>
          <w:szCs w:val="24"/>
        </w:rPr>
      </w:pPr>
      <w:r>
        <w:rPr>
          <w:bCs/>
          <w:sz w:val="24"/>
          <w:szCs w:val="24"/>
        </w:rPr>
        <w:t>Naime</w:t>
      </w:r>
      <w:r w:rsidR="00066C46">
        <w:rPr>
          <w:bCs/>
          <w:sz w:val="24"/>
          <w:szCs w:val="24"/>
        </w:rPr>
        <w:t>, svako plaćanje debitnim i kreditnim karticama za prodajn</w:t>
      </w:r>
      <w:r>
        <w:rPr>
          <w:bCs/>
          <w:sz w:val="24"/>
          <w:szCs w:val="24"/>
        </w:rPr>
        <w:t>a</w:t>
      </w:r>
      <w:r w:rsidR="00066C46">
        <w:rPr>
          <w:bCs/>
          <w:sz w:val="24"/>
          <w:szCs w:val="24"/>
        </w:rPr>
        <w:t xml:space="preserve"> mjesto znači određene transakcijske troškove </w:t>
      </w:r>
      <w:r>
        <w:rPr>
          <w:bCs/>
          <w:sz w:val="24"/>
          <w:szCs w:val="24"/>
        </w:rPr>
        <w:t xml:space="preserve">- </w:t>
      </w:r>
      <w:r w:rsidRPr="00F8595B">
        <w:rPr>
          <w:bCs/>
          <w:color w:val="C00000"/>
          <w:sz w:val="24"/>
          <w:szCs w:val="24"/>
        </w:rPr>
        <w:t>provizijske naknade za procesiranje transakcija</w:t>
      </w:r>
      <w:r>
        <w:rPr>
          <w:bCs/>
          <w:sz w:val="24"/>
          <w:szCs w:val="24"/>
        </w:rPr>
        <w:t xml:space="preserve">, </w:t>
      </w:r>
      <w:r w:rsidR="00066C46">
        <w:rPr>
          <w:bCs/>
          <w:sz w:val="24"/>
          <w:szCs w:val="24"/>
        </w:rPr>
        <w:t>koj</w:t>
      </w:r>
      <w:r>
        <w:rPr>
          <w:bCs/>
          <w:sz w:val="24"/>
          <w:szCs w:val="24"/>
        </w:rPr>
        <w:t>e</w:t>
      </w:r>
      <w:r w:rsidR="00066C46">
        <w:rPr>
          <w:bCs/>
          <w:sz w:val="24"/>
          <w:szCs w:val="24"/>
        </w:rPr>
        <w:t xml:space="preserve"> su u Hrvatskoj veći nego u slučaju razvijenih zemalja</w:t>
      </w:r>
      <w:r>
        <w:rPr>
          <w:bCs/>
          <w:sz w:val="24"/>
          <w:szCs w:val="24"/>
        </w:rPr>
        <w:t xml:space="preserve"> (dosežu visinu i do 5% vrijednosti transakcija iako bi se u budućnosti trebale smanjiti na 0,2% za debitne kartice te 0,3% za kreditne kartice)</w:t>
      </w:r>
      <w:r w:rsidR="00066C46">
        <w:rPr>
          <w:bCs/>
          <w:sz w:val="24"/>
          <w:szCs w:val="24"/>
        </w:rPr>
        <w:t xml:space="preserve">. </w:t>
      </w:r>
      <w:r>
        <w:rPr>
          <w:bCs/>
          <w:sz w:val="24"/>
          <w:szCs w:val="24"/>
        </w:rPr>
        <w:t xml:space="preserve">Provizijske naknade su </w:t>
      </w:r>
      <w:r w:rsidR="00066C46">
        <w:rPr>
          <w:bCs/>
          <w:sz w:val="24"/>
          <w:szCs w:val="24"/>
        </w:rPr>
        <w:t>osnovni razlog zbog čega je prodajnim mjestima još uvijek zanimljivija gotovina</w:t>
      </w:r>
      <w:r w:rsidR="001205BE">
        <w:rPr>
          <w:bCs/>
          <w:sz w:val="24"/>
          <w:szCs w:val="24"/>
        </w:rPr>
        <w:t>.</w:t>
      </w:r>
      <w:r w:rsidR="00066C46">
        <w:rPr>
          <w:bCs/>
          <w:sz w:val="24"/>
          <w:szCs w:val="24"/>
        </w:rPr>
        <w:t xml:space="preserve"> (</w:t>
      </w:r>
      <w:r w:rsidR="001205BE">
        <w:rPr>
          <w:bCs/>
          <w:sz w:val="24"/>
          <w:szCs w:val="24"/>
        </w:rPr>
        <w:t>R</w:t>
      </w:r>
      <w:r w:rsidR="00066C46">
        <w:rPr>
          <w:bCs/>
          <w:sz w:val="24"/>
          <w:szCs w:val="24"/>
        </w:rPr>
        <w:t>azlog stoga nije samo postojanje sive ekonomije kao što se obično pretpostavlja</w:t>
      </w:r>
      <w:r w:rsidR="001205BE">
        <w:rPr>
          <w:bCs/>
          <w:sz w:val="24"/>
          <w:szCs w:val="24"/>
        </w:rPr>
        <w:t>.</w:t>
      </w:r>
      <w:r w:rsidR="00066C46">
        <w:rPr>
          <w:bCs/>
          <w:sz w:val="24"/>
          <w:szCs w:val="24"/>
        </w:rPr>
        <w:t xml:space="preserve">) </w:t>
      </w:r>
    </w:p>
    <w:p w:rsidR="000A49A2" w:rsidRDefault="00066C46" w:rsidP="00D3154E">
      <w:pPr>
        <w:widowControl w:val="0"/>
        <w:overflowPunct w:val="0"/>
        <w:autoSpaceDE w:val="0"/>
        <w:autoSpaceDN w:val="0"/>
        <w:adjustRightInd w:val="0"/>
        <w:spacing w:before="240"/>
        <w:jc w:val="both"/>
        <w:rPr>
          <w:bCs/>
          <w:sz w:val="24"/>
          <w:szCs w:val="24"/>
        </w:rPr>
      </w:pPr>
      <w:r>
        <w:rPr>
          <w:bCs/>
          <w:sz w:val="24"/>
          <w:szCs w:val="24"/>
        </w:rPr>
        <w:t xml:space="preserve">S druge stane, </w:t>
      </w:r>
      <w:r w:rsidRPr="00066C46">
        <w:rPr>
          <w:bCs/>
          <w:color w:val="000000" w:themeColor="text1"/>
          <w:sz w:val="24"/>
          <w:szCs w:val="24"/>
        </w:rPr>
        <w:t xml:space="preserve">nošenje </w:t>
      </w:r>
      <w:r w:rsidRPr="00066C46">
        <w:rPr>
          <w:bCs/>
          <w:color w:val="C00000"/>
          <w:sz w:val="24"/>
          <w:szCs w:val="24"/>
        </w:rPr>
        <w:t>velikih iznosa gotovine za vlasnika donosi veće rizike</w:t>
      </w:r>
      <w:r>
        <w:rPr>
          <w:bCs/>
          <w:sz w:val="24"/>
          <w:szCs w:val="24"/>
        </w:rPr>
        <w:t xml:space="preserve"> mogućih krađa ili gubitak</w:t>
      </w:r>
      <w:r w:rsidR="009E7379">
        <w:rPr>
          <w:bCs/>
          <w:sz w:val="24"/>
          <w:szCs w:val="24"/>
        </w:rPr>
        <w:t>a, uključuje rizik krivotvoren</w:t>
      </w:r>
      <w:r w:rsidR="0051269D">
        <w:rPr>
          <w:bCs/>
          <w:sz w:val="24"/>
          <w:szCs w:val="24"/>
        </w:rPr>
        <w:t>ih</w:t>
      </w:r>
      <w:r w:rsidR="009E7379">
        <w:rPr>
          <w:bCs/>
          <w:sz w:val="24"/>
          <w:szCs w:val="24"/>
        </w:rPr>
        <w:t xml:space="preserve"> novčanica</w:t>
      </w:r>
      <w:r>
        <w:rPr>
          <w:bCs/>
          <w:sz w:val="24"/>
          <w:szCs w:val="24"/>
        </w:rPr>
        <w:t xml:space="preserve">, a osim toga često je i nepraktično. Gotovina se stoga uglavnom koristi za manja plaćanja, a bezgotovinski instrumenti za plaćanja </w:t>
      </w:r>
      <w:r w:rsidR="001205BE">
        <w:rPr>
          <w:bCs/>
          <w:sz w:val="24"/>
          <w:szCs w:val="24"/>
        </w:rPr>
        <w:t xml:space="preserve">u većim iznosima </w:t>
      </w:r>
      <w:r w:rsidR="009F2F05">
        <w:rPr>
          <w:bCs/>
          <w:sz w:val="24"/>
          <w:szCs w:val="24"/>
        </w:rPr>
        <w:t>(</w:t>
      </w:r>
      <w:r w:rsidR="00C54C2A">
        <w:rPr>
          <w:bCs/>
          <w:sz w:val="24"/>
          <w:szCs w:val="24"/>
        </w:rPr>
        <w:t xml:space="preserve">ili </w:t>
      </w:r>
      <w:r w:rsidR="009F2F05">
        <w:rPr>
          <w:bCs/>
          <w:sz w:val="24"/>
          <w:szCs w:val="24"/>
        </w:rPr>
        <w:t>kada gotovina nije raspoloživa</w:t>
      </w:r>
      <w:r w:rsidR="001205BE">
        <w:rPr>
          <w:bCs/>
          <w:sz w:val="24"/>
          <w:szCs w:val="24"/>
        </w:rPr>
        <w:t>, a bankomat određene banke daleko</w:t>
      </w:r>
      <w:r w:rsidR="009F2F05">
        <w:rPr>
          <w:bCs/>
          <w:sz w:val="24"/>
          <w:szCs w:val="24"/>
        </w:rPr>
        <w:t>)</w:t>
      </w:r>
      <w:r w:rsidR="001205BE">
        <w:rPr>
          <w:bCs/>
          <w:sz w:val="24"/>
          <w:szCs w:val="24"/>
        </w:rPr>
        <w:t>. P</w:t>
      </w:r>
      <w:r>
        <w:rPr>
          <w:bCs/>
          <w:sz w:val="24"/>
          <w:szCs w:val="24"/>
        </w:rPr>
        <w:t xml:space="preserve">ri </w:t>
      </w:r>
      <w:r w:rsidR="001205BE">
        <w:rPr>
          <w:bCs/>
          <w:sz w:val="24"/>
          <w:szCs w:val="24"/>
        </w:rPr>
        <w:t>tome</w:t>
      </w:r>
      <w:r>
        <w:rPr>
          <w:bCs/>
          <w:sz w:val="24"/>
          <w:szCs w:val="24"/>
        </w:rPr>
        <w:t xml:space="preserve"> </w:t>
      </w:r>
      <w:r w:rsidR="001205BE">
        <w:rPr>
          <w:bCs/>
          <w:sz w:val="24"/>
          <w:szCs w:val="24"/>
        </w:rPr>
        <w:t xml:space="preserve">potrošačev </w:t>
      </w:r>
      <w:r>
        <w:rPr>
          <w:bCs/>
          <w:sz w:val="24"/>
          <w:szCs w:val="24"/>
        </w:rPr>
        <w:t xml:space="preserve">izbor </w:t>
      </w:r>
      <w:r w:rsidR="001205BE">
        <w:rPr>
          <w:bCs/>
          <w:sz w:val="24"/>
          <w:szCs w:val="24"/>
        </w:rPr>
        <w:t xml:space="preserve">korištenih platnih instrumenata (npr. izbor </w:t>
      </w:r>
      <w:r>
        <w:rPr>
          <w:bCs/>
          <w:sz w:val="24"/>
          <w:szCs w:val="24"/>
        </w:rPr>
        <w:t>između korištenja debitnih kartica u odnosu na druge kartične proizvode</w:t>
      </w:r>
      <w:r w:rsidR="001205BE">
        <w:rPr>
          <w:bCs/>
          <w:sz w:val="24"/>
          <w:szCs w:val="24"/>
        </w:rPr>
        <w:t>)</w:t>
      </w:r>
      <w:r>
        <w:rPr>
          <w:bCs/>
          <w:sz w:val="24"/>
          <w:szCs w:val="24"/>
        </w:rPr>
        <w:t xml:space="preserve"> ovisi o troškovima njihov</w:t>
      </w:r>
      <w:r w:rsidR="0051269D">
        <w:rPr>
          <w:bCs/>
          <w:sz w:val="24"/>
          <w:szCs w:val="24"/>
        </w:rPr>
        <w:t>a</w:t>
      </w:r>
      <w:r>
        <w:rPr>
          <w:bCs/>
          <w:sz w:val="24"/>
          <w:szCs w:val="24"/>
        </w:rPr>
        <w:t xml:space="preserve"> korištenja </w:t>
      </w:r>
      <w:r w:rsidR="00D3154E">
        <w:rPr>
          <w:bCs/>
          <w:sz w:val="24"/>
          <w:szCs w:val="24"/>
        </w:rPr>
        <w:t xml:space="preserve">te odlukama vezanim uz upravljanje novčanim tokom </w:t>
      </w:r>
      <w:r w:rsidR="0051269D">
        <w:rPr>
          <w:bCs/>
          <w:sz w:val="24"/>
          <w:szCs w:val="24"/>
        </w:rPr>
        <w:t xml:space="preserve">kućanstva - </w:t>
      </w:r>
      <w:r w:rsidR="00D3154E">
        <w:rPr>
          <w:bCs/>
          <w:sz w:val="24"/>
          <w:szCs w:val="24"/>
        </w:rPr>
        <w:t xml:space="preserve">u smislu mogućih odgoda plaćanja, plaćanja na rate i slično. </w:t>
      </w:r>
      <w:r w:rsidR="000C2CE2">
        <w:rPr>
          <w:bCs/>
          <w:sz w:val="24"/>
          <w:szCs w:val="24"/>
        </w:rPr>
        <w:t xml:space="preserve">Koje su razlike između spomenutih </w:t>
      </w:r>
      <w:r w:rsidR="00D3154E">
        <w:rPr>
          <w:bCs/>
          <w:sz w:val="24"/>
          <w:szCs w:val="24"/>
        </w:rPr>
        <w:t xml:space="preserve">bezgotovinskih </w:t>
      </w:r>
      <w:r w:rsidR="000C2CE2">
        <w:rPr>
          <w:bCs/>
          <w:sz w:val="24"/>
          <w:szCs w:val="24"/>
        </w:rPr>
        <w:t xml:space="preserve">platnih instrumenata i načina obavljanja transakcija te koje su njihove prednosti i mane </w:t>
      </w:r>
      <w:r w:rsidR="00FF4003">
        <w:rPr>
          <w:bCs/>
          <w:sz w:val="24"/>
          <w:szCs w:val="24"/>
        </w:rPr>
        <w:t xml:space="preserve">s aspekta upravljanja osobnim financijama </w:t>
      </w:r>
      <w:r w:rsidR="000C2CE2">
        <w:rPr>
          <w:bCs/>
          <w:sz w:val="24"/>
          <w:szCs w:val="24"/>
        </w:rPr>
        <w:t>objašnjeno je u nastavku.</w:t>
      </w:r>
    </w:p>
    <w:p w:rsidR="001205BE" w:rsidRPr="001205BE" w:rsidRDefault="001205BE" w:rsidP="00D3154E">
      <w:pPr>
        <w:widowControl w:val="0"/>
        <w:overflowPunct w:val="0"/>
        <w:autoSpaceDE w:val="0"/>
        <w:autoSpaceDN w:val="0"/>
        <w:adjustRightInd w:val="0"/>
        <w:spacing w:before="240"/>
        <w:jc w:val="both"/>
        <w:rPr>
          <w:b/>
          <w:bCs/>
          <w:sz w:val="24"/>
          <w:szCs w:val="24"/>
        </w:rPr>
      </w:pPr>
      <w:r w:rsidRPr="001205BE">
        <w:rPr>
          <w:b/>
          <w:bCs/>
          <w:sz w:val="24"/>
          <w:szCs w:val="24"/>
        </w:rPr>
        <w:lastRenderedPageBreak/>
        <w:t>4.2.1. Tekući i žiro računi građana – korištenje debitnih platnih kartica</w:t>
      </w:r>
    </w:p>
    <w:p w:rsidR="00865044" w:rsidRDefault="008D0F30" w:rsidP="008D0F30">
      <w:pPr>
        <w:autoSpaceDE w:val="0"/>
        <w:autoSpaceDN w:val="0"/>
        <w:adjustRightInd w:val="0"/>
        <w:jc w:val="both"/>
        <w:rPr>
          <w:bCs/>
          <w:sz w:val="24"/>
          <w:szCs w:val="24"/>
        </w:rPr>
      </w:pPr>
      <w:r w:rsidRPr="003025C2">
        <w:rPr>
          <w:bCs/>
          <w:color w:val="C00000"/>
          <w:sz w:val="24"/>
          <w:szCs w:val="24"/>
        </w:rPr>
        <w:t>Račun</w:t>
      </w:r>
      <w:r w:rsidR="0075196B">
        <w:rPr>
          <w:bCs/>
          <w:color w:val="C00000"/>
          <w:sz w:val="24"/>
          <w:szCs w:val="24"/>
        </w:rPr>
        <w:t>i</w:t>
      </w:r>
      <w:r w:rsidRPr="003025C2">
        <w:rPr>
          <w:bCs/>
          <w:color w:val="C00000"/>
          <w:sz w:val="24"/>
          <w:szCs w:val="24"/>
        </w:rPr>
        <w:t xml:space="preserve"> za plaćanje </w:t>
      </w:r>
      <w:r w:rsidR="003025C2" w:rsidRPr="003025C2">
        <w:rPr>
          <w:bCs/>
          <w:sz w:val="24"/>
          <w:szCs w:val="24"/>
        </w:rPr>
        <w:t xml:space="preserve">otvoreni su kod banaka, a klijentima </w:t>
      </w:r>
      <w:r w:rsidRPr="003025C2">
        <w:rPr>
          <w:bCs/>
          <w:sz w:val="24"/>
          <w:szCs w:val="24"/>
        </w:rPr>
        <w:t>služe za izvršenje platnih transakcija</w:t>
      </w:r>
      <w:r w:rsidR="00A644DA">
        <w:rPr>
          <w:bCs/>
          <w:sz w:val="24"/>
          <w:szCs w:val="24"/>
        </w:rPr>
        <w:t xml:space="preserve"> - </w:t>
      </w:r>
      <w:r w:rsidR="00A644DA" w:rsidRPr="00C57375">
        <w:t>uključujući polaganje</w:t>
      </w:r>
      <w:r w:rsidR="00A644DA">
        <w:t xml:space="preserve"> gotovine</w:t>
      </w:r>
      <w:r w:rsidR="00A644DA" w:rsidRPr="00C57375">
        <w:t xml:space="preserve">, podizanje </w:t>
      </w:r>
      <w:r w:rsidR="00A644DA">
        <w:t xml:space="preserve">gotovine </w:t>
      </w:r>
      <w:r w:rsidR="00A644DA" w:rsidRPr="00C57375">
        <w:t>ili prijenos novčanih sredstava</w:t>
      </w:r>
      <w:r w:rsidR="00A644DA">
        <w:t xml:space="preserve"> na druge račune</w:t>
      </w:r>
      <w:r w:rsidRPr="003025C2">
        <w:rPr>
          <w:bCs/>
          <w:sz w:val="24"/>
          <w:szCs w:val="24"/>
        </w:rPr>
        <w:t xml:space="preserve">. Tradicionalno se dijele se na: tekuće kunske račune, tekuće devizne račune, žiro kunske račune i žiro devizne račune. </w:t>
      </w:r>
      <w:r w:rsidR="00A644DA">
        <w:rPr>
          <w:bCs/>
          <w:sz w:val="24"/>
          <w:szCs w:val="24"/>
        </w:rPr>
        <w:t>Kako im je svrha obavljane platnih transakcija (a ne štednja)</w:t>
      </w:r>
      <w:r w:rsidR="00865044">
        <w:rPr>
          <w:bCs/>
          <w:sz w:val="24"/>
          <w:szCs w:val="24"/>
        </w:rPr>
        <w:t>,</w:t>
      </w:r>
      <w:r w:rsidR="00A644DA">
        <w:rPr>
          <w:bCs/>
          <w:sz w:val="24"/>
          <w:szCs w:val="24"/>
        </w:rPr>
        <w:t xml:space="preserve"> ponekad se svi navedeni računi nazivaju transakcijski računi, ali to nije praktično u novijoj povijesti iz razloga što se pojam transakcijski račun danas uobičajeno koristi za žiro račun poslovnog subjekta. </w:t>
      </w:r>
      <w:r w:rsidR="00865044">
        <w:rPr>
          <w:bCs/>
          <w:sz w:val="24"/>
          <w:szCs w:val="24"/>
        </w:rPr>
        <w:t xml:space="preserve">Dodatno, potrebno je </w:t>
      </w:r>
      <w:r w:rsidR="00865044" w:rsidRPr="00865044">
        <w:rPr>
          <w:bCs/>
          <w:color w:val="C00000"/>
          <w:sz w:val="24"/>
          <w:szCs w:val="24"/>
        </w:rPr>
        <w:t>praviti razliku između računa za plaćanje i depozitnih računa</w:t>
      </w:r>
      <w:r w:rsidR="00865044">
        <w:rPr>
          <w:bCs/>
          <w:sz w:val="24"/>
          <w:szCs w:val="24"/>
        </w:rPr>
        <w:t xml:space="preserve"> </w:t>
      </w:r>
      <w:r w:rsidR="001205BE">
        <w:rPr>
          <w:bCs/>
          <w:sz w:val="24"/>
          <w:szCs w:val="24"/>
        </w:rPr>
        <w:t xml:space="preserve">(a oba su </w:t>
      </w:r>
      <w:r w:rsidR="00865044">
        <w:rPr>
          <w:bCs/>
          <w:sz w:val="24"/>
          <w:szCs w:val="24"/>
        </w:rPr>
        <w:t>otvoren</w:t>
      </w:r>
      <w:r w:rsidR="001205BE">
        <w:rPr>
          <w:bCs/>
          <w:sz w:val="24"/>
          <w:szCs w:val="24"/>
        </w:rPr>
        <w:t>a</w:t>
      </w:r>
      <w:r w:rsidR="00865044">
        <w:rPr>
          <w:bCs/>
          <w:sz w:val="24"/>
          <w:szCs w:val="24"/>
        </w:rPr>
        <w:t xml:space="preserve"> kod banaka</w:t>
      </w:r>
      <w:r w:rsidR="001205BE">
        <w:rPr>
          <w:bCs/>
          <w:sz w:val="24"/>
          <w:szCs w:val="24"/>
        </w:rPr>
        <w:t xml:space="preserve">). Depozitni računi se </w:t>
      </w:r>
      <w:r w:rsidR="00865044">
        <w:rPr>
          <w:bCs/>
          <w:sz w:val="24"/>
          <w:szCs w:val="24"/>
        </w:rPr>
        <w:t xml:space="preserve">vežu uz štedne a vista ili oročene depozite pa se sredstva na takvim računima ne mogu koristiti za plaćanje, odnosno za </w:t>
      </w:r>
      <w:r w:rsidR="001205BE">
        <w:rPr>
          <w:bCs/>
          <w:sz w:val="24"/>
          <w:szCs w:val="24"/>
        </w:rPr>
        <w:t xml:space="preserve">u slučaju </w:t>
      </w:r>
      <w:r w:rsidR="00865044">
        <w:rPr>
          <w:bCs/>
          <w:sz w:val="24"/>
          <w:szCs w:val="24"/>
        </w:rPr>
        <w:t xml:space="preserve">potrebe plaćanja </w:t>
      </w:r>
      <w:r w:rsidR="001205BE">
        <w:rPr>
          <w:bCs/>
          <w:sz w:val="24"/>
          <w:szCs w:val="24"/>
        </w:rPr>
        <w:t xml:space="preserve">- </w:t>
      </w:r>
      <w:r w:rsidR="00865044">
        <w:rPr>
          <w:bCs/>
          <w:sz w:val="24"/>
          <w:szCs w:val="24"/>
        </w:rPr>
        <w:t xml:space="preserve">potrebno je tražiti njihovu gotovinsku isplatu </w:t>
      </w:r>
      <w:r w:rsidR="001205BE">
        <w:rPr>
          <w:bCs/>
          <w:sz w:val="24"/>
          <w:szCs w:val="24"/>
        </w:rPr>
        <w:t xml:space="preserve">u poslovnici </w:t>
      </w:r>
      <w:r w:rsidR="00865044">
        <w:rPr>
          <w:bCs/>
          <w:sz w:val="24"/>
          <w:szCs w:val="24"/>
        </w:rPr>
        <w:t xml:space="preserve">ili uplatu </w:t>
      </w:r>
      <w:r w:rsidR="001205BE">
        <w:rPr>
          <w:bCs/>
          <w:sz w:val="24"/>
          <w:szCs w:val="24"/>
        </w:rPr>
        <w:t xml:space="preserve">depozita </w:t>
      </w:r>
      <w:r w:rsidR="00865044">
        <w:rPr>
          <w:bCs/>
          <w:sz w:val="24"/>
          <w:szCs w:val="24"/>
        </w:rPr>
        <w:t>u korist tekućeg računa</w:t>
      </w:r>
      <w:r w:rsidR="001205BE">
        <w:rPr>
          <w:bCs/>
          <w:sz w:val="24"/>
          <w:szCs w:val="24"/>
        </w:rPr>
        <w:t xml:space="preserve"> (u poslovnici ili korištenjem elektroničkog bankarstva)</w:t>
      </w:r>
      <w:r w:rsidR="00865044">
        <w:rPr>
          <w:bCs/>
          <w:sz w:val="24"/>
          <w:szCs w:val="24"/>
        </w:rPr>
        <w:t xml:space="preserve">. </w:t>
      </w:r>
    </w:p>
    <w:p w:rsidR="008D0F30" w:rsidRDefault="008D0F30" w:rsidP="008D0F30">
      <w:pPr>
        <w:autoSpaceDE w:val="0"/>
        <w:autoSpaceDN w:val="0"/>
        <w:adjustRightInd w:val="0"/>
        <w:jc w:val="both"/>
        <w:rPr>
          <w:bCs/>
          <w:sz w:val="24"/>
          <w:szCs w:val="24"/>
        </w:rPr>
      </w:pPr>
      <w:r w:rsidRPr="003025C2">
        <w:rPr>
          <w:bCs/>
          <w:sz w:val="24"/>
          <w:szCs w:val="24"/>
        </w:rPr>
        <w:t>U novijoj povijesti, umjesto zasebnih kategorija kunskih i deviznih tekućih računa</w:t>
      </w:r>
      <w:r w:rsidR="003025C2">
        <w:rPr>
          <w:bCs/>
          <w:sz w:val="24"/>
          <w:szCs w:val="24"/>
        </w:rPr>
        <w:t xml:space="preserve"> građana</w:t>
      </w:r>
      <w:r w:rsidRPr="003025C2">
        <w:rPr>
          <w:bCs/>
          <w:sz w:val="24"/>
          <w:szCs w:val="24"/>
        </w:rPr>
        <w:t xml:space="preserve"> javlja se jedinstven</w:t>
      </w:r>
      <w:r w:rsidR="003025C2">
        <w:rPr>
          <w:bCs/>
          <w:sz w:val="24"/>
          <w:szCs w:val="24"/>
        </w:rPr>
        <w:t>i</w:t>
      </w:r>
      <w:r w:rsidRPr="003025C2">
        <w:rPr>
          <w:bCs/>
          <w:sz w:val="24"/>
          <w:szCs w:val="24"/>
        </w:rPr>
        <w:t xml:space="preserve"> </w:t>
      </w:r>
      <w:r w:rsidRPr="00ED1BE2">
        <w:rPr>
          <w:bCs/>
          <w:color w:val="C00000"/>
          <w:sz w:val="24"/>
          <w:szCs w:val="24"/>
        </w:rPr>
        <w:t xml:space="preserve">multivalutni račun </w:t>
      </w:r>
      <w:r w:rsidRPr="003025C2">
        <w:rPr>
          <w:bCs/>
          <w:sz w:val="24"/>
          <w:szCs w:val="24"/>
        </w:rPr>
        <w:t>iste fizičke ili pravne osobe</w:t>
      </w:r>
      <w:r w:rsidR="003025C2" w:rsidRPr="003025C2">
        <w:rPr>
          <w:bCs/>
          <w:sz w:val="24"/>
          <w:szCs w:val="24"/>
        </w:rPr>
        <w:t>.</w:t>
      </w:r>
      <w:r w:rsidR="003025C2">
        <w:rPr>
          <w:bCs/>
          <w:sz w:val="24"/>
          <w:szCs w:val="24"/>
        </w:rPr>
        <w:t xml:space="preserve"> U tom slučaju </w:t>
      </w:r>
      <w:r w:rsidRPr="003025C2">
        <w:rPr>
          <w:bCs/>
          <w:sz w:val="24"/>
          <w:szCs w:val="24"/>
        </w:rPr>
        <w:t>kunski i devizni platni promet obavlja se preko istog računa</w:t>
      </w:r>
      <w:r w:rsidR="003025C2">
        <w:rPr>
          <w:bCs/>
          <w:sz w:val="24"/>
          <w:szCs w:val="24"/>
        </w:rPr>
        <w:t>, a d</w:t>
      </w:r>
      <w:r w:rsidRPr="003025C2">
        <w:rPr>
          <w:bCs/>
          <w:sz w:val="24"/>
          <w:szCs w:val="24"/>
        </w:rPr>
        <w:t>evizni računi (u različitim valutama) predstavljaju podračune multivalutnog računa</w:t>
      </w:r>
      <w:r w:rsidR="003025C2">
        <w:rPr>
          <w:bCs/>
          <w:sz w:val="24"/>
          <w:szCs w:val="24"/>
        </w:rPr>
        <w:t>.</w:t>
      </w:r>
      <w:r w:rsidR="001F712F">
        <w:rPr>
          <w:bCs/>
          <w:sz w:val="24"/>
          <w:szCs w:val="24"/>
        </w:rPr>
        <w:t xml:space="preserve"> </w:t>
      </w:r>
    </w:p>
    <w:tbl>
      <w:tblPr>
        <w:tblStyle w:val="Reetkatablice"/>
        <w:tblW w:w="0" w:type="auto"/>
        <w:tblInd w:w="108" w:type="dxa"/>
        <w:tblLook w:val="04A0" w:firstRow="1" w:lastRow="0" w:firstColumn="1" w:lastColumn="0" w:noHBand="0" w:noVBand="1"/>
      </w:tblPr>
      <w:tblGrid>
        <w:gridCol w:w="9072"/>
      </w:tblGrid>
      <w:tr w:rsidR="00865044" w:rsidTr="00865044">
        <w:tc>
          <w:tcPr>
            <w:tcW w:w="9072" w:type="dxa"/>
            <w:shd w:val="clear" w:color="auto" w:fill="F2F2F2" w:themeFill="background1" w:themeFillShade="F2"/>
          </w:tcPr>
          <w:p w:rsidR="00865044" w:rsidRPr="00ED1BE2" w:rsidRDefault="00865044" w:rsidP="001205BE">
            <w:pPr>
              <w:autoSpaceDE w:val="0"/>
              <w:autoSpaceDN w:val="0"/>
              <w:adjustRightInd w:val="0"/>
              <w:spacing w:before="120" w:after="120"/>
              <w:jc w:val="both"/>
              <w:rPr>
                <w:rFonts w:asciiTheme="minorHAnsi" w:eastAsiaTheme="minorHAnsi" w:hAnsiTheme="minorHAnsi" w:cstheme="minorBidi"/>
                <w:bCs/>
                <w:sz w:val="24"/>
                <w:szCs w:val="24"/>
                <w:lang w:eastAsia="en-US"/>
              </w:rPr>
            </w:pPr>
            <w:r w:rsidRPr="00865044">
              <w:rPr>
                <w:rFonts w:asciiTheme="minorHAnsi" w:eastAsiaTheme="minorHAnsi" w:hAnsiTheme="minorHAnsi" w:cstheme="minorBidi"/>
                <w:bCs/>
                <w:sz w:val="24"/>
                <w:szCs w:val="24"/>
                <w:lang w:eastAsia="en-US"/>
              </w:rPr>
              <w:t xml:space="preserve">U poslovanju banaka s građanima, klijent banke definira se kao </w:t>
            </w:r>
            <w:r w:rsidRPr="00865044">
              <w:rPr>
                <w:rFonts w:asciiTheme="minorHAnsi" w:eastAsiaTheme="minorHAnsi" w:hAnsiTheme="minorHAnsi" w:cstheme="minorBidi"/>
                <w:bCs/>
                <w:color w:val="C00000"/>
                <w:sz w:val="24"/>
                <w:szCs w:val="24"/>
                <w:lang w:eastAsia="en-US"/>
              </w:rPr>
              <w:t xml:space="preserve">fizička osoba – potrošač </w:t>
            </w:r>
            <w:r w:rsidRPr="00865044">
              <w:rPr>
                <w:rFonts w:asciiTheme="minorHAnsi" w:eastAsiaTheme="minorHAnsi" w:hAnsiTheme="minorHAnsi" w:cstheme="minorBidi"/>
                <w:bCs/>
                <w:sz w:val="24"/>
                <w:szCs w:val="24"/>
                <w:lang w:eastAsia="en-US"/>
              </w:rPr>
              <w:t>kada usluge banke nisu namijenjene gospodarskoj djelatnosti, niti obavljanju djelatnost</w:t>
            </w:r>
            <w:r w:rsidR="00ED1BE2">
              <w:rPr>
                <w:rFonts w:asciiTheme="minorHAnsi" w:eastAsiaTheme="minorHAnsi" w:hAnsiTheme="minorHAnsi" w:cstheme="minorBidi"/>
                <w:bCs/>
                <w:sz w:val="24"/>
                <w:szCs w:val="24"/>
                <w:lang w:eastAsia="en-US"/>
              </w:rPr>
              <w:t>i slobodnog zanimanja klijenta.</w:t>
            </w:r>
            <w:r w:rsidR="001205BE">
              <w:rPr>
                <w:rFonts w:asciiTheme="minorHAnsi" w:eastAsiaTheme="minorHAnsi" w:hAnsiTheme="minorHAnsi" w:cstheme="minorBidi"/>
                <w:bCs/>
                <w:sz w:val="24"/>
                <w:szCs w:val="24"/>
                <w:lang w:eastAsia="en-US"/>
              </w:rPr>
              <w:t xml:space="preserve"> Navedeno se posebno ističe jer građani predstavljaju kategoriju ekonomskih subjekata kod kojih dolazi do izražaja potreba „zaštite potrošača“.</w:t>
            </w:r>
          </w:p>
        </w:tc>
      </w:tr>
    </w:tbl>
    <w:p w:rsidR="0051389F" w:rsidRPr="001205BE" w:rsidRDefault="00A644DA" w:rsidP="00865044">
      <w:pPr>
        <w:autoSpaceDE w:val="0"/>
        <w:autoSpaceDN w:val="0"/>
        <w:adjustRightInd w:val="0"/>
        <w:spacing w:before="240"/>
        <w:jc w:val="both"/>
        <w:rPr>
          <w:color w:val="000000"/>
          <w:sz w:val="24"/>
          <w:szCs w:val="24"/>
        </w:rPr>
      </w:pPr>
      <w:r w:rsidRPr="001205BE">
        <w:rPr>
          <w:bCs/>
          <w:color w:val="C00000"/>
          <w:sz w:val="24"/>
          <w:szCs w:val="24"/>
        </w:rPr>
        <w:t xml:space="preserve">Tekući račun </w:t>
      </w:r>
      <w:r w:rsidRPr="001205BE">
        <w:rPr>
          <w:bCs/>
          <w:sz w:val="24"/>
          <w:szCs w:val="24"/>
        </w:rPr>
        <w:t xml:space="preserve">banka može otvoriti poslovno sposobnoj osobi </w:t>
      </w:r>
      <w:r w:rsidRPr="001205BE">
        <w:rPr>
          <w:bCs/>
          <w:color w:val="C00000"/>
          <w:sz w:val="24"/>
          <w:szCs w:val="24"/>
        </w:rPr>
        <w:t>sa ili bez redovitih primanja</w:t>
      </w:r>
      <w:r w:rsidRPr="001205BE">
        <w:rPr>
          <w:bCs/>
          <w:sz w:val="24"/>
          <w:szCs w:val="24"/>
        </w:rPr>
        <w:t>. Tipični oblici redovitih primanja su plaće, mirovine i stipendije.</w:t>
      </w:r>
      <w:r w:rsidR="008A3711" w:rsidRPr="001205BE">
        <w:rPr>
          <w:bCs/>
          <w:sz w:val="24"/>
          <w:szCs w:val="24"/>
        </w:rPr>
        <w:t xml:space="preserve"> </w:t>
      </w:r>
      <w:r w:rsidR="0051389F" w:rsidRPr="001205BE">
        <w:rPr>
          <w:bCs/>
          <w:sz w:val="24"/>
          <w:szCs w:val="24"/>
        </w:rPr>
        <w:t xml:space="preserve">Uplate u korist tekućeg računa </w:t>
      </w:r>
      <w:r w:rsidR="0051389F" w:rsidRPr="001205BE">
        <w:rPr>
          <w:color w:val="000000"/>
          <w:sz w:val="24"/>
          <w:szCs w:val="24"/>
        </w:rPr>
        <w:t xml:space="preserve">može </w:t>
      </w:r>
      <w:r w:rsidR="00996CAC" w:rsidRPr="001205BE">
        <w:rPr>
          <w:color w:val="000000"/>
          <w:sz w:val="24"/>
          <w:szCs w:val="24"/>
        </w:rPr>
        <w:t>(</w:t>
      </w:r>
      <w:r w:rsidR="0051389F" w:rsidRPr="001205BE">
        <w:rPr>
          <w:color w:val="000000"/>
          <w:sz w:val="24"/>
          <w:szCs w:val="24"/>
        </w:rPr>
        <w:t>po potrebi</w:t>
      </w:r>
      <w:r w:rsidR="00996CAC" w:rsidRPr="001205BE">
        <w:rPr>
          <w:color w:val="000000"/>
          <w:sz w:val="24"/>
          <w:szCs w:val="24"/>
        </w:rPr>
        <w:t>)</w:t>
      </w:r>
      <w:r w:rsidR="0051389F" w:rsidRPr="001205BE">
        <w:rPr>
          <w:color w:val="000000"/>
          <w:sz w:val="24"/>
          <w:szCs w:val="24"/>
        </w:rPr>
        <w:t xml:space="preserve"> izvršavati i  vlasnik računa prijenosom sredstava s drugih računa otvorenih kod iste ili druge banke te uplatom gotovine u korist tekućeg računa. Dodatno, ako se radi o kunskom tekućem računu uplate može izvršavati i druga osoba, no to nje moguće u slučaju deviznog tekućeg računa. </w:t>
      </w:r>
    </w:p>
    <w:tbl>
      <w:tblPr>
        <w:tblStyle w:val="Reetkatablice"/>
        <w:tblW w:w="0" w:type="auto"/>
        <w:tblInd w:w="108" w:type="dxa"/>
        <w:tblLook w:val="04A0" w:firstRow="1" w:lastRow="0" w:firstColumn="1" w:lastColumn="0" w:noHBand="0" w:noVBand="1"/>
      </w:tblPr>
      <w:tblGrid>
        <w:gridCol w:w="9180"/>
      </w:tblGrid>
      <w:tr w:rsidR="0051389F" w:rsidRPr="0051389F" w:rsidTr="0051389F">
        <w:tc>
          <w:tcPr>
            <w:tcW w:w="9180" w:type="dxa"/>
            <w:shd w:val="clear" w:color="auto" w:fill="F2F2F2" w:themeFill="background1" w:themeFillShade="F2"/>
          </w:tcPr>
          <w:p w:rsidR="0051389F" w:rsidRPr="0051389F" w:rsidRDefault="0051389F" w:rsidP="0051389F">
            <w:pPr>
              <w:autoSpaceDE w:val="0"/>
              <w:autoSpaceDN w:val="0"/>
              <w:adjustRightInd w:val="0"/>
              <w:spacing w:before="120"/>
              <w:jc w:val="both"/>
              <w:rPr>
                <w:rFonts w:asciiTheme="minorHAnsi" w:hAnsiTheme="minorHAnsi" w:cs="Arial"/>
                <w:color w:val="C00000"/>
                <w:sz w:val="24"/>
                <w:szCs w:val="24"/>
              </w:rPr>
            </w:pPr>
            <w:r w:rsidRPr="0051389F">
              <w:rPr>
                <w:rFonts w:asciiTheme="minorHAnsi" w:hAnsiTheme="minorHAnsi" w:cs="Arial"/>
                <w:color w:val="C00000"/>
                <w:sz w:val="24"/>
                <w:szCs w:val="24"/>
              </w:rPr>
              <w:t xml:space="preserve">Bitni elementi vezani uz otvaranje tekućeg računa </w:t>
            </w:r>
          </w:p>
          <w:p w:rsidR="0051389F" w:rsidRPr="001F712F" w:rsidRDefault="0051389F" w:rsidP="0051389F">
            <w:pPr>
              <w:tabs>
                <w:tab w:val="num" w:pos="720"/>
              </w:tabs>
              <w:autoSpaceDE w:val="0"/>
              <w:autoSpaceDN w:val="0"/>
              <w:adjustRightInd w:val="0"/>
              <w:spacing w:before="240"/>
              <w:jc w:val="both"/>
              <w:rPr>
                <w:rFonts w:asciiTheme="minorHAnsi" w:hAnsiTheme="minorHAnsi" w:cs="Tahoma"/>
                <w:sz w:val="24"/>
                <w:szCs w:val="24"/>
              </w:rPr>
            </w:pPr>
            <w:r w:rsidRPr="001F712F">
              <w:rPr>
                <w:rFonts w:asciiTheme="minorHAnsi" w:hAnsiTheme="minorHAnsi"/>
                <w:sz w:val="24"/>
                <w:szCs w:val="24"/>
              </w:rPr>
              <w:t xml:space="preserve">Tekući račun građana banka otvara na temelju </w:t>
            </w:r>
            <w:r w:rsidRPr="001F712F">
              <w:rPr>
                <w:rFonts w:asciiTheme="minorHAnsi" w:hAnsiTheme="minorHAnsi"/>
                <w:color w:val="C00000"/>
                <w:sz w:val="24"/>
                <w:szCs w:val="24"/>
              </w:rPr>
              <w:t>okvirnog ugovora</w:t>
            </w:r>
            <w:r w:rsidRPr="001F712F">
              <w:rPr>
                <w:rFonts w:asciiTheme="minorHAnsi" w:hAnsiTheme="minorHAnsi"/>
                <w:sz w:val="24"/>
                <w:szCs w:val="24"/>
              </w:rPr>
              <w:t>, a njega čine ugovor o otvaranju i vođenju tekućeg računa, opći uvjeti poslovanja po računima za plaćanje fizičkih osoba te dodatni dokumenti uvjeta banke (uključujući naknade u poslovanju s fizičkim osobama, terminski plan izvršenja platnih transakcija za fizičke osobe, načela za utvrđivanje promjene kamatnih stopa na kredite i depozite te načela za utvrđivanje promjene naknada za usluge)</w:t>
            </w:r>
            <w:r w:rsidRPr="001F712F">
              <w:rPr>
                <w:rFonts w:asciiTheme="minorHAnsi" w:hAnsiTheme="minorHAnsi" w:cs="Tahoma"/>
                <w:sz w:val="24"/>
                <w:szCs w:val="24"/>
              </w:rPr>
              <w:t>.</w:t>
            </w:r>
            <w:r w:rsidR="001205BE" w:rsidRPr="001F712F">
              <w:rPr>
                <w:rFonts w:asciiTheme="minorHAnsi" w:hAnsiTheme="minorHAnsi" w:cs="Tahoma"/>
                <w:sz w:val="24"/>
                <w:szCs w:val="24"/>
              </w:rPr>
              <w:t xml:space="preserve"> Potpisivanjem okvirnog ugovora pojedinac prihvaća sve navedene elemente.</w:t>
            </w:r>
          </w:p>
          <w:p w:rsidR="00FF3219" w:rsidRPr="001F712F" w:rsidRDefault="0051389F" w:rsidP="00244B76">
            <w:pPr>
              <w:autoSpaceDE w:val="0"/>
              <w:autoSpaceDN w:val="0"/>
              <w:adjustRightInd w:val="0"/>
              <w:spacing w:before="120" w:after="120"/>
              <w:jc w:val="both"/>
              <w:rPr>
                <w:rFonts w:asciiTheme="minorHAnsi" w:hAnsiTheme="minorHAnsi"/>
                <w:sz w:val="24"/>
                <w:szCs w:val="24"/>
              </w:rPr>
            </w:pPr>
            <w:r w:rsidRPr="001F712F">
              <w:rPr>
                <w:rFonts w:asciiTheme="minorHAnsi" w:hAnsiTheme="minorHAnsi"/>
                <w:sz w:val="24"/>
                <w:szCs w:val="24"/>
              </w:rPr>
              <w:t xml:space="preserve">Otvaranje tekućeg računa moguće je uz identifikacijski dokument (osobnu iskaznicu) jer je banka dužna utvrditi identitet klijenta (i eventualnih opunomoćenika) te provesti druge postupke </w:t>
            </w:r>
            <w:r w:rsidR="00244B76" w:rsidRPr="001F712F">
              <w:rPr>
                <w:rFonts w:asciiTheme="minorHAnsi" w:hAnsiTheme="minorHAnsi"/>
                <w:sz w:val="24"/>
                <w:szCs w:val="24"/>
              </w:rPr>
              <w:t xml:space="preserve">(tzv. dubinske analize stranke) </w:t>
            </w:r>
            <w:r w:rsidRPr="001F712F">
              <w:rPr>
                <w:rFonts w:asciiTheme="minorHAnsi" w:hAnsiTheme="minorHAnsi"/>
                <w:sz w:val="24"/>
                <w:szCs w:val="24"/>
              </w:rPr>
              <w:t xml:space="preserve">u skladu s </w:t>
            </w:r>
            <w:r w:rsidRPr="001F712F">
              <w:rPr>
                <w:rFonts w:asciiTheme="minorHAnsi" w:hAnsiTheme="minorHAnsi"/>
                <w:i/>
                <w:color w:val="C00000"/>
                <w:sz w:val="24"/>
                <w:szCs w:val="24"/>
              </w:rPr>
              <w:t xml:space="preserve">Zakonom o sprječavanju pranja novca i </w:t>
            </w:r>
            <w:r w:rsidRPr="001F712F">
              <w:rPr>
                <w:rFonts w:asciiTheme="minorHAnsi" w:hAnsiTheme="minorHAnsi"/>
                <w:i/>
                <w:color w:val="C00000"/>
                <w:sz w:val="24"/>
                <w:szCs w:val="24"/>
              </w:rPr>
              <w:lastRenderedPageBreak/>
              <w:t>financiranja terorizma</w:t>
            </w:r>
            <w:r w:rsidRPr="001F712F">
              <w:rPr>
                <w:rFonts w:asciiTheme="minorHAnsi" w:hAnsiTheme="minorHAnsi"/>
                <w:sz w:val="24"/>
                <w:szCs w:val="24"/>
              </w:rPr>
              <w:t xml:space="preserve">. U tu svrhu banka treba utvrditi razloge otvaranja računa, status zaposlenja građana te visinu očekivanih budućih priljeva na račun. Nadalje treba pribaviti brojne podatke o klijentu za vlastitu evidenciju i evidenciju </w:t>
            </w:r>
            <w:r w:rsidRPr="001F712F">
              <w:rPr>
                <w:rFonts w:asciiTheme="minorHAnsi" w:hAnsiTheme="minorHAnsi"/>
                <w:color w:val="C00000"/>
                <w:sz w:val="24"/>
                <w:szCs w:val="24"/>
              </w:rPr>
              <w:t xml:space="preserve">Jedinstvenog registra računa </w:t>
            </w:r>
            <w:r w:rsidRPr="001F712F">
              <w:rPr>
                <w:rFonts w:asciiTheme="minorHAnsi" w:hAnsiTheme="minorHAnsi"/>
                <w:sz w:val="24"/>
                <w:szCs w:val="24"/>
              </w:rPr>
              <w:t xml:space="preserve">koji se vodi kod Financijske agencije (Fina-e). To uključuje ime i prezime klijenta, osobni identifikacijski broj (OIB), (jedinstveni) matični broj građana, adresu prebivališta ili boravišta, datum rođenja i podatke o ispravi na temelju koje se utvrđuje identitet stranke (naziv i broj isprave te tijelo koje ju je izdalo). </w:t>
            </w:r>
          </w:p>
          <w:p w:rsidR="00244B76" w:rsidRPr="001F712F" w:rsidRDefault="00244B76" w:rsidP="00244B76">
            <w:pPr>
              <w:autoSpaceDE w:val="0"/>
              <w:autoSpaceDN w:val="0"/>
              <w:adjustRightInd w:val="0"/>
              <w:spacing w:before="120" w:after="120"/>
              <w:jc w:val="both"/>
              <w:rPr>
                <w:rFonts w:asciiTheme="minorHAnsi" w:hAnsiTheme="minorHAnsi"/>
                <w:color w:val="C00000"/>
                <w:sz w:val="24"/>
                <w:szCs w:val="24"/>
              </w:rPr>
            </w:pPr>
            <w:r w:rsidRPr="001F712F">
              <w:rPr>
                <w:rFonts w:asciiTheme="minorHAnsi" w:hAnsiTheme="minorHAnsi"/>
                <w:color w:val="C00000"/>
                <w:sz w:val="24"/>
                <w:szCs w:val="24"/>
              </w:rPr>
              <w:t>Osvrt na pojam „pranje novca“</w:t>
            </w:r>
          </w:p>
          <w:p w:rsidR="00244B76" w:rsidRPr="001F712F" w:rsidRDefault="00244B76" w:rsidP="00244B76">
            <w:pPr>
              <w:autoSpaceDE w:val="0"/>
              <w:autoSpaceDN w:val="0"/>
              <w:adjustRightInd w:val="0"/>
              <w:spacing w:before="120" w:after="120"/>
              <w:jc w:val="both"/>
              <w:rPr>
                <w:rFonts w:asciiTheme="minorHAnsi" w:hAnsiTheme="minorHAnsi"/>
                <w:sz w:val="24"/>
                <w:szCs w:val="24"/>
              </w:rPr>
            </w:pPr>
            <w:r w:rsidRPr="001F712F">
              <w:rPr>
                <w:rFonts w:asciiTheme="minorHAnsi" w:hAnsiTheme="minorHAnsi"/>
                <w:sz w:val="24"/>
                <w:szCs w:val="24"/>
              </w:rPr>
              <w:t xml:space="preserve">Prema </w:t>
            </w:r>
            <w:r w:rsidRPr="001F712F">
              <w:rPr>
                <w:rFonts w:asciiTheme="minorHAnsi" w:hAnsiTheme="minorHAnsi"/>
                <w:i/>
                <w:sz w:val="24"/>
                <w:szCs w:val="24"/>
              </w:rPr>
              <w:t>Zakonu o sprječavanju pranja novca i financiranja terorizma</w:t>
            </w:r>
            <w:r w:rsidRPr="001F712F">
              <w:rPr>
                <w:rFonts w:asciiTheme="minorHAnsi" w:hAnsiTheme="minorHAnsi"/>
                <w:sz w:val="24"/>
                <w:szCs w:val="24"/>
              </w:rPr>
              <w:t xml:space="preserve">, </w:t>
            </w:r>
            <w:r w:rsidRPr="001F712F">
              <w:rPr>
                <w:rFonts w:asciiTheme="minorHAnsi" w:hAnsiTheme="minorHAnsi"/>
                <w:color w:val="C00000"/>
                <w:sz w:val="24"/>
                <w:szCs w:val="24"/>
              </w:rPr>
              <w:t xml:space="preserve">pranje novca </w:t>
            </w:r>
            <w:r w:rsidRPr="001F712F">
              <w:rPr>
                <w:rFonts w:asciiTheme="minorHAnsi" w:hAnsiTheme="minorHAnsi"/>
                <w:sz w:val="24"/>
                <w:szCs w:val="24"/>
              </w:rPr>
              <w:t>podrazumijeva izvršavanje radnji kojima se prikriva stvarni izvor novca ili druge imovine za koju postoji sumnja da je pribavljena na nelegalan način u zemlji ili inozemstvu.“</w:t>
            </w:r>
          </w:p>
          <w:p w:rsidR="00244B76" w:rsidRPr="00FF3219" w:rsidRDefault="001F712F" w:rsidP="001F712F">
            <w:pPr>
              <w:autoSpaceDE w:val="0"/>
              <w:autoSpaceDN w:val="0"/>
              <w:adjustRightInd w:val="0"/>
              <w:spacing w:before="120" w:after="120"/>
              <w:jc w:val="both"/>
              <w:rPr>
                <w:rFonts w:asciiTheme="minorHAnsi" w:hAnsiTheme="minorHAnsi"/>
                <w:sz w:val="24"/>
                <w:szCs w:val="24"/>
              </w:rPr>
            </w:pPr>
            <w:r w:rsidRPr="001F712F">
              <w:rPr>
                <w:rFonts w:asciiTheme="minorHAnsi" w:hAnsiTheme="minorHAnsi"/>
                <w:sz w:val="24"/>
                <w:szCs w:val="24"/>
              </w:rPr>
              <w:t xml:space="preserve">Sukladno Zakonu, </w:t>
            </w:r>
            <w:r w:rsidR="00244B76" w:rsidRPr="001F712F">
              <w:rPr>
                <w:rFonts w:asciiTheme="minorHAnsi" w:hAnsiTheme="minorHAnsi"/>
                <w:sz w:val="24"/>
                <w:szCs w:val="24"/>
              </w:rPr>
              <w:t>bank</w:t>
            </w:r>
            <w:r w:rsidRPr="001F712F">
              <w:rPr>
                <w:rFonts w:asciiTheme="minorHAnsi" w:hAnsiTheme="minorHAnsi"/>
                <w:sz w:val="24"/>
                <w:szCs w:val="24"/>
              </w:rPr>
              <w:t>e</w:t>
            </w:r>
            <w:r w:rsidR="00244B76" w:rsidRPr="001F712F">
              <w:rPr>
                <w:rFonts w:asciiTheme="minorHAnsi" w:hAnsiTheme="minorHAnsi"/>
                <w:sz w:val="24"/>
                <w:szCs w:val="24"/>
              </w:rPr>
              <w:t xml:space="preserve"> (kao i drugi obveznici provedbe odredbi </w:t>
            </w:r>
            <w:r w:rsidR="00244B76" w:rsidRPr="001F712F">
              <w:rPr>
                <w:rFonts w:asciiTheme="minorHAnsi" w:hAnsiTheme="minorHAnsi"/>
                <w:i/>
                <w:sz w:val="24"/>
                <w:szCs w:val="24"/>
              </w:rPr>
              <w:t>Zakona o sprječavanju pranja novca i financiranja terorizma</w:t>
            </w:r>
            <w:r w:rsidRPr="001F712F">
              <w:rPr>
                <w:rFonts w:asciiTheme="minorHAnsi" w:hAnsiTheme="minorHAnsi"/>
                <w:sz w:val="24"/>
                <w:szCs w:val="24"/>
              </w:rPr>
              <w:t xml:space="preserve"> – praktično sve financijske institucije</w:t>
            </w:r>
            <w:r w:rsidR="00244B76" w:rsidRPr="001F712F">
              <w:rPr>
                <w:rFonts w:asciiTheme="minorHAnsi" w:hAnsiTheme="minorHAnsi"/>
                <w:sz w:val="24"/>
                <w:szCs w:val="24"/>
              </w:rPr>
              <w:t xml:space="preserve">) </w:t>
            </w:r>
            <w:r w:rsidRPr="001F712F">
              <w:rPr>
                <w:rFonts w:asciiTheme="minorHAnsi" w:hAnsiTheme="minorHAnsi"/>
                <w:sz w:val="24"/>
                <w:szCs w:val="24"/>
              </w:rPr>
              <w:t>dužne su</w:t>
            </w:r>
            <w:r w:rsidR="00244B76" w:rsidRPr="001F712F">
              <w:rPr>
                <w:rFonts w:asciiTheme="minorHAnsi" w:hAnsiTheme="minorHAnsi"/>
                <w:sz w:val="24"/>
                <w:szCs w:val="24"/>
              </w:rPr>
              <w:t xml:space="preserve"> provesti </w:t>
            </w:r>
            <w:r w:rsidR="00244B76" w:rsidRPr="001F712F">
              <w:rPr>
                <w:rFonts w:asciiTheme="minorHAnsi" w:hAnsiTheme="minorHAnsi"/>
                <w:color w:val="C00000"/>
                <w:sz w:val="24"/>
                <w:szCs w:val="24"/>
              </w:rPr>
              <w:t xml:space="preserve">dubinsku analizu stranke </w:t>
            </w:r>
            <w:r w:rsidRPr="001F712F">
              <w:rPr>
                <w:rFonts w:asciiTheme="minorHAnsi" w:hAnsiTheme="minorHAnsi"/>
                <w:sz w:val="24"/>
                <w:szCs w:val="24"/>
              </w:rPr>
              <w:t xml:space="preserve">prilikom uspostavljanja poslovnog odnosa sa strankom, ali i </w:t>
            </w:r>
            <w:r w:rsidR="00244B76" w:rsidRPr="001F712F">
              <w:rPr>
                <w:rFonts w:asciiTheme="minorHAnsi" w:hAnsiTheme="minorHAnsi"/>
                <w:sz w:val="24"/>
                <w:szCs w:val="24"/>
              </w:rPr>
              <w:t xml:space="preserve">pri svakoj transakciji većoj od </w:t>
            </w:r>
            <w:r w:rsidR="00244B76" w:rsidRPr="001F712F">
              <w:rPr>
                <w:rFonts w:asciiTheme="minorHAnsi" w:hAnsiTheme="minorHAnsi"/>
                <w:color w:val="C00000"/>
                <w:sz w:val="24"/>
                <w:szCs w:val="24"/>
              </w:rPr>
              <w:t xml:space="preserve">105.000,00 kn </w:t>
            </w:r>
            <w:r w:rsidR="00244B76" w:rsidRPr="001F712F">
              <w:rPr>
                <w:rFonts w:asciiTheme="minorHAnsi" w:hAnsiTheme="minorHAnsi"/>
                <w:sz w:val="24"/>
                <w:szCs w:val="24"/>
              </w:rPr>
              <w:t xml:space="preserve">(neovisno da li se provi jednokratno ili u nizu povezanih </w:t>
            </w:r>
            <w:r w:rsidRPr="001F712F">
              <w:rPr>
                <w:rFonts w:asciiTheme="minorHAnsi" w:hAnsiTheme="minorHAnsi"/>
                <w:sz w:val="24"/>
                <w:szCs w:val="24"/>
              </w:rPr>
              <w:t>transakcija</w:t>
            </w:r>
            <w:r w:rsidR="00244B76" w:rsidRPr="001F712F">
              <w:rPr>
                <w:rFonts w:asciiTheme="minorHAnsi" w:hAnsiTheme="minorHAnsi"/>
                <w:sz w:val="24"/>
                <w:szCs w:val="24"/>
              </w:rPr>
              <w:t>)</w:t>
            </w:r>
            <w:r>
              <w:rPr>
                <w:rFonts w:asciiTheme="minorHAnsi" w:hAnsiTheme="minorHAnsi"/>
                <w:sz w:val="24"/>
                <w:szCs w:val="24"/>
              </w:rPr>
              <w:t xml:space="preserve">. S druge strane, </w:t>
            </w:r>
            <w:r w:rsidR="00244B76" w:rsidRPr="001F712F">
              <w:rPr>
                <w:rFonts w:asciiTheme="minorHAnsi" w:hAnsiTheme="minorHAnsi"/>
                <w:sz w:val="24"/>
                <w:szCs w:val="24"/>
              </w:rPr>
              <w:t xml:space="preserve">u slučaju gotovinske transakcije u vrijednosti </w:t>
            </w:r>
            <w:r w:rsidR="00244B76" w:rsidRPr="001F712F">
              <w:rPr>
                <w:rFonts w:asciiTheme="minorHAnsi" w:hAnsiTheme="minorHAnsi"/>
                <w:color w:val="C00000"/>
                <w:sz w:val="24"/>
                <w:szCs w:val="24"/>
              </w:rPr>
              <w:t xml:space="preserve">200.000,00 kn i većoj </w:t>
            </w:r>
            <w:r w:rsidRPr="001F712F">
              <w:rPr>
                <w:rFonts w:asciiTheme="minorHAnsi" w:hAnsiTheme="minorHAnsi"/>
                <w:sz w:val="24"/>
                <w:szCs w:val="24"/>
              </w:rPr>
              <w:t>bank</w:t>
            </w:r>
            <w:r>
              <w:rPr>
                <w:rFonts w:asciiTheme="minorHAnsi" w:hAnsiTheme="minorHAnsi"/>
                <w:sz w:val="24"/>
                <w:szCs w:val="24"/>
              </w:rPr>
              <w:t>e</w:t>
            </w:r>
            <w:r w:rsidRPr="001F712F">
              <w:rPr>
                <w:rFonts w:asciiTheme="minorHAnsi" w:hAnsiTheme="minorHAnsi"/>
                <w:sz w:val="24"/>
                <w:szCs w:val="24"/>
              </w:rPr>
              <w:t xml:space="preserve"> </w:t>
            </w:r>
            <w:r>
              <w:rPr>
                <w:rFonts w:asciiTheme="minorHAnsi" w:hAnsiTheme="minorHAnsi"/>
                <w:sz w:val="24"/>
                <w:szCs w:val="24"/>
              </w:rPr>
              <w:t xml:space="preserve">(i drugi obveznici provedbe Zakona) </w:t>
            </w:r>
            <w:r w:rsidR="00244B76" w:rsidRPr="001F712F">
              <w:rPr>
                <w:rFonts w:asciiTheme="minorHAnsi" w:hAnsiTheme="minorHAnsi"/>
                <w:sz w:val="24"/>
                <w:szCs w:val="24"/>
              </w:rPr>
              <w:t>treba</w:t>
            </w:r>
            <w:r>
              <w:rPr>
                <w:rFonts w:asciiTheme="minorHAnsi" w:hAnsiTheme="minorHAnsi"/>
                <w:sz w:val="24"/>
                <w:szCs w:val="24"/>
              </w:rPr>
              <w:t>ju</w:t>
            </w:r>
            <w:r w:rsidR="00244B76" w:rsidRPr="001F712F">
              <w:rPr>
                <w:rFonts w:asciiTheme="minorHAnsi" w:hAnsiTheme="minorHAnsi"/>
                <w:sz w:val="24"/>
                <w:szCs w:val="24"/>
              </w:rPr>
              <w:t xml:space="preserve"> obavijestit Ured za sprječavanje pranja novca pri Ministarstvu financija</w:t>
            </w:r>
            <w:r w:rsidR="00244B76">
              <w:rPr>
                <w:rFonts w:asciiTheme="minorHAnsi" w:hAnsiTheme="minorHAnsi"/>
                <w:sz w:val="24"/>
                <w:szCs w:val="24"/>
              </w:rPr>
              <w:t>.</w:t>
            </w:r>
          </w:p>
        </w:tc>
      </w:tr>
    </w:tbl>
    <w:p w:rsidR="00D3154E" w:rsidRPr="00D3154E" w:rsidRDefault="00D3154E" w:rsidP="00D3154E">
      <w:pPr>
        <w:pStyle w:val="Tekstfusnote"/>
        <w:spacing w:before="240" w:after="120" w:line="276" w:lineRule="auto"/>
        <w:jc w:val="both"/>
        <w:rPr>
          <w:rFonts w:asciiTheme="minorHAnsi" w:hAnsiTheme="minorHAnsi"/>
          <w:bCs/>
          <w:sz w:val="24"/>
          <w:szCs w:val="24"/>
        </w:rPr>
      </w:pPr>
      <w:r w:rsidRPr="00D3154E">
        <w:rPr>
          <w:rFonts w:asciiTheme="minorHAnsi" w:hAnsiTheme="minorHAnsi"/>
          <w:bCs/>
          <w:sz w:val="24"/>
          <w:szCs w:val="24"/>
        </w:rPr>
        <w:lastRenderedPageBreak/>
        <w:t xml:space="preserve">U poslovanju banaka s građanima, tekući račun je osnovni račun klijenta, jer se uz njega vežu i nadovezuju svi drugi proizvodi i usluge koje banka pruža istom klijentu (odnosno koje će mu djelatnici banke ponudit po dolasku u poslovnicu) uključujući: žiro račun, internetsko bankarstvo, trajni nalog (ili više njih), revolving karticu, charge karticu, putno osiguranje, pomoć na cesti itd., a kod brojnih banaka se ovi proizvodi  mogu koristiti u tzv. </w:t>
      </w:r>
      <w:r w:rsidRPr="00D3154E">
        <w:rPr>
          <w:rFonts w:asciiTheme="minorHAnsi" w:hAnsiTheme="minorHAnsi"/>
          <w:bCs/>
          <w:color w:val="C00000"/>
          <w:sz w:val="24"/>
          <w:szCs w:val="24"/>
        </w:rPr>
        <w:t>paketu usluga</w:t>
      </w:r>
      <w:r w:rsidRPr="00D3154E">
        <w:rPr>
          <w:rFonts w:asciiTheme="minorHAnsi" w:hAnsiTheme="minorHAnsi"/>
          <w:bCs/>
          <w:sz w:val="24"/>
          <w:szCs w:val="24"/>
        </w:rPr>
        <w:t xml:space="preserve">. Paket usluga omogućava niži trošak za klijenta koji koristi veliki broj proizvoda i usluga banke jer na taj način smanjuje pojedinačne naknade za korištenje svakog pojedinačnog proizvoda. No može biti i </w:t>
      </w:r>
      <w:r w:rsidRPr="009F2F05">
        <w:rPr>
          <w:rFonts w:asciiTheme="minorHAnsi" w:hAnsiTheme="minorHAnsi"/>
          <w:bCs/>
          <w:color w:val="C00000"/>
          <w:sz w:val="24"/>
          <w:szCs w:val="24"/>
        </w:rPr>
        <w:t xml:space="preserve">nepotrebni trošak </w:t>
      </w:r>
      <w:r w:rsidRPr="00D3154E">
        <w:rPr>
          <w:rFonts w:asciiTheme="minorHAnsi" w:hAnsiTheme="minorHAnsi"/>
          <w:bCs/>
          <w:sz w:val="24"/>
          <w:szCs w:val="24"/>
        </w:rPr>
        <w:t>ako klijent ugovara paket  različitih proizvoda, a koristi samo tekući račun</w:t>
      </w:r>
      <w:r w:rsidR="001F712F">
        <w:rPr>
          <w:rFonts w:asciiTheme="minorHAnsi" w:hAnsiTheme="minorHAnsi"/>
          <w:bCs/>
          <w:sz w:val="24"/>
          <w:szCs w:val="24"/>
        </w:rPr>
        <w:t xml:space="preserve"> (odnosno s njime povezanu debitnu platnu karticu tekućeg kunskog računa te usluge dostupne putem bankomata i EFT POS uređaja, a uopće ne koristi elektroničko bankarstvo nego preferira dolazak u poslovnicu)</w:t>
      </w:r>
      <w:r w:rsidRPr="00D3154E">
        <w:rPr>
          <w:rFonts w:asciiTheme="minorHAnsi" w:hAnsiTheme="minorHAnsi"/>
          <w:bCs/>
          <w:sz w:val="24"/>
          <w:szCs w:val="24"/>
        </w:rPr>
        <w:t>. Na primjer naknade za paket usluga određene banke mogu se kretati u iznosima 40 do 60 kuna mjesečno, dok naknada za vođenje tekućeg računa kod iste banke iznosi 9 kuna mjesečno.</w:t>
      </w:r>
    </w:p>
    <w:p w:rsidR="0051389F" w:rsidRPr="00865044" w:rsidRDefault="00FF3219" w:rsidP="00865044">
      <w:pPr>
        <w:pStyle w:val="Tekstfusnote"/>
        <w:spacing w:before="240" w:after="120"/>
        <w:jc w:val="both"/>
        <w:rPr>
          <w:rFonts w:asciiTheme="minorHAnsi" w:hAnsiTheme="minorHAnsi"/>
          <w:color w:val="000000" w:themeColor="text1"/>
          <w:sz w:val="24"/>
          <w:szCs w:val="24"/>
        </w:rPr>
      </w:pPr>
      <w:r w:rsidRPr="00FF3219">
        <w:rPr>
          <w:rFonts w:asciiTheme="minorHAnsi" w:hAnsiTheme="minorHAnsi"/>
          <w:sz w:val="24"/>
          <w:szCs w:val="24"/>
        </w:rPr>
        <w:t xml:space="preserve">Većina građana koristi samo </w:t>
      </w:r>
      <w:r w:rsidRPr="00FF3219">
        <w:rPr>
          <w:rFonts w:asciiTheme="minorHAnsi" w:hAnsiTheme="minorHAnsi"/>
          <w:color w:val="C00000"/>
          <w:sz w:val="24"/>
          <w:szCs w:val="24"/>
        </w:rPr>
        <w:t>kunski tekući račun</w:t>
      </w:r>
      <w:r w:rsidR="001F712F">
        <w:rPr>
          <w:rFonts w:asciiTheme="minorHAnsi" w:hAnsiTheme="minorHAnsi"/>
          <w:color w:val="C00000"/>
          <w:sz w:val="24"/>
          <w:szCs w:val="24"/>
        </w:rPr>
        <w:t xml:space="preserve"> </w:t>
      </w:r>
      <w:r w:rsidR="001F712F" w:rsidRPr="001F712F">
        <w:rPr>
          <w:rFonts w:asciiTheme="minorHAnsi" w:hAnsiTheme="minorHAnsi"/>
          <w:color w:val="000000" w:themeColor="text1"/>
          <w:sz w:val="24"/>
          <w:szCs w:val="24"/>
        </w:rPr>
        <w:t>(</w:t>
      </w:r>
      <w:r w:rsidRPr="004A0F79">
        <w:rPr>
          <w:rFonts w:asciiTheme="minorHAnsi" w:hAnsiTheme="minorHAnsi"/>
          <w:sz w:val="24"/>
          <w:szCs w:val="24"/>
        </w:rPr>
        <w:t>odnosno multivalutni tekući račun</w:t>
      </w:r>
      <w:r w:rsidR="001F712F">
        <w:rPr>
          <w:rFonts w:asciiTheme="minorHAnsi" w:hAnsiTheme="minorHAnsi"/>
          <w:sz w:val="24"/>
          <w:szCs w:val="24"/>
        </w:rPr>
        <w:t>)</w:t>
      </w:r>
      <w:r w:rsidRPr="004A0F79">
        <w:rPr>
          <w:rFonts w:asciiTheme="minorHAnsi" w:hAnsiTheme="minorHAnsi"/>
          <w:sz w:val="24"/>
          <w:szCs w:val="24"/>
        </w:rPr>
        <w:t xml:space="preserve"> </w:t>
      </w:r>
      <w:r>
        <w:rPr>
          <w:rFonts w:asciiTheme="minorHAnsi" w:hAnsiTheme="minorHAnsi"/>
          <w:sz w:val="24"/>
          <w:szCs w:val="24"/>
        </w:rPr>
        <w:t xml:space="preserve">uz koji se veže </w:t>
      </w:r>
      <w:r w:rsidR="00865044" w:rsidRPr="00996CAC">
        <w:rPr>
          <w:rFonts w:asciiTheme="minorHAnsi" w:hAnsiTheme="minorHAnsi"/>
          <w:color w:val="C00000"/>
          <w:sz w:val="24"/>
          <w:szCs w:val="24"/>
        </w:rPr>
        <w:t>niz pogodnosti</w:t>
      </w:r>
      <w:r w:rsidR="00865044" w:rsidRPr="00865044">
        <w:rPr>
          <w:rFonts w:asciiTheme="minorHAnsi" w:hAnsiTheme="minorHAnsi"/>
          <w:color w:val="000000" w:themeColor="text1"/>
          <w:sz w:val="24"/>
          <w:szCs w:val="24"/>
        </w:rPr>
        <w:t>, uključujući:</w:t>
      </w:r>
    </w:p>
    <w:p w:rsidR="0051389F" w:rsidRPr="00865044" w:rsidRDefault="0051389F" w:rsidP="006F1C04">
      <w:pPr>
        <w:pStyle w:val="Tekstfusnote"/>
        <w:numPr>
          <w:ilvl w:val="0"/>
          <w:numId w:val="47"/>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mogućnost isplate/uplate gotovine putem poslovnica banaka ili bankomata</w:t>
      </w:r>
      <w:r w:rsidR="00897AA6">
        <w:rPr>
          <w:rFonts w:asciiTheme="minorHAnsi" w:hAnsiTheme="minorHAnsi"/>
          <w:color w:val="000000" w:themeColor="text1"/>
          <w:sz w:val="24"/>
          <w:szCs w:val="24"/>
        </w:rPr>
        <w:t xml:space="preserve"> (uplatn</w:t>
      </w:r>
      <w:r w:rsidR="009F2F05">
        <w:rPr>
          <w:rFonts w:asciiTheme="minorHAnsi" w:hAnsiTheme="minorHAnsi"/>
          <w:color w:val="000000" w:themeColor="text1"/>
          <w:sz w:val="24"/>
          <w:szCs w:val="24"/>
        </w:rPr>
        <w:t>i</w:t>
      </w:r>
      <w:r w:rsidR="00897AA6">
        <w:rPr>
          <w:rFonts w:asciiTheme="minorHAnsi" w:hAnsiTheme="minorHAnsi"/>
          <w:color w:val="000000" w:themeColor="text1"/>
          <w:sz w:val="24"/>
          <w:szCs w:val="24"/>
        </w:rPr>
        <w:t>h, isplatnih, transakcijskih</w:t>
      </w:r>
      <w:r w:rsidR="009F2F05">
        <w:rPr>
          <w:rFonts w:asciiTheme="minorHAnsi" w:hAnsiTheme="minorHAnsi"/>
          <w:color w:val="000000" w:themeColor="text1"/>
          <w:sz w:val="24"/>
          <w:szCs w:val="24"/>
        </w:rPr>
        <w:t xml:space="preserve"> bankomata</w:t>
      </w:r>
      <w:r w:rsidR="00897AA6">
        <w:rPr>
          <w:rFonts w:asciiTheme="minorHAnsi" w:hAnsiTheme="minorHAnsi"/>
          <w:color w:val="000000" w:themeColor="text1"/>
          <w:sz w:val="24"/>
          <w:szCs w:val="24"/>
        </w:rPr>
        <w:t>)</w:t>
      </w:r>
      <w:r w:rsidR="009F2F05">
        <w:rPr>
          <w:rFonts w:asciiTheme="minorHAnsi" w:hAnsiTheme="minorHAnsi"/>
          <w:color w:val="000000" w:themeColor="text1"/>
          <w:sz w:val="24"/>
          <w:szCs w:val="24"/>
        </w:rPr>
        <w:t xml:space="preserve"> - pri čemu podizanje gotovine nije predmet dodatnih naknada jedino kada se koriste bankomati banke kod koje je otvoren tekući račun, a u protivnom naknada s kreće oko 1% od iznosa transakcije odnosno minimalno 10 kuna)</w:t>
      </w:r>
      <w:r w:rsidRPr="00865044">
        <w:rPr>
          <w:rFonts w:asciiTheme="minorHAnsi" w:hAnsiTheme="minorHAnsi"/>
          <w:color w:val="000000" w:themeColor="text1"/>
          <w:sz w:val="24"/>
          <w:szCs w:val="24"/>
        </w:rPr>
        <w:t>;</w:t>
      </w:r>
    </w:p>
    <w:p w:rsidR="0051389F" w:rsidRPr="00865044" w:rsidRDefault="0051389F" w:rsidP="006F1C04">
      <w:pPr>
        <w:pStyle w:val="Tekstfusnote"/>
        <w:numPr>
          <w:ilvl w:val="0"/>
          <w:numId w:val="47"/>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 xml:space="preserve">korištenje (međunarodno prihvaćenje) </w:t>
      </w:r>
      <w:r w:rsidRPr="00865044">
        <w:rPr>
          <w:rFonts w:asciiTheme="minorHAnsi" w:hAnsiTheme="minorHAnsi"/>
          <w:color w:val="C00000"/>
          <w:sz w:val="24"/>
          <w:szCs w:val="24"/>
        </w:rPr>
        <w:t xml:space="preserve">debitne kartice tekućeg računa </w:t>
      </w:r>
      <w:r w:rsidRPr="00865044">
        <w:rPr>
          <w:rFonts w:asciiTheme="minorHAnsi" w:hAnsiTheme="minorHAnsi"/>
          <w:color w:val="000000" w:themeColor="text1"/>
          <w:sz w:val="24"/>
          <w:szCs w:val="24"/>
        </w:rPr>
        <w:t xml:space="preserve">(MBCard, Maestro, Cirrus, Visa itd. ovisno o banci) za plaćanje na EFT POS uređajima u zemlji i </w:t>
      </w:r>
      <w:r w:rsidRPr="00865044">
        <w:rPr>
          <w:rFonts w:asciiTheme="minorHAnsi" w:hAnsiTheme="minorHAnsi"/>
          <w:color w:val="000000" w:themeColor="text1"/>
          <w:sz w:val="24"/>
          <w:szCs w:val="24"/>
        </w:rPr>
        <w:lastRenderedPageBreak/>
        <w:t>inozemstvu (korištenjem PIN-a ili eventualno pri beskontaktnom plaćanju bez upotrebe PIN-a i potpisa za manje iznose);</w:t>
      </w:r>
    </w:p>
    <w:p w:rsidR="00865044" w:rsidRPr="00865044" w:rsidRDefault="0051389F" w:rsidP="006F1C04">
      <w:pPr>
        <w:pStyle w:val="Tekstfusnote"/>
        <w:numPr>
          <w:ilvl w:val="0"/>
          <w:numId w:val="47"/>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 xml:space="preserve">mogućnost korištenja </w:t>
      </w:r>
      <w:r w:rsidRPr="004A0F79">
        <w:rPr>
          <w:rFonts w:asciiTheme="minorHAnsi" w:hAnsiTheme="minorHAnsi"/>
          <w:color w:val="C00000"/>
          <w:sz w:val="24"/>
          <w:szCs w:val="24"/>
        </w:rPr>
        <w:t>mobilnog</w:t>
      </w:r>
      <w:r w:rsidR="00865044" w:rsidRPr="004A0F79">
        <w:rPr>
          <w:rFonts w:asciiTheme="minorHAnsi" w:hAnsiTheme="minorHAnsi"/>
          <w:color w:val="C00000"/>
          <w:sz w:val="24"/>
          <w:szCs w:val="24"/>
        </w:rPr>
        <w:t xml:space="preserve"> i internetskog bankarstva </w:t>
      </w:r>
      <w:r w:rsidR="00865044" w:rsidRPr="00865044">
        <w:rPr>
          <w:rFonts w:asciiTheme="minorHAnsi" w:hAnsiTheme="minorHAnsi"/>
          <w:color w:val="000000" w:themeColor="text1"/>
          <w:sz w:val="24"/>
          <w:szCs w:val="24"/>
        </w:rPr>
        <w:t xml:space="preserve">te ugovaranja trajnih naloga i naloga za izvršenje transakcija izravnog terećenja računa klijenta, </w:t>
      </w:r>
    </w:p>
    <w:p w:rsidR="0051389F" w:rsidRPr="00865044" w:rsidRDefault="0051389F" w:rsidP="006F1C04">
      <w:pPr>
        <w:pStyle w:val="Tekstfusnote"/>
        <w:numPr>
          <w:ilvl w:val="0"/>
          <w:numId w:val="47"/>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dopušteno prekoračenje po tekućem računu;</w:t>
      </w:r>
    </w:p>
    <w:p w:rsidR="0051389F" w:rsidRPr="00865044" w:rsidRDefault="0051389F" w:rsidP="006F1C04">
      <w:pPr>
        <w:pStyle w:val="Tekstfusnote"/>
        <w:numPr>
          <w:ilvl w:val="0"/>
          <w:numId w:val="47"/>
        </w:numPr>
        <w:jc w:val="both"/>
        <w:rPr>
          <w:rFonts w:asciiTheme="minorHAnsi" w:hAnsiTheme="minorHAnsi"/>
          <w:color w:val="000000" w:themeColor="text1"/>
          <w:sz w:val="24"/>
          <w:szCs w:val="24"/>
        </w:rPr>
      </w:pPr>
      <w:r w:rsidRPr="004A0F79">
        <w:rPr>
          <w:rFonts w:asciiTheme="minorHAnsi" w:hAnsiTheme="minorHAnsi"/>
          <w:color w:val="C00000"/>
          <w:sz w:val="24"/>
          <w:szCs w:val="24"/>
        </w:rPr>
        <w:t xml:space="preserve">obročna otplata bez kamata i naknada </w:t>
      </w:r>
      <w:r w:rsidRPr="00865044">
        <w:rPr>
          <w:rFonts w:asciiTheme="minorHAnsi" w:hAnsiTheme="minorHAnsi"/>
          <w:color w:val="000000" w:themeColor="text1"/>
          <w:sz w:val="24"/>
          <w:szCs w:val="24"/>
        </w:rPr>
        <w:t>(na primjer do 12 mjeseci);</w:t>
      </w:r>
    </w:p>
    <w:p w:rsidR="00ED1BE2" w:rsidRDefault="0051389F" w:rsidP="006F1C04">
      <w:pPr>
        <w:pStyle w:val="Tekstfusnote"/>
        <w:numPr>
          <w:ilvl w:val="0"/>
          <w:numId w:val="47"/>
        </w:numPr>
        <w:jc w:val="both"/>
        <w:rPr>
          <w:rFonts w:asciiTheme="minorHAnsi" w:hAnsiTheme="minorHAnsi"/>
          <w:color w:val="000000" w:themeColor="text1"/>
          <w:sz w:val="24"/>
          <w:szCs w:val="24"/>
        </w:rPr>
      </w:pPr>
      <w:r w:rsidRPr="00865044">
        <w:rPr>
          <w:rFonts w:asciiTheme="minorHAnsi" w:hAnsiTheme="minorHAnsi"/>
          <w:color w:val="000000" w:themeColor="text1"/>
          <w:sz w:val="24"/>
          <w:szCs w:val="24"/>
        </w:rPr>
        <w:t xml:space="preserve">i drugo. </w:t>
      </w:r>
    </w:p>
    <w:p w:rsidR="0014378E" w:rsidRDefault="00FF3219" w:rsidP="000A6A8A">
      <w:pPr>
        <w:pStyle w:val="Tekstfusnote"/>
        <w:spacing w:before="240" w:after="200" w:line="276" w:lineRule="auto"/>
        <w:jc w:val="both"/>
        <w:rPr>
          <w:rFonts w:asciiTheme="minorHAnsi" w:eastAsiaTheme="minorHAnsi" w:hAnsiTheme="minorHAnsi" w:cstheme="minorBidi"/>
          <w:color w:val="000000" w:themeColor="text1"/>
          <w:sz w:val="24"/>
          <w:szCs w:val="24"/>
          <w:lang w:eastAsia="en-US"/>
        </w:rPr>
      </w:pPr>
      <w:r w:rsidRPr="00FF3219">
        <w:rPr>
          <w:rFonts w:asciiTheme="minorHAnsi" w:eastAsiaTheme="minorHAnsi" w:hAnsiTheme="minorHAnsi" w:cstheme="minorBidi"/>
          <w:color w:val="C00000"/>
          <w:sz w:val="24"/>
          <w:szCs w:val="24"/>
          <w:lang w:eastAsia="en-US"/>
        </w:rPr>
        <w:t xml:space="preserve">Dopušteno prekoračenje </w:t>
      </w:r>
      <w:r w:rsidRPr="00FF3219">
        <w:rPr>
          <w:rFonts w:asciiTheme="minorHAnsi" w:eastAsiaTheme="minorHAnsi" w:hAnsiTheme="minorHAnsi" w:cstheme="minorBidi"/>
          <w:color w:val="000000" w:themeColor="text1"/>
          <w:sz w:val="24"/>
          <w:szCs w:val="24"/>
          <w:lang w:eastAsia="en-US"/>
        </w:rPr>
        <w:t xml:space="preserve">predstavlja oblik otvorene kreditne linije koju banka stavlja na raspolaganje korisniku </w:t>
      </w:r>
      <w:r w:rsidR="0014378E">
        <w:rPr>
          <w:rFonts w:asciiTheme="minorHAnsi" w:eastAsiaTheme="minorHAnsi" w:hAnsiTheme="minorHAnsi" w:cstheme="minorBidi"/>
          <w:color w:val="000000" w:themeColor="text1"/>
          <w:sz w:val="24"/>
          <w:szCs w:val="24"/>
          <w:lang w:eastAsia="en-US"/>
        </w:rPr>
        <w:t xml:space="preserve">(kunskog ili multivalutnog) tekućeg </w:t>
      </w:r>
      <w:r w:rsidRPr="00FF3219">
        <w:rPr>
          <w:rFonts w:asciiTheme="minorHAnsi" w:eastAsiaTheme="minorHAnsi" w:hAnsiTheme="minorHAnsi" w:cstheme="minorBidi"/>
          <w:color w:val="000000" w:themeColor="text1"/>
          <w:sz w:val="24"/>
          <w:szCs w:val="24"/>
          <w:lang w:eastAsia="en-US"/>
        </w:rPr>
        <w:t>računa</w:t>
      </w:r>
      <w:r w:rsidR="0014378E">
        <w:rPr>
          <w:rFonts w:asciiTheme="minorHAnsi" w:eastAsiaTheme="minorHAnsi" w:hAnsiTheme="minorHAnsi" w:cstheme="minorBidi"/>
          <w:color w:val="000000" w:themeColor="text1"/>
          <w:sz w:val="24"/>
          <w:szCs w:val="24"/>
          <w:lang w:eastAsia="en-US"/>
        </w:rPr>
        <w:t xml:space="preserve"> koji ostvaruje </w:t>
      </w:r>
      <w:r w:rsidRPr="00FF3219">
        <w:rPr>
          <w:rFonts w:asciiTheme="minorHAnsi" w:eastAsiaTheme="minorHAnsi" w:hAnsiTheme="minorHAnsi" w:cstheme="minorBidi"/>
          <w:color w:val="000000" w:themeColor="text1"/>
          <w:sz w:val="24"/>
          <w:szCs w:val="24"/>
          <w:lang w:eastAsia="en-US"/>
        </w:rPr>
        <w:t>redovit</w:t>
      </w:r>
      <w:r w:rsidR="0014378E">
        <w:rPr>
          <w:rFonts w:asciiTheme="minorHAnsi" w:eastAsiaTheme="minorHAnsi" w:hAnsiTheme="minorHAnsi" w:cstheme="minorBidi"/>
          <w:color w:val="000000" w:themeColor="text1"/>
          <w:sz w:val="24"/>
          <w:szCs w:val="24"/>
          <w:lang w:eastAsia="en-US"/>
        </w:rPr>
        <w:t>e prihode</w:t>
      </w:r>
      <w:r w:rsidR="001F712F">
        <w:rPr>
          <w:rFonts w:asciiTheme="minorHAnsi" w:eastAsiaTheme="minorHAnsi" w:hAnsiTheme="minorHAnsi" w:cstheme="minorBidi"/>
          <w:color w:val="000000" w:themeColor="text1"/>
          <w:sz w:val="24"/>
          <w:szCs w:val="24"/>
          <w:lang w:eastAsia="en-US"/>
        </w:rPr>
        <w:t xml:space="preserve"> (Iako postoje i izuzeci kada je ono dostupno studentima ili drugim osobama bez redovitih prihoda)</w:t>
      </w:r>
      <w:r w:rsidRPr="00FF3219">
        <w:rPr>
          <w:rFonts w:asciiTheme="minorHAnsi" w:eastAsiaTheme="minorHAnsi" w:hAnsiTheme="minorHAnsi" w:cstheme="minorBidi"/>
          <w:color w:val="000000" w:themeColor="text1"/>
          <w:sz w:val="24"/>
          <w:szCs w:val="24"/>
          <w:lang w:eastAsia="en-US"/>
        </w:rPr>
        <w:t>. Korištenje dopuštenog prekoračenja je dobrovoljno</w:t>
      </w:r>
      <w:r w:rsidR="001F712F">
        <w:rPr>
          <w:rFonts w:asciiTheme="minorHAnsi" w:eastAsiaTheme="minorHAnsi" w:hAnsiTheme="minorHAnsi" w:cstheme="minorBidi"/>
          <w:color w:val="000000" w:themeColor="text1"/>
          <w:sz w:val="24"/>
          <w:szCs w:val="24"/>
          <w:lang w:eastAsia="en-US"/>
        </w:rPr>
        <w:t>. M</w:t>
      </w:r>
      <w:r w:rsidRPr="00FF3219">
        <w:rPr>
          <w:rFonts w:asciiTheme="minorHAnsi" w:eastAsiaTheme="minorHAnsi" w:hAnsiTheme="minorHAnsi" w:cstheme="minorBidi"/>
          <w:color w:val="000000" w:themeColor="text1"/>
          <w:sz w:val="24"/>
          <w:szCs w:val="24"/>
          <w:lang w:eastAsia="en-US"/>
        </w:rPr>
        <w:t>ože se koristiti u cijelost</w:t>
      </w:r>
      <w:r w:rsidR="0014378E">
        <w:rPr>
          <w:rFonts w:asciiTheme="minorHAnsi" w:eastAsiaTheme="minorHAnsi" w:hAnsiTheme="minorHAnsi" w:cstheme="minorBidi"/>
          <w:color w:val="000000" w:themeColor="text1"/>
          <w:sz w:val="24"/>
          <w:szCs w:val="24"/>
          <w:lang w:eastAsia="en-US"/>
        </w:rPr>
        <w:t>i ili djelomično (ili uopće ne koristiti)</w:t>
      </w:r>
      <w:r w:rsidRPr="00FF3219">
        <w:rPr>
          <w:rFonts w:asciiTheme="minorHAnsi" w:eastAsiaTheme="minorHAnsi" w:hAnsiTheme="minorHAnsi" w:cstheme="minorBidi"/>
          <w:color w:val="000000" w:themeColor="text1"/>
          <w:sz w:val="24"/>
          <w:szCs w:val="24"/>
          <w:lang w:eastAsia="en-US"/>
        </w:rPr>
        <w:t xml:space="preserve">, a svrha mu je služiti kao povremeni izvor financiranja (zaduživanja) koji je uvijek dostupan </w:t>
      </w:r>
      <w:r w:rsidR="0014378E">
        <w:rPr>
          <w:rFonts w:asciiTheme="minorHAnsi" w:eastAsiaTheme="minorHAnsi" w:hAnsiTheme="minorHAnsi" w:cstheme="minorBidi"/>
          <w:color w:val="000000" w:themeColor="text1"/>
          <w:sz w:val="24"/>
          <w:szCs w:val="24"/>
          <w:lang w:eastAsia="en-US"/>
        </w:rPr>
        <w:t xml:space="preserve">pojedincu </w:t>
      </w:r>
      <w:r w:rsidRPr="00FF3219">
        <w:rPr>
          <w:rFonts w:asciiTheme="minorHAnsi" w:eastAsiaTheme="minorHAnsi" w:hAnsiTheme="minorHAnsi" w:cstheme="minorBidi"/>
          <w:color w:val="000000" w:themeColor="text1"/>
          <w:sz w:val="24"/>
          <w:szCs w:val="24"/>
          <w:lang w:eastAsia="en-US"/>
        </w:rPr>
        <w:t>(bez posebnih procedura i zahtjeva</w:t>
      </w:r>
      <w:r w:rsidR="001F712F">
        <w:rPr>
          <w:rFonts w:asciiTheme="minorHAnsi" w:eastAsiaTheme="minorHAnsi" w:hAnsiTheme="minorHAnsi" w:cstheme="minorBidi"/>
          <w:color w:val="000000" w:themeColor="text1"/>
          <w:sz w:val="24"/>
          <w:szCs w:val="24"/>
          <w:lang w:eastAsia="en-US"/>
        </w:rPr>
        <w:t xml:space="preserve"> kao u slučaju drugih kredita</w:t>
      </w:r>
      <w:r w:rsidRPr="00FF3219">
        <w:rPr>
          <w:rFonts w:asciiTheme="minorHAnsi" w:eastAsiaTheme="minorHAnsi" w:hAnsiTheme="minorHAnsi" w:cstheme="minorBidi"/>
          <w:color w:val="000000" w:themeColor="text1"/>
          <w:sz w:val="24"/>
          <w:szCs w:val="24"/>
          <w:lang w:eastAsia="en-US"/>
        </w:rPr>
        <w:t xml:space="preserve">). Popularno se naziva </w:t>
      </w:r>
      <w:r w:rsidR="000A6A8A">
        <w:rPr>
          <w:rFonts w:asciiTheme="minorHAnsi" w:eastAsiaTheme="minorHAnsi" w:hAnsiTheme="minorHAnsi" w:cstheme="minorBidi"/>
          <w:color w:val="000000" w:themeColor="text1"/>
          <w:sz w:val="24"/>
          <w:szCs w:val="24"/>
          <w:lang w:eastAsia="en-US"/>
        </w:rPr>
        <w:t>„</w:t>
      </w:r>
      <w:r w:rsidRPr="00FF3219">
        <w:rPr>
          <w:rFonts w:asciiTheme="minorHAnsi" w:eastAsiaTheme="minorHAnsi" w:hAnsiTheme="minorHAnsi" w:cstheme="minorBidi"/>
          <w:color w:val="000000" w:themeColor="text1"/>
          <w:sz w:val="24"/>
          <w:szCs w:val="24"/>
          <w:lang w:eastAsia="en-US"/>
        </w:rPr>
        <w:t>dozvoljeni minus</w:t>
      </w:r>
      <w:r w:rsidR="000A6A8A">
        <w:rPr>
          <w:rFonts w:asciiTheme="minorHAnsi" w:eastAsiaTheme="minorHAnsi" w:hAnsiTheme="minorHAnsi" w:cstheme="minorBidi"/>
          <w:color w:val="000000" w:themeColor="text1"/>
          <w:sz w:val="24"/>
          <w:szCs w:val="24"/>
          <w:lang w:eastAsia="en-US"/>
        </w:rPr>
        <w:t>“</w:t>
      </w:r>
      <w:r w:rsidRPr="00FF3219">
        <w:rPr>
          <w:rFonts w:asciiTheme="minorHAnsi" w:eastAsiaTheme="minorHAnsi" w:hAnsiTheme="minorHAnsi" w:cstheme="minorBidi"/>
          <w:color w:val="000000" w:themeColor="text1"/>
          <w:sz w:val="24"/>
          <w:szCs w:val="24"/>
          <w:lang w:eastAsia="en-US"/>
        </w:rPr>
        <w:t xml:space="preserve">, dok iskorišteno dopušteno prekoračenje za banku </w:t>
      </w:r>
      <w:r w:rsidR="0014378E" w:rsidRPr="00FF3219">
        <w:rPr>
          <w:rFonts w:asciiTheme="minorHAnsi" w:eastAsiaTheme="minorHAnsi" w:hAnsiTheme="minorHAnsi" w:cstheme="minorBidi"/>
          <w:color w:val="000000" w:themeColor="text1"/>
          <w:sz w:val="24"/>
          <w:szCs w:val="24"/>
          <w:lang w:eastAsia="en-US"/>
        </w:rPr>
        <w:t xml:space="preserve">predstavlja </w:t>
      </w:r>
      <w:r w:rsidRPr="001F712F">
        <w:rPr>
          <w:rFonts w:asciiTheme="minorHAnsi" w:eastAsiaTheme="minorHAnsi" w:hAnsiTheme="minorHAnsi" w:cstheme="minorBidi"/>
          <w:color w:val="C00000"/>
          <w:sz w:val="24"/>
          <w:szCs w:val="24"/>
          <w:lang w:eastAsia="en-US"/>
        </w:rPr>
        <w:t>kontokorentni kredit</w:t>
      </w:r>
      <w:r w:rsidRPr="00FF3219">
        <w:rPr>
          <w:rFonts w:asciiTheme="minorHAnsi" w:eastAsiaTheme="minorHAnsi" w:hAnsiTheme="minorHAnsi" w:cstheme="minorBidi"/>
          <w:color w:val="000000" w:themeColor="text1"/>
          <w:sz w:val="24"/>
          <w:szCs w:val="24"/>
          <w:lang w:eastAsia="en-US"/>
        </w:rPr>
        <w:t xml:space="preserve">. </w:t>
      </w:r>
    </w:p>
    <w:p w:rsidR="00FF3219" w:rsidRDefault="00FF3219" w:rsidP="000A6A8A">
      <w:pPr>
        <w:pStyle w:val="Tekstfusnote"/>
        <w:spacing w:after="200" w:line="276" w:lineRule="auto"/>
        <w:jc w:val="both"/>
        <w:rPr>
          <w:rFonts w:ascii="Verdana" w:hAnsi="Verdana"/>
          <w:color w:val="000000"/>
        </w:rPr>
      </w:pPr>
      <w:r w:rsidRPr="00FF3219">
        <w:rPr>
          <w:rFonts w:asciiTheme="minorHAnsi" w:eastAsiaTheme="minorHAnsi" w:hAnsiTheme="minorHAnsi" w:cstheme="minorBidi"/>
          <w:color w:val="000000" w:themeColor="text1"/>
          <w:sz w:val="24"/>
          <w:szCs w:val="24"/>
          <w:lang w:eastAsia="en-US"/>
        </w:rPr>
        <w:t xml:space="preserve">Kredit po tekućem računu se automatski otplaćuje svakim priljevom novca (uplatom) na tekući račun, što korisniku tekućeg računa omogućuje fleksibilno upravljanje vlastitim i posuđenim sredstvima u okviru dopuštenog kreditnog limita. Međutim, kamatnjaci na dopušteno prekoračenje su vrlo visoki </w:t>
      </w:r>
      <w:r w:rsidR="0014378E">
        <w:rPr>
          <w:rFonts w:asciiTheme="minorHAnsi" w:eastAsiaTheme="minorHAnsi" w:hAnsiTheme="minorHAnsi" w:cstheme="minorBidi"/>
          <w:color w:val="000000" w:themeColor="text1"/>
          <w:sz w:val="24"/>
          <w:szCs w:val="24"/>
          <w:lang w:eastAsia="en-US"/>
        </w:rPr>
        <w:t>(</w:t>
      </w:r>
      <w:r w:rsidR="009F2F05">
        <w:rPr>
          <w:rFonts w:asciiTheme="minorHAnsi" w:eastAsiaTheme="minorHAnsi" w:hAnsiTheme="minorHAnsi" w:cstheme="minorBidi"/>
          <w:color w:val="000000" w:themeColor="text1"/>
          <w:sz w:val="24"/>
          <w:szCs w:val="24"/>
          <w:lang w:eastAsia="en-US"/>
        </w:rPr>
        <w:t>oko</w:t>
      </w:r>
      <w:r w:rsidRPr="00FF3219">
        <w:rPr>
          <w:rFonts w:asciiTheme="minorHAnsi" w:eastAsiaTheme="minorHAnsi" w:hAnsiTheme="minorHAnsi" w:cstheme="minorBidi"/>
          <w:color w:val="000000" w:themeColor="text1"/>
          <w:sz w:val="24"/>
          <w:szCs w:val="24"/>
          <w:lang w:eastAsia="en-US"/>
        </w:rPr>
        <w:t xml:space="preserve"> 10% godišnje</w:t>
      </w:r>
      <w:r w:rsidR="0014378E">
        <w:rPr>
          <w:rFonts w:asciiTheme="minorHAnsi" w:eastAsiaTheme="minorHAnsi" w:hAnsiTheme="minorHAnsi" w:cstheme="minorBidi"/>
          <w:color w:val="000000" w:themeColor="text1"/>
          <w:sz w:val="24"/>
          <w:szCs w:val="24"/>
          <w:lang w:eastAsia="en-US"/>
        </w:rPr>
        <w:t>)</w:t>
      </w:r>
      <w:r w:rsidRPr="00FF3219">
        <w:rPr>
          <w:rFonts w:asciiTheme="minorHAnsi" w:eastAsiaTheme="minorHAnsi" w:hAnsiTheme="minorHAnsi" w:cstheme="minorBidi"/>
          <w:color w:val="000000" w:themeColor="text1"/>
          <w:sz w:val="24"/>
          <w:szCs w:val="24"/>
          <w:lang w:eastAsia="en-US"/>
        </w:rPr>
        <w:t xml:space="preserve">, što ukazuje da </w:t>
      </w:r>
      <w:r w:rsidRPr="000B46AF">
        <w:rPr>
          <w:rFonts w:asciiTheme="minorHAnsi" w:eastAsiaTheme="minorHAnsi" w:hAnsiTheme="minorHAnsi" w:cstheme="minorBidi"/>
          <w:color w:val="C00000"/>
          <w:sz w:val="24"/>
          <w:szCs w:val="24"/>
          <w:lang w:eastAsia="en-US"/>
        </w:rPr>
        <w:t>to nije oblik kredita koji bi pojedinac trebao koristiti duže razdoblje nego svega tek nekoliko dana</w:t>
      </w:r>
      <w:r w:rsidR="0014378E" w:rsidRPr="000B46AF">
        <w:rPr>
          <w:rFonts w:asciiTheme="minorHAnsi" w:eastAsiaTheme="minorHAnsi" w:hAnsiTheme="minorHAnsi" w:cstheme="minorBidi"/>
          <w:color w:val="C00000"/>
          <w:sz w:val="24"/>
          <w:szCs w:val="24"/>
          <w:lang w:eastAsia="en-US"/>
        </w:rPr>
        <w:t xml:space="preserve"> i u što manjem iznosu</w:t>
      </w:r>
      <w:r w:rsidRPr="00FF3219">
        <w:rPr>
          <w:rFonts w:asciiTheme="minorHAnsi" w:eastAsiaTheme="minorHAnsi" w:hAnsiTheme="minorHAnsi" w:cstheme="minorBidi"/>
          <w:color w:val="000000" w:themeColor="text1"/>
          <w:sz w:val="24"/>
          <w:szCs w:val="24"/>
          <w:lang w:eastAsia="en-US"/>
        </w:rPr>
        <w:t xml:space="preserve">. U tom slučaju rashodi za kamate nisu visoki, ali ako se </w:t>
      </w:r>
      <w:r w:rsidR="0014378E">
        <w:rPr>
          <w:rFonts w:asciiTheme="minorHAnsi" w:eastAsiaTheme="minorHAnsi" w:hAnsiTheme="minorHAnsi" w:cstheme="minorBidi"/>
          <w:color w:val="000000" w:themeColor="text1"/>
          <w:sz w:val="24"/>
          <w:szCs w:val="24"/>
          <w:lang w:eastAsia="en-US"/>
        </w:rPr>
        <w:t xml:space="preserve">kredit </w:t>
      </w:r>
      <w:r w:rsidR="000A6A8A">
        <w:rPr>
          <w:rFonts w:asciiTheme="minorHAnsi" w:eastAsiaTheme="minorHAnsi" w:hAnsiTheme="minorHAnsi" w:cstheme="minorBidi"/>
          <w:color w:val="000000" w:themeColor="text1"/>
          <w:sz w:val="24"/>
          <w:szCs w:val="24"/>
          <w:lang w:eastAsia="en-US"/>
        </w:rPr>
        <w:t xml:space="preserve">kontinuirano </w:t>
      </w:r>
      <w:r w:rsidRPr="00FF3219">
        <w:rPr>
          <w:rFonts w:asciiTheme="minorHAnsi" w:eastAsiaTheme="minorHAnsi" w:hAnsiTheme="minorHAnsi" w:cstheme="minorBidi"/>
          <w:color w:val="000000" w:themeColor="text1"/>
          <w:sz w:val="24"/>
          <w:szCs w:val="24"/>
          <w:lang w:eastAsia="en-US"/>
        </w:rPr>
        <w:t xml:space="preserve">koristi mjesec nekoliko mjeseci </w:t>
      </w:r>
      <w:r w:rsidR="0014378E">
        <w:rPr>
          <w:rFonts w:asciiTheme="minorHAnsi" w:eastAsiaTheme="minorHAnsi" w:hAnsiTheme="minorHAnsi" w:cstheme="minorBidi"/>
          <w:color w:val="000000" w:themeColor="text1"/>
          <w:sz w:val="24"/>
          <w:szCs w:val="24"/>
          <w:lang w:eastAsia="en-US"/>
        </w:rPr>
        <w:t xml:space="preserve">- </w:t>
      </w:r>
      <w:r w:rsidRPr="00FF3219">
        <w:rPr>
          <w:rFonts w:asciiTheme="minorHAnsi" w:eastAsiaTheme="minorHAnsi" w:hAnsiTheme="minorHAnsi" w:cstheme="minorBidi"/>
          <w:color w:val="000000" w:themeColor="text1"/>
          <w:sz w:val="24"/>
          <w:szCs w:val="24"/>
          <w:lang w:eastAsia="en-US"/>
        </w:rPr>
        <w:t xml:space="preserve">rashodi za kamate su vrlo  visoki. Problem brojnih ljudi je što ne prave razliku između prihoda i primitaka zbog čega dopušteno prekoračenje tretiraju kao prihod a radi se o obvezi na koju se plaćaju kamate (dok je naknada za korištene uglavnom uključena u naknadu za vođenje tekućeg računa). </w:t>
      </w:r>
    </w:p>
    <w:p w:rsidR="00ED1BE2" w:rsidRDefault="00897AA6" w:rsidP="00996CAC">
      <w:pPr>
        <w:autoSpaceDE w:val="0"/>
        <w:autoSpaceDN w:val="0"/>
        <w:adjustRightInd w:val="0"/>
        <w:spacing w:before="240"/>
        <w:jc w:val="both"/>
        <w:rPr>
          <w:color w:val="000000" w:themeColor="text1"/>
          <w:sz w:val="24"/>
          <w:szCs w:val="24"/>
        </w:rPr>
      </w:pPr>
      <w:r>
        <w:rPr>
          <w:color w:val="000000" w:themeColor="text1"/>
          <w:sz w:val="24"/>
          <w:szCs w:val="24"/>
        </w:rPr>
        <w:t>P</w:t>
      </w:r>
      <w:r w:rsidR="00ED1BE2" w:rsidRPr="00ED1BE2">
        <w:rPr>
          <w:color w:val="000000" w:themeColor="text1"/>
          <w:sz w:val="24"/>
          <w:szCs w:val="24"/>
        </w:rPr>
        <w:t xml:space="preserve">latne instrumente koji se vežu uz tekući račun </w:t>
      </w:r>
      <w:r w:rsidR="00ED1BE2">
        <w:rPr>
          <w:color w:val="000000" w:themeColor="text1"/>
          <w:sz w:val="24"/>
          <w:szCs w:val="24"/>
        </w:rPr>
        <w:t>(kao i</w:t>
      </w:r>
      <w:r w:rsidR="00ED1BE2" w:rsidRPr="00ED1BE2">
        <w:rPr>
          <w:color w:val="000000" w:themeColor="text1"/>
          <w:sz w:val="24"/>
          <w:szCs w:val="24"/>
        </w:rPr>
        <w:t xml:space="preserve"> žiro račun</w:t>
      </w:r>
      <w:r w:rsidR="00ED1BE2">
        <w:rPr>
          <w:color w:val="000000" w:themeColor="text1"/>
          <w:sz w:val="24"/>
          <w:szCs w:val="24"/>
        </w:rPr>
        <w:t>) te</w:t>
      </w:r>
      <w:r w:rsidR="00ED1BE2" w:rsidRPr="00ED1BE2">
        <w:rPr>
          <w:color w:val="000000" w:themeColor="text1"/>
          <w:sz w:val="24"/>
          <w:szCs w:val="24"/>
        </w:rPr>
        <w:t xml:space="preserve"> sve pogodnosti koje su s njima povezane treba razlikovati</w:t>
      </w:r>
      <w:r w:rsidR="00ED1BE2">
        <w:rPr>
          <w:color w:val="000000" w:themeColor="text1"/>
          <w:sz w:val="24"/>
          <w:szCs w:val="24"/>
        </w:rPr>
        <w:t xml:space="preserve"> od drugih </w:t>
      </w:r>
      <w:r w:rsidR="00ED1BE2" w:rsidRPr="00ED1BE2">
        <w:rPr>
          <w:color w:val="000000" w:themeColor="text1"/>
          <w:sz w:val="24"/>
          <w:szCs w:val="24"/>
        </w:rPr>
        <w:t xml:space="preserve">sličnih </w:t>
      </w:r>
      <w:r w:rsidR="00ED1BE2">
        <w:rPr>
          <w:color w:val="000000" w:themeColor="text1"/>
          <w:sz w:val="24"/>
          <w:szCs w:val="24"/>
        </w:rPr>
        <w:t xml:space="preserve">financijskih proizvoda koje istodobno nude banke i različite kartičarske </w:t>
      </w:r>
      <w:r>
        <w:rPr>
          <w:color w:val="000000" w:themeColor="text1"/>
          <w:sz w:val="24"/>
          <w:szCs w:val="24"/>
        </w:rPr>
        <w:t>kuće</w:t>
      </w:r>
      <w:r w:rsidR="00ED1BE2">
        <w:rPr>
          <w:color w:val="000000" w:themeColor="text1"/>
          <w:sz w:val="24"/>
          <w:szCs w:val="24"/>
        </w:rPr>
        <w:t>. Uz tekuće</w:t>
      </w:r>
      <w:r>
        <w:rPr>
          <w:color w:val="000000" w:themeColor="text1"/>
          <w:sz w:val="24"/>
          <w:szCs w:val="24"/>
        </w:rPr>
        <w:t xml:space="preserve"> račune</w:t>
      </w:r>
      <w:r w:rsidR="00ED1BE2">
        <w:rPr>
          <w:color w:val="000000" w:themeColor="text1"/>
          <w:sz w:val="24"/>
          <w:szCs w:val="24"/>
        </w:rPr>
        <w:t xml:space="preserve"> i žiro račune (odnosno račune za plaćanja) vežu se </w:t>
      </w:r>
      <w:r w:rsidR="00ED1BE2" w:rsidRPr="00897AA6">
        <w:rPr>
          <w:color w:val="C00000"/>
          <w:sz w:val="24"/>
          <w:szCs w:val="24"/>
        </w:rPr>
        <w:t>debitne platne kartice</w:t>
      </w:r>
      <w:r w:rsidR="00ED1BE2">
        <w:rPr>
          <w:color w:val="000000" w:themeColor="text1"/>
          <w:sz w:val="24"/>
          <w:szCs w:val="24"/>
        </w:rPr>
        <w:t xml:space="preserve">, kao specifičan kartični proizvod kod kojeg </w:t>
      </w:r>
      <w:r w:rsidR="00ED1BE2" w:rsidRPr="009F2F05">
        <w:rPr>
          <w:color w:val="C00000"/>
          <w:sz w:val="24"/>
          <w:szCs w:val="24"/>
        </w:rPr>
        <w:t xml:space="preserve">upotreba kartice </w:t>
      </w:r>
      <w:r w:rsidRPr="009F2F05">
        <w:rPr>
          <w:color w:val="C00000"/>
          <w:sz w:val="24"/>
          <w:szCs w:val="24"/>
        </w:rPr>
        <w:t xml:space="preserve">uvjetuje </w:t>
      </w:r>
      <w:r w:rsidR="00ED1BE2" w:rsidRPr="009F2F05">
        <w:rPr>
          <w:color w:val="C00000"/>
          <w:sz w:val="24"/>
          <w:szCs w:val="24"/>
        </w:rPr>
        <w:t>osigurano pokriće</w:t>
      </w:r>
      <w:r w:rsidR="00ED1BE2" w:rsidRPr="00897AA6">
        <w:rPr>
          <w:color w:val="000000" w:themeColor="text1"/>
          <w:sz w:val="24"/>
          <w:szCs w:val="24"/>
        </w:rPr>
        <w:t xml:space="preserve"> </w:t>
      </w:r>
      <w:r w:rsidR="00ED1BE2" w:rsidRPr="009F2F05">
        <w:rPr>
          <w:color w:val="C00000"/>
          <w:sz w:val="24"/>
          <w:szCs w:val="24"/>
        </w:rPr>
        <w:t>za izvršenje transakcije u trenutku njezina zadavanja</w:t>
      </w:r>
      <w:r w:rsidR="00ED1BE2" w:rsidRPr="00897AA6">
        <w:rPr>
          <w:color w:val="000000" w:themeColor="text1"/>
          <w:sz w:val="24"/>
          <w:szCs w:val="24"/>
        </w:rPr>
        <w:t xml:space="preserve">. To pokriće može biti depozit kao pozitivan saldo na </w:t>
      </w:r>
      <w:r>
        <w:rPr>
          <w:color w:val="000000" w:themeColor="text1"/>
          <w:sz w:val="24"/>
          <w:szCs w:val="24"/>
        </w:rPr>
        <w:t xml:space="preserve">tekućem ili žiro </w:t>
      </w:r>
      <w:r w:rsidR="00ED1BE2" w:rsidRPr="00897AA6">
        <w:rPr>
          <w:color w:val="000000" w:themeColor="text1"/>
          <w:sz w:val="24"/>
          <w:szCs w:val="24"/>
        </w:rPr>
        <w:t>računu, a</w:t>
      </w:r>
      <w:r>
        <w:rPr>
          <w:color w:val="000000" w:themeColor="text1"/>
          <w:sz w:val="24"/>
          <w:szCs w:val="24"/>
        </w:rPr>
        <w:t xml:space="preserve"> u slučaju </w:t>
      </w:r>
      <w:r w:rsidR="000A6A8A">
        <w:rPr>
          <w:color w:val="000000" w:themeColor="text1"/>
          <w:sz w:val="24"/>
          <w:szCs w:val="24"/>
        </w:rPr>
        <w:t xml:space="preserve">kunskog </w:t>
      </w:r>
      <w:r>
        <w:rPr>
          <w:color w:val="000000" w:themeColor="text1"/>
          <w:sz w:val="24"/>
          <w:szCs w:val="24"/>
        </w:rPr>
        <w:t>tekućeg računa i</w:t>
      </w:r>
      <w:r w:rsidR="00ED1BE2" w:rsidRPr="00897AA6">
        <w:rPr>
          <w:color w:val="000000" w:themeColor="text1"/>
          <w:sz w:val="24"/>
          <w:szCs w:val="24"/>
        </w:rPr>
        <w:t xml:space="preserve"> dopušteno </w:t>
      </w:r>
      <w:r w:rsidR="000A6A8A">
        <w:rPr>
          <w:color w:val="000000" w:themeColor="text1"/>
          <w:sz w:val="24"/>
          <w:szCs w:val="24"/>
        </w:rPr>
        <w:t>prekoračenje.</w:t>
      </w:r>
    </w:p>
    <w:p w:rsidR="00EF3AAA" w:rsidRDefault="00EF3AAA" w:rsidP="00EF3AAA">
      <w:pPr>
        <w:autoSpaceDE w:val="0"/>
        <w:autoSpaceDN w:val="0"/>
        <w:adjustRightInd w:val="0"/>
        <w:spacing w:before="240"/>
        <w:jc w:val="both"/>
        <w:rPr>
          <w:color w:val="000000" w:themeColor="text1"/>
          <w:sz w:val="24"/>
          <w:szCs w:val="24"/>
        </w:rPr>
      </w:pPr>
      <w:r w:rsidRPr="00897AA6">
        <w:rPr>
          <w:color w:val="000000" w:themeColor="text1"/>
          <w:sz w:val="24"/>
          <w:szCs w:val="24"/>
        </w:rPr>
        <w:t>S</w:t>
      </w:r>
      <w:r>
        <w:rPr>
          <w:color w:val="000000" w:themeColor="text1"/>
          <w:sz w:val="24"/>
          <w:szCs w:val="24"/>
        </w:rPr>
        <w:t xml:space="preserve">aldo tekućeg ili žiro računa se umanjuje za iznos novca koji je podignut s bankomata ili kojim su obavljena bezgotovinska plaćanja na prodajnom mjestu (korištenjem debitne kartice), korištenjem usluga internetskog bankarstva, u svrhu izvršenja trajnog naloga na određeni datum itd. Korisnik tekućeg računa stoga treba pravovremeno osigurati adekvatan iznos novca za izvršenje transakcija po (standardnim) </w:t>
      </w:r>
      <w:r w:rsidRPr="000A6A8A">
        <w:rPr>
          <w:color w:val="C00000"/>
          <w:sz w:val="24"/>
          <w:szCs w:val="24"/>
        </w:rPr>
        <w:t>trajnim nalozima za prijenos sredstva u fiksnim iznosima</w:t>
      </w:r>
      <w:r>
        <w:rPr>
          <w:color w:val="000000" w:themeColor="text1"/>
          <w:sz w:val="24"/>
          <w:szCs w:val="24"/>
        </w:rPr>
        <w:t xml:space="preserve"> (npr. mjesečnih iznosa ciljane otvorene štednje, stambene štednja) i/ili </w:t>
      </w:r>
      <w:r w:rsidRPr="000A6A8A">
        <w:rPr>
          <w:color w:val="C00000"/>
          <w:sz w:val="24"/>
          <w:szCs w:val="24"/>
        </w:rPr>
        <w:t xml:space="preserve">izravnom terećenju </w:t>
      </w:r>
      <w:r>
        <w:rPr>
          <w:color w:val="000000" w:themeColor="text1"/>
          <w:sz w:val="24"/>
          <w:szCs w:val="24"/>
        </w:rPr>
        <w:t xml:space="preserve">(za prijenos sredstava čiji iznos varira od mjeseca do mjeseca, npr. </w:t>
      </w:r>
      <w:r>
        <w:rPr>
          <w:color w:val="000000" w:themeColor="text1"/>
          <w:sz w:val="24"/>
          <w:szCs w:val="24"/>
        </w:rPr>
        <w:lastRenderedPageBreak/>
        <w:t xml:space="preserve">podmirenje računa za mobitel, troškova po kreditnim karticama, otplate kredita itd.) Naime, otvaranjem trajnog naloga ili platne transakcije izravnog terećenja korisnih takvih instrumenata unaprijed je zadao niz naloga za plaćanje koji će se izvršavati u budućnosti na određeni datum u fiksnom, odnosno promjenjivom iznosu. Pri tome dok se kod trajnog naloga plaćanja izvršavaju po nalogu koji je zadao </w:t>
      </w:r>
      <w:r w:rsidRPr="00790878">
        <w:rPr>
          <w:color w:val="C00000"/>
          <w:sz w:val="24"/>
          <w:szCs w:val="24"/>
        </w:rPr>
        <w:t>platitelj</w:t>
      </w:r>
      <w:r>
        <w:rPr>
          <w:color w:val="000000" w:themeColor="text1"/>
          <w:sz w:val="24"/>
          <w:szCs w:val="24"/>
        </w:rPr>
        <w:t xml:space="preserve">, kod izravnog terećenja izvršavaju se po nalogu koji zadaje </w:t>
      </w:r>
      <w:r w:rsidRPr="00790878">
        <w:rPr>
          <w:color w:val="C00000"/>
          <w:sz w:val="24"/>
          <w:szCs w:val="24"/>
        </w:rPr>
        <w:t xml:space="preserve">primatelj plaćanja </w:t>
      </w:r>
      <w:r>
        <w:rPr>
          <w:color w:val="000000" w:themeColor="text1"/>
          <w:sz w:val="24"/>
          <w:szCs w:val="24"/>
        </w:rPr>
        <w:t>sukladno ugovoru koji je potpisao platitelj.</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2694"/>
        <w:gridCol w:w="5352"/>
      </w:tblGrid>
      <w:tr w:rsidR="00865044" w:rsidTr="003D3564">
        <w:tc>
          <w:tcPr>
            <w:tcW w:w="3828" w:type="dxa"/>
            <w:gridSpan w:val="2"/>
          </w:tcPr>
          <w:p w:rsidR="003D3564" w:rsidRPr="00996CAC" w:rsidRDefault="00A642A7" w:rsidP="003D3564">
            <w:pPr>
              <w:autoSpaceDE w:val="0"/>
              <w:autoSpaceDN w:val="0"/>
              <w:adjustRightInd w:val="0"/>
              <w:spacing w:before="360"/>
              <w:jc w:val="both"/>
            </w:pPr>
            <w:r>
              <w:object w:dxaOrig="5670" w:dyaOrig="3000">
                <v:shape id="_x0000_i1065" type="#_x0000_t75" style="width:180.75pt;height:95.25pt" o:ole="">
                  <v:imagedata r:id="rId187" o:title=""/>
                </v:shape>
                <o:OLEObject Type="Embed" ProgID="PBrush" ShapeID="_x0000_i1065" DrawAspect="Content" ObjectID="_1505681393" r:id="rId188"/>
              </w:object>
            </w:r>
          </w:p>
        </w:tc>
        <w:tc>
          <w:tcPr>
            <w:tcW w:w="5352" w:type="dxa"/>
            <w:shd w:val="clear" w:color="auto" w:fill="F2F2F2" w:themeFill="background1" w:themeFillShade="F2"/>
          </w:tcPr>
          <w:p w:rsidR="003D3564" w:rsidRPr="003D3564" w:rsidRDefault="00996CAC" w:rsidP="003D3564">
            <w:pPr>
              <w:autoSpaceDE w:val="0"/>
              <w:autoSpaceDN w:val="0"/>
              <w:adjustRightInd w:val="0"/>
              <w:spacing w:before="120" w:after="120" w:line="240" w:lineRule="auto"/>
              <w:jc w:val="both"/>
              <w:rPr>
                <w:sz w:val="24"/>
                <w:szCs w:val="24"/>
              </w:rPr>
            </w:pPr>
            <w:r w:rsidRPr="003D3564">
              <w:rPr>
                <w:color w:val="000000" w:themeColor="text1"/>
                <w:sz w:val="24"/>
                <w:szCs w:val="24"/>
              </w:rPr>
              <w:t xml:space="preserve">Sigurnost korištenja debitne kartice kao i ostalih platnih kartica prvenstveno ovisi o </w:t>
            </w:r>
            <w:r w:rsidRPr="003D3564">
              <w:rPr>
                <w:color w:val="C00000"/>
                <w:sz w:val="24"/>
                <w:szCs w:val="24"/>
              </w:rPr>
              <w:t>odgovornom ponašanju korisnika kartice</w:t>
            </w:r>
            <w:r w:rsidRPr="003D3564">
              <w:rPr>
                <w:color w:val="000000" w:themeColor="text1"/>
                <w:sz w:val="24"/>
                <w:szCs w:val="24"/>
              </w:rPr>
              <w:t xml:space="preserve"> (on je dužan čuvati karticu na sigurnom mjestu i voditi računa da ne dođe do ugrožavanja osobnih sigurnosnih obilježja kartice), što između ostalog znači da </w:t>
            </w:r>
            <w:r w:rsidRPr="003D3564">
              <w:rPr>
                <w:color w:val="C00000"/>
                <w:sz w:val="24"/>
                <w:szCs w:val="24"/>
              </w:rPr>
              <w:t>tajni osobni identifikacijski broj -</w:t>
            </w:r>
            <w:r w:rsidR="003D3564" w:rsidRPr="003D3564">
              <w:rPr>
                <w:color w:val="C00000"/>
                <w:sz w:val="24"/>
                <w:szCs w:val="24"/>
              </w:rPr>
              <w:t xml:space="preserve"> </w:t>
            </w:r>
            <w:r w:rsidRPr="003D3564">
              <w:rPr>
                <w:color w:val="C00000"/>
                <w:sz w:val="24"/>
                <w:szCs w:val="24"/>
              </w:rPr>
              <w:t xml:space="preserve">PIN </w:t>
            </w:r>
            <w:r w:rsidRPr="003D3564">
              <w:rPr>
                <w:color w:val="000000" w:themeColor="text1"/>
                <w:sz w:val="24"/>
                <w:szCs w:val="24"/>
              </w:rPr>
              <w:t>smije biti poznat isključivo korisniku kartice i strogo je povjerljiv.</w:t>
            </w:r>
          </w:p>
        </w:tc>
      </w:tr>
      <w:tr w:rsidR="003D3564" w:rsidTr="003D3564">
        <w:tblPrEx>
          <w:tblLook w:val="0000" w:firstRow="0" w:lastRow="0" w:firstColumn="0" w:lastColumn="0" w:noHBand="0" w:noVBand="0"/>
        </w:tblPrEx>
        <w:trPr>
          <w:trHeight w:val="600"/>
        </w:trPr>
        <w:tc>
          <w:tcPr>
            <w:tcW w:w="1134" w:type="dxa"/>
          </w:tcPr>
          <w:p w:rsidR="003D3564" w:rsidRDefault="003D3564" w:rsidP="003D3564">
            <w:pPr>
              <w:autoSpaceDE w:val="0"/>
              <w:autoSpaceDN w:val="0"/>
              <w:adjustRightInd w:val="0"/>
              <w:spacing w:before="240"/>
              <w:jc w:val="both"/>
              <w:rPr>
                <w:color w:val="000000" w:themeColor="text1"/>
                <w:sz w:val="24"/>
                <w:szCs w:val="24"/>
              </w:rPr>
            </w:pPr>
            <w:r>
              <w:rPr>
                <w:noProof/>
                <w:lang w:eastAsia="hr-HR"/>
              </w:rPr>
              <w:drawing>
                <wp:inline distT="0" distB="0" distL="0" distR="0" wp14:anchorId="61B25D2F" wp14:editId="12ADB4F6">
                  <wp:extent cx="479892" cy="604308"/>
                  <wp:effectExtent l="0" t="0" r="0" b="5715"/>
                  <wp:docPr id="29" name="Slika 29" descr="http://assets.nicu.com.au/images/pageimages/contactlessindi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assets.nicu.com.au/images/pageimages/contactlessindicator.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82490" cy="607580"/>
                          </a:xfrm>
                          <a:prstGeom prst="rect">
                            <a:avLst/>
                          </a:prstGeom>
                          <a:noFill/>
                          <a:ln>
                            <a:noFill/>
                          </a:ln>
                        </pic:spPr>
                      </pic:pic>
                    </a:graphicData>
                  </a:graphic>
                </wp:inline>
              </w:drawing>
            </w:r>
          </w:p>
        </w:tc>
        <w:tc>
          <w:tcPr>
            <w:tcW w:w="8046" w:type="dxa"/>
            <w:gridSpan w:val="2"/>
            <w:shd w:val="clear" w:color="auto" w:fill="F2F2F2" w:themeFill="background1" w:themeFillShade="F2"/>
          </w:tcPr>
          <w:p w:rsidR="003D3564" w:rsidRPr="003D3564" w:rsidRDefault="003D3564" w:rsidP="000B46AF">
            <w:pPr>
              <w:autoSpaceDE w:val="0"/>
              <w:autoSpaceDN w:val="0"/>
              <w:adjustRightInd w:val="0"/>
              <w:spacing w:before="240" w:after="120" w:line="240" w:lineRule="auto"/>
              <w:jc w:val="both"/>
              <w:rPr>
                <w:color w:val="000000" w:themeColor="text1"/>
                <w:sz w:val="24"/>
                <w:szCs w:val="24"/>
              </w:rPr>
            </w:pPr>
            <w:r w:rsidRPr="003D3564">
              <w:rPr>
                <w:color w:val="000000" w:themeColor="text1"/>
                <w:sz w:val="24"/>
                <w:szCs w:val="24"/>
              </w:rPr>
              <w:t xml:space="preserve">Platne transakcije izvršene debitnim karticama potvrđuju se PIN-om (i u tom slučaju ne postoji mogućnost reklamacije) ili eventualno </w:t>
            </w:r>
            <w:r w:rsidR="000B46AF" w:rsidRPr="000B46AF">
              <w:rPr>
                <w:color w:val="C00000"/>
                <w:sz w:val="24"/>
                <w:szCs w:val="24"/>
              </w:rPr>
              <w:t>beskontaktno</w:t>
            </w:r>
            <w:r w:rsidR="000B46AF" w:rsidRPr="003D3564">
              <w:rPr>
                <w:color w:val="000000" w:themeColor="text1"/>
                <w:sz w:val="24"/>
                <w:szCs w:val="24"/>
              </w:rPr>
              <w:t xml:space="preserve"> </w:t>
            </w:r>
            <w:r w:rsidR="000B46AF">
              <w:rPr>
                <w:color w:val="000000" w:themeColor="text1"/>
                <w:sz w:val="24"/>
                <w:szCs w:val="24"/>
              </w:rPr>
              <w:t xml:space="preserve">– korištenjem </w:t>
            </w:r>
            <w:r w:rsidR="000B46AF" w:rsidRPr="003D3564">
              <w:rPr>
                <w:color w:val="000000" w:themeColor="text1"/>
                <w:sz w:val="24"/>
                <w:szCs w:val="24"/>
              </w:rPr>
              <w:t xml:space="preserve">payWave </w:t>
            </w:r>
            <w:r w:rsidR="000B46AF">
              <w:rPr>
                <w:color w:val="000000" w:themeColor="text1"/>
                <w:sz w:val="24"/>
                <w:szCs w:val="24"/>
              </w:rPr>
              <w:t xml:space="preserve">tehnologije </w:t>
            </w:r>
            <w:r w:rsidRPr="003D3564">
              <w:rPr>
                <w:color w:val="000000" w:themeColor="text1"/>
                <w:sz w:val="24"/>
                <w:szCs w:val="24"/>
              </w:rPr>
              <w:t>prislanjanjem kartice POS uređaju</w:t>
            </w:r>
            <w:r w:rsidR="000B46AF">
              <w:rPr>
                <w:color w:val="000000" w:themeColor="text1"/>
                <w:sz w:val="24"/>
                <w:szCs w:val="24"/>
              </w:rPr>
              <w:t xml:space="preserve"> (npr. u manjim iznosima do 100 kuna po transakciji)</w:t>
            </w:r>
            <w:r w:rsidRPr="003D3564">
              <w:rPr>
                <w:color w:val="000000" w:themeColor="text1"/>
                <w:sz w:val="24"/>
                <w:szCs w:val="24"/>
              </w:rPr>
              <w:t>.</w:t>
            </w:r>
          </w:p>
        </w:tc>
      </w:tr>
    </w:tbl>
    <w:p w:rsidR="000C409E" w:rsidRPr="000C409E" w:rsidRDefault="0014378E" w:rsidP="00EF3AAA">
      <w:pPr>
        <w:pStyle w:val="Tekstfusnote"/>
        <w:spacing w:before="240" w:after="200" w:line="276" w:lineRule="auto"/>
        <w:jc w:val="both"/>
        <w:rPr>
          <w:rFonts w:asciiTheme="minorHAnsi" w:eastAsiaTheme="minorHAnsi" w:hAnsiTheme="minorHAnsi" w:cstheme="minorBidi"/>
          <w:color w:val="000000" w:themeColor="text1"/>
          <w:sz w:val="24"/>
          <w:szCs w:val="24"/>
          <w:lang w:eastAsia="en-US"/>
        </w:rPr>
      </w:pPr>
      <w:r w:rsidRPr="000C409E">
        <w:rPr>
          <w:rFonts w:asciiTheme="minorHAnsi" w:eastAsiaTheme="minorHAnsi" w:hAnsiTheme="minorHAnsi" w:cstheme="minorBidi"/>
          <w:color w:val="000000" w:themeColor="text1"/>
          <w:sz w:val="24"/>
          <w:szCs w:val="24"/>
          <w:lang w:eastAsia="en-US"/>
        </w:rPr>
        <w:t xml:space="preserve">Prekomjerno oslanjanje na dopušteno prekoračenje te općenito stalna dostupnost novca putem debitne kartice ili mobilnog bankarstva, čest je razlog prekomjerne potrošnje, izdataka većih od planiranih, odnosno </w:t>
      </w:r>
      <w:r w:rsidRPr="000C409E">
        <w:rPr>
          <w:rFonts w:asciiTheme="minorHAnsi" w:eastAsiaTheme="minorHAnsi" w:hAnsiTheme="minorHAnsi" w:cstheme="minorBidi"/>
          <w:color w:val="C00000"/>
          <w:sz w:val="24"/>
          <w:szCs w:val="24"/>
          <w:lang w:eastAsia="en-US"/>
        </w:rPr>
        <w:t>gubitka kontrole nad vlastitim financijama</w:t>
      </w:r>
      <w:r w:rsidRPr="000C409E">
        <w:rPr>
          <w:rFonts w:asciiTheme="minorHAnsi" w:eastAsiaTheme="minorHAnsi" w:hAnsiTheme="minorHAnsi" w:cstheme="minorBidi"/>
          <w:color w:val="000000" w:themeColor="text1"/>
          <w:sz w:val="24"/>
          <w:szCs w:val="24"/>
          <w:lang w:eastAsia="en-US"/>
        </w:rPr>
        <w:t>.</w:t>
      </w:r>
      <w:r w:rsidR="000C409E" w:rsidRPr="000C409E">
        <w:rPr>
          <w:rFonts w:asciiTheme="minorHAnsi" w:eastAsiaTheme="minorHAnsi" w:hAnsiTheme="minorHAnsi" w:cstheme="minorBidi"/>
          <w:color w:val="000000" w:themeColor="text1"/>
          <w:sz w:val="24"/>
          <w:szCs w:val="24"/>
          <w:lang w:eastAsia="en-US"/>
        </w:rPr>
        <w:t xml:space="preserve"> Stoga treba svakodnevno voditi brigu o iznosima troškova koji će teretiti tekući račun, odnosno o saldu tekućeg računa, a posebno kako bi se izbjegao ulazak u nedopušteno prekoračenje (tzv. ulazak u „crveno“) jer će banka u tom slučaju zaračunati zatezne kamate, slati opomenu za nedopušteno prekoračenje, smanjiti iznos dopuštenog prekoračenja, odnosno u slučaju opomene pred tužbu ukinuti dopušteno prekoračenje.</w:t>
      </w:r>
    </w:p>
    <w:p w:rsidR="00993C0C" w:rsidRDefault="005F2F91" w:rsidP="005F2F91">
      <w:pPr>
        <w:autoSpaceDE w:val="0"/>
        <w:autoSpaceDN w:val="0"/>
        <w:adjustRightInd w:val="0"/>
        <w:jc w:val="both"/>
        <w:rPr>
          <w:color w:val="000000" w:themeColor="text1"/>
          <w:sz w:val="24"/>
          <w:szCs w:val="24"/>
        </w:rPr>
      </w:pPr>
      <w:r w:rsidRPr="00C94642">
        <w:rPr>
          <w:color w:val="000000" w:themeColor="text1"/>
          <w:sz w:val="24"/>
          <w:szCs w:val="24"/>
        </w:rPr>
        <w:t>Pored kunskih tekućih računa</w:t>
      </w:r>
      <w:r w:rsidR="000C409E">
        <w:rPr>
          <w:color w:val="000000" w:themeColor="text1"/>
          <w:sz w:val="24"/>
          <w:szCs w:val="24"/>
        </w:rPr>
        <w:t>,</w:t>
      </w:r>
      <w:r w:rsidRPr="00C94642">
        <w:rPr>
          <w:color w:val="000000" w:themeColor="text1"/>
          <w:sz w:val="24"/>
          <w:szCs w:val="24"/>
        </w:rPr>
        <w:t xml:space="preserve"> građanima su dostupni i </w:t>
      </w:r>
      <w:r w:rsidRPr="00C94642">
        <w:rPr>
          <w:color w:val="C00000"/>
          <w:sz w:val="24"/>
          <w:szCs w:val="24"/>
        </w:rPr>
        <w:t xml:space="preserve">devizni tekući računi </w:t>
      </w:r>
      <w:r w:rsidRPr="00C94642">
        <w:rPr>
          <w:color w:val="000000" w:themeColor="text1"/>
          <w:sz w:val="24"/>
          <w:szCs w:val="24"/>
        </w:rPr>
        <w:t xml:space="preserve">koji se u praksi koriste kao zamjena za polog a vista depozita na štednu knjižicu ili a vista štedni račun, ali za razliku od njih mogu se koristiti u svrhu bezgotovinskog plaćanja putem debitne platne kartice ili elektroničkog bankarstva te je također moguće podizanje gotovine na bankomatima u zemlji ili inozemstvu (u valuti zemlje u kojoj se osoba nalazi). </w:t>
      </w:r>
      <w:r w:rsidR="00C94642">
        <w:rPr>
          <w:color w:val="000000" w:themeColor="text1"/>
          <w:sz w:val="24"/>
          <w:szCs w:val="24"/>
        </w:rPr>
        <w:t>Na isto</w:t>
      </w:r>
      <w:r w:rsidR="000C409E">
        <w:rPr>
          <w:color w:val="000000" w:themeColor="text1"/>
          <w:sz w:val="24"/>
          <w:szCs w:val="24"/>
        </w:rPr>
        <w:t>m</w:t>
      </w:r>
      <w:r w:rsidR="00C94642">
        <w:rPr>
          <w:color w:val="000000" w:themeColor="text1"/>
          <w:sz w:val="24"/>
          <w:szCs w:val="24"/>
        </w:rPr>
        <w:t xml:space="preserve"> deviznom </w:t>
      </w:r>
      <w:r w:rsidR="000C409E">
        <w:rPr>
          <w:color w:val="000000" w:themeColor="text1"/>
          <w:sz w:val="24"/>
          <w:szCs w:val="24"/>
        </w:rPr>
        <w:t xml:space="preserve">tekućem </w:t>
      </w:r>
      <w:r w:rsidR="00C94642">
        <w:rPr>
          <w:color w:val="000000" w:themeColor="text1"/>
          <w:sz w:val="24"/>
          <w:szCs w:val="24"/>
        </w:rPr>
        <w:t>računu moguće je držanje deviznih depozita u različiti valutama, ali samo jedna strana valuta ima status vodeće valute</w:t>
      </w:r>
      <w:r w:rsidR="000C409E">
        <w:rPr>
          <w:color w:val="000000" w:themeColor="text1"/>
          <w:sz w:val="24"/>
          <w:szCs w:val="24"/>
        </w:rPr>
        <w:t xml:space="preserve"> i u njoj se obračunavaju plaćanja po računu</w:t>
      </w:r>
      <w:r w:rsidR="00C94642">
        <w:rPr>
          <w:color w:val="000000" w:themeColor="text1"/>
          <w:sz w:val="24"/>
          <w:szCs w:val="24"/>
        </w:rPr>
        <w:t xml:space="preserve">, npr. </w:t>
      </w:r>
      <w:r w:rsidR="00124332">
        <w:rPr>
          <w:color w:val="000000" w:themeColor="text1"/>
          <w:sz w:val="24"/>
          <w:szCs w:val="24"/>
        </w:rPr>
        <w:t xml:space="preserve">vodeća valuta može biti </w:t>
      </w:r>
      <w:r w:rsidR="00C94642">
        <w:rPr>
          <w:color w:val="000000" w:themeColor="text1"/>
          <w:sz w:val="24"/>
          <w:szCs w:val="24"/>
        </w:rPr>
        <w:t xml:space="preserve">euro. </w:t>
      </w:r>
    </w:p>
    <w:p w:rsidR="005F2F91" w:rsidRPr="00C94642" w:rsidRDefault="00124332" w:rsidP="005F2F91">
      <w:pPr>
        <w:autoSpaceDE w:val="0"/>
        <w:autoSpaceDN w:val="0"/>
        <w:adjustRightInd w:val="0"/>
        <w:jc w:val="both"/>
        <w:rPr>
          <w:color w:val="000000" w:themeColor="text1"/>
          <w:sz w:val="24"/>
          <w:szCs w:val="24"/>
        </w:rPr>
      </w:pPr>
      <w:r>
        <w:rPr>
          <w:color w:val="000000" w:themeColor="text1"/>
          <w:sz w:val="24"/>
          <w:szCs w:val="24"/>
        </w:rPr>
        <w:t>K</w:t>
      </w:r>
      <w:r w:rsidR="005F2F91" w:rsidRPr="00C94642">
        <w:rPr>
          <w:color w:val="000000" w:themeColor="text1"/>
          <w:sz w:val="24"/>
          <w:szCs w:val="24"/>
        </w:rPr>
        <w:t xml:space="preserve">ada se </w:t>
      </w:r>
      <w:r>
        <w:rPr>
          <w:color w:val="000000" w:themeColor="text1"/>
          <w:sz w:val="24"/>
          <w:szCs w:val="24"/>
        </w:rPr>
        <w:t xml:space="preserve">debitne kartice deviznih tekućih računa </w:t>
      </w:r>
      <w:r w:rsidR="005F2F91" w:rsidRPr="00C94642">
        <w:rPr>
          <w:color w:val="000000" w:themeColor="text1"/>
          <w:sz w:val="24"/>
          <w:szCs w:val="24"/>
        </w:rPr>
        <w:t xml:space="preserve">koriste kao platni </w:t>
      </w:r>
      <w:r>
        <w:rPr>
          <w:color w:val="000000" w:themeColor="text1"/>
          <w:sz w:val="24"/>
          <w:szCs w:val="24"/>
        </w:rPr>
        <w:t>instrumenti potrebno je voditi brigu</w:t>
      </w:r>
      <w:r w:rsidR="005F2F91" w:rsidRPr="00C94642">
        <w:rPr>
          <w:color w:val="000000" w:themeColor="text1"/>
          <w:sz w:val="24"/>
          <w:szCs w:val="24"/>
        </w:rPr>
        <w:t xml:space="preserve"> o tečajnim i transakcijskim troškovima koji se usporedno javljaju. Na primjer </w:t>
      </w:r>
      <w:r>
        <w:rPr>
          <w:color w:val="000000" w:themeColor="text1"/>
          <w:sz w:val="24"/>
          <w:szCs w:val="24"/>
        </w:rPr>
        <w:t>u</w:t>
      </w:r>
      <w:r w:rsidR="005F2F91" w:rsidRPr="00C94642">
        <w:rPr>
          <w:color w:val="000000" w:themeColor="text1"/>
          <w:sz w:val="24"/>
          <w:szCs w:val="24"/>
        </w:rPr>
        <w:t xml:space="preserve"> slučaju korištenja sredstava deviznog računa za plaćanja u Hrvatskoj, banka izvršava konverziju strane valute u domaću valutu (uz primjenu kupovnog deviznog tečaja za devize), </w:t>
      </w:r>
      <w:r w:rsidR="005F2F91" w:rsidRPr="00C94642">
        <w:rPr>
          <w:color w:val="000000" w:themeColor="text1"/>
          <w:sz w:val="24"/>
          <w:szCs w:val="24"/>
        </w:rPr>
        <w:lastRenderedPageBreak/>
        <w:t xml:space="preserve">a potom za odgovarajući iznos tereti devizni račun. Nasuprot tome, u slučaju korištenja kunskog transakcijskog računa za plaćanja u inozemstvu, banka tereti kunski račun za odgovarajući iznos primjenom prodajnog deviznog tečaja za efektivu. </w:t>
      </w:r>
      <w:r w:rsidR="00C94642">
        <w:rPr>
          <w:color w:val="000000" w:themeColor="text1"/>
          <w:sz w:val="24"/>
          <w:szCs w:val="24"/>
        </w:rPr>
        <w:t>U</w:t>
      </w:r>
      <w:r w:rsidR="005F2F91" w:rsidRPr="00C94642">
        <w:rPr>
          <w:color w:val="000000" w:themeColor="text1"/>
          <w:sz w:val="24"/>
          <w:szCs w:val="24"/>
        </w:rPr>
        <w:t xml:space="preserve"> slučaju plaćanja u inozemstvu, </w:t>
      </w:r>
      <w:r w:rsidR="00C94642">
        <w:rPr>
          <w:color w:val="000000" w:themeColor="text1"/>
          <w:sz w:val="24"/>
          <w:szCs w:val="24"/>
        </w:rPr>
        <w:t xml:space="preserve">npr. </w:t>
      </w:r>
      <w:r w:rsidR="005F2F91" w:rsidRPr="00C94642">
        <w:rPr>
          <w:color w:val="000000" w:themeColor="text1"/>
          <w:sz w:val="24"/>
          <w:szCs w:val="24"/>
        </w:rPr>
        <w:t xml:space="preserve">ako je euro vodeća valuta deviznog tekućeg računa, a plaćanje se izvršava u američkim dolarima - banka tereti devizni račun primjenom kupovnog i prodajnog deviznog </w:t>
      </w:r>
      <w:r w:rsidR="00C94642">
        <w:rPr>
          <w:color w:val="000000" w:themeColor="text1"/>
          <w:sz w:val="24"/>
          <w:szCs w:val="24"/>
        </w:rPr>
        <w:t>tečaja</w:t>
      </w:r>
      <w:r>
        <w:rPr>
          <w:color w:val="000000" w:themeColor="text1"/>
          <w:sz w:val="24"/>
          <w:szCs w:val="24"/>
        </w:rPr>
        <w:t>.</w:t>
      </w:r>
      <w:r w:rsidR="00C94642">
        <w:rPr>
          <w:color w:val="000000" w:themeColor="text1"/>
          <w:sz w:val="24"/>
          <w:szCs w:val="24"/>
        </w:rPr>
        <w:t xml:space="preserve"> (</w:t>
      </w:r>
      <w:r>
        <w:rPr>
          <w:color w:val="000000" w:themeColor="text1"/>
          <w:sz w:val="24"/>
          <w:szCs w:val="24"/>
        </w:rPr>
        <w:t>T</w:t>
      </w:r>
      <w:r w:rsidR="005F2F91" w:rsidRPr="00C94642">
        <w:rPr>
          <w:color w:val="000000" w:themeColor="text1"/>
          <w:sz w:val="24"/>
          <w:szCs w:val="24"/>
        </w:rPr>
        <w:t xml:space="preserve">ransakcije </w:t>
      </w:r>
      <w:r>
        <w:rPr>
          <w:color w:val="000000" w:themeColor="text1"/>
          <w:sz w:val="24"/>
          <w:szCs w:val="24"/>
        </w:rPr>
        <w:t xml:space="preserve">se </w:t>
      </w:r>
      <w:r w:rsidR="005F2F91" w:rsidRPr="00C94642">
        <w:rPr>
          <w:color w:val="000000" w:themeColor="text1"/>
          <w:sz w:val="24"/>
          <w:szCs w:val="24"/>
        </w:rPr>
        <w:t>pojedinačno prov</w:t>
      </w:r>
      <w:r>
        <w:rPr>
          <w:color w:val="000000" w:themeColor="text1"/>
          <w:sz w:val="24"/>
          <w:szCs w:val="24"/>
        </w:rPr>
        <w:t>ode</w:t>
      </w:r>
      <w:r w:rsidR="005F2F91" w:rsidRPr="00C94642">
        <w:rPr>
          <w:color w:val="000000" w:themeColor="text1"/>
          <w:sz w:val="24"/>
          <w:szCs w:val="24"/>
        </w:rPr>
        <w:t xml:space="preserve"> u paru kuna-američki dolar uz prodajni tečaj i valutnom paru kuna-euro za kupovni tečaj, </w:t>
      </w:r>
      <w:r w:rsidR="00C94642">
        <w:rPr>
          <w:color w:val="000000" w:themeColor="text1"/>
          <w:sz w:val="24"/>
          <w:szCs w:val="24"/>
        </w:rPr>
        <w:t xml:space="preserve">što </w:t>
      </w:r>
      <w:r w:rsidR="005F2F91" w:rsidRPr="00C94642">
        <w:rPr>
          <w:color w:val="000000" w:themeColor="text1"/>
          <w:sz w:val="24"/>
          <w:szCs w:val="24"/>
        </w:rPr>
        <w:t xml:space="preserve">za klijenta se </w:t>
      </w:r>
      <w:r w:rsidR="00C94642">
        <w:rPr>
          <w:color w:val="000000" w:themeColor="text1"/>
          <w:sz w:val="24"/>
          <w:szCs w:val="24"/>
        </w:rPr>
        <w:t xml:space="preserve">stvara </w:t>
      </w:r>
      <w:r w:rsidR="005F2F91" w:rsidRPr="00C94642">
        <w:rPr>
          <w:color w:val="000000" w:themeColor="text1"/>
          <w:sz w:val="24"/>
          <w:szCs w:val="24"/>
        </w:rPr>
        <w:t>dodatn</w:t>
      </w:r>
      <w:r w:rsidR="00C94642">
        <w:rPr>
          <w:color w:val="000000" w:themeColor="text1"/>
          <w:sz w:val="24"/>
          <w:szCs w:val="24"/>
        </w:rPr>
        <w:t>e</w:t>
      </w:r>
      <w:r w:rsidR="005F2F91" w:rsidRPr="00C94642">
        <w:rPr>
          <w:color w:val="000000" w:themeColor="text1"/>
          <w:sz w:val="24"/>
          <w:szCs w:val="24"/>
        </w:rPr>
        <w:t xml:space="preserve"> troškov</w:t>
      </w:r>
      <w:r w:rsidR="00C94642">
        <w:rPr>
          <w:color w:val="000000" w:themeColor="text1"/>
          <w:sz w:val="24"/>
          <w:szCs w:val="24"/>
        </w:rPr>
        <w:t>e</w:t>
      </w:r>
      <w:r>
        <w:rPr>
          <w:color w:val="000000" w:themeColor="text1"/>
          <w:sz w:val="24"/>
          <w:szCs w:val="24"/>
        </w:rPr>
        <w:t>.</w:t>
      </w:r>
      <w:r w:rsidR="00C94642">
        <w:rPr>
          <w:color w:val="000000" w:themeColor="text1"/>
          <w:sz w:val="24"/>
          <w:szCs w:val="24"/>
        </w:rPr>
        <w:t>)</w:t>
      </w:r>
      <w:r w:rsidR="00993C0C" w:rsidRPr="00993C0C">
        <w:rPr>
          <w:sz w:val="24"/>
          <w:szCs w:val="24"/>
          <w:vertAlign w:val="superscript"/>
        </w:rPr>
        <w:t xml:space="preserve"> </w:t>
      </w:r>
      <w:r w:rsidR="00993C0C" w:rsidRPr="00F4562D">
        <w:rPr>
          <w:sz w:val="24"/>
          <w:szCs w:val="24"/>
          <w:vertAlign w:val="superscript"/>
        </w:rPr>
        <w:footnoteReference w:id="62"/>
      </w:r>
      <w:r w:rsidR="005F2F91" w:rsidRPr="00C94642">
        <w:rPr>
          <w:color w:val="000000" w:themeColor="text1"/>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5F2F91" w:rsidRPr="00472427" w:rsidTr="005F2F91">
        <w:tc>
          <w:tcPr>
            <w:tcW w:w="9072" w:type="dxa"/>
            <w:shd w:val="clear" w:color="auto" w:fill="F2F2F2" w:themeFill="background1" w:themeFillShade="F2"/>
          </w:tcPr>
          <w:p w:rsidR="005F2F91" w:rsidRPr="00C94642" w:rsidRDefault="005F2F91" w:rsidP="00E763CE">
            <w:pPr>
              <w:autoSpaceDE w:val="0"/>
              <w:autoSpaceDN w:val="0"/>
              <w:adjustRightInd w:val="0"/>
              <w:jc w:val="both"/>
              <w:rPr>
                <w:sz w:val="24"/>
                <w:szCs w:val="24"/>
              </w:rPr>
            </w:pPr>
            <w:r w:rsidRPr="00C94642">
              <w:rPr>
                <w:sz w:val="24"/>
                <w:szCs w:val="24"/>
              </w:rPr>
              <w:t xml:space="preserve">Pojam </w:t>
            </w:r>
            <w:r w:rsidRPr="00C94642">
              <w:rPr>
                <w:color w:val="C00000"/>
                <w:sz w:val="24"/>
                <w:szCs w:val="24"/>
              </w:rPr>
              <w:t>devizni tečaj</w:t>
            </w:r>
            <w:r w:rsidRPr="00C94642">
              <w:rPr>
                <w:b/>
                <w:color w:val="C00000"/>
                <w:sz w:val="24"/>
                <w:szCs w:val="24"/>
              </w:rPr>
              <w:t xml:space="preserve"> </w:t>
            </w:r>
            <w:r w:rsidRPr="00C94642">
              <w:rPr>
                <w:sz w:val="24"/>
                <w:szCs w:val="24"/>
              </w:rPr>
              <w:t>označava odnos vrijednosti između dviju valuta. U deviznim poslovima banaka uobičajeno se dijeli na:</w:t>
            </w:r>
          </w:p>
          <w:p w:rsidR="005F2F91" w:rsidRPr="00C94642" w:rsidRDefault="005F2F91" w:rsidP="006F1C04">
            <w:pPr>
              <w:numPr>
                <w:ilvl w:val="0"/>
                <w:numId w:val="48"/>
              </w:numPr>
              <w:autoSpaceDE w:val="0"/>
              <w:autoSpaceDN w:val="0"/>
              <w:adjustRightInd w:val="0"/>
              <w:spacing w:after="0" w:line="240" w:lineRule="auto"/>
              <w:jc w:val="both"/>
              <w:rPr>
                <w:sz w:val="24"/>
                <w:szCs w:val="24"/>
              </w:rPr>
            </w:pPr>
            <w:r w:rsidRPr="00C94642">
              <w:rPr>
                <w:sz w:val="24"/>
                <w:szCs w:val="24"/>
              </w:rPr>
              <w:t xml:space="preserve">kupovni i prodajni tečaj za efektivu (strane novčanice) </w:t>
            </w:r>
          </w:p>
          <w:p w:rsidR="005F2F91" w:rsidRPr="00C94642" w:rsidRDefault="005F2F91" w:rsidP="006F1C04">
            <w:pPr>
              <w:numPr>
                <w:ilvl w:val="0"/>
                <w:numId w:val="48"/>
              </w:numPr>
              <w:autoSpaceDE w:val="0"/>
              <w:autoSpaceDN w:val="0"/>
              <w:adjustRightInd w:val="0"/>
              <w:spacing w:after="0" w:line="240" w:lineRule="auto"/>
              <w:jc w:val="both"/>
              <w:rPr>
                <w:sz w:val="24"/>
                <w:szCs w:val="24"/>
              </w:rPr>
            </w:pPr>
            <w:r w:rsidRPr="00C94642">
              <w:rPr>
                <w:sz w:val="24"/>
                <w:szCs w:val="24"/>
              </w:rPr>
              <w:t>kupovni i prodajni tečaj za devize (potraživanja koja glase na stranu valutu)</w:t>
            </w:r>
          </w:p>
          <w:p w:rsidR="005F2F91" w:rsidRPr="00C94642" w:rsidRDefault="005F2F91" w:rsidP="006F1C04">
            <w:pPr>
              <w:numPr>
                <w:ilvl w:val="0"/>
                <w:numId w:val="48"/>
              </w:numPr>
              <w:autoSpaceDE w:val="0"/>
              <w:autoSpaceDN w:val="0"/>
              <w:adjustRightInd w:val="0"/>
              <w:spacing w:after="0" w:line="240" w:lineRule="auto"/>
              <w:jc w:val="both"/>
              <w:rPr>
                <w:sz w:val="24"/>
                <w:szCs w:val="24"/>
              </w:rPr>
            </w:pPr>
            <w:r w:rsidRPr="00C94642">
              <w:rPr>
                <w:sz w:val="24"/>
                <w:szCs w:val="24"/>
              </w:rPr>
              <w:t xml:space="preserve">te srednji (koristi se rijetko, kao povlašteni tečaj za transakcije u većim iznosima). </w:t>
            </w:r>
          </w:p>
          <w:p w:rsidR="005F2F91" w:rsidRPr="00C94642" w:rsidRDefault="005F2F91" w:rsidP="005F2F91">
            <w:pPr>
              <w:pStyle w:val="Tekstfusnote"/>
              <w:spacing w:before="240"/>
              <w:jc w:val="both"/>
              <w:rPr>
                <w:rFonts w:asciiTheme="minorHAnsi" w:hAnsiTheme="minorHAnsi"/>
                <w:sz w:val="24"/>
                <w:szCs w:val="24"/>
              </w:rPr>
            </w:pPr>
            <w:r w:rsidRPr="00C94642">
              <w:rPr>
                <w:rFonts w:asciiTheme="minorHAnsi" w:hAnsiTheme="minorHAnsi"/>
                <w:color w:val="C00000"/>
                <w:sz w:val="24"/>
                <w:szCs w:val="24"/>
              </w:rPr>
              <w:t>Kupovni</w:t>
            </w:r>
            <w:r w:rsidRPr="00C94642">
              <w:rPr>
                <w:rFonts w:asciiTheme="minorHAnsi" w:hAnsiTheme="minorHAnsi"/>
                <w:i/>
                <w:color w:val="000080"/>
                <w:sz w:val="24"/>
                <w:szCs w:val="24"/>
              </w:rPr>
              <w:t xml:space="preserve"> </w:t>
            </w:r>
            <w:r w:rsidRPr="00C94642">
              <w:rPr>
                <w:rFonts w:asciiTheme="minorHAnsi" w:hAnsiTheme="minorHAnsi"/>
                <w:sz w:val="24"/>
                <w:szCs w:val="24"/>
              </w:rPr>
              <w:t xml:space="preserve">(niži) tečaj banka primjenjuje pri kupnji strane valute/deviza od klijenata (i prodaji kuna), dok </w:t>
            </w:r>
            <w:r w:rsidRPr="00C94642">
              <w:rPr>
                <w:rFonts w:asciiTheme="minorHAnsi" w:hAnsiTheme="minorHAnsi"/>
                <w:color w:val="C00000"/>
                <w:sz w:val="24"/>
                <w:szCs w:val="24"/>
              </w:rPr>
              <w:t>prodajni</w:t>
            </w:r>
            <w:r w:rsidRPr="00C94642">
              <w:rPr>
                <w:rFonts w:asciiTheme="minorHAnsi" w:hAnsiTheme="minorHAnsi"/>
                <w:sz w:val="24"/>
                <w:szCs w:val="24"/>
              </w:rPr>
              <w:t xml:space="preserve"> viši tečaj primjenjuje pri prodaji strane valute/deviza klijentima (uz kupnju kuna). </w:t>
            </w:r>
          </w:p>
          <w:p w:rsidR="005F2F91" w:rsidRDefault="005F2F91" w:rsidP="00E763CE">
            <w:pPr>
              <w:pStyle w:val="Tekstfusnote"/>
              <w:jc w:val="both"/>
              <w:rPr>
                <w:sz w:val="24"/>
                <w:szCs w:val="24"/>
              </w:rPr>
            </w:pP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5"/>
              <w:gridCol w:w="986"/>
              <w:gridCol w:w="1722"/>
              <w:gridCol w:w="1015"/>
              <w:gridCol w:w="1362"/>
              <w:gridCol w:w="1083"/>
              <w:gridCol w:w="1733"/>
            </w:tblGrid>
            <w:tr w:rsidR="005F2F91" w:rsidRPr="00766D28" w:rsidTr="00C94642">
              <w:trPr>
                <w:tblHeader/>
                <w:tblCellSpacing w:w="0" w:type="dxa"/>
              </w:trPr>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OZNAKA</w:t>
                  </w:r>
                  <w:r w:rsidRPr="0091519B">
                    <w:rPr>
                      <w:b/>
                      <w:bCs/>
                      <w:sz w:val="20"/>
                      <w:szCs w:val="20"/>
                    </w:rPr>
                    <w:br/>
                    <w:t>VALUTE</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JEDINICA</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KUPOVNI</w:t>
                  </w:r>
                  <w:r w:rsidRPr="0091519B">
                    <w:rPr>
                      <w:b/>
                      <w:bCs/>
                      <w:sz w:val="20"/>
                      <w:szCs w:val="20"/>
                    </w:rPr>
                    <w:br/>
                    <w:t>za efektivu i čekove</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KUPOVNI</w:t>
                  </w:r>
                  <w:r w:rsidRPr="0091519B">
                    <w:rPr>
                      <w:b/>
                      <w:bCs/>
                      <w:sz w:val="20"/>
                      <w:szCs w:val="20"/>
                    </w:rPr>
                    <w:br/>
                    <w:t>za devize</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SREDNJI TEČAJ</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PRODAJNI</w:t>
                  </w:r>
                  <w:r w:rsidRPr="0091519B">
                    <w:rPr>
                      <w:b/>
                      <w:bCs/>
                      <w:sz w:val="20"/>
                      <w:szCs w:val="20"/>
                    </w:rPr>
                    <w:br/>
                    <w:t>za devize</w:t>
                  </w:r>
                </w:p>
              </w:tc>
              <w:tc>
                <w:tcPr>
                  <w:tcW w:w="0" w:type="auto"/>
                  <w:shd w:val="clear" w:color="auto" w:fill="C6D9F1" w:themeFill="text2" w:themeFillTint="33"/>
                  <w:tcMar>
                    <w:top w:w="105" w:type="dxa"/>
                    <w:left w:w="105" w:type="dxa"/>
                    <w:bottom w:w="105" w:type="dxa"/>
                    <w:right w:w="105" w:type="dxa"/>
                  </w:tcMar>
                  <w:vAlign w:val="center"/>
                </w:tcPr>
                <w:p w:rsidR="005F2F91" w:rsidRPr="0091519B" w:rsidRDefault="005F2F91" w:rsidP="00E763CE">
                  <w:pPr>
                    <w:jc w:val="center"/>
                    <w:rPr>
                      <w:b/>
                      <w:bCs/>
                      <w:sz w:val="20"/>
                      <w:szCs w:val="20"/>
                    </w:rPr>
                  </w:pPr>
                  <w:r w:rsidRPr="0091519B">
                    <w:rPr>
                      <w:b/>
                      <w:bCs/>
                      <w:sz w:val="20"/>
                      <w:szCs w:val="20"/>
                    </w:rPr>
                    <w:t>PRODAJNI</w:t>
                  </w:r>
                  <w:r w:rsidRPr="0091519B">
                    <w:rPr>
                      <w:b/>
                      <w:bCs/>
                      <w:sz w:val="20"/>
                      <w:szCs w:val="20"/>
                    </w:rPr>
                    <w:br/>
                    <w:t>za efektivu i čekove</w:t>
                  </w:r>
                </w:p>
              </w:tc>
            </w:tr>
            <w:tr w:rsidR="005F2F91" w:rsidRPr="00766D28" w:rsidTr="00C94642">
              <w:trPr>
                <w:tblCellSpacing w:w="0" w:type="dxa"/>
              </w:trPr>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 xml:space="preserve">GBP </w:t>
                  </w:r>
                </w:p>
              </w:tc>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1</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9,978533</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10,130490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10,300950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10,586362</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10,776815</w:t>
                  </w:r>
                </w:p>
              </w:tc>
            </w:tr>
            <w:tr w:rsidR="005F2F91" w:rsidRPr="00766D28" w:rsidTr="00C94642">
              <w:trPr>
                <w:tblCellSpacing w:w="0" w:type="dxa"/>
              </w:trPr>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 xml:space="preserve">USD </w:t>
                  </w:r>
                </w:p>
              </w:tc>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1</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6,488619</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6,554160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6,687126</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6,947410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7,007708</w:t>
                  </w:r>
                </w:p>
              </w:tc>
            </w:tr>
            <w:tr w:rsidR="005F2F91" w:rsidRPr="00766D28" w:rsidTr="00C94642">
              <w:trPr>
                <w:tblCellSpacing w:w="0" w:type="dxa"/>
              </w:trPr>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 xml:space="preserve">EUR </w:t>
                  </w:r>
                </w:p>
              </w:tc>
              <w:tc>
                <w:tcPr>
                  <w:tcW w:w="0" w:type="auto"/>
                  <w:shd w:val="clear" w:color="auto" w:fill="C6D9F1" w:themeFill="text2" w:themeFillTint="33"/>
                  <w:vAlign w:val="center"/>
                </w:tcPr>
                <w:p w:rsidR="005F2F91" w:rsidRPr="00124332" w:rsidRDefault="005F2F91" w:rsidP="00E763CE">
                  <w:pPr>
                    <w:spacing w:line="420" w:lineRule="atLeast"/>
                    <w:jc w:val="center"/>
                    <w:rPr>
                      <w:sz w:val="20"/>
                      <w:szCs w:val="20"/>
                    </w:rPr>
                  </w:pPr>
                  <w:r w:rsidRPr="00124332">
                    <w:rPr>
                      <w:sz w:val="20"/>
                      <w:szCs w:val="20"/>
                    </w:rPr>
                    <w:t>1</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7,505000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7,515000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7,544416</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7,615000</w:t>
                  </w:r>
                </w:p>
              </w:tc>
              <w:tc>
                <w:tcPr>
                  <w:tcW w:w="0" w:type="auto"/>
                  <w:shd w:val="clear" w:color="auto" w:fill="C6D9F1" w:themeFill="text2" w:themeFillTint="33"/>
                  <w:vAlign w:val="center"/>
                </w:tcPr>
                <w:p w:rsidR="005F2F91" w:rsidRPr="00124332" w:rsidRDefault="005F2F91" w:rsidP="005F2F91">
                  <w:pPr>
                    <w:spacing w:line="270" w:lineRule="atLeast"/>
                    <w:jc w:val="center"/>
                    <w:rPr>
                      <w:rFonts w:cs="Arial"/>
                      <w:color w:val="555555"/>
                      <w:sz w:val="20"/>
                      <w:szCs w:val="20"/>
                    </w:rPr>
                  </w:pPr>
                  <w:r w:rsidRPr="00124332">
                    <w:rPr>
                      <w:rFonts w:cs="Arial"/>
                      <w:color w:val="555555"/>
                      <w:sz w:val="20"/>
                      <w:szCs w:val="20"/>
                    </w:rPr>
                    <w:t>7,625000</w:t>
                  </w:r>
                </w:p>
              </w:tc>
            </w:tr>
          </w:tbl>
          <w:p w:rsidR="005F2F91" w:rsidRPr="00472427" w:rsidRDefault="005F2F91" w:rsidP="003D3564">
            <w:pPr>
              <w:autoSpaceDE w:val="0"/>
              <w:autoSpaceDN w:val="0"/>
              <w:adjustRightInd w:val="0"/>
              <w:spacing w:line="240" w:lineRule="auto"/>
              <w:jc w:val="both"/>
              <w:rPr>
                <w:b/>
              </w:rPr>
            </w:pPr>
          </w:p>
        </w:tc>
      </w:tr>
    </w:tbl>
    <w:p w:rsidR="005F2F91" w:rsidRDefault="00C94642" w:rsidP="00124332">
      <w:pPr>
        <w:pStyle w:val="Tekstfusnote"/>
        <w:spacing w:before="240" w:after="200" w:line="276" w:lineRule="auto"/>
        <w:jc w:val="both"/>
        <w:rPr>
          <w:rFonts w:asciiTheme="minorHAnsi" w:eastAsiaTheme="minorHAnsi" w:hAnsiTheme="minorHAnsi" w:cstheme="minorBidi"/>
          <w:color w:val="000000" w:themeColor="text1"/>
          <w:sz w:val="24"/>
          <w:szCs w:val="24"/>
          <w:lang w:eastAsia="en-US"/>
        </w:rPr>
      </w:pPr>
      <w:r w:rsidRPr="00C94642">
        <w:rPr>
          <w:rFonts w:asciiTheme="minorHAnsi" w:eastAsiaTheme="minorHAnsi" w:hAnsiTheme="minorHAnsi" w:cstheme="minorBidi"/>
          <w:color w:val="000000" w:themeColor="text1"/>
          <w:sz w:val="24"/>
          <w:szCs w:val="24"/>
          <w:lang w:eastAsia="en-US"/>
        </w:rPr>
        <w:t xml:space="preserve">Osobe koja ostvaruju </w:t>
      </w:r>
      <w:r w:rsidRPr="00C94642">
        <w:rPr>
          <w:rFonts w:asciiTheme="minorHAnsi" w:eastAsiaTheme="minorHAnsi" w:hAnsiTheme="minorHAnsi" w:cstheme="minorBidi"/>
          <w:color w:val="C00000"/>
          <w:sz w:val="24"/>
          <w:szCs w:val="24"/>
          <w:lang w:eastAsia="en-US"/>
        </w:rPr>
        <w:t xml:space="preserve">specifična primanja obuhvaćena poreznim nadzorom </w:t>
      </w:r>
      <w:r w:rsidRPr="00C94642">
        <w:rPr>
          <w:rFonts w:asciiTheme="minorHAnsi" w:eastAsiaTheme="minorHAnsi" w:hAnsiTheme="minorHAnsi" w:cstheme="minorBidi"/>
          <w:color w:val="000000" w:themeColor="text1"/>
          <w:sz w:val="24"/>
          <w:szCs w:val="24"/>
          <w:lang w:eastAsia="en-US"/>
        </w:rPr>
        <w:t xml:space="preserve">(npr. ostvaruju drugi dohodak, poput autorskih honorara, naknada članovima nadzornih odbora i slično) za primitak uplata i izvršavanje platnih transakcija (isplata, prijenosa) trebaju otvoriti </w:t>
      </w:r>
      <w:r w:rsidRPr="00C94642">
        <w:rPr>
          <w:rFonts w:asciiTheme="minorHAnsi" w:eastAsiaTheme="minorHAnsi" w:hAnsiTheme="minorHAnsi" w:cstheme="minorBidi"/>
          <w:color w:val="C00000"/>
          <w:sz w:val="24"/>
          <w:szCs w:val="24"/>
          <w:lang w:eastAsia="en-US"/>
        </w:rPr>
        <w:t>žiro račun</w:t>
      </w:r>
      <w:r>
        <w:rPr>
          <w:rFonts w:asciiTheme="minorHAnsi" w:eastAsiaTheme="minorHAnsi" w:hAnsiTheme="minorHAnsi" w:cstheme="minorBidi"/>
          <w:color w:val="C00000"/>
          <w:sz w:val="24"/>
          <w:szCs w:val="24"/>
          <w:lang w:eastAsia="en-US"/>
        </w:rPr>
        <w:t xml:space="preserve"> </w:t>
      </w:r>
      <w:r w:rsidRPr="00C94642">
        <w:rPr>
          <w:rFonts w:asciiTheme="minorHAnsi" w:eastAsiaTheme="minorHAnsi" w:hAnsiTheme="minorHAnsi" w:cstheme="minorBidi"/>
          <w:sz w:val="24"/>
          <w:szCs w:val="24"/>
          <w:lang w:eastAsia="en-US"/>
        </w:rPr>
        <w:t xml:space="preserve">(kunski ili eventualno devizni ako se radi o primicima plaćanja iz inozemstva iako nije nužno). </w:t>
      </w:r>
      <w:r>
        <w:rPr>
          <w:rFonts w:asciiTheme="minorHAnsi" w:eastAsiaTheme="minorHAnsi" w:hAnsiTheme="minorHAnsi" w:cstheme="minorBidi"/>
          <w:color w:val="000000" w:themeColor="text1"/>
          <w:sz w:val="24"/>
          <w:szCs w:val="24"/>
          <w:lang w:eastAsia="en-US"/>
        </w:rPr>
        <w:t>S obzirom da se radi o računu za plaćanje</w:t>
      </w:r>
      <w:r w:rsidR="009B40D9">
        <w:rPr>
          <w:rFonts w:asciiTheme="minorHAnsi" w:eastAsiaTheme="minorHAnsi" w:hAnsiTheme="minorHAnsi" w:cstheme="minorBidi"/>
          <w:color w:val="000000" w:themeColor="text1"/>
          <w:sz w:val="24"/>
          <w:szCs w:val="24"/>
          <w:lang w:eastAsia="en-US"/>
        </w:rPr>
        <w:t>,</w:t>
      </w:r>
      <w:r>
        <w:rPr>
          <w:rFonts w:asciiTheme="minorHAnsi" w:eastAsiaTheme="minorHAnsi" w:hAnsiTheme="minorHAnsi" w:cstheme="minorBidi"/>
          <w:color w:val="000000" w:themeColor="text1"/>
          <w:sz w:val="24"/>
          <w:szCs w:val="24"/>
          <w:lang w:eastAsia="en-US"/>
        </w:rPr>
        <w:t xml:space="preserve"> transakcije se izvršavaju na isti način putem </w:t>
      </w:r>
      <w:r w:rsidRPr="001D77EC">
        <w:rPr>
          <w:rFonts w:asciiTheme="minorHAnsi" w:eastAsiaTheme="minorHAnsi" w:hAnsiTheme="minorHAnsi" w:cstheme="minorBidi"/>
          <w:color w:val="000000" w:themeColor="text1"/>
          <w:sz w:val="24"/>
          <w:szCs w:val="24"/>
          <w:lang w:eastAsia="en-US"/>
        </w:rPr>
        <w:t xml:space="preserve">debitne kartice ili elektroničkog bankarstva kao u slučaju tekućeg računa. </w:t>
      </w:r>
    </w:p>
    <w:p w:rsidR="009B40D9" w:rsidRPr="001205BE" w:rsidRDefault="009B40D9" w:rsidP="00993C0C">
      <w:pPr>
        <w:widowControl w:val="0"/>
        <w:overflowPunct w:val="0"/>
        <w:autoSpaceDE w:val="0"/>
        <w:autoSpaceDN w:val="0"/>
        <w:adjustRightInd w:val="0"/>
        <w:spacing w:before="240"/>
        <w:jc w:val="both"/>
        <w:rPr>
          <w:b/>
          <w:bCs/>
          <w:sz w:val="24"/>
          <w:szCs w:val="24"/>
        </w:rPr>
      </w:pPr>
      <w:r w:rsidRPr="001205BE">
        <w:rPr>
          <w:b/>
          <w:bCs/>
          <w:sz w:val="24"/>
          <w:szCs w:val="24"/>
        </w:rPr>
        <w:t>4.2.</w:t>
      </w:r>
      <w:r>
        <w:rPr>
          <w:b/>
          <w:bCs/>
          <w:sz w:val="24"/>
          <w:szCs w:val="24"/>
        </w:rPr>
        <w:t>2. Prepaid platne kartice</w:t>
      </w:r>
    </w:p>
    <w:p w:rsidR="006A59B6" w:rsidRDefault="001701E9" w:rsidP="001D77EC">
      <w:pPr>
        <w:pStyle w:val="StandardWeb"/>
        <w:spacing w:before="0" w:beforeAutospacing="0" w:after="200" w:afterAutospacing="0" w:line="276" w:lineRule="auto"/>
        <w:jc w:val="both"/>
        <w:rPr>
          <w:rFonts w:asciiTheme="minorHAnsi" w:eastAsiaTheme="minorHAnsi" w:hAnsiTheme="minorHAnsi" w:cstheme="minorBidi"/>
          <w:color w:val="000000" w:themeColor="text1"/>
          <w:lang w:eastAsia="en-US"/>
        </w:rPr>
      </w:pPr>
      <w:r w:rsidRPr="001D77EC">
        <w:rPr>
          <w:rFonts w:asciiTheme="minorHAnsi" w:eastAsiaTheme="minorHAnsi" w:hAnsiTheme="minorHAnsi" w:cstheme="minorBidi"/>
          <w:color w:val="000000" w:themeColor="text1"/>
          <w:lang w:eastAsia="en-US"/>
        </w:rPr>
        <w:t xml:space="preserve">Posebnu vrstu kartičnog proizvoda predstavljaju </w:t>
      </w:r>
      <w:r w:rsidRPr="001D77EC">
        <w:rPr>
          <w:rFonts w:asciiTheme="minorHAnsi" w:eastAsiaTheme="minorHAnsi" w:hAnsiTheme="minorHAnsi" w:cstheme="minorBidi"/>
          <w:color w:val="C00000"/>
          <w:lang w:eastAsia="en-US"/>
        </w:rPr>
        <w:t xml:space="preserve">prepaid </w:t>
      </w:r>
      <w:r w:rsidR="009B40D9">
        <w:rPr>
          <w:rFonts w:asciiTheme="minorHAnsi" w:eastAsiaTheme="minorHAnsi" w:hAnsiTheme="minorHAnsi" w:cstheme="minorBidi"/>
          <w:color w:val="C00000"/>
          <w:lang w:eastAsia="en-US"/>
        </w:rPr>
        <w:t xml:space="preserve">platne </w:t>
      </w:r>
      <w:r w:rsidRPr="001D77EC">
        <w:rPr>
          <w:rFonts w:asciiTheme="minorHAnsi" w:eastAsiaTheme="minorHAnsi" w:hAnsiTheme="minorHAnsi" w:cstheme="minorBidi"/>
          <w:color w:val="C00000"/>
          <w:lang w:eastAsia="en-US"/>
        </w:rPr>
        <w:t xml:space="preserve">kartice </w:t>
      </w:r>
      <w:r w:rsidRPr="001D77EC">
        <w:rPr>
          <w:rFonts w:asciiTheme="minorHAnsi" w:eastAsiaTheme="minorHAnsi" w:hAnsiTheme="minorHAnsi" w:cstheme="minorBidi"/>
          <w:color w:val="000000" w:themeColor="text1"/>
          <w:lang w:eastAsia="en-US"/>
        </w:rPr>
        <w:t xml:space="preserve">koje </w:t>
      </w:r>
      <w:r w:rsidR="001D77EC" w:rsidRPr="009B40D9">
        <w:rPr>
          <w:rFonts w:asciiTheme="minorHAnsi" w:eastAsiaTheme="minorHAnsi" w:hAnsiTheme="minorHAnsi" w:cstheme="minorBidi"/>
          <w:color w:val="C00000"/>
          <w:lang w:eastAsia="en-US"/>
        </w:rPr>
        <w:t>(</w:t>
      </w:r>
      <w:r w:rsidRPr="00AE402F">
        <w:rPr>
          <w:rFonts w:asciiTheme="minorHAnsi" w:eastAsiaTheme="minorHAnsi" w:hAnsiTheme="minorHAnsi" w:cstheme="minorBidi"/>
          <w:lang w:eastAsia="en-US"/>
        </w:rPr>
        <w:t>slično kao i debitne kartice</w:t>
      </w:r>
      <w:r w:rsidR="001D77EC" w:rsidRPr="00AE402F">
        <w:rPr>
          <w:rFonts w:asciiTheme="minorHAnsi" w:eastAsiaTheme="minorHAnsi" w:hAnsiTheme="minorHAnsi" w:cstheme="minorBidi"/>
          <w:lang w:eastAsia="en-US"/>
        </w:rPr>
        <w:t>)</w:t>
      </w:r>
      <w:r w:rsidRPr="009B40D9">
        <w:rPr>
          <w:rFonts w:asciiTheme="minorHAnsi" w:eastAsiaTheme="minorHAnsi" w:hAnsiTheme="minorHAnsi" w:cstheme="minorBidi"/>
          <w:color w:val="C00000"/>
          <w:lang w:eastAsia="en-US"/>
        </w:rPr>
        <w:t xml:space="preserve"> uvjetuj</w:t>
      </w:r>
      <w:r w:rsidR="001D77EC" w:rsidRPr="009B40D9">
        <w:rPr>
          <w:rFonts w:asciiTheme="minorHAnsi" w:eastAsiaTheme="minorHAnsi" w:hAnsiTheme="minorHAnsi" w:cstheme="minorBidi"/>
          <w:color w:val="C00000"/>
          <w:lang w:eastAsia="en-US"/>
        </w:rPr>
        <w:t>u</w:t>
      </w:r>
      <w:r w:rsidRPr="009B40D9">
        <w:rPr>
          <w:rFonts w:asciiTheme="minorHAnsi" w:eastAsiaTheme="minorHAnsi" w:hAnsiTheme="minorHAnsi" w:cstheme="minorBidi"/>
          <w:color w:val="C00000"/>
          <w:lang w:eastAsia="en-US"/>
        </w:rPr>
        <w:t xml:space="preserve"> korisniku osigurano pokriće za izvršenje transakcije prije njezina </w:t>
      </w:r>
      <w:r w:rsidRPr="009B40D9">
        <w:rPr>
          <w:rFonts w:asciiTheme="minorHAnsi" w:eastAsiaTheme="minorHAnsi" w:hAnsiTheme="minorHAnsi" w:cstheme="minorBidi"/>
          <w:color w:val="C00000"/>
          <w:lang w:eastAsia="en-US"/>
        </w:rPr>
        <w:lastRenderedPageBreak/>
        <w:t>zadavanja</w:t>
      </w:r>
      <w:r w:rsidRPr="001D77EC">
        <w:rPr>
          <w:rFonts w:asciiTheme="minorHAnsi" w:eastAsiaTheme="minorHAnsi" w:hAnsiTheme="minorHAnsi" w:cstheme="minorBidi"/>
          <w:color w:val="000000" w:themeColor="text1"/>
          <w:lang w:eastAsia="en-US"/>
        </w:rPr>
        <w:t xml:space="preserve">, ali se </w:t>
      </w:r>
      <w:r w:rsidR="001D77EC">
        <w:rPr>
          <w:rFonts w:asciiTheme="minorHAnsi" w:eastAsiaTheme="minorHAnsi" w:hAnsiTheme="minorHAnsi" w:cstheme="minorBidi"/>
          <w:color w:val="000000" w:themeColor="text1"/>
          <w:lang w:eastAsia="en-US"/>
        </w:rPr>
        <w:t xml:space="preserve">od debitnih kartica </w:t>
      </w:r>
      <w:r w:rsidRPr="001D77EC">
        <w:rPr>
          <w:rFonts w:asciiTheme="minorHAnsi" w:eastAsiaTheme="minorHAnsi" w:hAnsiTheme="minorHAnsi" w:cstheme="minorBidi"/>
          <w:color w:val="000000" w:themeColor="text1"/>
          <w:lang w:eastAsia="en-US"/>
        </w:rPr>
        <w:t xml:space="preserve">razlikuju po tome što se ne vežu za račune za plaćanje (tekuće ili žiro račune). Kod prepaid kartica osigurano pokriće je definirano visinom novčanog iznosa koji je </w:t>
      </w:r>
      <w:r w:rsidRPr="001D77EC">
        <w:rPr>
          <w:rFonts w:asciiTheme="minorHAnsi" w:eastAsiaTheme="minorHAnsi" w:hAnsiTheme="minorHAnsi" w:cstheme="minorBidi"/>
          <w:color w:val="C00000"/>
          <w:lang w:eastAsia="en-US"/>
        </w:rPr>
        <w:t xml:space="preserve">pohranjen na samoj kartici </w:t>
      </w:r>
      <w:r w:rsidRPr="001D77EC">
        <w:rPr>
          <w:rFonts w:asciiTheme="minorHAnsi" w:eastAsiaTheme="minorHAnsi" w:hAnsiTheme="minorHAnsi" w:cstheme="minorBidi"/>
          <w:color w:val="000000" w:themeColor="text1"/>
          <w:lang w:eastAsia="en-US"/>
        </w:rPr>
        <w:t xml:space="preserve">(na čipu) pa </w:t>
      </w:r>
      <w:r w:rsidR="001D77EC">
        <w:rPr>
          <w:rFonts w:asciiTheme="minorHAnsi" w:eastAsiaTheme="minorHAnsi" w:hAnsiTheme="minorHAnsi" w:cstheme="minorBidi"/>
          <w:color w:val="000000" w:themeColor="text1"/>
          <w:lang w:eastAsia="en-US"/>
        </w:rPr>
        <w:t>s</w:t>
      </w:r>
      <w:r w:rsidRPr="001D77EC">
        <w:rPr>
          <w:rFonts w:asciiTheme="minorHAnsi" w:eastAsiaTheme="minorHAnsi" w:hAnsiTheme="minorHAnsi" w:cstheme="minorBidi"/>
          <w:color w:val="000000" w:themeColor="text1"/>
          <w:lang w:eastAsia="en-US"/>
        </w:rPr>
        <w:t xml:space="preserve">e u tom slučaju platna kartica javlja kao </w:t>
      </w:r>
      <w:r w:rsidRPr="001D77EC">
        <w:rPr>
          <w:rFonts w:asciiTheme="minorHAnsi" w:eastAsiaTheme="minorHAnsi" w:hAnsiTheme="minorHAnsi" w:cstheme="minorBidi"/>
          <w:color w:val="C00000"/>
          <w:lang w:eastAsia="en-US"/>
        </w:rPr>
        <w:t xml:space="preserve">e- novac </w:t>
      </w:r>
      <w:r w:rsidRPr="001D77EC">
        <w:rPr>
          <w:rFonts w:asciiTheme="minorHAnsi" w:eastAsiaTheme="minorHAnsi" w:hAnsiTheme="minorHAnsi" w:cstheme="minorBidi"/>
          <w:color w:val="000000" w:themeColor="text1"/>
          <w:lang w:eastAsia="en-US"/>
        </w:rPr>
        <w:t xml:space="preserve">(a puni se preko bankomata s funkcijom punjenja e- novca). Alternativno novčana vrijednost </w:t>
      </w:r>
      <w:r w:rsidR="009B40D9">
        <w:rPr>
          <w:rFonts w:asciiTheme="minorHAnsi" w:eastAsiaTheme="minorHAnsi" w:hAnsiTheme="minorHAnsi" w:cstheme="minorBidi"/>
          <w:color w:val="000000" w:themeColor="text1"/>
          <w:lang w:eastAsia="en-US"/>
        </w:rPr>
        <w:t xml:space="preserve">vezana uz prepaid platnu karticu </w:t>
      </w:r>
      <w:r w:rsidRPr="001D77EC">
        <w:rPr>
          <w:rFonts w:asciiTheme="minorHAnsi" w:eastAsiaTheme="minorHAnsi" w:hAnsiTheme="minorHAnsi" w:cstheme="minorBidi"/>
          <w:color w:val="000000" w:themeColor="text1"/>
          <w:lang w:eastAsia="en-US"/>
        </w:rPr>
        <w:t xml:space="preserve">može biti </w:t>
      </w:r>
      <w:r w:rsidRPr="001D77EC">
        <w:rPr>
          <w:rFonts w:asciiTheme="minorHAnsi" w:eastAsiaTheme="minorHAnsi" w:hAnsiTheme="minorHAnsi" w:cstheme="minorBidi"/>
          <w:color w:val="C00000"/>
          <w:lang w:eastAsia="en-US"/>
        </w:rPr>
        <w:t xml:space="preserve">pohranjena (evidentirana) kod izdavatelja </w:t>
      </w:r>
      <w:r w:rsidRPr="001D77EC">
        <w:rPr>
          <w:rFonts w:asciiTheme="minorHAnsi" w:eastAsiaTheme="minorHAnsi" w:hAnsiTheme="minorHAnsi" w:cstheme="minorBidi"/>
          <w:color w:val="000000" w:themeColor="text1"/>
          <w:lang w:eastAsia="en-US"/>
        </w:rPr>
        <w:t xml:space="preserve">kartice na posebnom računu vezanom uz pripadajuću karticu, </w:t>
      </w:r>
      <w:r w:rsidR="001D77EC">
        <w:rPr>
          <w:rFonts w:asciiTheme="minorHAnsi" w:eastAsiaTheme="minorHAnsi" w:hAnsiTheme="minorHAnsi" w:cstheme="minorBidi"/>
          <w:color w:val="000000" w:themeColor="text1"/>
          <w:lang w:eastAsia="en-US"/>
        </w:rPr>
        <w:t xml:space="preserve">a uplata/ prijenos </w:t>
      </w:r>
      <w:r w:rsidRPr="001D77EC">
        <w:rPr>
          <w:rFonts w:asciiTheme="minorHAnsi" w:eastAsiaTheme="minorHAnsi" w:hAnsiTheme="minorHAnsi" w:cstheme="minorBidi"/>
          <w:color w:val="000000" w:themeColor="text1"/>
          <w:lang w:eastAsia="en-US"/>
        </w:rPr>
        <w:t xml:space="preserve">na račun prepaid kartice može se obaviti u poslovnicama, putem bankomata ili elektroničkog bankarstva. </w:t>
      </w:r>
    </w:p>
    <w:p w:rsidR="006A59B6" w:rsidRDefault="00AE402F" w:rsidP="00B31314">
      <w:pPr>
        <w:pStyle w:val="StandardWeb"/>
        <w:spacing w:before="0" w:beforeAutospacing="0" w:after="200" w:afterAutospacing="0" w:line="276" w:lineRule="auto"/>
        <w:jc w:val="both"/>
        <w:rPr>
          <w:rFonts w:asciiTheme="minorHAnsi" w:eastAsiaTheme="minorHAnsi" w:hAnsiTheme="minorHAnsi" w:cstheme="minorBidi"/>
          <w:color w:val="000000" w:themeColor="text1"/>
          <w:lang w:eastAsia="en-US"/>
        </w:rPr>
      </w:pPr>
      <w:r>
        <w:rPr>
          <w:rFonts w:asciiTheme="minorHAnsi" w:eastAsiaTheme="minorHAnsi" w:hAnsiTheme="minorHAnsi" w:cstheme="minorBidi"/>
          <w:color w:val="000000" w:themeColor="text1"/>
          <w:lang w:eastAsia="en-US"/>
        </w:rPr>
        <w:t>Za njihovo korištenje nije potrebno otvaranje tekućeg računa niti ocjena kreditne sposobnosti.</w:t>
      </w:r>
      <w:r w:rsidR="000D3447">
        <w:rPr>
          <w:rFonts w:asciiTheme="minorHAnsi" w:eastAsiaTheme="minorHAnsi" w:hAnsiTheme="minorHAnsi" w:cstheme="minorBidi"/>
          <w:color w:val="000000" w:themeColor="text1"/>
          <w:lang w:eastAsia="en-US"/>
        </w:rPr>
        <w:t xml:space="preserve"> Kao i u slučaju debitnih platnih kartica, platne transakcije izvršene prepaid karticama potvrđuju se PIN-om (i u tom slučaju ne postoji mogućnost reklamacije) ili eventualno (u slučaju manjih iznosa, npr. 100 kuna) beskontaktno </w:t>
      </w:r>
      <w:r w:rsidR="003D3564">
        <w:rPr>
          <w:rFonts w:asciiTheme="minorHAnsi" w:eastAsiaTheme="minorHAnsi" w:hAnsiTheme="minorHAnsi" w:cstheme="minorBidi"/>
          <w:color w:val="000000" w:themeColor="text1"/>
          <w:lang w:eastAsia="en-US"/>
        </w:rPr>
        <w:t xml:space="preserve">(payWave) </w:t>
      </w:r>
      <w:r w:rsidR="000D3447">
        <w:rPr>
          <w:rFonts w:asciiTheme="minorHAnsi" w:eastAsiaTheme="minorHAnsi" w:hAnsiTheme="minorHAnsi" w:cstheme="minorBidi"/>
          <w:color w:val="000000" w:themeColor="text1"/>
          <w:lang w:eastAsia="en-US"/>
        </w:rPr>
        <w:t xml:space="preserve">prislanjanjem kartice POS uređaju. </w:t>
      </w:r>
      <w:r w:rsidR="009B40D9">
        <w:rPr>
          <w:rFonts w:asciiTheme="minorHAnsi" w:eastAsiaTheme="minorHAnsi" w:hAnsiTheme="minorHAnsi" w:cstheme="minorBidi"/>
          <w:color w:val="000000" w:themeColor="text1"/>
          <w:lang w:eastAsia="en-US"/>
        </w:rPr>
        <w:t>Pri</w:t>
      </w:r>
      <w:r w:rsidR="001D77EC">
        <w:rPr>
          <w:rFonts w:asciiTheme="minorHAnsi" w:eastAsiaTheme="minorHAnsi" w:hAnsiTheme="minorHAnsi" w:cstheme="minorBidi"/>
          <w:color w:val="000000" w:themeColor="text1"/>
          <w:lang w:eastAsia="en-US"/>
        </w:rPr>
        <w:t xml:space="preserve"> plaćanju </w:t>
      </w:r>
      <w:r w:rsidR="009B40D9">
        <w:rPr>
          <w:rFonts w:asciiTheme="minorHAnsi" w:eastAsiaTheme="minorHAnsi" w:hAnsiTheme="minorHAnsi" w:cstheme="minorBidi"/>
          <w:color w:val="000000" w:themeColor="text1"/>
          <w:lang w:eastAsia="en-US"/>
        </w:rPr>
        <w:t>za robe</w:t>
      </w:r>
      <w:r w:rsidR="001D77EC">
        <w:rPr>
          <w:rFonts w:asciiTheme="minorHAnsi" w:eastAsiaTheme="minorHAnsi" w:hAnsiTheme="minorHAnsi" w:cstheme="minorBidi"/>
          <w:color w:val="000000" w:themeColor="text1"/>
          <w:lang w:eastAsia="en-US"/>
        </w:rPr>
        <w:t xml:space="preserve"> i uslug</w:t>
      </w:r>
      <w:r w:rsidR="009B40D9">
        <w:rPr>
          <w:rFonts w:asciiTheme="minorHAnsi" w:eastAsiaTheme="minorHAnsi" w:hAnsiTheme="minorHAnsi" w:cstheme="minorBidi"/>
          <w:color w:val="000000" w:themeColor="text1"/>
          <w:lang w:eastAsia="en-US"/>
        </w:rPr>
        <w:t>e</w:t>
      </w:r>
      <w:r w:rsidR="001D77EC">
        <w:rPr>
          <w:rFonts w:asciiTheme="minorHAnsi" w:eastAsiaTheme="minorHAnsi" w:hAnsiTheme="minorHAnsi" w:cstheme="minorBidi"/>
          <w:color w:val="000000" w:themeColor="text1"/>
          <w:lang w:eastAsia="en-US"/>
        </w:rPr>
        <w:t xml:space="preserve"> prepaid kartice praktično </w:t>
      </w:r>
      <w:r w:rsidR="001D77EC" w:rsidRPr="00AE402F">
        <w:rPr>
          <w:rFonts w:asciiTheme="minorHAnsi" w:eastAsiaTheme="minorHAnsi" w:hAnsiTheme="minorHAnsi" w:cstheme="minorBidi"/>
          <w:color w:val="C00000"/>
          <w:lang w:eastAsia="en-US"/>
        </w:rPr>
        <w:t>zamjenjuju gotovinu</w:t>
      </w:r>
      <w:r w:rsidR="006A59B6">
        <w:rPr>
          <w:rFonts w:asciiTheme="minorHAnsi" w:eastAsiaTheme="minorHAnsi" w:hAnsiTheme="minorHAnsi" w:cstheme="minorBidi"/>
          <w:color w:val="C00000"/>
          <w:lang w:eastAsia="en-US"/>
        </w:rPr>
        <w:t xml:space="preserve"> </w:t>
      </w:r>
      <w:r w:rsidR="006A59B6" w:rsidRPr="006A59B6">
        <w:rPr>
          <w:rFonts w:asciiTheme="minorHAnsi" w:eastAsiaTheme="minorHAnsi" w:hAnsiTheme="minorHAnsi" w:cstheme="minorBidi"/>
          <w:lang w:eastAsia="en-US"/>
        </w:rPr>
        <w:t>(zbog toga se i naziva elektronička gotovina)</w:t>
      </w:r>
      <w:r w:rsidR="001D77EC">
        <w:rPr>
          <w:rFonts w:asciiTheme="minorHAnsi" w:eastAsiaTheme="minorHAnsi" w:hAnsiTheme="minorHAnsi" w:cstheme="minorBidi"/>
          <w:color w:val="000000" w:themeColor="text1"/>
          <w:lang w:eastAsia="en-US"/>
        </w:rPr>
        <w:t xml:space="preserve">, a osnovna prednost im je što u slučaju zlouporabe ili gubitka kartice s pohranjenom vrijednošću pojedinac može biti oštećen jedino do iznosa sredstava koja su bila raspoloživa te nema mogućnosti korištenja dopuštenog prekoračenja. </w:t>
      </w:r>
      <w:r w:rsidR="009B40D9">
        <w:rPr>
          <w:rFonts w:asciiTheme="minorHAnsi" w:eastAsiaTheme="minorHAnsi" w:hAnsiTheme="minorHAnsi" w:cstheme="minorBidi"/>
          <w:color w:val="000000" w:themeColor="text1"/>
          <w:lang w:eastAsia="en-US"/>
        </w:rPr>
        <w:t>Stoga ju je praktično koristiti na putovanjima u inozemstvo, kao način raspolaganja bezgotovinskim sredstvima od stane djece mlađe od 18 godina</w:t>
      </w:r>
      <w:r w:rsidR="00B31314">
        <w:rPr>
          <w:rFonts w:asciiTheme="minorHAnsi" w:eastAsiaTheme="minorHAnsi" w:hAnsiTheme="minorHAnsi" w:cstheme="minorBidi"/>
          <w:color w:val="000000" w:themeColor="text1"/>
          <w:lang w:eastAsia="en-US"/>
        </w:rPr>
        <w:t xml:space="preserve"> (kao džeparac)</w:t>
      </w:r>
      <w:r w:rsidR="009B40D9">
        <w:rPr>
          <w:rFonts w:asciiTheme="minorHAnsi" w:eastAsiaTheme="minorHAnsi" w:hAnsiTheme="minorHAnsi" w:cstheme="minorBidi"/>
          <w:color w:val="000000" w:themeColor="text1"/>
          <w:lang w:eastAsia="en-US"/>
        </w:rPr>
        <w:t xml:space="preserve">, kao „darovnu karticu“ i slično. </w:t>
      </w:r>
    </w:p>
    <w:p w:rsidR="00B31314" w:rsidRPr="001D77EC" w:rsidRDefault="009B40D9" w:rsidP="00B31314">
      <w:pPr>
        <w:pStyle w:val="StandardWeb"/>
        <w:spacing w:before="0" w:beforeAutospacing="0" w:after="200" w:afterAutospacing="0" w:line="276" w:lineRule="auto"/>
        <w:jc w:val="both"/>
        <w:rPr>
          <w:rFonts w:asciiTheme="minorHAnsi" w:eastAsiaTheme="minorHAnsi" w:hAnsiTheme="minorHAnsi" w:cstheme="minorBidi"/>
          <w:color w:val="000000" w:themeColor="text1"/>
          <w:lang w:eastAsia="en-US"/>
        </w:rPr>
      </w:pPr>
      <w:r>
        <w:rPr>
          <w:rFonts w:asciiTheme="minorHAnsi" w:eastAsiaTheme="minorHAnsi" w:hAnsiTheme="minorHAnsi" w:cstheme="minorBidi"/>
          <w:color w:val="000000" w:themeColor="text1"/>
          <w:lang w:eastAsia="en-US"/>
        </w:rPr>
        <w:t xml:space="preserve">U slučaju </w:t>
      </w:r>
      <w:r w:rsidRPr="00AE402F">
        <w:rPr>
          <w:rFonts w:asciiTheme="minorHAnsi" w:eastAsiaTheme="minorHAnsi" w:hAnsiTheme="minorHAnsi" w:cstheme="minorBidi"/>
          <w:color w:val="C00000"/>
          <w:lang w:eastAsia="en-US"/>
        </w:rPr>
        <w:t>kada se prepaid kartica veže uz poznate kartične brendove</w:t>
      </w:r>
      <w:r>
        <w:rPr>
          <w:rFonts w:asciiTheme="minorHAnsi" w:eastAsiaTheme="minorHAnsi" w:hAnsiTheme="minorHAnsi" w:cstheme="minorBidi"/>
          <w:color w:val="000000" w:themeColor="text1"/>
          <w:lang w:eastAsia="en-US"/>
        </w:rPr>
        <w:t xml:space="preserve"> </w:t>
      </w:r>
      <w:r w:rsidR="00B31314">
        <w:rPr>
          <w:rFonts w:asciiTheme="minorHAnsi" w:eastAsiaTheme="minorHAnsi" w:hAnsiTheme="minorHAnsi" w:cstheme="minorBidi"/>
          <w:color w:val="000000" w:themeColor="text1"/>
          <w:lang w:eastAsia="en-US"/>
        </w:rPr>
        <w:t xml:space="preserve">(VISA, MasterCard itd.) </w:t>
      </w:r>
      <w:r>
        <w:rPr>
          <w:rFonts w:asciiTheme="minorHAnsi" w:eastAsiaTheme="minorHAnsi" w:hAnsiTheme="minorHAnsi" w:cstheme="minorBidi"/>
          <w:color w:val="000000" w:themeColor="text1"/>
          <w:lang w:eastAsia="en-US"/>
        </w:rPr>
        <w:t xml:space="preserve">može se koristiti na brojnim prodajnim mjestima u zemlji i inozemstvu (putem EFT POS uređaja i PIN-a), odnosno za podizanje gotovine na bankomatima u zemlji i inozemstvu. </w:t>
      </w:r>
      <w:r w:rsidR="00B31314">
        <w:rPr>
          <w:rFonts w:asciiTheme="minorHAnsi" w:eastAsiaTheme="minorHAnsi" w:hAnsiTheme="minorHAnsi" w:cstheme="minorBidi"/>
          <w:color w:val="000000" w:themeColor="text1"/>
          <w:lang w:eastAsia="en-US"/>
        </w:rPr>
        <w:t xml:space="preserve">Međutim, kada se javlja </w:t>
      </w:r>
      <w:r w:rsidR="00AE402F">
        <w:rPr>
          <w:rFonts w:asciiTheme="minorHAnsi" w:eastAsiaTheme="minorHAnsi" w:hAnsiTheme="minorHAnsi" w:cstheme="minorBidi"/>
          <w:color w:val="000000" w:themeColor="text1"/>
          <w:lang w:eastAsia="en-US"/>
        </w:rPr>
        <w:t xml:space="preserve">isključivo kao „poklon kartica“ </w:t>
      </w:r>
      <w:r w:rsidR="00B31314">
        <w:rPr>
          <w:rFonts w:asciiTheme="minorHAnsi" w:eastAsiaTheme="minorHAnsi" w:hAnsiTheme="minorHAnsi" w:cstheme="minorBidi"/>
          <w:color w:val="000000" w:themeColor="text1"/>
          <w:lang w:eastAsia="en-US"/>
        </w:rPr>
        <w:t>veže s</w:t>
      </w:r>
      <w:r w:rsidR="00AE402F">
        <w:rPr>
          <w:rFonts w:asciiTheme="minorHAnsi" w:eastAsiaTheme="minorHAnsi" w:hAnsiTheme="minorHAnsi" w:cstheme="minorBidi"/>
          <w:color w:val="000000" w:themeColor="text1"/>
          <w:lang w:eastAsia="en-US"/>
        </w:rPr>
        <w:t>e samo</w:t>
      </w:r>
      <w:r w:rsidR="00B31314">
        <w:rPr>
          <w:rFonts w:asciiTheme="minorHAnsi" w:eastAsiaTheme="minorHAnsi" w:hAnsiTheme="minorHAnsi" w:cstheme="minorBidi"/>
          <w:color w:val="000000" w:themeColor="text1"/>
          <w:lang w:eastAsia="en-US"/>
        </w:rPr>
        <w:t xml:space="preserve"> za pojedina trgovačka poduzeća. Pri tome </w:t>
      </w:r>
      <w:r w:rsidR="00AE402F">
        <w:rPr>
          <w:rFonts w:asciiTheme="minorHAnsi" w:eastAsiaTheme="minorHAnsi" w:hAnsiTheme="minorHAnsi" w:cstheme="minorBidi"/>
          <w:color w:val="000000" w:themeColor="text1"/>
          <w:lang w:eastAsia="en-US"/>
        </w:rPr>
        <w:t xml:space="preserve">poklon </w:t>
      </w:r>
      <w:r w:rsidR="00B31314">
        <w:rPr>
          <w:rFonts w:asciiTheme="minorHAnsi" w:eastAsiaTheme="minorHAnsi" w:hAnsiTheme="minorHAnsi" w:cstheme="minorBidi"/>
          <w:color w:val="000000" w:themeColor="text1"/>
          <w:lang w:eastAsia="en-US"/>
        </w:rPr>
        <w:t>kartice nemaju mogućnost nadoplate sredstva po čemu se bitno razlikuju od tipičnih prepaid kartica</w:t>
      </w:r>
      <w:r w:rsidR="00AE402F">
        <w:rPr>
          <w:rFonts w:asciiTheme="minorHAnsi" w:eastAsiaTheme="minorHAnsi" w:hAnsiTheme="minorHAnsi" w:cstheme="minorBidi"/>
          <w:color w:val="000000" w:themeColor="text1"/>
          <w:lang w:eastAsia="en-US"/>
        </w:rPr>
        <w:t>, odnosno darovnih prepaid kartica s mogućnošću nadoplate sredstava</w:t>
      </w:r>
      <w:r w:rsidR="00B31314">
        <w:rPr>
          <w:rFonts w:asciiTheme="minorHAnsi" w:eastAsiaTheme="minorHAnsi" w:hAnsiTheme="minorHAnsi" w:cstheme="minorBidi"/>
          <w:color w:val="000000" w:themeColor="text1"/>
          <w:lang w:eastAsia="en-US"/>
        </w:rPr>
        <w:t>.</w:t>
      </w:r>
    </w:p>
    <w:p w:rsidR="001701E9" w:rsidRDefault="00B31314" w:rsidP="001D77EC">
      <w:pPr>
        <w:pStyle w:val="StandardWeb"/>
        <w:spacing w:before="0" w:beforeAutospacing="0" w:after="200" w:afterAutospacing="0" w:line="276" w:lineRule="auto"/>
        <w:jc w:val="both"/>
        <w:rPr>
          <w:rFonts w:asciiTheme="minorHAnsi" w:eastAsiaTheme="minorHAnsi" w:hAnsiTheme="minorHAnsi" w:cstheme="minorBidi"/>
          <w:color w:val="000000" w:themeColor="text1"/>
          <w:lang w:eastAsia="en-US"/>
        </w:rPr>
      </w:pPr>
      <w:r>
        <w:rPr>
          <w:rFonts w:asciiTheme="minorHAnsi" w:eastAsiaTheme="minorHAnsi" w:hAnsiTheme="minorHAnsi" w:cstheme="minorBidi"/>
          <w:color w:val="000000" w:themeColor="text1"/>
          <w:lang w:eastAsia="en-US"/>
        </w:rPr>
        <w:t xml:space="preserve">Pojedine prepaid kartice također se mogu koristiti za plaćanje kupnje roba i usluga putem Interneta ili sudjelovanja u online igrama, a u tom slučaju ističu se </w:t>
      </w:r>
      <w:r w:rsidRPr="00AE402F">
        <w:rPr>
          <w:rFonts w:asciiTheme="minorHAnsi" w:eastAsiaTheme="minorHAnsi" w:hAnsiTheme="minorHAnsi" w:cstheme="minorBidi"/>
          <w:color w:val="C00000"/>
          <w:lang w:eastAsia="en-US"/>
        </w:rPr>
        <w:t xml:space="preserve">kao jedan od sigurnijih </w:t>
      </w:r>
      <w:r w:rsidR="00AE402F">
        <w:rPr>
          <w:rFonts w:asciiTheme="minorHAnsi" w:eastAsiaTheme="minorHAnsi" w:hAnsiTheme="minorHAnsi" w:cstheme="minorBidi"/>
          <w:color w:val="C00000"/>
          <w:lang w:eastAsia="en-US"/>
        </w:rPr>
        <w:t xml:space="preserve">platnih </w:t>
      </w:r>
      <w:r w:rsidRPr="00AE402F">
        <w:rPr>
          <w:rFonts w:asciiTheme="minorHAnsi" w:eastAsiaTheme="minorHAnsi" w:hAnsiTheme="minorHAnsi" w:cstheme="minorBidi"/>
          <w:color w:val="C00000"/>
          <w:lang w:eastAsia="en-US"/>
        </w:rPr>
        <w:t xml:space="preserve">instrumenata </w:t>
      </w:r>
      <w:r>
        <w:rPr>
          <w:rFonts w:asciiTheme="minorHAnsi" w:eastAsiaTheme="minorHAnsi" w:hAnsiTheme="minorHAnsi" w:cstheme="minorBidi"/>
          <w:color w:val="000000" w:themeColor="text1"/>
          <w:lang w:eastAsia="en-US"/>
        </w:rPr>
        <w:t xml:space="preserve">u smislu sprječavanja zlouporaba jer ne dolazi do otkrivanja osobnih podataka, odnosno podataka vezanih uz bankovne račune ili kartične podatke te nema mogućnosti ulaska u kredit. </w:t>
      </w:r>
    </w:p>
    <w:p w:rsidR="009B40D9" w:rsidRPr="001205BE" w:rsidRDefault="009B40D9" w:rsidP="00EF3AAA">
      <w:pPr>
        <w:widowControl w:val="0"/>
        <w:overflowPunct w:val="0"/>
        <w:autoSpaceDE w:val="0"/>
        <w:autoSpaceDN w:val="0"/>
        <w:adjustRightInd w:val="0"/>
        <w:spacing w:before="240"/>
        <w:jc w:val="both"/>
        <w:rPr>
          <w:b/>
          <w:bCs/>
          <w:sz w:val="24"/>
          <w:szCs w:val="24"/>
        </w:rPr>
      </w:pPr>
      <w:r w:rsidRPr="001205BE">
        <w:rPr>
          <w:b/>
          <w:bCs/>
          <w:sz w:val="24"/>
          <w:szCs w:val="24"/>
        </w:rPr>
        <w:t>4.2.</w:t>
      </w:r>
      <w:r>
        <w:rPr>
          <w:b/>
          <w:bCs/>
          <w:sz w:val="24"/>
          <w:szCs w:val="24"/>
        </w:rPr>
        <w:t>3</w:t>
      </w:r>
      <w:r w:rsidRPr="001205BE">
        <w:rPr>
          <w:b/>
          <w:bCs/>
          <w:sz w:val="24"/>
          <w:szCs w:val="24"/>
        </w:rPr>
        <w:t xml:space="preserve">. </w:t>
      </w:r>
      <w:r>
        <w:rPr>
          <w:b/>
          <w:bCs/>
          <w:sz w:val="24"/>
          <w:szCs w:val="24"/>
        </w:rPr>
        <w:t>Kreditne kartice i slični kartični proizvodi</w:t>
      </w:r>
    </w:p>
    <w:p w:rsidR="001D77EC" w:rsidRDefault="001D77EC" w:rsidP="001D77EC">
      <w:pPr>
        <w:pStyle w:val="Tekstfusnote"/>
        <w:spacing w:after="200" w:line="276" w:lineRule="auto"/>
        <w:jc w:val="both"/>
        <w:rPr>
          <w:rFonts w:asciiTheme="minorHAnsi" w:eastAsiaTheme="minorHAnsi" w:hAnsiTheme="minorHAnsi" w:cstheme="minorBidi"/>
          <w:color w:val="000000" w:themeColor="text1"/>
          <w:sz w:val="24"/>
          <w:szCs w:val="24"/>
          <w:lang w:eastAsia="en-US"/>
        </w:rPr>
      </w:pPr>
      <w:r>
        <w:rPr>
          <w:rFonts w:asciiTheme="minorHAnsi" w:eastAsiaTheme="minorHAnsi" w:hAnsiTheme="minorHAnsi" w:cstheme="minorBidi"/>
          <w:color w:val="000000" w:themeColor="text1"/>
          <w:sz w:val="24"/>
          <w:szCs w:val="24"/>
          <w:lang w:eastAsia="en-US"/>
        </w:rPr>
        <w:t xml:space="preserve">Nasuprot </w:t>
      </w:r>
      <w:r w:rsidR="001701E9">
        <w:rPr>
          <w:rFonts w:asciiTheme="minorHAnsi" w:eastAsiaTheme="minorHAnsi" w:hAnsiTheme="minorHAnsi" w:cstheme="minorBidi"/>
          <w:color w:val="000000" w:themeColor="text1"/>
          <w:sz w:val="24"/>
          <w:szCs w:val="24"/>
          <w:lang w:eastAsia="en-US"/>
        </w:rPr>
        <w:t xml:space="preserve">debitnih i prepaid platnih kartica postoje </w:t>
      </w:r>
      <w:r w:rsidRPr="00001D95">
        <w:rPr>
          <w:rFonts w:asciiTheme="minorHAnsi" w:eastAsiaTheme="minorHAnsi" w:hAnsiTheme="minorHAnsi" w:cstheme="minorBidi"/>
          <w:color w:val="C00000"/>
          <w:sz w:val="24"/>
          <w:szCs w:val="24"/>
          <w:lang w:eastAsia="en-US"/>
        </w:rPr>
        <w:t xml:space="preserve">kreditne kartice i drugi </w:t>
      </w:r>
      <w:r w:rsidR="001701E9" w:rsidRPr="00001D95">
        <w:rPr>
          <w:rFonts w:asciiTheme="minorHAnsi" w:eastAsiaTheme="minorHAnsi" w:hAnsiTheme="minorHAnsi" w:cstheme="minorBidi"/>
          <w:color w:val="C00000"/>
          <w:sz w:val="24"/>
          <w:szCs w:val="24"/>
          <w:lang w:eastAsia="en-US"/>
        </w:rPr>
        <w:t xml:space="preserve">kartični proizvodi </w:t>
      </w:r>
      <w:r>
        <w:rPr>
          <w:rFonts w:asciiTheme="minorHAnsi" w:eastAsiaTheme="minorHAnsi" w:hAnsiTheme="minorHAnsi" w:cstheme="minorBidi"/>
          <w:color w:val="000000" w:themeColor="text1"/>
          <w:sz w:val="24"/>
          <w:szCs w:val="24"/>
          <w:lang w:eastAsia="en-US"/>
        </w:rPr>
        <w:t xml:space="preserve">kod kojih </w:t>
      </w:r>
      <w:r w:rsidRPr="00001D95">
        <w:rPr>
          <w:rFonts w:asciiTheme="minorHAnsi" w:eastAsiaTheme="minorHAnsi" w:hAnsiTheme="minorHAnsi" w:cstheme="minorBidi"/>
          <w:color w:val="C00000"/>
          <w:sz w:val="24"/>
          <w:szCs w:val="24"/>
          <w:lang w:eastAsia="en-US"/>
        </w:rPr>
        <w:t>upotreba platne kartice ne uvjetuje osigurano pokriće za izvršenje transakcije u trenutku njezina zadavanja</w:t>
      </w:r>
      <w:r w:rsidRPr="001D77EC">
        <w:rPr>
          <w:rFonts w:asciiTheme="minorHAnsi" w:eastAsiaTheme="minorHAnsi" w:hAnsiTheme="minorHAnsi" w:cstheme="minorBidi"/>
          <w:color w:val="000000" w:themeColor="text1"/>
          <w:sz w:val="24"/>
          <w:szCs w:val="24"/>
          <w:lang w:eastAsia="en-US"/>
        </w:rPr>
        <w:t xml:space="preserve">, npr. </w:t>
      </w:r>
    </w:p>
    <w:p w:rsidR="001D77EC" w:rsidRDefault="001701E9" w:rsidP="006F1C04">
      <w:pPr>
        <w:pStyle w:val="Tekstfusnote"/>
        <w:numPr>
          <w:ilvl w:val="0"/>
          <w:numId w:val="49"/>
        </w:numPr>
        <w:ind w:left="714" w:hanging="357"/>
        <w:jc w:val="both"/>
        <w:rPr>
          <w:rFonts w:asciiTheme="minorHAnsi" w:eastAsiaTheme="minorHAnsi" w:hAnsiTheme="minorHAnsi" w:cstheme="minorBidi"/>
          <w:color w:val="000000" w:themeColor="text1"/>
          <w:sz w:val="24"/>
          <w:szCs w:val="24"/>
          <w:lang w:eastAsia="en-US"/>
        </w:rPr>
      </w:pPr>
      <w:r w:rsidRPr="001D77EC">
        <w:rPr>
          <w:rFonts w:asciiTheme="minorHAnsi" w:eastAsiaTheme="minorHAnsi" w:hAnsiTheme="minorHAnsi" w:cstheme="minorBidi"/>
          <w:color w:val="000000" w:themeColor="text1"/>
          <w:sz w:val="24"/>
          <w:szCs w:val="24"/>
          <w:lang w:eastAsia="en-US"/>
        </w:rPr>
        <w:t>revolving kreditn</w:t>
      </w:r>
      <w:r w:rsidR="001D77EC">
        <w:rPr>
          <w:rFonts w:asciiTheme="minorHAnsi" w:eastAsiaTheme="minorHAnsi" w:hAnsiTheme="minorHAnsi" w:cstheme="minorBidi"/>
          <w:color w:val="000000" w:themeColor="text1"/>
          <w:sz w:val="24"/>
          <w:szCs w:val="24"/>
          <w:lang w:eastAsia="en-US"/>
        </w:rPr>
        <w:t>e</w:t>
      </w:r>
      <w:r w:rsidRPr="001D77EC">
        <w:rPr>
          <w:rFonts w:asciiTheme="minorHAnsi" w:eastAsiaTheme="minorHAnsi" w:hAnsiTheme="minorHAnsi" w:cstheme="minorBidi"/>
          <w:color w:val="000000" w:themeColor="text1"/>
          <w:sz w:val="24"/>
          <w:szCs w:val="24"/>
          <w:lang w:eastAsia="en-US"/>
        </w:rPr>
        <w:t xml:space="preserve"> kartic</w:t>
      </w:r>
      <w:r w:rsidR="001D77EC">
        <w:rPr>
          <w:rFonts w:asciiTheme="minorHAnsi" w:eastAsiaTheme="minorHAnsi" w:hAnsiTheme="minorHAnsi" w:cstheme="minorBidi"/>
          <w:color w:val="000000" w:themeColor="text1"/>
          <w:sz w:val="24"/>
          <w:szCs w:val="24"/>
          <w:lang w:eastAsia="en-US"/>
        </w:rPr>
        <w:t>e</w:t>
      </w:r>
      <w:r w:rsidR="001D77EC" w:rsidRPr="001D77EC">
        <w:rPr>
          <w:rFonts w:asciiTheme="minorHAnsi" w:eastAsiaTheme="minorHAnsi" w:hAnsiTheme="minorHAnsi" w:cstheme="minorBidi"/>
          <w:color w:val="000000" w:themeColor="text1"/>
          <w:sz w:val="24"/>
          <w:szCs w:val="24"/>
          <w:lang w:eastAsia="en-US"/>
        </w:rPr>
        <w:t xml:space="preserve">, </w:t>
      </w:r>
    </w:p>
    <w:p w:rsidR="001D77EC" w:rsidRDefault="001701E9" w:rsidP="006F1C04">
      <w:pPr>
        <w:pStyle w:val="Tekstfusnote"/>
        <w:numPr>
          <w:ilvl w:val="0"/>
          <w:numId w:val="49"/>
        </w:numPr>
        <w:ind w:left="714" w:hanging="357"/>
        <w:jc w:val="both"/>
        <w:rPr>
          <w:rFonts w:asciiTheme="minorHAnsi" w:eastAsiaTheme="minorHAnsi" w:hAnsiTheme="minorHAnsi" w:cstheme="minorBidi"/>
          <w:color w:val="000000" w:themeColor="text1"/>
          <w:sz w:val="24"/>
          <w:szCs w:val="24"/>
          <w:lang w:eastAsia="en-US"/>
        </w:rPr>
      </w:pPr>
      <w:r w:rsidRPr="001D77EC">
        <w:rPr>
          <w:rFonts w:asciiTheme="minorHAnsi" w:eastAsiaTheme="minorHAnsi" w:hAnsiTheme="minorHAnsi" w:cstheme="minorBidi"/>
          <w:color w:val="000000" w:themeColor="text1"/>
          <w:sz w:val="24"/>
          <w:szCs w:val="24"/>
          <w:lang w:eastAsia="en-US"/>
        </w:rPr>
        <w:t>kreditn</w:t>
      </w:r>
      <w:r w:rsidR="001D77EC">
        <w:rPr>
          <w:rFonts w:asciiTheme="minorHAnsi" w:eastAsiaTheme="minorHAnsi" w:hAnsiTheme="minorHAnsi" w:cstheme="minorBidi"/>
          <w:color w:val="000000" w:themeColor="text1"/>
          <w:sz w:val="24"/>
          <w:szCs w:val="24"/>
          <w:lang w:eastAsia="en-US"/>
        </w:rPr>
        <w:t>e</w:t>
      </w:r>
      <w:r w:rsidRPr="001D77EC">
        <w:rPr>
          <w:rFonts w:asciiTheme="minorHAnsi" w:eastAsiaTheme="minorHAnsi" w:hAnsiTheme="minorHAnsi" w:cstheme="minorBidi"/>
          <w:color w:val="000000" w:themeColor="text1"/>
          <w:sz w:val="24"/>
          <w:szCs w:val="24"/>
          <w:lang w:eastAsia="en-US"/>
        </w:rPr>
        <w:t xml:space="preserve"> kartic</w:t>
      </w:r>
      <w:r w:rsidR="001D77EC">
        <w:rPr>
          <w:rFonts w:asciiTheme="minorHAnsi" w:eastAsiaTheme="minorHAnsi" w:hAnsiTheme="minorHAnsi" w:cstheme="minorBidi"/>
          <w:color w:val="000000" w:themeColor="text1"/>
          <w:sz w:val="24"/>
          <w:szCs w:val="24"/>
          <w:lang w:eastAsia="en-US"/>
        </w:rPr>
        <w:t>e</w:t>
      </w:r>
      <w:r w:rsidRPr="001D77EC">
        <w:rPr>
          <w:rFonts w:asciiTheme="minorHAnsi" w:eastAsiaTheme="minorHAnsi" w:hAnsiTheme="minorHAnsi" w:cstheme="minorBidi"/>
          <w:color w:val="000000" w:themeColor="text1"/>
          <w:sz w:val="24"/>
          <w:szCs w:val="24"/>
          <w:lang w:eastAsia="en-US"/>
        </w:rPr>
        <w:t xml:space="preserve"> „s automatskom podjelom troška na otplatne rate“</w:t>
      </w:r>
      <w:r w:rsidR="001D77EC" w:rsidRPr="001D77EC">
        <w:rPr>
          <w:rFonts w:asciiTheme="minorHAnsi" w:eastAsiaTheme="minorHAnsi" w:hAnsiTheme="minorHAnsi" w:cstheme="minorBidi"/>
          <w:color w:val="000000" w:themeColor="text1"/>
          <w:sz w:val="24"/>
          <w:szCs w:val="24"/>
          <w:lang w:eastAsia="en-US"/>
        </w:rPr>
        <w:t xml:space="preserve">, </w:t>
      </w:r>
    </w:p>
    <w:p w:rsidR="001D77EC" w:rsidRDefault="001701E9" w:rsidP="006F1C04">
      <w:pPr>
        <w:pStyle w:val="Tekstfusnote"/>
        <w:numPr>
          <w:ilvl w:val="0"/>
          <w:numId w:val="49"/>
        </w:numPr>
        <w:ind w:left="714" w:hanging="357"/>
        <w:jc w:val="both"/>
        <w:rPr>
          <w:rFonts w:asciiTheme="minorHAnsi" w:eastAsiaTheme="minorHAnsi" w:hAnsiTheme="minorHAnsi" w:cstheme="minorBidi"/>
          <w:color w:val="000000" w:themeColor="text1"/>
          <w:sz w:val="24"/>
          <w:szCs w:val="24"/>
          <w:lang w:eastAsia="en-US"/>
        </w:rPr>
      </w:pPr>
      <w:r w:rsidRPr="001D77EC">
        <w:rPr>
          <w:rFonts w:asciiTheme="minorHAnsi" w:eastAsiaTheme="minorHAnsi" w:hAnsiTheme="minorHAnsi" w:cstheme="minorBidi"/>
          <w:color w:val="000000" w:themeColor="text1"/>
          <w:sz w:val="24"/>
          <w:szCs w:val="24"/>
          <w:lang w:eastAsia="en-US"/>
        </w:rPr>
        <w:lastRenderedPageBreak/>
        <w:t>charge kartic</w:t>
      </w:r>
      <w:r w:rsidR="001D77EC">
        <w:rPr>
          <w:rFonts w:asciiTheme="minorHAnsi" w:eastAsiaTheme="minorHAnsi" w:hAnsiTheme="minorHAnsi" w:cstheme="minorBidi"/>
          <w:color w:val="000000" w:themeColor="text1"/>
          <w:sz w:val="24"/>
          <w:szCs w:val="24"/>
          <w:lang w:eastAsia="en-US"/>
        </w:rPr>
        <w:t>e</w:t>
      </w:r>
      <w:r w:rsidRPr="001D77EC">
        <w:rPr>
          <w:rFonts w:asciiTheme="minorHAnsi" w:eastAsiaTheme="minorHAnsi" w:hAnsiTheme="minorHAnsi" w:cstheme="minorBidi"/>
          <w:color w:val="000000" w:themeColor="text1"/>
          <w:sz w:val="24"/>
          <w:szCs w:val="24"/>
          <w:lang w:eastAsia="en-US"/>
        </w:rPr>
        <w:t xml:space="preserve"> (izdaju ih nebankarske institucije)</w:t>
      </w:r>
    </w:p>
    <w:p w:rsidR="001701E9" w:rsidRPr="001D77EC" w:rsidRDefault="001D77EC" w:rsidP="006F1C04">
      <w:pPr>
        <w:pStyle w:val="Tekstfusnote"/>
        <w:numPr>
          <w:ilvl w:val="0"/>
          <w:numId w:val="49"/>
        </w:numPr>
        <w:ind w:left="714" w:hanging="357"/>
        <w:jc w:val="both"/>
        <w:rPr>
          <w:rFonts w:asciiTheme="minorHAnsi" w:eastAsiaTheme="minorHAnsi" w:hAnsiTheme="minorHAnsi" w:cstheme="minorBidi"/>
          <w:color w:val="000000" w:themeColor="text1"/>
          <w:sz w:val="24"/>
          <w:szCs w:val="24"/>
          <w:lang w:eastAsia="en-US"/>
        </w:rPr>
      </w:pPr>
      <w:r w:rsidRPr="001D77EC">
        <w:rPr>
          <w:rFonts w:asciiTheme="minorHAnsi" w:eastAsiaTheme="minorHAnsi" w:hAnsiTheme="minorHAnsi" w:cstheme="minorBidi"/>
          <w:color w:val="000000" w:themeColor="text1"/>
          <w:sz w:val="24"/>
          <w:szCs w:val="24"/>
          <w:lang w:eastAsia="en-US"/>
        </w:rPr>
        <w:t xml:space="preserve">i </w:t>
      </w:r>
      <w:r w:rsidR="001701E9" w:rsidRPr="001D77EC">
        <w:rPr>
          <w:rFonts w:asciiTheme="minorHAnsi" w:eastAsiaTheme="minorHAnsi" w:hAnsiTheme="minorHAnsi" w:cstheme="minorBidi"/>
          <w:color w:val="000000" w:themeColor="text1"/>
          <w:sz w:val="24"/>
          <w:szCs w:val="24"/>
          <w:lang w:eastAsia="en-US"/>
        </w:rPr>
        <w:t>kartica s odgođenom naplatom (svojevrsne charge kartice koje izdaju banke).</w:t>
      </w:r>
    </w:p>
    <w:p w:rsidR="00214728" w:rsidRDefault="00214728" w:rsidP="00711B33">
      <w:pPr>
        <w:pStyle w:val="Tekstfusnote"/>
        <w:spacing w:before="240" w:after="12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Radi se o kartičnim proizvodima koji nisu vezani uz račune za plaćanje i nemaju vrijednost pohranjenu na kartici (iako postoje </w:t>
      </w:r>
      <w:r w:rsidR="00C166BD">
        <w:rPr>
          <w:rFonts w:asciiTheme="minorHAnsi" w:eastAsiaTheme="minorHAnsi" w:hAnsiTheme="minorHAnsi" w:cstheme="minorBidi"/>
          <w:sz w:val="24"/>
          <w:szCs w:val="24"/>
          <w:lang w:eastAsia="en-US"/>
        </w:rPr>
        <w:t xml:space="preserve">i </w:t>
      </w:r>
      <w:r>
        <w:rPr>
          <w:rFonts w:asciiTheme="minorHAnsi" w:eastAsiaTheme="minorHAnsi" w:hAnsiTheme="minorHAnsi" w:cstheme="minorBidi"/>
          <w:sz w:val="24"/>
          <w:szCs w:val="24"/>
          <w:lang w:eastAsia="en-US"/>
        </w:rPr>
        <w:t xml:space="preserve">takve kombinacije). Mogu ih izdavati banke ili kartične kuće, a specifične su po tome što se na prodajnim mjestima valjanost kartice provjerava putem EFT POS, </w:t>
      </w:r>
      <w:r w:rsidR="00C166BD">
        <w:rPr>
          <w:rFonts w:asciiTheme="minorHAnsi" w:eastAsiaTheme="minorHAnsi" w:hAnsiTheme="minorHAnsi" w:cstheme="minorBidi"/>
          <w:sz w:val="24"/>
          <w:szCs w:val="24"/>
          <w:lang w:eastAsia="en-US"/>
        </w:rPr>
        <w:t xml:space="preserve">dok </w:t>
      </w:r>
      <w:r>
        <w:rPr>
          <w:rFonts w:asciiTheme="minorHAnsi" w:eastAsiaTheme="minorHAnsi" w:hAnsiTheme="minorHAnsi" w:cstheme="minorBidi"/>
          <w:sz w:val="24"/>
          <w:szCs w:val="24"/>
          <w:lang w:eastAsia="en-US"/>
        </w:rPr>
        <w:t xml:space="preserve"> se platna transakcija potvrđuje potpisom (na </w:t>
      </w:r>
      <w:r w:rsidR="00C166BD">
        <w:rPr>
          <w:rFonts w:asciiTheme="minorHAnsi" w:eastAsiaTheme="minorHAnsi" w:hAnsiTheme="minorHAnsi" w:cstheme="minorBidi"/>
          <w:sz w:val="24"/>
          <w:szCs w:val="24"/>
          <w:lang w:eastAsia="en-US"/>
        </w:rPr>
        <w:t xml:space="preserve">tzv. </w:t>
      </w:r>
      <w:r w:rsidR="00C166BD" w:rsidRPr="00C166BD">
        <w:rPr>
          <w:rFonts w:asciiTheme="minorHAnsi" w:eastAsiaTheme="minorHAnsi" w:hAnsiTheme="minorHAnsi" w:cstheme="minorBidi"/>
          <w:color w:val="C00000"/>
          <w:sz w:val="24"/>
          <w:szCs w:val="24"/>
          <w:lang w:eastAsia="en-US"/>
        </w:rPr>
        <w:t xml:space="preserve">korisnički račun - </w:t>
      </w:r>
      <w:r w:rsidRPr="00C166BD">
        <w:rPr>
          <w:rFonts w:asciiTheme="minorHAnsi" w:eastAsiaTheme="minorHAnsi" w:hAnsiTheme="minorHAnsi" w:cstheme="minorBidi"/>
          <w:color w:val="C00000"/>
          <w:sz w:val="24"/>
          <w:szCs w:val="24"/>
          <w:lang w:eastAsia="en-US"/>
        </w:rPr>
        <w:t>slip</w:t>
      </w:r>
      <w:r>
        <w:rPr>
          <w:rFonts w:asciiTheme="minorHAnsi" w:eastAsiaTheme="minorHAnsi" w:hAnsiTheme="minorHAnsi" w:cstheme="minorBidi"/>
          <w:sz w:val="24"/>
          <w:szCs w:val="24"/>
          <w:lang w:eastAsia="en-US"/>
        </w:rPr>
        <w:t xml:space="preserve">) No u slučaju kada se koriste za podizanje gotovine npr. putem bankomata potreban je PIN, dok plaćanja Internetom zahtijevaju unos sigurnosnog koda koji je napisan na kartici. Kako bi se spriječile zlouporabe, u novijoj povijesti banke kao izdavatelji kartičnih proizvoda pri izvršavanju internetska plaćanja koriste sustav kroz koji se platna transakcija potvrđuje komunikacijskim kanalom uz upotrebu tokena ili sličnog uređaja (odnosno na isti ili vrlo sličan način kao u slučaju internetskog bankarstva. </w:t>
      </w:r>
    </w:p>
    <w:p w:rsidR="003E5E99" w:rsidRDefault="00C166BD" w:rsidP="00C166BD">
      <w:pPr>
        <w:autoSpaceDE w:val="0"/>
        <w:autoSpaceDN w:val="0"/>
        <w:adjustRightInd w:val="0"/>
        <w:jc w:val="both"/>
      </w:pPr>
      <w:r>
        <w:t>Gubitak kreditnih kartica i sličnih kartičnih proizvoda može za korisnika značiti velike probleme jer je relativno laka mogućnost zlouporabe. Naime za plaćanje debitnim, prepaid, kreditnim i drugim karticama nije potrebna identifikacija osobnom iskaznicom, nego je dovoljna samo kartica</w:t>
      </w:r>
      <w:r w:rsidR="00532152">
        <w:t>. No sigurnost korištenja je ipak veća ako se transakcija potvrđuje PIN-om</w:t>
      </w:r>
      <w:r w:rsidR="000416AE">
        <w:t xml:space="preserve"> (kao u slučaju većine debitnih i prepaid kartica)</w:t>
      </w:r>
      <w:r w:rsidR="00532152">
        <w:t>, nego u slučaju kada se potvrđuje samo potpisom</w:t>
      </w:r>
      <w:r w:rsidR="000416AE">
        <w:t xml:space="preserve"> (što je tipično za kreditne kartice i kartice s odgođenom naplatom – charge kartice)</w:t>
      </w:r>
      <w:r w:rsidR="00532152">
        <w:t xml:space="preserve">. </w:t>
      </w:r>
      <w:r w:rsidR="000416AE">
        <w:t xml:space="preserve">Međutim, treba spomenuti da iako se na prodajnim mjestima u Hrvatskoj debitne kartice tipično mogu koristit isključivo uz upotrebu PIN-a, moguće je da u inozemstvu ista kartica </w:t>
      </w:r>
      <w:r w:rsidR="003E5E99">
        <w:t xml:space="preserve">npr. deviznog tekućeg računa </w:t>
      </w:r>
      <w:r w:rsidR="000416AE">
        <w:t xml:space="preserve">omogućuje potvrdu platne transakcije </w:t>
      </w:r>
      <w:r w:rsidR="003E5E99">
        <w:t xml:space="preserve">samo </w:t>
      </w:r>
      <w:r w:rsidR="000416AE">
        <w:t xml:space="preserve">uz potpis </w:t>
      </w:r>
      <w:r w:rsidR="003E5E99">
        <w:t>(</w:t>
      </w:r>
      <w:r w:rsidR="000416AE">
        <w:t xml:space="preserve">bez PIN-a), što u slučaju gubitka kartice otvara prostor za moguće zlouporabe. </w:t>
      </w:r>
    </w:p>
    <w:p w:rsidR="00C166BD" w:rsidRPr="00D9010E" w:rsidRDefault="00532152" w:rsidP="00C166BD">
      <w:pPr>
        <w:autoSpaceDE w:val="0"/>
        <w:autoSpaceDN w:val="0"/>
        <w:adjustRightInd w:val="0"/>
        <w:jc w:val="both"/>
      </w:pPr>
      <w:r>
        <w:t xml:space="preserve">U </w:t>
      </w:r>
      <w:r w:rsidRPr="00532152">
        <w:rPr>
          <w:color w:val="C00000"/>
        </w:rPr>
        <w:t xml:space="preserve">slučaju krađe </w:t>
      </w:r>
      <w:r w:rsidR="000416AE">
        <w:rPr>
          <w:color w:val="C00000"/>
        </w:rPr>
        <w:t xml:space="preserve">kreditne </w:t>
      </w:r>
      <w:r w:rsidRPr="00532152">
        <w:rPr>
          <w:color w:val="C00000"/>
        </w:rPr>
        <w:t xml:space="preserve">kartice </w:t>
      </w:r>
      <w:r>
        <w:t xml:space="preserve">postoji rizik </w:t>
      </w:r>
      <w:r w:rsidR="00C166BD">
        <w:t xml:space="preserve">krivotvorenja potpisa </w:t>
      </w:r>
      <w:r w:rsidR="000416AE">
        <w:t xml:space="preserve">koji je vidljiv </w:t>
      </w:r>
      <w:r w:rsidR="00C166BD">
        <w:t>na poleđini kartice</w:t>
      </w:r>
      <w:r>
        <w:t xml:space="preserve">, </w:t>
      </w:r>
      <w:r w:rsidR="000416AE">
        <w:t xml:space="preserve">kao i </w:t>
      </w:r>
      <w:r>
        <w:t xml:space="preserve">korištenja broja kartice i sigurnosnog koda koji je uglavnom napisan na kartici. Stoga u </w:t>
      </w:r>
      <w:r w:rsidR="00C166BD" w:rsidRPr="00D9010E">
        <w:t xml:space="preserve"> slučaju gubitka ili krađe kartice</w:t>
      </w:r>
      <w:r w:rsidR="000416AE">
        <w:t>,</w:t>
      </w:r>
      <w:r w:rsidR="00C166BD" w:rsidRPr="00D9010E">
        <w:t xml:space="preserve"> korisnik je obvezan odmah prijaviti gubitak ili krađu kartice</w:t>
      </w:r>
      <w:r>
        <w:t xml:space="preserve"> (kako bi se ona blokirala)</w:t>
      </w:r>
      <w:r w:rsidR="00C166BD" w:rsidRPr="00D9010E">
        <w:t xml:space="preserve">, a </w:t>
      </w:r>
      <w:r>
        <w:t xml:space="preserve">to je </w:t>
      </w:r>
      <w:r w:rsidR="00C166BD" w:rsidRPr="00D9010E">
        <w:t xml:space="preserve">moguće </w:t>
      </w:r>
      <w:r>
        <w:t xml:space="preserve">učiniti u bilo koje doba dana i noći </w:t>
      </w:r>
      <w:r w:rsidR="00C166BD" w:rsidRPr="00D9010E">
        <w:t>putem tele</w:t>
      </w:r>
      <w:r>
        <w:t>fona dežurne službe izdavatelja</w:t>
      </w:r>
      <w:r w:rsidR="000416AE">
        <w:t xml:space="preserve"> (banke ili kartične kuće)</w:t>
      </w:r>
      <w:r>
        <w:t xml:space="preserve">, a potom </w:t>
      </w:r>
      <w:r w:rsidR="00C166BD" w:rsidRPr="00D9010E">
        <w:t xml:space="preserve">takvu prijavu i pismeno potvrditi u prostorima izdavatelja. </w:t>
      </w:r>
      <w:r w:rsidR="00C166BD">
        <w:t xml:space="preserve">U tom slučaju postojeća kartica </w:t>
      </w:r>
      <w:r>
        <w:t xml:space="preserve">će se </w:t>
      </w:r>
      <w:r w:rsidR="00C166BD">
        <w:t>blokira</w:t>
      </w:r>
      <w:r>
        <w:t>ti</w:t>
      </w:r>
      <w:r w:rsidR="00C166BD">
        <w:t xml:space="preserve"> i </w:t>
      </w:r>
      <w:r>
        <w:t>izdati</w:t>
      </w:r>
      <w:r w:rsidR="00C166BD">
        <w:t xml:space="preserve"> zamjenska/nova kartica</w:t>
      </w:r>
      <w:r>
        <w:t xml:space="preserve"> (uz plaćanje troškova njene izrade)</w:t>
      </w:r>
      <w:r w:rsidR="00C166BD">
        <w:t>.</w:t>
      </w:r>
    </w:p>
    <w:tbl>
      <w:tblPr>
        <w:tblStyle w:val="Reetkatablice"/>
        <w:tblW w:w="0" w:type="auto"/>
        <w:tblInd w:w="108" w:type="dxa"/>
        <w:tblLook w:val="04A0" w:firstRow="1" w:lastRow="0" w:firstColumn="1" w:lastColumn="0" w:noHBand="0" w:noVBand="1"/>
      </w:tblPr>
      <w:tblGrid>
        <w:gridCol w:w="9072"/>
      </w:tblGrid>
      <w:tr w:rsidR="00532152" w:rsidTr="00532152">
        <w:tc>
          <w:tcPr>
            <w:tcW w:w="9072" w:type="dxa"/>
            <w:shd w:val="clear" w:color="auto" w:fill="F2F2F2" w:themeFill="background1" w:themeFillShade="F2"/>
          </w:tcPr>
          <w:p w:rsidR="00532152" w:rsidRDefault="000416AE" w:rsidP="00532152">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Uzimajući u obzir </w:t>
            </w:r>
            <w:r w:rsidR="00532152" w:rsidRPr="00532152">
              <w:rPr>
                <w:rFonts w:asciiTheme="minorHAnsi" w:eastAsiaTheme="minorHAnsi" w:hAnsiTheme="minorHAnsi" w:cstheme="minorBidi"/>
                <w:color w:val="C00000"/>
                <w:sz w:val="24"/>
                <w:szCs w:val="24"/>
                <w:lang w:eastAsia="en-US"/>
              </w:rPr>
              <w:t xml:space="preserve">potencijalne rizike gubitka ili krađe kreditne kartice </w:t>
            </w:r>
            <w:r w:rsidR="00532152">
              <w:rPr>
                <w:rFonts w:asciiTheme="minorHAnsi" w:eastAsiaTheme="minorHAnsi" w:hAnsiTheme="minorHAnsi" w:cstheme="minorBidi"/>
                <w:sz w:val="24"/>
                <w:szCs w:val="24"/>
                <w:lang w:eastAsia="en-US"/>
              </w:rPr>
              <w:t>(i sličnih kartičnih proizvoda) kod kojih se platna transakcija potvrđuje potpisom, v</w:t>
            </w:r>
            <w:r w:rsidR="00532152" w:rsidRPr="00532152">
              <w:rPr>
                <w:rFonts w:asciiTheme="minorHAnsi" w:eastAsiaTheme="minorHAnsi" w:hAnsiTheme="minorHAnsi" w:cstheme="minorBidi"/>
                <w:sz w:val="24"/>
                <w:szCs w:val="24"/>
                <w:lang w:eastAsia="en-US"/>
              </w:rPr>
              <w:t>rlo ozbiljno treba shvatiti sljedeće rečenice koje izdavatelji kartica uglavnom ističu u općim uvjetima:</w:t>
            </w:r>
          </w:p>
          <w:p w:rsidR="00532152" w:rsidRPr="00532152" w:rsidRDefault="00532152" w:rsidP="00532152">
            <w:pPr>
              <w:autoSpaceDE w:val="0"/>
              <w:autoSpaceDN w:val="0"/>
              <w:adjustRightInd w:val="0"/>
              <w:spacing w:before="120" w:after="120"/>
              <w:jc w:val="both"/>
              <w:rPr>
                <w:rFonts w:asciiTheme="minorHAnsi" w:eastAsiaTheme="minorHAnsi" w:hAnsiTheme="minorHAnsi" w:cstheme="minorBidi"/>
                <w:i/>
                <w:sz w:val="24"/>
                <w:szCs w:val="24"/>
                <w:lang w:eastAsia="en-US"/>
              </w:rPr>
            </w:pPr>
            <w:r>
              <w:rPr>
                <w:rFonts w:asciiTheme="minorHAnsi" w:eastAsiaTheme="minorHAnsi" w:hAnsiTheme="minorHAnsi" w:cstheme="minorBidi"/>
                <w:i/>
                <w:sz w:val="24"/>
                <w:szCs w:val="24"/>
                <w:lang w:eastAsia="en-US"/>
              </w:rPr>
              <w:t xml:space="preserve"> </w:t>
            </w:r>
            <w:r w:rsidRPr="00532152">
              <w:rPr>
                <w:rFonts w:asciiTheme="minorHAnsi" w:eastAsiaTheme="minorHAnsi" w:hAnsiTheme="minorHAnsi" w:cstheme="minorBidi"/>
                <w:i/>
                <w:sz w:val="24"/>
                <w:szCs w:val="24"/>
                <w:lang w:eastAsia="en-US"/>
              </w:rPr>
              <w:t xml:space="preserve">„Za troškove nastale neovlaštenim korištenjem izgubljene ili ukradene kartice od treće osobe, korisnik kartice u cijelosti odgovara zaključno s danom koji prethodi danu prijave izgubljene ili ukradene kartice, a za troškove proizašle na dan prijave, korisnik odgovara u iznosu koji je izdavatelj definirao u svojim općim uvjetima poslovanja. </w:t>
            </w:r>
          </w:p>
          <w:p w:rsidR="00532152" w:rsidRDefault="00532152" w:rsidP="00532152">
            <w:pPr>
              <w:autoSpaceDE w:val="0"/>
              <w:autoSpaceDN w:val="0"/>
              <w:adjustRightInd w:val="0"/>
              <w:spacing w:before="120" w:after="120"/>
              <w:jc w:val="both"/>
              <w:rPr>
                <w:rFonts w:asciiTheme="minorHAnsi" w:eastAsiaTheme="minorHAnsi" w:hAnsiTheme="minorHAnsi" w:cstheme="minorBidi"/>
                <w:sz w:val="24"/>
                <w:szCs w:val="24"/>
                <w:lang w:eastAsia="en-US"/>
              </w:rPr>
            </w:pPr>
            <w:r w:rsidRPr="00532152">
              <w:rPr>
                <w:rFonts w:asciiTheme="minorHAnsi" w:eastAsiaTheme="minorHAnsi" w:hAnsiTheme="minorHAnsi" w:cstheme="minorBidi"/>
                <w:i/>
                <w:sz w:val="24"/>
                <w:szCs w:val="24"/>
                <w:lang w:eastAsia="en-US"/>
              </w:rPr>
              <w:t>Za troškove proizašle uporabom kartice kod kojih se transakcija verificira PIN-om, neovisno o trenutku prijave izgubljene ili ukradene kartice, korisnik kartice odgovara u cijelosti.“</w:t>
            </w:r>
          </w:p>
        </w:tc>
      </w:tr>
    </w:tbl>
    <w:p w:rsidR="00381224" w:rsidRDefault="006633B6" w:rsidP="00711B33">
      <w:pPr>
        <w:pStyle w:val="Tekstfusnote"/>
        <w:spacing w:before="240" w:after="12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S obzirom na spomenute rizike gubitka ili krađe kartice, </w:t>
      </w:r>
      <w:r w:rsidR="00381224">
        <w:rPr>
          <w:rFonts w:asciiTheme="minorHAnsi" w:eastAsiaTheme="minorHAnsi" w:hAnsiTheme="minorHAnsi" w:cstheme="minorBidi"/>
          <w:sz w:val="24"/>
          <w:szCs w:val="24"/>
          <w:lang w:eastAsia="en-US"/>
        </w:rPr>
        <w:t xml:space="preserve">ali i krađe identiteta te mogućnosti otkrivanja osobnih podataka koji su pohranjeni npr. na čipu kartice, </w:t>
      </w:r>
      <w:r>
        <w:rPr>
          <w:rFonts w:asciiTheme="minorHAnsi" w:eastAsiaTheme="minorHAnsi" w:hAnsiTheme="minorHAnsi" w:cstheme="minorBidi"/>
          <w:sz w:val="24"/>
          <w:szCs w:val="24"/>
          <w:lang w:eastAsia="en-US"/>
        </w:rPr>
        <w:t xml:space="preserve">postavlja se pitanje </w:t>
      </w:r>
      <w:r w:rsidRPr="003E5E99">
        <w:rPr>
          <w:rFonts w:asciiTheme="minorHAnsi" w:eastAsiaTheme="minorHAnsi" w:hAnsiTheme="minorHAnsi" w:cstheme="minorBidi"/>
          <w:color w:val="C00000"/>
          <w:sz w:val="24"/>
          <w:szCs w:val="24"/>
          <w:lang w:eastAsia="en-US"/>
        </w:rPr>
        <w:t xml:space="preserve">zbog </w:t>
      </w:r>
      <w:r w:rsidRPr="003E5E99">
        <w:rPr>
          <w:rFonts w:asciiTheme="minorHAnsi" w:eastAsiaTheme="minorHAnsi" w:hAnsiTheme="minorHAnsi" w:cstheme="minorBidi"/>
          <w:color w:val="C00000"/>
          <w:sz w:val="24"/>
          <w:szCs w:val="24"/>
          <w:lang w:eastAsia="en-US"/>
        </w:rPr>
        <w:lastRenderedPageBreak/>
        <w:t>čega građani uopće koriste takve proizvode</w:t>
      </w:r>
      <w:r>
        <w:rPr>
          <w:rFonts w:asciiTheme="minorHAnsi" w:eastAsiaTheme="minorHAnsi" w:hAnsiTheme="minorHAnsi" w:cstheme="minorBidi"/>
          <w:sz w:val="24"/>
          <w:szCs w:val="24"/>
          <w:lang w:eastAsia="en-US"/>
        </w:rPr>
        <w:t xml:space="preserve">, a odgovori </w:t>
      </w:r>
      <w:r w:rsidR="00381224">
        <w:rPr>
          <w:rFonts w:asciiTheme="minorHAnsi" w:eastAsiaTheme="minorHAnsi" w:hAnsiTheme="minorHAnsi" w:cstheme="minorBidi"/>
          <w:sz w:val="24"/>
          <w:szCs w:val="24"/>
          <w:lang w:eastAsia="en-US"/>
        </w:rPr>
        <w:t xml:space="preserve">se </w:t>
      </w:r>
      <w:r>
        <w:rPr>
          <w:rFonts w:asciiTheme="minorHAnsi" w:eastAsiaTheme="minorHAnsi" w:hAnsiTheme="minorHAnsi" w:cstheme="minorBidi"/>
          <w:sz w:val="24"/>
          <w:szCs w:val="24"/>
          <w:lang w:eastAsia="en-US"/>
        </w:rPr>
        <w:t xml:space="preserve">dijelom mogu razlikovati od slučaja </w:t>
      </w:r>
      <w:r w:rsidR="00381224">
        <w:rPr>
          <w:rFonts w:asciiTheme="minorHAnsi" w:eastAsiaTheme="minorHAnsi" w:hAnsiTheme="minorHAnsi" w:cstheme="minorBidi"/>
          <w:sz w:val="24"/>
          <w:szCs w:val="24"/>
          <w:lang w:eastAsia="en-US"/>
        </w:rPr>
        <w:t>jedne osobe u odnosu na drug</w:t>
      </w:r>
      <w:r w:rsidR="003E5E99">
        <w:rPr>
          <w:rFonts w:asciiTheme="minorHAnsi" w:eastAsiaTheme="minorHAnsi" w:hAnsiTheme="minorHAnsi" w:cstheme="minorBidi"/>
          <w:sz w:val="24"/>
          <w:szCs w:val="24"/>
          <w:lang w:eastAsia="en-US"/>
        </w:rPr>
        <w:t>u</w:t>
      </w:r>
      <w:r w:rsidR="00381224">
        <w:rPr>
          <w:rFonts w:asciiTheme="minorHAnsi" w:eastAsiaTheme="minorHAnsi" w:hAnsiTheme="minorHAnsi" w:cstheme="minorBidi"/>
          <w:sz w:val="24"/>
          <w:szCs w:val="24"/>
          <w:lang w:eastAsia="en-US"/>
        </w:rPr>
        <w:t xml:space="preserve"> (npr. nekome je važan društveni status o kojem dijelom govori i </w:t>
      </w:r>
      <w:r w:rsidR="003E5E99">
        <w:rPr>
          <w:rFonts w:asciiTheme="minorHAnsi" w:eastAsiaTheme="minorHAnsi" w:hAnsiTheme="minorHAnsi" w:cstheme="minorBidi"/>
          <w:sz w:val="24"/>
          <w:szCs w:val="24"/>
          <w:lang w:eastAsia="en-US"/>
        </w:rPr>
        <w:t xml:space="preserve">mogućnost </w:t>
      </w:r>
      <w:r w:rsidR="00381224">
        <w:rPr>
          <w:rFonts w:asciiTheme="minorHAnsi" w:eastAsiaTheme="minorHAnsi" w:hAnsiTheme="minorHAnsi" w:cstheme="minorBidi"/>
          <w:sz w:val="24"/>
          <w:szCs w:val="24"/>
          <w:lang w:eastAsia="en-US"/>
        </w:rPr>
        <w:t>korištenja kreditne kartice, npr. zlatne, platinaste itd.)</w:t>
      </w:r>
      <w:r>
        <w:rPr>
          <w:rFonts w:asciiTheme="minorHAnsi" w:eastAsiaTheme="minorHAnsi" w:hAnsiTheme="minorHAnsi" w:cstheme="minorBidi"/>
          <w:sz w:val="24"/>
          <w:szCs w:val="24"/>
          <w:lang w:eastAsia="en-US"/>
        </w:rPr>
        <w:t xml:space="preserve">, </w:t>
      </w:r>
      <w:r w:rsidR="00381224">
        <w:rPr>
          <w:rFonts w:asciiTheme="minorHAnsi" w:eastAsiaTheme="minorHAnsi" w:hAnsiTheme="minorHAnsi" w:cstheme="minorBidi"/>
          <w:sz w:val="24"/>
          <w:szCs w:val="24"/>
          <w:lang w:eastAsia="en-US"/>
        </w:rPr>
        <w:t xml:space="preserve">a mogu se razlikovati i </w:t>
      </w:r>
      <w:r>
        <w:rPr>
          <w:rFonts w:asciiTheme="minorHAnsi" w:eastAsiaTheme="minorHAnsi" w:hAnsiTheme="minorHAnsi" w:cstheme="minorBidi"/>
          <w:sz w:val="24"/>
          <w:szCs w:val="24"/>
          <w:lang w:eastAsia="en-US"/>
        </w:rPr>
        <w:t>od jedne zemlje do druge. Na primjer u SAD-u i Velik</w:t>
      </w:r>
      <w:r w:rsidR="003E5E99">
        <w:rPr>
          <w:rFonts w:asciiTheme="minorHAnsi" w:eastAsiaTheme="minorHAnsi" w:hAnsiTheme="minorHAnsi" w:cstheme="minorBidi"/>
          <w:sz w:val="24"/>
          <w:szCs w:val="24"/>
          <w:lang w:eastAsia="en-US"/>
        </w:rPr>
        <w:t>oj Britaniji  unajmljivanje soba</w:t>
      </w:r>
      <w:r>
        <w:rPr>
          <w:rFonts w:asciiTheme="minorHAnsi" w:eastAsiaTheme="minorHAnsi" w:hAnsiTheme="minorHAnsi" w:cstheme="minorBidi"/>
          <w:sz w:val="24"/>
          <w:szCs w:val="24"/>
          <w:lang w:eastAsia="en-US"/>
        </w:rPr>
        <w:t xml:space="preserve"> u hotelima često nije moguće bez tzv. sigurnosnog pologa ili </w:t>
      </w:r>
      <w:r w:rsidR="003E5E99">
        <w:rPr>
          <w:rFonts w:asciiTheme="minorHAnsi" w:eastAsiaTheme="minorHAnsi" w:hAnsiTheme="minorHAnsi" w:cstheme="minorBidi"/>
          <w:sz w:val="24"/>
          <w:szCs w:val="24"/>
          <w:lang w:eastAsia="en-US"/>
        </w:rPr>
        <w:t>„</w:t>
      </w:r>
      <w:r>
        <w:rPr>
          <w:rFonts w:asciiTheme="minorHAnsi" w:eastAsiaTheme="minorHAnsi" w:hAnsiTheme="minorHAnsi" w:cstheme="minorBidi"/>
          <w:sz w:val="24"/>
          <w:szCs w:val="24"/>
          <w:lang w:eastAsia="en-US"/>
        </w:rPr>
        <w:t xml:space="preserve">otvorenog </w:t>
      </w:r>
      <w:r w:rsidR="003E5E99">
        <w:rPr>
          <w:rFonts w:asciiTheme="minorHAnsi" w:eastAsiaTheme="minorHAnsi" w:hAnsiTheme="minorHAnsi" w:cstheme="minorBidi"/>
          <w:sz w:val="24"/>
          <w:szCs w:val="24"/>
          <w:lang w:eastAsia="en-US"/>
        </w:rPr>
        <w:t>depozita“</w:t>
      </w:r>
      <w:r>
        <w:rPr>
          <w:rFonts w:asciiTheme="minorHAnsi" w:eastAsiaTheme="minorHAnsi" w:hAnsiTheme="minorHAnsi" w:cstheme="minorBidi"/>
          <w:sz w:val="24"/>
          <w:szCs w:val="24"/>
          <w:lang w:eastAsia="en-US"/>
        </w:rPr>
        <w:t xml:space="preserve"> koji se potvrđuje kartičnim proizvodom, </w:t>
      </w:r>
      <w:r w:rsidR="003E5E99">
        <w:rPr>
          <w:rFonts w:asciiTheme="minorHAnsi" w:eastAsiaTheme="minorHAnsi" w:hAnsiTheme="minorHAnsi" w:cstheme="minorBidi"/>
          <w:sz w:val="24"/>
          <w:szCs w:val="24"/>
          <w:lang w:eastAsia="en-US"/>
        </w:rPr>
        <w:t xml:space="preserve">a služi za podmirenje eventualnih dodatnih troškova hotela koje gost nije platio ili za pokriće </w:t>
      </w:r>
      <w:r w:rsidR="00A824BD">
        <w:rPr>
          <w:rFonts w:asciiTheme="minorHAnsi" w:eastAsiaTheme="minorHAnsi" w:hAnsiTheme="minorHAnsi" w:cstheme="minorBidi"/>
          <w:sz w:val="24"/>
          <w:szCs w:val="24"/>
          <w:lang w:eastAsia="en-US"/>
        </w:rPr>
        <w:t>eventualnih</w:t>
      </w:r>
      <w:r w:rsidR="003E5E99">
        <w:rPr>
          <w:rFonts w:asciiTheme="minorHAnsi" w:eastAsiaTheme="minorHAnsi" w:hAnsiTheme="minorHAnsi" w:cstheme="minorBidi"/>
          <w:sz w:val="24"/>
          <w:szCs w:val="24"/>
          <w:lang w:eastAsia="en-US"/>
        </w:rPr>
        <w:t xml:space="preserve"> šteta na imovini hotela. </w:t>
      </w:r>
      <w:r w:rsidR="00A824BD">
        <w:rPr>
          <w:rFonts w:asciiTheme="minorHAnsi" w:eastAsiaTheme="minorHAnsi" w:hAnsiTheme="minorHAnsi" w:cstheme="minorBidi"/>
          <w:sz w:val="24"/>
          <w:szCs w:val="24"/>
          <w:lang w:eastAsia="en-US"/>
        </w:rPr>
        <w:t xml:space="preserve">(Navedeno vrijedi neovisno da li su prethodno plaćeni troškovi smještaja u hotelu, odnosno ima li gost vaučer koji to potvrđuje,.) </w:t>
      </w:r>
      <w:r w:rsidR="003E5E99">
        <w:rPr>
          <w:rFonts w:asciiTheme="minorHAnsi" w:eastAsiaTheme="minorHAnsi" w:hAnsiTheme="minorHAnsi" w:cstheme="minorBidi"/>
          <w:sz w:val="24"/>
          <w:szCs w:val="24"/>
          <w:lang w:eastAsia="en-US"/>
        </w:rPr>
        <w:t>D</w:t>
      </w:r>
      <w:r>
        <w:rPr>
          <w:rFonts w:asciiTheme="minorHAnsi" w:eastAsiaTheme="minorHAnsi" w:hAnsiTheme="minorHAnsi" w:cstheme="minorBidi"/>
          <w:sz w:val="24"/>
          <w:szCs w:val="24"/>
          <w:lang w:eastAsia="en-US"/>
        </w:rPr>
        <w:t>odano postoje i prodajna mjesta koja pri</w:t>
      </w:r>
      <w:r w:rsidR="00381224">
        <w:rPr>
          <w:rFonts w:asciiTheme="minorHAnsi" w:eastAsiaTheme="minorHAnsi" w:hAnsiTheme="minorHAnsi" w:cstheme="minorBidi"/>
          <w:sz w:val="24"/>
          <w:szCs w:val="24"/>
          <w:lang w:eastAsia="en-US"/>
        </w:rPr>
        <w:t xml:space="preserve">hvaćaju </w:t>
      </w:r>
      <w:r>
        <w:rPr>
          <w:rFonts w:asciiTheme="minorHAnsi" w:eastAsiaTheme="minorHAnsi" w:hAnsiTheme="minorHAnsi" w:cstheme="minorBidi"/>
          <w:sz w:val="24"/>
          <w:szCs w:val="24"/>
          <w:lang w:eastAsia="en-US"/>
        </w:rPr>
        <w:t>kreditne k</w:t>
      </w:r>
      <w:r w:rsidR="00381224">
        <w:rPr>
          <w:rFonts w:asciiTheme="minorHAnsi" w:eastAsiaTheme="minorHAnsi" w:hAnsiTheme="minorHAnsi" w:cstheme="minorBidi"/>
          <w:sz w:val="24"/>
          <w:szCs w:val="24"/>
          <w:lang w:eastAsia="en-US"/>
        </w:rPr>
        <w:t xml:space="preserve">artice i charge kartice, ali nemaju uopće mogućnost provođenja transakcija </w:t>
      </w:r>
      <w:r>
        <w:rPr>
          <w:rFonts w:asciiTheme="minorHAnsi" w:eastAsiaTheme="minorHAnsi" w:hAnsiTheme="minorHAnsi" w:cstheme="minorBidi"/>
          <w:sz w:val="24"/>
          <w:szCs w:val="24"/>
          <w:lang w:eastAsia="en-US"/>
        </w:rPr>
        <w:t>debitn</w:t>
      </w:r>
      <w:r w:rsidR="00381224">
        <w:rPr>
          <w:rFonts w:asciiTheme="minorHAnsi" w:eastAsiaTheme="minorHAnsi" w:hAnsiTheme="minorHAnsi" w:cstheme="minorBidi"/>
          <w:sz w:val="24"/>
          <w:szCs w:val="24"/>
          <w:lang w:eastAsia="en-US"/>
        </w:rPr>
        <w:t>im</w:t>
      </w:r>
      <w:r>
        <w:rPr>
          <w:rFonts w:asciiTheme="minorHAnsi" w:eastAsiaTheme="minorHAnsi" w:hAnsiTheme="minorHAnsi" w:cstheme="minorBidi"/>
          <w:sz w:val="24"/>
          <w:szCs w:val="24"/>
          <w:lang w:eastAsia="en-US"/>
        </w:rPr>
        <w:t xml:space="preserve"> kartic</w:t>
      </w:r>
      <w:r w:rsidR="00381224">
        <w:rPr>
          <w:rFonts w:asciiTheme="minorHAnsi" w:eastAsiaTheme="minorHAnsi" w:hAnsiTheme="minorHAnsi" w:cstheme="minorBidi"/>
          <w:sz w:val="24"/>
          <w:szCs w:val="24"/>
          <w:lang w:eastAsia="en-US"/>
        </w:rPr>
        <w:t xml:space="preserve">ama (pa onda pored trgovine ili čak uz blagajnu trgovine </w:t>
      </w:r>
      <w:r w:rsidR="003E5E99">
        <w:rPr>
          <w:rFonts w:asciiTheme="minorHAnsi" w:eastAsiaTheme="minorHAnsi" w:hAnsiTheme="minorHAnsi" w:cstheme="minorBidi"/>
          <w:sz w:val="24"/>
          <w:szCs w:val="24"/>
          <w:lang w:eastAsia="en-US"/>
        </w:rPr>
        <w:t xml:space="preserve">vrlo često </w:t>
      </w:r>
      <w:r w:rsidR="00381224">
        <w:rPr>
          <w:rFonts w:asciiTheme="minorHAnsi" w:eastAsiaTheme="minorHAnsi" w:hAnsiTheme="minorHAnsi" w:cstheme="minorBidi"/>
          <w:sz w:val="24"/>
          <w:szCs w:val="24"/>
          <w:lang w:eastAsia="en-US"/>
        </w:rPr>
        <w:t>stoji bankomat)</w:t>
      </w:r>
      <w:r>
        <w:rPr>
          <w:rFonts w:asciiTheme="minorHAnsi" w:eastAsiaTheme="minorHAnsi" w:hAnsiTheme="minorHAnsi" w:cstheme="minorBidi"/>
          <w:sz w:val="24"/>
          <w:szCs w:val="24"/>
          <w:lang w:eastAsia="en-US"/>
        </w:rPr>
        <w:t xml:space="preserve">. </w:t>
      </w:r>
      <w:r w:rsidR="00381224">
        <w:rPr>
          <w:rFonts w:asciiTheme="minorHAnsi" w:eastAsiaTheme="minorHAnsi" w:hAnsiTheme="minorHAnsi" w:cstheme="minorBidi"/>
          <w:sz w:val="24"/>
          <w:szCs w:val="24"/>
          <w:lang w:eastAsia="en-US"/>
        </w:rPr>
        <w:t xml:space="preserve">Korištenje usluga renta cara u SAD-u često je nemoguće bez kreditne kartice ili charge kartice, a u istu svrhu </w:t>
      </w:r>
      <w:r w:rsidR="003E5E99">
        <w:rPr>
          <w:rFonts w:asciiTheme="minorHAnsi" w:eastAsiaTheme="minorHAnsi" w:hAnsiTheme="minorHAnsi" w:cstheme="minorBidi"/>
          <w:sz w:val="24"/>
          <w:szCs w:val="24"/>
          <w:lang w:eastAsia="en-US"/>
        </w:rPr>
        <w:t xml:space="preserve">nije moguće </w:t>
      </w:r>
      <w:r w:rsidR="00381224">
        <w:rPr>
          <w:rFonts w:asciiTheme="minorHAnsi" w:eastAsiaTheme="minorHAnsi" w:hAnsiTheme="minorHAnsi" w:cstheme="minorBidi"/>
          <w:sz w:val="24"/>
          <w:szCs w:val="24"/>
          <w:lang w:eastAsia="en-US"/>
        </w:rPr>
        <w:t>koristiti debitn</w:t>
      </w:r>
      <w:r w:rsidR="003E5E99">
        <w:rPr>
          <w:rFonts w:asciiTheme="minorHAnsi" w:eastAsiaTheme="minorHAnsi" w:hAnsiTheme="minorHAnsi" w:cstheme="minorBidi"/>
          <w:sz w:val="24"/>
          <w:szCs w:val="24"/>
          <w:lang w:eastAsia="en-US"/>
        </w:rPr>
        <w:t>u</w:t>
      </w:r>
      <w:r w:rsidR="00381224">
        <w:rPr>
          <w:rFonts w:asciiTheme="minorHAnsi" w:eastAsiaTheme="minorHAnsi" w:hAnsiTheme="minorHAnsi" w:cstheme="minorBidi"/>
          <w:sz w:val="24"/>
          <w:szCs w:val="24"/>
          <w:lang w:eastAsia="en-US"/>
        </w:rPr>
        <w:t xml:space="preserve"> kartic</w:t>
      </w:r>
      <w:r w:rsidR="003E5E99">
        <w:rPr>
          <w:rFonts w:asciiTheme="minorHAnsi" w:eastAsiaTheme="minorHAnsi" w:hAnsiTheme="minorHAnsi" w:cstheme="minorBidi"/>
          <w:sz w:val="24"/>
          <w:szCs w:val="24"/>
          <w:lang w:eastAsia="en-US"/>
        </w:rPr>
        <w:t>u</w:t>
      </w:r>
      <w:r w:rsidR="00381224">
        <w:rPr>
          <w:rFonts w:asciiTheme="minorHAnsi" w:eastAsiaTheme="minorHAnsi" w:hAnsiTheme="minorHAnsi" w:cstheme="minorBidi"/>
          <w:sz w:val="24"/>
          <w:szCs w:val="24"/>
          <w:lang w:eastAsia="en-US"/>
        </w:rPr>
        <w:t>. S druge strane, kreditne kartice i charge kartice su obilježje potrošačkog društva SAD-a koje ima naviku plaća</w:t>
      </w:r>
      <w:r w:rsidR="003E5E99">
        <w:rPr>
          <w:rFonts w:asciiTheme="minorHAnsi" w:eastAsiaTheme="minorHAnsi" w:hAnsiTheme="minorHAnsi" w:cstheme="minorBidi"/>
          <w:sz w:val="24"/>
          <w:szCs w:val="24"/>
          <w:lang w:eastAsia="en-US"/>
        </w:rPr>
        <w:t xml:space="preserve">nja </w:t>
      </w:r>
      <w:r w:rsidR="00381224">
        <w:rPr>
          <w:rFonts w:asciiTheme="minorHAnsi" w:eastAsiaTheme="minorHAnsi" w:hAnsiTheme="minorHAnsi" w:cstheme="minorBidi"/>
          <w:sz w:val="24"/>
          <w:szCs w:val="24"/>
          <w:lang w:eastAsia="en-US"/>
        </w:rPr>
        <w:t xml:space="preserve">na rate, </w:t>
      </w:r>
      <w:r w:rsidR="003E5E99">
        <w:rPr>
          <w:rFonts w:asciiTheme="minorHAnsi" w:eastAsiaTheme="minorHAnsi" w:hAnsiTheme="minorHAnsi" w:cstheme="minorBidi"/>
          <w:sz w:val="24"/>
          <w:szCs w:val="24"/>
          <w:lang w:eastAsia="en-US"/>
        </w:rPr>
        <w:t xml:space="preserve">odnosno kupnju robe i usluga </w:t>
      </w:r>
      <w:r w:rsidR="00381224">
        <w:rPr>
          <w:rFonts w:asciiTheme="minorHAnsi" w:eastAsiaTheme="minorHAnsi" w:hAnsiTheme="minorHAnsi" w:cstheme="minorBidi"/>
          <w:sz w:val="24"/>
          <w:szCs w:val="24"/>
          <w:lang w:eastAsia="en-US"/>
        </w:rPr>
        <w:t xml:space="preserve">s odgodom plaćanja </w:t>
      </w:r>
      <w:r w:rsidR="003E5E99">
        <w:rPr>
          <w:rFonts w:asciiTheme="minorHAnsi" w:eastAsiaTheme="minorHAnsi" w:hAnsiTheme="minorHAnsi" w:cstheme="minorBidi"/>
          <w:sz w:val="24"/>
          <w:szCs w:val="24"/>
          <w:lang w:eastAsia="en-US"/>
        </w:rPr>
        <w:t xml:space="preserve">- </w:t>
      </w:r>
      <w:r w:rsidR="00381224">
        <w:rPr>
          <w:rFonts w:asciiTheme="minorHAnsi" w:eastAsiaTheme="minorHAnsi" w:hAnsiTheme="minorHAnsi" w:cstheme="minorBidi"/>
          <w:sz w:val="24"/>
          <w:szCs w:val="24"/>
          <w:lang w:eastAsia="en-US"/>
        </w:rPr>
        <w:t>a što nije moguće u slučaju korištenja gotovine ili debitne, odnosno prepaid platne kartice.</w:t>
      </w:r>
      <w:r w:rsidR="00A36B9B">
        <w:rPr>
          <w:rFonts w:asciiTheme="minorHAnsi" w:eastAsiaTheme="minorHAnsi" w:hAnsiTheme="minorHAnsi" w:cstheme="minorBidi"/>
          <w:sz w:val="24"/>
          <w:szCs w:val="24"/>
          <w:lang w:eastAsia="en-US"/>
        </w:rPr>
        <w:t xml:space="preserve"> Dodatno premije za izvršavanje transakcija koje kao trošak snose prodajna mjesta nisu visoke</w:t>
      </w:r>
      <w:r w:rsidR="003E5E99">
        <w:rPr>
          <w:rFonts w:asciiTheme="minorHAnsi" w:eastAsiaTheme="minorHAnsi" w:hAnsiTheme="minorHAnsi" w:cstheme="minorBidi"/>
          <w:sz w:val="24"/>
          <w:szCs w:val="24"/>
          <w:lang w:eastAsia="en-US"/>
        </w:rPr>
        <w:t xml:space="preserve"> kao u pojedinim europskim zemljama (</w:t>
      </w:r>
      <w:r w:rsidR="00A36B9B">
        <w:rPr>
          <w:rFonts w:asciiTheme="minorHAnsi" w:eastAsiaTheme="minorHAnsi" w:hAnsiTheme="minorHAnsi" w:cstheme="minorBidi"/>
          <w:sz w:val="24"/>
          <w:szCs w:val="24"/>
          <w:lang w:eastAsia="en-US"/>
        </w:rPr>
        <w:t>ali i u tom slučaju i ti troškovi su uključeni u cijenu roba i usluga</w:t>
      </w:r>
      <w:r w:rsidR="003E5E99">
        <w:rPr>
          <w:rFonts w:asciiTheme="minorHAnsi" w:eastAsiaTheme="minorHAnsi" w:hAnsiTheme="minorHAnsi" w:cstheme="minorBidi"/>
          <w:sz w:val="24"/>
          <w:szCs w:val="24"/>
          <w:lang w:eastAsia="en-US"/>
        </w:rPr>
        <w:t>)</w:t>
      </w:r>
      <w:r w:rsidR="00A36B9B">
        <w:rPr>
          <w:rFonts w:asciiTheme="minorHAnsi" w:eastAsiaTheme="minorHAnsi" w:hAnsiTheme="minorHAnsi" w:cstheme="minorBidi"/>
          <w:sz w:val="24"/>
          <w:szCs w:val="24"/>
          <w:lang w:eastAsia="en-US"/>
        </w:rPr>
        <w:t xml:space="preserve">. </w:t>
      </w:r>
    </w:p>
    <w:p w:rsidR="006A59B6" w:rsidRDefault="00214728" w:rsidP="00711B33">
      <w:pPr>
        <w:pStyle w:val="Tekstfusnote"/>
        <w:spacing w:before="240" w:after="12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Izvršavanje platnih transakcija korištenjem kreditnih kartica i sličnih kartičnih proizvoda </w:t>
      </w:r>
      <w:r w:rsidR="00001D95" w:rsidRPr="00746914">
        <w:rPr>
          <w:rFonts w:asciiTheme="minorHAnsi" w:eastAsiaTheme="minorHAnsi" w:hAnsiTheme="minorHAnsi" w:cstheme="minorBidi"/>
          <w:sz w:val="24"/>
          <w:szCs w:val="24"/>
          <w:lang w:eastAsia="en-US"/>
        </w:rPr>
        <w:t>posebno dolazi do izražaja u situacijama kada osoba ne raspolaže gotovinom niti raspoloživim sredstvima na tekućem računu, a kupnju roba i usluga je nužno izvršiti</w:t>
      </w:r>
      <w:r w:rsidR="00746914" w:rsidRPr="00746914">
        <w:rPr>
          <w:rFonts w:asciiTheme="minorHAnsi" w:eastAsiaTheme="minorHAnsi" w:hAnsiTheme="minorHAnsi" w:cstheme="minorBidi"/>
          <w:sz w:val="24"/>
          <w:szCs w:val="24"/>
          <w:lang w:eastAsia="en-US"/>
        </w:rPr>
        <w:t xml:space="preserve"> ili je racionalno iskoristiti određeni popust ili prodajne akcije koje kasnije neće biti dostupne</w:t>
      </w:r>
      <w:r w:rsidR="00001D95" w:rsidRPr="00746914">
        <w:rPr>
          <w:rFonts w:asciiTheme="minorHAnsi" w:eastAsiaTheme="minorHAnsi" w:hAnsiTheme="minorHAnsi" w:cstheme="minorBidi"/>
          <w:sz w:val="24"/>
          <w:szCs w:val="24"/>
          <w:lang w:eastAsia="en-US"/>
        </w:rPr>
        <w:t xml:space="preserve">. </w:t>
      </w:r>
      <w:r w:rsidR="00746914" w:rsidRPr="00746914">
        <w:rPr>
          <w:rFonts w:asciiTheme="minorHAnsi" w:eastAsiaTheme="minorHAnsi" w:hAnsiTheme="minorHAnsi" w:cstheme="minorBidi"/>
          <w:sz w:val="24"/>
          <w:szCs w:val="24"/>
          <w:lang w:eastAsia="en-US"/>
        </w:rPr>
        <w:t>I</w:t>
      </w:r>
      <w:r w:rsidR="00001D95" w:rsidRPr="00746914">
        <w:rPr>
          <w:rFonts w:asciiTheme="minorHAnsi" w:eastAsiaTheme="minorHAnsi" w:hAnsiTheme="minorHAnsi" w:cstheme="minorBidi"/>
          <w:sz w:val="24"/>
          <w:szCs w:val="24"/>
          <w:lang w:eastAsia="en-US"/>
        </w:rPr>
        <w:t>sto tako predstavljaju i pogodan instrument za upravljanje novčanim tokom</w:t>
      </w:r>
      <w:r w:rsidR="00746914" w:rsidRPr="00746914">
        <w:rPr>
          <w:rFonts w:asciiTheme="minorHAnsi" w:eastAsiaTheme="minorHAnsi" w:hAnsiTheme="minorHAnsi" w:cstheme="minorBidi"/>
          <w:sz w:val="24"/>
          <w:szCs w:val="24"/>
          <w:lang w:eastAsia="en-US"/>
        </w:rPr>
        <w:t>, vodeći računa da novac danas vrijedi više nego u budućnosti te da se financijskim planiranjem može upravljati usklađenošću novčanih primitaka sa datumima izvršenja izdataka, odnosno rokovima dospijeća podmirenja troškova učinjenih charge ili kreditnim karticama</w:t>
      </w:r>
      <w:r w:rsidR="00001D95" w:rsidRPr="00746914">
        <w:rPr>
          <w:rFonts w:asciiTheme="minorHAnsi" w:eastAsiaTheme="minorHAnsi" w:hAnsiTheme="minorHAnsi" w:cstheme="minorBidi"/>
          <w:sz w:val="24"/>
          <w:szCs w:val="24"/>
          <w:lang w:eastAsia="en-US"/>
        </w:rPr>
        <w:t xml:space="preserve">. </w:t>
      </w:r>
    </w:p>
    <w:p w:rsidR="00CB08FC" w:rsidRDefault="00001D95" w:rsidP="00711B33">
      <w:pPr>
        <w:pStyle w:val="Tekstfusnote"/>
        <w:spacing w:before="240" w:after="120" w:line="276" w:lineRule="auto"/>
        <w:jc w:val="both"/>
        <w:rPr>
          <w:rFonts w:asciiTheme="minorHAnsi" w:eastAsiaTheme="minorHAnsi" w:hAnsiTheme="minorHAnsi" w:cstheme="minorBidi"/>
          <w:sz w:val="24"/>
          <w:szCs w:val="24"/>
          <w:lang w:eastAsia="en-US"/>
        </w:rPr>
      </w:pPr>
      <w:r w:rsidRPr="00746914">
        <w:rPr>
          <w:rFonts w:asciiTheme="minorHAnsi" w:eastAsiaTheme="minorHAnsi" w:hAnsiTheme="minorHAnsi" w:cstheme="minorBidi"/>
          <w:sz w:val="24"/>
          <w:szCs w:val="24"/>
          <w:lang w:eastAsia="en-US"/>
        </w:rPr>
        <w:t xml:space="preserve">Naime, dok debitne i prepaid kartice </w:t>
      </w:r>
      <w:r w:rsidR="004A0F79" w:rsidRPr="00746914">
        <w:rPr>
          <w:rFonts w:asciiTheme="minorHAnsi" w:eastAsiaTheme="minorHAnsi" w:hAnsiTheme="minorHAnsi" w:cstheme="minorBidi"/>
          <w:sz w:val="24"/>
          <w:szCs w:val="24"/>
          <w:lang w:eastAsia="en-US"/>
        </w:rPr>
        <w:t>omogućavaju plaćanja za koja će se troškovi</w:t>
      </w:r>
      <w:r w:rsidR="00AE402F">
        <w:rPr>
          <w:rFonts w:asciiTheme="minorHAnsi" w:eastAsiaTheme="minorHAnsi" w:hAnsiTheme="minorHAnsi" w:cstheme="minorBidi"/>
          <w:sz w:val="24"/>
          <w:szCs w:val="24"/>
          <w:lang w:eastAsia="en-US"/>
        </w:rPr>
        <w:t xml:space="preserve"> naplatiti u vrlo kratkom roku /</w:t>
      </w:r>
      <w:r w:rsidR="004A0F79" w:rsidRPr="00746914">
        <w:rPr>
          <w:rFonts w:asciiTheme="minorHAnsi" w:eastAsiaTheme="minorHAnsi" w:hAnsiTheme="minorHAnsi" w:cstheme="minorBidi"/>
          <w:sz w:val="24"/>
          <w:szCs w:val="24"/>
          <w:lang w:eastAsia="en-US"/>
        </w:rPr>
        <w:t xml:space="preserve"> odmah u trenutku provođenja platne transakcije, kreditne i charge kartice omogućavaju </w:t>
      </w:r>
      <w:r w:rsidR="004A0F79" w:rsidRPr="00AE402F">
        <w:rPr>
          <w:rFonts w:asciiTheme="minorHAnsi" w:eastAsiaTheme="minorHAnsi" w:hAnsiTheme="minorHAnsi" w:cstheme="minorBidi"/>
          <w:color w:val="C00000"/>
          <w:sz w:val="24"/>
          <w:szCs w:val="24"/>
          <w:lang w:eastAsia="en-US"/>
        </w:rPr>
        <w:t>odgodu u plaćanju</w:t>
      </w:r>
      <w:r w:rsidR="00746914" w:rsidRPr="00AE402F">
        <w:rPr>
          <w:rFonts w:asciiTheme="minorHAnsi" w:eastAsiaTheme="minorHAnsi" w:hAnsiTheme="minorHAnsi" w:cstheme="minorBidi"/>
          <w:color w:val="C00000"/>
          <w:sz w:val="24"/>
          <w:szCs w:val="24"/>
          <w:lang w:eastAsia="en-US"/>
        </w:rPr>
        <w:t xml:space="preserve"> na koju se ne plaćaju kamate ukoliko se učinjeni troškovi podmiruju do određenog datuma </w:t>
      </w:r>
      <w:r w:rsidR="00746914" w:rsidRPr="00746914">
        <w:rPr>
          <w:rFonts w:asciiTheme="minorHAnsi" w:eastAsiaTheme="minorHAnsi" w:hAnsiTheme="minorHAnsi" w:cstheme="minorBidi"/>
          <w:sz w:val="24"/>
          <w:szCs w:val="24"/>
          <w:lang w:eastAsia="en-US"/>
        </w:rPr>
        <w:t>(npr. 10 dana po obračunu svih troškova za prethodno obračunsko razdoblje)</w:t>
      </w:r>
      <w:r w:rsidR="004A0F79" w:rsidRPr="00746914">
        <w:rPr>
          <w:rFonts w:asciiTheme="minorHAnsi" w:eastAsiaTheme="minorHAnsi" w:hAnsiTheme="minorHAnsi" w:cstheme="minorBidi"/>
          <w:sz w:val="24"/>
          <w:szCs w:val="24"/>
          <w:lang w:eastAsia="en-US"/>
        </w:rPr>
        <w:t xml:space="preserve">. </w:t>
      </w:r>
      <w:r w:rsidR="00AE402F">
        <w:rPr>
          <w:rFonts w:asciiTheme="minorHAnsi" w:eastAsiaTheme="minorHAnsi" w:hAnsiTheme="minorHAnsi" w:cstheme="minorBidi"/>
          <w:sz w:val="24"/>
          <w:szCs w:val="24"/>
          <w:lang w:eastAsia="en-US"/>
        </w:rPr>
        <w:t xml:space="preserve">Kako odgoda plaćanja podrazumijeva beskamatno kreditiranje prikladan su instrument za planiranje izvršenja plaćanja izdataka kućanstva u određenim skorim ali ipak vremenski odgođenim razdobljima. Međutim, ujedno su i instrumenti uz koje se vežu </w:t>
      </w:r>
      <w:r w:rsidR="00AE402F" w:rsidRPr="00AC075C">
        <w:rPr>
          <w:rFonts w:asciiTheme="minorHAnsi" w:eastAsiaTheme="minorHAnsi" w:hAnsiTheme="minorHAnsi" w:cstheme="minorBidi"/>
          <w:color w:val="C00000"/>
          <w:sz w:val="24"/>
          <w:szCs w:val="24"/>
          <w:lang w:eastAsia="en-US"/>
        </w:rPr>
        <w:t>dodatni troškovi, npr. upisnine i godišnje članarine</w:t>
      </w:r>
      <w:r w:rsidR="00AE402F">
        <w:rPr>
          <w:rFonts w:asciiTheme="minorHAnsi" w:eastAsiaTheme="minorHAnsi" w:hAnsiTheme="minorHAnsi" w:cstheme="minorBidi"/>
          <w:sz w:val="24"/>
          <w:szCs w:val="24"/>
          <w:lang w:eastAsia="en-US"/>
        </w:rPr>
        <w:t xml:space="preserve">, a ti troškovi mogu biti veći nego u slučaju korištenja debitnih kartica (a posebno u slučaju ako se plaća samo naknada za vođenje tekućeg računa bez pakete usluga). </w:t>
      </w:r>
      <w:r w:rsidR="00CB08FC">
        <w:rPr>
          <w:rFonts w:asciiTheme="minorHAnsi" w:eastAsiaTheme="minorHAnsi" w:hAnsiTheme="minorHAnsi" w:cstheme="minorBidi"/>
          <w:sz w:val="24"/>
          <w:szCs w:val="24"/>
          <w:lang w:eastAsia="en-US"/>
        </w:rPr>
        <w:t xml:space="preserve">Dodatno, u slučajevima plaćanja putem nabrojenih kartičnih proizvoda korisnik najčešće nema pravo na popust kao u slučaju plaćanja gotovinom ili (kod pojedinih trgovačkih društva) u slučaju plaćanja debitnim karticama. </w:t>
      </w:r>
    </w:p>
    <w:p w:rsidR="00993C0C" w:rsidRDefault="00CB08FC" w:rsidP="00993C0C">
      <w:pPr>
        <w:pStyle w:val="Tekstfusnote"/>
        <w:spacing w:before="240" w:after="120" w:line="276" w:lineRule="auto"/>
        <w:jc w:val="both"/>
        <w:rPr>
          <w:rFonts w:asciiTheme="minorHAnsi" w:eastAsiaTheme="minorHAnsi" w:hAnsiTheme="minorHAnsi" w:cstheme="minorBidi"/>
          <w:sz w:val="24"/>
          <w:szCs w:val="24"/>
          <w:lang w:eastAsia="en-US"/>
        </w:rPr>
      </w:pPr>
      <w:r w:rsidRPr="003C63D4">
        <w:rPr>
          <w:rFonts w:asciiTheme="minorHAnsi" w:eastAsiaTheme="minorHAnsi" w:hAnsiTheme="minorHAnsi" w:cstheme="minorBidi"/>
          <w:sz w:val="24"/>
          <w:szCs w:val="24"/>
          <w:lang w:eastAsia="en-US"/>
        </w:rPr>
        <w:lastRenderedPageBreak/>
        <w:t xml:space="preserve">Svaka pogodnost ima cijenu, a za sve </w:t>
      </w:r>
      <w:r w:rsidR="003C63D4">
        <w:rPr>
          <w:rFonts w:asciiTheme="minorHAnsi" w:eastAsiaTheme="minorHAnsi" w:hAnsiTheme="minorHAnsi" w:cstheme="minorBidi"/>
          <w:sz w:val="24"/>
          <w:szCs w:val="24"/>
          <w:lang w:eastAsia="en-US"/>
        </w:rPr>
        <w:t xml:space="preserve">ekonomske subjekte </w:t>
      </w:r>
      <w:r w:rsidRPr="003C63D4">
        <w:rPr>
          <w:rFonts w:asciiTheme="minorHAnsi" w:eastAsiaTheme="minorHAnsi" w:hAnsiTheme="minorHAnsi" w:cstheme="minorBidi"/>
          <w:sz w:val="24"/>
          <w:szCs w:val="24"/>
          <w:lang w:eastAsia="en-US"/>
        </w:rPr>
        <w:t>vrijedi pravilo da</w:t>
      </w:r>
      <w:r w:rsidR="003C63D4">
        <w:rPr>
          <w:rFonts w:asciiTheme="minorHAnsi" w:eastAsiaTheme="minorHAnsi" w:hAnsiTheme="minorHAnsi" w:cstheme="minorBidi"/>
          <w:sz w:val="24"/>
          <w:szCs w:val="24"/>
          <w:lang w:eastAsia="en-US"/>
        </w:rPr>
        <w:t>:</w:t>
      </w:r>
      <w:r w:rsidRPr="003C63D4">
        <w:rPr>
          <w:rFonts w:asciiTheme="minorHAnsi" w:eastAsiaTheme="minorHAnsi" w:hAnsiTheme="minorHAnsi" w:cstheme="minorBidi"/>
          <w:sz w:val="24"/>
          <w:szCs w:val="24"/>
          <w:lang w:eastAsia="en-US"/>
        </w:rPr>
        <w:t xml:space="preserve"> </w:t>
      </w:r>
      <w:r w:rsidR="003C63D4">
        <w:rPr>
          <w:rFonts w:asciiTheme="minorHAnsi" w:eastAsiaTheme="minorHAnsi" w:hAnsiTheme="minorHAnsi" w:cstheme="minorBidi"/>
          <w:sz w:val="24"/>
          <w:szCs w:val="24"/>
          <w:lang w:eastAsia="en-US"/>
        </w:rPr>
        <w:t>„</w:t>
      </w:r>
      <w:r w:rsidRPr="003C63D4">
        <w:rPr>
          <w:rFonts w:asciiTheme="minorHAnsi" w:eastAsiaTheme="minorHAnsi" w:hAnsiTheme="minorHAnsi" w:cstheme="minorBidi"/>
          <w:sz w:val="24"/>
          <w:szCs w:val="24"/>
          <w:lang w:eastAsia="en-US"/>
        </w:rPr>
        <w:t>novac vrijedi više danas (prije) nego sutra (kasnije)</w:t>
      </w:r>
      <w:r w:rsidR="003C63D4">
        <w:rPr>
          <w:rFonts w:asciiTheme="minorHAnsi" w:eastAsiaTheme="minorHAnsi" w:hAnsiTheme="minorHAnsi" w:cstheme="minorBidi"/>
          <w:sz w:val="24"/>
          <w:szCs w:val="24"/>
          <w:lang w:eastAsia="en-US"/>
        </w:rPr>
        <w:t>“</w:t>
      </w:r>
      <w:r w:rsidRPr="003C63D4">
        <w:rPr>
          <w:rFonts w:asciiTheme="minorHAnsi" w:eastAsiaTheme="minorHAnsi" w:hAnsiTheme="minorHAnsi" w:cstheme="minorBidi"/>
          <w:sz w:val="24"/>
          <w:szCs w:val="24"/>
          <w:lang w:eastAsia="en-US"/>
        </w:rPr>
        <w:t>.</w:t>
      </w:r>
      <w:r>
        <w:rPr>
          <w:rFonts w:asciiTheme="minorHAnsi" w:eastAsiaTheme="minorHAnsi" w:hAnsiTheme="minorHAnsi" w:cstheme="minorBidi"/>
          <w:i/>
          <w:sz w:val="24"/>
          <w:szCs w:val="24"/>
          <w:lang w:eastAsia="en-US"/>
        </w:rPr>
        <w:t xml:space="preserve"> </w:t>
      </w:r>
      <w:r w:rsidRPr="00CB08FC">
        <w:rPr>
          <w:rFonts w:asciiTheme="minorHAnsi" w:eastAsiaTheme="minorHAnsi" w:hAnsiTheme="minorHAnsi" w:cstheme="minorBidi"/>
          <w:color w:val="C00000"/>
          <w:sz w:val="24"/>
          <w:szCs w:val="24"/>
          <w:lang w:eastAsia="en-US"/>
        </w:rPr>
        <w:t>Cijena novca uobičajeno se mjeri kamatnom stopom</w:t>
      </w:r>
      <w:r w:rsidRPr="00CB08FC">
        <w:rPr>
          <w:rFonts w:asciiTheme="minorHAnsi" w:eastAsiaTheme="minorHAnsi" w:hAnsiTheme="minorHAnsi" w:cstheme="minorBidi"/>
          <w:sz w:val="24"/>
          <w:szCs w:val="24"/>
          <w:lang w:eastAsia="en-US"/>
        </w:rPr>
        <w:t xml:space="preserve"> pa je to i razlog zbog čega u slučaju korištenja navedenih kartičnih proizvoda za podizanje gotovine s bankomata </w:t>
      </w:r>
      <w:r>
        <w:rPr>
          <w:rFonts w:asciiTheme="minorHAnsi" w:eastAsiaTheme="minorHAnsi" w:hAnsiTheme="minorHAnsi" w:cstheme="minorBidi"/>
          <w:sz w:val="24"/>
          <w:szCs w:val="24"/>
          <w:lang w:eastAsia="en-US"/>
        </w:rPr>
        <w:t xml:space="preserve">ili putem EFT POS uređaja </w:t>
      </w:r>
      <w:r w:rsidRPr="00CB08FC">
        <w:rPr>
          <w:rFonts w:asciiTheme="minorHAnsi" w:eastAsiaTheme="minorHAnsi" w:hAnsiTheme="minorHAnsi" w:cstheme="minorBidi"/>
          <w:sz w:val="24"/>
          <w:szCs w:val="24"/>
          <w:lang w:eastAsia="en-US"/>
        </w:rPr>
        <w:t>– izd</w:t>
      </w:r>
      <w:r>
        <w:rPr>
          <w:rFonts w:asciiTheme="minorHAnsi" w:eastAsiaTheme="minorHAnsi" w:hAnsiTheme="minorHAnsi" w:cstheme="minorBidi"/>
          <w:sz w:val="24"/>
          <w:szCs w:val="24"/>
          <w:lang w:eastAsia="en-US"/>
        </w:rPr>
        <w:t>a</w:t>
      </w:r>
      <w:r w:rsidRPr="00CB08FC">
        <w:rPr>
          <w:rFonts w:asciiTheme="minorHAnsi" w:eastAsiaTheme="minorHAnsi" w:hAnsiTheme="minorHAnsi" w:cstheme="minorBidi"/>
          <w:sz w:val="24"/>
          <w:szCs w:val="24"/>
          <w:lang w:eastAsia="en-US"/>
        </w:rPr>
        <w:t>vatelj kartice naplaćuje kamate (s kamatnom stopom sličnom kao na dopušteno prekoračenje po tekućem račun) i naknadu (operativni trošak takve usluge).</w:t>
      </w:r>
    </w:p>
    <w:p w:rsidR="00EF3AAA" w:rsidRDefault="00ED708F" w:rsidP="002948B1">
      <w:pPr>
        <w:pStyle w:val="StandardWeb"/>
        <w:spacing w:before="0" w:beforeAutospacing="0" w:after="200" w:afterAutospacing="0" w:line="276" w:lineRule="auto"/>
        <w:jc w:val="both"/>
        <w:rPr>
          <w:rFonts w:asciiTheme="minorHAnsi" w:eastAsiaTheme="minorHAnsi" w:hAnsiTheme="minorHAnsi" w:cstheme="minorBidi"/>
          <w:lang w:eastAsia="en-US"/>
        </w:rPr>
      </w:pPr>
      <w:r w:rsidRPr="002948B1">
        <w:rPr>
          <w:rFonts w:asciiTheme="minorHAnsi" w:eastAsiaTheme="minorHAnsi" w:hAnsiTheme="minorHAnsi" w:cstheme="minorBidi"/>
          <w:lang w:eastAsia="en-US"/>
        </w:rPr>
        <w:t xml:space="preserve">Slično kao i kod debitnih kartica, kod većine kreditnih kartica i sličnih kartičnih proizvoda, korisnici kartica mogu koristiti </w:t>
      </w:r>
      <w:r w:rsidRPr="002948B1">
        <w:rPr>
          <w:rFonts w:asciiTheme="minorHAnsi" w:eastAsiaTheme="minorHAnsi" w:hAnsiTheme="minorHAnsi" w:cstheme="minorBidi"/>
          <w:color w:val="C00000"/>
          <w:lang w:eastAsia="en-US"/>
        </w:rPr>
        <w:t>obročnu otplatu bez kamata i naknada</w:t>
      </w:r>
      <w:r w:rsidR="002948B1" w:rsidRPr="002948B1">
        <w:rPr>
          <w:rFonts w:asciiTheme="minorHAnsi" w:eastAsiaTheme="minorHAnsi" w:hAnsiTheme="minorHAnsi" w:cstheme="minorBidi"/>
          <w:color w:val="C00000"/>
          <w:lang w:eastAsia="en-US"/>
        </w:rPr>
        <w:t xml:space="preserve"> </w:t>
      </w:r>
      <w:r w:rsidR="002948B1" w:rsidRPr="002948B1">
        <w:rPr>
          <w:rFonts w:asciiTheme="minorHAnsi" w:eastAsiaTheme="minorHAnsi" w:hAnsiTheme="minorHAnsi" w:cstheme="minorBidi"/>
          <w:lang w:eastAsia="en-US"/>
        </w:rPr>
        <w:t>(na primjer do 12 rata)</w:t>
      </w:r>
      <w:r w:rsidRPr="002948B1">
        <w:rPr>
          <w:rFonts w:asciiTheme="minorHAnsi" w:eastAsiaTheme="minorHAnsi" w:hAnsiTheme="minorHAnsi" w:cstheme="minorBidi"/>
          <w:lang w:eastAsia="en-US"/>
        </w:rPr>
        <w:t xml:space="preserve">, ali se ona može realizirati samo na određenim prodajnim mjestima koja prihvaćaju beskamatnu obročnu otplatu (mogu biti vezane npr. uz akcije koje organiziraju proizvođači ili trgovci). </w:t>
      </w:r>
    </w:p>
    <w:p w:rsidR="00ED708F" w:rsidRPr="002948B1" w:rsidRDefault="00ED708F" w:rsidP="00EF3AAA">
      <w:pPr>
        <w:pStyle w:val="StandardWeb"/>
        <w:spacing w:before="0" w:beforeAutospacing="0" w:after="120" w:afterAutospacing="0" w:line="276" w:lineRule="auto"/>
        <w:jc w:val="both"/>
        <w:rPr>
          <w:rFonts w:asciiTheme="minorHAnsi" w:eastAsiaTheme="minorHAnsi" w:hAnsiTheme="minorHAnsi" w:cstheme="minorBidi"/>
          <w:lang w:eastAsia="en-US"/>
        </w:rPr>
      </w:pPr>
      <w:r w:rsidRPr="002948B1">
        <w:rPr>
          <w:rFonts w:asciiTheme="minorHAnsi" w:eastAsiaTheme="minorHAnsi" w:hAnsiTheme="minorHAnsi" w:cstheme="minorBidi"/>
          <w:lang w:eastAsia="en-US"/>
        </w:rPr>
        <w:t>Nadalje, najčešće postoji</w:t>
      </w:r>
      <w:r w:rsidR="002948B1">
        <w:rPr>
          <w:rFonts w:asciiTheme="minorHAnsi" w:eastAsiaTheme="minorHAnsi" w:hAnsiTheme="minorHAnsi" w:cstheme="minorBidi"/>
          <w:lang w:eastAsia="en-US"/>
        </w:rPr>
        <w:t xml:space="preserve"> mogućnost ugovaranja</w:t>
      </w:r>
      <w:r w:rsidRPr="002948B1">
        <w:rPr>
          <w:rFonts w:asciiTheme="minorHAnsi" w:eastAsiaTheme="minorHAnsi" w:hAnsiTheme="minorHAnsi" w:cstheme="minorBidi"/>
          <w:lang w:eastAsia="en-US"/>
        </w:rPr>
        <w:t>:</w:t>
      </w:r>
    </w:p>
    <w:p w:rsidR="00ED708F" w:rsidRPr="002948B1" w:rsidRDefault="00ED708F" w:rsidP="006F1C04">
      <w:pPr>
        <w:pStyle w:val="StandardWeb"/>
        <w:numPr>
          <w:ilvl w:val="0"/>
          <w:numId w:val="51"/>
        </w:numPr>
        <w:spacing w:before="0" w:beforeAutospacing="0" w:after="0" w:afterAutospacing="0"/>
        <w:ind w:left="714" w:hanging="357"/>
        <w:jc w:val="both"/>
        <w:rPr>
          <w:rFonts w:asciiTheme="minorHAnsi" w:eastAsiaTheme="minorHAnsi" w:hAnsiTheme="minorHAnsi" w:cstheme="minorBidi"/>
          <w:lang w:eastAsia="en-US"/>
        </w:rPr>
      </w:pPr>
      <w:r w:rsidRPr="002948B1">
        <w:rPr>
          <w:rFonts w:asciiTheme="minorHAnsi" w:eastAsiaTheme="minorHAnsi" w:hAnsiTheme="minorHAnsi" w:cstheme="minorBidi"/>
          <w:lang w:eastAsia="en-US"/>
        </w:rPr>
        <w:t xml:space="preserve">potrošačkih kredita </w:t>
      </w:r>
      <w:r w:rsidR="002948B1">
        <w:rPr>
          <w:rFonts w:asciiTheme="minorHAnsi" w:eastAsiaTheme="minorHAnsi" w:hAnsiTheme="minorHAnsi" w:cstheme="minorBidi"/>
          <w:lang w:eastAsia="en-US"/>
        </w:rPr>
        <w:t xml:space="preserve">koji se mogu realizirati </w:t>
      </w:r>
      <w:r w:rsidRPr="002948B1">
        <w:rPr>
          <w:rFonts w:asciiTheme="minorHAnsi" w:eastAsiaTheme="minorHAnsi" w:hAnsiTheme="minorHAnsi" w:cstheme="minorBidi"/>
          <w:lang w:eastAsia="en-US"/>
        </w:rPr>
        <w:t xml:space="preserve">na pojedinim prodajnim mjestima i za određenu svrhu kupovine (sa rokovima otplate npr. do 36 rata) </w:t>
      </w:r>
    </w:p>
    <w:p w:rsidR="00ED708F" w:rsidRPr="002948B1" w:rsidRDefault="002948B1" w:rsidP="006F1C04">
      <w:pPr>
        <w:pStyle w:val="StandardWeb"/>
        <w:numPr>
          <w:ilvl w:val="0"/>
          <w:numId w:val="51"/>
        </w:numPr>
        <w:spacing w:before="0" w:beforeAutospacing="0" w:after="120" w:afterAutospacing="0"/>
        <w:ind w:left="714" w:hanging="357"/>
        <w:jc w:val="both"/>
        <w:rPr>
          <w:rFonts w:asciiTheme="minorHAnsi" w:eastAsiaTheme="minorHAnsi" w:hAnsiTheme="minorHAnsi" w:cstheme="minorBidi"/>
          <w:lang w:eastAsia="en-US"/>
        </w:rPr>
      </w:pPr>
      <w:r>
        <w:rPr>
          <w:rFonts w:asciiTheme="minorHAnsi" w:eastAsiaTheme="minorHAnsi" w:hAnsiTheme="minorHAnsi" w:cstheme="minorBidi"/>
          <w:lang w:eastAsia="en-US"/>
        </w:rPr>
        <w:t xml:space="preserve">te </w:t>
      </w:r>
      <w:r w:rsidR="00ED708F" w:rsidRPr="002948B1">
        <w:rPr>
          <w:rFonts w:asciiTheme="minorHAnsi" w:eastAsiaTheme="minorHAnsi" w:hAnsiTheme="minorHAnsi" w:cstheme="minorBidi"/>
          <w:color w:val="C00000"/>
          <w:lang w:eastAsia="en-US"/>
        </w:rPr>
        <w:t xml:space="preserve">gotovinskih (nenamjenskih) kredita </w:t>
      </w:r>
      <w:r w:rsidR="00ED708F" w:rsidRPr="002948B1">
        <w:rPr>
          <w:rFonts w:asciiTheme="minorHAnsi" w:eastAsiaTheme="minorHAnsi" w:hAnsiTheme="minorHAnsi" w:cstheme="minorBidi"/>
          <w:lang w:eastAsia="en-US"/>
        </w:rPr>
        <w:t xml:space="preserve">(na primjer do 24 rate otplate) koji se uglavnom realiziraju preko banaka. </w:t>
      </w:r>
    </w:p>
    <w:p w:rsidR="00ED708F" w:rsidRPr="002948B1" w:rsidRDefault="00ED708F" w:rsidP="002948B1">
      <w:pPr>
        <w:pStyle w:val="StandardWeb"/>
        <w:spacing w:before="240" w:beforeAutospacing="0" w:after="200" w:afterAutospacing="0" w:line="276" w:lineRule="auto"/>
        <w:jc w:val="both"/>
        <w:rPr>
          <w:rFonts w:asciiTheme="minorHAnsi" w:eastAsiaTheme="minorHAnsi" w:hAnsiTheme="minorHAnsi" w:cstheme="minorBidi"/>
          <w:lang w:eastAsia="en-US"/>
        </w:rPr>
      </w:pPr>
      <w:r w:rsidRPr="002948B1">
        <w:rPr>
          <w:rFonts w:asciiTheme="minorHAnsi" w:eastAsiaTheme="minorHAnsi" w:hAnsiTheme="minorHAnsi" w:cstheme="minorBidi"/>
          <w:lang w:eastAsia="en-US"/>
        </w:rPr>
        <w:t xml:space="preserve">Pri tome oba kreditna proizvoda za korisnika donose kamatne rashode te (najčešće) plaćanje naknada za njihovo odobravanje. </w:t>
      </w:r>
    </w:p>
    <w:tbl>
      <w:tblPr>
        <w:tblStyle w:val="Reetkatablice"/>
        <w:tblW w:w="0" w:type="auto"/>
        <w:tblInd w:w="108" w:type="dxa"/>
        <w:tblLook w:val="04A0" w:firstRow="1" w:lastRow="0" w:firstColumn="1" w:lastColumn="0" w:noHBand="0" w:noVBand="1"/>
      </w:tblPr>
      <w:tblGrid>
        <w:gridCol w:w="9180"/>
      </w:tblGrid>
      <w:tr w:rsidR="00EE21BF" w:rsidTr="00F836D2">
        <w:tc>
          <w:tcPr>
            <w:tcW w:w="9180" w:type="dxa"/>
            <w:shd w:val="clear" w:color="auto" w:fill="F2F2F2" w:themeFill="background1" w:themeFillShade="F2"/>
          </w:tcPr>
          <w:p w:rsidR="003C63D4" w:rsidRDefault="00EE21BF" w:rsidP="003C63D4">
            <w:pPr>
              <w:autoSpaceDE w:val="0"/>
              <w:autoSpaceDN w:val="0"/>
              <w:adjustRightInd w:val="0"/>
              <w:spacing w:before="120" w:after="120"/>
              <w:jc w:val="both"/>
              <w:rPr>
                <w:rFonts w:asciiTheme="minorHAnsi" w:hAnsiTheme="minorHAnsi"/>
                <w:bCs/>
                <w:sz w:val="24"/>
                <w:szCs w:val="24"/>
              </w:rPr>
            </w:pPr>
            <w:r w:rsidRPr="00EE21BF">
              <w:rPr>
                <w:rFonts w:asciiTheme="minorHAnsi" w:hAnsiTheme="minorHAnsi"/>
                <w:sz w:val="24"/>
                <w:szCs w:val="24"/>
              </w:rPr>
              <w:t xml:space="preserve">S obzirom da se kod svih nabrojenih vrsta kartičnih proizvoda radi o određenoj vrsti kreditiranja (ili vremenske odgode plaćanja), kartice se izdaju na korištenje </w:t>
            </w:r>
            <w:r w:rsidRPr="00EE21BF">
              <w:rPr>
                <w:rFonts w:asciiTheme="minorHAnsi" w:hAnsiTheme="minorHAnsi"/>
                <w:color w:val="C00000"/>
                <w:sz w:val="24"/>
                <w:szCs w:val="24"/>
              </w:rPr>
              <w:t>punoljetnim osobama</w:t>
            </w:r>
            <w:r w:rsidRPr="00EE21BF">
              <w:rPr>
                <w:rFonts w:asciiTheme="minorHAnsi" w:hAnsiTheme="minorHAnsi"/>
                <w:sz w:val="24"/>
                <w:szCs w:val="24"/>
              </w:rPr>
              <w:t xml:space="preserve">, a u slučaju osnovnog korisnika kartice važna je njegova </w:t>
            </w:r>
            <w:r w:rsidRPr="00EE21BF">
              <w:rPr>
                <w:rFonts w:asciiTheme="minorHAnsi" w:hAnsiTheme="minorHAnsi"/>
                <w:color w:val="C00000"/>
                <w:sz w:val="24"/>
                <w:szCs w:val="24"/>
              </w:rPr>
              <w:t>procjena kreditne sposobnosti i financijske pozicije</w:t>
            </w:r>
            <w:r w:rsidRPr="00EE21BF">
              <w:rPr>
                <w:rFonts w:asciiTheme="minorHAnsi" w:hAnsiTheme="minorHAnsi"/>
                <w:sz w:val="24"/>
                <w:szCs w:val="24"/>
              </w:rPr>
              <w:t xml:space="preserve">. Tu obvezu za izdavatelja kartice propisuje i </w:t>
            </w:r>
            <w:r w:rsidRPr="00EE21BF">
              <w:rPr>
                <w:rFonts w:asciiTheme="minorHAnsi" w:hAnsiTheme="minorHAnsi"/>
                <w:i/>
                <w:color w:val="C00000"/>
                <w:sz w:val="24"/>
                <w:szCs w:val="24"/>
              </w:rPr>
              <w:t xml:space="preserve">Zakon o potrošačkom kreditiranju </w:t>
            </w:r>
            <w:r w:rsidRPr="00EE21BF">
              <w:rPr>
                <w:rFonts w:asciiTheme="minorHAnsi" w:hAnsiTheme="minorHAnsi"/>
                <w:sz w:val="24"/>
                <w:szCs w:val="24"/>
              </w:rPr>
              <w:t xml:space="preserve">pa u tu svrhu izdavatelj kartice prikuplja podatke o prosječnoj neto plaći ili drugim redovitim primanjima osnovnog korisnika, podatke o njegovom poslodavcu, radnom mjestu, bračnom statusu i broju uzdržavanih članova obitelji, vlasništvu stana te različite druge podatke koji opisuju financijsko-imovinsko poziciju korisnika, ali se vrlo često traže i određene informacije koje imaju za cilj utvrditi eventualnu sklonost </w:t>
            </w:r>
            <w:r w:rsidRPr="00EE21BF">
              <w:rPr>
                <w:rFonts w:asciiTheme="minorHAnsi" w:hAnsiTheme="minorHAnsi"/>
                <w:color w:val="C00000"/>
                <w:sz w:val="24"/>
                <w:szCs w:val="24"/>
              </w:rPr>
              <w:t>moralnom hazardu od strane korisnika kartice</w:t>
            </w:r>
            <w:r>
              <w:rPr>
                <w:rFonts w:asciiTheme="minorHAnsi" w:hAnsiTheme="minorHAnsi"/>
                <w:color w:val="C00000"/>
                <w:sz w:val="24"/>
                <w:szCs w:val="24"/>
              </w:rPr>
              <w:t xml:space="preserve">. </w:t>
            </w:r>
            <w:r w:rsidR="003C63D4">
              <w:rPr>
                <w:rFonts w:asciiTheme="minorHAnsi" w:hAnsiTheme="minorHAnsi"/>
                <w:bCs/>
                <w:sz w:val="24"/>
                <w:szCs w:val="24"/>
              </w:rPr>
              <w:t xml:space="preserve">Takvi dodatni podaci uključuju npr. informacije o broju godina provedenih na istoj adresi, broju godina provedenih kod istog poslodavca i druge uključujući subjektivnu ocjenu djelatnika institucije koja izdaje karticu ili preporuke koje za potencijalnog novog člana daju njegovi bliski prijatelji ili radni suradnici koji su već od ranije korisnici istih kartica. </w:t>
            </w:r>
          </w:p>
          <w:p w:rsidR="00EE21BF" w:rsidRDefault="00EE21BF" w:rsidP="00711733">
            <w:pPr>
              <w:autoSpaceDE w:val="0"/>
              <w:autoSpaceDN w:val="0"/>
              <w:adjustRightInd w:val="0"/>
              <w:spacing w:before="120" w:after="120"/>
              <w:jc w:val="both"/>
              <w:rPr>
                <w:sz w:val="24"/>
                <w:szCs w:val="24"/>
              </w:rPr>
            </w:pPr>
            <w:r w:rsidRPr="00EE21BF">
              <w:rPr>
                <w:rFonts w:asciiTheme="minorHAnsi" w:hAnsiTheme="minorHAnsi"/>
                <w:color w:val="000000" w:themeColor="text1"/>
                <w:sz w:val="24"/>
                <w:szCs w:val="24"/>
              </w:rPr>
              <w:t xml:space="preserve">Time se nastoje izbjeći situacije </w:t>
            </w:r>
            <w:r w:rsidRPr="00EE21BF">
              <w:rPr>
                <w:rFonts w:asciiTheme="minorHAnsi" w:hAnsiTheme="minorHAnsi"/>
                <w:sz w:val="24"/>
                <w:szCs w:val="24"/>
              </w:rPr>
              <w:t>stvaranja troškova po karticama koje korisnik se ne planira podmiriti na vrijeme ili ih uopće ne planira podmiriti. Naime, za</w:t>
            </w:r>
            <w:r w:rsidRPr="00EE21BF">
              <w:rPr>
                <w:rFonts w:asciiTheme="minorHAnsi" w:hAnsiTheme="minorHAnsi"/>
                <w:bCs/>
                <w:sz w:val="24"/>
                <w:szCs w:val="24"/>
              </w:rPr>
              <w:t xml:space="preserve"> korištenje kreditnih kartica i sličnih kartičnih proizvoda tipično ne trebaju jamci, garantni depoziti ili drugi oblici osiguranja, nego se urednost naplate veže uz redovite ili druge izvore prihoda osnovnog </w:t>
            </w:r>
            <w:r>
              <w:rPr>
                <w:rFonts w:asciiTheme="minorHAnsi" w:hAnsiTheme="minorHAnsi"/>
                <w:bCs/>
                <w:sz w:val="24"/>
                <w:szCs w:val="24"/>
              </w:rPr>
              <w:t>korisnika te njegove psihosocijalne osobine sigurnog ili manje sigurnog</w:t>
            </w:r>
            <w:r w:rsidR="003C63D4">
              <w:rPr>
                <w:rFonts w:asciiTheme="minorHAnsi" w:hAnsiTheme="minorHAnsi"/>
                <w:bCs/>
                <w:sz w:val="24"/>
                <w:szCs w:val="24"/>
              </w:rPr>
              <w:t xml:space="preserve"> dužnika (korisnika kredita ili odgode plaćanja po kreditnoj kartici)</w:t>
            </w:r>
            <w:r>
              <w:rPr>
                <w:rFonts w:asciiTheme="minorHAnsi" w:hAnsiTheme="minorHAnsi"/>
                <w:bCs/>
                <w:sz w:val="24"/>
                <w:szCs w:val="24"/>
              </w:rPr>
              <w:t>. Nadalje isti izdavatelj</w:t>
            </w:r>
            <w:r w:rsidR="00711733">
              <w:rPr>
                <w:rFonts w:asciiTheme="minorHAnsi" w:hAnsiTheme="minorHAnsi"/>
                <w:bCs/>
                <w:sz w:val="24"/>
                <w:szCs w:val="24"/>
              </w:rPr>
              <w:t>i</w:t>
            </w:r>
            <w:r>
              <w:rPr>
                <w:rFonts w:asciiTheme="minorHAnsi" w:hAnsiTheme="minorHAnsi"/>
                <w:bCs/>
                <w:sz w:val="24"/>
                <w:szCs w:val="24"/>
              </w:rPr>
              <w:t xml:space="preserve"> kartica </w:t>
            </w:r>
            <w:r w:rsidR="00711733">
              <w:rPr>
                <w:rFonts w:asciiTheme="minorHAnsi" w:hAnsiTheme="minorHAnsi"/>
                <w:bCs/>
                <w:sz w:val="24"/>
                <w:szCs w:val="24"/>
              </w:rPr>
              <w:t xml:space="preserve">uobičajeno </w:t>
            </w:r>
            <w:r>
              <w:rPr>
                <w:rFonts w:asciiTheme="minorHAnsi" w:hAnsiTheme="minorHAnsi"/>
                <w:bCs/>
                <w:sz w:val="24"/>
                <w:szCs w:val="24"/>
              </w:rPr>
              <w:t>nud</w:t>
            </w:r>
            <w:r w:rsidR="00711733">
              <w:rPr>
                <w:rFonts w:asciiTheme="minorHAnsi" w:hAnsiTheme="minorHAnsi"/>
                <w:bCs/>
                <w:sz w:val="24"/>
                <w:szCs w:val="24"/>
              </w:rPr>
              <w:t>e</w:t>
            </w:r>
            <w:r>
              <w:rPr>
                <w:rFonts w:asciiTheme="minorHAnsi" w:hAnsiTheme="minorHAnsi"/>
                <w:bCs/>
                <w:sz w:val="24"/>
                <w:szCs w:val="24"/>
              </w:rPr>
              <w:t xml:space="preserve"> nekoliko praktično istih kartičnih proizvoda sa različitim statusnim obilježjima</w:t>
            </w:r>
            <w:r w:rsidR="00711733">
              <w:rPr>
                <w:rFonts w:asciiTheme="minorHAnsi" w:hAnsiTheme="minorHAnsi"/>
                <w:bCs/>
                <w:sz w:val="24"/>
                <w:szCs w:val="24"/>
              </w:rPr>
              <w:t xml:space="preserve"> (</w:t>
            </w:r>
            <w:r>
              <w:rPr>
                <w:rFonts w:asciiTheme="minorHAnsi" w:hAnsiTheme="minorHAnsi"/>
                <w:bCs/>
                <w:sz w:val="24"/>
                <w:szCs w:val="24"/>
              </w:rPr>
              <w:t>od onih koji omogućavaju relativno mali limit mjesečnih troškova po kartici, do onih koji imaju veći i vrlo visok limit</w:t>
            </w:r>
            <w:r w:rsidR="00F836D2">
              <w:rPr>
                <w:rFonts w:asciiTheme="minorHAnsi" w:hAnsiTheme="minorHAnsi"/>
                <w:bCs/>
                <w:sz w:val="24"/>
                <w:szCs w:val="24"/>
              </w:rPr>
              <w:t xml:space="preserve"> mogućih troškova u određenom obračunskom razdoblju</w:t>
            </w:r>
            <w:r w:rsidR="00711733">
              <w:rPr>
                <w:rFonts w:asciiTheme="minorHAnsi" w:hAnsiTheme="minorHAnsi"/>
                <w:bCs/>
                <w:sz w:val="24"/>
                <w:szCs w:val="24"/>
              </w:rPr>
              <w:t>)</w:t>
            </w:r>
            <w:r w:rsidR="00F836D2">
              <w:rPr>
                <w:rFonts w:asciiTheme="minorHAnsi" w:hAnsiTheme="minorHAnsi"/>
                <w:bCs/>
                <w:sz w:val="24"/>
                <w:szCs w:val="24"/>
              </w:rPr>
              <w:t xml:space="preserve">, a pojedine </w:t>
            </w:r>
            <w:r w:rsidR="00F836D2">
              <w:rPr>
                <w:rFonts w:asciiTheme="minorHAnsi" w:hAnsiTheme="minorHAnsi"/>
                <w:bCs/>
                <w:sz w:val="24"/>
                <w:szCs w:val="24"/>
              </w:rPr>
              <w:lastRenderedPageBreak/>
              <w:t>kartične kuće statusna obilježja ističu i tzv. zlatnim karticama, platinastim karticama itd. Pri tome je i godišnja članarina za korištenje kartice uobičajeno veća kod proizvoda s većim dopuštenim limitom troškova, odnosno revolving kredita i slično.</w:t>
            </w:r>
          </w:p>
        </w:tc>
      </w:tr>
    </w:tbl>
    <w:p w:rsidR="00EE21BF" w:rsidRPr="00214728" w:rsidRDefault="002948B1" w:rsidP="00EE21BF">
      <w:pPr>
        <w:autoSpaceDE w:val="0"/>
        <w:autoSpaceDN w:val="0"/>
        <w:adjustRightInd w:val="0"/>
        <w:spacing w:before="240"/>
        <w:jc w:val="both"/>
        <w:rPr>
          <w:sz w:val="24"/>
          <w:szCs w:val="24"/>
          <w:vertAlign w:val="superscript"/>
        </w:rPr>
      </w:pPr>
      <w:r w:rsidRPr="002948B1">
        <w:rPr>
          <w:sz w:val="24"/>
          <w:szCs w:val="24"/>
        </w:rPr>
        <w:lastRenderedPageBreak/>
        <w:t xml:space="preserve">Osim </w:t>
      </w:r>
      <w:r w:rsidRPr="00EE21BF">
        <w:rPr>
          <w:color w:val="C00000"/>
          <w:sz w:val="24"/>
          <w:szCs w:val="24"/>
        </w:rPr>
        <w:t xml:space="preserve">osnovnog korisnika </w:t>
      </w:r>
      <w:r w:rsidRPr="002948B1">
        <w:rPr>
          <w:sz w:val="24"/>
          <w:szCs w:val="24"/>
        </w:rPr>
        <w:t xml:space="preserve">kartice može postojati </w:t>
      </w:r>
      <w:r w:rsidRPr="00EE21BF">
        <w:rPr>
          <w:color w:val="C00000"/>
          <w:sz w:val="24"/>
          <w:szCs w:val="24"/>
        </w:rPr>
        <w:t xml:space="preserve">dodatni korisnik </w:t>
      </w:r>
      <w:r w:rsidRPr="002948B1">
        <w:rPr>
          <w:sz w:val="24"/>
          <w:szCs w:val="24"/>
        </w:rPr>
        <w:t>(</w:t>
      </w:r>
      <w:r w:rsidRPr="002948B1">
        <w:rPr>
          <w:bCs/>
          <w:sz w:val="24"/>
          <w:szCs w:val="24"/>
        </w:rPr>
        <w:t xml:space="preserve">supružnik, punoljetno dijete i slično). </w:t>
      </w:r>
      <w:r w:rsidR="00EE21BF">
        <w:rPr>
          <w:bCs/>
          <w:sz w:val="24"/>
          <w:szCs w:val="24"/>
        </w:rPr>
        <w:t>„</w:t>
      </w:r>
      <w:r w:rsidRPr="002948B1">
        <w:rPr>
          <w:bCs/>
          <w:sz w:val="24"/>
          <w:szCs w:val="24"/>
        </w:rPr>
        <w:t xml:space="preserve">Osnovni korisnik odgovara za sve troškove učinjene po kreditnoj kartici, uključujući i troškove koje je učinio dodatni korisnik (supružnik, punoljetno dijete i slično), </w:t>
      </w:r>
      <w:r w:rsidRPr="002948B1">
        <w:rPr>
          <w:sz w:val="24"/>
          <w:szCs w:val="24"/>
        </w:rPr>
        <w:t>a dodatni korisnik kartice je solidarno odgovoran s osnovnim korisnikom kartice za sve troškove učinjene dodatnom karticom</w:t>
      </w:r>
      <w:r w:rsidRPr="002948B1">
        <w:rPr>
          <w:bCs/>
          <w:sz w:val="24"/>
          <w:szCs w:val="24"/>
        </w:rPr>
        <w:t>.</w:t>
      </w:r>
      <w:r w:rsidR="00EE21BF">
        <w:rPr>
          <w:bCs/>
          <w:sz w:val="24"/>
          <w:szCs w:val="24"/>
        </w:rPr>
        <w:t>“</w:t>
      </w:r>
      <w:r w:rsidR="00EE21BF" w:rsidRPr="00EE21BF">
        <w:rPr>
          <w:sz w:val="24"/>
          <w:szCs w:val="24"/>
          <w:vertAlign w:val="superscript"/>
        </w:rPr>
        <w:t xml:space="preserve"> </w:t>
      </w:r>
      <w:r w:rsidR="00EE21BF" w:rsidRPr="00EE21BF">
        <w:rPr>
          <w:sz w:val="24"/>
          <w:szCs w:val="24"/>
          <w:vertAlign w:val="superscript"/>
        </w:rPr>
        <w:footnoteReference w:id="63"/>
      </w:r>
    </w:p>
    <w:p w:rsidR="00CF60C7" w:rsidRPr="00993C0C" w:rsidRDefault="00CF60C7" w:rsidP="002948B1">
      <w:pPr>
        <w:pStyle w:val="Tekstfusnote"/>
        <w:spacing w:after="200" w:line="276" w:lineRule="auto"/>
        <w:jc w:val="both"/>
        <w:rPr>
          <w:rFonts w:asciiTheme="minorHAnsi" w:eastAsiaTheme="minorHAnsi" w:hAnsiTheme="minorHAnsi" w:cstheme="minorBidi"/>
          <w:bCs/>
          <w:sz w:val="24"/>
          <w:szCs w:val="24"/>
          <w:lang w:eastAsia="en-US"/>
        </w:rPr>
      </w:pPr>
      <w:r w:rsidRPr="002948B1">
        <w:rPr>
          <w:rFonts w:asciiTheme="minorHAnsi" w:eastAsiaTheme="minorHAnsi" w:hAnsiTheme="minorHAnsi" w:cstheme="minorBidi"/>
          <w:sz w:val="24"/>
          <w:szCs w:val="24"/>
          <w:lang w:eastAsia="en-US"/>
        </w:rPr>
        <w:t>U kategoriji nabrojenih kartičnih proizvoda, kreditne kartice uključuju samo: revolving</w:t>
      </w:r>
      <w:r w:rsidRPr="00993C0C">
        <w:rPr>
          <w:rFonts w:asciiTheme="minorHAnsi" w:eastAsiaTheme="minorHAnsi" w:hAnsiTheme="minorHAnsi" w:cstheme="minorBidi"/>
          <w:bCs/>
          <w:sz w:val="24"/>
          <w:szCs w:val="24"/>
          <w:lang w:eastAsia="en-US"/>
        </w:rPr>
        <w:t xml:space="preserve"> kreditne kartice i kreditne kartice „s automatskom podjelom troška na otplatne rate“.</w:t>
      </w:r>
    </w:p>
    <w:p w:rsidR="005463CB" w:rsidRDefault="00CF60C7" w:rsidP="005463CB">
      <w:pPr>
        <w:pStyle w:val="StandardWeb"/>
        <w:spacing w:before="120" w:beforeAutospacing="0" w:after="200" w:afterAutospacing="0" w:line="276" w:lineRule="auto"/>
        <w:jc w:val="both"/>
        <w:rPr>
          <w:rFonts w:asciiTheme="minorHAnsi" w:eastAsiaTheme="minorHAnsi" w:hAnsiTheme="minorHAnsi" w:cstheme="minorBidi"/>
          <w:bCs/>
          <w:lang w:eastAsia="en-US"/>
        </w:rPr>
      </w:pPr>
      <w:r w:rsidRPr="005463CB">
        <w:rPr>
          <w:rFonts w:asciiTheme="minorHAnsi" w:eastAsiaTheme="minorHAnsi" w:hAnsiTheme="minorHAnsi" w:cstheme="minorBidi"/>
          <w:bCs/>
          <w:color w:val="C00000"/>
          <w:lang w:eastAsia="en-US"/>
        </w:rPr>
        <w:t xml:space="preserve">Revolving kreditne kartice </w:t>
      </w:r>
      <w:r w:rsidRPr="005463CB">
        <w:rPr>
          <w:rFonts w:asciiTheme="minorHAnsi" w:eastAsiaTheme="minorHAnsi" w:hAnsiTheme="minorHAnsi" w:cstheme="minorBidi"/>
          <w:bCs/>
          <w:lang w:eastAsia="en-US"/>
        </w:rPr>
        <w:t xml:space="preserve">karakterizira postojanje određenog kreditnog limita koji izdavatelj kartice (banka ili kartična kuća) odobrava osnovnom korisniku kartice, a vezan je uz mogućnost korištenja revolving kredita. </w:t>
      </w:r>
      <w:r w:rsidRPr="005463CB">
        <w:rPr>
          <w:rFonts w:asciiTheme="minorHAnsi" w:eastAsiaTheme="minorHAnsi" w:hAnsiTheme="minorHAnsi" w:cstheme="minorBidi"/>
          <w:bCs/>
          <w:color w:val="C00000"/>
          <w:lang w:eastAsia="en-US"/>
        </w:rPr>
        <w:t xml:space="preserve">Revolving kredit </w:t>
      </w:r>
      <w:r w:rsidRPr="005463CB">
        <w:rPr>
          <w:rFonts w:asciiTheme="minorHAnsi" w:eastAsiaTheme="minorHAnsi" w:hAnsiTheme="minorHAnsi" w:cstheme="minorBidi"/>
          <w:bCs/>
          <w:lang w:eastAsia="en-US"/>
        </w:rPr>
        <w:t>u doslovnom prijevodu znači “kredit koji se stalno obnavlja”. U tom smislu, svaki trošak učinjen s kreditnom karticom umanjuje raspoloživ preostali dio kreditnog limita, dok svaka uplata</w:t>
      </w:r>
      <w:r w:rsidR="005463CB">
        <w:rPr>
          <w:rFonts w:asciiTheme="minorHAnsi" w:eastAsiaTheme="minorHAnsi" w:hAnsiTheme="minorHAnsi" w:cstheme="minorBidi"/>
          <w:bCs/>
          <w:lang w:eastAsia="en-US"/>
        </w:rPr>
        <w:t xml:space="preserve"> (</w:t>
      </w:r>
      <w:r w:rsidRPr="005463CB">
        <w:rPr>
          <w:rFonts w:asciiTheme="minorHAnsi" w:eastAsiaTheme="minorHAnsi" w:hAnsiTheme="minorHAnsi" w:cstheme="minorBidi"/>
          <w:bCs/>
          <w:lang w:eastAsia="en-US"/>
        </w:rPr>
        <w:t>kojom se podmiruju troškovi po kartici</w:t>
      </w:r>
      <w:r w:rsidR="005463CB">
        <w:rPr>
          <w:rFonts w:asciiTheme="minorHAnsi" w:eastAsiaTheme="minorHAnsi" w:hAnsiTheme="minorHAnsi" w:cstheme="minorBidi"/>
          <w:bCs/>
          <w:lang w:eastAsia="en-US"/>
        </w:rPr>
        <w:t>)</w:t>
      </w:r>
      <w:r w:rsidRPr="005463CB">
        <w:rPr>
          <w:rFonts w:asciiTheme="minorHAnsi" w:eastAsiaTheme="minorHAnsi" w:hAnsiTheme="minorHAnsi" w:cstheme="minorBidi"/>
          <w:bCs/>
          <w:lang w:eastAsia="en-US"/>
        </w:rPr>
        <w:t xml:space="preserve"> rezultira većim iznosom raspoloživog kreditnog limita koji korisnik može koristiti (do visine maksimalnog kreditnog limita koji je odredio izdavatelj revolving kartice).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00"/>
      </w:tblGrid>
      <w:tr w:rsidR="00993C0C" w:rsidRPr="007F44A1" w:rsidTr="00144477">
        <w:tc>
          <w:tcPr>
            <w:tcW w:w="91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993C0C" w:rsidRPr="00AC075C" w:rsidRDefault="00993C0C" w:rsidP="00144477">
            <w:pPr>
              <w:pStyle w:val="StandardWeb"/>
              <w:spacing w:before="120" w:beforeAutospacing="0" w:after="120" w:afterAutospacing="0"/>
              <w:jc w:val="both"/>
              <w:rPr>
                <w:rStyle w:val="podnaslov1"/>
                <w:rFonts w:asciiTheme="minorHAnsi" w:hAnsiTheme="minorHAnsi"/>
                <w:b w:val="0"/>
                <w:sz w:val="24"/>
                <w:szCs w:val="24"/>
              </w:rPr>
            </w:pPr>
            <w:r w:rsidRPr="00AC075C">
              <w:rPr>
                <w:rStyle w:val="podnaslov1"/>
                <w:rFonts w:asciiTheme="minorHAnsi" w:hAnsiTheme="minorHAnsi"/>
                <w:b w:val="0"/>
                <w:color w:val="auto"/>
                <w:sz w:val="24"/>
                <w:szCs w:val="24"/>
              </w:rPr>
              <w:t xml:space="preserve">Pri korištenju kreditnih kartica i drugih kartičnih proizvoda, </w:t>
            </w:r>
            <w:r w:rsidRPr="00AC075C">
              <w:rPr>
                <w:rStyle w:val="podnaslov1"/>
                <w:rFonts w:asciiTheme="minorHAnsi" w:hAnsiTheme="minorHAnsi"/>
                <w:b w:val="0"/>
                <w:color w:val="C00000"/>
                <w:sz w:val="24"/>
                <w:szCs w:val="24"/>
              </w:rPr>
              <w:t>pojam trošak/troškovi</w:t>
            </w:r>
            <w:r w:rsidRPr="00AC075C">
              <w:rPr>
                <w:rStyle w:val="podnaslov1"/>
                <w:rFonts w:asciiTheme="minorHAnsi" w:hAnsiTheme="minorHAnsi"/>
                <w:b w:val="0"/>
                <w:i/>
                <w:color w:val="C00000"/>
                <w:sz w:val="24"/>
                <w:szCs w:val="24"/>
              </w:rPr>
              <w:t xml:space="preserve"> </w:t>
            </w:r>
            <w:r w:rsidRPr="00AC075C">
              <w:rPr>
                <w:rStyle w:val="podnaslov1"/>
                <w:rFonts w:asciiTheme="minorHAnsi" w:hAnsiTheme="minorHAnsi"/>
                <w:b w:val="0"/>
                <w:color w:val="auto"/>
                <w:sz w:val="24"/>
                <w:szCs w:val="24"/>
              </w:rPr>
              <w:t>uključuje</w:t>
            </w:r>
            <w:r w:rsidRPr="00AC075C">
              <w:rPr>
                <w:rStyle w:val="podnaslov1"/>
                <w:rFonts w:asciiTheme="minorHAnsi" w:hAnsiTheme="minorHAnsi"/>
                <w:b w:val="0"/>
                <w:i/>
                <w:color w:val="auto"/>
                <w:sz w:val="24"/>
                <w:szCs w:val="24"/>
              </w:rPr>
              <w:t xml:space="preserve"> </w:t>
            </w:r>
            <w:r w:rsidRPr="00AC075C">
              <w:rPr>
                <w:rStyle w:val="podnaslov1"/>
                <w:rFonts w:asciiTheme="minorHAnsi" w:hAnsiTheme="minorHAnsi"/>
                <w:b w:val="0"/>
                <w:color w:val="auto"/>
                <w:sz w:val="24"/>
                <w:szCs w:val="24"/>
              </w:rPr>
              <w:t xml:space="preserve"> sve iznose platnih transakcija na prodajnim mjestima u zemlji i inozemstvu (uključujući i bezgotovinske transakcije Internetom), podizanje gotovine terećenjem računa kreditne kartice, troškove upisnine i članarina, naknade i kamate, opomene i sve druge troškove nastale korištenjem kartice.</w:t>
            </w:r>
          </w:p>
        </w:tc>
      </w:tr>
    </w:tbl>
    <w:p w:rsidR="00CF60C7" w:rsidRPr="005463CB" w:rsidRDefault="00CF60C7" w:rsidP="00993C0C">
      <w:pPr>
        <w:pStyle w:val="StandardWeb"/>
        <w:spacing w:before="240" w:beforeAutospacing="0" w:after="200" w:afterAutospacing="0" w:line="276" w:lineRule="auto"/>
        <w:jc w:val="both"/>
        <w:rPr>
          <w:rFonts w:asciiTheme="minorHAnsi" w:eastAsiaTheme="minorHAnsi" w:hAnsiTheme="minorHAnsi" w:cstheme="minorBidi"/>
          <w:lang w:eastAsia="en-US"/>
        </w:rPr>
      </w:pPr>
      <w:r w:rsidRPr="005463CB">
        <w:rPr>
          <w:rFonts w:asciiTheme="minorHAnsi" w:eastAsiaTheme="minorHAnsi" w:hAnsiTheme="minorHAnsi" w:cstheme="minorBidi"/>
          <w:lang w:eastAsia="en-US"/>
        </w:rPr>
        <w:t xml:space="preserve">Otplata kredita izvršava se u određenom minimalnom mjesečnom postotku na koji izdavatelj revolving kartice dostavlja korisniku mjesečne račune za potrošnju (ili </w:t>
      </w:r>
      <w:r w:rsidR="005463CB">
        <w:rPr>
          <w:rFonts w:asciiTheme="minorHAnsi" w:eastAsiaTheme="minorHAnsi" w:hAnsiTheme="minorHAnsi" w:cstheme="minorBidi"/>
          <w:lang w:eastAsia="en-US"/>
        </w:rPr>
        <w:t xml:space="preserve">trajnim nalogom / </w:t>
      </w:r>
      <w:r w:rsidRPr="005463CB">
        <w:rPr>
          <w:rFonts w:asciiTheme="minorHAnsi" w:eastAsiaTheme="minorHAnsi" w:hAnsiTheme="minorHAnsi" w:cstheme="minorBidi"/>
          <w:lang w:eastAsia="en-US"/>
        </w:rPr>
        <w:t>izravnim terećenjem tereti njegov transakcijski račun)</w:t>
      </w:r>
      <w:r w:rsidR="005463CB" w:rsidRPr="005463CB">
        <w:rPr>
          <w:rFonts w:asciiTheme="minorHAnsi" w:eastAsiaTheme="minorHAnsi" w:hAnsiTheme="minorHAnsi" w:cstheme="minorBidi"/>
          <w:lang w:eastAsia="en-US"/>
        </w:rPr>
        <w:t xml:space="preserve"> npr. </w:t>
      </w:r>
      <w:r w:rsidRPr="005463CB">
        <w:rPr>
          <w:rFonts w:asciiTheme="minorHAnsi" w:eastAsiaTheme="minorHAnsi" w:hAnsiTheme="minorHAnsi" w:cstheme="minorBidi"/>
          <w:lang w:eastAsia="en-US"/>
        </w:rPr>
        <w:t xml:space="preserve">5% ili 10% od učinjenih troškova (ili </w:t>
      </w:r>
      <w:r w:rsidR="005463CB" w:rsidRPr="005463CB">
        <w:rPr>
          <w:rFonts w:asciiTheme="minorHAnsi" w:eastAsiaTheme="minorHAnsi" w:hAnsiTheme="minorHAnsi" w:cstheme="minorBidi"/>
          <w:lang w:eastAsia="en-US"/>
        </w:rPr>
        <w:t xml:space="preserve">npr. </w:t>
      </w:r>
      <w:r w:rsidRPr="005463CB">
        <w:rPr>
          <w:rFonts w:asciiTheme="minorHAnsi" w:eastAsiaTheme="minorHAnsi" w:hAnsiTheme="minorHAnsi" w:cstheme="minorBidi"/>
          <w:lang w:eastAsia="en-US"/>
        </w:rPr>
        <w:t>minimalno 100 kuna mjesečno)</w:t>
      </w:r>
      <w:r w:rsidR="00993C0C">
        <w:rPr>
          <w:rFonts w:asciiTheme="minorHAnsi" w:eastAsiaTheme="minorHAnsi" w:hAnsiTheme="minorHAnsi" w:cstheme="minorBidi"/>
          <w:lang w:eastAsia="en-US"/>
        </w:rPr>
        <w:t>. Pri tome,</w:t>
      </w:r>
      <w:r w:rsidR="005463CB">
        <w:rPr>
          <w:rFonts w:asciiTheme="minorHAnsi" w:eastAsiaTheme="minorHAnsi" w:hAnsiTheme="minorHAnsi" w:cstheme="minorBidi"/>
          <w:lang w:eastAsia="en-US"/>
        </w:rPr>
        <w:t xml:space="preserve"> na naplatu u cijelosti s prvim računom dospijevaju</w:t>
      </w:r>
      <w:r w:rsidR="00993C0C">
        <w:rPr>
          <w:rFonts w:asciiTheme="minorHAnsi" w:eastAsiaTheme="minorHAnsi" w:hAnsiTheme="minorHAnsi" w:cstheme="minorBidi"/>
          <w:lang w:eastAsia="en-US"/>
        </w:rPr>
        <w:t>:</w:t>
      </w:r>
      <w:r w:rsidR="005463CB">
        <w:rPr>
          <w:rFonts w:asciiTheme="minorHAnsi" w:eastAsiaTheme="minorHAnsi" w:hAnsiTheme="minorHAnsi" w:cstheme="minorBidi"/>
          <w:lang w:eastAsia="en-US"/>
        </w:rPr>
        <w:t xml:space="preserve"> iznosi troškova vezani uz podizanje gotovine po kartici, naknade, kamate, članarine i upisnine. </w:t>
      </w:r>
      <w:r w:rsidR="00993C0C">
        <w:rPr>
          <w:rFonts w:asciiTheme="minorHAnsi" w:eastAsiaTheme="minorHAnsi" w:hAnsiTheme="minorHAnsi" w:cstheme="minorBidi"/>
          <w:lang w:eastAsia="en-US"/>
        </w:rPr>
        <w:t>Svi troškovi povrh toga (i minimalnog podmirenja troškova) mogu</w:t>
      </w:r>
      <w:r w:rsidR="005463CB" w:rsidRPr="005463CB">
        <w:rPr>
          <w:rFonts w:asciiTheme="minorHAnsi" w:eastAsiaTheme="minorHAnsi" w:hAnsiTheme="minorHAnsi" w:cstheme="minorBidi"/>
          <w:lang w:eastAsia="en-US"/>
        </w:rPr>
        <w:t xml:space="preserve"> se prenijeti u sljedeće obračunsko razdoblje, ali se na nepodmireni dug </w:t>
      </w:r>
      <w:r w:rsidR="005463CB">
        <w:rPr>
          <w:rFonts w:asciiTheme="minorHAnsi" w:eastAsiaTheme="minorHAnsi" w:hAnsiTheme="minorHAnsi" w:cstheme="minorBidi"/>
          <w:lang w:eastAsia="en-US"/>
        </w:rPr>
        <w:t xml:space="preserve">(korišteni kredit) </w:t>
      </w:r>
      <w:r w:rsidR="005463CB" w:rsidRPr="005463CB">
        <w:rPr>
          <w:rFonts w:asciiTheme="minorHAnsi" w:eastAsiaTheme="minorHAnsi" w:hAnsiTheme="minorHAnsi" w:cstheme="minorBidi"/>
          <w:lang w:eastAsia="en-US"/>
        </w:rPr>
        <w:t>plaćaju kamate (po kamatnim stopa blizu onih za korištenje dopuštenog prekoračenja</w:t>
      </w:r>
      <w:r w:rsidR="00993C0C">
        <w:rPr>
          <w:rFonts w:asciiTheme="minorHAnsi" w:eastAsiaTheme="minorHAnsi" w:hAnsiTheme="minorHAnsi" w:cstheme="minorBidi"/>
          <w:lang w:eastAsia="en-US"/>
        </w:rPr>
        <w:t>)</w:t>
      </w:r>
      <w:r w:rsidR="005463CB" w:rsidRPr="005463CB">
        <w:rPr>
          <w:rFonts w:asciiTheme="minorHAnsi" w:eastAsiaTheme="minorHAnsi" w:hAnsiTheme="minorHAnsi" w:cstheme="minorBidi"/>
          <w:lang w:eastAsia="en-US"/>
        </w:rPr>
        <w:t xml:space="preserve">. </w:t>
      </w:r>
      <w:r w:rsidR="00993C0C">
        <w:rPr>
          <w:rFonts w:asciiTheme="minorHAnsi" w:eastAsiaTheme="minorHAnsi" w:hAnsiTheme="minorHAnsi" w:cstheme="minorBidi"/>
          <w:lang w:eastAsia="en-US"/>
        </w:rPr>
        <w:t>O</w:t>
      </w:r>
      <w:r w:rsidR="005463CB" w:rsidRPr="005463CB">
        <w:rPr>
          <w:rFonts w:asciiTheme="minorHAnsi" w:eastAsiaTheme="minorHAnsi" w:hAnsiTheme="minorHAnsi" w:cstheme="minorBidi"/>
          <w:lang w:eastAsia="en-US"/>
        </w:rPr>
        <w:t xml:space="preserve"> dospijeću </w:t>
      </w:r>
      <w:r w:rsidR="005463CB">
        <w:rPr>
          <w:rFonts w:asciiTheme="minorHAnsi" w:eastAsiaTheme="minorHAnsi" w:hAnsiTheme="minorHAnsi" w:cstheme="minorBidi"/>
          <w:lang w:eastAsia="en-US"/>
        </w:rPr>
        <w:t xml:space="preserve">računa </w:t>
      </w:r>
      <w:r w:rsidR="00993C0C">
        <w:rPr>
          <w:rFonts w:asciiTheme="minorHAnsi" w:eastAsiaTheme="minorHAnsi" w:hAnsiTheme="minorHAnsi" w:cstheme="minorBidi"/>
          <w:lang w:eastAsia="en-US"/>
        </w:rPr>
        <w:t xml:space="preserve">korisnik kartice može </w:t>
      </w:r>
      <w:r w:rsidRPr="005463CB">
        <w:rPr>
          <w:rFonts w:asciiTheme="minorHAnsi" w:eastAsiaTheme="minorHAnsi" w:hAnsiTheme="minorHAnsi" w:cstheme="minorBidi"/>
          <w:lang w:eastAsia="en-US"/>
        </w:rPr>
        <w:t xml:space="preserve">po svom izboru podmiriti </w:t>
      </w:r>
      <w:r w:rsidR="00993C0C">
        <w:rPr>
          <w:rFonts w:asciiTheme="minorHAnsi" w:eastAsiaTheme="minorHAnsi" w:hAnsiTheme="minorHAnsi" w:cstheme="minorBidi"/>
          <w:lang w:eastAsia="en-US"/>
        </w:rPr>
        <w:t xml:space="preserve">i </w:t>
      </w:r>
      <w:r w:rsidRPr="005463CB">
        <w:rPr>
          <w:rFonts w:asciiTheme="minorHAnsi" w:eastAsiaTheme="minorHAnsi" w:hAnsiTheme="minorHAnsi" w:cstheme="minorBidi"/>
          <w:lang w:eastAsia="en-US"/>
        </w:rPr>
        <w:t>cijeli iznos troškova po kartici</w:t>
      </w:r>
      <w:r w:rsidR="00993C0C">
        <w:rPr>
          <w:rFonts w:asciiTheme="minorHAnsi" w:eastAsiaTheme="minorHAnsi" w:hAnsiTheme="minorHAnsi" w:cstheme="minorBidi"/>
          <w:lang w:eastAsia="en-US"/>
        </w:rPr>
        <w:t xml:space="preserve"> pa</w:t>
      </w:r>
      <w:r w:rsidR="005463CB" w:rsidRPr="005463CB">
        <w:rPr>
          <w:rFonts w:asciiTheme="minorHAnsi" w:eastAsiaTheme="minorHAnsi" w:hAnsiTheme="minorHAnsi" w:cstheme="minorBidi"/>
          <w:lang w:eastAsia="en-US"/>
        </w:rPr>
        <w:t xml:space="preserve"> u tom slučaju nema troškova kamata. </w:t>
      </w:r>
    </w:p>
    <w:p w:rsidR="00CF60C7" w:rsidRPr="00214728" w:rsidRDefault="00ED708F" w:rsidP="00ED708F">
      <w:pPr>
        <w:pStyle w:val="StandardWeb"/>
        <w:spacing w:before="120" w:beforeAutospacing="0" w:after="200" w:afterAutospacing="0" w:line="276" w:lineRule="auto"/>
        <w:jc w:val="both"/>
        <w:rPr>
          <w:i/>
        </w:rPr>
      </w:pPr>
      <w:r w:rsidRPr="00214728">
        <w:rPr>
          <w:bCs/>
        </w:rPr>
        <w:t xml:space="preserve"> </w:t>
      </w:r>
      <w:r w:rsidR="00993C0C" w:rsidRPr="00214728">
        <w:rPr>
          <w:bCs/>
        </w:rPr>
        <w:t>„</w:t>
      </w:r>
      <w:r w:rsidR="00CF60C7" w:rsidRPr="00214728">
        <w:rPr>
          <w:bCs/>
          <w:i/>
        </w:rPr>
        <w:t xml:space="preserve">Kod </w:t>
      </w:r>
      <w:r w:rsidR="00CF60C7" w:rsidRPr="00214728">
        <w:rPr>
          <w:bCs/>
          <w:i/>
          <w:color w:val="C00000"/>
        </w:rPr>
        <w:t>kreditnih kartica s automatskom podjelom troška na otplatne rate</w:t>
      </w:r>
      <w:r w:rsidR="00CF60C7" w:rsidRPr="00214728">
        <w:rPr>
          <w:bCs/>
          <w:i/>
        </w:rPr>
        <w:t xml:space="preserve">, </w:t>
      </w:r>
      <w:r w:rsidR="00CF60C7" w:rsidRPr="00214728">
        <w:rPr>
          <w:i/>
        </w:rPr>
        <w:t xml:space="preserve">svaki pojedinačni trošak (transakcija izvršena karticom)  automatski se dijeli na određeni broj otplatnih rata. </w:t>
      </w:r>
      <w:r w:rsidR="00214728" w:rsidRPr="00214728">
        <w:rPr>
          <w:i/>
        </w:rPr>
        <w:t xml:space="preserve">… </w:t>
      </w:r>
      <w:r w:rsidR="00CF60C7" w:rsidRPr="00214728">
        <w:rPr>
          <w:i/>
        </w:rPr>
        <w:lastRenderedPageBreak/>
        <w:t>Ugovaranje spomenutog oblika kreditne kartice, praktično se realizira na jedan od opisanih načina:</w:t>
      </w:r>
    </w:p>
    <w:p w:rsidR="00CF60C7" w:rsidRPr="00214728" w:rsidRDefault="00CF60C7" w:rsidP="006F1C04">
      <w:pPr>
        <w:numPr>
          <w:ilvl w:val="0"/>
          <w:numId w:val="50"/>
        </w:numPr>
        <w:spacing w:after="0" w:line="240" w:lineRule="auto"/>
        <w:ind w:left="714" w:hanging="357"/>
        <w:jc w:val="both"/>
        <w:rPr>
          <w:i/>
          <w:sz w:val="24"/>
          <w:szCs w:val="24"/>
        </w:rPr>
      </w:pPr>
      <w:r w:rsidRPr="00214728">
        <w:rPr>
          <w:i/>
          <w:sz w:val="24"/>
          <w:szCs w:val="24"/>
        </w:rPr>
        <w:t>korisnik s izdavateljem kartice ugovara kreditnu karticu s opcijom određenog broja otplatnih rata koji definira izdavatelj (na primjer kartica s 12 otplatnih rata, ili kartica s 24 otplatnih rata)</w:t>
      </w:r>
    </w:p>
    <w:p w:rsidR="00214728" w:rsidRPr="00214728" w:rsidRDefault="00CF60C7" w:rsidP="006F1C04">
      <w:pPr>
        <w:numPr>
          <w:ilvl w:val="0"/>
          <w:numId w:val="50"/>
        </w:numPr>
        <w:spacing w:after="0" w:line="240" w:lineRule="auto"/>
        <w:ind w:left="714" w:hanging="357"/>
        <w:jc w:val="both"/>
        <w:rPr>
          <w:sz w:val="24"/>
          <w:szCs w:val="24"/>
          <w:vertAlign w:val="superscript"/>
        </w:rPr>
      </w:pPr>
      <w:r w:rsidRPr="00214728">
        <w:rPr>
          <w:i/>
          <w:sz w:val="24"/>
          <w:szCs w:val="24"/>
        </w:rPr>
        <w:t>ili pri podnošenju zahtjeva za izdavanje kreditne kartice korisnik samostalno označava broj otplatnih rata na koje se automatski dijeli svaki trošak (na primjer 3 mjeseca, do 36 mjeseci).</w:t>
      </w:r>
    </w:p>
    <w:p w:rsidR="00CF60C7" w:rsidRPr="00214728" w:rsidRDefault="00214728" w:rsidP="00214728">
      <w:pPr>
        <w:autoSpaceDE w:val="0"/>
        <w:autoSpaceDN w:val="0"/>
        <w:adjustRightInd w:val="0"/>
        <w:spacing w:before="240"/>
        <w:jc w:val="both"/>
        <w:rPr>
          <w:sz w:val="24"/>
          <w:szCs w:val="24"/>
          <w:vertAlign w:val="superscript"/>
        </w:rPr>
      </w:pPr>
      <w:r w:rsidRPr="00214728">
        <w:rPr>
          <w:i/>
          <w:sz w:val="24"/>
          <w:szCs w:val="24"/>
        </w:rPr>
        <w:t xml:space="preserve">… U praksi se takve kartice nazivaju (samo) kreditne kartice, ali je ovdje radi preglednije sistematizacije u </w:t>
      </w:r>
      <w:r w:rsidRPr="00EE21BF">
        <w:rPr>
          <w:sz w:val="24"/>
          <w:szCs w:val="24"/>
        </w:rPr>
        <w:t xml:space="preserve">njihov naziv dodano objašnjenje 's automatskom podjelom troška na otplatne rate'… </w:t>
      </w:r>
      <w:r w:rsidRPr="00EE21BF">
        <w:rPr>
          <w:i/>
          <w:sz w:val="24"/>
          <w:szCs w:val="24"/>
        </w:rPr>
        <w:t>Ovaj tip kreditne kartice relativno je slabo zastupljen u ponudi izdavatelja kreditnih kartica  Hrvatskoj, dok su daleko više prisutne revolving kartice</w:t>
      </w:r>
      <w:r w:rsidRPr="00EE21BF">
        <w:rPr>
          <w:sz w:val="24"/>
          <w:szCs w:val="24"/>
        </w:rPr>
        <w:t>.</w:t>
      </w:r>
      <w:r w:rsidR="00EE21BF">
        <w:rPr>
          <w:sz w:val="24"/>
          <w:szCs w:val="24"/>
        </w:rPr>
        <w:t xml:space="preserve">“ </w:t>
      </w:r>
      <w:r w:rsidR="00993C0C" w:rsidRPr="00EE21BF">
        <w:rPr>
          <w:sz w:val="24"/>
          <w:szCs w:val="24"/>
          <w:vertAlign w:val="superscript"/>
        </w:rPr>
        <w:footnoteReference w:id="64"/>
      </w:r>
    </w:p>
    <w:p w:rsidR="00CF60C7" w:rsidRDefault="00ED708F" w:rsidP="00CF60C7">
      <w:pPr>
        <w:jc w:val="both"/>
        <w:rPr>
          <w:sz w:val="24"/>
          <w:szCs w:val="24"/>
        </w:rPr>
      </w:pPr>
      <w:r>
        <w:rPr>
          <w:sz w:val="24"/>
          <w:szCs w:val="24"/>
        </w:rPr>
        <w:t xml:space="preserve">Charge kartice i kartice s odgođenom naplatom su praktično ista vrsta kartičnog proizvoda, no banke kao izdavatelji uglavnom </w:t>
      </w:r>
      <w:r w:rsidR="00CC6A13">
        <w:rPr>
          <w:sz w:val="24"/>
          <w:szCs w:val="24"/>
        </w:rPr>
        <w:t xml:space="preserve">ih </w:t>
      </w:r>
      <w:r>
        <w:rPr>
          <w:sz w:val="24"/>
          <w:szCs w:val="24"/>
        </w:rPr>
        <w:t xml:space="preserve">nazivaju kartice s odgođenom naplatom, </w:t>
      </w:r>
      <w:r w:rsidR="00CC6A13">
        <w:rPr>
          <w:sz w:val="24"/>
          <w:szCs w:val="24"/>
        </w:rPr>
        <w:t xml:space="preserve">a </w:t>
      </w:r>
      <w:r>
        <w:rPr>
          <w:sz w:val="24"/>
          <w:szCs w:val="24"/>
        </w:rPr>
        <w:t xml:space="preserve">kartične kuće preferiraju naziv charge kartice. </w:t>
      </w:r>
    </w:p>
    <w:p w:rsidR="00F836D2" w:rsidRDefault="00F836D2" w:rsidP="00F836D2">
      <w:pPr>
        <w:autoSpaceDE w:val="0"/>
        <w:autoSpaceDN w:val="0"/>
        <w:adjustRightInd w:val="0"/>
        <w:spacing w:before="240"/>
        <w:jc w:val="both"/>
        <w:rPr>
          <w:sz w:val="24"/>
          <w:szCs w:val="24"/>
          <w:vertAlign w:val="superscript"/>
        </w:rPr>
      </w:pPr>
      <w:r w:rsidRPr="00F836D2">
        <w:rPr>
          <w:bCs/>
          <w:i/>
          <w:sz w:val="24"/>
          <w:szCs w:val="24"/>
        </w:rPr>
        <w:t>„</w:t>
      </w:r>
      <w:r w:rsidR="00ED708F" w:rsidRPr="00F836D2">
        <w:rPr>
          <w:bCs/>
          <w:i/>
          <w:sz w:val="24"/>
          <w:szCs w:val="24"/>
        </w:rPr>
        <w:t xml:space="preserve">Radi se o </w:t>
      </w:r>
      <w:r w:rsidR="00ED708F" w:rsidRPr="00F836D2">
        <w:rPr>
          <w:i/>
          <w:sz w:val="24"/>
          <w:szCs w:val="24"/>
        </w:rPr>
        <w:t xml:space="preserve">karticama s </w:t>
      </w:r>
      <w:r w:rsidR="00ED708F" w:rsidRPr="00F836D2">
        <w:rPr>
          <w:i/>
          <w:color w:val="C00000"/>
          <w:sz w:val="24"/>
          <w:szCs w:val="24"/>
        </w:rPr>
        <w:t xml:space="preserve">beskamatnom odgodom plaćanja </w:t>
      </w:r>
      <w:r w:rsidR="00ED708F" w:rsidRPr="00F836D2">
        <w:rPr>
          <w:i/>
          <w:sz w:val="24"/>
          <w:szCs w:val="24"/>
        </w:rPr>
        <w:t xml:space="preserve">kod kojih se troškovi po kartici (knjiženi tijekom tekućeg obračunskog razdoblja), podmiruju u cijelosti </w:t>
      </w:r>
      <w:r w:rsidR="00ED708F" w:rsidRPr="00F836D2">
        <w:rPr>
          <w:i/>
          <w:color w:val="C00000"/>
          <w:sz w:val="24"/>
          <w:szCs w:val="24"/>
        </w:rPr>
        <w:t>na</w:t>
      </w:r>
      <w:r w:rsidRPr="00F836D2">
        <w:rPr>
          <w:i/>
          <w:color w:val="C00000"/>
          <w:sz w:val="24"/>
          <w:szCs w:val="24"/>
        </w:rPr>
        <w:t>kon isteka obračunskog razdoblja</w:t>
      </w:r>
      <w:r w:rsidR="00ED708F" w:rsidRPr="00F836D2">
        <w:rPr>
          <w:i/>
          <w:sz w:val="24"/>
          <w:szCs w:val="24"/>
        </w:rPr>
        <w:t xml:space="preserve">, a plaćaju se u definiranom roku (osam do deset dana nakon isteka obračunskog razdoblja), </w:t>
      </w:r>
      <w:r w:rsidR="00ED708F" w:rsidRPr="00F836D2">
        <w:rPr>
          <w:i/>
          <w:color w:val="C00000"/>
          <w:sz w:val="24"/>
          <w:szCs w:val="24"/>
        </w:rPr>
        <w:t>bez plaćanja kamata za odgodu</w:t>
      </w:r>
      <w:r w:rsidR="00ED708F" w:rsidRPr="00F836D2">
        <w:rPr>
          <w:i/>
          <w:sz w:val="24"/>
          <w:szCs w:val="24"/>
        </w:rPr>
        <w:t xml:space="preserve">. Obračunsko </w:t>
      </w:r>
      <w:r w:rsidR="00ED708F" w:rsidRPr="00F836D2">
        <w:rPr>
          <w:rFonts w:ascii="Times New Roman" w:eastAsia="Times New Roman" w:hAnsi="Times New Roman" w:cs="Times New Roman"/>
          <w:i/>
          <w:sz w:val="24"/>
          <w:szCs w:val="24"/>
          <w:lang w:eastAsia="hr-HR"/>
        </w:rPr>
        <w:t>razdoblje</w:t>
      </w:r>
      <w:r w:rsidR="00ED708F" w:rsidRPr="00F836D2">
        <w:rPr>
          <w:i/>
          <w:sz w:val="24"/>
          <w:szCs w:val="24"/>
        </w:rPr>
        <w:t xml:space="preserve"> je jedan mjesec, a izdavatelji (ili korisnici) definiraju točan datum u mjesecu s kojim počinje svako novo obračunsko razdoblje.</w:t>
      </w:r>
      <w:r w:rsidRPr="00F836D2">
        <w:rPr>
          <w:i/>
          <w:sz w:val="24"/>
          <w:szCs w:val="24"/>
        </w:rPr>
        <w:t>“</w:t>
      </w:r>
      <w:r w:rsidRPr="00F836D2">
        <w:rPr>
          <w:sz w:val="24"/>
          <w:szCs w:val="24"/>
          <w:vertAlign w:val="superscript"/>
        </w:rPr>
        <w:t xml:space="preserve"> </w:t>
      </w:r>
      <w:r w:rsidRPr="00F836D2">
        <w:rPr>
          <w:sz w:val="24"/>
          <w:szCs w:val="24"/>
          <w:vertAlign w:val="superscript"/>
        </w:rPr>
        <w:footnoteReference w:id="65"/>
      </w:r>
    </w:p>
    <w:p w:rsidR="00C166BD" w:rsidRPr="00242A48" w:rsidRDefault="003E5E99" w:rsidP="00F836D2">
      <w:pPr>
        <w:autoSpaceDE w:val="0"/>
        <w:autoSpaceDN w:val="0"/>
        <w:adjustRightInd w:val="0"/>
        <w:spacing w:before="240"/>
        <w:jc w:val="both"/>
        <w:rPr>
          <w:b/>
          <w:sz w:val="24"/>
          <w:szCs w:val="24"/>
        </w:rPr>
      </w:pPr>
      <w:r w:rsidRPr="003E5E99">
        <w:rPr>
          <w:b/>
          <w:sz w:val="24"/>
          <w:szCs w:val="24"/>
        </w:rPr>
        <w:t>4.2.4. Savjeti za odgovorno korištenje kreditnih kartica</w:t>
      </w:r>
      <w:r w:rsidR="001F4409">
        <w:rPr>
          <w:b/>
          <w:sz w:val="24"/>
          <w:szCs w:val="24"/>
        </w:rPr>
        <w:t xml:space="preserve"> i debitnih kartica</w:t>
      </w:r>
    </w:p>
    <w:p w:rsidR="00D40471" w:rsidRDefault="00242A48" w:rsidP="00242A48">
      <w:pPr>
        <w:autoSpaceDE w:val="0"/>
        <w:autoSpaceDN w:val="0"/>
        <w:adjustRightInd w:val="0"/>
        <w:spacing w:before="240"/>
        <w:jc w:val="both"/>
        <w:rPr>
          <w:sz w:val="24"/>
          <w:szCs w:val="24"/>
        </w:rPr>
      </w:pPr>
      <w:r>
        <w:rPr>
          <w:sz w:val="24"/>
          <w:szCs w:val="24"/>
        </w:rPr>
        <w:t xml:space="preserve">Kreditne kartice i slični kartični proizvodi imaju </w:t>
      </w:r>
      <w:r w:rsidRPr="001F4409">
        <w:rPr>
          <w:color w:val="C00000"/>
          <w:sz w:val="24"/>
          <w:szCs w:val="24"/>
        </w:rPr>
        <w:t>niz prednosti</w:t>
      </w:r>
      <w:r>
        <w:rPr>
          <w:sz w:val="24"/>
          <w:szCs w:val="24"/>
        </w:rPr>
        <w:t xml:space="preserve">, zbog čega je </w:t>
      </w:r>
      <w:r w:rsidRPr="001F4409">
        <w:rPr>
          <w:color w:val="C00000"/>
          <w:sz w:val="24"/>
          <w:szCs w:val="24"/>
        </w:rPr>
        <w:t>praktično biti njihov korisnik</w:t>
      </w:r>
      <w:r>
        <w:rPr>
          <w:sz w:val="24"/>
          <w:szCs w:val="24"/>
        </w:rPr>
        <w:t>. Na prvom mjestu to su je</w:t>
      </w:r>
      <w:r w:rsidR="001753FE" w:rsidRPr="00242A48">
        <w:rPr>
          <w:sz w:val="24"/>
          <w:szCs w:val="24"/>
        </w:rPr>
        <w:t>dnostavnost upotrebe</w:t>
      </w:r>
      <w:r>
        <w:rPr>
          <w:sz w:val="24"/>
          <w:szCs w:val="24"/>
        </w:rPr>
        <w:t>, u</w:t>
      </w:r>
      <w:r w:rsidR="001753FE" w:rsidRPr="00242A48">
        <w:rPr>
          <w:sz w:val="24"/>
          <w:szCs w:val="24"/>
        </w:rPr>
        <w:t>šteda vremena pri korištenju</w:t>
      </w:r>
      <w:r>
        <w:rPr>
          <w:sz w:val="24"/>
          <w:szCs w:val="24"/>
        </w:rPr>
        <w:t>, r</w:t>
      </w:r>
      <w:r w:rsidR="001753FE" w:rsidRPr="00242A48">
        <w:rPr>
          <w:sz w:val="24"/>
          <w:szCs w:val="24"/>
        </w:rPr>
        <w:t>aspoloživost sredstava 24 sata dnevno</w:t>
      </w:r>
      <w:r>
        <w:rPr>
          <w:sz w:val="24"/>
          <w:szCs w:val="24"/>
        </w:rPr>
        <w:t>, postojanje kupovne moći i u situacijama kada nije raspoloživ dostatan iznos gotovine ili sredstava na tekućem računu</w:t>
      </w:r>
      <w:r w:rsidR="00A824BD">
        <w:rPr>
          <w:sz w:val="24"/>
          <w:szCs w:val="24"/>
        </w:rPr>
        <w:t xml:space="preserve"> te</w:t>
      </w:r>
      <w:r>
        <w:rPr>
          <w:sz w:val="24"/>
          <w:szCs w:val="24"/>
        </w:rPr>
        <w:t xml:space="preserve"> jednostavnost </w:t>
      </w:r>
      <w:r w:rsidR="001753FE" w:rsidRPr="00242A48">
        <w:rPr>
          <w:sz w:val="24"/>
          <w:szCs w:val="24"/>
        </w:rPr>
        <w:t>plaćanja prilikom obavljanja kupovina u inozemstvu</w:t>
      </w:r>
      <w:r w:rsidR="00A824BD">
        <w:rPr>
          <w:sz w:val="24"/>
          <w:szCs w:val="24"/>
        </w:rPr>
        <w:t>. Nadalje to su</w:t>
      </w:r>
      <w:r>
        <w:rPr>
          <w:sz w:val="24"/>
          <w:szCs w:val="24"/>
        </w:rPr>
        <w:t xml:space="preserve"> m</w:t>
      </w:r>
      <w:r w:rsidR="001753FE" w:rsidRPr="00242A48">
        <w:rPr>
          <w:sz w:val="24"/>
          <w:szCs w:val="24"/>
        </w:rPr>
        <w:t>ogućnost obavljanja kupovine preko Interneta</w:t>
      </w:r>
      <w:r>
        <w:rPr>
          <w:sz w:val="24"/>
          <w:szCs w:val="24"/>
        </w:rPr>
        <w:t xml:space="preserve"> (što vrlo često nije moguće debitnim karticama i većinom prepaid kartica), m</w:t>
      </w:r>
      <w:r w:rsidR="001753FE" w:rsidRPr="00242A48">
        <w:rPr>
          <w:sz w:val="24"/>
          <w:szCs w:val="24"/>
        </w:rPr>
        <w:t xml:space="preserve">ogućnost </w:t>
      </w:r>
      <w:r>
        <w:rPr>
          <w:sz w:val="24"/>
          <w:szCs w:val="24"/>
        </w:rPr>
        <w:t>korištenja</w:t>
      </w:r>
      <w:r w:rsidR="001753FE" w:rsidRPr="00242A48">
        <w:rPr>
          <w:sz w:val="24"/>
          <w:szCs w:val="24"/>
        </w:rPr>
        <w:t xml:space="preserve"> potrošačkih kredita (uz plaćanje kamata i naknada)</w:t>
      </w:r>
      <w:r>
        <w:rPr>
          <w:sz w:val="24"/>
          <w:szCs w:val="24"/>
        </w:rPr>
        <w:t xml:space="preserve"> ili beskamatnih obročnih otplata, mogućnost podizanja gotovine putem bankomata i uređaja sa sličnom funkcijom, v</w:t>
      </w:r>
      <w:r w:rsidR="001753FE" w:rsidRPr="00242A48">
        <w:rPr>
          <w:sz w:val="24"/>
          <w:szCs w:val="24"/>
        </w:rPr>
        <w:t>eća sigurnost u slučaju gubitka kartice u odnosu na gubitak gotovine</w:t>
      </w:r>
      <w:r>
        <w:rPr>
          <w:sz w:val="24"/>
          <w:szCs w:val="24"/>
        </w:rPr>
        <w:t>, kod nekih kartičnih kuća t</w:t>
      </w:r>
      <w:r w:rsidR="001753FE" w:rsidRPr="00242A48">
        <w:rPr>
          <w:sz w:val="24"/>
          <w:szCs w:val="24"/>
        </w:rPr>
        <w:t xml:space="preserve">akođer i osiguranje od posljedica nesretnog slučaja </w:t>
      </w:r>
      <w:r>
        <w:rPr>
          <w:sz w:val="24"/>
          <w:szCs w:val="24"/>
        </w:rPr>
        <w:t xml:space="preserve">te eventualno mogućnost sudjelovanja u nagradnim igrama te programima </w:t>
      </w:r>
      <w:r w:rsidR="001753FE" w:rsidRPr="00242A48">
        <w:rPr>
          <w:sz w:val="24"/>
          <w:szCs w:val="24"/>
        </w:rPr>
        <w:t xml:space="preserve">nagrađivanje potrošnje i urednog plaćanja računa </w:t>
      </w:r>
      <w:r>
        <w:rPr>
          <w:sz w:val="24"/>
          <w:szCs w:val="24"/>
        </w:rPr>
        <w:t xml:space="preserve">(kroz prikupljanje nagradnih bodova koji su zamjenjivi za robe i usluge) itd. </w:t>
      </w:r>
    </w:p>
    <w:p w:rsidR="00466C6C" w:rsidRDefault="00D40471" w:rsidP="00466C6C">
      <w:pPr>
        <w:autoSpaceDE w:val="0"/>
        <w:autoSpaceDN w:val="0"/>
        <w:adjustRightInd w:val="0"/>
        <w:spacing w:before="240"/>
        <w:jc w:val="both"/>
        <w:rPr>
          <w:sz w:val="24"/>
          <w:szCs w:val="24"/>
        </w:rPr>
      </w:pPr>
      <w:r w:rsidRPr="00D40471">
        <w:rPr>
          <w:sz w:val="24"/>
          <w:szCs w:val="24"/>
        </w:rPr>
        <w:lastRenderedPageBreak/>
        <w:t>B</w:t>
      </w:r>
      <w:r w:rsidR="00242A48" w:rsidRPr="00D40471">
        <w:rPr>
          <w:sz w:val="24"/>
          <w:szCs w:val="24"/>
        </w:rPr>
        <w:t>rojn</w:t>
      </w:r>
      <w:r w:rsidR="00A824BD" w:rsidRPr="00D40471">
        <w:rPr>
          <w:sz w:val="24"/>
          <w:szCs w:val="24"/>
        </w:rPr>
        <w:t>e</w:t>
      </w:r>
      <w:r w:rsidR="00242A48" w:rsidRPr="00D40471">
        <w:rPr>
          <w:sz w:val="24"/>
          <w:szCs w:val="24"/>
        </w:rPr>
        <w:t xml:space="preserve"> od navedenih </w:t>
      </w:r>
      <w:r w:rsidR="00242A48" w:rsidRPr="00D40471">
        <w:rPr>
          <w:color w:val="C00000"/>
          <w:sz w:val="24"/>
          <w:szCs w:val="24"/>
        </w:rPr>
        <w:t>pogodnosti dostupne su i u slučaju korištenja debitne platne kartice</w:t>
      </w:r>
      <w:r>
        <w:rPr>
          <w:sz w:val="24"/>
          <w:szCs w:val="24"/>
        </w:rPr>
        <w:t>, pri čemu korisnik nema dodatne troškove vezane uz godišnju članarinu dok je sigurnost od</w:t>
      </w:r>
      <w:r w:rsidRPr="00D40471">
        <w:rPr>
          <w:sz w:val="24"/>
          <w:szCs w:val="24"/>
        </w:rPr>
        <w:t xml:space="preserve"> zlouporabe kartice </w:t>
      </w:r>
      <w:r>
        <w:rPr>
          <w:sz w:val="24"/>
          <w:szCs w:val="24"/>
        </w:rPr>
        <w:t xml:space="preserve">ipak veća nego u slučaju kreditnih kartica. </w:t>
      </w:r>
      <w:r w:rsidRPr="00D40471">
        <w:rPr>
          <w:sz w:val="24"/>
          <w:szCs w:val="24"/>
        </w:rPr>
        <w:t>(</w:t>
      </w:r>
      <w:r>
        <w:rPr>
          <w:sz w:val="24"/>
          <w:szCs w:val="24"/>
        </w:rPr>
        <w:t>I</w:t>
      </w:r>
      <w:r w:rsidRPr="00D40471">
        <w:rPr>
          <w:sz w:val="24"/>
          <w:szCs w:val="24"/>
        </w:rPr>
        <w:t xml:space="preserve">ako </w:t>
      </w:r>
      <w:r>
        <w:rPr>
          <w:sz w:val="24"/>
          <w:szCs w:val="24"/>
        </w:rPr>
        <w:t xml:space="preserve">to </w:t>
      </w:r>
      <w:r w:rsidRPr="00D40471">
        <w:rPr>
          <w:sz w:val="24"/>
          <w:szCs w:val="24"/>
        </w:rPr>
        <w:t xml:space="preserve">ne nužno </w:t>
      </w:r>
      <w:r>
        <w:rPr>
          <w:sz w:val="24"/>
          <w:szCs w:val="24"/>
        </w:rPr>
        <w:t>ne znači da je i</w:t>
      </w:r>
      <w:r w:rsidRPr="00D40471">
        <w:rPr>
          <w:sz w:val="24"/>
          <w:szCs w:val="24"/>
        </w:rPr>
        <w:t xml:space="preserve"> veća zaštićenost bankovnih podataka</w:t>
      </w:r>
      <w:r>
        <w:rPr>
          <w:sz w:val="24"/>
          <w:szCs w:val="24"/>
        </w:rPr>
        <w:t xml:space="preserve"> pojedinca</w:t>
      </w:r>
      <w:r w:rsidR="005F05F7">
        <w:rPr>
          <w:sz w:val="24"/>
          <w:szCs w:val="24"/>
        </w:rPr>
        <w:t>.</w:t>
      </w:r>
      <w:r w:rsidRPr="00D40471">
        <w:rPr>
          <w:sz w:val="24"/>
          <w:szCs w:val="24"/>
        </w:rPr>
        <w:t>)</w:t>
      </w:r>
      <w:r w:rsidR="00466C6C">
        <w:rPr>
          <w:sz w:val="24"/>
          <w:szCs w:val="24"/>
        </w:rPr>
        <w:t xml:space="preserve"> </w:t>
      </w:r>
      <w:r>
        <w:rPr>
          <w:sz w:val="24"/>
          <w:szCs w:val="24"/>
        </w:rPr>
        <w:t xml:space="preserve">Kako bi se spriječile zlouporabe debitnih i kreditnih kartica ali i izvršavanje ilegalnih aktivnosti, </w:t>
      </w:r>
      <w:r w:rsidRPr="00466C6C">
        <w:rPr>
          <w:color w:val="C00000"/>
          <w:sz w:val="24"/>
          <w:szCs w:val="24"/>
        </w:rPr>
        <w:t xml:space="preserve">od korisnika se očekuje </w:t>
      </w:r>
      <w:r w:rsidR="00466C6C" w:rsidRPr="00466C6C">
        <w:rPr>
          <w:color w:val="C00000"/>
          <w:sz w:val="24"/>
          <w:szCs w:val="24"/>
        </w:rPr>
        <w:t>odgovornost</w:t>
      </w:r>
      <w:r w:rsidRPr="00466C6C">
        <w:rPr>
          <w:color w:val="C00000"/>
          <w:sz w:val="24"/>
          <w:szCs w:val="24"/>
        </w:rPr>
        <w:t xml:space="preserve"> u njihovom korištenju</w:t>
      </w:r>
      <w:r>
        <w:rPr>
          <w:sz w:val="24"/>
          <w:szCs w:val="24"/>
        </w:rPr>
        <w:t>. K</w:t>
      </w:r>
      <w:r w:rsidR="001753FE" w:rsidRPr="00D40471">
        <w:rPr>
          <w:sz w:val="24"/>
          <w:szCs w:val="24"/>
        </w:rPr>
        <w:t>articu smije koristiti isključivo osoba na čije ime kartica glasi i to do isteka roka valjanosti kartice</w:t>
      </w:r>
      <w:r>
        <w:rPr>
          <w:sz w:val="24"/>
          <w:szCs w:val="24"/>
        </w:rPr>
        <w:t xml:space="preserve">. </w:t>
      </w:r>
      <w:r w:rsidR="00466C6C">
        <w:rPr>
          <w:sz w:val="24"/>
          <w:szCs w:val="24"/>
        </w:rPr>
        <w:t>N</w:t>
      </w:r>
      <w:r w:rsidR="00466C6C" w:rsidRPr="00D40471">
        <w:rPr>
          <w:sz w:val="24"/>
          <w:szCs w:val="24"/>
        </w:rPr>
        <w:t>akon što korisnik dobije novu karticu, staru karticu treba prerezati tako da se prereže i m</w:t>
      </w:r>
      <w:r w:rsidR="00466C6C">
        <w:rPr>
          <w:sz w:val="24"/>
          <w:szCs w:val="24"/>
        </w:rPr>
        <w:t>agnetska traka.</w:t>
      </w:r>
    </w:p>
    <w:p w:rsidR="00466C6C" w:rsidRPr="00466C6C" w:rsidRDefault="00466C6C" w:rsidP="00466C6C">
      <w:pPr>
        <w:autoSpaceDE w:val="0"/>
        <w:autoSpaceDN w:val="0"/>
        <w:adjustRightInd w:val="0"/>
        <w:spacing w:before="240"/>
        <w:jc w:val="both"/>
        <w:rPr>
          <w:sz w:val="24"/>
          <w:szCs w:val="24"/>
        </w:rPr>
      </w:pPr>
      <w:r>
        <w:rPr>
          <w:sz w:val="24"/>
          <w:szCs w:val="24"/>
        </w:rPr>
        <w:t>U</w:t>
      </w:r>
      <w:r w:rsidRPr="00466C6C">
        <w:rPr>
          <w:sz w:val="24"/>
          <w:szCs w:val="24"/>
        </w:rPr>
        <w:t xml:space="preserve">poraba kartice od strane </w:t>
      </w:r>
      <w:r w:rsidRPr="005F05F7">
        <w:rPr>
          <w:color w:val="C00000"/>
          <w:sz w:val="24"/>
          <w:szCs w:val="24"/>
        </w:rPr>
        <w:t xml:space="preserve">osobe čije ime nije otisnuto na kartici smatra se </w:t>
      </w:r>
      <w:r w:rsidRPr="005F05F7">
        <w:rPr>
          <w:bCs/>
          <w:color w:val="C00000"/>
          <w:sz w:val="24"/>
          <w:szCs w:val="24"/>
        </w:rPr>
        <w:t>zlouporabom</w:t>
      </w:r>
      <w:r w:rsidRPr="005F05F7">
        <w:rPr>
          <w:b/>
          <w:bCs/>
          <w:color w:val="C00000"/>
          <w:sz w:val="24"/>
          <w:szCs w:val="24"/>
        </w:rPr>
        <w:t xml:space="preserve"> </w:t>
      </w:r>
      <w:r w:rsidRPr="00466C6C">
        <w:rPr>
          <w:sz w:val="24"/>
          <w:szCs w:val="24"/>
        </w:rPr>
        <w:t>te banka</w:t>
      </w:r>
      <w:r>
        <w:rPr>
          <w:sz w:val="24"/>
          <w:szCs w:val="24"/>
        </w:rPr>
        <w:t>/ izdavatelj</w:t>
      </w:r>
      <w:r w:rsidRPr="00466C6C">
        <w:rPr>
          <w:sz w:val="24"/>
          <w:szCs w:val="24"/>
        </w:rPr>
        <w:t xml:space="preserve"> može uskratiti prava korištenja uz oduzimanje kartice</w:t>
      </w:r>
      <w:r>
        <w:rPr>
          <w:sz w:val="24"/>
          <w:szCs w:val="24"/>
        </w:rPr>
        <w:t>. K</w:t>
      </w:r>
      <w:r w:rsidRPr="00466C6C">
        <w:rPr>
          <w:sz w:val="24"/>
          <w:szCs w:val="24"/>
        </w:rPr>
        <w:t>artice se ne smiju koristit u svrhu zlouporaba kao što su sklapanja fiktivnih kupoprodajnih ugovora, lihvarskih ugovora, osiguranja za podmirenje dugovanja, naplate dugovanja te kupnja pornografskih sadržaja, opojnih droga kao niti za druge svrhe koje su svojom prirodom i ciljem suprotne moralu i pozitivnim propisima Republike Hrvatske</w:t>
      </w:r>
      <w:r>
        <w:rPr>
          <w:sz w:val="24"/>
          <w:szCs w:val="24"/>
        </w:rPr>
        <w:t xml:space="preserve">. </w:t>
      </w:r>
    </w:p>
    <w:p w:rsidR="00D61A65" w:rsidRDefault="00D40471" w:rsidP="00466C6C">
      <w:pPr>
        <w:autoSpaceDE w:val="0"/>
        <w:autoSpaceDN w:val="0"/>
        <w:adjustRightInd w:val="0"/>
        <w:spacing w:before="240"/>
        <w:jc w:val="both"/>
        <w:rPr>
          <w:sz w:val="24"/>
          <w:szCs w:val="24"/>
        </w:rPr>
      </w:pPr>
      <w:r w:rsidRPr="00466C6C">
        <w:rPr>
          <w:color w:val="C00000"/>
          <w:sz w:val="24"/>
          <w:szCs w:val="24"/>
        </w:rPr>
        <w:t>K</w:t>
      </w:r>
      <w:r w:rsidR="001753FE" w:rsidRPr="00466C6C">
        <w:rPr>
          <w:color w:val="C00000"/>
          <w:sz w:val="24"/>
          <w:szCs w:val="24"/>
        </w:rPr>
        <w:t>artica je vlasništvo banke</w:t>
      </w:r>
      <w:r w:rsidRPr="00466C6C">
        <w:rPr>
          <w:color w:val="C00000"/>
          <w:sz w:val="24"/>
          <w:szCs w:val="24"/>
        </w:rPr>
        <w:t xml:space="preserve">, kartične kuće </w:t>
      </w:r>
      <w:r w:rsidR="001753FE" w:rsidRPr="00466C6C">
        <w:rPr>
          <w:color w:val="C00000"/>
          <w:sz w:val="24"/>
          <w:szCs w:val="24"/>
        </w:rPr>
        <w:t>ili drugog izdavatelja</w:t>
      </w:r>
      <w:r w:rsidRPr="00466C6C">
        <w:rPr>
          <w:color w:val="C00000"/>
          <w:sz w:val="24"/>
          <w:szCs w:val="24"/>
        </w:rPr>
        <w:t xml:space="preserve"> </w:t>
      </w:r>
      <w:r>
        <w:rPr>
          <w:sz w:val="24"/>
          <w:szCs w:val="24"/>
        </w:rPr>
        <w:t xml:space="preserve">te on ima pravo ograničiti njeno korištenje </w:t>
      </w:r>
      <w:r w:rsidR="00466C6C">
        <w:rPr>
          <w:sz w:val="24"/>
          <w:szCs w:val="24"/>
        </w:rPr>
        <w:t xml:space="preserve">kako </w:t>
      </w:r>
      <w:r>
        <w:rPr>
          <w:sz w:val="24"/>
          <w:szCs w:val="24"/>
        </w:rPr>
        <w:t>u slučaju kada se uoče određene nepravilnosti</w:t>
      </w:r>
      <w:r w:rsidR="00466C6C">
        <w:rPr>
          <w:sz w:val="24"/>
          <w:szCs w:val="24"/>
        </w:rPr>
        <w:t>, tako i ako</w:t>
      </w:r>
      <w:r>
        <w:rPr>
          <w:sz w:val="24"/>
          <w:szCs w:val="24"/>
        </w:rPr>
        <w:t xml:space="preserve"> se troškovi po </w:t>
      </w:r>
      <w:r w:rsidR="00466C6C">
        <w:rPr>
          <w:sz w:val="24"/>
          <w:szCs w:val="24"/>
        </w:rPr>
        <w:t xml:space="preserve">kreditnoj ili charge </w:t>
      </w:r>
      <w:r>
        <w:rPr>
          <w:sz w:val="24"/>
          <w:szCs w:val="24"/>
        </w:rPr>
        <w:t xml:space="preserve">kartici ne otplaćuju u definiranim rokovima. </w:t>
      </w:r>
      <w:r w:rsidR="00466C6C">
        <w:rPr>
          <w:sz w:val="24"/>
          <w:szCs w:val="24"/>
        </w:rPr>
        <w:t>K</w:t>
      </w:r>
      <w:r w:rsidR="00466C6C" w:rsidRPr="00D40471">
        <w:rPr>
          <w:sz w:val="24"/>
          <w:szCs w:val="24"/>
        </w:rPr>
        <w:t xml:space="preserve">orisnik bankovne debitne kartice </w:t>
      </w:r>
      <w:r w:rsidR="00466C6C">
        <w:rPr>
          <w:sz w:val="24"/>
          <w:szCs w:val="24"/>
        </w:rPr>
        <w:t xml:space="preserve">tekućeg </w:t>
      </w:r>
      <w:r w:rsidR="00466C6C" w:rsidRPr="00D40471">
        <w:rPr>
          <w:sz w:val="24"/>
          <w:szCs w:val="24"/>
        </w:rPr>
        <w:t>računa smije koristiti karticu samo u okviru salda/raspoloživog i</w:t>
      </w:r>
      <w:r w:rsidR="00466C6C">
        <w:rPr>
          <w:sz w:val="24"/>
          <w:szCs w:val="24"/>
        </w:rPr>
        <w:t>znosa po računu U slučaju nenaplaćenih tražbina p</w:t>
      </w:r>
      <w:r w:rsidR="001753FE" w:rsidRPr="00D40471">
        <w:rPr>
          <w:sz w:val="24"/>
          <w:szCs w:val="24"/>
        </w:rPr>
        <w:t>rema klijentu</w:t>
      </w:r>
      <w:r w:rsidR="00466C6C">
        <w:rPr>
          <w:sz w:val="24"/>
          <w:szCs w:val="24"/>
        </w:rPr>
        <w:t xml:space="preserve"> (korisniku kartice)</w:t>
      </w:r>
      <w:r w:rsidR="001753FE" w:rsidRPr="00D40471">
        <w:rPr>
          <w:sz w:val="24"/>
          <w:szCs w:val="24"/>
        </w:rPr>
        <w:t xml:space="preserve">, </w:t>
      </w:r>
      <w:r w:rsidR="00466C6C">
        <w:rPr>
          <w:sz w:val="24"/>
          <w:szCs w:val="24"/>
        </w:rPr>
        <w:t xml:space="preserve">izdavatelj kartice </w:t>
      </w:r>
      <w:r w:rsidR="001753FE" w:rsidRPr="00D40471">
        <w:rPr>
          <w:sz w:val="24"/>
          <w:szCs w:val="24"/>
        </w:rPr>
        <w:t>može izvršiti prijeboj svoje dospjele tražbine iz sredstava koje korisnik ima na transakcijskom kao i bilo kojem drugom depozitnom računu</w:t>
      </w:r>
      <w:r w:rsidR="00466C6C">
        <w:rPr>
          <w:sz w:val="24"/>
          <w:szCs w:val="24"/>
        </w:rPr>
        <w:t xml:space="preserve">. </w:t>
      </w:r>
    </w:p>
    <w:p w:rsidR="00D61A65" w:rsidRDefault="001753FE" w:rsidP="00627BBB">
      <w:pPr>
        <w:autoSpaceDE w:val="0"/>
        <w:autoSpaceDN w:val="0"/>
        <w:adjustRightInd w:val="0"/>
        <w:spacing w:before="240"/>
        <w:jc w:val="both"/>
        <w:rPr>
          <w:sz w:val="24"/>
          <w:szCs w:val="24"/>
        </w:rPr>
      </w:pPr>
      <w:r w:rsidRPr="00A824BD">
        <w:rPr>
          <w:sz w:val="24"/>
          <w:szCs w:val="24"/>
        </w:rPr>
        <w:t xml:space="preserve">Kreditne kartice </w:t>
      </w:r>
      <w:r w:rsidRPr="00627BBB">
        <w:rPr>
          <w:color w:val="C00000"/>
          <w:sz w:val="24"/>
          <w:szCs w:val="24"/>
        </w:rPr>
        <w:t>nisu izvor sredstava</w:t>
      </w:r>
      <w:r w:rsidR="00627BBB" w:rsidRPr="005F05F7">
        <w:rPr>
          <w:color w:val="C00000"/>
          <w:sz w:val="24"/>
          <w:szCs w:val="24"/>
        </w:rPr>
        <w:t>, iako ih upravo tako brojni građani doživljavaju</w:t>
      </w:r>
      <w:r w:rsidR="00627BBB">
        <w:rPr>
          <w:sz w:val="24"/>
          <w:szCs w:val="24"/>
        </w:rPr>
        <w:t xml:space="preserve">. One se trebaju koristiti samo onda kada je osoba </w:t>
      </w:r>
      <w:r w:rsidRPr="00A824BD">
        <w:rPr>
          <w:sz w:val="24"/>
          <w:szCs w:val="24"/>
        </w:rPr>
        <w:t>sigurn</w:t>
      </w:r>
      <w:r w:rsidR="00627BBB">
        <w:rPr>
          <w:sz w:val="24"/>
          <w:szCs w:val="24"/>
        </w:rPr>
        <w:t>a</w:t>
      </w:r>
      <w:r w:rsidRPr="00A824BD">
        <w:rPr>
          <w:sz w:val="24"/>
          <w:szCs w:val="24"/>
        </w:rPr>
        <w:t xml:space="preserve"> da će moći podmiriti </w:t>
      </w:r>
      <w:r w:rsidR="00627BBB">
        <w:rPr>
          <w:sz w:val="24"/>
          <w:szCs w:val="24"/>
        </w:rPr>
        <w:t xml:space="preserve">troškove po računu kada on </w:t>
      </w:r>
      <w:r w:rsidRPr="00A824BD">
        <w:rPr>
          <w:sz w:val="24"/>
          <w:szCs w:val="24"/>
        </w:rPr>
        <w:t>dođe na naplatu</w:t>
      </w:r>
      <w:r w:rsidR="00627BBB">
        <w:rPr>
          <w:sz w:val="24"/>
          <w:szCs w:val="24"/>
        </w:rPr>
        <w:t>. Treba izbjeći upuštanje u dodatne „</w:t>
      </w:r>
      <w:r w:rsidRPr="00A824BD">
        <w:rPr>
          <w:sz w:val="24"/>
          <w:szCs w:val="24"/>
        </w:rPr>
        <w:t>financijske akrobacije</w:t>
      </w:r>
      <w:r w:rsidR="00627BBB">
        <w:rPr>
          <w:sz w:val="24"/>
          <w:szCs w:val="24"/>
        </w:rPr>
        <w:t>“</w:t>
      </w:r>
      <w:r w:rsidRPr="00A824BD">
        <w:rPr>
          <w:sz w:val="24"/>
          <w:szCs w:val="24"/>
        </w:rPr>
        <w:t xml:space="preserve"> prije nego </w:t>
      </w:r>
      <w:r w:rsidR="00627BBB">
        <w:rPr>
          <w:sz w:val="24"/>
          <w:szCs w:val="24"/>
        </w:rPr>
        <w:t xml:space="preserve">što se </w:t>
      </w:r>
      <w:r w:rsidRPr="00A824BD">
        <w:rPr>
          <w:sz w:val="24"/>
          <w:szCs w:val="24"/>
        </w:rPr>
        <w:t>podmiri sve obveze po kreditnim karticama</w:t>
      </w:r>
      <w:r w:rsidR="00627BBB">
        <w:rPr>
          <w:sz w:val="24"/>
          <w:szCs w:val="24"/>
        </w:rPr>
        <w:t>, a posebno treba biti svjestan da ra</w:t>
      </w:r>
      <w:r w:rsidRPr="00627BBB">
        <w:rPr>
          <w:sz w:val="24"/>
          <w:szCs w:val="24"/>
        </w:rPr>
        <w:t xml:space="preserve">spolaganje kreditnom karticom </w:t>
      </w:r>
      <w:r w:rsidR="00627BBB" w:rsidRPr="00627BBB">
        <w:rPr>
          <w:sz w:val="24"/>
          <w:szCs w:val="24"/>
        </w:rPr>
        <w:t xml:space="preserve">ili karticom s odgođenom naplatom </w:t>
      </w:r>
      <w:r w:rsidRPr="005F05F7">
        <w:rPr>
          <w:color w:val="000000" w:themeColor="text1"/>
          <w:sz w:val="24"/>
          <w:szCs w:val="24"/>
        </w:rPr>
        <w:t xml:space="preserve">omogućuje </w:t>
      </w:r>
      <w:r w:rsidRPr="00627BBB">
        <w:rPr>
          <w:color w:val="C00000"/>
          <w:sz w:val="24"/>
          <w:szCs w:val="24"/>
        </w:rPr>
        <w:t>emocionaln</w:t>
      </w:r>
      <w:r w:rsidR="005F05F7">
        <w:rPr>
          <w:color w:val="C00000"/>
          <w:sz w:val="24"/>
          <w:szCs w:val="24"/>
        </w:rPr>
        <w:t xml:space="preserve">u, impulzivnu pa i </w:t>
      </w:r>
      <w:r w:rsidRPr="00627BBB">
        <w:rPr>
          <w:color w:val="C00000"/>
          <w:sz w:val="24"/>
          <w:szCs w:val="24"/>
        </w:rPr>
        <w:t>neodgovorn</w:t>
      </w:r>
      <w:r w:rsidR="005F05F7">
        <w:rPr>
          <w:color w:val="C00000"/>
          <w:sz w:val="24"/>
          <w:szCs w:val="24"/>
        </w:rPr>
        <w:t>u potrošnju</w:t>
      </w:r>
      <w:r w:rsidRPr="00627BBB">
        <w:rPr>
          <w:color w:val="C00000"/>
          <w:sz w:val="24"/>
          <w:szCs w:val="24"/>
        </w:rPr>
        <w:t xml:space="preserve"> mimo utvrđenog plana financijskih aktivnosti</w:t>
      </w:r>
      <w:r w:rsidR="00627BBB" w:rsidRPr="00627BBB">
        <w:rPr>
          <w:sz w:val="24"/>
          <w:szCs w:val="24"/>
        </w:rPr>
        <w:t>.</w:t>
      </w:r>
    </w:p>
    <w:p w:rsidR="005F05F7" w:rsidRDefault="005F05F7" w:rsidP="005F05F7">
      <w:pPr>
        <w:autoSpaceDE w:val="0"/>
        <w:autoSpaceDN w:val="0"/>
        <w:adjustRightInd w:val="0"/>
        <w:spacing w:before="240"/>
        <w:jc w:val="both"/>
        <w:rPr>
          <w:sz w:val="24"/>
          <w:szCs w:val="24"/>
        </w:rPr>
      </w:pPr>
      <w:r>
        <w:rPr>
          <w:sz w:val="24"/>
          <w:szCs w:val="24"/>
        </w:rPr>
        <w:t xml:space="preserve">Isto tako treba biti svjestan da su kreditne kartice </w:t>
      </w:r>
      <w:r w:rsidRPr="00A824BD">
        <w:rPr>
          <w:color w:val="C00000"/>
          <w:sz w:val="24"/>
          <w:szCs w:val="24"/>
        </w:rPr>
        <w:t xml:space="preserve">najagresivniji proizvod financijske industrije </w:t>
      </w:r>
      <w:r>
        <w:rPr>
          <w:sz w:val="24"/>
          <w:szCs w:val="24"/>
        </w:rPr>
        <w:t xml:space="preserve">pa stoga prije nego se osoba odluči na njihovo korištenje, sama sebi treba postaviti neka od sljedećih pitanja: </w:t>
      </w:r>
    </w:p>
    <w:p w:rsidR="005F05F7" w:rsidRPr="00A824BD" w:rsidRDefault="005F05F7" w:rsidP="006F1C04">
      <w:pPr>
        <w:pStyle w:val="Odlomakpopisa"/>
        <w:numPr>
          <w:ilvl w:val="0"/>
          <w:numId w:val="52"/>
        </w:numPr>
        <w:autoSpaceDE w:val="0"/>
        <w:autoSpaceDN w:val="0"/>
        <w:adjustRightInd w:val="0"/>
        <w:spacing w:before="240"/>
        <w:jc w:val="both"/>
        <w:rPr>
          <w:bCs/>
          <w:sz w:val="24"/>
          <w:szCs w:val="24"/>
        </w:rPr>
      </w:pPr>
      <w:r w:rsidRPr="00A824BD">
        <w:rPr>
          <w:bCs/>
          <w:sz w:val="24"/>
          <w:szCs w:val="24"/>
        </w:rPr>
        <w:t>Zbog čega je potrebno imati (koristiti) kreditne kartice - jednu, dvije, šest njih?</w:t>
      </w:r>
    </w:p>
    <w:p w:rsidR="005F05F7" w:rsidRPr="00A824BD" w:rsidRDefault="005F05F7" w:rsidP="006F1C04">
      <w:pPr>
        <w:pStyle w:val="Odlomakpopisa"/>
        <w:numPr>
          <w:ilvl w:val="0"/>
          <w:numId w:val="52"/>
        </w:numPr>
        <w:autoSpaceDE w:val="0"/>
        <w:autoSpaceDN w:val="0"/>
        <w:adjustRightInd w:val="0"/>
        <w:spacing w:before="240"/>
        <w:jc w:val="both"/>
        <w:rPr>
          <w:sz w:val="24"/>
          <w:szCs w:val="24"/>
        </w:rPr>
      </w:pPr>
      <w:r w:rsidRPr="00A824BD">
        <w:rPr>
          <w:bCs/>
          <w:sz w:val="24"/>
          <w:szCs w:val="24"/>
        </w:rPr>
        <w:t xml:space="preserve">Da li će uskoro putovati u SAD zbog čega će kreditna kartica biti važna radi mogućnosti korištenja  </w:t>
      </w:r>
      <w:r w:rsidRPr="00A824BD">
        <w:rPr>
          <w:sz w:val="24"/>
          <w:szCs w:val="24"/>
        </w:rPr>
        <w:t>usluge rent a car-a ili iznajmljivanja sobe u hotelu?</w:t>
      </w:r>
      <w:r>
        <w:rPr>
          <w:sz w:val="24"/>
          <w:szCs w:val="24"/>
        </w:rPr>
        <w:t xml:space="preserve"> </w:t>
      </w:r>
    </w:p>
    <w:p w:rsidR="005F05F7" w:rsidRDefault="005F05F7" w:rsidP="006F1C04">
      <w:pPr>
        <w:pStyle w:val="Odlomakpopisa"/>
        <w:numPr>
          <w:ilvl w:val="0"/>
          <w:numId w:val="52"/>
        </w:numPr>
        <w:autoSpaceDE w:val="0"/>
        <w:autoSpaceDN w:val="0"/>
        <w:adjustRightInd w:val="0"/>
        <w:spacing w:before="240"/>
        <w:jc w:val="both"/>
        <w:rPr>
          <w:sz w:val="24"/>
          <w:szCs w:val="24"/>
        </w:rPr>
      </w:pPr>
      <w:r w:rsidRPr="00A824BD">
        <w:rPr>
          <w:sz w:val="24"/>
          <w:szCs w:val="24"/>
        </w:rPr>
        <w:t>Hoće li se naći u nezgodnoj situaciji da treba ugostiti prijatelji ili poslovne partnere na večeri u restoranu, a pri ruci neće imati gotovinu ili debitnu karticu?</w:t>
      </w:r>
    </w:p>
    <w:p w:rsidR="005F05F7" w:rsidRDefault="005F05F7" w:rsidP="006F1C04">
      <w:pPr>
        <w:pStyle w:val="Odlomakpopisa"/>
        <w:numPr>
          <w:ilvl w:val="0"/>
          <w:numId w:val="52"/>
        </w:numPr>
        <w:autoSpaceDE w:val="0"/>
        <w:autoSpaceDN w:val="0"/>
        <w:adjustRightInd w:val="0"/>
        <w:spacing w:before="240"/>
        <w:jc w:val="both"/>
        <w:rPr>
          <w:sz w:val="24"/>
          <w:szCs w:val="24"/>
        </w:rPr>
      </w:pPr>
      <w:r>
        <w:rPr>
          <w:sz w:val="24"/>
          <w:szCs w:val="24"/>
        </w:rPr>
        <w:t>Da li su koristi od korištenja kartice veće od mogućih izravnih ili neizravnih troškova?</w:t>
      </w:r>
    </w:p>
    <w:p w:rsidR="005F05F7" w:rsidRDefault="005F05F7" w:rsidP="006F1C04">
      <w:pPr>
        <w:pStyle w:val="Odlomakpopisa"/>
        <w:numPr>
          <w:ilvl w:val="0"/>
          <w:numId w:val="52"/>
        </w:numPr>
        <w:autoSpaceDE w:val="0"/>
        <w:autoSpaceDN w:val="0"/>
        <w:adjustRightInd w:val="0"/>
        <w:spacing w:before="240"/>
        <w:jc w:val="both"/>
        <w:rPr>
          <w:sz w:val="24"/>
          <w:szCs w:val="24"/>
        </w:rPr>
      </w:pPr>
      <w:r w:rsidRPr="00A824BD">
        <w:rPr>
          <w:sz w:val="24"/>
          <w:szCs w:val="24"/>
        </w:rPr>
        <w:lastRenderedPageBreak/>
        <w:t xml:space="preserve">Koliki je trošak podizanja gotovine putem kreditnih kartica u zemlji ili inozemstvu? </w:t>
      </w:r>
    </w:p>
    <w:p w:rsidR="005F05F7" w:rsidRDefault="005F05F7" w:rsidP="006F1C04">
      <w:pPr>
        <w:pStyle w:val="Odlomakpopisa"/>
        <w:numPr>
          <w:ilvl w:val="0"/>
          <w:numId w:val="52"/>
        </w:numPr>
        <w:autoSpaceDE w:val="0"/>
        <w:autoSpaceDN w:val="0"/>
        <w:adjustRightInd w:val="0"/>
        <w:spacing w:before="240"/>
        <w:jc w:val="both"/>
        <w:rPr>
          <w:sz w:val="24"/>
          <w:szCs w:val="24"/>
        </w:rPr>
      </w:pPr>
      <w:r w:rsidRPr="00A824BD">
        <w:rPr>
          <w:sz w:val="24"/>
          <w:szCs w:val="24"/>
        </w:rPr>
        <w:t>Hoće li ga dostupnost korištenja kartice motivirati da kupi simpatičan proizvod koji možda nikada neće upotrijebiti?</w:t>
      </w:r>
    </w:p>
    <w:p w:rsidR="005F05F7" w:rsidRDefault="005F05F7" w:rsidP="006F1C04">
      <w:pPr>
        <w:pStyle w:val="Odlomakpopisa"/>
        <w:numPr>
          <w:ilvl w:val="0"/>
          <w:numId w:val="52"/>
        </w:numPr>
        <w:autoSpaceDE w:val="0"/>
        <w:autoSpaceDN w:val="0"/>
        <w:adjustRightInd w:val="0"/>
        <w:spacing w:before="240"/>
        <w:jc w:val="both"/>
        <w:rPr>
          <w:sz w:val="24"/>
          <w:szCs w:val="24"/>
        </w:rPr>
      </w:pPr>
      <w:r>
        <w:rPr>
          <w:sz w:val="24"/>
          <w:szCs w:val="24"/>
        </w:rPr>
        <w:t>Da li će dostupnost kartice, odnosno jednostavnog i lako dostupnog kratkoročnog zaduživanja postati razlog manje racionalnosti u potrošnji, odnosno da li će osoba sama sebe moći kontrolirati da ne postane žrtva stihijske i emotivne kupnje?</w:t>
      </w:r>
    </w:p>
    <w:p w:rsidR="005F05F7" w:rsidRDefault="00627BBB" w:rsidP="00627BBB">
      <w:pPr>
        <w:autoSpaceDE w:val="0"/>
        <w:autoSpaceDN w:val="0"/>
        <w:adjustRightInd w:val="0"/>
        <w:spacing w:before="240"/>
        <w:jc w:val="both"/>
        <w:rPr>
          <w:sz w:val="24"/>
          <w:szCs w:val="24"/>
        </w:rPr>
      </w:pPr>
      <w:r w:rsidRPr="005F05F7">
        <w:rPr>
          <w:sz w:val="24"/>
          <w:szCs w:val="24"/>
        </w:rPr>
        <w:t xml:space="preserve">Jedini način da se spriječi </w:t>
      </w:r>
      <w:r w:rsidR="001753FE" w:rsidRPr="005F05F7">
        <w:rPr>
          <w:sz w:val="24"/>
          <w:szCs w:val="24"/>
        </w:rPr>
        <w:t xml:space="preserve">emocionalno i impulzivno trošenje </w:t>
      </w:r>
      <w:r w:rsidRPr="005F05F7">
        <w:rPr>
          <w:sz w:val="24"/>
          <w:szCs w:val="24"/>
        </w:rPr>
        <w:t xml:space="preserve">je </w:t>
      </w:r>
      <w:r w:rsidR="001753FE" w:rsidRPr="005F05F7">
        <w:rPr>
          <w:color w:val="C00000"/>
          <w:sz w:val="24"/>
          <w:szCs w:val="24"/>
        </w:rPr>
        <w:t>sustavn</w:t>
      </w:r>
      <w:r w:rsidRPr="005F05F7">
        <w:rPr>
          <w:color w:val="C00000"/>
          <w:sz w:val="24"/>
          <w:szCs w:val="24"/>
        </w:rPr>
        <w:t>o</w:t>
      </w:r>
      <w:r w:rsidR="001753FE" w:rsidRPr="005F05F7">
        <w:rPr>
          <w:color w:val="C00000"/>
          <w:sz w:val="24"/>
          <w:szCs w:val="24"/>
        </w:rPr>
        <w:t xml:space="preserve"> planiranje izdataka </w:t>
      </w:r>
      <w:r w:rsidR="001753FE" w:rsidRPr="005F05F7">
        <w:rPr>
          <w:sz w:val="24"/>
          <w:szCs w:val="24"/>
        </w:rPr>
        <w:t>na mjesečnoj (</w:t>
      </w:r>
      <w:r w:rsidRPr="005F05F7">
        <w:rPr>
          <w:sz w:val="24"/>
          <w:szCs w:val="24"/>
        </w:rPr>
        <w:t xml:space="preserve">i </w:t>
      </w:r>
      <w:r w:rsidR="001753FE" w:rsidRPr="005F05F7">
        <w:rPr>
          <w:sz w:val="24"/>
          <w:szCs w:val="24"/>
        </w:rPr>
        <w:t>godišnjoj) razini</w:t>
      </w:r>
      <w:r w:rsidRPr="005F05F7">
        <w:rPr>
          <w:sz w:val="24"/>
          <w:szCs w:val="24"/>
        </w:rPr>
        <w:t xml:space="preserve">, a </w:t>
      </w:r>
      <w:r w:rsidRPr="005F05F7">
        <w:rPr>
          <w:color w:val="C00000"/>
          <w:sz w:val="24"/>
          <w:szCs w:val="24"/>
        </w:rPr>
        <w:t>u tom slučaju mogućnost korištenja kreditne kartice je pogodnost</w:t>
      </w:r>
      <w:r w:rsidR="001F4409" w:rsidRPr="005F05F7">
        <w:rPr>
          <w:color w:val="C00000"/>
          <w:sz w:val="24"/>
          <w:szCs w:val="24"/>
        </w:rPr>
        <w:t>,</w:t>
      </w:r>
      <w:r w:rsidRPr="005F05F7">
        <w:rPr>
          <w:color w:val="C00000"/>
          <w:sz w:val="24"/>
          <w:szCs w:val="24"/>
        </w:rPr>
        <w:t xml:space="preserve"> a ne opasnost</w:t>
      </w:r>
      <w:r w:rsidRPr="005F05F7">
        <w:rPr>
          <w:sz w:val="24"/>
          <w:szCs w:val="24"/>
        </w:rPr>
        <w:t xml:space="preserve">. </w:t>
      </w:r>
      <w:r w:rsidR="005F05F7" w:rsidRPr="005F05F7">
        <w:rPr>
          <w:sz w:val="24"/>
          <w:szCs w:val="24"/>
        </w:rPr>
        <w:t xml:space="preserve">Neovisno o raspoloživosti kartičnog plaćanja, kupovati treba samo ono što je potrebno, u kupovinu je poželjno ići s popisom. </w:t>
      </w:r>
    </w:p>
    <w:p w:rsidR="001F4409" w:rsidRDefault="001F4409" w:rsidP="00627BBB">
      <w:pPr>
        <w:autoSpaceDE w:val="0"/>
        <w:autoSpaceDN w:val="0"/>
        <w:adjustRightInd w:val="0"/>
        <w:spacing w:before="240"/>
        <w:jc w:val="both"/>
        <w:rPr>
          <w:sz w:val="24"/>
          <w:szCs w:val="24"/>
        </w:rPr>
      </w:pPr>
      <w:r>
        <w:rPr>
          <w:sz w:val="24"/>
          <w:szCs w:val="24"/>
        </w:rPr>
        <w:t xml:space="preserve">Dodatno postoji niz </w:t>
      </w:r>
      <w:r w:rsidRPr="00FF4026">
        <w:rPr>
          <w:color w:val="C00000"/>
          <w:sz w:val="24"/>
          <w:szCs w:val="24"/>
        </w:rPr>
        <w:t>praktičnih savjeta kojih se valja držati vlasnik kreditne kartice, kartice s odgođenom naplatom</w:t>
      </w:r>
      <w:r w:rsidR="005F05F7" w:rsidRPr="00FF4026">
        <w:rPr>
          <w:color w:val="C00000"/>
          <w:sz w:val="24"/>
          <w:szCs w:val="24"/>
        </w:rPr>
        <w:t xml:space="preserve"> i/ili debitne kartice</w:t>
      </w:r>
      <w:r w:rsidR="005F05F7">
        <w:rPr>
          <w:sz w:val="24"/>
          <w:szCs w:val="24"/>
        </w:rPr>
        <w:t>, kako bi se spriječile moguće zlouporabe ili dodatni troškovi.</w:t>
      </w:r>
    </w:p>
    <w:p w:rsidR="001F4409" w:rsidRPr="0053086E" w:rsidRDefault="00627BBB" w:rsidP="006F1C04">
      <w:pPr>
        <w:pStyle w:val="Odlomakpopisa"/>
        <w:numPr>
          <w:ilvl w:val="0"/>
          <w:numId w:val="53"/>
        </w:numPr>
        <w:autoSpaceDE w:val="0"/>
        <w:autoSpaceDN w:val="0"/>
        <w:adjustRightInd w:val="0"/>
        <w:spacing w:before="240"/>
        <w:jc w:val="both"/>
        <w:rPr>
          <w:sz w:val="24"/>
          <w:szCs w:val="24"/>
        </w:rPr>
      </w:pPr>
      <w:r w:rsidRPr="0053086E">
        <w:rPr>
          <w:sz w:val="24"/>
          <w:szCs w:val="24"/>
        </w:rPr>
        <w:t xml:space="preserve">Važno je zaštiti se od situacija </w:t>
      </w:r>
      <w:r w:rsidR="001753FE" w:rsidRPr="0053086E">
        <w:rPr>
          <w:sz w:val="24"/>
          <w:szCs w:val="24"/>
        </w:rPr>
        <w:t xml:space="preserve">zlouporabe PIN-a vezanog karticu </w:t>
      </w:r>
      <w:r w:rsidR="0053086E" w:rsidRPr="0053086E">
        <w:rPr>
          <w:sz w:val="24"/>
          <w:szCs w:val="24"/>
        </w:rPr>
        <w:t xml:space="preserve">- </w:t>
      </w:r>
      <w:r w:rsidR="001753FE" w:rsidRPr="0053086E">
        <w:rPr>
          <w:sz w:val="24"/>
          <w:szCs w:val="24"/>
        </w:rPr>
        <w:t>uništit</w:t>
      </w:r>
      <w:r w:rsidRPr="0053086E">
        <w:rPr>
          <w:sz w:val="24"/>
          <w:szCs w:val="24"/>
        </w:rPr>
        <w:t>i</w:t>
      </w:r>
      <w:r w:rsidR="001753FE" w:rsidRPr="0053086E">
        <w:rPr>
          <w:sz w:val="24"/>
          <w:szCs w:val="24"/>
        </w:rPr>
        <w:t xml:space="preserve"> obavijesti koje sadrže PIN ili ih čuva</w:t>
      </w:r>
      <w:r w:rsidRPr="0053086E">
        <w:rPr>
          <w:sz w:val="24"/>
          <w:szCs w:val="24"/>
        </w:rPr>
        <w:t>ti</w:t>
      </w:r>
      <w:r w:rsidR="001753FE" w:rsidRPr="0053086E">
        <w:rPr>
          <w:sz w:val="24"/>
          <w:szCs w:val="24"/>
        </w:rPr>
        <w:t xml:space="preserve"> na vrlo sigurnom mjestu</w:t>
      </w:r>
      <w:r w:rsidR="0053086E" w:rsidRPr="0053086E">
        <w:rPr>
          <w:sz w:val="24"/>
          <w:szCs w:val="24"/>
        </w:rPr>
        <w:t>, a PIN zapamtiti</w:t>
      </w:r>
      <w:r w:rsidRPr="0053086E">
        <w:rPr>
          <w:sz w:val="24"/>
          <w:szCs w:val="24"/>
        </w:rPr>
        <w:t xml:space="preserve">. </w:t>
      </w:r>
      <w:r w:rsidR="0053086E" w:rsidRPr="0053086E">
        <w:rPr>
          <w:sz w:val="24"/>
          <w:szCs w:val="24"/>
        </w:rPr>
        <w:t>U slučaju promjene dodijeljenog PIN-a treba izbjegavati datume rođenja, telefonske brojeve ili slične „očite podatke“.</w:t>
      </w:r>
    </w:p>
    <w:p w:rsidR="00A331C4" w:rsidRDefault="00627BBB" w:rsidP="006F1C04">
      <w:pPr>
        <w:pStyle w:val="Odlomakpopisa"/>
        <w:numPr>
          <w:ilvl w:val="0"/>
          <w:numId w:val="53"/>
        </w:numPr>
        <w:autoSpaceDE w:val="0"/>
        <w:autoSpaceDN w:val="0"/>
        <w:adjustRightInd w:val="0"/>
        <w:spacing w:before="240"/>
        <w:jc w:val="both"/>
        <w:rPr>
          <w:sz w:val="24"/>
          <w:szCs w:val="24"/>
        </w:rPr>
      </w:pPr>
      <w:r w:rsidRPr="0053086E">
        <w:rPr>
          <w:sz w:val="24"/>
          <w:szCs w:val="24"/>
        </w:rPr>
        <w:t>Pri podizanju gotovine s bankomata potrebno je zakloniti rukom brojeve koji se</w:t>
      </w:r>
      <w:r w:rsidR="00A331C4">
        <w:rPr>
          <w:sz w:val="24"/>
          <w:szCs w:val="24"/>
        </w:rPr>
        <w:t xml:space="preserve"> unose</w:t>
      </w:r>
      <w:r w:rsidRPr="0053086E">
        <w:rPr>
          <w:sz w:val="24"/>
          <w:szCs w:val="24"/>
        </w:rPr>
        <w:t xml:space="preserve">. </w:t>
      </w:r>
      <w:r w:rsidR="00A331C4" w:rsidRPr="0053086E">
        <w:rPr>
          <w:sz w:val="24"/>
          <w:szCs w:val="24"/>
        </w:rPr>
        <w:t>Ako osoba primijeti nešto neobično na bankomatu, ne treba ga koristiti (</w:t>
      </w:r>
      <w:r w:rsidR="00A331C4">
        <w:rPr>
          <w:sz w:val="24"/>
          <w:szCs w:val="24"/>
        </w:rPr>
        <w:t xml:space="preserve">a </w:t>
      </w:r>
      <w:r w:rsidR="00A331C4" w:rsidRPr="0053086E">
        <w:rPr>
          <w:sz w:val="24"/>
          <w:szCs w:val="24"/>
        </w:rPr>
        <w:t>o navedenom treba informirati banku).</w:t>
      </w:r>
    </w:p>
    <w:p w:rsidR="00A331C4" w:rsidRPr="0053086E" w:rsidRDefault="00A331C4" w:rsidP="006F1C04">
      <w:pPr>
        <w:pStyle w:val="Odlomakpopisa"/>
        <w:numPr>
          <w:ilvl w:val="0"/>
          <w:numId w:val="53"/>
        </w:numPr>
        <w:autoSpaceDE w:val="0"/>
        <w:autoSpaceDN w:val="0"/>
        <w:adjustRightInd w:val="0"/>
        <w:spacing w:before="240"/>
        <w:jc w:val="both"/>
        <w:rPr>
          <w:sz w:val="24"/>
          <w:szCs w:val="24"/>
        </w:rPr>
      </w:pPr>
      <w:r w:rsidRPr="0053086E">
        <w:rPr>
          <w:sz w:val="24"/>
          <w:szCs w:val="24"/>
        </w:rPr>
        <w:t>U slučaju da bankomat zadrži karticu treba se javiti u poslovnicu radi podnošenja reklamacije (ako se radi o razdoblju izvan radnog vremena treba kontaktirati banku na dežurne telefone radi daljnjih uputa).</w:t>
      </w:r>
      <w:r>
        <w:rPr>
          <w:sz w:val="24"/>
          <w:szCs w:val="24"/>
        </w:rPr>
        <w:t xml:space="preserve"> </w:t>
      </w:r>
      <w:r w:rsidRPr="0053086E">
        <w:rPr>
          <w:sz w:val="24"/>
          <w:szCs w:val="24"/>
        </w:rPr>
        <w:t>Ukoliko kartica bude zadržana u bankomatu, treba biti oprezan prema osobama koje nastoje pomoći jer se može raditi o kriminalcima.</w:t>
      </w:r>
    </w:p>
    <w:p w:rsidR="0053086E" w:rsidRPr="0053086E" w:rsidRDefault="0053086E" w:rsidP="006F1C04">
      <w:pPr>
        <w:pStyle w:val="Odlomakpopisa"/>
        <w:numPr>
          <w:ilvl w:val="0"/>
          <w:numId w:val="53"/>
        </w:numPr>
        <w:autoSpaceDE w:val="0"/>
        <w:autoSpaceDN w:val="0"/>
        <w:adjustRightInd w:val="0"/>
        <w:spacing w:before="240"/>
        <w:jc w:val="both"/>
        <w:rPr>
          <w:sz w:val="24"/>
          <w:szCs w:val="24"/>
        </w:rPr>
      </w:pPr>
      <w:r w:rsidRPr="00FF4026">
        <w:rPr>
          <w:color w:val="C00000"/>
          <w:sz w:val="24"/>
          <w:szCs w:val="24"/>
        </w:rPr>
        <w:t>K</w:t>
      </w:r>
      <w:r w:rsidR="001753FE" w:rsidRPr="00FF4026">
        <w:rPr>
          <w:color w:val="C00000"/>
          <w:sz w:val="24"/>
          <w:szCs w:val="24"/>
        </w:rPr>
        <w:t>artica se nikada ne smije ostavljati bez nadzora korisnika</w:t>
      </w:r>
      <w:r w:rsidRPr="0053086E">
        <w:rPr>
          <w:sz w:val="24"/>
          <w:szCs w:val="24"/>
        </w:rPr>
        <w:t xml:space="preserve">. Prodavači u trgovini nemaju </w:t>
      </w:r>
      <w:r w:rsidR="001753FE" w:rsidRPr="0053086E">
        <w:rPr>
          <w:sz w:val="24"/>
          <w:szCs w:val="24"/>
        </w:rPr>
        <w:t>razloga nositi karticu u stražnje prostore ili ih stavljati iza nepreglednih dijelova pulta na prodajnom mjestu koje korisnik kartice ne može vidjeti</w:t>
      </w:r>
      <w:r w:rsidRPr="0053086E">
        <w:rPr>
          <w:sz w:val="24"/>
          <w:szCs w:val="24"/>
        </w:rPr>
        <w:t>.</w:t>
      </w:r>
    </w:p>
    <w:p w:rsidR="00D61A65" w:rsidRPr="0053086E" w:rsidRDefault="0053086E" w:rsidP="006F1C04">
      <w:pPr>
        <w:pStyle w:val="Odlomakpopisa"/>
        <w:numPr>
          <w:ilvl w:val="0"/>
          <w:numId w:val="53"/>
        </w:numPr>
        <w:autoSpaceDE w:val="0"/>
        <w:autoSpaceDN w:val="0"/>
        <w:adjustRightInd w:val="0"/>
        <w:spacing w:before="240"/>
        <w:jc w:val="both"/>
        <w:rPr>
          <w:sz w:val="24"/>
          <w:szCs w:val="24"/>
        </w:rPr>
      </w:pPr>
      <w:r w:rsidRPr="0053086E">
        <w:rPr>
          <w:sz w:val="24"/>
          <w:szCs w:val="24"/>
        </w:rPr>
        <w:t>N</w:t>
      </w:r>
      <w:r w:rsidR="001753FE" w:rsidRPr="0053086E">
        <w:rPr>
          <w:sz w:val="24"/>
          <w:szCs w:val="24"/>
        </w:rPr>
        <w:t>akon svakog plaćanja, korisnik kartice treba provjeriti da li mu je vraćena kartica</w:t>
      </w:r>
      <w:r w:rsidRPr="0053086E">
        <w:rPr>
          <w:sz w:val="24"/>
          <w:szCs w:val="24"/>
        </w:rPr>
        <w:t>.</w:t>
      </w:r>
    </w:p>
    <w:p w:rsidR="00D61A65" w:rsidRPr="0053086E" w:rsidRDefault="0053086E" w:rsidP="006F1C04">
      <w:pPr>
        <w:pStyle w:val="Odlomakpopisa"/>
        <w:numPr>
          <w:ilvl w:val="0"/>
          <w:numId w:val="53"/>
        </w:numPr>
        <w:autoSpaceDE w:val="0"/>
        <w:autoSpaceDN w:val="0"/>
        <w:adjustRightInd w:val="0"/>
        <w:spacing w:before="240"/>
        <w:jc w:val="both"/>
        <w:rPr>
          <w:sz w:val="24"/>
          <w:szCs w:val="24"/>
        </w:rPr>
      </w:pPr>
      <w:r w:rsidRPr="00FF4026">
        <w:rPr>
          <w:color w:val="C00000"/>
          <w:sz w:val="24"/>
          <w:szCs w:val="24"/>
        </w:rPr>
        <w:t>P</w:t>
      </w:r>
      <w:r w:rsidR="001753FE" w:rsidRPr="00FF4026">
        <w:rPr>
          <w:color w:val="C00000"/>
          <w:sz w:val="24"/>
          <w:szCs w:val="24"/>
        </w:rPr>
        <w:t>rije unošenja PIN-a na EFT</w:t>
      </w:r>
      <w:r w:rsidRPr="00FF4026">
        <w:rPr>
          <w:color w:val="C00000"/>
          <w:sz w:val="24"/>
          <w:szCs w:val="24"/>
        </w:rPr>
        <w:t xml:space="preserve"> </w:t>
      </w:r>
      <w:r w:rsidR="001753FE" w:rsidRPr="00FF4026">
        <w:rPr>
          <w:color w:val="C00000"/>
          <w:sz w:val="24"/>
          <w:szCs w:val="24"/>
        </w:rPr>
        <w:t>POS uređajima treba provjeriti iznos za koji se račun tereti</w:t>
      </w:r>
      <w:r w:rsidR="00A331C4">
        <w:rPr>
          <w:sz w:val="24"/>
          <w:szCs w:val="24"/>
        </w:rPr>
        <w:t>.</w:t>
      </w:r>
      <w:r w:rsidRPr="0053086E">
        <w:rPr>
          <w:sz w:val="24"/>
          <w:szCs w:val="24"/>
        </w:rPr>
        <w:t xml:space="preserve"> Na</w:t>
      </w:r>
      <w:r w:rsidR="001753FE" w:rsidRPr="0053086E">
        <w:rPr>
          <w:sz w:val="24"/>
          <w:szCs w:val="24"/>
        </w:rPr>
        <w:t>kon kupovine treba provjeriti potvrdu o kupovini (uključujući i iznos) te usporediti ispis kupnje s računima</w:t>
      </w:r>
      <w:r w:rsidRPr="0053086E">
        <w:rPr>
          <w:sz w:val="24"/>
          <w:szCs w:val="24"/>
        </w:rPr>
        <w:t>. R</w:t>
      </w:r>
      <w:r w:rsidR="001753FE" w:rsidRPr="0053086E">
        <w:rPr>
          <w:sz w:val="24"/>
          <w:szCs w:val="24"/>
        </w:rPr>
        <w:t>ačun i potvrdu o transakciji treba sačuvati te usporediti s iznosima u izvodu o učinjenim troškovima (izvodu o prometu po računu</w:t>
      </w:r>
      <w:r w:rsidRPr="0053086E">
        <w:rPr>
          <w:sz w:val="24"/>
          <w:szCs w:val="24"/>
        </w:rPr>
        <w:t>).</w:t>
      </w:r>
    </w:p>
    <w:p w:rsidR="00D61A65" w:rsidRPr="0053086E" w:rsidRDefault="001753FE" w:rsidP="006F1C04">
      <w:pPr>
        <w:pStyle w:val="Odlomakpopisa"/>
        <w:numPr>
          <w:ilvl w:val="0"/>
          <w:numId w:val="53"/>
        </w:numPr>
        <w:autoSpaceDE w:val="0"/>
        <w:autoSpaceDN w:val="0"/>
        <w:adjustRightInd w:val="0"/>
        <w:spacing w:before="240"/>
        <w:jc w:val="both"/>
        <w:rPr>
          <w:sz w:val="24"/>
          <w:szCs w:val="24"/>
        </w:rPr>
      </w:pPr>
      <w:r w:rsidRPr="0053086E">
        <w:rPr>
          <w:sz w:val="24"/>
          <w:szCs w:val="24"/>
        </w:rPr>
        <w:t xml:space="preserve">U slučaju gubitka ili krađe kreditne kartice </w:t>
      </w:r>
      <w:r w:rsidR="001F4409" w:rsidRPr="0053086E">
        <w:rPr>
          <w:sz w:val="24"/>
          <w:szCs w:val="24"/>
        </w:rPr>
        <w:t>(</w:t>
      </w:r>
      <w:r w:rsidRPr="0053086E">
        <w:rPr>
          <w:sz w:val="24"/>
          <w:szCs w:val="24"/>
        </w:rPr>
        <w:t>ili gubitka i mogućnosti zlouporabe PIN-a</w:t>
      </w:r>
      <w:r w:rsidR="001F4409" w:rsidRPr="0053086E">
        <w:rPr>
          <w:sz w:val="24"/>
          <w:szCs w:val="24"/>
        </w:rPr>
        <w:t>)</w:t>
      </w:r>
      <w:r w:rsidRPr="0053086E">
        <w:rPr>
          <w:sz w:val="24"/>
          <w:szCs w:val="24"/>
        </w:rPr>
        <w:t xml:space="preserve"> odmah </w:t>
      </w:r>
      <w:r w:rsidR="001F4409" w:rsidRPr="0053086E">
        <w:rPr>
          <w:sz w:val="24"/>
          <w:szCs w:val="24"/>
        </w:rPr>
        <w:t>treba kontaktira</w:t>
      </w:r>
      <w:r w:rsidRPr="0053086E">
        <w:rPr>
          <w:sz w:val="24"/>
          <w:szCs w:val="24"/>
        </w:rPr>
        <w:t>t</w:t>
      </w:r>
      <w:r w:rsidR="001F4409" w:rsidRPr="0053086E">
        <w:rPr>
          <w:sz w:val="24"/>
          <w:szCs w:val="24"/>
        </w:rPr>
        <w:t>i</w:t>
      </w:r>
      <w:r w:rsidRPr="0053086E">
        <w:rPr>
          <w:sz w:val="24"/>
          <w:szCs w:val="24"/>
        </w:rPr>
        <w:t xml:space="preserve"> izdavatelja</w:t>
      </w:r>
      <w:r w:rsidR="001F4409" w:rsidRPr="0053086E">
        <w:rPr>
          <w:sz w:val="24"/>
          <w:szCs w:val="24"/>
        </w:rPr>
        <w:t xml:space="preserve"> i blokirati karticu (iako i ta aktivnost donosi određene troškove). </w:t>
      </w:r>
      <w:r w:rsidR="0053086E" w:rsidRPr="0053086E">
        <w:rPr>
          <w:sz w:val="24"/>
          <w:szCs w:val="24"/>
        </w:rPr>
        <w:t>U</w:t>
      </w:r>
      <w:r w:rsidRPr="0053086E">
        <w:rPr>
          <w:sz w:val="24"/>
          <w:szCs w:val="24"/>
        </w:rPr>
        <w:t>koliko se nakon prijave nestanka ipak pronađe kartica, korisnik je ne smije koristiti, već je o tome dužan obavijestiti banku</w:t>
      </w:r>
      <w:r w:rsidR="0053086E" w:rsidRPr="0053086E">
        <w:rPr>
          <w:sz w:val="24"/>
          <w:szCs w:val="24"/>
        </w:rPr>
        <w:t>.</w:t>
      </w:r>
    </w:p>
    <w:p w:rsidR="00D61A65" w:rsidRPr="0053086E" w:rsidRDefault="001F4409" w:rsidP="006F1C04">
      <w:pPr>
        <w:pStyle w:val="Odlomakpopisa"/>
        <w:numPr>
          <w:ilvl w:val="0"/>
          <w:numId w:val="53"/>
        </w:numPr>
        <w:autoSpaceDE w:val="0"/>
        <w:autoSpaceDN w:val="0"/>
        <w:adjustRightInd w:val="0"/>
        <w:spacing w:before="240"/>
        <w:jc w:val="both"/>
        <w:rPr>
          <w:sz w:val="24"/>
          <w:szCs w:val="24"/>
        </w:rPr>
      </w:pPr>
      <w:r w:rsidRPr="0053086E">
        <w:rPr>
          <w:sz w:val="24"/>
          <w:szCs w:val="24"/>
        </w:rPr>
        <w:lastRenderedPageBreak/>
        <w:t xml:space="preserve">U </w:t>
      </w:r>
      <w:r w:rsidR="001753FE" w:rsidRPr="0053086E">
        <w:rPr>
          <w:sz w:val="24"/>
          <w:szCs w:val="24"/>
        </w:rPr>
        <w:t xml:space="preserve">dnevni rokovnik </w:t>
      </w:r>
      <w:r w:rsidRPr="0053086E">
        <w:rPr>
          <w:sz w:val="24"/>
          <w:szCs w:val="24"/>
        </w:rPr>
        <w:t xml:space="preserve">treba zapisati </w:t>
      </w:r>
      <w:r w:rsidR="001753FE" w:rsidRPr="0053086E">
        <w:rPr>
          <w:sz w:val="24"/>
          <w:szCs w:val="24"/>
        </w:rPr>
        <w:t>broj telefona koji trebate nazvati u slučaju gubitka ili krađe kartice</w:t>
      </w:r>
      <w:r w:rsidRPr="0053086E">
        <w:rPr>
          <w:sz w:val="24"/>
          <w:szCs w:val="24"/>
        </w:rPr>
        <w:t>.</w:t>
      </w:r>
    </w:p>
    <w:p w:rsidR="001F4409" w:rsidRPr="0053086E" w:rsidRDefault="001F4409" w:rsidP="006F1C04">
      <w:pPr>
        <w:pStyle w:val="Odlomakpopisa"/>
        <w:numPr>
          <w:ilvl w:val="0"/>
          <w:numId w:val="53"/>
        </w:numPr>
        <w:autoSpaceDE w:val="0"/>
        <w:autoSpaceDN w:val="0"/>
        <w:adjustRightInd w:val="0"/>
        <w:spacing w:before="240"/>
        <w:jc w:val="both"/>
        <w:rPr>
          <w:sz w:val="24"/>
          <w:szCs w:val="24"/>
        </w:rPr>
      </w:pPr>
      <w:r w:rsidRPr="0053086E">
        <w:rPr>
          <w:sz w:val="24"/>
          <w:szCs w:val="24"/>
        </w:rPr>
        <w:t>Na poleđinu nove kartice treba se potpisati čim postane dostupna, a u slučaju da se ona šalje poštom na kućnu adresu korisnika, treba saznati očekivani</w:t>
      </w:r>
      <w:r w:rsidR="001753FE" w:rsidRPr="0053086E">
        <w:rPr>
          <w:sz w:val="24"/>
          <w:szCs w:val="24"/>
        </w:rPr>
        <w:t xml:space="preserve"> datum primitka svake nove kreditne kartice</w:t>
      </w:r>
      <w:r w:rsidRPr="0053086E">
        <w:rPr>
          <w:sz w:val="24"/>
          <w:szCs w:val="24"/>
        </w:rPr>
        <w:t>.</w:t>
      </w:r>
    </w:p>
    <w:p w:rsidR="00D61A65" w:rsidRDefault="001753FE" w:rsidP="006F1C04">
      <w:pPr>
        <w:pStyle w:val="Odlomakpopisa"/>
        <w:numPr>
          <w:ilvl w:val="0"/>
          <w:numId w:val="53"/>
        </w:numPr>
        <w:autoSpaceDE w:val="0"/>
        <w:autoSpaceDN w:val="0"/>
        <w:adjustRightInd w:val="0"/>
        <w:spacing w:before="240"/>
        <w:jc w:val="both"/>
        <w:rPr>
          <w:sz w:val="24"/>
          <w:szCs w:val="24"/>
        </w:rPr>
      </w:pPr>
      <w:r w:rsidRPr="0053086E">
        <w:rPr>
          <w:sz w:val="24"/>
          <w:szCs w:val="24"/>
        </w:rPr>
        <w:t xml:space="preserve">Svaku promjenu adrese </w:t>
      </w:r>
      <w:r w:rsidR="001F4409" w:rsidRPr="0053086E">
        <w:rPr>
          <w:sz w:val="24"/>
          <w:szCs w:val="24"/>
        </w:rPr>
        <w:t xml:space="preserve">treba </w:t>
      </w:r>
      <w:r w:rsidRPr="0053086E">
        <w:rPr>
          <w:sz w:val="24"/>
          <w:szCs w:val="24"/>
        </w:rPr>
        <w:t>javit</w:t>
      </w:r>
      <w:r w:rsidR="001F4409" w:rsidRPr="0053086E">
        <w:rPr>
          <w:sz w:val="24"/>
          <w:szCs w:val="24"/>
        </w:rPr>
        <w:t>i</w:t>
      </w:r>
      <w:r w:rsidRPr="0053086E">
        <w:rPr>
          <w:sz w:val="24"/>
          <w:szCs w:val="24"/>
        </w:rPr>
        <w:t xml:space="preserve"> izdavatelju kartice kako bi računi i nove kartice stigle na pravo mjesto</w:t>
      </w:r>
      <w:r w:rsidR="001F4409" w:rsidRPr="0053086E">
        <w:rPr>
          <w:sz w:val="24"/>
          <w:szCs w:val="24"/>
        </w:rPr>
        <w:t>.</w:t>
      </w:r>
    </w:p>
    <w:p w:rsidR="00A331C4" w:rsidRPr="00FF4026" w:rsidRDefault="00A331C4" w:rsidP="006F1C04">
      <w:pPr>
        <w:pStyle w:val="Odlomakpopisa"/>
        <w:numPr>
          <w:ilvl w:val="0"/>
          <w:numId w:val="53"/>
        </w:numPr>
        <w:autoSpaceDE w:val="0"/>
        <w:autoSpaceDN w:val="0"/>
        <w:adjustRightInd w:val="0"/>
        <w:spacing w:before="240"/>
        <w:jc w:val="both"/>
        <w:rPr>
          <w:sz w:val="24"/>
          <w:szCs w:val="24"/>
        </w:rPr>
      </w:pPr>
      <w:r w:rsidRPr="00FF4026">
        <w:rPr>
          <w:sz w:val="24"/>
          <w:szCs w:val="24"/>
        </w:rPr>
        <w:t xml:space="preserve">Treba otkazati sve kartice koje se ne koriste. </w:t>
      </w:r>
    </w:p>
    <w:p w:rsidR="00D61A65" w:rsidRPr="0053086E" w:rsidRDefault="0053086E" w:rsidP="006F1C04">
      <w:pPr>
        <w:pStyle w:val="Odlomakpopisa"/>
        <w:numPr>
          <w:ilvl w:val="0"/>
          <w:numId w:val="53"/>
        </w:numPr>
        <w:autoSpaceDE w:val="0"/>
        <w:autoSpaceDN w:val="0"/>
        <w:adjustRightInd w:val="0"/>
        <w:spacing w:before="240"/>
        <w:jc w:val="both"/>
        <w:rPr>
          <w:sz w:val="24"/>
          <w:szCs w:val="24"/>
        </w:rPr>
      </w:pPr>
      <w:r w:rsidRPr="00FF4026">
        <w:rPr>
          <w:color w:val="C00000"/>
          <w:sz w:val="24"/>
          <w:szCs w:val="24"/>
        </w:rPr>
        <w:t>K</w:t>
      </w:r>
      <w:r w:rsidR="001753FE" w:rsidRPr="00FF4026">
        <w:rPr>
          <w:color w:val="C00000"/>
          <w:sz w:val="24"/>
          <w:szCs w:val="24"/>
        </w:rPr>
        <w:t>orisni</w:t>
      </w:r>
      <w:r w:rsidRPr="00FF4026">
        <w:rPr>
          <w:color w:val="C00000"/>
          <w:sz w:val="24"/>
          <w:szCs w:val="24"/>
        </w:rPr>
        <w:t>ci</w:t>
      </w:r>
      <w:r w:rsidR="001753FE" w:rsidRPr="00FF4026">
        <w:rPr>
          <w:color w:val="C00000"/>
          <w:sz w:val="24"/>
          <w:szCs w:val="24"/>
        </w:rPr>
        <w:t xml:space="preserve"> kartice ne smiju odgovarati ni na kakve e-mail poruke ili na telefonske upite koje im navodno postavljaju kartične kuće, banke i sl. </w:t>
      </w:r>
      <w:r w:rsidR="001753FE" w:rsidRPr="0053086E">
        <w:rPr>
          <w:sz w:val="24"/>
          <w:szCs w:val="24"/>
        </w:rPr>
        <w:t>jer je u pitanju lažno predstavljanje te ne smiju popunjavajte obrasce s detaljnim podacima o kartici, broju računa ili stanja na računu</w:t>
      </w:r>
      <w:r w:rsidRPr="0053086E">
        <w:rPr>
          <w:sz w:val="24"/>
          <w:szCs w:val="24"/>
        </w:rPr>
        <w:t>. U</w:t>
      </w:r>
      <w:r w:rsidR="001753FE" w:rsidRPr="0053086E">
        <w:rPr>
          <w:sz w:val="24"/>
          <w:szCs w:val="24"/>
        </w:rPr>
        <w:t xml:space="preserve"> slučaju primitka takvog e-mail-a ili telefonskog poziva odmah treba obavijestiti banku</w:t>
      </w:r>
      <w:r w:rsidRPr="0053086E">
        <w:rPr>
          <w:sz w:val="24"/>
          <w:szCs w:val="24"/>
        </w:rPr>
        <w:t>.</w:t>
      </w:r>
    </w:p>
    <w:p w:rsidR="00D61A65" w:rsidRPr="00FF4026" w:rsidRDefault="0053086E" w:rsidP="006F1C04">
      <w:pPr>
        <w:pStyle w:val="Odlomakpopisa"/>
        <w:numPr>
          <w:ilvl w:val="0"/>
          <w:numId w:val="53"/>
        </w:numPr>
        <w:autoSpaceDE w:val="0"/>
        <w:autoSpaceDN w:val="0"/>
        <w:adjustRightInd w:val="0"/>
        <w:spacing w:before="240"/>
        <w:jc w:val="both"/>
        <w:rPr>
          <w:color w:val="C00000"/>
          <w:sz w:val="24"/>
          <w:szCs w:val="24"/>
        </w:rPr>
      </w:pPr>
      <w:r w:rsidRPr="00FF4026">
        <w:rPr>
          <w:color w:val="C00000"/>
          <w:sz w:val="24"/>
          <w:szCs w:val="24"/>
        </w:rPr>
        <w:t>T</w:t>
      </w:r>
      <w:r w:rsidR="001753FE" w:rsidRPr="00FF4026">
        <w:rPr>
          <w:color w:val="C00000"/>
          <w:sz w:val="24"/>
          <w:szCs w:val="24"/>
        </w:rPr>
        <w:t>reba voditi računa da sve troškove zloupotrebe kartice nastale do trenutka prijave</w:t>
      </w:r>
      <w:r w:rsidRPr="00FF4026">
        <w:rPr>
          <w:color w:val="C00000"/>
          <w:sz w:val="24"/>
          <w:szCs w:val="24"/>
        </w:rPr>
        <w:t xml:space="preserve"> u banku snosi korisnik kartice. </w:t>
      </w:r>
    </w:p>
    <w:p w:rsidR="00D61A65" w:rsidRPr="0053086E" w:rsidRDefault="0053086E" w:rsidP="006F1C04">
      <w:pPr>
        <w:pStyle w:val="Odlomakpopisa"/>
        <w:numPr>
          <w:ilvl w:val="0"/>
          <w:numId w:val="53"/>
        </w:numPr>
        <w:autoSpaceDE w:val="0"/>
        <w:autoSpaceDN w:val="0"/>
        <w:adjustRightInd w:val="0"/>
        <w:spacing w:before="240"/>
        <w:jc w:val="both"/>
        <w:rPr>
          <w:sz w:val="24"/>
          <w:szCs w:val="24"/>
        </w:rPr>
      </w:pPr>
      <w:r w:rsidRPr="0053086E">
        <w:rPr>
          <w:sz w:val="24"/>
          <w:szCs w:val="24"/>
        </w:rPr>
        <w:t xml:space="preserve">Izdavatelji kartica </w:t>
      </w:r>
      <w:r w:rsidR="001753FE" w:rsidRPr="0053086E">
        <w:rPr>
          <w:sz w:val="24"/>
          <w:szCs w:val="24"/>
        </w:rPr>
        <w:t xml:space="preserve">ne preuzimaju odgovornost za eventualne štete i zloupotrebe koje proizlaze iz korištenja usluga servisa za internetska plaćanja pa su korisnici ovakvog načina plaćanja dužni detaljno provjeriti sve uvjete i rizike koje takve transakcije mogu proizvesti. </w:t>
      </w:r>
    </w:p>
    <w:p w:rsidR="00766388" w:rsidRDefault="00711733" w:rsidP="0053086E">
      <w:pPr>
        <w:autoSpaceDE w:val="0"/>
        <w:autoSpaceDN w:val="0"/>
        <w:adjustRightInd w:val="0"/>
        <w:spacing w:before="240"/>
        <w:jc w:val="both"/>
        <w:rPr>
          <w:b/>
          <w:sz w:val="24"/>
          <w:szCs w:val="24"/>
        </w:rPr>
      </w:pPr>
      <w:r w:rsidRPr="00711733">
        <w:rPr>
          <w:b/>
          <w:sz w:val="24"/>
          <w:szCs w:val="24"/>
        </w:rPr>
        <w:t xml:space="preserve">4.3. </w:t>
      </w:r>
      <w:r w:rsidR="008E182A">
        <w:rPr>
          <w:b/>
          <w:sz w:val="24"/>
          <w:szCs w:val="24"/>
        </w:rPr>
        <w:t>Odabrani k</w:t>
      </w:r>
      <w:r w:rsidR="00766388">
        <w:rPr>
          <w:b/>
          <w:sz w:val="24"/>
          <w:szCs w:val="24"/>
        </w:rPr>
        <w:t>reditni poslovi banaka</w:t>
      </w:r>
    </w:p>
    <w:p w:rsidR="00711733" w:rsidRDefault="00711733" w:rsidP="00766388">
      <w:pPr>
        <w:autoSpaceDE w:val="0"/>
        <w:autoSpaceDN w:val="0"/>
        <w:adjustRightInd w:val="0"/>
        <w:jc w:val="both"/>
        <w:rPr>
          <w:sz w:val="24"/>
          <w:szCs w:val="24"/>
        </w:rPr>
      </w:pPr>
      <w:r w:rsidRPr="00711733">
        <w:rPr>
          <w:sz w:val="24"/>
          <w:szCs w:val="24"/>
        </w:rPr>
        <w:t>U poslovanju s građanima (tzv. retail bankarstvu)</w:t>
      </w:r>
      <w:r>
        <w:rPr>
          <w:sz w:val="24"/>
          <w:szCs w:val="24"/>
        </w:rPr>
        <w:t xml:space="preserve"> banke nude različite vrste kredite koji se međusobno razlikuju po dospijeću, namjeni</w:t>
      </w:r>
      <w:r w:rsidR="000A3AA9">
        <w:rPr>
          <w:sz w:val="24"/>
          <w:szCs w:val="24"/>
        </w:rPr>
        <w:t xml:space="preserve"> korištenja (pa tako postoje nenamjenski i namjenski krediti)</w:t>
      </w:r>
      <w:r>
        <w:rPr>
          <w:sz w:val="24"/>
          <w:szCs w:val="24"/>
        </w:rPr>
        <w:t>, instrumentima osiguranja, visini kamatnih stopa</w:t>
      </w:r>
      <w:r w:rsidR="00C40CED">
        <w:rPr>
          <w:sz w:val="24"/>
          <w:szCs w:val="24"/>
        </w:rPr>
        <w:t>, potrebnoj dokumentaciji, načinima otplate kredita</w:t>
      </w:r>
      <w:r>
        <w:rPr>
          <w:sz w:val="24"/>
          <w:szCs w:val="24"/>
        </w:rPr>
        <w:t xml:space="preserve"> i nizu drugih obilježja.</w:t>
      </w:r>
    </w:p>
    <w:p w:rsidR="00711733" w:rsidRPr="00C40CED" w:rsidRDefault="00711733" w:rsidP="00711733">
      <w:pPr>
        <w:autoSpaceDE w:val="0"/>
        <w:autoSpaceDN w:val="0"/>
        <w:adjustRightInd w:val="0"/>
        <w:jc w:val="both"/>
        <w:rPr>
          <w:sz w:val="24"/>
          <w:szCs w:val="24"/>
        </w:rPr>
      </w:pPr>
      <w:r w:rsidRPr="00C40CED">
        <w:rPr>
          <w:color w:val="C00000"/>
          <w:sz w:val="24"/>
          <w:szCs w:val="24"/>
        </w:rPr>
        <w:t xml:space="preserve">Lombardni kredit </w:t>
      </w:r>
      <w:r w:rsidRPr="00C40CED">
        <w:rPr>
          <w:sz w:val="24"/>
          <w:szCs w:val="24"/>
        </w:rPr>
        <w:t xml:space="preserve">predstavlja </w:t>
      </w:r>
      <w:r w:rsidR="000A3AA9" w:rsidRPr="00790878">
        <w:rPr>
          <w:color w:val="C00000"/>
          <w:sz w:val="24"/>
          <w:szCs w:val="24"/>
        </w:rPr>
        <w:t>nenamjenski</w:t>
      </w:r>
      <w:r w:rsidRPr="00790878">
        <w:rPr>
          <w:color w:val="C00000"/>
          <w:sz w:val="24"/>
          <w:szCs w:val="24"/>
        </w:rPr>
        <w:t xml:space="preserve"> kredit </w:t>
      </w:r>
      <w:r w:rsidRPr="00C40CED">
        <w:rPr>
          <w:sz w:val="24"/>
          <w:szCs w:val="24"/>
        </w:rPr>
        <w:t>koji banka odobrava uz zalog određene financijske imovine ili pokretne realne imovine, a odobrava se u određenom postotku procijenjene vrijednosti predmeta zaloga (95% ili manje). S obzirom da je založena imovina osnovi instrument osiguranja naplate potraživanja, lombardni kredit se tipično odobrava bez ocjene kreditne sposobnosti dužnika, nisu potrebni jamci, kao niti dodatna administrativna procedura npr. izjava o zapljeni plaće i slično. Tipično predstavlja kratkoročni kredit (s rokom otplate do jedne godine), ali može biti i dugoročni kredit.</w:t>
      </w:r>
    </w:p>
    <w:p w:rsidR="00711733" w:rsidRPr="00C40CED" w:rsidRDefault="00711733" w:rsidP="00711733">
      <w:pPr>
        <w:autoSpaceDE w:val="0"/>
        <w:autoSpaceDN w:val="0"/>
        <w:adjustRightInd w:val="0"/>
        <w:jc w:val="both"/>
        <w:rPr>
          <w:sz w:val="24"/>
          <w:szCs w:val="24"/>
        </w:rPr>
      </w:pPr>
      <w:r w:rsidRPr="00C40CED">
        <w:rPr>
          <w:sz w:val="24"/>
          <w:szCs w:val="24"/>
        </w:rPr>
        <w:t>Uvjeti odobravanja lombardnog kredita</w:t>
      </w:r>
      <w:r w:rsidR="00C40CED" w:rsidRPr="00C40CED">
        <w:rPr>
          <w:sz w:val="24"/>
          <w:szCs w:val="24"/>
        </w:rPr>
        <w:t xml:space="preserve">, kao i načini određivanja kamatnih stopa na kredit, </w:t>
      </w:r>
      <w:r w:rsidRPr="00C40CED">
        <w:rPr>
          <w:sz w:val="24"/>
          <w:szCs w:val="24"/>
        </w:rPr>
        <w:t xml:space="preserve">su različiti ovisno o vrstama predmeta zaloga. </w:t>
      </w:r>
    </w:p>
    <w:p w:rsidR="00711733" w:rsidRPr="00C40CED" w:rsidRDefault="00711733" w:rsidP="006F1C04">
      <w:pPr>
        <w:numPr>
          <w:ilvl w:val="0"/>
          <w:numId w:val="58"/>
        </w:numPr>
        <w:autoSpaceDE w:val="0"/>
        <w:autoSpaceDN w:val="0"/>
        <w:adjustRightInd w:val="0"/>
        <w:spacing w:after="0" w:line="240" w:lineRule="auto"/>
        <w:jc w:val="both"/>
        <w:rPr>
          <w:sz w:val="24"/>
          <w:szCs w:val="24"/>
        </w:rPr>
      </w:pPr>
      <w:r w:rsidRPr="000A3AA9">
        <w:rPr>
          <w:color w:val="C00000"/>
          <w:sz w:val="24"/>
          <w:szCs w:val="24"/>
        </w:rPr>
        <w:t xml:space="preserve">Lombardni kredit temeljem zaloga oročenog depozita </w:t>
      </w:r>
      <w:r w:rsidRPr="00C40CED">
        <w:rPr>
          <w:sz w:val="24"/>
          <w:szCs w:val="24"/>
        </w:rPr>
        <w:t xml:space="preserve">- odobrava se u visini </w:t>
      </w:r>
      <w:r w:rsidR="000A3AA9">
        <w:rPr>
          <w:sz w:val="24"/>
          <w:szCs w:val="24"/>
        </w:rPr>
        <w:t xml:space="preserve">npr. </w:t>
      </w:r>
      <w:r w:rsidRPr="00C40CED">
        <w:rPr>
          <w:sz w:val="24"/>
          <w:szCs w:val="24"/>
        </w:rPr>
        <w:t xml:space="preserve">95% iznosa oročenog depozita (koji može biti u vlasništvu tražitelja lombardnog kredita ili u vlasništvu treće osobe kod iste banke). </w:t>
      </w:r>
      <w:r w:rsidR="00C40CED" w:rsidRPr="00C40CED">
        <w:rPr>
          <w:sz w:val="24"/>
          <w:szCs w:val="24"/>
        </w:rPr>
        <w:t>U tom slučaju, g</w:t>
      </w:r>
      <w:r w:rsidRPr="00C40CED">
        <w:rPr>
          <w:sz w:val="24"/>
          <w:szCs w:val="24"/>
        </w:rPr>
        <w:t xml:space="preserve">odišnja kamatna stopa </w:t>
      </w:r>
      <w:r w:rsidR="00C40CED" w:rsidRPr="00C40CED">
        <w:rPr>
          <w:sz w:val="24"/>
          <w:szCs w:val="24"/>
        </w:rPr>
        <w:t xml:space="preserve">formira se </w:t>
      </w:r>
      <w:r w:rsidRPr="00C40CED">
        <w:rPr>
          <w:sz w:val="24"/>
          <w:szCs w:val="24"/>
        </w:rPr>
        <w:t xml:space="preserve">fiksna razlika u odnosu na kamatnjak na založen namjenski oročen depozit (takozvani minimalni spread između aktivne i pasivne kamatne stope). Na primjer, </w:t>
      </w:r>
      <w:r w:rsidRPr="00C40CED">
        <w:rPr>
          <w:sz w:val="24"/>
          <w:szCs w:val="24"/>
        </w:rPr>
        <w:lastRenderedPageBreak/>
        <w:t xml:space="preserve">ako je ugovoreni kamatnjak na oročeni depozit </w:t>
      </w:r>
      <w:r w:rsidR="00C40CED" w:rsidRPr="00C40CED">
        <w:rPr>
          <w:sz w:val="24"/>
          <w:szCs w:val="24"/>
        </w:rPr>
        <w:t>1,9</w:t>
      </w:r>
      <w:r w:rsidRPr="00C40CED">
        <w:rPr>
          <w:sz w:val="24"/>
          <w:szCs w:val="24"/>
        </w:rPr>
        <w:t>0%, a kredit se odobrava „po kamatnoj stopi 2,</w:t>
      </w:r>
      <w:r w:rsidR="00C40CED" w:rsidRPr="00C40CED">
        <w:rPr>
          <w:sz w:val="24"/>
          <w:szCs w:val="24"/>
        </w:rPr>
        <w:t>60</w:t>
      </w:r>
      <w:r w:rsidRPr="00C40CED">
        <w:rPr>
          <w:sz w:val="24"/>
          <w:szCs w:val="24"/>
        </w:rPr>
        <w:t xml:space="preserve"> postotnih poena višoj od kamatnjaka na depozit“,  kamatna stopa na  lombardni kredit s rokom otplate tri godine iznosi </w:t>
      </w:r>
      <w:r w:rsidR="00C40CED" w:rsidRPr="00C40CED">
        <w:rPr>
          <w:sz w:val="24"/>
          <w:szCs w:val="24"/>
        </w:rPr>
        <w:t>4</w:t>
      </w:r>
      <w:r w:rsidRPr="00C40CED">
        <w:rPr>
          <w:sz w:val="24"/>
          <w:szCs w:val="24"/>
        </w:rPr>
        <w:t>,</w:t>
      </w:r>
      <w:r w:rsidR="00C40CED" w:rsidRPr="00C40CED">
        <w:rPr>
          <w:sz w:val="24"/>
          <w:szCs w:val="24"/>
        </w:rPr>
        <w:t>50</w:t>
      </w:r>
      <w:r w:rsidRPr="00C40CED">
        <w:rPr>
          <w:sz w:val="24"/>
          <w:szCs w:val="24"/>
        </w:rPr>
        <w:t xml:space="preserve">%. </w:t>
      </w:r>
    </w:p>
    <w:p w:rsidR="00711733" w:rsidRPr="00C40CED" w:rsidRDefault="00711733" w:rsidP="006F1C04">
      <w:pPr>
        <w:numPr>
          <w:ilvl w:val="0"/>
          <w:numId w:val="58"/>
        </w:numPr>
        <w:autoSpaceDE w:val="0"/>
        <w:autoSpaceDN w:val="0"/>
        <w:adjustRightInd w:val="0"/>
        <w:spacing w:after="0" w:line="240" w:lineRule="auto"/>
        <w:jc w:val="both"/>
        <w:rPr>
          <w:sz w:val="24"/>
          <w:szCs w:val="24"/>
        </w:rPr>
      </w:pPr>
      <w:r w:rsidRPr="000A3AA9">
        <w:rPr>
          <w:color w:val="C00000"/>
          <w:sz w:val="24"/>
          <w:szCs w:val="24"/>
        </w:rPr>
        <w:t xml:space="preserve">Lombardni kredit na temelju police životnog osiguranja </w:t>
      </w:r>
      <w:r w:rsidRPr="00C40CED">
        <w:rPr>
          <w:sz w:val="24"/>
          <w:szCs w:val="24"/>
        </w:rPr>
        <w:t>odobrava se u visini određenog postotka police životnog osiguranja (na primjer do 90% otkupne vrijednosti police mješovitog životnog osiguranja).</w:t>
      </w:r>
    </w:p>
    <w:p w:rsidR="00711733" w:rsidRPr="00C40CED" w:rsidRDefault="00711733" w:rsidP="006F1C04">
      <w:pPr>
        <w:numPr>
          <w:ilvl w:val="0"/>
          <w:numId w:val="58"/>
        </w:numPr>
        <w:autoSpaceDE w:val="0"/>
        <w:autoSpaceDN w:val="0"/>
        <w:adjustRightInd w:val="0"/>
        <w:spacing w:after="0" w:line="240" w:lineRule="auto"/>
        <w:jc w:val="both"/>
        <w:rPr>
          <w:sz w:val="24"/>
          <w:szCs w:val="24"/>
        </w:rPr>
      </w:pPr>
      <w:r w:rsidRPr="000A3AA9">
        <w:rPr>
          <w:color w:val="C00000"/>
          <w:sz w:val="24"/>
          <w:szCs w:val="24"/>
        </w:rPr>
        <w:t xml:space="preserve">Lombardni kredit na temelju stambene štednje </w:t>
      </w:r>
      <w:r w:rsidRPr="00C40CED">
        <w:rPr>
          <w:sz w:val="24"/>
          <w:szCs w:val="24"/>
        </w:rPr>
        <w:t xml:space="preserve">odobrava se u visini do </w:t>
      </w:r>
      <w:r w:rsidR="000A3AA9">
        <w:rPr>
          <w:sz w:val="24"/>
          <w:szCs w:val="24"/>
        </w:rPr>
        <w:t xml:space="preserve">npr. </w:t>
      </w:r>
      <w:r w:rsidRPr="00C40CED">
        <w:rPr>
          <w:sz w:val="24"/>
          <w:szCs w:val="24"/>
        </w:rPr>
        <w:t>90% iznosa depozita stambene štednje.</w:t>
      </w:r>
    </w:p>
    <w:p w:rsidR="00C40CED" w:rsidRPr="00C40CED" w:rsidRDefault="00711733" w:rsidP="006F1C04">
      <w:pPr>
        <w:numPr>
          <w:ilvl w:val="0"/>
          <w:numId w:val="58"/>
        </w:numPr>
        <w:autoSpaceDE w:val="0"/>
        <w:autoSpaceDN w:val="0"/>
        <w:adjustRightInd w:val="0"/>
        <w:spacing w:after="0" w:line="240" w:lineRule="auto"/>
        <w:jc w:val="both"/>
        <w:rPr>
          <w:sz w:val="24"/>
          <w:szCs w:val="24"/>
        </w:rPr>
      </w:pPr>
      <w:r w:rsidRPr="000A3AA9">
        <w:rPr>
          <w:color w:val="C00000"/>
          <w:sz w:val="24"/>
          <w:szCs w:val="24"/>
        </w:rPr>
        <w:t xml:space="preserve">Lombardni kredit na temelju udjela u fondovima </w:t>
      </w:r>
      <w:r w:rsidRPr="00C40CED">
        <w:rPr>
          <w:sz w:val="24"/>
          <w:szCs w:val="24"/>
        </w:rPr>
        <w:t>odobrava se u visini određenog postotka tržišne vrijednosti udjela kod određenog investicijskog fonda (na primjer do 90% tržišne vrijednosti udjela u novčanom fondu).</w:t>
      </w:r>
    </w:p>
    <w:p w:rsidR="00711733" w:rsidRPr="00C40CED" w:rsidRDefault="00C40CED" w:rsidP="000A3AA9">
      <w:pPr>
        <w:autoSpaceDE w:val="0"/>
        <w:autoSpaceDN w:val="0"/>
        <w:adjustRightInd w:val="0"/>
        <w:spacing w:before="240" w:after="0" w:line="240" w:lineRule="auto"/>
        <w:jc w:val="both"/>
        <w:rPr>
          <w:sz w:val="24"/>
          <w:szCs w:val="24"/>
        </w:rPr>
      </w:pPr>
      <w:r w:rsidRPr="00C40CED">
        <w:rPr>
          <w:sz w:val="24"/>
          <w:szCs w:val="24"/>
        </w:rPr>
        <w:t xml:space="preserve">Predmet zaloga mogu biti i različiti drugi oblici imovine, npr. </w:t>
      </w:r>
      <w:r w:rsidR="00711733" w:rsidRPr="00C40CED">
        <w:rPr>
          <w:sz w:val="24"/>
          <w:szCs w:val="24"/>
        </w:rPr>
        <w:t xml:space="preserve">zlato, nakit, umjetnička djela, vrijednosni papiri </w:t>
      </w:r>
      <w:r w:rsidRPr="00C40CED">
        <w:rPr>
          <w:sz w:val="24"/>
          <w:szCs w:val="24"/>
        </w:rPr>
        <w:t xml:space="preserve">(koji služe kao kolateral za odobravanje kredita) </w:t>
      </w:r>
      <w:r w:rsidR="00711733" w:rsidRPr="00C40CED">
        <w:rPr>
          <w:sz w:val="24"/>
          <w:szCs w:val="24"/>
        </w:rPr>
        <w:t xml:space="preserve">i </w:t>
      </w:r>
      <w:r w:rsidRPr="00C40CED">
        <w:rPr>
          <w:sz w:val="24"/>
          <w:szCs w:val="24"/>
        </w:rPr>
        <w:t>drugo</w:t>
      </w:r>
      <w:r w:rsidR="00711733" w:rsidRPr="00C40CED">
        <w:rPr>
          <w:sz w:val="24"/>
          <w:szCs w:val="24"/>
        </w:rPr>
        <w:t xml:space="preserve">. </w:t>
      </w:r>
    </w:p>
    <w:p w:rsidR="00711733" w:rsidRPr="00C40CED" w:rsidRDefault="00711733" w:rsidP="000A3AA9">
      <w:pPr>
        <w:autoSpaceDE w:val="0"/>
        <w:autoSpaceDN w:val="0"/>
        <w:adjustRightInd w:val="0"/>
        <w:spacing w:before="240" w:after="0"/>
        <w:jc w:val="both"/>
        <w:rPr>
          <w:sz w:val="24"/>
          <w:szCs w:val="24"/>
        </w:rPr>
      </w:pPr>
      <w:r w:rsidRPr="00C40CED">
        <w:rPr>
          <w:sz w:val="24"/>
          <w:szCs w:val="24"/>
        </w:rPr>
        <w:t xml:space="preserve">Otplata </w:t>
      </w:r>
      <w:r w:rsidR="000A3AA9">
        <w:rPr>
          <w:sz w:val="24"/>
          <w:szCs w:val="24"/>
        </w:rPr>
        <w:t xml:space="preserve">lombardnog </w:t>
      </w:r>
      <w:r w:rsidRPr="00C40CED">
        <w:rPr>
          <w:sz w:val="24"/>
          <w:szCs w:val="24"/>
        </w:rPr>
        <w:t xml:space="preserve">kredita može </w:t>
      </w:r>
      <w:r w:rsidR="000A3AA9">
        <w:rPr>
          <w:sz w:val="24"/>
          <w:szCs w:val="24"/>
        </w:rPr>
        <w:t>se ugovoriti kao</w:t>
      </w:r>
      <w:r w:rsidRPr="00C40CED">
        <w:rPr>
          <w:sz w:val="24"/>
          <w:szCs w:val="24"/>
        </w:rPr>
        <w:t>:</w:t>
      </w:r>
    </w:p>
    <w:p w:rsidR="00711733" w:rsidRPr="00C40CED" w:rsidRDefault="00711733" w:rsidP="006F1C04">
      <w:pPr>
        <w:numPr>
          <w:ilvl w:val="0"/>
          <w:numId w:val="56"/>
        </w:numPr>
        <w:autoSpaceDE w:val="0"/>
        <w:autoSpaceDN w:val="0"/>
        <w:adjustRightInd w:val="0"/>
        <w:spacing w:after="0" w:line="240" w:lineRule="auto"/>
        <w:ind w:left="714" w:hanging="357"/>
        <w:rPr>
          <w:sz w:val="24"/>
          <w:szCs w:val="24"/>
        </w:rPr>
      </w:pPr>
      <w:r w:rsidRPr="000A3AA9">
        <w:rPr>
          <w:color w:val="C00000"/>
          <w:sz w:val="24"/>
          <w:szCs w:val="24"/>
        </w:rPr>
        <w:t xml:space="preserve">standardna anuitetska otplata </w:t>
      </w:r>
      <w:r w:rsidR="000A3AA9">
        <w:rPr>
          <w:sz w:val="24"/>
          <w:szCs w:val="24"/>
        </w:rPr>
        <w:t>–</w:t>
      </w:r>
      <w:r w:rsidRPr="00C40CED">
        <w:rPr>
          <w:sz w:val="24"/>
          <w:szCs w:val="24"/>
        </w:rPr>
        <w:t xml:space="preserve"> </w:t>
      </w:r>
      <w:r w:rsidR="000A3AA9">
        <w:rPr>
          <w:sz w:val="24"/>
          <w:szCs w:val="24"/>
        </w:rPr>
        <w:t xml:space="preserve">u tom slučaju </w:t>
      </w:r>
      <w:r w:rsidRPr="00C40CED">
        <w:rPr>
          <w:sz w:val="24"/>
          <w:szCs w:val="24"/>
        </w:rPr>
        <w:t>mjesečni anuiteti</w:t>
      </w:r>
      <w:r w:rsidR="000A3AA9">
        <w:rPr>
          <w:sz w:val="24"/>
          <w:szCs w:val="24"/>
        </w:rPr>
        <w:t xml:space="preserve"> otplate su </w:t>
      </w:r>
      <w:r w:rsidR="00A60910">
        <w:rPr>
          <w:sz w:val="24"/>
          <w:szCs w:val="24"/>
        </w:rPr>
        <w:t xml:space="preserve">nominalno </w:t>
      </w:r>
      <w:r w:rsidR="000A3AA9">
        <w:rPr>
          <w:sz w:val="24"/>
          <w:szCs w:val="24"/>
        </w:rPr>
        <w:t>jednaki</w:t>
      </w:r>
      <w:r w:rsidRPr="00C40CED">
        <w:rPr>
          <w:sz w:val="24"/>
          <w:szCs w:val="24"/>
        </w:rPr>
        <w:t xml:space="preserve"> tijekom cijelog razdoblja otplate (</w:t>
      </w:r>
      <w:r w:rsidR="000A3AA9">
        <w:rPr>
          <w:sz w:val="24"/>
          <w:szCs w:val="24"/>
        </w:rPr>
        <w:t xml:space="preserve">pri tome se postupno </w:t>
      </w:r>
      <w:r w:rsidRPr="00C40CED">
        <w:rPr>
          <w:sz w:val="24"/>
          <w:szCs w:val="24"/>
        </w:rPr>
        <w:t>otplaćuje glavnica duga i plaćaju kamate</w:t>
      </w:r>
      <w:r w:rsidR="000A3AA9">
        <w:rPr>
          <w:sz w:val="24"/>
          <w:szCs w:val="24"/>
        </w:rPr>
        <w:t xml:space="preserve"> na preostali dug</w:t>
      </w:r>
      <w:r w:rsidRPr="00C40CED">
        <w:rPr>
          <w:sz w:val="24"/>
          <w:szCs w:val="24"/>
        </w:rPr>
        <w:t>);</w:t>
      </w:r>
    </w:p>
    <w:p w:rsidR="00711733" w:rsidRPr="00C40CED" w:rsidRDefault="000A3AA9" w:rsidP="006F1C04">
      <w:pPr>
        <w:numPr>
          <w:ilvl w:val="0"/>
          <w:numId w:val="54"/>
        </w:numPr>
        <w:autoSpaceDE w:val="0"/>
        <w:autoSpaceDN w:val="0"/>
        <w:adjustRightInd w:val="0"/>
        <w:spacing w:after="0" w:line="240" w:lineRule="auto"/>
        <w:rPr>
          <w:sz w:val="24"/>
          <w:szCs w:val="24"/>
        </w:rPr>
      </w:pPr>
      <w:r w:rsidRPr="00790878">
        <w:rPr>
          <w:color w:val="C00000"/>
          <w:sz w:val="24"/>
          <w:szCs w:val="24"/>
        </w:rPr>
        <w:t>jednokratna</w:t>
      </w:r>
      <w:r w:rsidR="00711733" w:rsidRPr="00790878">
        <w:rPr>
          <w:color w:val="C00000"/>
          <w:sz w:val="24"/>
          <w:szCs w:val="24"/>
        </w:rPr>
        <w:t xml:space="preserve"> otplat</w:t>
      </w:r>
      <w:r w:rsidRPr="00790878">
        <w:rPr>
          <w:color w:val="C00000"/>
          <w:sz w:val="24"/>
          <w:szCs w:val="24"/>
        </w:rPr>
        <w:t>a</w:t>
      </w:r>
      <w:r w:rsidR="00711733" w:rsidRPr="00790878">
        <w:rPr>
          <w:color w:val="C00000"/>
          <w:sz w:val="24"/>
          <w:szCs w:val="24"/>
        </w:rPr>
        <w:t xml:space="preserve"> glavnice uz mjesečnu, kvartalnu, polugodišnju ili godišnju otplatu kamata </w:t>
      </w:r>
      <w:r w:rsidR="00711733" w:rsidRPr="00C40CED">
        <w:rPr>
          <w:sz w:val="24"/>
          <w:szCs w:val="24"/>
        </w:rPr>
        <w:t>(</w:t>
      </w:r>
      <w:r>
        <w:rPr>
          <w:sz w:val="24"/>
          <w:szCs w:val="24"/>
        </w:rPr>
        <w:t>u tom slučaju ukupni iznos glavnice duga</w:t>
      </w:r>
      <w:r w:rsidR="00711733" w:rsidRPr="00C40CED">
        <w:rPr>
          <w:sz w:val="24"/>
          <w:szCs w:val="24"/>
        </w:rPr>
        <w:t xml:space="preserve"> dospijeva na naplatu na dan ugovorenog roka za povrat kredita, a kamate se plaćaju ugovorenom dinamikom tijekom razdoblja korištenja kredita) </w:t>
      </w:r>
    </w:p>
    <w:p w:rsidR="00711733" w:rsidRDefault="00711733" w:rsidP="006F1C04">
      <w:pPr>
        <w:numPr>
          <w:ilvl w:val="0"/>
          <w:numId w:val="54"/>
        </w:numPr>
        <w:spacing w:line="240" w:lineRule="auto"/>
        <w:ind w:left="714" w:hanging="357"/>
        <w:rPr>
          <w:sz w:val="24"/>
          <w:szCs w:val="24"/>
        </w:rPr>
      </w:pPr>
      <w:r w:rsidRPr="000A3AA9">
        <w:rPr>
          <w:sz w:val="24"/>
          <w:szCs w:val="24"/>
        </w:rPr>
        <w:t xml:space="preserve">ili </w:t>
      </w:r>
      <w:r w:rsidRPr="00790878">
        <w:rPr>
          <w:color w:val="C00000"/>
          <w:sz w:val="24"/>
          <w:szCs w:val="24"/>
        </w:rPr>
        <w:t>jednokratn</w:t>
      </w:r>
      <w:r w:rsidR="000A3AA9" w:rsidRPr="00790878">
        <w:rPr>
          <w:color w:val="C00000"/>
          <w:sz w:val="24"/>
          <w:szCs w:val="24"/>
        </w:rPr>
        <w:t>a</w:t>
      </w:r>
      <w:r w:rsidRPr="00790878">
        <w:rPr>
          <w:color w:val="C00000"/>
          <w:sz w:val="24"/>
          <w:szCs w:val="24"/>
        </w:rPr>
        <w:t xml:space="preserve"> otplat</w:t>
      </w:r>
      <w:r w:rsidR="000A3AA9" w:rsidRPr="00790878">
        <w:rPr>
          <w:color w:val="C00000"/>
          <w:sz w:val="24"/>
          <w:szCs w:val="24"/>
        </w:rPr>
        <w:t>a</w:t>
      </w:r>
      <w:r w:rsidRPr="00790878">
        <w:rPr>
          <w:color w:val="C00000"/>
          <w:sz w:val="24"/>
          <w:szCs w:val="24"/>
        </w:rPr>
        <w:t xml:space="preserve"> glavnice </w:t>
      </w:r>
      <w:r w:rsidR="000A3AA9" w:rsidRPr="00790878">
        <w:rPr>
          <w:color w:val="C00000"/>
          <w:sz w:val="24"/>
          <w:szCs w:val="24"/>
        </w:rPr>
        <w:t xml:space="preserve">uz jednokratno </w:t>
      </w:r>
      <w:r w:rsidR="00C40CED" w:rsidRPr="00790878">
        <w:rPr>
          <w:color w:val="C00000"/>
          <w:sz w:val="24"/>
          <w:szCs w:val="24"/>
        </w:rPr>
        <w:t xml:space="preserve">plaćanja </w:t>
      </w:r>
      <w:r w:rsidRPr="00790878">
        <w:rPr>
          <w:color w:val="C00000"/>
          <w:sz w:val="24"/>
          <w:szCs w:val="24"/>
        </w:rPr>
        <w:t xml:space="preserve">kamata </w:t>
      </w:r>
      <w:r w:rsidRPr="000A3AA9">
        <w:rPr>
          <w:sz w:val="24"/>
          <w:szCs w:val="24"/>
        </w:rPr>
        <w:t>(</w:t>
      </w:r>
      <w:r w:rsidR="000A3AA9" w:rsidRPr="000A3AA9">
        <w:rPr>
          <w:sz w:val="24"/>
          <w:szCs w:val="24"/>
        </w:rPr>
        <w:t xml:space="preserve">to je najčešće slučaj samo za </w:t>
      </w:r>
      <w:r w:rsidRPr="000A3AA9">
        <w:rPr>
          <w:sz w:val="24"/>
          <w:szCs w:val="24"/>
        </w:rPr>
        <w:t xml:space="preserve"> kratkoročn</w:t>
      </w:r>
      <w:r w:rsidR="000A3AA9" w:rsidRPr="000A3AA9">
        <w:rPr>
          <w:sz w:val="24"/>
          <w:szCs w:val="24"/>
        </w:rPr>
        <w:t>e</w:t>
      </w:r>
      <w:r w:rsidRPr="000A3AA9">
        <w:rPr>
          <w:sz w:val="24"/>
          <w:szCs w:val="24"/>
        </w:rPr>
        <w:t xml:space="preserve"> kredit</w:t>
      </w:r>
      <w:r w:rsidR="000A3AA9" w:rsidRPr="000A3AA9">
        <w:rPr>
          <w:sz w:val="24"/>
          <w:szCs w:val="24"/>
        </w:rPr>
        <w:t>e</w:t>
      </w:r>
      <w:r w:rsidRPr="000A3AA9">
        <w:rPr>
          <w:sz w:val="24"/>
          <w:szCs w:val="24"/>
        </w:rPr>
        <w:t xml:space="preserve">). </w:t>
      </w:r>
    </w:p>
    <w:p w:rsidR="00CB5F7C" w:rsidRDefault="00CB5F7C" w:rsidP="00CB5F7C">
      <w:pPr>
        <w:pStyle w:val="Naslov3"/>
        <w:spacing w:before="120" w:after="240"/>
        <w:jc w:val="both"/>
        <w:rPr>
          <w:rFonts w:asciiTheme="minorHAnsi" w:eastAsiaTheme="minorHAnsi" w:hAnsiTheme="minorHAnsi" w:cstheme="minorBidi"/>
          <w:b w:val="0"/>
          <w:bCs w:val="0"/>
          <w:color w:val="auto"/>
          <w:sz w:val="24"/>
          <w:szCs w:val="24"/>
        </w:rPr>
      </w:pPr>
      <w:r>
        <w:rPr>
          <w:rFonts w:asciiTheme="minorHAnsi" w:eastAsiaTheme="minorHAnsi" w:hAnsiTheme="minorHAnsi" w:cstheme="minorBidi"/>
          <w:b w:val="0"/>
          <w:bCs w:val="0"/>
          <w:color w:val="C00000"/>
          <w:sz w:val="24"/>
          <w:szCs w:val="24"/>
        </w:rPr>
        <w:t>Anu</w:t>
      </w:r>
      <w:r w:rsidRPr="000A3AA9">
        <w:rPr>
          <w:rFonts w:asciiTheme="minorHAnsi" w:eastAsiaTheme="minorHAnsi" w:hAnsiTheme="minorHAnsi" w:cstheme="minorBidi"/>
          <w:b w:val="0"/>
          <w:bCs w:val="0"/>
          <w:color w:val="C00000"/>
          <w:sz w:val="24"/>
          <w:szCs w:val="24"/>
        </w:rPr>
        <w:t>itet</w:t>
      </w:r>
      <w:r w:rsidRPr="00C40CED">
        <w:rPr>
          <w:rFonts w:asciiTheme="minorHAnsi" w:eastAsiaTheme="minorHAnsi" w:hAnsiTheme="minorHAnsi" w:cstheme="minorBidi"/>
          <w:b w:val="0"/>
          <w:bCs w:val="0"/>
          <w:color w:val="auto"/>
          <w:sz w:val="24"/>
          <w:szCs w:val="24"/>
        </w:rPr>
        <w:t xml:space="preserve"> predstavlja utvrđeni iznos kojim se postupno otplaćuje kredit prema amortizacijskom planu (najčešće mjesečnih) otplata tijekom određenog vremenskog razdoblja. U anuitet je uključen dio duga koji se otplaćuje i pripadajuće kamate, a određuje se tako da po konačnom dospijeću dug bude u potpunosti isplaćen.</w:t>
      </w:r>
    </w:p>
    <w:tbl>
      <w:tblPr>
        <w:tblStyle w:val="Reetkatablice"/>
        <w:tblW w:w="0" w:type="auto"/>
        <w:tblInd w:w="108" w:type="dxa"/>
        <w:tblLook w:val="04A0" w:firstRow="1" w:lastRow="0" w:firstColumn="1" w:lastColumn="0" w:noHBand="0" w:noVBand="1"/>
      </w:tblPr>
      <w:tblGrid>
        <w:gridCol w:w="9180"/>
      </w:tblGrid>
      <w:tr w:rsidR="006E6A2E" w:rsidTr="008D1436">
        <w:tc>
          <w:tcPr>
            <w:tcW w:w="9180" w:type="dxa"/>
            <w:shd w:val="clear" w:color="auto" w:fill="F2F2F2" w:themeFill="background1" w:themeFillShade="F2"/>
          </w:tcPr>
          <w:p w:rsidR="00040A8C" w:rsidRPr="00040A8C" w:rsidRDefault="00040A8C" w:rsidP="008D1436">
            <w:pPr>
              <w:autoSpaceDE w:val="0"/>
              <w:autoSpaceDN w:val="0"/>
              <w:adjustRightInd w:val="0"/>
              <w:spacing w:before="120" w:after="120"/>
              <w:jc w:val="both"/>
              <w:rPr>
                <w:rFonts w:asciiTheme="minorHAnsi" w:eastAsiaTheme="minorHAnsi" w:hAnsiTheme="minorHAnsi" w:cstheme="minorBidi"/>
                <w:sz w:val="24"/>
                <w:szCs w:val="24"/>
                <w:lang w:eastAsia="en-US"/>
              </w:rPr>
            </w:pPr>
            <w:r w:rsidRPr="00040A8C">
              <w:rPr>
                <w:rFonts w:asciiTheme="minorHAnsi" w:eastAsiaTheme="minorHAnsi" w:hAnsiTheme="minorHAnsi" w:cstheme="minorBidi"/>
                <w:sz w:val="24"/>
                <w:szCs w:val="24"/>
                <w:lang w:eastAsia="en-US"/>
              </w:rPr>
              <w:t xml:space="preserve">Visina anuiteta računa se s obzirom na </w:t>
            </w:r>
            <w:r>
              <w:rPr>
                <w:rFonts w:asciiTheme="minorHAnsi" w:eastAsiaTheme="minorHAnsi" w:hAnsiTheme="minorHAnsi" w:cstheme="minorBidi"/>
                <w:sz w:val="24"/>
                <w:szCs w:val="24"/>
                <w:lang w:eastAsia="en-US"/>
              </w:rPr>
              <w:t xml:space="preserve">redovnu </w:t>
            </w:r>
            <w:r w:rsidRPr="00040A8C">
              <w:rPr>
                <w:rFonts w:asciiTheme="minorHAnsi" w:eastAsiaTheme="minorHAnsi" w:hAnsiTheme="minorHAnsi" w:cstheme="minorBidi"/>
                <w:sz w:val="24"/>
                <w:szCs w:val="24"/>
                <w:lang w:eastAsia="en-US"/>
              </w:rPr>
              <w:t xml:space="preserve">kamatnu stopu. </w:t>
            </w:r>
            <w:r w:rsidRPr="00FF4026">
              <w:rPr>
                <w:rFonts w:asciiTheme="minorHAnsi" w:eastAsiaTheme="minorHAnsi" w:hAnsiTheme="minorHAnsi" w:cstheme="minorBidi"/>
                <w:color w:val="C00000"/>
                <w:sz w:val="24"/>
                <w:szCs w:val="24"/>
                <w:lang w:eastAsia="en-US"/>
              </w:rPr>
              <w:t xml:space="preserve">Redovna kamatna stopa </w:t>
            </w:r>
            <w:r w:rsidRPr="00040A8C">
              <w:rPr>
                <w:rFonts w:asciiTheme="minorHAnsi" w:eastAsiaTheme="minorHAnsi" w:hAnsiTheme="minorHAnsi" w:cstheme="minorBidi"/>
                <w:sz w:val="24"/>
                <w:szCs w:val="24"/>
                <w:lang w:eastAsia="en-US"/>
              </w:rPr>
              <w:t xml:space="preserve">je ugovorena (nominalna) kamatna stopa uz koju se obračunavaju kamate u razdoblju otplate kredita. </w:t>
            </w:r>
            <w:r>
              <w:rPr>
                <w:rFonts w:asciiTheme="minorHAnsi" w:eastAsiaTheme="minorHAnsi" w:hAnsiTheme="minorHAnsi" w:cstheme="minorBidi"/>
                <w:sz w:val="24"/>
                <w:szCs w:val="24"/>
                <w:lang w:eastAsia="en-US"/>
              </w:rPr>
              <w:t>M</w:t>
            </w:r>
            <w:r w:rsidRPr="00040A8C">
              <w:rPr>
                <w:rFonts w:asciiTheme="minorHAnsi" w:eastAsiaTheme="minorHAnsi" w:hAnsiTheme="minorHAnsi" w:cstheme="minorBidi"/>
                <w:sz w:val="24"/>
                <w:szCs w:val="24"/>
                <w:lang w:eastAsia="en-US"/>
              </w:rPr>
              <w:t xml:space="preserve">eđutim, pri analizi i valorizaciji uvjeta kredita između nekoliko </w:t>
            </w:r>
            <w:r w:rsidR="00790878">
              <w:rPr>
                <w:rFonts w:asciiTheme="minorHAnsi" w:eastAsiaTheme="minorHAnsi" w:hAnsiTheme="minorHAnsi" w:cstheme="minorBidi"/>
                <w:sz w:val="24"/>
                <w:szCs w:val="24"/>
                <w:lang w:eastAsia="en-US"/>
              </w:rPr>
              <w:t xml:space="preserve">različitih banaka, </w:t>
            </w:r>
            <w:r w:rsidRPr="00040A8C">
              <w:rPr>
                <w:rFonts w:asciiTheme="minorHAnsi" w:eastAsiaTheme="minorHAnsi" w:hAnsiTheme="minorHAnsi" w:cstheme="minorBidi"/>
                <w:sz w:val="24"/>
                <w:szCs w:val="24"/>
                <w:lang w:eastAsia="en-US"/>
              </w:rPr>
              <w:t xml:space="preserve">važan </w:t>
            </w:r>
            <w:r w:rsidR="008D1436">
              <w:rPr>
                <w:rFonts w:asciiTheme="minorHAnsi" w:eastAsiaTheme="minorHAnsi" w:hAnsiTheme="minorHAnsi" w:cstheme="minorBidi"/>
                <w:sz w:val="24"/>
                <w:szCs w:val="24"/>
                <w:lang w:eastAsia="en-US"/>
              </w:rPr>
              <w:t xml:space="preserve">informativni </w:t>
            </w:r>
            <w:r w:rsidRPr="00040A8C">
              <w:rPr>
                <w:rFonts w:asciiTheme="minorHAnsi" w:eastAsiaTheme="minorHAnsi" w:hAnsiTheme="minorHAnsi" w:cstheme="minorBidi"/>
                <w:sz w:val="24"/>
                <w:szCs w:val="24"/>
                <w:lang w:eastAsia="en-US"/>
              </w:rPr>
              <w:t xml:space="preserve">pokazatelj predstavlja efektivna kamatna stopa. </w:t>
            </w:r>
          </w:p>
          <w:p w:rsidR="00040A8C" w:rsidRPr="00040A8C" w:rsidRDefault="00040A8C" w:rsidP="008D1436">
            <w:pPr>
              <w:autoSpaceDE w:val="0"/>
              <w:autoSpaceDN w:val="0"/>
              <w:adjustRightInd w:val="0"/>
              <w:spacing w:before="120" w:after="120"/>
              <w:jc w:val="both"/>
              <w:rPr>
                <w:rFonts w:asciiTheme="minorHAnsi" w:eastAsiaTheme="minorHAnsi" w:hAnsiTheme="minorHAnsi" w:cstheme="minorBidi"/>
                <w:sz w:val="24"/>
                <w:szCs w:val="24"/>
                <w:lang w:eastAsia="en-US"/>
              </w:rPr>
            </w:pPr>
            <w:r w:rsidRPr="008D1436">
              <w:rPr>
                <w:rFonts w:asciiTheme="minorHAnsi" w:eastAsiaTheme="minorHAnsi" w:hAnsiTheme="minorHAnsi" w:cstheme="minorBidi"/>
                <w:color w:val="C00000"/>
                <w:sz w:val="24"/>
                <w:szCs w:val="24"/>
                <w:lang w:eastAsia="en-US"/>
              </w:rPr>
              <w:t xml:space="preserve">Efektivna kamatna stopa (EKS) </w:t>
            </w:r>
            <w:r w:rsidRPr="00040A8C">
              <w:rPr>
                <w:rFonts w:asciiTheme="minorHAnsi" w:eastAsiaTheme="minorHAnsi" w:hAnsiTheme="minorHAnsi" w:cstheme="minorBidi"/>
                <w:sz w:val="24"/>
                <w:szCs w:val="24"/>
                <w:lang w:eastAsia="en-US"/>
              </w:rPr>
              <w:t xml:space="preserve">informativno pokazuje širi obuhvat troškova zaduživanja. Osim redovne kamate uključuje različite naknade koje klijent plaća banci prilikom odobrenja kredita i drugo. Način izračuna EKS-a je jedinstven za sve banke, a propisala ga je Hrvatska narodna banka. </w:t>
            </w:r>
          </w:p>
          <w:p w:rsidR="00040A8C" w:rsidRPr="00040A8C" w:rsidRDefault="008D1436" w:rsidP="008D1436">
            <w:pPr>
              <w:spacing w:before="120" w:after="120"/>
              <w:jc w:val="both"/>
              <w:rPr>
                <w:rFonts w:eastAsiaTheme="minorHAnsi"/>
              </w:rPr>
            </w:pPr>
            <w:r w:rsidRPr="008D1436">
              <w:rPr>
                <w:rFonts w:asciiTheme="minorHAnsi" w:eastAsiaTheme="minorHAnsi" w:hAnsiTheme="minorHAnsi" w:cstheme="minorBidi"/>
                <w:sz w:val="24"/>
                <w:szCs w:val="24"/>
                <w:lang w:eastAsia="en-US"/>
              </w:rPr>
              <w:t xml:space="preserve">S obzirom da je dospijeće prvog anuiteta otplate kredita uobičajeno </w:t>
            </w:r>
            <w:r>
              <w:rPr>
                <w:rFonts w:asciiTheme="minorHAnsi" w:eastAsiaTheme="minorHAnsi" w:hAnsiTheme="minorHAnsi" w:cstheme="minorBidi"/>
                <w:sz w:val="24"/>
                <w:szCs w:val="24"/>
                <w:lang w:eastAsia="en-US"/>
              </w:rPr>
              <w:t xml:space="preserve">tek </w:t>
            </w:r>
            <w:r w:rsidRPr="008D1436">
              <w:rPr>
                <w:rFonts w:asciiTheme="minorHAnsi" w:eastAsiaTheme="minorHAnsi" w:hAnsiTheme="minorHAnsi" w:cstheme="minorBidi"/>
                <w:sz w:val="24"/>
                <w:szCs w:val="24"/>
                <w:lang w:eastAsia="en-US"/>
              </w:rPr>
              <w:t xml:space="preserve">prvog dana </w:t>
            </w:r>
            <w:r>
              <w:rPr>
                <w:rFonts w:asciiTheme="minorHAnsi" w:eastAsiaTheme="minorHAnsi" w:hAnsiTheme="minorHAnsi" w:cstheme="minorBidi"/>
                <w:sz w:val="24"/>
                <w:szCs w:val="24"/>
                <w:lang w:eastAsia="en-US"/>
              </w:rPr>
              <w:t xml:space="preserve">sljedećeg </w:t>
            </w:r>
            <w:r w:rsidRPr="008D1436">
              <w:rPr>
                <w:rFonts w:asciiTheme="minorHAnsi" w:eastAsiaTheme="minorHAnsi" w:hAnsiTheme="minorHAnsi" w:cstheme="minorBidi"/>
                <w:sz w:val="24"/>
                <w:szCs w:val="24"/>
                <w:lang w:eastAsia="en-US"/>
              </w:rPr>
              <w:t>kalendarskog mjeseca,</w:t>
            </w:r>
            <w:r>
              <w:rPr>
                <w:rFonts w:asciiTheme="minorHAnsi" w:eastAsiaTheme="minorHAnsi" w:hAnsiTheme="minorHAnsi" w:cstheme="minorBidi"/>
                <w:sz w:val="24"/>
                <w:szCs w:val="24"/>
                <w:lang w:eastAsia="en-US"/>
              </w:rPr>
              <w:t xml:space="preserve"> u kreditnoj praksi često se javljaju tzv. interkalarne kamate</w:t>
            </w:r>
            <w:r w:rsidRPr="008D1436">
              <w:rPr>
                <w:rFonts w:asciiTheme="minorHAnsi" w:eastAsiaTheme="minorHAnsi" w:hAnsiTheme="minorHAnsi" w:cstheme="minorBidi"/>
                <w:sz w:val="24"/>
                <w:szCs w:val="24"/>
                <w:lang w:eastAsia="en-US"/>
              </w:rPr>
              <w:t xml:space="preserve">. </w:t>
            </w:r>
            <w:r w:rsidR="00040A8C" w:rsidRPr="008D1436">
              <w:rPr>
                <w:rFonts w:asciiTheme="minorHAnsi" w:eastAsiaTheme="minorHAnsi" w:hAnsiTheme="minorHAnsi" w:cstheme="minorBidi"/>
                <w:color w:val="C00000"/>
                <w:sz w:val="24"/>
                <w:szCs w:val="24"/>
                <w:lang w:eastAsia="en-US"/>
              </w:rPr>
              <w:t xml:space="preserve">Interkalarne kamate </w:t>
            </w:r>
            <w:r w:rsidR="00040A8C" w:rsidRPr="00040A8C">
              <w:rPr>
                <w:rFonts w:asciiTheme="minorHAnsi" w:eastAsiaTheme="minorHAnsi" w:hAnsiTheme="minorHAnsi" w:cstheme="minorBidi"/>
                <w:sz w:val="24"/>
                <w:szCs w:val="24"/>
                <w:lang w:eastAsia="en-US"/>
              </w:rPr>
              <w:t xml:space="preserve">obračunavaju se na iskorišteni iznos kredita od datuma korištenja </w:t>
            </w:r>
            <w:r w:rsidR="00790878">
              <w:rPr>
                <w:rFonts w:asciiTheme="minorHAnsi" w:eastAsiaTheme="minorHAnsi" w:hAnsiTheme="minorHAnsi" w:cstheme="minorBidi"/>
                <w:sz w:val="24"/>
                <w:szCs w:val="24"/>
                <w:lang w:eastAsia="en-US"/>
              </w:rPr>
              <w:t xml:space="preserve">(njegove isplate) </w:t>
            </w:r>
            <w:r w:rsidR="00040A8C" w:rsidRPr="00040A8C">
              <w:rPr>
                <w:rFonts w:asciiTheme="minorHAnsi" w:eastAsiaTheme="minorHAnsi" w:hAnsiTheme="minorHAnsi" w:cstheme="minorBidi"/>
                <w:sz w:val="24"/>
                <w:szCs w:val="24"/>
                <w:lang w:eastAsia="en-US"/>
              </w:rPr>
              <w:t xml:space="preserve">do datuma stavljanja kredita u otplatu, po kamatnoj stopi kao redovna, a naplaćuju se </w:t>
            </w:r>
            <w:r w:rsidR="00790878">
              <w:rPr>
                <w:rFonts w:asciiTheme="minorHAnsi" w:eastAsiaTheme="minorHAnsi" w:hAnsiTheme="minorHAnsi" w:cstheme="minorBidi"/>
                <w:sz w:val="24"/>
                <w:szCs w:val="24"/>
                <w:lang w:eastAsia="en-US"/>
              </w:rPr>
              <w:t xml:space="preserve">neposredno nakon ili </w:t>
            </w:r>
            <w:r w:rsidR="00040A8C" w:rsidRPr="00040A8C">
              <w:rPr>
                <w:rFonts w:asciiTheme="minorHAnsi" w:eastAsiaTheme="minorHAnsi" w:hAnsiTheme="minorHAnsi" w:cstheme="minorBidi"/>
                <w:sz w:val="24"/>
                <w:szCs w:val="24"/>
                <w:lang w:eastAsia="en-US"/>
              </w:rPr>
              <w:t xml:space="preserve">prilikom korištenja </w:t>
            </w:r>
            <w:r w:rsidR="00790878">
              <w:rPr>
                <w:rFonts w:asciiTheme="minorHAnsi" w:eastAsiaTheme="minorHAnsi" w:hAnsiTheme="minorHAnsi" w:cstheme="minorBidi"/>
                <w:sz w:val="24"/>
                <w:szCs w:val="24"/>
                <w:lang w:eastAsia="en-US"/>
              </w:rPr>
              <w:t xml:space="preserve">(isplate) </w:t>
            </w:r>
            <w:r w:rsidR="00040A8C" w:rsidRPr="00040A8C">
              <w:rPr>
                <w:rFonts w:asciiTheme="minorHAnsi" w:eastAsiaTheme="minorHAnsi" w:hAnsiTheme="minorHAnsi" w:cstheme="minorBidi"/>
                <w:sz w:val="24"/>
                <w:szCs w:val="24"/>
                <w:lang w:eastAsia="en-US"/>
              </w:rPr>
              <w:t>kredita</w:t>
            </w:r>
            <w:r>
              <w:rPr>
                <w:rFonts w:asciiTheme="minorHAnsi" w:eastAsiaTheme="minorHAnsi" w:hAnsiTheme="minorHAnsi" w:cstheme="minorBidi"/>
                <w:sz w:val="24"/>
                <w:szCs w:val="24"/>
                <w:lang w:eastAsia="en-US"/>
              </w:rPr>
              <w:t xml:space="preserve">. </w:t>
            </w:r>
          </w:p>
        </w:tc>
      </w:tr>
    </w:tbl>
    <w:p w:rsidR="008D1436" w:rsidRPr="00C40CED" w:rsidRDefault="008D1436" w:rsidP="008D1436">
      <w:pPr>
        <w:pStyle w:val="Naslov3"/>
        <w:spacing w:before="240"/>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lastRenderedPageBreak/>
        <w:t xml:space="preserve">Za potrebe realizacije lombardnog kredita potrebno je popuniti, potpisati i priložiti sljedeću </w:t>
      </w:r>
      <w:r w:rsidRPr="000A3AA9">
        <w:rPr>
          <w:rFonts w:asciiTheme="minorHAnsi" w:eastAsiaTheme="minorHAnsi" w:hAnsiTheme="minorHAnsi" w:cstheme="minorBidi"/>
          <w:b w:val="0"/>
          <w:bCs w:val="0"/>
          <w:color w:val="auto"/>
          <w:sz w:val="24"/>
          <w:szCs w:val="24"/>
        </w:rPr>
        <w:t>dokumentaciju:</w:t>
      </w:r>
    </w:p>
    <w:p w:rsidR="008D1436" w:rsidRPr="00C40CED" w:rsidRDefault="008D1436" w:rsidP="006F1C04">
      <w:pPr>
        <w:pStyle w:val="Naslov3"/>
        <w:keepNext w:val="0"/>
        <w:keepLines w:val="0"/>
        <w:numPr>
          <w:ilvl w:val="0"/>
          <w:numId w:val="55"/>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obrazac“podataka o klijentu“ i zahtjev za lombardni kredit;</w:t>
      </w:r>
    </w:p>
    <w:p w:rsidR="008D1436" w:rsidRPr="00C40CED" w:rsidRDefault="008D1436" w:rsidP="006F1C04">
      <w:pPr>
        <w:pStyle w:val="Naslov3"/>
        <w:keepNext w:val="0"/>
        <w:keepLines w:val="0"/>
        <w:numPr>
          <w:ilvl w:val="0"/>
          <w:numId w:val="55"/>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izjavu suglasnosti za sačinjavanje kreditnog izviješća HROK-a</w:t>
      </w:r>
      <w:r>
        <w:rPr>
          <w:rFonts w:asciiTheme="minorHAnsi" w:eastAsiaTheme="minorHAnsi" w:hAnsiTheme="minorHAnsi" w:cstheme="minorBidi"/>
          <w:b w:val="0"/>
          <w:bCs w:val="0"/>
          <w:color w:val="auto"/>
          <w:sz w:val="24"/>
          <w:szCs w:val="24"/>
        </w:rPr>
        <w:t xml:space="preserve"> (Hrvatskog registra obveza po kreditima)</w:t>
      </w:r>
      <w:r w:rsidRPr="00C40CED">
        <w:rPr>
          <w:rFonts w:asciiTheme="minorHAnsi" w:eastAsiaTheme="minorHAnsi" w:hAnsiTheme="minorHAnsi" w:cstheme="minorBidi"/>
          <w:b w:val="0"/>
          <w:bCs w:val="0"/>
          <w:color w:val="auto"/>
          <w:sz w:val="24"/>
          <w:szCs w:val="24"/>
        </w:rPr>
        <w:t>;</w:t>
      </w:r>
    </w:p>
    <w:p w:rsidR="008D1436" w:rsidRPr="00C40CED" w:rsidRDefault="008D1436" w:rsidP="006F1C04">
      <w:pPr>
        <w:pStyle w:val="Naslov3"/>
        <w:keepNext w:val="0"/>
        <w:keepLines w:val="0"/>
        <w:numPr>
          <w:ilvl w:val="0"/>
          <w:numId w:val="55"/>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presliku osobne iskaznice i podatak o OIB-u;</w:t>
      </w:r>
    </w:p>
    <w:p w:rsidR="008D1436" w:rsidRPr="00C40CED" w:rsidRDefault="008D1436" w:rsidP="006F1C04">
      <w:pPr>
        <w:pStyle w:val="Naslov3"/>
        <w:keepNext w:val="0"/>
        <w:keepLines w:val="0"/>
        <w:numPr>
          <w:ilvl w:val="0"/>
          <w:numId w:val="55"/>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ugovor o oročenju/ ili potvrdu o otkupnoj vrijednosti police životnog osiguranja/ ili ugovor o stambenoj štednji ili drugo ovisno o predmetu zaloga</w:t>
      </w:r>
    </w:p>
    <w:p w:rsidR="008D1436" w:rsidRDefault="008D1436" w:rsidP="006F1C04">
      <w:pPr>
        <w:pStyle w:val="Naslov3"/>
        <w:keepNext w:val="0"/>
        <w:keepLines w:val="0"/>
        <w:numPr>
          <w:ilvl w:val="0"/>
          <w:numId w:val="55"/>
        </w:numPr>
        <w:spacing w:before="0" w:line="240" w:lineRule="auto"/>
        <w:jc w:val="both"/>
        <w:rPr>
          <w:rFonts w:asciiTheme="minorHAnsi" w:eastAsiaTheme="minorHAnsi" w:hAnsiTheme="minorHAnsi" w:cstheme="minorBidi"/>
          <w:b w:val="0"/>
          <w:bCs w:val="0"/>
          <w:color w:val="auto"/>
          <w:sz w:val="24"/>
          <w:szCs w:val="24"/>
        </w:rPr>
      </w:pPr>
      <w:r w:rsidRPr="00C40CED">
        <w:rPr>
          <w:rFonts w:asciiTheme="minorHAnsi" w:eastAsiaTheme="minorHAnsi" w:hAnsiTheme="minorHAnsi" w:cstheme="minorBidi"/>
          <w:b w:val="0"/>
          <w:bCs w:val="0"/>
          <w:color w:val="auto"/>
          <w:sz w:val="24"/>
          <w:szCs w:val="24"/>
        </w:rPr>
        <w:t>te eventualno druge dokumente prema uvjetima banaka</w:t>
      </w:r>
      <w:r>
        <w:rPr>
          <w:rFonts w:asciiTheme="minorHAnsi" w:eastAsiaTheme="minorHAnsi" w:hAnsiTheme="minorHAnsi" w:cstheme="minorBidi"/>
          <w:b w:val="0"/>
          <w:bCs w:val="0"/>
          <w:color w:val="auto"/>
          <w:sz w:val="24"/>
          <w:szCs w:val="24"/>
        </w:rPr>
        <w:t>.</w:t>
      </w:r>
    </w:p>
    <w:p w:rsidR="00E4065B" w:rsidRDefault="00506EB0" w:rsidP="00040A8C">
      <w:pPr>
        <w:pStyle w:val="Naslov3"/>
        <w:keepNext w:val="0"/>
        <w:keepLines w:val="0"/>
        <w:spacing w:before="240" w:after="200"/>
        <w:jc w:val="both"/>
        <w:rPr>
          <w:rFonts w:asciiTheme="minorHAnsi" w:eastAsiaTheme="minorHAnsi" w:hAnsiTheme="minorHAnsi" w:cstheme="minorBidi"/>
          <w:b w:val="0"/>
          <w:bCs w:val="0"/>
          <w:color w:val="auto"/>
          <w:sz w:val="24"/>
          <w:szCs w:val="24"/>
        </w:rPr>
      </w:pPr>
      <w:r w:rsidRPr="00E4065B">
        <w:rPr>
          <w:rFonts w:asciiTheme="minorHAnsi" w:eastAsiaTheme="minorHAnsi" w:hAnsiTheme="minorHAnsi" w:cstheme="minorBidi"/>
          <w:b w:val="0"/>
          <w:bCs w:val="0"/>
          <w:color w:val="C00000"/>
          <w:sz w:val="24"/>
          <w:szCs w:val="24"/>
        </w:rPr>
        <w:t xml:space="preserve">Gotovinski kredit </w:t>
      </w:r>
      <w:r w:rsidRPr="00E4065B">
        <w:rPr>
          <w:rFonts w:asciiTheme="minorHAnsi" w:eastAsiaTheme="minorHAnsi" w:hAnsiTheme="minorHAnsi" w:cstheme="minorBidi"/>
          <w:b w:val="0"/>
          <w:bCs w:val="0"/>
          <w:color w:val="auto"/>
          <w:sz w:val="24"/>
          <w:szCs w:val="24"/>
        </w:rPr>
        <w:t>je oblik nenamjenskog kredita koji se odobrava uz ocje</w:t>
      </w:r>
      <w:r w:rsidR="00766388">
        <w:rPr>
          <w:rFonts w:asciiTheme="minorHAnsi" w:eastAsiaTheme="minorHAnsi" w:hAnsiTheme="minorHAnsi" w:cstheme="minorBidi"/>
          <w:b w:val="0"/>
          <w:bCs w:val="0"/>
          <w:color w:val="auto"/>
          <w:sz w:val="24"/>
          <w:szCs w:val="24"/>
        </w:rPr>
        <w:t>nu kreditne sposobnosti dužnika, a kredit se isplaćuje u korist tekućeg računa dužnika.</w:t>
      </w:r>
      <w:r w:rsidRPr="00E4065B">
        <w:rPr>
          <w:rFonts w:asciiTheme="minorHAnsi" w:eastAsiaTheme="minorHAnsi" w:hAnsiTheme="minorHAnsi" w:cstheme="minorBidi"/>
          <w:b w:val="0"/>
          <w:bCs w:val="0"/>
          <w:color w:val="auto"/>
          <w:sz w:val="24"/>
          <w:szCs w:val="24"/>
        </w:rPr>
        <w:t xml:space="preserve"> Može se odobravati na različite rokove dospijeća, ali se uglavnom radi o srednjoročnim kreditima na pet godina, ili dugoročnim kreditima na sedam do deset godina</w:t>
      </w:r>
      <w:r w:rsidR="00E4065B">
        <w:rPr>
          <w:rFonts w:asciiTheme="minorHAnsi" w:eastAsiaTheme="minorHAnsi" w:hAnsiTheme="minorHAnsi" w:cstheme="minorBidi"/>
          <w:b w:val="0"/>
          <w:bCs w:val="0"/>
          <w:color w:val="auto"/>
          <w:sz w:val="24"/>
          <w:szCs w:val="24"/>
        </w:rPr>
        <w:t>. Osim kao klasični bankovni kredit javlja se i kao gotovinski krediti po kreditn</w:t>
      </w:r>
      <w:r w:rsidR="00ED0E88">
        <w:rPr>
          <w:rFonts w:asciiTheme="minorHAnsi" w:eastAsiaTheme="minorHAnsi" w:hAnsiTheme="minorHAnsi" w:cstheme="minorBidi"/>
          <w:b w:val="0"/>
          <w:bCs w:val="0"/>
          <w:color w:val="auto"/>
          <w:sz w:val="24"/>
          <w:szCs w:val="24"/>
        </w:rPr>
        <w:t>oj</w:t>
      </w:r>
      <w:r w:rsidR="00E4065B">
        <w:rPr>
          <w:rFonts w:asciiTheme="minorHAnsi" w:eastAsiaTheme="minorHAnsi" w:hAnsiTheme="minorHAnsi" w:cstheme="minorBidi"/>
          <w:b w:val="0"/>
          <w:bCs w:val="0"/>
          <w:color w:val="auto"/>
          <w:sz w:val="24"/>
          <w:szCs w:val="24"/>
        </w:rPr>
        <w:t xml:space="preserve"> kartic</w:t>
      </w:r>
      <w:r w:rsidR="00ED0E88">
        <w:rPr>
          <w:rFonts w:asciiTheme="minorHAnsi" w:eastAsiaTheme="minorHAnsi" w:hAnsiTheme="minorHAnsi" w:cstheme="minorBidi"/>
          <w:b w:val="0"/>
          <w:bCs w:val="0"/>
          <w:color w:val="auto"/>
          <w:sz w:val="24"/>
          <w:szCs w:val="24"/>
        </w:rPr>
        <w:t>i</w:t>
      </w:r>
      <w:r w:rsidR="00E4065B">
        <w:rPr>
          <w:rFonts w:asciiTheme="minorHAnsi" w:eastAsiaTheme="minorHAnsi" w:hAnsiTheme="minorHAnsi" w:cstheme="minorBidi"/>
          <w:b w:val="0"/>
          <w:bCs w:val="0"/>
          <w:color w:val="auto"/>
          <w:sz w:val="24"/>
          <w:szCs w:val="24"/>
        </w:rPr>
        <w:t xml:space="preserve"> ili charge kartic</w:t>
      </w:r>
      <w:r w:rsidR="00ED0E88">
        <w:rPr>
          <w:rFonts w:asciiTheme="minorHAnsi" w:eastAsiaTheme="minorHAnsi" w:hAnsiTheme="minorHAnsi" w:cstheme="minorBidi"/>
          <w:b w:val="0"/>
          <w:bCs w:val="0"/>
          <w:color w:val="auto"/>
          <w:sz w:val="24"/>
          <w:szCs w:val="24"/>
        </w:rPr>
        <w:t>i</w:t>
      </w:r>
      <w:r w:rsidR="00E4065B">
        <w:rPr>
          <w:rFonts w:asciiTheme="minorHAnsi" w:eastAsiaTheme="minorHAnsi" w:hAnsiTheme="minorHAnsi" w:cstheme="minorBidi"/>
          <w:b w:val="0"/>
          <w:bCs w:val="0"/>
          <w:color w:val="auto"/>
          <w:sz w:val="24"/>
          <w:szCs w:val="24"/>
        </w:rPr>
        <w:t>.</w:t>
      </w:r>
    </w:p>
    <w:p w:rsidR="00ED0E88" w:rsidRPr="00D81F1F" w:rsidRDefault="00ED0E88" w:rsidP="00ED0E88">
      <w:pPr>
        <w:pStyle w:val="Naslov2"/>
        <w:spacing w:line="240" w:lineRule="atLeast"/>
        <w:jc w:val="both"/>
        <w:rPr>
          <w:rFonts w:asciiTheme="minorHAnsi" w:eastAsiaTheme="minorHAnsi" w:hAnsiTheme="minorHAnsi" w:cstheme="minorBidi"/>
          <w:b w:val="0"/>
          <w:color w:val="auto"/>
          <w:sz w:val="24"/>
          <w:szCs w:val="24"/>
        </w:rPr>
      </w:pPr>
      <w:r w:rsidRPr="00D81F1F">
        <w:rPr>
          <w:rFonts w:asciiTheme="minorHAnsi" w:eastAsiaTheme="minorHAnsi" w:hAnsiTheme="minorHAnsi" w:cstheme="minorBidi"/>
          <w:b w:val="0"/>
          <w:color w:val="C00000"/>
          <w:sz w:val="24"/>
          <w:szCs w:val="24"/>
        </w:rPr>
        <w:t xml:space="preserve">Primarni instrumenti osiguranja naplate </w:t>
      </w:r>
      <w:r w:rsidRPr="00D81F1F">
        <w:rPr>
          <w:rFonts w:asciiTheme="minorHAnsi" w:eastAsiaTheme="minorHAnsi" w:hAnsiTheme="minorHAnsi" w:cstheme="minorBidi"/>
          <w:b w:val="0"/>
          <w:color w:val="auto"/>
          <w:sz w:val="24"/>
          <w:szCs w:val="24"/>
        </w:rPr>
        <w:t>gotovinskih kredita su:</w:t>
      </w:r>
    </w:p>
    <w:p w:rsidR="00ED0E88" w:rsidRPr="00D81F1F" w:rsidRDefault="00ED0E88" w:rsidP="006F1C04">
      <w:pPr>
        <w:numPr>
          <w:ilvl w:val="0"/>
          <w:numId w:val="57"/>
        </w:numPr>
        <w:autoSpaceDE w:val="0"/>
        <w:autoSpaceDN w:val="0"/>
        <w:adjustRightInd w:val="0"/>
        <w:spacing w:after="0" w:line="240" w:lineRule="auto"/>
        <w:rPr>
          <w:sz w:val="24"/>
          <w:szCs w:val="24"/>
        </w:rPr>
      </w:pPr>
      <w:r w:rsidRPr="00D81F1F">
        <w:rPr>
          <w:sz w:val="24"/>
          <w:szCs w:val="24"/>
        </w:rPr>
        <w:t>izjava suglasnosti o zapljeni plaće odnosno drugog stalnog novčanog primanja potpisana od svakog sudionika u kreditnom poslu (korisnika redita/sudužnika/jamca) i potvrđena kod javnog bilježnika;</w:t>
      </w:r>
    </w:p>
    <w:p w:rsidR="00ED0E88" w:rsidRPr="00ED0E88" w:rsidRDefault="00ED0E88" w:rsidP="006F1C04">
      <w:pPr>
        <w:pStyle w:val="Naslov2"/>
        <w:keepNext w:val="0"/>
        <w:keepLines w:val="0"/>
        <w:numPr>
          <w:ilvl w:val="0"/>
          <w:numId w:val="57"/>
        </w:numPr>
        <w:spacing w:before="0" w:after="240" w:line="240" w:lineRule="atLeast"/>
        <w:ind w:left="714" w:hanging="357"/>
        <w:jc w:val="both"/>
        <w:rPr>
          <w:rFonts w:asciiTheme="minorHAnsi" w:eastAsiaTheme="minorHAnsi" w:hAnsiTheme="minorHAnsi" w:cstheme="minorBidi"/>
          <w:b w:val="0"/>
          <w:color w:val="auto"/>
          <w:sz w:val="24"/>
          <w:szCs w:val="24"/>
        </w:rPr>
      </w:pPr>
      <w:r w:rsidRPr="00D81F1F">
        <w:rPr>
          <w:rFonts w:asciiTheme="minorHAnsi" w:eastAsiaTheme="minorHAnsi" w:hAnsiTheme="minorHAnsi" w:cstheme="minorBidi"/>
          <w:b w:val="0"/>
          <w:color w:val="auto"/>
          <w:sz w:val="24"/>
          <w:szCs w:val="24"/>
        </w:rPr>
        <w:t xml:space="preserve">i </w:t>
      </w:r>
      <w:r w:rsidRPr="00D81F1F">
        <w:rPr>
          <w:rFonts w:asciiTheme="minorHAnsi" w:eastAsiaTheme="minorHAnsi" w:hAnsiTheme="minorHAnsi" w:cstheme="minorBidi"/>
          <w:b w:val="0"/>
          <w:bCs w:val="0"/>
          <w:color w:val="auto"/>
          <w:sz w:val="24"/>
          <w:szCs w:val="24"/>
        </w:rPr>
        <w:t xml:space="preserve">zadužnica svakog sudionika u kreditnom poslu </w:t>
      </w:r>
      <w:r w:rsidRPr="00790878">
        <w:rPr>
          <w:rFonts w:asciiTheme="minorHAnsi" w:eastAsiaTheme="minorHAnsi" w:hAnsiTheme="minorHAnsi" w:cstheme="minorBidi"/>
          <w:b w:val="0"/>
          <w:bCs w:val="0"/>
          <w:color w:val="C00000"/>
          <w:sz w:val="24"/>
          <w:szCs w:val="24"/>
        </w:rPr>
        <w:t xml:space="preserve">potvrđena (solemnizirana) </w:t>
      </w:r>
      <w:r w:rsidRPr="00D81F1F">
        <w:rPr>
          <w:rFonts w:asciiTheme="minorHAnsi" w:eastAsiaTheme="minorHAnsi" w:hAnsiTheme="minorHAnsi" w:cstheme="minorBidi"/>
          <w:b w:val="0"/>
          <w:bCs w:val="0"/>
          <w:color w:val="auto"/>
          <w:sz w:val="24"/>
          <w:szCs w:val="24"/>
        </w:rPr>
        <w:t>kod javnog bilježnika.</w:t>
      </w:r>
    </w:p>
    <w:p w:rsidR="00F36090" w:rsidRDefault="00ED0E88" w:rsidP="00F36090">
      <w:pPr>
        <w:pStyle w:val="Naslov2"/>
        <w:keepNext w:val="0"/>
        <w:keepLines w:val="0"/>
        <w:spacing w:before="0" w:after="240"/>
        <w:jc w:val="both"/>
        <w:rPr>
          <w:rFonts w:asciiTheme="minorHAnsi" w:eastAsiaTheme="minorHAnsi" w:hAnsiTheme="minorHAnsi" w:cstheme="minorBidi"/>
          <w:b w:val="0"/>
          <w:color w:val="auto"/>
          <w:sz w:val="24"/>
          <w:szCs w:val="24"/>
        </w:rPr>
      </w:pPr>
      <w:r>
        <w:rPr>
          <w:rFonts w:asciiTheme="minorHAnsi" w:eastAsiaTheme="minorHAnsi" w:hAnsiTheme="minorHAnsi" w:cstheme="minorBidi"/>
          <w:b w:val="0"/>
          <w:bCs w:val="0"/>
          <w:color w:val="auto"/>
          <w:sz w:val="24"/>
          <w:szCs w:val="24"/>
        </w:rPr>
        <w:t>U</w:t>
      </w:r>
      <w:r w:rsidRPr="00D81F1F">
        <w:rPr>
          <w:rFonts w:asciiTheme="minorHAnsi" w:eastAsiaTheme="minorHAnsi" w:hAnsiTheme="minorHAnsi" w:cstheme="minorBidi"/>
          <w:b w:val="0"/>
          <w:bCs w:val="0"/>
          <w:color w:val="auto"/>
          <w:sz w:val="24"/>
          <w:szCs w:val="24"/>
        </w:rPr>
        <w:t>koliko se kredit odobrava u većem iznosu</w:t>
      </w:r>
      <w:r>
        <w:rPr>
          <w:rFonts w:asciiTheme="minorHAnsi" w:eastAsiaTheme="minorHAnsi" w:hAnsiTheme="minorHAnsi" w:cstheme="minorBidi"/>
          <w:b w:val="0"/>
          <w:bCs w:val="0"/>
          <w:color w:val="auto"/>
          <w:sz w:val="24"/>
          <w:szCs w:val="24"/>
        </w:rPr>
        <w:t>,</w:t>
      </w:r>
      <w:r w:rsidRPr="00D81F1F">
        <w:rPr>
          <w:rFonts w:asciiTheme="minorHAnsi" w:eastAsiaTheme="minorHAnsi" w:hAnsiTheme="minorHAnsi" w:cstheme="minorBidi"/>
          <w:b w:val="0"/>
          <w:bCs w:val="0"/>
          <w:color w:val="auto"/>
          <w:sz w:val="24"/>
          <w:szCs w:val="24"/>
        </w:rPr>
        <w:t xml:space="preserve"> često </w:t>
      </w:r>
      <w:r>
        <w:rPr>
          <w:rFonts w:asciiTheme="minorHAnsi" w:eastAsiaTheme="minorHAnsi" w:hAnsiTheme="minorHAnsi" w:cstheme="minorBidi"/>
          <w:b w:val="0"/>
          <w:bCs w:val="0"/>
          <w:color w:val="auto"/>
          <w:sz w:val="24"/>
          <w:szCs w:val="24"/>
        </w:rPr>
        <w:t xml:space="preserve">su potrebni i </w:t>
      </w:r>
      <w:r w:rsidRPr="00D81F1F">
        <w:rPr>
          <w:rFonts w:asciiTheme="minorHAnsi" w:eastAsiaTheme="minorHAnsi" w:hAnsiTheme="minorHAnsi" w:cstheme="minorBidi"/>
          <w:b w:val="0"/>
          <w:color w:val="C00000"/>
          <w:sz w:val="24"/>
          <w:szCs w:val="24"/>
        </w:rPr>
        <w:t>dodatni instrumenti osiguranja naplate kredita</w:t>
      </w:r>
      <w:r w:rsidRPr="00D81F1F">
        <w:rPr>
          <w:rFonts w:asciiTheme="minorHAnsi" w:eastAsiaTheme="minorHAnsi" w:hAnsiTheme="minorHAnsi" w:cstheme="minorBidi"/>
          <w:b w:val="0"/>
          <w:color w:val="auto"/>
          <w:sz w:val="24"/>
          <w:szCs w:val="24"/>
        </w:rPr>
        <w:t xml:space="preserve">: npr. namjenski oročeni depozit, jamstvo jedne ili više fizičkih osoba (solidarnih jamaca, ugovaranje osiguranja korisnika kredita za slučaj nezaposlenosti ili privremene nesposobnosti i drugo. </w:t>
      </w:r>
    </w:p>
    <w:tbl>
      <w:tblPr>
        <w:tblStyle w:val="Reetkatablice"/>
        <w:tblW w:w="0" w:type="auto"/>
        <w:tblInd w:w="108" w:type="dxa"/>
        <w:tblLook w:val="04A0" w:firstRow="1" w:lastRow="0" w:firstColumn="1" w:lastColumn="0" w:noHBand="0" w:noVBand="1"/>
      </w:tblPr>
      <w:tblGrid>
        <w:gridCol w:w="9180"/>
      </w:tblGrid>
      <w:tr w:rsidR="00F36090" w:rsidTr="00893A24">
        <w:tc>
          <w:tcPr>
            <w:tcW w:w="9180" w:type="dxa"/>
            <w:shd w:val="clear" w:color="auto" w:fill="F2F2F2" w:themeFill="background1" w:themeFillShade="F2"/>
          </w:tcPr>
          <w:p w:rsidR="00F36090" w:rsidRDefault="00F36090" w:rsidP="00893A24">
            <w:pPr>
              <w:pStyle w:val="Naslov3"/>
              <w:keepNext w:val="0"/>
              <w:keepLines w:val="0"/>
              <w:spacing w:before="120" w:after="120"/>
              <w:jc w:val="both"/>
              <w:outlineLvl w:val="2"/>
              <w:rPr>
                <w:rFonts w:asciiTheme="minorHAnsi" w:eastAsiaTheme="minorHAnsi" w:hAnsiTheme="minorHAnsi" w:cstheme="minorBidi"/>
                <w:b w:val="0"/>
                <w:bCs w:val="0"/>
                <w:color w:val="auto"/>
                <w:sz w:val="24"/>
                <w:szCs w:val="24"/>
              </w:rPr>
            </w:pPr>
            <w:r>
              <w:rPr>
                <w:rFonts w:asciiTheme="minorHAnsi" w:eastAsiaTheme="minorHAnsi" w:hAnsiTheme="minorHAnsi" w:cstheme="minorBidi"/>
                <w:b w:val="0"/>
                <w:bCs w:val="0"/>
                <w:color w:val="C00000"/>
                <w:sz w:val="24"/>
                <w:szCs w:val="24"/>
              </w:rPr>
              <w:t>Sudionici kreditnog posla</w:t>
            </w:r>
            <w:r w:rsidR="00790878">
              <w:rPr>
                <w:rFonts w:asciiTheme="minorHAnsi" w:eastAsiaTheme="minorHAnsi" w:hAnsiTheme="minorHAnsi" w:cstheme="minorBidi"/>
                <w:b w:val="0"/>
                <w:bCs w:val="0"/>
                <w:color w:val="C00000"/>
                <w:sz w:val="24"/>
                <w:szCs w:val="24"/>
              </w:rPr>
              <w:t>:</w:t>
            </w:r>
            <w:r>
              <w:rPr>
                <w:rFonts w:asciiTheme="minorHAnsi" w:eastAsiaTheme="minorHAnsi" w:hAnsiTheme="minorHAnsi" w:cstheme="minorBidi"/>
                <w:b w:val="0"/>
                <w:bCs w:val="0"/>
                <w:color w:val="C00000"/>
                <w:sz w:val="24"/>
                <w:szCs w:val="24"/>
              </w:rPr>
              <w:t xml:space="preserve"> </w:t>
            </w:r>
            <w:r>
              <w:rPr>
                <w:rFonts w:asciiTheme="minorHAnsi" w:eastAsiaTheme="minorHAnsi" w:hAnsiTheme="minorHAnsi" w:cstheme="minorBidi"/>
                <w:b w:val="0"/>
                <w:bCs w:val="0"/>
                <w:color w:val="auto"/>
                <w:sz w:val="24"/>
                <w:szCs w:val="24"/>
              </w:rPr>
              <w:t xml:space="preserve">U realizaciji gotovinskih i drugih kredita često se javlja nekoliko sudionika kreditnog posla, uključujući korisnika kredita, sudužnika i jamca. </w:t>
            </w:r>
            <w:r w:rsidRPr="00E4065B">
              <w:rPr>
                <w:rFonts w:asciiTheme="minorHAnsi" w:eastAsiaTheme="minorHAnsi" w:hAnsiTheme="minorHAnsi" w:cstheme="minorBidi"/>
                <w:b w:val="0"/>
                <w:bCs w:val="0"/>
                <w:color w:val="C00000"/>
                <w:sz w:val="24"/>
                <w:szCs w:val="24"/>
              </w:rPr>
              <w:t xml:space="preserve">Korisnik kredita </w:t>
            </w:r>
            <w:r w:rsidRPr="00E4065B">
              <w:rPr>
                <w:rFonts w:asciiTheme="minorHAnsi" w:eastAsiaTheme="minorHAnsi" w:hAnsiTheme="minorHAnsi" w:cstheme="minorBidi"/>
                <w:b w:val="0"/>
                <w:bCs w:val="0"/>
                <w:color w:val="000000" w:themeColor="text1"/>
                <w:sz w:val="24"/>
                <w:szCs w:val="24"/>
              </w:rPr>
              <w:t>je o</w:t>
            </w:r>
            <w:r w:rsidRPr="00E4065B">
              <w:rPr>
                <w:rFonts w:asciiTheme="minorHAnsi" w:eastAsiaTheme="minorHAnsi" w:hAnsiTheme="minorHAnsi" w:cstheme="minorBidi"/>
                <w:b w:val="0"/>
                <w:bCs w:val="0"/>
                <w:color w:val="auto"/>
                <w:sz w:val="24"/>
                <w:szCs w:val="24"/>
              </w:rPr>
              <w:t>soba koja podnosi kreditni zahtjev</w:t>
            </w:r>
            <w:r>
              <w:rPr>
                <w:rFonts w:asciiTheme="minorHAnsi" w:eastAsiaTheme="minorHAnsi" w:hAnsiTheme="minorHAnsi" w:cstheme="minorBidi"/>
                <w:b w:val="0"/>
                <w:bCs w:val="0"/>
                <w:color w:val="auto"/>
                <w:sz w:val="24"/>
                <w:szCs w:val="24"/>
              </w:rPr>
              <w:t xml:space="preserve">, a ako njeni prihodi nisu dostatni za ocjenu kreditne sposobnosti </w:t>
            </w:r>
            <w:r w:rsidRPr="00E4065B">
              <w:rPr>
                <w:rFonts w:asciiTheme="minorHAnsi" w:eastAsiaTheme="minorHAnsi" w:hAnsiTheme="minorHAnsi" w:cstheme="minorBidi"/>
                <w:b w:val="0"/>
                <w:bCs w:val="0"/>
                <w:color w:val="auto"/>
                <w:sz w:val="24"/>
                <w:szCs w:val="24"/>
              </w:rPr>
              <w:t xml:space="preserve">moguće je sudužništvo druge osobe. </w:t>
            </w:r>
            <w:r w:rsidRPr="00E4065B">
              <w:rPr>
                <w:rFonts w:asciiTheme="minorHAnsi" w:eastAsiaTheme="minorHAnsi" w:hAnsiTheme="minorHAnsi" w:cstheme="minorBidi"/>
                <w:b w:val="0"/>
                <w:bCs w:val="0"/>
                <w:color w:val="C00000"/>
                <w:sz w:val="24"/>
                <w:szCs w:val="24"/>
              </w:rPr>
              <w:t>Sudužnik</w:t>
            </w:r>
            <w:r w:rsidRPr="00E4065B">
              <w:rPr>
                <w:rFonts w:asciiTheme="minorHAnsi" w:eastAsiaTheme="minorHAnsi" w:hAnsiTheme="minorHAnsi" w:cstheme="minorBidi"/>
                <w:b w:val="0"/>
                <w:bCs w:val="0"/>
                <w:color w:val="auto"/>
                <w:sz w:val="24"/>
                <w:szCs w:val="24"/>
              </w:rPr>
              <w:t xml:space="preserve"> </w:t>
            </w:r>
            <w:r>
              <w:rPr>
                <w:rFonts w:asciiTheme="minorHAnsi" w:eastAsiaTheme="minorHAnsi" w:hAnsiTheme="minorHAnsi" w:cstheme="minorBidi"/>
                <w:b w:val="0"/>
                <w:bCs w:val="0"/>
                <w:color w:val="auto"/>
                <w:sz w:val="24"/>
                <w:szCs w:val="24"/>
              </w:rPr>
              <w:t xml:space="preserve">je osoba koja svojim prihodima </w:t>
            </w:r>
            <w:r w:rsidRPr="00E4065B">
              <w:rPr>
                <w:rFonts w:asciiTheme="minorHAnsi" w:eastAsiaTheme="minorHAnsi" w:hAnsiTheme="minorHAnsi" w:cstheme="minorBidi"/>
                <w:b w:val="0"/>
                <w:bCs w:val="0"/>
                <w:color w:val="auto"/>
                <w:sz w:val="24"/>
                <w:szCs w:val="24"/>
              </w:rPr>
              <w:t>povećava kreditnu sposobnost korisnika kredita</w:t>
            </w:r>
            <w:r>
              <w:rPr>
                <w:rFonts w:asciiTheme="minorHAnsi" w:eastAsiaTheme="minorHAnsi" w:hAnsiTheme="minorHAnsi" w:cstheme="minorBidi"/>
                <w:b w:val="0"/>
                <w:bCs w:val="0"/>
                <w:color w:val="auto"/>
                <w:sz w:val="24"/>
                <w:szCs w:val="24"/>
              </w:rPr>
              <w:t xml:space="preserve">. U tom slučaju se </w:t>
            </w:r>
            <w:r w:rsidRPr="00E4065B">
              <w:rPr>
                <w:rFonts w:asciiTheme="minorHAnsi" w:eastAsiaTheme="minorHAnsi" w:hAnsiTheme="minorHAnsi" w:cstheme="minorBidi"/>
                <w:b w:val="0"/>
                <w:bCs w:val="0"/>
                <w:color w:val="auto"/>
                <w:sz w:val="24"/>
                <w:szCs w:val="24"/>
              </w:rPr>
              <w:t xml:space="preserve">visina </w:t>
            </w:r>
            <w:r>
              <w:rPr>
                <w:rFonts w:asciiTheme="minorHAnsi" w:eastAsiaTheme="minorHAnsi" w:hAnsiTheme="minorHAnsi" w:cstheme="minorBidi"/>
                <w:b w:val="0"/>
                <w:bCs w:val="0"/>
                <w:color w:val="auto"/>
                <w:sz w:val="24"/>
                <w:szCs w:val="24"/>
              </w:rPr>
              <w:t xml:space="preserve">mogućih </w:t>
            </w:r>
            <w:r w:rsidRPr="00E4065B">
              <w:rPr>
                <w:rFonts w:asciiTheme="minorHAnsi" w:eastAsiaTheme="minorHAnsi" w:hAnsiTheme="minorHAnsi" w:cstheme="minorBidi"/>
                <w:b w:val="0"/>
                <w:bCs w:val="0"/>
                <w:color w:val="auto"/>
                <w:sz w:val="24"/>
                <w:szCs w:val="24"/>
              </w:rPr>
              <w:t xml:space="preserve">mjesečnih anuiteta/rata otplate kredita definira uzimajući u obzir kreditnu sposobnost korisnika kredita i sudužnika, zajedno. </w:t>
            </w:r>
            <w:r w:rsidR="008E182A">
              <w:rPr>
                <w:rFonts w:asciiTheme="minorHAnsi" w:eastAsiaTheme="minorHAnsi" w:hAnsiTheme="minorHAnsi" w:cstheme="minorBidi"/>
                <w:b w:val="0"/>
                <w:bCs w:val="0"/>
                <w:color w:val="auto"/>
                <w:sz w:val="24"/>
                <w:szCs w:val="24"/>
              </w:rPr>
              <w:t xml:space="preserve">Kao sudionik kreditnog posla može se javiti i </w:t>
            </w:r>
            <w:r w:rsidRPr="008D1436">
              <w:rPr>
                <w:rFonts w:asciiTheme="minorHAnsi" w:eastAsiaTheme="minorHAnsi" w:hAnsiTheme="minorHAnsi" w:cstheme="minorBidi"/>
                <w:b w:val="0"/>
                <w:bCs w:val="0"/>
                <w:color w:val="C00000"/>
                <w:sz w:val="24"/>
                <w:szCs w:val="24"/>
              </w:rPr>
              <w:t>jamac</w:t>
            </w:r>
            <w:r w:rsidRPr="00E4065B">
              <w:rPr>
                <w:rFonts w:asciiTheme="minorHAnsi" w:eastAsiaTheme="minorHAnsi" w:hAnsiTheme="minorHAnsi" w:cstheme="minorBidi"/>
                <w:b w:val="0"/>
                <w:bCs w:val="0"/>
                <w:color w:val="auto"/>
                <w:sz w:val="24"/>
                <w:szCs w:val="24"/>
              </w:rPr>
              <w:t xml:space="preserve">, </w:t>
            </w:r>
            <w:r w:rsidR="008E182A">
              <w:rPr>
                <w:rFonts w:asciiTheme="minorHAnsi" w:eastAsiaTheme="minorHAnsi" w:hAnsiTheme="minorHAnsi" w:cstheme="minorBidi"/>
                <w:b w:val="0"/>
                <w:bCs w:val="0"/>
                <w:color w:val="auto"/>
                <w:sz w:val="24"/>
                <w:szCs w:val="24"/>
              </w:rPr>
              <w:t xml:space="preserve">ali je njegova </w:t>
            </w:r>
            <w:r w:rsidRPr="00E4065B">
              <w:rPr>
                <w:rFonts w:asciiTheme="minorHAnsi" w:eastAsiaTheme="minorHAnsi" w:hAnsiTheme="minorHAnsi" w:cstheme="minorBidi"/>
                <w:b w:val="0"/>
                <w:bCs w:val="0"/>
                <w:color w:val="auto"/>
                <w:sz w:val="24"/>
                <w:szCs w:val="24"/>
              </w:rPr>
              <w:t>uloga uvijek vezana uz instrumente osiguranja naplate kredita.</w:t>
            </w:r>
            <w:r>
              <w:rPr>
                <w:rFonts w:asciiTheme="minorHAnsi" w:eastAsiaTheme="minorHAnsi" w:hAnsiTheme="minorHAnsi" w:cstheme="minorBidi"/>
                <w:b w:val="0"/>
                <w:bCs w:val="0"/>
                <w:color w:val="auto"/>
                <w:sz w:val="24"/>
                <w:szCs w:val="24"/>
              </w:rPr>
              <w:t xml:space="preserve"> Korisnik kredita, sudužnik i jamac su osobe koje</w:t>
            </w:r>
            <w:r w:rsidRPr="00E4065B">
              <w:rPr>
                <w:rFonts w:asciiTheme="minorHAnsi" w:eastAsiaTheme="minorHAnsi" w:hAnsiTheme="minorHAnsi" w:cstheme="minorBidi"/>
                <w:b w:val="0"/>
                <w:bCs w:val="0"/>
                <w:color w:val="auto"/>
                <w:sz w:val="24"/>
                <w:szCs w:val="24"/>
              </w:rPr>
              <w:t xml:space="preserve"> solidarno jamče banci za redovitu otplatu </w:t>
            </w:r>
            <w:r>
              <w:rPr>
                <w:rFonts w:asciiTheme="minorHAnsi" w:eastAsiaTheme="minorHAnsi" w:hAnsiTheme="minorHAnsi" w:cstheme="minorBidi"/>
                <w:b w:val="0"/>
                <w:bCs w:val="0"/>
                <w:color w:val="auto"/>
                <w:sz w:val="24"/>
                <w:szCs w:val="24"/>
              </w:rPr>
              <w:t>kredita.</w:t>
            </w:r>
            <w:r w:rsidR="008E182A" w:rsidRPr="00EE21BF">
              <w:rPr>
                <w:sz w:val="24"/>
                <w:szCs w:val="24"/>
                <w:vertAlign w:val="superscript"/>
              </w:rPr>
              <w:t xml:space="preserve"> </w:t>
            </w:r>
            <w:r w:rsidR="008E182A" w:rsidRPr="008E182A">
              <w:rPr>
                <w:rFonts w:asciiTheme="minorHAnsi" w:hAnsiTheme="minorHAnsi"/>
                <w:b w:val="0"/>
                <w:color w:val="auto"/>
                <w:sz w:val="24"/>
                <w:szCs w:val="24"/>
                <w:vertAlign w:val="superscript"/>
              </w:rPr>
              <w:footnoteReference w:id="66"/>
            </w:r>
            <w:r w:rsidRPr="008E182A">
              <w:rPr>
                <w:rFonts w:asciiTheme="minorHAnsi" w:eastAsiaTheme="minorHAnsi" w:hAnsiTheme="minorHAnsi" w:cstheme="minorBidi"/>
                <w:b w:val="0"/>
                <w:bCs w:val="0"/>
                <w:color w:val="auto"/>
                <w:sz w:val="24"/>
                <w:szCs w:val="24"/>
              </w:rPr>
              <w:t xml:space="preserve"> </w:t>
            </w:r>
          </w:p>
          <w:p w:rsidR="00F36090" w:rsidRPr="00ED0E88" w:rsidRDefault="00F36090" w:rsidP="00893A24">
            <w:pPr>
              <w:spacing w:after="120"/>
              <w:jc w:val="both"/>
              <w:rPr>
                <w:rFonts w:eastAsiaTheme="minorHAnsi"/>
              </w:rPr>
            </w:pPr>
            <w:r w:rsidRPr="00ED0E88">
              <w:rPr>
                <w:rFonts w:asciiTheme="minorHAnsi" w:eastAsiaTheme="minorHAnsi" w:hAnsiTheme="minorHAnsi" w:cstheme="minorBidi"/>
                <w:color w:val="C00000"/>
                <w:sz w:val="24"/>
                <w:szCs w:val="24"/>
              </w:rPr>
              <w:t>Zadužnica</w:t>
            </w:r>
            <w:r w:rsidRPr="00ED0E88">
              <w:rPr>
                <w:rFonts w:asciiTheme="minorHAnsi" w:eastAsiaTheme="minorHAnsi" w:hAnsiTheme="minorHAnsi" w:cstheme="minorBidi"/>
                <w:sz w:val="24"/>
                <w:szCs w:val="24"/>
              </w:rPr>
              <w:t xml:space="preserve"> je isprava kojom korisnik kredita (te po potrebi sudužnik ili jamac) daje suglasnost banci da zbog naplate potraživanja može plijeniti sredstva po svim njegovim računima koje ima otvorene u bilo kojoj financijskoj instituciji. Potvrđena od strane javnog bilježnika dobiva snagu rješenja o ovrsi.</w:t>
            </w:r>
          </w:p>
        </w:tc>
      </w:tr>
    </w:tbl>
    <w:p w:rsidR="00766388" w:rsidRDefault="00790878" w:rsidP="00F36090">
      <w:pPr>
        <w:pStyle w:val="Naslov2"/>
        <w:keepNext w:val="0"/>
        <w:keepLines w:val="0"/>
        <w:spacing w:before="240" w:after="240"/>
        <w:jc w:val="both"/>
        <w:rPr>
          <w:rFonts w:asciiTheme="minorHAnsi" w:eastAsiaTheme="minorHAnsi" w:hAnsiTheme="minorHAnsi" w:cstheme="minorBidi"/>
          <w:b w:val="0"/>
          <w:color w:val="auto"/>
          <w:sz w:val="24"/>
          <w:szCs w:val="24"/>
        </w:rPr>
      </w:pPr>
      <w:r>
        <w:rPr>
          <w:rFonts w:asciiTheme="minorHAnsi" w:eastAsiaTheme="minorHAnsi" w:hAnsiTheme="minorHAnsi" w:cstheme="minorBidi"/>
          <w:b w:val="0"/>
          <w:color w:val="auto"/>
          <w:sz w:val="24"/>
          <w:szCs w:val="24"/>
        </w:rPr>
        <w:lastRenderedPageBreak/>
        <w:t xml:space="preserve">Gotovinski ili drugi krediti </w:t>
      </w:r>
      <w:r w:rsidR="00364F06">
        <w:rPr>
          <w:rFonts w:asciiTheme="minorHAnsi" w:eastAsiaTheme="minorHAnsi" w:hAnsiTheme="minorHAnsi" w:cstheme="minorBidi"/>
          <w:b w:val="0"/>
          <w:color w:val="auto"/>
          <w:sz w:val="24"/>
          <w:szCs w:val="24"/>
        </w:rPr>
        <w:t>mo</w:t>
      </w:r>
      <w:r>
        <w:rPr>
          <w:rFonts w:asciiTheme="minorHAnsi" w:eastAsiaTheme="minorHAnsi" w:hAnsiTheme="minorHAnsi" w:cstheme="minorBidi"/>
          <w:b w:val="0"/>
          <w:color w:val="auto"/>
          <w:sz w:val="24"/>
          <w:szCs w:val="24"/>
        </w:rPr>
        <w:t>gu</w:t>
      </w:r>
      <w:r w:rsidR="00364F06">
        <w:rPr>
          <w:rFonts w:asciiTheme="minorHAnsi" w:eastAsiaTheme="minorHAnsi" w:hAnsiTheme="minorHAnsi" w:cstheme="minorBidi"/>
          <w:b w:val="0"/>
          <w:color w:val="auto"/>
          <w:sz w:val="24"/>
          <w:szCs w:val="24"/>
        </w:rPr>
        <w:t xml:space="preserve"> </w:t>
      </w:r>
      <w:r>
        <w:rPr>
          <w:rFonts w:asciiTheme="minorHAnsi" w:eastAsiaTheme="minorHAnsi" w:hAnsiTheme="minorHAnsi" w:cstheme="minorBidi"/>
          <w:b w:val="0"/>
          <w:color w:val="auto"/>
          <w:sz w:val="24"/>
          <w:szCs w:val="24"/>
        </w:rPr>
        <w:t xml:space="preserve">se </w:t>
      </w:r>
      <w:r w:rsidR="00364F06">
        <w:rPr>
          <w:rFonts w:asciiTheme="minorHAnsi" w:eastAsiaTheme="minorHAnsi" w:hAnsiTheme="minorHAnsi" w:cstheme="minorBidi"/>
          <w:b w:val="0"/>
          <w:color w:val="auto"/>
          <w:sz w:val="24"/>
          <w:szCs w:val="24"/>
        </w:rPr>
        <w:t>odobr</w:t>
      </w:r>
      <w:r>
        <w:rPr>
          <w:rFonts w:asciiTheme="minorHAnsi" w:eastAsiaTheme="minorHAnsi" w:hAnsiTheme="minorHAnsi" w:cstheme="minorBidi"/>
          <w:b w:val="0"/>
          <w:color w:val="auto"/>
          <w:sz w:val="24"/>
          <w:szCs w:val="24"/>
        </w:rPr>
        <w:t>avati</w:t>
      </w:r>
      <w:r w:rsidR="00364F06">
        <w:rPr>
          <w:rFonts w:asciiTheme="minorHAnsi" w:eastAsiaTheme="minorHAnsi" w:hAnsiTheme="minorHAnsi" w:cstheme="minorBidi"/>
          <w:b w:val="0"/>
          <w:color w:val="auto"/>
          <w:sz w:val="24"/>
          <w:szCs w:val="24"/>
        </w:rPr>
        <w:t xml:space="preserve"> uz fiksnu ili promjenjivu kamatnu stopu (tr</w:t>
      </w:r>
      <w:r>
        <w:rPr>
          <w:rFonts w:asciiTheme="minorHAnsi" w:eastAsiaTheme="minorHAnsi" w:hAnsiTheme="minorHAnsi" w:cstheme="minorBidi"/>
          <w:b w:val="0"/>
          <w:color w:val="auto"/>
          <w:sz w:val="24"/>
          <w:szCs w:val="24"/>
        </w:rPr>
        <w:t>žišno uvjetovanu promjenjivu</w:t>
      </w:r>
      <w:r w:rsidR="004B1D27">
        <w:rPr>
          <w:rFonts w:asciiTheme="minorHAnsi" w:eastAsiaTheme="minorHAnsi" w:hAnsiTheme="minorHAnsi" w:cstheme="minorBidi"/>
          <w:b w:val="0"/>
          <w:color w:val="auto"/>
          <w:sz w:val="24"/>
          <w:szCs w:val="24"/>
        </w:rPr>
        <w:t xml:space="preserve"> k.s.</w:t>
      </w:r>
      <w:r w:rsidR="00364F06">
        <w:rPr>
          <w:rFonts w:asciiTheme="minorHAnsi" w:eastAsiaTheme="minorHAnsi" w:hAnsiTheme="minorHAnsi" w:cstheme="minorBidi"/>
          <w:b w:val="0"/>
          <w:color w:val="auto"/>
          <w:sz w:val="24"/>
          <w:szCs w:val="24"/>
        </w:rPr>
        <w:t xml:space="preserve">). Prije donošenja </w:t>
      </w:r>
      <w:r w:rsidR="00364F06" w:rsidRPr="00CB5F7C">
        <w:rPr>
          <w:rFonts w:asciiTheme="minorHAnsi" w:eastAsiaTheme="minorHAnsi" w:hAnsiTheme="minorHAnsi" w:cstheme="minorBidi"/>
          <w:b w:val="0"/>
          <w:i/>
          <w:color w:val="auto"/>
          <w:sz w:val="24"/>
          <w:szCs w:val="24"/>
        </w:rPr>
        <w:t>Zakona o potrošačkom kreditiranju</w:t>
      </w:r>
      <w:r w:rsidR="00364F06">
        <w:rPr>
          <w:rFonts w:asciiTheme="minorHAnsi" w:eastAsiaTheme="minorHAnsi" w:hAnsiTheme="minorHAnsi" w:cstheme="minorBidi"/>
          <w:b w:val="0"/>
          <w:color w:val="auto"/>
          <w:sz w:val="24"/>
          <w:szCs w:val="24"/>
        </w:rPr>
        <w:t xml:space="preserve"> većina kredita u Hrvatskoj bila je odobrena uz administrativno promjenjivu kamatnu stopu</w:t>
      </w:r>
      <w:r w:rsidR="00766388">
        <w:rPr>
          <w:rFonts w:asciiTheme="minorHAnsi" w:eastAsiaTheme="minorHAnsi" w:hAnsiTheme="minorHAnsi" w:cstheme="minorBidi"/>
          <w:b w:val="0"/>
          <w:color w:val="auto"/>
          <w:sz w:val="24"/>
          <w:szCs w:val="24"/>
        </w:rPr>
        <w:t xml:space="preserve"> (koja se je mijenjala sukladno odluci banke, dok je pravilnicima banke bilo definirano o kojim faktorima ovisi promjena kamatne stope</w:t>
      </w:r>
      <w:r>
        <w:rPr>
          <w:rFonts w:asciiTheme="minorHAnsi" w:eastAsiaTheme="minorHAnsi" w:hAnsiTheme="minorHAnsi" w:cstheme="minorBidi"/>
          <w:b w:val="0"/>
          <w:color w:val="auto"/>
          <w:sz w:val="24"/>
          <w:szCs w:val="24"/>
        </w:rPr>
        <w:t xml:space="preserve">, </w:t>
      </w:r>
      <w:r w:rsidR="00766388">
        <w:rPr>
          <w:rFonts w:asciiTheme="minorHAnsi" w:eastAsiaTheme="minorHAnsi" w:hAnsiTheme="minorHAnsi" w:cstheme="minorBidi"/>
          <w:b w:val="0"/>
          <w:color w:val="auto"/>
          <w:sz w:val="24"/>
          <w:szCs w:val="24"/>
        </w:rPr>
        <w:t>npr. promjeni troškova financiranja banke, promjeni obvezne rezerve ili drugog regulatornog troška koji snosi banka itd.)</w:t>
      </w:r>
      <w:r w:rsidR="00364F06">
        <w:rPr>
          <w:rFonts w:asciiTheme="minorHAnsi" w:eastAsiaTheme="minorHAnsi" w:hAnsiTheme="minorHAnsi" w:cstheme="minorBidi"/>
          <w:b w:val="0"/>
          <w:color w:val="auto"/>
          <w:sz w:val="24"/>
          <w:szCs w:val="24"/>
        </w:rPr>
        <w:t xml:space="preserve">. </w:t>
      </w:r>
    </w:p>
    <w:p w:rsidR="00693405" w:rsidRDefault="00F36090" w:rsidP="00F36090">
      <w:pPr>
        <w:pStyle w:val="Naslov2"/>
        <w:keepNext w:val="0"/>
        <w:keepLines w:val="0"/>
        <w:spacing w:before="240" w:after="240"/>
        <w:jc w:val="both"/>
        <w:rPr>
          <w:rFonts w:asciiTheme="minorHAnsi" w:eastAsiaTheme="minorHAnsi" w:hAnsiTheme="minorHAnsi" w:cstheme="minorBidi"/>
          <w:b w:val="0"/>
          <w:color w:val="auto"/>
          <w:sz w:val="24"/>
          <w:szCs w:val="24"/>
        </w:rPr>
      </w:pPr>
      <w:r>
        <w:rPr>
          <w:rFonts w:asciiTheme="minorHAnsi" w:eastAsiaTheme="minorHAnsi" w:hAnsiTheme="minorHAnsi" w:cstheme="minorBidi"/>
          <w:b w:val="0"/>
          <w:color w:val="auto"/>
          <w:sz w:val="24"/>
          <w:szCs w:val="24"/>
        </w:rPr>
        <w:t>O</w:t>
      </w:r>
      <w:r w:rsidR="00693405" w:rsidRPr="00ED0E88">
        <w:rPr>
          <w:rFonts w:asciiTheme="minorHAnsi" w:eastAsiaTheme="minorHAnsi" w:hAnsiTheme="minorHAnsi" w:cstheme="minorBidi"/>
          <w:b w:val="0"/>
          <w:color w:val="auto"/>
          <w:sz w:val="24"/>
          <w:szCs w:val="24"/>
        </w:rPr>
        <w:t xml:space="preserve">tplata gotovinskih kredita izvršava se tipično po modelu </w:t>
      </w:r>
      <w:r w:rsidR="00693405" w:rsidRPr="00ED0E88">
        <w:rPr>
          <w:rFonts w:asciiTheme="minorHAnsi" w:eastAsiaTheme="minorHAnsi" w:hAnsiTheme="minorHAnsi" w:cstheme="minorBidi"/>
          <w:b w:val="0"/>
          <w:color w:val="C00000"/>
          <w:sz w:val="24"/>
          <w:szCs w:val="24"/>
        </w:rPr>
        <w:t>standardnih mjesečnih anuiteta</w:t>
      </w:r>
      <w:r w:rsidR="00693405" w:rsidRPr="00ED0E88">
        <w:rPr>
          <w:rFonts w:asciiTheme="minorHAnsi" w:eastAsiaTheme="minorHAnsi" w:hAnsiTheme="minorHAnsi" w:cstheme="minorBidi"/>
          <w:b w:val="0"/>
          <w:color w:val="auto"/>
          <w:sz w:val="24"/>
          <w:szCs w:val="24"/>
        </w:rPr>
        <w:t xml:space="preserve">. </w:t>
      </w:r>
      <w:r w:rsidR="005F6C41" w:rsidRPr="00ED0E88">
        <w:rPr>
          <w:rFonts w:asciiTheme="minorHAnsi" w:eastAsiaTheme="minorHAnsi" w:hAnsiTheme="minorHAnsi" w:cstheme="minorBidi"/>
          <w:b w:val="0"/>
          <w:color w:val="auto"/>
          <w:sz w:val="24"/>
          <w:szCs w:val="24"/>
        </w:rPr>
        <w:t xml:space="preserve">Iznos </w:t>
      </w:r>
      <w:r w:rsidR="00693405" w:rsidRPr="00ED0E88">
        <w:rPr>
          <w:rFonts w:asciiTheme="minorHAnsi" w:eastAsiaTheme="minorHAnsi" w:hAnsiTheme="minorHAnsi" w:cstheme="minorBidi"/>
          <w:b w:val="0"/>
          <w:color w:val="auto"/>
          <w:sz w:val="24"/>
          <w:szCs w:val="24"/>
        </w:rPr>
        <w:t xml:space="preserve">anuiteta </w:t>
      </w:r>
      <w:r w:rsidR="00ED0E88">
        <w:rPr>
          <w:rFonts w:asciiTheme="minorHAnsi" w:eastAsiaTheme="minorHAnsi" w:hAnsiTheme="minorHAnsi" w:cstheme="minorBidi"/>
          <w:b w:val="0"/>
          <w:color w:val="auto"/>
          <w:sz w:val="24"/>
          <w:szCs w:val="24"/>
        </w:rPr>
        <w:t xml:space="preserve">utvrđen uz fiksnu kamatnu stopu ili pod pretpostavkom da se kamatna stopa neće mijenjati tijekom razdoblja otplate kredita </w:t>
      </w:r>
      <w:r w:rsidR="005F6C41" w:rsidRPr="00ED0E88">
        <w:rPr>
          <w:rFonts w:asciiTheme="minorHAnsi" w:eastAsiaTheme="minorHAnsi" w:hAnsiTheme="minorHAnsi" w:cstheme="minorBidi"/>
          <w:b w:val="0"/>
          <w:color w:val="auto"/>
          <w:sz w:val="24"/>
          <w:szCs w:val="24"/>
        </w:rPr>
        <w:t xml:space="preserve">je </w:t>
      </w:r>
      <w:r w:rsidR="00693405" w:rsidRPr="00ED0E88">
        <w:rPr>
          <w:rFonts w:asciiTheme="minorHAnsi" w:eastAsiaTheme="minorHAnsi" w:hAnsiTheme="minorHAnsi" w:cstheme="minorBidi"/>
          <w:b w:val="0"/>
          <w:color w:val="C00000"/>
          <w:sz w:val="24"/>
          <w:szCs w:val="24"/>
        </w:rPr>
        <w:t>nominalno jednak cijelo ugovoreno razdoblje otplate</w:t>
      </w:r>
      <w:r w:rsidR="00ED0E88">
        <w:rPr>
          <w:rFonts w:asciiTheme="minorHAnsi" w:eastAsiaTheme="minorHAnsi" w:hAnsiTheme="minorHAnsi" w:cstheme="minorBidi"/>
          <w:b w:val="0"/>
          <w:color w:val="auto"/>
          <w:sz w:val="24"/>
          <w:szCs w:val="24"/>
        </w:rPr>
        <w:t xml:space="preserve"> - ali promatrano u term</w:t>
      </w:r>
      <w:r>
        <w:rPr>
          <w:rFonts w:asciiTheme="minorHAnsi" w:eastAsiaTheme="minorHAnsi" w:hAnsiTheme="minorHAnsi" w:cstheme="minorBidi"/>
          <w:b w:val="0"/>
          <w:color w:val="auto"/>
          <w:sz w:val="24"/>
          <w:szCs w:val="24"/>
        </w:rPr>
        <w:t>inima valute u kojoj je odobren kredit (kunama u slučaju kunskog kredita bez valutne klauzule; eurima u slučaju  kredita s valutnom klauzulom u eurima itd.). Međutim</w:t>
      </w:r>
      <w:r w:rsidR="005F6C41" w:rsidRPr="00F36090">
        <w:rPr>
          <w:rFonts w:asciiTheme="minorHAnsi" w:eastAsiaTheme="minorHAnsi" w:hAnsiTheme="minorHAnsi" w:cstheme="minorBidi"/>
          <w:b w:val="0"/>
          <w:color w:val="C00000"/>
          <w:sz w:val="24"/>
          <w:szCs w:val="24"/>
        </w:rPr>
        <w:t>,</w:t>
      </w:r>
      <w:r w:rsidR="00693405" w:rsidRPr="00F36090">
        <w:rPr>
          <w:rFonts w:asciiTheme="minorHAnsi" w:eastAsiaTheme="minorHAnsi" w:hAnsiTheme="minorHAnsi" w:cstheme="minorBidi"/>
          <w:b w:val="0"/>
          <w:color w:val="C00000"/>
          <w:sz w:val="24"/>
          <w:szCs w:val="24"/>
        </w:rPr>
        <w:t xml:space="preserve"> struktura anuiteta mijenja se tijekom </w:t>
      </w:r>
      <w:r>
        <w:rPr>
          <w:rFonts w:asciiTheme="minorHAnsi" w:eastAsiaTheme="minorHAnsi" w:hAnsiTheme="minorHAnsi" w:cstheme="minorBidi"/>
          <w:b w:val="0"/>
          <w:color w:val="C00000"/>
          <w:sz w:val="24"/>
          <w:szCs w:val="24"/>
        </w:rPr>
        <w:t xml:space="preserve">razdoblja otplate. </w:t>
      </w:r>
      <w:r w:rsidR="00693405" w:rsidRPr="00ED0E88">
        <w:rPr>
          <w:rFonts w:asciiTheme="minorHAnsi" w:eastAsiaTheme="minorHAnsi" w:hAnsiTheme="minorHAnsi" w:cstheme="minorBidi"/>
          <w:b w:val="0"/>
          <w:color w:val="auto"/>
          <w:sz w:val="24"/>
          <w:szCs w:val="24"/>
        </w:rPr>
        <w:t xml:space="preserve">Tako je udio kamata u anuitetu veći u prvom dijelu razdoblja otplate kredita, dok je istodobno udio otplate glavnice manji. U drugom dijelu razdoblja otplate sve više raste udio </w:t>
      </w:r>
      <w:r w:rsidR="005F6C41" w:rsidRPr="00ED0E88">
        <w:rPr>
          <w:rFonts w:asciiTheme="minorHAnsi" w:eastAsiaTheme="minorHAnsi" w:hAnsiTheme="minorHAnsi" w:cstheme="minorBidi"/>
          <w:b w:val="0"/>
          <w:color w:val="auto"/>
          <w:sz w:val="24"/>
          <w:szCs w:val="24"/>
        </w:rPr>
        <w:t xml:space="preserve">otplate </w:t>
      </w:r>
      <w:r w:rsidR="00693405" w:rsidRPr="00ED0E88">
        <w:rPr>
          <w:rFonts w:asciiTheme="minorHAnsi" w:eastAsiaTheme="minorHAnsi" w:hAnsiTheme="minorHAnsi" w:cstheme="minorBidi"/>
          <w:b w:val="0"/>
          <w:color w:val="auto"/>
          <w:sz w:val="24"/>
          <w:szCs w:val="24"/>
        </w:rPr>
        <w:t xml:space="preserve">glavnice u anuitetu, a smanjuje se udio kamata. </w:t>
      </w:r>
      <w:r>
        <w:rPr>
          <w:rFonts w:asciiTheme="minorHAnsi" w:eastAsiaTheme="minorHAnsi" w:hAnsiTheme="minorHAnsi" w:cstheme="minorBidi"/>
          <w:b w:val="0"/>
          <w:color w:val="auto"/>
          <w:sz w:val="24"/>
          <w:szCs w:val="24"/>
        </w:rPr>
        <w:t xml:space="preserve">U svakom sljedećem anuitetu kamate su manje jer je manji iznos neotplaćenog kredita (neotplaćene glavnice duga). </w:t>
      </w:r>
      <w:r w:rsidR="00693405" w:rsidRPr="00ED0E88">
        <w:rPr>
          <w:rFonts w:asciiTheme="minorHAnsi" w:eastAsiaTheme="minorHAnsi" w:hAnsiTheme="minorHAnsi" w:cstheme="minorBidi"/>
          <w:b w:val="0"/>
          <w:color w:val="auto"/>
          <w:sz w:val="24"/>
          <w:szCs w:val="24"/>
        </w:rPr>
        <w:t xml:space="preserve">Promjene strukture anuitete  kroz razdoblje otplate vidljive su u </w:t>
      </w:r>
      <w:r w:rsidR="00693405" w:rsidRPr="00A4535F">
        <w:rPr>
          <w:rFonts w:asciiTheme="minorHAnsi" w:eastAsiaTheme="minorHAnsi" w:hAnsiTheme="minorHAnsi" w:cstheme="minorBidi"/>
          <w:b w:val="0"/>
          <w:color w:val="C00000"/>
          <w:sz w:val="24"/>
          <w:szCs w:val="24"/>
        </w:rPr>
        <w:t xml:space="preserve">planu otplate kredita </w:t>
      </w:r>
      <w:r w:rsidR="00693405" w:rsidRPr="00CB5F7C">
        <w:rPr>
          <w:rFonts w:asciiTheme="minorHAnsi" w:eastAsiaTheme="minorHAnsi" w:hAnsiTheme="minorHAnsi" w:cstheme="minorBidi"/>
          <w:b w:val="0"/>
          <w:color w:val="C00000"/>
          <w:sz w:val="24"/>
          <w:szCs w:val="24"/>
        </w:rPr>
        <w:t xml:space="preserve">koji je banka obvezna uručiti korisniku kredita prilikom zaključenja ugovora o kreditu (s jasno iskazanim EKS-om). </w:t>
      </w:r>
    </w:p>
    <w:p w:rsidR="00A4535F" w:rsidRDefault="00F36090" w:rsidP="003A4DC2">
      <w:pPr>
        <w:spacing w:line="240" w:lineRule="auto"/>
        <w:jc w:val="both"/>
        <w:rPr>
          <w:sz w:val="24"/>
          <w:szCs w:val="24"/>
        </w:rPr>
      </w:pPr>
      <w:r w:rsidRPr="00A60910">
        <w:rPr>
          <w:i/>
          <w:color w:val="C00000"/>
          <w:sz w:val="24"/>
          <w:szCs w:val="24"/>
        </w:rPr>
        <w:t>Primjer:</w:t>
      </w:r>
      <w:r w:rsidRPr="00A60910">
        <w:rPr>
          <w:color w:val="C00000"/>
          <w:sz w:val="24"/>
          <w:szCs w:val="24"/>
        </w:rPr>
        <w:t xml:space="preserve">  </w:t>
      </w:r>
      <w:r w:rsidRPr="00F36090">
        <w:rPr>
          <w:sz w:val="24"/>
          <w:szCs w:val="24"/>
        </w:rPr>
        <w:t>Otplatni plan gotovinskog kredita s valutnom klauzulom u eurima</w:t>
      </w:r>
      <w:r w:rsidR="00A60910">
        <w:rPr>
          <w:sz w:val="24"/>
          <w:szCs w:val="24"/>
        </w:rPr>
        <w:t xml:space="preserve"> uz otplatu u standardnim mjesečnim anuitetima</w:t>
      </w:r>
      <w:r w:rsidR="00CB5F7C">
        <w:rPr>
          <w:sz w:val="24"/>
          <w:szCs w:val="24"/>
        </w:rPr>
        <w:t xml:space="preserve">. </w:t>
      </w:r>
      <w:r w:rsidR="00A4535F">
        <w:rPr>
          <w:sz w:val="24"/>
          <w:szCs w:val="24"/>
        </w:rPr>
        <w:t xml:space="preserve">Iznos kredita je 10.000,00 eura. Kamatna stopa je 8,26% godišnje. Kredit se odobrava na sedam godina (84 mjeseci), a iznos prove mjesečne otplate je 157,16 kuna.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2"/>
        <w:gridCol w:w="2303"/>
        <w:gridCol w:w="1687"/>
        <w:gridCol w:w="1831"/>
        <w:gridCol w:w="2393"/>
      </w:tblGrid>
      <w:tr w:rsidR="00A4535F" w:rsidTr="003A4DC2">
        <w:trPr>
          <w:trHeight w:val="405"/>
        </w:trPr>
        <w:tc>
          <w:tcPr>
            <w:tcW w:w="8931" w:type="dxa"/>
            <w:gridSpan w:val="5"/>
            <w:tcBorders>
              <w:top w:val="nil"/>
              <w:left w:val="nil"/>
              <w:bottom w:val="nil"/>
              <w:right w:val="nil"/>
            </w:tcBorders>
            <w:shd w:val="clear" w:color="auto" w:fill="D9D9D9" w:themeFill="background1" w:themeFillShade="D9"/>
          </w:tcPr>
          <w:p w:rsidR="00A4535F" w:rsidRDefault="00A70118" w:rsidP="00CB5F7C">
            <w:pPr>
              <w:spacing w:before="120" w:after="0" w:line="240" w:lineRule="auto"/>
              <w:ind w:left="119"/>
              <w:jc w:val="center"/>
              <w:rPr>
                <w:sz w:val="24"/>
                <w:szCs w:val="24"/>
              </w:rPr>
            </w:pPr>
            <w:r w:rsidRPr="00A70118">
              <w:rPr>
                <w:rFonts w:eastAsia="Times New Roman" w:cs="Arial"/>
                <w:b/>
                <w:bCs/>
                <w:color w:val="555555"/>
                <w:lang w:eastAsia="hr-HR"/>
              </w:rPr>
              <w:t>Informativni prikaz otplatnog plana u modelu standardnih mjesečnih anuiteta</w:t>
            </w:r>
            <w:r>
              <w:rPr>
                <w:sz w:val="24"/>
                <w:szCs w:val="24"/>
              </w:rPr>
              <w:t xml:space="preserve"> </w:t>
            </w:r>
          </w:p>
        </w:tc>
      </w:tr>
      <w:tr w:rsidR="00A60910"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717"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5F6C41" w:rsidP="00693405">
            <w:pPr>
              <w:spacing w:after="0" w:line="240" w:lineRule="atLeast"/>
              <w:rPr>
                <w:rFonts w:eastAsia="Times New Roman" w:cs="Arial"/>
                <w:b/>
                <w:bCs/>
                <w:color w:val="555555"/>
                <w:lang w:eastAsia="hr-HR"/>
              </w:rPr>
            </w:pPr>
            <w:r w:rsidRPr="00F36090">
              <w:rPr>
                <w:sz w:val="20"/>
                <w:szCs w:val="20"/>
              </w:rPr>
              <w:t xml:space="preserve"> </w:t>
            </w:r>
            <w:r w:rsidR="00693405" w:rsidRPr="00AD039E">
              <w:rPr>
                <w:rFonts w:eastAsia="Times New Roman" w:cs="Arial"/>
                <w:b/>
                <w:bCs/>
                <w:color w:val="555555"/>
                <w:lang w:eastAsia="hr-HR"/>
              </w:rPr>
              <w:t>Anuitet</w:t>
            </w:r>
          </w:p>
        </w:tc>
        <w:tc>
          <w:tcPr>
            <w:tcW w:w="2303"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bCs/>
                <w:color w:val="555555"/>
                <w:lang w:eastAsia="hr-HR"/>
              </w:rPr>
            </w:pPr>
            <w:r w:rsidRPr="00AD039E">
              <w:rPr>
                <w:rFonts w:eastAsia="Times New Roman" w:cs="Arial"/>
                <w:b/>
                <w:bCs/>
                <w:color w:val="555555"/>
                <w:lang w:eastAsia="hr-HR"/>
              </w:rPr>
              <w:t>Udio otplate glavnice u anuitetu</w:t>
            </w:r>
          </w:p>
        </w:tc>
        <w:tc>
          <w:tcPr>
            <w:tcW w:w="1687"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bCs/>
                <w:color w:val="555555"/>
                <w:lang w:eastAsia="hr-HR"/>
              </w:rPr>
            </w:pPr>
            <w:r w:rsidRPr="00AD039E">
              <w:rPr>
                <w:rFonts w:eastAsia="Times New Roman" w:cs="Arial"/>
                <w:b/>
                <w:bCs/>
                <w:color w:val="555555"/>
                <w:lang w:eastAsia="hr-HR"/>
              </w:rPr>
              <w:t>Kamate</w:t>
            </w:r>
          </w:p>
        </w:tc>
        <w:tc>
          <w:tcPr>
            <w:tcW w:w="1831"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bCs/>
                <w:color w:val="555555"/>
                <w:lang w:eastAsia="hr-HR"/>
              </w:rPr>
            </w:pPr>
            <w:r w:rsidRPr="00AD039E">
              <w:rPr>
                <w:rFonts w:eastAsia="Times New Roman" w:cs="Arial"/>
                <w:b/>
                <w:bCs/>
                <w:color w:val="555555"/>
                <w:lang w:eastAsia="hr-HR"/>
              </w:rPr>
              <w:t>Iznos mjesečnog anuiteta</w:t>
            </w:r>
          </w:p>
        </w:tc>
        <w:tc>
          <w:tcPr>
            <w:tcW w:w="2393" w:type="dxa"/>
            <w:tcBorders>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bCs/>
                <w:color w:val="555555"/>
                <w:lang w:eastAsia="hr-HR"/>
              </w:rPr>
            </w:pPr>
            <w:r w:rsidRPr="00AD039E">
              <w:rPr>
                <w:rFonts w:eastAsia="Times New Roman" w:cs="Arial"/>
                <w:b/>
                <w:bCs/>
                <w:color w:val="555555"/>
                <w:lang w:eastAsia="hr-HR"/>
              </w:rPr>
              <w:t>Preostali iznos kredita (neotplaćene glavnice duga)</w:t>
            </w:r>
          </w:p>
        </w:tc>
      </w:tr>
      <w:tr w:rsidR="00693405"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8931" w:type="dxa"/>
            <w:gridSpan w:val="5"/>
            <w:tcBorders>
              <w:top w:val="dotted" w:sz="6" w:space="0" w:color="000000"/>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CB5F7C">
            <w:pPr>
              <w:spacing w:after="0" w:line="240" w:lineRule="auto"/>
              <w:rPr>
                <w:rFonts w:eastAsia="Times New Roman" w:cs="Arial"/>
                <w:b/>
                <w:bCs/>
                <w:color w:val="555555"/>
                <w:lang w:eastAsia="hr-HR"/>
              </w:rPr>
            </w:pPr>
            <w:r w:rsidRPr="00AD039E">
              <w:rPr>
                <w:rFonts w:eastAsia="Times New Roman" w:cs="Arial"/>
                <w:b/>
                <w:bCs/>
                <w:color w:val="555555"/>
                <w:lang w:eastAsia="hr-HR"/>
              </w:rPr>
              <w:t>1. godina otplate</w:t>
            </w:r>
          </w:p>
        </w:tc>
      </w:tr>
      <w:tr w:rsidR="00A60910"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71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color w:val="555555"/>
                <w:lang w:eastAsia="hr-HR"/>
              </w:rPr>
            </w:pPr>
            <w:r w:rsidRPr="00AD039E">
              <w:rPr>
                <w:rFonts w:eastAsia="Times New Roman" w:cs="Arial"/>
                <w:color w:val="555555"/>
                <w:lang w:eastAsia="hr-HR"/>
              </w:rPr>
              <w:t>1</w:t>
            </w:r>
          </w:p>
        </w:tc>
        <w:tc>
          <w:tcPr>
            <w:tcW w:w="230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88,33</w:t>
            </w:r>
          </w:p>
        </w:tc>
        <w:tc>
          <w:tcPr>
            <w:tcW w:w="168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68,83</w:t>
            </w:r>
          </w:p>
        </w:tc>
        <w:tc>
          <w:tcPr>
            <w:tcW w:w="183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color w:val="555555"/>
                <w:lang w:eastAsia="hr-HR"/>
              </w:rPr>
            </w:pPr>
            <w:r w:rsidRPr="00AD039E">
              <w:rPr>
                <w:rFonts w:eastAsia="Times New Roman" w:cs="Arial"/>
                <w:b/>
                <w:color w:val="555555"/>
                <w:lang w:eastAsia="hr-HR"/>
              </w:rPr>
              <w:t>157,16</w:t>
            </w:r>
          </w:p>
        </w:tc>
        <w:tc>
          <w:tcPr>
            <w:tcW w:w="239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9.911,67</w:t>
            </w:r>
          </w:p>
        </w:tc>
      </w:tr>
      <w:tr w:rsidR="00A60910"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71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color w:val="555555"/>
                <w:lang w:eastAsia="hr-HR"/>
              </w:rPr>
            </w:pPr>
            <w:r w:rsidRPr="00AD039E">
              <w:rPr>
                <w:rFonts w:eastAsia="Times New Roman" w:cs="Arial"/>
                <w:color w:val="555555"/>
                <w:lang w:eastAsia="hr-HR"/>
              </w:rPr>
              <w:t>2</w:t>
            </w:r>
          </w:p>
        </w:tc>
        <w:tc>
          <w:tcPr>
            <w:tcW w:w="230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88,94</w:t>
            </w:r>
          </w:p>
        </w:tc>
        <w:tc>
          <w:tcPr>
            <w:tcW w:w="168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68,23</w:t>
            </w:r>
          </w:p>
        </w:tc>
        <w:tc>
          <w:tcPr>
            <w:tcW w:w="183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color w:val="555555"/>
                <w:lang w:eastAsia="hr-HR"/>
              </w:rPr>
            </w:pPr>
            <w:r w:rsidRPr="00AD039E">
              <w:rPr>
                <w:rFonts w:eastAsia="Times New Roman" w:cs="Arial"/>
                <w:b/>
                <w:color w:val="555555"/>
                <w:lang w:eastAsia="hr-HR"/>
              </w:rPr>
              <w:t>157,16</w:t>
            </w:r>
          </w:p>
        </w:tc>
        <w:tc>
          <w:tcPr>
            <w:tcW w:w="239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9.822,74</w:t>
            </w:r>
          </w:p>
        </w:tc>
      </w:tr>
      <w:tr w:rsidR="00A60910" w:rsidRPr="00AD039E" w:rsidTr="003A4DC2">
        <w:tblPrEx>
          <w:tblCellSpacing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blCellSpacing w:w="15" w:type="dxa"/>
        </w:trPr>
        <w:tc>
          <w:tcPr>
            <w:tcW w:w="71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color w:val="555555"/>
                <w:lang w:eastAsia="hr-HR"/>
              </w:rPr>
            </w:pPr>
            <w:r w:rsidRPr="00AD039E">
              <w:rPr>
                <w:rFonts w:eastAsia="Times New Roman" w:cs="Arial"/>
                <w:color w:val="555555"/>
                <w:lang w:eastAsia="hr-HR"/>
              </w:rPr>
              <w:t>3</w:t>
            </w:r>
          </w:p>
        </w:tc>
        <w:tc>
          <w:tcPr>
            <w:tcW w:w="230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89,55</w:t>
            </w:r>
          </w:p>
        </w:tc>
        <w:tc>
          <w:tcPr>
            <w:tcW w:w="1687"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67,61</w:t>
            </w:r>
          </w:p>
        </w:tc>
        <w:tc>
          <w:tcPr>
            <w:tcW w:w="183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b/>
                <w:color w:val="555555"/>
                <w:lang w:eastAsia="hr-HR"/>
              </w:rPr>
            </w:pPr>
            <w:r w:rsidRPr="00AD039E">
              <w:rPr>
                <w:rFonts w:eastAsia="Times New Roman" w:cs="Arial"/>
                <w:b/>
                <w:color w:val="555555"/>
                <w:lang w:eastAsia="hr-HR"/>
              </w:rPr>
              <w:t>157,16</w:t>
            </w:r>
          </w:p>
        </w:tc>
        <w:tc>
          <w:tcPr>
            <w:tcW w:w="239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CB5F7C">
            <w:pPr>
              <w:spacing w:after="0" w:line="240" w:lineRule="auto"/>
              <w:jc w:val="center"/>
              <w:rPr>
                <w:rFonts w:eastAsia="Times New Roman" w:cs="Arial"/>
                <w:color w:val="555555"/>
                <w:lang w:eastAsia="hr-HR"/>
              </w:rPr>
            </w:pPr>
            <w:r w:rsidRPr="00AD039E">
              <w:rPr>
                <w:rFonts w:eastAsia="Times New Roman" w:cs="Arial"/>
                <w:color w:val="555555"/>
                <w:lang w:eastAsia="hr-HR"/>
              </w:rPr>
              <w:t>9.733,19</w:t>
            </w:r>
          </w:p>
        </w:tc>
      </w:tr>
    </w:tbl>
    <w:p w:rsidR="00693405" w:rsidRPr="00AD039E" w:rsidRDefault="00F36090" w:rsidP="00AD039E">
      <w:pPr>
        <w:spacing w:after="0"/>
      </w:pPr>
      <w:r w:rsidRPr="00AD039E">
        <w:t>….</w:t>
      </w:r>
    </w:p>
    <w:tbl>
      <w:tblPr>
        <w:tblW w:w="8931" w:type="dxa"/>
        <w:tblCellSpacing w:w="15" w:type="dxa"/>
        <w:tblInd w:w="120" w:type="dxa"/>
        <w:shd w:val="clear" w:color="auto" w:fill="FFFFFF"/>
        <w:tblCellMar>
          <w:top w:w="15" w:type="dxa"/>
          <w:left w:w="15" w:type="dxa"/>
          <w:bottom w:w="15" w:type="dxa"/>
          <w:right w:w="15" w:type="dxa"/>
        </w:tblCellMar>
        <w:tblLook w:val="04A0" w:firstRow="1" w:lastRow="0" w:firstColumn="1" w:lastColumn="0" w:noHBand="0" w:noVBand="1"/>
      </w:tblPr>
      <w:tblGrid>
        <w:gridCol w:w="709"/>
        <w:gridCol w:w="2268"/>
        <w:gridCol w:w="1701"/>
        <w:gridCol w:w="1843"/>
        <w:gridCol w:w="2410"/>
      </w:tblGrid>
      <w:tr w:rsidR="00693405" w:rsidRPr="00AD039E" w:rsidTr="003A4DC2">
        <w:trPr>
          <w:tblCellSpacing w:w="15" w:type="dxa"/>
        </w:trPr>
        <w:tc>
          <w:tcPr>
            <w:tcW w:w="8871" w:type="dxa"/>
            <w:gridSpan w:val="5"/>
            <w:tcBorders>
              <w:top w:val="dotted" w:sz="6" w:space="0" w:color="000000"/>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b/>
                <w:bCs/>
                <w:color w:val="555555"/>
                <w:lang w:eastAsia="hr-HR"/>
              </w:rPr>
            </w:pPr>
            <w:r w:rsidRPr="00AD039E">
              <w:rPr>
                <w:rFonts w:eastAsia="Times New Roman" w:cs="Arial"/>
                <w:b/>
                <w:bCs/>
                <w:color w:val="555555"/>
                <w:lang w:eastAsia="hr-HR"/>
              </w:rPr>
              <w:t>3. godina otplate</w:t>
            </w:r>
          </w:p>
        </w:tc>
      </w:tr>
      <w:tr w:rsidR="00693405" w:rsidRPr="00AD039E" w:rsidTr="003A4DC2">
        <w:trPr>
          <w:tblCellSpacing w:w="15" w:type="dxa"/>
        </w:trPr>
        <w:tc>
          <w:tcPr>
            <w:tcW w:w="664"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693405">
            <w:pPr>
              <w:spacing w:after="0" w:line="240" w:lineRule="atLeast"/>
              <w:rPr>
                <w:rFonts w:eastAsia="Times New Roman" w:cs="Arial"/>
                <w:color w:val="555555"/>
                <w:lang w:eastAsia="hr-HR"/>
              </w:rPr>
            </w:pPr>
            <w:r w:rsidRPr="00AD039E">
              <w:rPr>
                <w:rFonts w:eastAsia="Times New Roman" w:cs="Arial"/>
                <w:color w:val="555555"/>
                <w:lang w:eastAsia="hr-HR"/>
              </w:rPr>
              <w:t>25</w:t>
            </w:r>
          </w:p>
        </w:tc>
        <w:tc>
          <w:tcPr>
            <w:tcW w:w="2238"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104,13</w:t>
            </w:r>
          </w:p>
        </w:tc>
        <w:tc>
          <w:tcPr>
            <w:tcW w:w="167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53,03</w:t>
            </w:r>
          </w:p>
        </w:tc>
        <w:tc>
          <w:tcPr>
            <w:tcW w:w="181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A60910">
            <w:pPr>
              <w:spacing w:after="0" w:line="240" w:lineRule="atLeast"/>
              <w:jc w:val="center"/>
              <w:rPr>
                <w:rFonts w:eastAsia="Times New Roman" w:cs="Arial"/>
                <w:b/>
                <w:color w:val="555555"/>
                <w:lang w:eastAsia="hr-HR"/>
              </w:rPr>
            </w:pPr>
            <w:r w:rsidRPr="00AD039E">
              <w:rPr>
                <w:rFonts w:eastAsia="Times New Roman" w:cs="Arial"/>
                <w:b/>
                <w:color w:val="555555"/>
                <w:lang w:eastAsia="hr-HR"/>
              </w:rPr>
              <w:t>157,16</w:t>
            </w:r>
          </w:p>
        </w:tc>
        <w:tc>
          <w:tcPr>
            <w:tcW w:w="2365"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693405" w:rsidRPr="00AD039E" w:rsidRDefault="00693405"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7.599,42</w:t>
            </w:r>
          </w:p>
        </w:tc>
      </w:tr>
    </w:tbl>
    <w:p w:rsidR="00693405" w:rsidRPr="00AD039E" w:rsidRDefault="00AD039E" w:rsidP="00AD039E">
      <w:pPr>
        <w:spacing w:after="0"/>
      </w:pPr>
      <w:r>
        <w:t>….</w:t>
      </w:r>
    </w:p>
    <w:tbl>
      <w:tblPr>
        <w:tblW w:w="8931" w:type="dxa"/>
        <w:tblCellSpacing w:w="15" w:type="dxa"/>
        <w:tblInd w:w="120" w:type="dxa"/>
        <w:shd w:val="clear" w:color="auto" w:fill="FFFFFF"/>
        <w:tblCellMar>
          <w:top w:w="15" w:type="dxa"/>
          <w:left w:w="15" w:type="dxa"/>
          <w:bottom w:w="15" w:type="dxa"/>
          <w:right w:w="15" w:type="dxa"/>
        </w:tblCellMar>
        <w:tblLook w:val="04A0" w:firstRow="1" w:lastRow="0" w:firstColumn="1" w:lastColumn="0" w:noHBand="0" w:noVBand="1"/>
      </w:tblPr>
      <w:tblGrid>
        <w:gridCol w:w="709"/>
        <w:gridCol w:w="2268"/>
        <w:gridCol w:w="1701"/>
        <w:gridCol w:w="1843"/>
        <w:gridCol w:w="2410"/>
      </w:tblGrid>
      <w:tr w:rsidR="005F6C41" w:rsidRPr="00AD039E" w:rsidTr="003A4DC2">
        <w:trPr>
          <w:tblCellSpacing w:w="15" w:type="dxa"/>
        </w:trPr>
        <w:tc>
          <w:tcPr>
            <w:tcW w:w="8871" w:type="dxa"/>
            <w:gridSpan w:val="5"/>
            <w:tcBorders>
              <w:top w:val="dotted" w:sz="6" w:space="0" w:color="000000"/>
              <w:left w:val="dotted" w:sz="6" w:space="0" w:color="000000"/>
              <w:bottom w:val="dotted" w:sz="6" w:space="0" w:color="000000"/>
              <w:right w:val="dotted" w:sz="6" w:space="0" w:color="000000"/>
            </w:tcBorders>
            <w:shd w:val="clear" w:color="auto" w:fill="E6E6E6"/>
            <w:tcMar>
              <w:top w:w="15" w:type="dxa"/>
              <w:left w:w="75" w:type="dxa"/>
              <w:bottom w:w="15" w:type="dxa"/>
              <w:right w:w="0" w:type="dxa"/>
            </w:tcMar>
            <w:vAlign w:val="center"/>
            <w:hideMark/>
          </w:tcPr>
          <w:p w:rsidR="005F6C41" w:rsidRPr="00AD039E" w:rsidRDefault="005F6C41" w:rsidP="005F6C41">
            <w:pPr>
              <w:spacing w:after="0" w:line="240" w:lineRule="atLeast"/>
              <w:rPr>
                <w:rFonts w:eastAsia="Times New Roman" w:cs="Arial"/>
                <w:b/>
                <w:bCs/>
                <w:color w:val="555555"/>
                <w:lang w:eastAsia="hr-HR"/>
              </w:rPr>
            </w:pPr>
            <w:r w:rsidRPr="00AD039E">
              <w:rPr>
                <w:rFonts w:eastAsia="Times New Roman" w:cs="Arial"/>
                <w:b/>
                <w:bCs/>
                <w:color w:val="555555"/>
                <w:lang w:eastAsia="hr-HR"/>
              </w:rPr>
              <w:t>7. godina otplate</w:t>
            </w:r>
          </w:p>
        </w:tc>
      </w:tr>
      <w:tr w:rsidR="005F6C41" w:rsidRPr="00AD039E" w:rsidTr="003A4DC2">
        <w:trPr>
          <w:tblCellSpacing w:w="15" w:type="dxa"/>
        </w:trPr>
        <w:tc>
          <w:tcPr>
            <w:tcW w:w="664"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5F6C41">
            <w:pPr>
              <w:spacing w:after="0" w:line="240" w:lineRule="atLeast"/>
              <w:rPr>
                <w:rFonts w:eastAsia="Times New Roman" w:cs="Arial"/>
                <w:color w:val="555555"/>
                <w:lang w:eastAsia="hr-HR"/>
              </w:rPr>
            </w:pPr>
            <w:r w:rsidRPr="00AD039E">
              <w:rPr>
                <w:rFonts w:eastAsia="Times New Roman" w:cs="Arial"/>
                <w:color w:val="555555"/>
                <w:lang w:eastAsia="hr-HR"/>
              </w:rPr>
              <w:t>83</w:t>
            </w:r>
          </w:p>
        </w:tc>
        <w:tc>
          <w:tcPr>
            <w:tcW w:w="2238"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155,02</w:t>
            </w:r>
          </w:p>
        </w:tc>
        <w:tc>
          <w:tcPr>
            <w:tcW w:w="167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2,14</w:t>
            </w:r>
          </w:p>
        </w:tc>
        <w:tc>
          <w:tcPr>
            <w:tcW w:w="181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b/>
                <w:color w:val="555555"/>
                <w:lang w:eastAsia="hr-HR"/>
              </w:rPr>
            </w:pPr>
            <w:r w:rsidRPr="00AD039E">
              <w:rPr>
                <w:rFonts w:eastAsia="Times New Roman" w:cs="Arial"/>
                <w:b/>
                <w:color w:val="555555"/>
                <w:lang w:eastAsia="hr-HR"/>
              </w:rPr>
              <w:t>157,16</w:t>
            </w:r>
          </w:p>
        </w:tc>
        <w:tc>
          <w:tcPr>
            <w:tcW w:w="2365"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156,09</w:t>
            </w:r>
          </w:p>
        </w:tc>
      </w:tr>
      <w:tr w:rsidR="005F6C41" w:rsidRPr="00AD039E" w:rsidTr="003A4DC2">
        <w:trPr>
          <w:tblCellSpacing w:w="15" w:type="dxa"/>
        </w:trPr>
        <w:tc>
          <w:tcPr>
            <w:tcW w:w="664"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5F6C41">
            <w:pPr>
              <w:spacing w:after="0" w:line="240" w:lineRule="atLeast"/>
              <w:rPr>
                <w:rFonts w:eastAsia="Times New Roman" w:cs="Arial"/>
                <w:color w:val="555555"/>
                <w:lang w:eastAsia="hr-HR"/>
              </w:rPr>
            </w:pPr>
            <w:r w:rsidRPr="00AD039E">
              <w:rPr>
                <w:rFonts w:eastAsia="Times New Roman" w:cs="Arial"/>
                <w:color w:val="555555"/>
                <w:lang w:eastAsia="hr-HR"/>
              </w:rPr>
              <w:t>84</w:t>
            </w:r>
          </w:p>
        </w:tc>
        <w:tc>
          <w:tcPr>
            <w:tcW w:w="2238"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156,09</w:t>
            </w:r>
          </w:p>
        </w:tc>
        <w:tc>
          <w:tcPr>
            <w:tcW w:w="1671"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1,07</w:t>
            </w:r>
          </w:p>
        </w:tc>
        <w:tc>
          <w:tcPr>
            <w:tcW w:w="1813"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b/>
                <w:color w:val="555555"/>
                <w:lang w:eastAsia="hr-HR"/>
              </w:rPr>
            </w:pPr>
            <w:r w:rsidRPr="00AD039E">
              <w:rPr>
                <w:rFonts w:eastAsia="Times New Roman" w:cs="Arial"/>
                <w:b/>
                <w:color w:val="555555"/>
                <w:lang w:eastAsia="hr-HR"/>
              </w:rPr>
              <w:t>157,16</w:t>
            </w:r>
          </w:p>
        </w:tc>
        <w:tc>
          <w:tcPr>
            <w:tcW w:w="2365" w:type="dxa"/>
            <w:tcBorders>
              <w:top w:val="dotted" w:sz="6" w:space="0" w:color="000000"/>
              <w:left w:val="dotted" w:sz="6" w:space="0" w:color="000000"/>
              <w:bottom w:val="dotted" w:sz="6" w:space="0" w:color="000000"/>
              <w:right w:val="dotted" w:sz="6" w:space="0" w:color="000000"/>
            </w:tcBorders>
            <w:shd w:val="clear" w:color="auto" w:fill="FFFFFF"/>
            <w:tcMar>
              <w:top w:w="15" w:type="dxa"/>
              <w:left w:w="75" w:type="dxa"/>
              <w:bottom w:w="15" w:type="dxa"/>
              <w:right w:w="0" w:type="dxa"/>
            </w:tcMar>
            <w:vAlign w:val="center"/>
            <w:hideMark/>
          </w:tcPr>
          <w:p w:rsidR="005F6C41" w:rsidRPr="00AD039E" w:rsidRDefault="005F6C41" w:rsidP="00A60910">
            <w:pPr>
              <w:spacing w:after="0" w:line="240" w:lineRule="atLeast"/>
              <w:jc w:val="center"/>
              <w:rPr>
                <w:rFonts w:eastAsia="Times New Roman" w:cs="Arial"/>
                <w:color w:val="555555"/>
                <w:lang w:eastAsia="hr-HR"/>
              </w:rPr>
            </w:pPr>
            <w:r w:rsidRPr="00AD039E">
              <w:rPr>
                <w:rFonts w:eastAsia="Times New Roman" w:cs="Arial"/>
                <w:color w:val="555555"/>
                <w:lang w:eastAsia="hr-HR"/>
              </w:rPr>
              <w:t>0,00</w:t>
            </w:r>
          </w:p>
        </w:tc>
      </w:tr>
    </w:tbl>
    <w:p w:rsidR="003A4DC2" w:rsidRPr="003A4DC2" w:rsidRDefault="003A4DC2" w:rsidP="00766388">
      <w:pPr>
        <w:pStyle w:val="Naslov2"/>
        <w:spacing w:after="200"/>
        <w:jc w:val="both"/>
        <w:rPr>
          <w:rFonts w:asciiTheme="minorHAnsi" w:hAnsiTheme="minorHAnsi"/>
          <w:b w:val="0"/>
          <w:color w:val="auto"/>
          <w:sz w:val="24"/>
          <w:szCs w:val="24"/>
        </w:rPr>
      </w:pPr>
      <w:r w:rsidRPr="003A4DC2">
        <w:rPr>
          <w:rFonts w:asciiTheme="minorHAnsi" w:hAnsiTheme="minorHAnsi"/>
          <w:b w:val="0"/>
          <w:color w:val="auto"/>
          <w:sz w:val="24"/>
          <w:szCs w:val="24"/>
        </w:rPr>
        <w:lastRenderedPageBreak/>
        <w:t xml:space="preserve">Pod pretpostavkom da se tijekom razdoblja otplate kredita neće mijenjati kamatna stopa, iznos anuiteta nominalno je isti cijelo vrijeme otplate, ali iznos mjesečne otplate koja se izvršava u kunama može varirati zbog promjene deviznog tečaja. Ukupan iznos glavnice i kamata je 13.201, 44 eura. Ukoliko tijekom razdoblja otplate dođe do rasta kamatne stope u strukturi anuiteta povećat će se iznos kamata, a posljedično i iznos anuiteta u eurima (pa će posljedično biti i veći iznos mjesečnih davanja dužnika u kunskoj protuvrijednosti). </w:t>
      </w:r>
    </w:p>
    <w:p w:rsidR="00766388" w:rsidRDefault="00364F06" w:rsidP="00766388">
      <w:pPr>
        <w:pStyle w:val="Naslov2"/>
        <w:spacing w:after="200"/>
        <w:jc w:val="both"/>
        <w:rPr>
          <w:rFonts w:asciiTheme="minorHAnsi" w:eastAsiaTheme="minorHAnsi" w:hAnsiTheme="minorHAnsi" w:cstheme="minorBidi"/>
          <w:b w:val="0"/>
          <w:color w:val="auto"/>
          <w:sz w:val="24"/>
          <w:szCs w:val="24"/>
        </w:rPr>
      </w:pPr>
      <w:r w:rsidRPr="00766388">
        <w:rPr>
          <w:rFonts w:asciiTheme="minorHAnsi" w:eastAsiaTheme="minorHAnsi" w:hAnsiTheme="minorHAnsi" w:cstheme="minorBidi"/>
          <w:b w:val="0"/>
          <w:color w:val="C00000"/>
          <w:sz w:val="24"/>
          <w:szCs w:val="24"/>
        </w:rPr>
        <w:t xml:space="preserve">Potrošački krediti </w:t>
      </w:r>
      <w:r w:rsidRPr="00364F06">
        <w:rPr>
          <w:rFonts w:asciiTheme="minorHAnsi" w:eastAsiaTheme="minorHAnsi" w:hAnsiTheme="minorHAnsi" w:cstheme="minorBidi"/>
          <w:b w:val="0"/>
          <w:color w:val="auto"/>
          <w:sz w:val="24"/>
          <w:szCs w:val="24"/>
        </w:rPr>
        <w:t>je vrsta namjenskog kredita koji banka odobrava korisniku za kupovinu robe trajne potrošnje i robe veće vrijednosti</w:t>
      </w:r>
      <w:r w:rsidR="00766388">
        <w:rPr>
          <w:rFonts w:asciiTheme="minorHAnsi" w:eastAsiaTheme="minorHAnsi" w:hAnsiTheme="minorHAnsi" w:cstheme="minorBidi"/>
          <w:b w:val="0"/>
          <w:color w:val="auto"/>
          <w:sz w:val="24"/>
          <w:szCs w:val="24"/>
        </w:rPr>
        <w:t>, na primjer:</w:t>
      </w:r>
      <w:r w:rsidRPr="00364F06">
        <w:rPr>
          <w:rFonts w:asciiTheme="minorHAnsi" w:eastAsiaTheme="minorHAnsi" w:hAnsiTheme="minorHAnsi" w:cstheme="minorBidi"/>
          <w:b w:val="0"/>
          <w:color w:val="auto"/>
          <w:sz w:val="24"/>
          <w:szCs w:val="24"/>
        </w:rPr>
        <w:t xml:space="preserve"> namještaja, tehnike, odječe, plaćanje liječničkih pregleda i  slično</w:t>
      </w:r>
      <w:r w:rsidR="00766388">
        <w:rPr>
          <w:rFonts w:asciiTheme="minorHAnsi" w:eastAsiaTheme="minorHAnsi" w:hAnsiTheme="minorHAnsi" w:cstheme="minorBidi"/>
          <w:b w:val="0"/>
          <w:color w:val="auto"/>
          <w:sz w:val="24"/>
          <w:szCs w:val="24"/>
        </w:rPr>
        <w:t xml:space="preserve">, a realizira se na prodajnom mjestu </w:t>
      </w:r>
      <w:r w:rsidRPr="00364F06">
        <w:rPr>
          <w:rFonts w:asciiTheme="minorHAnsi" w:eastAsiaTheme="minorHAnsi" w:hAnsiTheme="minorHAnsi" w:cstheme="minorBidi"/>
          <w:b w:val="0"/>
          <w:color w:val="auto"/>
          <w:sz w:val="24"/>
          <w:szCs w:val="24"/>
        </w:rPr>
        <w:t xml:space="preserve"> </w:t>
      </w:r>
      <w:r w:rsidR="008E182A">
        <w:rPr>
          <w:rFonts w:asciiTheme="minorHAnsi" w:eastAsiaTheme="minorHAnsi" w:hAnsiTheme="minorHAnsi" w:cstheme="minorBidi"/>
          <w:b w:val="0"/>
          <w:color w:val="auto"/>
          <w:sz w:val="24"/>
          <w:szCs w:val="24"/>
        </w:rPr>
        <w:t>kao ugovornom partneru banke</w:t>
      </w:r>
      <w:r w:rsidRPr="00364F06">
        <w:rPr>
          <w:rFonts w:asciiTheme="minorHAnsi" w:eastAsiaTheme="minorHAnsi" w:hAnsiTheme="minorHAnsi" w:cstheme="minorBidi"/>
          <w:b w:val="0"/>
          <w:color w:val="auto"/>
          <w:sz w:val="24"/>
          <w:szCs w:val="24"/>
        </w:rPr>
        <w:t xml:space="preserve">. </w:t>
      </w:r>
      <w:r w:rsidR="00766388">
        <w:rPr>
          <w:rFonts w:asciiTheme="minorHAnsi" w:eastAsiaTheme="minorHAnsi" w:hAnsiTheme="minorHAnsi" w:cstheme="minorBidi"/>
          <w:b w:val="0"/>
          <w:color w:val="auto"/>
          <w:sz w:val="24"/>
          <w:szCs w:val="24"/>
        </w:rPr>
        <w:t xml:space="preserve">Kao i u slučaju drugih vrsta namjenskih kredita, kod potrošačkog kredita se kredit isplaćuje u korist </w:t>
      </w:r>
      <w:r w:rsidRPr="00364F06">
        <w:rPr>
          <w:rFonts w:asciiTheme="minorHAnsi" w:eastAsiaTheme="minorHAnsi" w:hAnsiTheme="minorHAnsi" w:cstheme="minorBidi"/>
          <w:b w:val="0"/>
          <w:color w:val="auto"/>
          <w:sz w:val="24"/>
          <w:szCs w:val="24"/>
        </w:rPr>
        <w:t xml:space="preserve">prodavatelja robe ili usluge. </w:t>
      </w:r>
      <w:r w:rsidR="00766388">
        <w:rPr>
          <w:rFonts w:asciiTheme="minorHAnsi" w:eastAsiaTheme="minorHAnsi" w:hAnsiTheme="minorHAnsi" w:cstheme="minorBidi"/>
          <w:b w:val="0"/>
          <w:color w:val="auto"/>
          <w:sz w:val="24"/>
          <w:szCs w:val="24"/>
        </w:rPr>
        <w:t xml:space="preserve">Tipični rokovi dospijeća su dvije, tri, pet ili sedam godina (ovisno o robi koja je predmet kupnje), a kredit se </w:t>
      </w:r>
      <w:r w:rsidRPr="00364F06">
        <w:rPr>
          <w:rFonts w:asciiTheme="minorHAnsi" w:eastAsiaTheme="minorHAnsi" w:hAnsiTheme="minorHAnsi" w:cstheme="minorBidi"/>
          <w:b w:val="0"/>
          <w:color w:val="auto"/>
          <w:sz w:val="24"/>
          <w:szCs w:val="24"/>
        </w:rPr>
        <w:t>uobičajeno odobrava uz fiksnu kamatnu stopu</w:t>
      </w:r>
      <w:r w:rsidR="00766388">
        <w:rPr>
          <w:rFonts w:asciiTheme="minorHAnsi" w:eastAsiaTheme="minorHAnsi" w:hAnsiTheme="minorHAnsi" w:cstheme="minorBidi"/>
          <w:b w:val="0"/>
          <w:color w:val="auto"/>
          <w:sz w:val="24"/>
          <w:szCs w:val="24"/>
        </w:rPr>
        <w:t xml:space="preserve"> (sa ili bez valutne klauzule). </w:t>
      </w:r>
    </w:p>
    <w:p w:rsidR="00364F06" w:rsidRPr="00364F06" w:rsidRDefault="00766388" w:rsidP="00766388">
      <w:pPr>
        <w:pStyle w:val="Naslov4"/>
        <w:spacing w:before="0" w:after="120"/>
        <w:rPr>
          <w:rFonts w:asciiTheme="minorHAnsi" w:eastAsiaTheme="minorHAnsi" w:hAnsiTheme="minorHAnsi" w:cstheme="minorBidi"/>
          <w:b w:val="0"/>
          <w:sz w:val="24"/>
          <w:szCs w:val="24"/>
          <w:lang w:eastAsia="en-US"/>
        </w:rPr>
      </w:pPr>
      <w:r>
        <w:rPr>
          <w:rFonts w:asciiTheme="minorHAnsi" w:eastAsiaTheme="minorHAnsi" w:hAnsiTheme="minorHAnsi" w:cstheme="minorBidi"/>
          <w:b w:val="0"/>
          <w:sz w:val="24"/>
          <w:szCs w:val="24"/>
          <w:lang w:eastAsia="en-US"/>
        </w:rPr>
        <w:t>Tipični i</w:t>
      </w:r>
      <w:r w:rsidR="00364F06" w:rsidRPr="00364F06">
        <w:rPr>
          <w:rFonts w:asciiTheme="minorHAnsi" w:eastAsiaTheme="minorHAnsi" w:hAnsiTheme="minorHAnsi" w:cstheme="minorBidi"/>
          <w:b w:val="0"/>
          <w:sz w:val="24"/>
          <w:szCs w:val="24"/>
          <w:lang w:eastAsia="en-US"/>
        </w:rPr>
        <w:t>nstrumenti osiguranja potrošačkog kredita su:</w:t>
      </w:r>
    </w:p>
    <w:p w:rsidR="00364F06" w:rsidRPr="00766388" w:rsidRDefault="00364F06" w:rsidP="006F1C04">
      <w:pPr>
        <w:pStyle w:val="Odlomakpopisa"/>
        <w:numPr>
          <w:ilvl w:val="0"/>
          <w:numId w:val="59"/>
        </w:numPr>
        <w:spacing w:after="0" w:line="240" w:lineRule="auto"/>
        <w:rPr>
          <w:bCs/>
          <w:sz w:val="24"/>
          <w:szCs w:val="24"/>
        </w:rPr>
      </w:pPr>
      <w:r w:rsidRPr="00766388">
        <w:rPr>
          <w:bCs/>
          <w:sz w:val="24"/>
          <w:szCs w:val="24"/>
        </w:rPr>
        <w:t xml:space="preserve">izjava o suglasnosti (o zapljeni plaće, odnosno drugih stalnih novčanih primanja), izdana od svih sudionika u kreditu i potvrđena (solemnizirana) kod javnog bilježnika </w:t>
      </w:r>
    </w:p>
    <w:p w:rsidR="00364F06" w:rsidRPr="00766388" w:rsidRDefault="00364F06" w:rsidP="006F1C04">
      <w:pPr>
        <w:pStyle w:val="Odlomakpopisa"/>
        <w:numPr>
          <w:ilvl w:val="0"/>
          <w:numId w:val="59"/>
        </w:numPr>
        <w:spacing w:after="0" w:line="240" w:lineRule="auto"/>
        <w:rPr>
          <w:bCs/>
          <w:sz w:val="24"/>
          <w:szCs w:val="24"/>
        </w:rPr>
      </w:pPr>
      <w:r w:rsidRPr="00766388">
        <w:rPr>
          <w:bCs/>
          <w:sz w:val="24"/>
          <w:szCs w:val="24"/>
        </w:rPr>
        <w:t>zadužnica izdana od svih sudionika u kreditu i potvrđena (solemnizirana) kod javnog bilježnika</w:t>
      </w:r>
    </w:p>
    <w:p w:rsidR="00364F06" w:rsidRPr="00766388" w:rsidRDefault="00364F06" w:rsidP="006F1C04">
      <w:pPr>
        <w:pStyle w:val="Odlomakpopisa"/>
        <w:numPr>
          <w:ilvl w:val="0"/>
          <w:numId w:val="59"/>
        </w:numPr>
        <w:spacing w:after="0" w:line="240" w:lineRule="auto"/>
        <w:rPr>
          <w:bCs/>
          <w:sz w:val="24"/>
          <w:szCs w:val="24"/>
        </w:rPr>
      </w:pPr>
      <w:r w:rsidRPr="00766388">
        <w:rPr>
          <w:bCs/>
          <w:sz w:val="24"/>
          <w:szCs w:val="24"/>
        </w:rPr>
        <w:t>i drugi prema uvjetima banaka i ovisno o iznosu kredita.</w:t>
      </w:r>
    </w:p>
    <w:p w:rsidR="00766388" w:rsidRPr="00364F06" w:rsidRDefault="00766388" w:rsidP="008E182A">
      <w:pPr>
        <w:spacing w:before="240"/>
        <w:jc w:val="both"/>
        <w:rPr>
          <w:bCs/>
          <w:sz w:val="24"/>
          <w:szCs w:val="24"/>
        </w:rPr>
      </w:pPr>
      <w:r>
        <w:rPr>
          <w:bCs/>
          <w:sz w:val="24"/>
          <w:szCs w:val="24"/>
        </w:rPr>
        <w:t>Također se može realizirati preko kreditne kartice ili charge kartice</w:t>
      </w:r>
      <w:r w:rsidR="008E182A">
        <w:rPr>
          <w:bCs/>
          <w:sz w:val="24"/>
          <w:szCs w:val="24"/>
        </w:rPr>
        <w:t xml:space="preserve"> te u tom slučaju uobičajeno nisu </w:t>
      </w:r>
      <w:r w:rsidRPr="008E182A">
        <w:rPr>
          <w:bCs/>
          <w:sz w:val="24"/>
          <w:szCs w:val="24"/>
        </w:rPr>
        <w:t>potrebne ovjere i potvrde kod javnog bilježnika i nije potrebna potvrda poslodavca</w:t>
      </w:r>
      <w:r w:rsidR="008E182A" w:rsidRPr="008E182A">
        <w:rPr>
          <w:bCs/>
          <w:sz w:val="24"/>
          <w:szCs w:val="24"/>
        </w:rPr>
        <w:t xml:space="preserve">  o redovitosti primanja dužnika u tekućem i očekivanom budućem razdoblju (kao kod potrošačkih kredita banaka)</w:t>
      </w:r>
      <w:r w:rsidRPr="008E182A">
        <w:rPr>
          <w:bCs/>
          <w:sz w:val="24"/>
          <w:szCs w:val="24"/>
        </w:rPr>
        <w:t xml:space="preserve">. </w:t>
      </w:r>
      <w:r w:rsidR="008E182A" w:rsidRPr="008E182A">
        <w:rPr>
          <w:bCs/>
          <w:sz w:val="24"/>
          <w:szCs w:val="24"/>
        </w:rPr>
        <w:t>U</w:t>
      </w:r>
      <w:r w:rsidRPr="008E182A">
        <w:rPr>
          <w:bCs/>
          <w:sz w:val="24"/>
          <w:szCs w:val="24"/>
        </w:rPr>
        <w:t xml:space="preserve">govara na prodajnom mjestu, a </w:t>
      </w:r>
      <w:r w:rsidR="008E182A" w:rsidRPr="008E182A">
        <w:rPr>
          <w:bCs/>
          <w:sz w:val="24"/>
          <w:szCs w:val="24"/>
        </w:rPr>
        <w:t xml:space="preserve">se </w:t>
      </w:r>
      <w:r w:rsidRPr="008E182A">
        <w:rPr>
          <w:bCs/>
          <w:sz w:val="24"/>
          <w:szCs w:val="24"/>
        </w:rPr>
        <w:t xml:space="preserve">otplaćuje u ratama </w:t>
      </w:r>
      <w:r w:rsidR="008E182A" w:rsidRPr="008E182A">
        <w:rPr>
          <w:bCs/>
          <w:sz w:val="24"/>
          <w:szCs w:val="24"/>
        </w:rPr>
        <w:t>koje se otplaćuju kao i troškovi učinjeni po kreditnim ili charge karticama. P</w:t>
      </w:r>
      <w:r w:rsidRPr="008E182A">
        <w:rPr>
          <w:bCs/>
          <w:sz w:val="24"/>
          <w:szCs w:val="24"/>
        </w:rPr>
        <w:t xml:space="preserve">otpisom ugovora o potrošačkom kreditu, korisnik kreditne kartice </w:t>
      </w:r>
      <w:r w:rsidRPr="00CA3E1F">
        <w:rPr>
          <w:bCs/>
          <w:i/>
          <w:sz w:val="24"/>
          <w:szCs w:val="24"/>
        </w:rPr>
        <w:t>„ovlašćuje banku da bez ikakve daljnje suglasnosti i obavijesti može svaku dospjelu nepodmirenu tražbinu iz ugovora naplatiti sa svih njegovih transakcijskih i drugih računa kod banke, i to u iznosu koji je potreban za namirenje tražbine“</w:t>
      </w:r>
      <w:r w:rsidR="008E182A" w:rsidRPr="00CA3E1F">
        <w:rPr>
          <w:bCs/>
          <w:i/>
          <w:sz w:val="24"/>
          <w:szCs w:val="24"/>
        </w:rPr>
        <w:t>.</w:t>
      </w:r>
      <w:r w:rsidR="008E182A" w:rsidRPr="00CA3E1F">
        <w:rPr>
          <w:i/>
          <w:sz w:val="24"/>
          <w:szCs w:val="24"/>
          <w:vertAlign w:val="superscript"/>
        </w:rPr>
        <w:t xml:space="preserve"> </w:t>
      </w:r>
      <w:r w:rsidR="008E182A" w:rsidRPr="00EE21BF">
        <w:rPr>
          <w:sz w:val="24"/>
          <w:szCs w:val="24"/>
          <w:vertAlign w:val="superscript"/>
        </w:rPr>
        <w:footnoteReference w:id="67"/>
      </w:r>
    </w:p>
    <w:p w:rsidR="009B5F9E" w:rsidRPr="009B5F9E" w:rsidRDefault="009B5F9E" w:rsidP="009B5F9E">
      <w:pPr>
        <w:jc w:val="both"/>
        <w:rPr>
          <w:b/>
          <w:sz w:val="24"/>
          <w:szCs w:val="24"/>
        </w:rPr>
      </w:pPr>
      <w:r w:rsidRPr="009B5F9E">
        <w:rPr>
          <w:b/>
          <w:sz w:val="24"/>
          <w:szCs w:val="24"/>
        </w:rPr>
        <w:t xml:space="preserve">4.4. </w:t>
      </w:r>
      <w:r w:rsidR="00C812A0">
        <w:rPr>
          <w:b/>
          <w:sz w:val="24"/>
          <w:szCs w:val="24"/>
        </w:rPr>
        <w:t>P</w:t>
      </w:r>
      <w:r w:rsidRPr="009B5F9E">
        <w:rPr>
          <w:b/>
          <w:sz w:val="24"/>
          <w:szCs w:val="24"/>
        </w:rPr>
        <w:t xml:space="preserve">rimjer kupovine osobnog vozila i </w:t>
      </w:r>
      <w:r w:rsidR="00C812A0">
        <w:rPr>
          <w:b/>
          <w:sz w:val="24"/>
          <w:szCs w:val="24"/>
        </w:rPr>
        <w:t xml:space="preserve">alternativnih izvora </w:t>
      </w:r>
      <w:r w:rsidRPr="009B5F9E">
        <w:rPr>
          <w:b/>
          <w:sz w:val="24"/>
          <w:szCs w:val="24"/>
        </w:rPr>
        <w:t xml:space="preserve">financiranja </w:t>
      </w:r>
    </w:p>
    <w:p w:rsidR="009B5F9E" w:rsidRDefault="009B5F9E" w:rsidP="009B5F9E">
      <w:pPr>
        <w:jc w:val="both"/>
        <w:rPr>
          <w:sz w:val="24"/>
          <w:szCs w:val="24"/>
        </w:rPr>
      </w:pPr>
      <w:r w:rsidRPr="009B5F9E">
        <w:rPr>
          <w:sz w:val="24"/>
          <w:szCs w:val="24"/>
        </w:rPr>
        <w:t xml:space="preserve">Kupovina automobila vrlo je važna odluka kućanstva. No pri tome treba biti vrlo oprezan. Osoba može lako podlegnuti emocijama i željama koje dovode do financijskih konstrukcija koje možda nisu racionalno planirane. Stoga je vrlo važno provo procijeniti </w:t>
      </w:r>
      <w:r w:rsidRPr="009B5F9E">
        <w:rPr>
          <w:color w:val="C00000"/>
          <w:sz w:val="24"/>
          <w:szCs w:val="24"/>
        </w:rPr>
        <w:t xml:space="preserve">koliki iznos novca osoba može odvojiti za kupnju automobila te kako će </w:t>
      </w:r>
      <w:r>
        <w:rPr>
          <w:color w:val="C00000"/>
          <w:sz w:val="24"/>
          <w:szCs w:val="24"/>
        </w:rPr>
        <w:t xml:space="preserve">najpovoljnije </w:t>
      </w:r>
      <w:r w:rsidRPr="009B5F9E">
        <w:rPr>
          <w:color w:val="C00000"/>
          <w:sz w:val="24"/>
          <w:szCs w:val="24"/>
        </w:rPr>
        <w:t>tu kupovinu financirati</w:t>
      </w:r>
      <w:r w:rsidRPr="009B5F9E">
        <w:rPr>
          <w:sz w:val="24"/>
          <w:szCs w:val="24"/>
        </w:rPr>
        <w:t xml:space="preserve">. Kupovina novog automobila može se financirati iz različitih izvora, a svaki od njih ima svoje prednosti i </w:t>
      </w:r>
      <w:r>
        <w:rPr>
          <w:sz w:val="24"/>
          <w:szCs w:val="24"/>
        </w:rPr>
        <w:t>nedostatke</w:t>
      </w:r>
      <w:r w:rsidRPr="009B5F9E">
        <w:rPr>
          <w:sz w:val="24"/>
          <w:szCs w:val="24"/>
        </w:rPr>
        <w:t xml:space="preserve">. To može biti npr. osobna štednja </w:t>
      </w:r>
      <w:r>
        <w:rPr>
          <w:sz w:val="24"/>
          <w:szCs w:val="24"/>
        </w:rPr>
        <w:t xml:space="preserve">formirana </w:t>
      </w:r>
      <w:r w:rsidRPr="009B5F9E">
        <w:rPr>
          <w:sz w:val="24"/>
          <w:szCs w:val="24"/>
        </w:rPr>
        <w:t>kroz duže vremensko razdoblje</w:t>
      </w:r>
      <w:r>
        <w:rPr>
          <w:sz w:val="24"/>
          <w:szCs w:val="24"/>
        </w:rPr>
        <w:t xml:space="preserve"> (na primjer pet godina)</w:t>
      </w:r>
      <w:r w:rsidRPr="009B5F9E">
        <w:rPr>
          <w:sz w:val="24"/>
          <w:szCs w:val="24"/>
        </w:rPr>
        <w:t>, kredit banke</w:t>
      </w:r>
      <w:r w:rsidR="00CF3D09">
        <w:rPr>
          <w:sz w:val="24"/>
          <w:szCs w:val="24"/>
        </w:rPr>
        <w:t>,</w:t>
      </w:r>
      <w:r w:rsidRPr="009B5F9E">
        <w:rPr>
          <w:sz w:val="24"/>
          <w:szCs w:val="24"/>
        </w:rPr>
        <w:t xml:space="preserve"> financijski leasing</w:t>
      </w:r>
      <w:r w:rsidR="00CF3D09">
        <w:rPr>
          <w:sz w:val="24"/>
          <w:szCs w:val="24"/>
        </w:rPr>
        <w:t xml:space="preserve"> ili operativni leasing</w:t>
      </w:r>
      <w:r w:rsidRPr="009B5F9E">
        <w:rPr>
          <w:sz w:val="24"/>
          <w:szCs w:val="24"/>
        </w:rPr>
        <w:t xml:space="preserve">. </w:t>
      </w:r>
    </w:p>
    <w:p w:rsidR="009B5F9E" w:rsidRPr="009B5F9E" w:rsidRDefault="009B5F9E" w:rsidP="009B5F9E">
      <w:pPr>
        <w:jc w:val="both"/>
        <w:rPr>
          <w:sz w:val="24"/>
          <w:szCs w:val="24"/>
        </w:rPr>
      </w:pPr>
      <w:r w:rsidRPr="009B5F9E">
        <w:rPr>
          <w:sz w:val="24"/>
          <w:szCs w:val="24"/>
        </w:rPr>
        <w:lastRenderedPageBreak/>
        <w:t xml:space="preserve">U ponudi vozila su dostupni automobili različitih proizvođača, no </w:t>
      </w:r>
      <w:r>
        <w:rPr>
          <w:sz w:val="24"/>
          <w:szCs w:val="24"/>
        </w:rPr>
        <w:t xml:space="preserve">pojedine </w:t>
      </w:r>
      <w:r w:rsidRPr="009B5F9E">
        <w:rPr>
          <w:sz w:val="24"/>
          <w:szCs w:val="24"/>
        </w:rPr>
        <w:t xml:space="preserve">osobe robuju navikama i </w:t>
      </w:r>
      <w:r>
        <w:rPr>
          <w:sz w:val="24"/>
          <w:szCs w:val="24"/>
        </w:rPr>
        <w:t xml:space="preserve">preferiraju </w:t>
      </w:r>
      <w:r w:rsidRPr="009B5F9E">
        <w:rPr>
          <w:sz w:val="24"/>
          <w:szCs w:val="24"/>
        </w:rPr>
        <w:t xml:space="preserve">kupuju vozila istog proizvođača </w:t>
      </w:r>
      <w:r>
        <w:rPr>
          <w:sz w:val="24"/>
          <w:szCs w:val="24"/>
        </w:rPr>
        <w:t xml:space="preserve">- </w:t>
      </w:r>
      <w:r w:rsidRPr="009B5F9E">
        <w:rPr>
          <w:sz w:val="24"/>
          <w:szCs w:val="24"/>
        </w:rPr>
        <w:t>što nije uvijek racionalna odluka. Također u ponudi istog proizvođača su dostupne različite marke vozila koje su namijene kupcima različitih potreba, želja i ukusa</w:t>
      </w:r>
      <w:r>
        <w:rPr>
          <w:sz w:val="24"/>
          <w:szCs w:val="24"/>
        </w:rPr>
        <w:t>.</w:t>
      </w:r>
      <w:r w:rsidRPr="009B5F9E">
        <w:rPr>
          <w:sz w:val="24"/>
          <w:szCs w:val="24"/>
        </w:rPr>
        <w:t xml:space="preserve"> </w:t>
      </w:r>
      <w:r w:rsidR="004E2BE7">
        <w:rPr>
          <w:sz w:val="24"/>
          <w:szCs w:val="24"/>
        </w:rPr>
        <w:t>I</w:t>
      </w:r>
      <w:r w:rsidRPr="009B5F9E">
        <w:rPr>
          <w:sz w:val="24"/>
          <w:szCs w:val="24"/>
        </w:rPr>
        <w:t>ste marke vozila određenog poznatog svjetskog proizvođača ili različite marke vozila istog proizvođača mogu biti proizvedena u različitim zemljama što može djelovati na kvalitetu lima</w:t>
      </w:r>
      <w:r w:rsidR="004E2BE7">
        <w:rPr>
          <w:sz w:val="24"/>
          <w:szCs w:val="24"/>
        </w:rPr>
        <w:t xml:space="preserve"> i opreme</w:t>
      </w:r>
      <w:r w:rsidRPr="009B5F9E">
        <w:rPr>
          <w:sz w:val="24"/>
          <w:szCs w:val="24"/>
        </w:rPr>
        <w:t>, težinu vozila i različita druga obilježja po kojima se vozila razlikuju ovisno o tržištu kojem su namijenjena</w:t>
      </w:r>
      <w:r w:rsidR="004E2BE7">
        <w:rPr>
          <w:sz w:val="24"/>
          <w:szCs w:val="24"/>
        </w:rPr>
        <w:t xml:space="preserve"> -</w:t>
      </w:r>
      <w:r w:rsidRPr="009B5F9E">
        <w:rPr>
          <w:sz w:val="24"/>
          <w:szCs w:val="24"/>
        </w:rPr>
        <w:t xml:space="preserve"> tako da </w:t>
      </w:r>
      <w:r w:rsidRPr="00DD6FE8">
        <w:rPr>
          <w:color w:val="C00000"/>
          <w:sz w:val="24"/>
          <w:szCs w:val="24"/>
        </w:rPr>
        <w:t xml:space="preserve">naziv proizvođača nije uvijek </w:t>
      </w:r>
      <w:r w:rsidR="004E2BE7" w:rsidRPr="00DD6FE8">
        <w:rPr>
          <w:color w:val="C00000"/>
          <w:sz w:val="24"/>
          <w:szCs w:val="24"/>
        </w:rPr>
        <w:t xml:space="preserve">potpuna </w:t>
      </w:r>
      <w:r w:rsidRPr="00DD6FE8">
        <w:rPr>
          <w:color w:val="C00000"/>
          <w:sz w:val="24"/>
          <w:szCs w:val="24"/>
        </w:rPr>
        <w:t xml:space="preserve">garancija </w:t>
      </w:r>
      <w:r w:rsidR="00DD6FE8">
        <w:rPr>
          <w:color w:val="C00000"/>
          <w:sz w:val="24"/>
          <w:szCs w:val="24"/>
        </w:rPr>
        <w:t xml:space="preserve">tražene </w:t>
      </w:r>
      <w:r w:rsidRPr="00DD6FE8">
        <w:rPr>
          <w:color w:val="C00000"/>
          <w:sz w:val="24"/>
          <w:szCs w:val="24"/>
        </w:rPr>
        <w:t>kvalitete</w:t>
      </w:r>
      <w:r w:rsidRPr="009B5F9E">
        <w:rPr>
          <w:sz w:val="24"/>
          <w:szCs w:val="24"/>
        </w:rPr>
        <w:t xml:space="preserve">. Automobili se između ostalo razlikuju i s obzirom na vrstu goriva koje koriste te po prosječnoj </w:t>
      </w:r>
      <w:r w:rsidR="004E2BE7">
        <w:rPr>
          <w:sz w:val="24"/>
          <w:szCs w:val="24"/>
        </w:rPr>
        <w:t xml:space="preserve">(mješovitoj) </w:t>
      </w:r>
      <w:r w:rsidRPr="009B5F9E">
        <w:rPr>
          <w:sz w:val="24"/>
          <w:szCs w:val="24"/>
        </w:rPr>
        <w:t>potrošnji  goriva na 100 km, na istu</w:t>
      </w:r>
      <w:r w:rsidR="004E2BE7">
        <w:rPr>
          <w:sz w:val="24"/>
          <w:szCs w:val="24"/>
        </w:rPr>
        <w:t xml:space="preserve"> ili </w:t>
      </w:r>
      <w:r w:rsidRPr="009B5F9E">
        <w:rPr>
          <w:sz w:val="24"/>
          <w:szCs w:val="24"/>
        </w:rPr>
        <w:t>različitu snagu motora. Snaga motora je važna, ali ni s time ne treba pretjerivati</w:t>
      </w:r>
      <w:r w:rsidR="004E2BE7">
        <w:rPr>
          <w:sz w:val="24"/>
          <w:szCs w:val="24"/>
        </w:rPr>
        <w:t xml:space="preserve"> niti kroz nižu niti kroz veću snagu</w:t>
      </w:r>
      <w:r w:rsidRPr="009B5F9E">
        <w:rPr>
          <w:sz w:val="24"/>
          <w:szCs w:val="24"/>
        </w:rPr>
        <w:t xml:space="preserve">. Vozila s dizelskim motorom su u novijoj povijesti skuplja od vozila s benzinskim motorom. S druge strane i kasniji troškovi korištenja automobila se razlikuju, npr. </w:t>
      </w:r>
      <w:r w:rsidR="008F121F">
        <w:rPr>
          <w:sz w:val="24"/>
          <w:szCs w:val="24"/>
        </w:rPr>
        <w:t xml:space="preserve">sredinom 2015. </w:t>
      </w:r>
      <w:r w:rsidRPr="009B5F9E">
        <w:rPr>
          <w:sz w:val="24"/>
          <w:szCs w:val="24"/>
        </w:rPr>
        <w:t xml:space="preserve">cijena  goriva Eurosuper 95 je 8,99 kuna,  Eurosuper 100 je 9,58 kuna, a cijena  Eurodizel-a 8,33 kune, dok je cijena Eurodizel Plus 8,43 kune. Autoplin je jeftiniji </w:t>
      </w:r>
      <w:r w:rsidR="008F121F">
        <w:rPr>
          <w:sz w:val="24"/>
          <w:szCs w:val="24"/>
        </w:rPr>
        <w:t>te</w:t>
      </w:r>
      <w:r w:rsidRPr="009B5F9E">
        <w:rPr>
          <w:sz w:val="24"/>
          <w:szCs w:val="24"/>
        </w:rPr>
        <w:t xml:space="preserve"> kod istog ponuđača </w:t>
      </w:r>
      <w:r w:rsidR="008F121F">
        <w:rPr>
          <w:sz w:val="24"/>
          <w:szCs w:val="24"/>
        </w:rPr>
        <w:t>(</w:t>
      </w:r>
      <w:r w:rsidRPr="009B5F9E">
        <w:rPr>
          <w:sz w:val="24"/>
          <w:szCs w:val="24"/>
        </w:rPr>
        <w:t xml:space="preserve">kao prethodne cijene) iznosi 3,73 kune, što uz npr. prijeđenih 15 000 km godišnje u gradskoj vožnji </w:t>
      </w:r>
      <w:r w:rsidR="004E2BE7">
        <w:rPr>
          <w:sz w:val="24"/>
          <w:szCs w:val="24"/>
        </w:rPr>
        <w:t xml:space="preserve">i uz tekuće cijene </w:t>
      </w:r>
      <w:r w:rsidRPr="009B5F9E">
        <w:rPr>
          <w:sz w:val="24"/>
          <w:szCs w:val="24"/>
        </w:rPr>
        <w:t xml:space="preserve">može donijeti uštede i do </w:t>
      </w:r>
      <w:r w:rsidR="008F121F">
        <w:rPr>
          <w:sz w:val="24"/>
          <w:szCs w:val="24"/>
        </w:rPr>
        <w:t xml:space="preserve">npr. </w:t>
      </w:r>
      <w:r w:rsidRPr="009B5F9E">
        <w:rPr>
          <w:sz w:val="24"/>
          <w:szCs w:val="24"/>
        </w:rPr>
        <w:t>8.000 kuna za troškove goriva</w:t>
      </w:r>
      <w:r w:rsidR="008F121F">
        <w:rPr>
          <w:sz w:val="24"/>
          <w:szCs w:val="24"/>
        </w:rPr>
        <w:t xml:space="preserve"> (barem tako ističe poduzeće koje ugrađuje plinske instalacije za osobna vozila)</w:t>
      </w:r>
      <w:r w:rsidRPr="009B5F9E">
        <w:rPr>
          <w:sz w:val="24"/>
          <w:szCs w:val="24"/>
        </w:rPr>
        <w:t xml:space="preserve">. No, kako bi se ta mogućnost koristila potrebni su jednokratni dodatni troškovi ugradnje plinske instalacije koji iznose </w:t>
      </w:r>
      <w:r w:rsidR="008F121F">
        <w:rPr>
          <w:sz w:val="24"/>
          <w:szCs w:val="24"/>
        </w:rPr>
        <w:t xml:space="preserve">npr. </w:t>
      </w:r>
      <w:r w:rsidRPr="009B5F9E">
        <w:rPr>
          <w:sz w:val="24"/>
          <w:szCs w:val="24"/>
        </w:rPr>
        <w:t>oko 5.000,00 kuna iako postoje razlike od jednog do drugog ovlaštenog ponuđača.</w:t>
      </w:r>
    </w:p>
    <w:p w:rsidR="009B5F9E" w:rsidRPr="009B5F9E" w:rsidRDefault="009B5F9E" w:rsidP="009B5F9E">
      <w:pPr>
        <w:jc w:val="both"/>
        <w:rPr>
          <w:sz w:val="24"/>
          <w:szCs w:val="24"/>
        </w:rPr>
      </w:pPr>
      <w:r w:rsidRPr="009B5F9E">
        <w:rPr>
          <w:sz w:val="24"/>
          <w:szCs w:val="24"/>
        </w:rPr>
        <w:t>Pojedinac ima izbor kupiti novi automobil ili kupiti rabljeni automobil, a cijena rabljenog automobila koji je prešao tek nekoliko kilometara mo</w:t>
      </w:r>
      <w:r w:rsidR="004E2BE7">
        <w:rPr>
          <w:sz w:val="24"/>
          <w:szCs w:val="24"/>
        </w:rPr>
        <w:t>že biti znatno niža nego u slučaju novog automobila i</w:t>
      </w:r>
      <w:r w:rsidRPr="009B5F9E">
        <w:rPr>
          <w:sz w:val="24"/>
          <w:szCs w:val="24"/>
        </w:rPr>
        <w:t xml:space="preserve">ste marke i opreme. Naime, </w:t>
      </w:r>
      <w:r w:rsidRPr="004E2BE7">
        <w:rPr>
          <w:color w:val="C00000"/>
          <w:sz w:val="24"/>
          <w:szCs w:val="24"/>
        </w:rPr>
        <w:t xml:space="preserve">izlaskom iz auto-salona automobil značajno gubi na </w:t>
      </w:r>
      <w:r w:rsidR="004E2BE7" w:rsidRPr="004E2BE7">
        <w:rPr>
          <w:color w:val="C00000"/>
          <w:sz w:val="24"/>
          <w:szCs w:val="24"/>
        </w:rPr>
        <w:t>vrijednosti</w:t>
      </w:r>
      <w:r w:rsidR="004E2BE7">
        <w:rPr>
          <w:sz w:val="24"/>
          <w:szCs w:val="24"/>
        </w:rPr>
        <w:t xml:space="preserve"> </w:t>
      </w:r>
      <w:r w:rsidRPr="009B5F9E">
        <w:rPr>
          <w:sz w:val="24"/>
          <w:szCs w:val="24"/>
        </w:rPr>
        <w:t>(</w:t>
      </w:r>
      <w:r w:rsidR="004E2BE7">
        <w:rPr>
          <w:sz w:val="24"/>
          <w:szCs w:val="24"/>
        </w:rPr>
        <w:t>št</w:t>
      </w:r>
      <w:r w:rsidRPr="009B5F9E">
        <w:rPr>
          <w:sz w:val="24"/>
          <w:szCs w:val="24"/>
        </w:rPr>
        <w:t xml:space="preserve">o je između ostalog jedan od razloga zbog kojih je vrlo upitno da li se novi automobil isplati kupovati na kredit). Na primjer novi automobil marke X-1.5 DCI 75 ima prodajnu cijenu u autosalonu 105.400,00 kn (s uključenim PDV-om). Isto takvo vozilo s istom opremom dostupno je kao rabljeno vozilo staro godinu dana po cijeni 92.900,00 kn uz prijeđenih 5.000 kilometara. Razlika cijene novog i rabljenog vozila je 13.400,00 kuna, </w:t>
      </w:r>
      <w:r w:rsidR="004E2BE7">
        <w:rPr>
          <w:sz w:val="24"/>
          <w:szCs w:val="24"/>
        </w:rPr>
        <w:t>dok se</w:t>
      </w:r>
      <w:r w:rsidRPr="009B5F9E">
        <w:rPr>
          <w:sz w:val="24"/>
          <w:szCs w:val="24"/>
        </w:rPr>
        <w:t xml:space="preserve"> uz kupovinu novog vozila vežu dodatni troškovi.</w:t>
      </w:r>
    </w:p>
    <w:p w:rsidR="009B5F9E" w:rsidRPr="009B5F9E" w:rsidRDefault="009B5F9E" w:rsidP="009B5F9E">
      <w:pPr>
        <w:jc w:val="both"/>
        <w:rPr>
          <w:sz w:val="24"/>
          <w:szCs w:val="24"/>
        </w:rPr>
      </w:pPr>
      <w:r w:rsidRPr="009B5F9E">
        <w:rPr>
          <w:sz w:val="24"/>
          <w:szCs w:val="24"/>
        </w:rPr>
        <w:t xml:space="preserve">S druge strane </w:t>
      </w:r>
      <w:r w:rsidRPr="004E2BE7">
        <w:rPr>
          <w:color w:val="C00000"/>
          <w:sz w:val="24"/>
          <w:szCs w:val="24"/>
        </w:rPr>
        <w:t>uz rabljena vozila se vežu različiti rizici</w:t>
      </w:r>
      <w:r w:rsidRPr="009B5F9E">
        <w:rPr>
          <w:sz w:val="24"/>
          <w:szCs w:val="24"/>
        </w:rPr>
        <w:t xml:space="preserve">, stoga je važna provjera tehničke ispravnosti vozila, odnosno njegovog općeg stanja o kojem govori i ažurna servisna knjižica. Prodavač rabljenog automobila trebao bi jamčiti </w:t>
      </w:r>
      <w:r w:rsidR="004E2BE7">
        <w:rPr>
          <w:sz w:val="24"/>
          <w:szCs w:val="24"/>
        </w:rPr>
        <w:t xml:space="preserve">prijeđenu </w:t>
      </w:r>
      <w:r w:rsidRPr="009B5F9E">
        <w:rPr>
          <w:sz w:val="24"/>
          <w:szCs w:val="24"/>
        </w:rPr>
        <w:t>kilometražu, odnosno u slučaju kupovine rabljenog vozila vrlo je važno da je vozilo pod jamstvom, kao i da prodavač rabljenog automobila novom vlasniku dade rezervni ključ i sve potrebne kodove vezane uz automobil i njegove ugradbene elemente (radio, alarm itd.). Međutim, i novo vozilo može imati određene nedostatke pa i u tom slučaju je važno npr. produljeno jamstvo, a isto tako je važno kasnije re</w:t>
      </w:r>
      <w:r w:rsidR="004E2BE7">
        <w:rPr>
          <w:sz w:val="24"/>
          <w:szCs w:val="24"/>
        </w:rPr>
        <w:t xml:space="preserve">dovito obavljati servis vozila. </w:t>
      </w:r>
      <w:r w:rsidRPr="009B5F9E">
        <w:rPr>
          <w:sz w:val="24"/>
          <w:szCs w:val="24"/>
        </w:rPr>
        <w:t>Dodatno uz novo vozilo se uvijek vežu određeni drugi troškovi od registracije i osiguranja, do prvog tehničkog servisa i niz d</w:t>
      </w:r>
      <w:r w:rsidR="004E2BE7">
        <w:rPr>
          <w:sz w:val="24"/>
          <w:szCs w:val="24"/>
        </w:rPr>
        <w:t xml:space="preserve">rugih, zbog čega konačna cijena, odnosno trošak </w:t>
      </w:r>
      <w:r w:rsidRPr="009B5F9E">
        <w:rPr>
          <w:sz w:val="24"/>
          <w:szCs w:val="24"/>
        </w:rPr>
        <w:t xml:space="preserve">može biti i nekoliko tisuća kuna veća od same cijene kupnje novog automobila.  </w:t>
      </w:r>
    </w:p>
    <w:p w:rsidR="009B5F9E" w:rsidRPr="004E2BE7" w:rsidRDefault="009B5F9E" w:rsidP="009B5F9E">
      <w:pPr>
        <w:jc w:val="both"/>
        <w:rPr>
          <w:color w:val="C00000"/>
          <w:sz w:val="24"/>
          <w:szCs w:val="24"/>
        </w:rPr>
      </w:pPr>
      <w:r w:rsidRPr="009B5F9E">
        <w:rPr>
          <w:sz w:val="24"/>
          <w:szCs w:val="24"/>
        </w:rPr>
        <w:lastRenderedPageBreak/>
        <w:t xml:space="preserve">U slučaju odluke za kupnju novog (nekorištenog) automobila, potrebno je istražiti da li su kod pojedinih </w:t>
      </w:r>
      <w:r w:rsidR="004E2BE7">
        <w:rPr>
          <w:sz w:val="24"/>
          <w:szCs w:val="24"/>
        </w:rPr>
        <w:t xml:space="preserve">ponuđača </w:t>
      </w:r>
      <w:r w:rsidRPr="009B5F9E">
        <w:rPr>
          <w:sz w:val="24"/>
          <w:szCs w:val="24"/>
        </w:rPr>
        <w:t xml:space="preserve">eventualno u toku akcijske prodaje te da li će one biti uskoro. Međutim, i </w:t>
      </w:r>
      <w:r w:rsidR="004E2BE7">
        <w:rPr>
          <w:sz w:val="24"/>
          <w:szCs w:val="24"/>
        </w:rPr>
        <w:t>k</w:t>
      </w:r>
      <w:r w:rsidRPr="009B5F9E">
        <w:rPr>
          <w:sz w:val="24"/>
          <w:szCs w:val="24"/>
        </w:rPr>
        <w:t xml:space="preserve">od akcijskih prodaja </w:t>
      </w:r>
      <w:r w:rsidR="004E2BE7">
        <w:rPr>
          <w:sz w:val="24"/>
          <w:szCs w:val="24"/>
        </w:rPr>
        <w:t xml:space="preserve">ne treba očekivati velike </w:t>
      </w:r>
      <w:r w:rsidRPr="009B5F9E">
        <w:rPr>
          <w:sz w:val="24"/>
          <w:szCs w:val="24"/>
        </w:rPr>
        <w:t>popust</w:t>
      </w:r>
      <w:r w:rsidR="004E2BE7">
        <w:rPr>
          <w:sz w:val="24"/>
          <w:szCs w:val="24"/>
        </w:rPr>
        <w:t>e</w:t>
      </w:r>
      <w:r w:rsidRPr="009B5F9E">
        <w:rPr>
          <w:sz w:val="24"/>
          <w:szCs w:val="24"/>
        </w:rPr>
        <w:t xml:space="preserve"> </w:t>
      </w:r>
      <w:r w:rsidR="004E2BE7">
        <w:rPr>
          <w:sz w:val="24"/>
          <w:szCs w:val="24"/>
        </w:rPr>
        <w:t xml:space="preserve">no ipak se nešto </w:t>
      </w:r>
      <w:r w:rsidRPr="009B5F9E">
        <w:rPr>
          <w:sz w:val="24"/>
          <w:szCs w:val="24"/>
        </w:rPr>
        <w:t xml:space="preserve">može uštedjeti. </w:t>
      </w:r>
      <w:r w:rsidR="004E2BE7">
        <w:rPr>
          <w:sz w:val="24"/>
          <w:szCs w:val="24"/>
        </w:rPr>
        <w:t>S druge strane</w:t>
      </w:r>
      <w:r w:rsidRPr="009B5F9E">
        <w:rPr>
          <w:sz w:val="24"/>
          <w:szCs w:val="24"/>
        </w:rPr>
        <w:t xml:space="preserve">, čekanje razdoblja akcija može trajati </w:t>
      </w:r>
      <w:r w:rsidR="004E2BE7">
        <w:rPr>
          <w:sz w:val="24"/>
          <w:szCs w:val="24"/>
        </w:rPr>
        <w:t>pre</w:t>
      </w:r>
      <w:r w:rsidRPr="009B5F9E">
        <w:rPr>
          <w:sz w:val="24"/>
          <w:szCs w:val="24"/>
        </w:rPr>
        <w:t xml:space="preserve">dugo te nije isključeno da u međuvremenu proizvođači povećaju cijenu vozila, npr. nakon što svjetsko gospodarstvo uhvati veće stope rasta i cijene vozila rastu, dok je u razdoblju kontrakcije situacija drugačija – tada cijene vozila imaju tendenciju pada jer je smanjena potražnja.  </w:t>
      </w:r>
      <w:r w:rsidRPr="004E2BE7">
        <w:rPr>
          <w:color w:val="C00000"/>
          <w:sz w:val="24"/>
          <w:szCs w:val="24"/>
        </w:rPr>
        <w:t xml:space="preserve">Kupovinu stoga treba planirati i izvršiti u najpovoljnijem trenutku. </w:t>
      </w:r>
    </w:p>
    <w:p w:rsidR="009B5F9E" w:rsidRPr="009B5F9E" w:rsidRDefault="009B5F9E" w:rsidP="009B5F9E">
      <w:pPr>
        <w:shd w:val="clear" w:color="auto" w:fill="FFFFFF"/>
        <w:jc w:val="both"/>
        <w:textAlignment w:val="baseline"/>
        <w:rPr>
          <w:rFonts w:eastAsia="Times New Roman" w:cs="Arial"/>
          <w:sz w:val="24"/>
          <w:szCs w:val="24"/>
          <w:lang w:eastAsia="hr-HR"/>
        </w:rPr>
      </w:pPr>
      <w:r w:rsidRPr="009B5F9E">
        <w:rPr>
          <w:sz w:val="24"/>
          <w:szCs w:val="24"/>
        </w:rPr>
        <w:t xml:space="preserve">Kada se odredi prihvatljiva cijena vozila  i uvjeti financiranja dolazak u auto-salon ne bi trebao završiti kupnjom skupljeg automobila nego što je planirano. Izgled automobila je emotivno važan, ali uvijek treba imati na umu da je on vozilo koje služi za prijevoz od točke A do točke B, kao i da je važnije što pruža korisniku svojim unutarnjim sadržajem, mjestom za putnike i veličinom prtljažnika nego ljepotom vanjskog izgleda, a posebno je važno da je siguran, odnosno da ima </w:t>
      </w:r>
      <w:r w:rsidRPr="004E2BE7">
        <w:rPr>
          <w:color w:val="C00000"/>
          <w:sz w:val="24"/>
          <w:szCs w:val="24"/>
        </w:rPr>
        <w:t>dobre testove sigurnosti</w:t>
      </w:r>
      <w:r w:rsidRPr="009B5F9E">
        <w:rPr>
          <w:sz w:val="24"/>
          <w:szCs w:val="24"/>
        </w:rPr>
        <w:t xml:space="preserve">. Pri kupovini novog automobila, također je važno kontrolirano i racionalno razmisliti o </w:t>
      </w:r>
      <w:r w:rsidR="004E2BE7">
        <w:rPr>
          <w:sz w:val="24"/>
          <w:szCs w:val="24"/>
        </w:rPr>
        <w:t xml:space="preserve">dodatnoj </w:t>
      </w:r>
      <w:r w:rsidRPr="009B5F9E">
        <w:rPr>
          <w:sz w:val="24"/>
          <w:szCs w:val="24"/>
        </w:rPr>
        <w:t xml:space="preserve">oprem automobila koja je doista potrebna te kasnijim troškovima održavanja </w:t>
      </w:r>
      <w:r w:rsidR="004E2BE7">
        <w:rPr>
          <w:sz w:val="24"/>
          <w:szCs w:val="24"/>
        </w:rPr>
        <w:t xml:space="preserve">vozila </w:t>
      </w:r>
      <w:r w:rsidRPr="009B5F9E">
        <w:rPr>
          <w:sz w:val="24"/>
          <w:szCs w:val="24"/>
        </w:rPr>
        <w:t>od cij</w:t>
      </w:r>
      <w:r w:rsidR="004E2BE7">
        <w:rPr>
          <w:sz w:val="24"/>
          <w:szCs w:val="24"/>
        </w:rPr>
        <w:t xml:space="preserve">ene rezervnih i novih dijelova do </w:t>
      </w:r>
      <w:r w:rsidRPr="009B5F9E">
        <w:rPr>
          <w:sz w:val="24"/>
          <w:szCs w:val="24"/>
        </w:rPr>
        <w:t xml:space="preserve">guma i drugih elemenata.  </w:t>
      </w:r>
    </w:p>
    <w:p w:rsidR="009B5F9E" w:rsidRPr="009B5F9E" w:rsidRDefault="004E2BE7" w:rsidP="009B5F9E">
      <w:pPr>
        <w:jc w:val="both"/>
        <w:rPr>
          <w:rStyle w:val="Naglaeno"/>
          <w:rFonts w:cs="Arial"/>
          <w:b w:val="0"/>
          <w:bCs w:val="0"/>
          <w:sz w:val="24"/>
          <w:szCs w:val="24"/>
        </w:rPr>
      </w:pPr>
      <w:r w:rsidRPr="004E2BE7">
        <w:rPr>
          <w:color w:val="C00000"/>
          <w:sz w:val="24"/>
          <w:szCs w:val="24"/>
        </w:rPr>
        <w:t xml:space="preserve">Primjer: </w:t>
      </w:r>
      <w:r w:rsidR="009B5F9E" w:rsidRPr="009B5F9E">
        <w:rPr>
          <w:sz w:val="24"/>
          <w:szCs w:val="24"/>
        </w:rPr>
        <w:t>Pretpostavimo primjer financiranja kupovine novog automobila marke X-</w:t>
      </w:r>
      <w:r w:rsidR="009B5F9E" w:rsidRPr="009B5F9E">
        <w:rPr>
          <w:rStyle w:val="Naglaeno"/>
          <w:rFonts w:cs="Arial"/>
          <w:b w:val="0"/>
          <w:bCs w:val="0"/>
          <w:caps/>
          <w:sz w:val="24"/>
          <w:szCs w:val="24"/>
        </w:rPr>
        <w:t>1.5 DCI 75 </w:t>
      </w:r>
      <w:r w:rsidR="009B5F9E" w:rsidRPr="009B5F9E">
        <w:rPr>
          <w:rStyle w:val="Naglaeno"/>
          <w:rFonts w:cs="Arial"/>
          <w:b w:val="0"/>
          <w:bCs w:val="0"/>
          <w:sz w:val="24"/>
          <w:szCs w:val="24"/>
        </w:rPr>
        <w:t>čija je prodajna cijena za novo vozilo iz autosalona 105.400,00 kn (s uključenim PDV-om)</w:t>
      </w:r>
      <w:r w:rsidR="00FB506F">
        <w:rPr>
          <w:rStyle w:val="Naglaeno"/>
          <w:rFonts w:cs="Arial"/>
          <w:b w:val="0"/>
          <w:bCs w:val="0"/>
          <w:sz w:val="24"/>
          <w:szCs w:val="24"/>
        </w:rPr>
        <w:t>, a u nastavku su objašnjeni različiti načini financiranja</w:t>
      </w:r>
      <w:r w:rsidR="009B5F9E" w:rsidRPr="009B5F9E">
        <w:rPr>
          <w:rStyle w:val="Naglaeno"/>
          <w:rFonts w:cs="Arial"/>
          <w:b w:val="0"/>
          <w:bCs w:val="0"/>
          <w:sz w:val="24"/>
          <w:szCs w:val="24"/>
        </w:rPr>
        <w:t xml:space="preserve">. </w:t>
      </w:r>
    </w:p>
    <w:p w:rsidR="004E2BE7" w:rsidRDefault="00FB506F" w:rsidP="009B5F9E">
      <w:pPr>
        <w:jc w:val="both"/>
        <w:rPr>
          <w:rStyle w:val="Naglaeno"/>
          <w:rFonts w:cs="Arial"/>
          <w:b w:val="0"/>
          <w:bCs w:val="0"/>
          <w:sz w:val="24"/>
          <w:szCs w:val="24"/>
        </w:rPr>
      </w:pPr>
      <w:r w:rsidRPr="00FB506F">
        <w:rPr>
          <w:rStyle w:val="Naglaeno"/>
          <w:rFonts w:cs="Arial"/>
          <w:b w:val="0"/>
          <w:bCs w:val="0"/>
          <w:color w:val="C00000"/>
          <w:sz w:val="24"/>
          <w:szCs w:val="24"/>
        </w:rPr>
        <w:t xml:space="preserve">PLAN A: </w:t>
      </w:r>
      <w:r w:rsidR="009B5F9E" w:rsidRPr="009B5F9E">
        <w:rPr>
          <w:rStyle w:val="Naglaeno"/>
          <w:rFonts w:cs="Arial"/>
          <w:b w:val="0"/>
          <w:bCs w:val="0"/>
          <w:sz w:val="24"/>
          <w:szCs w:val="24"/>
        </w:rPr>
        <w:t xml:space="preserve">Vozilo je moguće kupiti uz kredit banke s fiksnom kamatnom stopom 6,49% godišnje. Naknada za obradu kreditnog zahtjeva banke iznosi 1,5% odnosno maksimalno 750 kuna, naknada za upis fiducije na vozilo iznosi 355,55 kuna, a trošak premije osiguranja po kreditu 2,48%. Ako se sve namiruje iz kredita, iznos odobrenog kredita doseći će razinu oko 109.124,55 kune. Uz predviđeni </w:t>
      </w:r>
      <w:r w:rsidR="009B5F9E" w:rsidRPr="00FB506F">
        <w:rPr>
          <w:rStyle w:val="Naglaeno"/>
          <w:rFonts w:cs="Arial"/>
          <w:b w:val="0"/>
          <w:bCs w:val="0"/>
          <w:color w:val="C00000"/>
          <w:sz w:val="24"/>
          <w:szCs w:val="24"/>
        </w:rPr>
        <w:t>rok otplate 7 godina</w:t>
      </w:r>
      <w:r w:rsidR="009B5F9E" w:rsidRPr="009B5F9E">
        <w:rPr>
          <w:rStyle w:val="Naglaeno"/>
          <w:rFonts w:cs="Arial"/>
          <w:b w:val="0"/>
          <w:bCs w:val="0"/>
          <w:sz w:val="24"/>
          <w:szCs w:val="24"/>
        </w:rPr>
        <w:t xml:space="preserve"> (84 mjeseci) i fiksnu kamatnu stopu</w:t>
      </w:r>
      <w:r>
        <w:rPr>
          <w:rStyle w:val="Naglaeno"/>
          <w:rFonts w:cs="Arial"/>
          <w:b w:val="0"/>
          <w:bCs w:val="0"/>
          <w:sz w:val="24"/>
          <w:szCs w:val="24"/>
        </w:rPr>
        <w:t xml:space="preserve"> (te korištenu proporcionalnu metodu obračuna kamata)</w:t>
      </w:r>
      <w:r w:rsidR="004E2BE7">
        <w:rPr>
          <w:rStyle w:val="Naglaeno"/>
          <w:rFonts w:cs="Arial"/>
          <w:b w:val="0"/>
          <w:bCs w:val="0"/>
          <w:sz w:val="24"/>
          <w:szCs w:val="24"/>
        </w:rPr>
        <w:t xml:space="preserve">, </w:t>
      </w:r>
      <w:r w:rsidR="009B5F9E" w:rsidRPr="009B5F9E">
        <w:rPr>
          <w:rStyle w:val="Naglaeno"/>
          <w:rFonts w:cs="Arial"/>
          <w:b w:val="0"/>
          <w:bCs w:val="0"/>
          <w:sz w:val="24"/>
          <w:szCs w:val="24"/>
        </w:rPr>
        <w:t xml:space="preserve">mjesečni standardni mjesečni anuitete otplate iznosi će  </w:t>
      </w:r>
      <w:r w:rsidR="004E2BE7">
        <w:rPr>
          <w:rStyle w:val="Naglaeno"/>
          <w:rFonts w:cs="Arial"/>
          <w:b w:val="0"/>
          <w:bCs w:val="0"/>
          <w:sz w:val="24"/>
          <w:szCs w:val="24"/>
        </w:rPr>
        <w:t xml:space="preserve">oko </w:t>
      </w:r>
      <w:r w:rsidR="009B5F9E" w:rsidRPr="009B5F9E">
        <w:rPr>
          <w:rStyle w:val="Naglaeno"/>
          <w:rFonts w:cs="Arial"/>
          <w:b w:val="0"/>
          <w:bCs w:val="0"/>
          <w:sz w:val="24"/>
          <w:szCs w:val="24"/>
        </w:rPr>
        <w:t xml:space="preserve">1.619,91 kuna, a efektivna kamatna stopa iznosit će oko 7,79%. </w:t>
      </w:r>
      <w:r w:rsidR="004E2BE7">
        <w:rPr>
          <w:rStyle w:val="Naglaeno"/>
          <w:rFonts w:cs="Arial"/>
          <w:b w:val="0"/>
          <w:bCs w:val="0"/>
          <w:sz w:val="24"/>
          <w:szCs w:val="24"/>
        </w:rPr>
        <w:t>U tom slučaju k</w:t>
      </w:r>
      <w:r w:rsidR="009B5F9E" w:rsidRPr="009B5F9E">
        <w:rPr>
          <w:rStyle w:val="Naglaeno"/>
          <w:rFonts w:cs="Arial"/>
          <w:b w:val="0"/>
          <w:bCs w:val="0"/>
          <w:sz w:val="24"/>
          <w:szCs w:val="24"/>
        </w:rPr>
        <w:t xml:space="preserve">roz sedam godina otplate ukupni novčani tijek izdataka otplate kredita iznosit će </w:t>
      </w:r>
      <w:r w:rsidR="009B5F9E" w:rsidRPr="009B5F9E">
        <w:rPr>
          <w:rFonts w:eastAsia="Times New Roman" w:cs="Times New Roman"/>
          <w:sz w:val="24"/>
          <w:szCs w:val="24"/>
          <w:lang w:eastAsia="hr-HR"/>
        </w:rPr>
        <w:t>136.072,43</w:t>
      </w:r>
      <w:r w:rsidR="009B5F9E" w:rsidRPr="009B5F9E">
        <w:rPr>
          <w:rStyle w:val="Naglaeno"/>
          <w:rFonts w:cs="Arial"/>
          <w:b w:val="0"/>
          <w:bCs w:val="0"/>
          <w:sz w:val="24"/>
          <w:szCs w:val="24"/>
        </w:rPr>
        <w:t xml:space="preserve"> kuna, od kojih se 109.124,55 kune odnosi na otplatu glavnice duga prema banci, a </w:t>
      </w:r>
      <w:r w:rsidR="009B5F9E" w:rsidRPr="009B5F9E">
        <w:rPr>
          <w:rFonts w:eastAsia="Times New Roman" w:cs="Times New Roman"/>
          <w:sz w:val="24"/>
          <w:szCs w:val="24"/>
          <w:lang w:eastAsia="hr-HR"/>
        </w:rPr>
        <w:t>26.947,88</w:t>
      </w:r>
      <w:r w:rsidR="009B5F9E" w:rsidRPr="009B5F9E">
        <w:rPr>
          <w:rStyle w:val="Naglaeno"/>
          <w:rFonts w:cs="Arial"/>
          <w:b w:val="0"/>
          <w:bCs w:val="0"/>
          <w:sz w:val="24"/>
          <w:szCs w:val="24"/>
        </w:rPr>
        <w:t xml:space="preserve"> kuna odnosi na plaćanje kamata. </w:t>
      </w:r>
    </w:p>
    <w:p w:rsidR="009B5F9E" w:rsidRDefault="009B5F9E" w:rsidP="009B5F9E">
      <w:pPr>
        <w:jc w:val="both"/>
        <w:rPr>
          <w:rFonts w:eastAsia="Times New Roman" w:cs="Arial"/>
          <w:sz w:val="24"/>
          <w:szCs w:val="24"/>
          <w:lang w:eastAsia="hr-HR"/>
        </w:rPr>
      </w:pPr>
      <w:r w:rsidRPr="009B5F9E">
        <w:rPr>
          <w:rStyle w:val="Naglaeno"/>
          <w:rFonts w:cs="Arial"/>
          <w:b w:val="0"/>
          <w:bCs w:val="0"/>
          <w:sz w:val="24"/>
          <w:szCs w:val="24"/>
        </w:rPr>
        <w:t xml:space="preserve">S obzirom da se radi o modalitetu otplate uz standardne mjesečne anuitete, nakon 12 mjeseci otplate pojedinac će otplatiti tek </w:t>
      </w:r>
      <w:r w:rsidRPr="009B5F9E">
        <w:rPr>
          <w:rFonts w:eastAsia="Times New Roman" w:cs="Times New Roman"/>
          <w:sz w:val="24"/>
          <w:szCs w:val="24"/>
          <w:lang w:eastAsia="hr-HR"/>
        </w:rPr>
        <w:t xml:space="preserve">12.731,02 </w:t>
      </w:r>
      <w:r w:rsidRPr="009B5F9E">
        <w:rPr>
          <w:rStyle w:val="Naglaeno"/>
          <w:rFonts w:cs="Arial"/>
          <w:b w:val="0"/>
          <w:bCs w:val="0"/>
          <w:sz w:val="24"/>
          <w:szCs w:val="24"/>
        </w:rPr>
        <w:t xml:space="preserve">kuna glavnice  kredita, odnosno i dalje će biti dužan 96.393,53.kuna glavnice (plus pripadajuće kamate za naredna razdoblja otplate), dok će njegov automobil vrijediti tržišno znatno manje, možda doista </w:t>
      </w:r>
      <w:r w:rsidRPr="009B5F9E">
        <w:rPr>
          <w:sz w:val="24"/>
          <w:szCs w:val="24"/>
        </w:rPr>
        <w:t xml:space="preserve">92.900,00 kao što je prethodno spomenuto za slučaj rabljenog automobila starog godinu dana i s prijeđenih 5.000 kilometra, iako je vjerojatno da će tržišna vrijednost po kojoj bi mogao prodati automobil biti i znatno manja (i trgovci rabljenih automobila moraju zaraditi, a njihova zarada se temelji na principu kupnje rabljenih automobila po cijeni što je moguće nižoj i prodaja uz zaradu). </w:t>
      </w:r>
      <w:r w:rsidR="00127222">
        <w:rPr>
          <w:sz w:val="24"/>
          <w:szCs w:val="24"/>
        </w:rPr>
        <w:t xml:space="preserve">(Između ostalog pri donošenju odluke o kupnji određenog vozila treba voditi računa i </w:t>
      </w:r>
      <w:r w:rsidR="00127222" w:rsidRPr="00127222">
        <w:rPr>
          <w:color w:val="C00000"/>
          <w:sz w:val="24"/>
          <w:szCs w:val="24"/>
        </w:rPr>
        <w:t xml:space="preserve">o cijeni </w:t>
      </w:r>
      <w:r w:rsidR="00127222" w:rsidRPr="00127222">
        <w:rPr>
          <w:color w:val="C00000"/>
          <w:sz w:val="24"/>
          <w:szCs w:val="24"/>
        </w:rPr>
        <w:lastRenderedPageBreak/>
        <w:t>po kojoj bi s rabljeno vozilo kasnije moglo prodati</w:t>
      </w:r>
      <w:r w:rsidR="00127222">
        <w:rPr>
          <w:sz w:val="24"/>
          <w:szCs w:val="24"/>
        </w:rPr>
        <w:t xml:space="preserve">.) </w:t>
      </w:r>
      <w:r w:rsidRPr="009B5F9E">
        <w:rPr>
          <w:sz w:val="24"/>
          <w:szCs w:val="24"/>
        </w:rPr>
        <w:t>Protekom vremena tržišna vrijednost automobila dodatno pada, automobil je već možda i oštećen, a kredit još uvijek nije otplaćen. Na primjer</w:t>
      </w:r>
      <w:r w:rsidR="00127222">
        <w:rPr>
          <w:sz w:val="24"/>
          <w:szCs w:val="24"/>
        </w:rPr>
        <w:t>,</w:t>
      </w:r>
      <w:r w:rsidRPr="009B5F9E">
        <w:rPr>
          <w:sz w:val="24"/>
          <w:szCs w:val="24"/>
        </w:rPr>
        <w:t xml:space="preserve"> nakon pet godina otplate kredita pojedinac je otplatio </w:t>
      </w:r>
      <w:r w:rsidRPr="009B5F9E">
        <w:rPr>
          <w:rFonts w:eastAsia="Times New Roman" w:cs="Times New Roman"/>
          <w:sz w:val="24"/>
          <w:szCs w:val="24"/>
          <w:lang w:eastAsia="hr-HR"/>
        </w:rPr>
        <w:t>72.756,21 kuna glavnice kredita te platio 24.438,39 kuna kamata za korištenje tuđih sredstva (što zajedno daje iznos 97.194,60 kuna</w:t>
      </w:r>
      <w:r w:rsidR="00127222">
        <w:rPr>
          <w:rFonts w:eastAsia="Times New Roman" w:cs="Times New Roman"/>
          <w:sz w:val="24"/>
          <w:szCs w:val="24"/>
          <w:lang w:eastAsia="hr-HR"/>
        </w:rPr>
        <w:t>)</w:t>
      </w:r>
      <w:r w:rsidRPr="009B5F9E">
        <w:rPr>
          <w:rFonts w:eastAsia="Times New Roman" w:cs="Times New Roman"/>
          <w:sz w:val="24"/>
          <w:szCs w:val="24"/>
          <w:lang w:eastAsia="hr-HR"/>
        </w:rPr>
        <w:t xml:space="preserve">, a i dalje je dužan </w:t>
      </w:r>
      <w:r w:rsidRPr="009B5F9E">
        <w:rPr>
          <w:rFonts w:eastAsia="Times New Roman" w:cs="Arial"/>
          <w:sz w:val="24"/>
          <w:szCs w:val="24"/>
          <w:lang w:eastAsia="hr-HR"/>
        </w:rPr>
        <w:t>36.368,36 kuna neotplaćene glavnice kredita.</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0"/>
        <w:gridCol w:w="2741"/>
        <w:gridCol w:w="1417"/>
        <w:gridCol w:w="1560"/>
        <w:gridCol w:w="2409"/>
      </w:tblGrid>
      <w:tr w:rsidR="00150250" w:rsidTr="00150250">
        <w:trPr>
          <w:trHeight w:val="375"/>
        </w:trPr>
        <w:tc>
          <w:tcPr>
            <w:tcW w:w="9087" w:type="dxa"/>
            <w:gridSpan w:val="5"/>
            <w:shd w:val="clear" w:color="auto" w:fill="EAF1DD" w:themeFill="accent3" w:themeFillTint="33"/>
          </w:tcPr>
          <w:p w:rsidR="00150250" w:rsidRDefault="00150250" w:rsidP="00150250">
            <w:pPr>
              <w:spacing w:after="0" w:line="240" w:lineRule="auto"/>
              <w:jc w:val="center"/>
              <w:rPr>
                <w:rFonts w:eastAsia="Times New Roman" w:cs="Arial"/>
                <w:b/>
                <w:bCs/>
                <w:sz w:val="20"/>
                <w:szCs w:val="20"/>
                <w:lang w:eastAsia="hr-HR"/>
              </w:rPr>
            </w:pPr>
            <w:r w:rsidRPr="00150250">
              <w:rPr>
                <w:rFonts w:eastAsia="Times New Roman" w:cs="Arial"/>
                <w:b/>
                <w:bCs/>
                <w:sz w:val="20"/>
                <w:szCs w:val="20"/>
                <w:lang w:eastAsia="hr-HR"/>
              </w:rPr>
              <w:t>Plan otplate kredita za kupnju motornog vozila</w:t>
            </w:r>
            <w:r>
              <w:rPr>
                <w:rFonts w:eastAsia="Times New Roman" w:cs="Arial"/>
                <w:b/>
                <w:bCs/>
                <w:sz w:val="20"/>
                <w:szCs w:val="20"/>
                <w:lang w:eastAsia="hr-HR"/>
              </w:rPr>
              <w:t>,</w:t>
            </w:r>
          </w:p>
          <w:p w:rsidR="00150250" w:rsidRDefault="00150250" w:rsidP="00150250">
            <w:pPr>
              <w:spacing w:after="0" w:line="240" w:lineRule="auto"/>
              <w:jc w:val="center"/>
              <w:rPr>
                <w:rFonts w:eastAsia="Times New Roman" w:cs="Arial"/>
                <w:color w:val="000000" w:themeColor="text1"/>
                <w:sz w:val="24"/>
                <w:szCs w:val="24"/>
                <w:lang w:eastAsia="hr-HR"/>
              </w:rPr>
            </w:pPr>
            <w:r w:rsidRPr="00150250">
              <w:rPr>
                <w:rFonts w:eastAsia="Times New Roman" w:cs="Arial"/>
                <w:b/>
                <w:bCs/>
                <w:sz w:val="20"/>
                <w:szCs w:val="20"/>
                <w:lang w:eastAsia="hr-HR"/>
              </w:rPr>
              <w:t>iznos kredita 109.124,55 kuna, kamatna stopa 6,49% godišnje, uz 7 godina (84 mjeseci)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50"/>
        </w:trPr>
        <w:tc>
          <w:tcPr>
            <w:tcW w:w="960" w:type="dxa"/>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0547DA">
              <w:rPr>
                <w:rFonts w:eastAsia="Times New Roman" w:cs="Arial"/>
                <w:b/>
                <w:bCs/>
                <w:sz w:val="20"/>
                <w:szCs w:val="20"/>
                <w:lang w:eastAsia="hr-HR"/>
              </w:rPr>
              <w:t>Anuitet</w:t>
            </w:r>
          </w:p>
        </w:tc>
        <w:tc>
          <w:tcPr>
            <w:tcW w:w="2741" w:type="dxa"/>
            <w:tcBorders>
              <w:top w:val="dotted" w:sz="4" w:space="0" w:color="000000"/>
              <w:left w:val="nil"/>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127222">
              <w:rPr>
                <w:rFonts w:eastAsia="Times New Roman" w:cs="Arial"/>
                <w:b/>
                <w:bCs/>
                <w:sz w:val="20"/>
                <w:szCs w:val="20"/>
                <w:lang w:eastAsia="hr-HR"/>
              </w:rPr>
              <w:t>Udio otplate glavnice u anuitetu</w:t>
            </w:r>
          </w:p>
        </w:tc>
        <w:tc>
          <w:tcPr>
            <w:tcW w:w="1417" w:type="dxa"/>
            <w:tcBorders>
              <w:top w:val="dotted" w:sz="4" w:space="0" w:color="000000"/>
              <w:left w:val="nil"/>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0547DA">
              <w:rPr>
                <w:rFonts w:eastAsia="Times New Roman" w:cs="Arial"/>
                <w:b/>
                <w:bCs/>
                <w:sz w:val="20"/>
                <w:szCs w:val="20"/>
                <w:lang w:eastAsia="hr-HR"/>
              </w:rPr>
              <w:t>Kamata</w:t>
            </w:r>
          </w:p>
        </w:tc>
        <w:tc>
          <w:tcPr>
            <w:tcW w:w="1560" w:type="dxa"/>
            <w:tcBorders>
              <w:top w:val="dotted" w:sz="4" w:space="0" w:color="000000"/>
              <w:left w:val="nil"/>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0547DA">
              <w:rPr>
                <w:rFonts w:eastAsia="Times New Roman" w:cs="Arial"/>
                <w:b/>
                <w:bCs/>
                <w:sz w:val="20"/>
                <w:szCs w:val="20"/>
                <w:lang w:eastAsia="hr-HR"/>
              </w:rPr>
              <w:t xml:space="preserve">Iznos </w:t>
            </w:r>
            <w:r w:rsidRPr="00127222">
              <w:rPr>
                <w:rFonts w:eastAsia="Times New Roman" w:cs="Arial"/>
                <w:b/>
                <w:bCs/>
                <w:sz w:val="20"/>
                <w:szCs w:val="20"/>
                <w:lang w:eastAsia="hr-HR"/>
              </w:rPr>
              <w:t>mjesečnog a</w:t>
            </w:r>
            <w:r w:rsidRPr="000547DA">
              <w:rPr>
                <w:rFonts w:eastAsia="Times New Roman" w:cs="Arial"/>
                <w:b/>
                <w:bCs/>
                <w:sz w:val="20"/>
                <w:szCs w:val="20"/>
                <w:lang w:eastAsia="hr-HR"/>
              </w:rPr>
              <w:t>nuiteta</w:t>
            </w:r>
          </w:p>
        </w:tc>
        <w:tc>
          <w:tcPr>
            <w:tcW w:w="2409" w:type="dxa"/>
            <w:tcBorders>
              <w:top w:val="dotted" w:sz="4" w:space="0" w:color="000000"/>
              <w:left w:val="nil"/>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center"/>
              <w:rPr>
                <w:rFonts w:eastAsia="Times New Roman" w:cs="Arial"/>
                <w:b/>
                <w:bCs/>
                <w:sz w:val="20"/>
                <w:szCs w:val="20"/>
                <w:lang w:eastAsia="hr-HR"/>
              </w:rPr>
            </w:pPr>
            <w:r w:rsidRPr="000547DA">
              <w:rPr>
                <w:rFonts w:eastAsia="Times New Roman" w:cs="Arial"/>
                <w:b/>
                <w:bCs/>
                <w:sz w:val="20"/>
                <w:szCs w:val="20"/>
                <w:lang w:eastAsia="hr-HR"/>
              </w:rPr>
              <w:t xml:space="preserve">Preostali iznos </w:t>
            </w:r>
            <w:r w:rsidRPr="00127222">
              <w:rPr>
                <w:rFonts w:eastAsia="Times New Roman" w:cs="Arial"/>
                <w:b/>
                <w:bCs/>
                <w:sz w:val="20"/>
                <w:szCs w:val="20"/>
                <w:lang w:eastAsia="hr-HR"/>
              </w:rPr>
              <w:t xml:space="preserve">neotplaćenog </w:t>
            </w:r>
            <w:r w:rsidRPr="000547DA">
              <w:rPr>
                <w:rFonts w:eastAsia="Times New Roman" w:cs="Arial"/>
                <w:b/>
                <w:bCs/>
                <w:sz w:val="20"/>
                <w:szCs w:val="20"/>
                <w:lang w:eastAsia="hr-HR"/>
              </w:rPr>
              <w:t>kredita</w:t>
            </w:r>
          </w:p>
        </w:tc>
      </w:tr>
      <w:tr w:rsidR="009B5F9E" w:rsidRPr="000547DA"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087" w:type="dxa"/>
            <w:gridSpan w:val="5"/>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uto"/>
              <w:jc w:val="both"/>
              <w:rPr>
                <w:rFonts w:eastAsia="Times New Roman" w:cs="Arial"/>
                <w:b/>
                <w:bCs/>
                <w:sz w:val="20"/>
                <w:szCs w:val="20"/>
                <w:lang w:eastAsia="hr-HR"/>
              </w:rPr>
            </w:pPr>
            <w:r w:rsidRPr="000547DA">
              <w:rPr>
                <w:rFonts w:eastAsia="Times New Roman" w:cs="Arial"/>
                <w:b/>
                <w:bCs/>
                <w:sz w:val="20"/>
                <w:szCs w:val="20"/>
                <w:lang w:eastAsia="hr-HR"/>
              </w:rPr>
              <w:t>1. godina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1</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1.029,73</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590,18</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108.094,82</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2</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1.035,30</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584,61</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107.059,53</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3</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1.040,90</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579,01</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106.018,63</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6B7E06" w:rsidRPr="000547DA" w:rsidRDefault="006B7E06"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 </w:t>
            </w:r>
            <w:r>
              <w:rPr>
                <w:rFonts w:eastAsia="Times New Roman" w:cs="Arial"/>
                <w:sz w:val="20"/>
                <w:szCs w:val="20"/>
                <w:lang w:eastAsia="hr-HR"/>
              </w:rPr>
              <w:t>….</w:t>
            </w:r>
          </w:p>
        </w:tc>
        <w:tc>
          <w:tcPr>
            <w:tcW w:w="2741"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3C5361">
              <w:rPr>
                <w:rFonts w:eastAsia="Times New Roman" w:cs="Arial"/>
                <w:sz w:val="20"/>
                <w:szCs w:val="20"/>
                <w:lang w:eastAsia="hr-HR"/>
              </w:rPr>
              <w:t>….</w:t>
            </w:r>
          </w:p>
        </w:tc>
        <w:tc>
          <w:tcPr>
            <w:tcW w:w="1417"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3C5361">
              <w:rPr>
                <w:rFonts w:eastAsia="Times New Roman" w:cs="Arial"/>
                <w:sz w:val="20"/>
                <w:szCs w:val="20"/>
                <w:lang w:eastAsia="hr-HR"/>
              </w:rPr>
              <w:t>….</w:t>
            </w:r>
          </w:p>
        </w:tc>
        <w:tc>
          <w:tcPr>
            <w:tcW w:w="1560"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3C5361">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3C5361">
              <w:rPr>
                <w:rFonts w:eastAsia="Times New Roman" w:cs="Arial"/>
                <w:sz w:val="20"/>
                <w:szCs w:val="20"/>
                <w:lang w:eastAsia="hr-HR"/>
              </w:rPr>
              <w:t>….</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12</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1.092,67</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527,24</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96.393,55</w:t>
            </w:r>
          </w:p>
        </w:tc>
      </w:tr>
      <w:tr w:rsidR="009B5F9E" w:rsidRPr="000547DA"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087" w:type="dxa"/>
            <w:gridSpan w:val="5"/>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tLeast"/>
              <w:rPr>
                <w:rFonts w:eastAsia="Times New Roman" w:cs="Arial"/>
                <w:b/>
                <w:bCs/>
                <w:sz w:val="20"/>
                <w:szCs w:val="20"/>
                <w:lang w:eastAsia="hr-HR"/>
              </w:rPr>
            </w:pPr>
            <w:r w:rsidRPr="000547DA">
              <w:rPr>
                <w:rFonts w:eastAsia="Times New Roman" w:cs="Arial"/>
                <w:b/>
                <w:bCs/>
                <w:sz w:val="20"/>
                <w:szCs w:val="20"/>
                <w:lang w:eastAsia="hr-HR"/>
              </w:rPr>
              <w:t>2. godina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13</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1.098,58</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521,33</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95.294,97</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nil"/>
            </w:tcBorders>
            <w:shd w:val="clear" w:color="000000" w:fill="FFFFFF"/>
            <w:hideMark/>
          </w:tcPr>
          <w:p w:rsidR="006B7E06" w:rsidRDefault="006B7E06" w:rsidP="00150250">
            <w:pPr>
              <w:spacing w:after="0" w:line="240" w:lineRule="atLeast"/>
            </w:pPr>
            <w:r w:rsidRPr="00D73C7F">
              <w:rPr>
                <w:rFonts w:eastAsia="Times New Roman" w:cs="Arial"/>
                <w:sz w:val="20"/>
                <w:szCs w:val="20"/>
                <w:lang w:eastAsia="hr-HR"/>
              </w:rPr>
              <w:t> ….</w:t>
            </w:r>
          </w:p>
        </w:tc>
        <w:tc>
          <w:tcPr>
            <w:tcW w:w="2741"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D73C7F">
              <w:rPr>
                <w:rFonts w:eastAsia="Times New Roman" w:cs="Arial"/>
                <w:sz w:val="20"/>
                <w:szCs w:val="20"/>
                <w:lang w:eastAsia="hr-HR"/>
              </w:rPr>
              <w:t>….</w:t>
            </w:r>
          </w:p>
        </w:tc>
        <w:tc>
          <w:tcPr>
            <w:tcW w:w="1417"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D73C7F">
              <w:rPr>
                <w:rFonts w:eastAsia="Times New Roman" w:cs="Arial"/>
                <w:sz w:val="20"/>
                <w:szCs w:val="20"/>
                <w:lang w:eastAsia="hr-HR"/>
              </w:rPr>
              <w:t>….</w:t>
            </w:r>
          </w:p>
        </w:tc>
        <w:tc>
          <w:tcPr>
            <w:tcW w:w="1560"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D73C7F">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D73C7F">
              <w:rPr>
                <w:rFonts w:eastAsia="Times New Roman" w:cs="Arial"/>
                <w:sz w:val="20"/>
                <w:szCs w:val="20"/>
                <w:lang w:eastAsia="hr-HR"/>
              </w:rPr>
              <w:t>….</w:t>
            </w:r>
          </w:p>
        </w:tc>
      </w:tr>
      <w:tr w:rsidR="009B5F9E" w:rsidRPr="000547DA"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087" w:type="dxa"/>
            <w:gridSpan w:val="5"/>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tLeast"/>
              <w:rPr>
                <w:rFonts w:eastAsia="Times New Roman" w:cs="Arial"/>
                <w:b/>
                <w:bCs/>
                <w:sz w:val="20"/>
                <w:szCs w:val="20"/>
                <w:lang w:eastAsia="hr-HR"/>
              </w:rPr>
            </w:pPr>
            <w:r w:rsidRPr="000547DA">
              <w:rPr>
                <w:rFonts w:eastAsia="Times New Roman" w:cs="Arial"/>
                <w:b/>
                <w:bCs/>
                <w:sz w:val="20"/>
                <w:szCs w:val="20"/>
                <w:lang w:eastAsia="hr-HR"/>
              </w:rPr>
              <w:t>5. godina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49</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1.334,02</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285,89</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51.527,42</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hideMark/>
          </w:tcPr>
          <w:p w:rsidR="006B7E06" w:rsidRDefault="006B7E06" w:rsidP="00150250">
            <w:pPr>
              <w:spacing w:after="0" w:line="240" w:lineRule="atLeast"/>
            </w:pPr>
            <w:r w:rsidRPr="00442BE7">
              <w:rPr>
                <w:rFonts w:eastAsia="Times New Roman" w:cs="Arial"/>
                <w:sz w:val="20"/>
                <w:szCs w:val="20"/>
                <w:lang w:eastAsia="hr-HR"/>
              </w:rPr>
              <w:t> ….</w:t>
            </w:r>
          </w:p>
        </w:tc>
        <w:tc>
          <w:tcPr>
            <w:tcW w:w="2741"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442BE7">
              <w:rPr>
                <w:rFonts w:eastAsia="Times New Roman" w:cs="Arial"/>
                <w:sz w:val="20"/>
                <w:szCs w:val="20"/>
                <w:lang w:eastAsia="hr-HR"/>
              </w:rPr>
              <w:t>….</w:t>
            </w:r>
          </w:p>
        </w:tc>
        <w:tc>
          <w:tcPr>
            <w:tcW w:w="1417"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442BE7">
              <w:rPr>
                <w:rFonts w:eastAsia="Times New Roman" w:cs="Arial"/>
                <w:sz w:val="20"/>
                <w:szCs w:val="20"/>
                <w:lang w:eastAsia="hr-HR"/>
              </w:rPr>
              <w:t>….</w:t>
            </w:r>
          </w:p>
        </w:tc>
        <w:tc>
          <w:tcPr>
            <w:tcW w:w="1560"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442BE7">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442BE7">
              <w:rPr>
                <w:rFonts w:eastAsia="Times New Roman" w:cs="Arial"/>
                <w:sz w:val="20"/>
                <w:szCs w:val="20"/>
                <w:lang w:eastAsia="hr-HR"/>
              </w:rPr>
              <w:t>….</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60</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1.415,56</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204,35</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36.368,36</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nil"/>
            </w:tcBorders>
            <w:shd w:val="clear" w:color="000000" w:fill="FFFFFF"/>
            <w:hideMark/>
          </w:tcPr>
          <w:p w:rsidR="006B7E06" w:rsidRDefault="006B7E06" w:rsidP="00150250">
            <w:pPr>
              <w:spacing w:after="0" w:line="240" w:lineRule="atLeast"/>
            </w:pPr>
            <w:r w:rsidRPr="00E0197F">
              <w:rPr>
                <w:rFonts w:eastAsia="Times New Roman" w:cs="Arial"/>
                <w:sz w:val="20"/>
                <w:szCs w:val="20"/>
                <w:lang w:eastAsia="hr-HR"/>
              </w:rPr>
              <w:t> ….</w:t>
            </w:r>
          </w:p>
        </w:tc>
        <w:tc>
          <w:tcPr>
            <w:tcW w:w="2741"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E0197F">
              <w:rPr>
                <w:rFonts w:eastAsia="Times New Roman" w:cs="Arial"/>
                <w:sz w:val="20"/>
                <w:szCs w:val="20"/>
                <w:lang w:eastAsia="hr-HR"/>
              </w:rPr>
              <w:t>….</w:t>
            </w:r>
          </w:p>
        </w:tc>
        <w:tc>
          <w:tcPr>
            <w:tcW w:w="1417"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E0197F">
              <w:rPr>
                <w:rFonts w:eastAsia="Times New Roman" w:cs="Arial"/>
                <w:sz w:val="20"/>
                <w:szCs w:val="20"/>
                <w:lang w:eastAsia="hr-HR"/>
              </w:rPr>
              <w:t>….</w:t>
            </w:r>
          </w:p>
        </w:tc>
        <w:tc>
          <w:tcPr>
            <w:tcW w:w="1560" w:type="dxa"/>
            <w:tcBorders>
              <w:top w:val="nil"/>
              <w:left w:val="nil"/>
              <w:bottom w:val="dotted" w:sz="4" w:space="0" w:color="000000"/>
              <w:right w:val="nil"/>
            </w:tcBorders>
            <w:shd w:val="clear" w:color="000000" w:fill="FFFFFF"/>
            <w:hideMark/>
          </w:tcPr>
          <w:p w:rsidR="006B7E06" w:rsidRDefault="006B7E06" w:rsidP="00150250">
            <w:pPr>
              <w:spacing w:after="0" w:line="240" w:lineRule="atLeast"/>
              <w:jc w:val="center"/>
            </w:pPr>
            <w:r w:rsidRPr="00E0197F">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E0197F">
              <w:rPr>
                <w:rFonts w:eastAsia="Times New Roman" w:cs="Arial"/>
                <w:sz w:val="20"/>
                <w:szCs w:val="20"/>
                <w:lang w:eastAsia="hr-HR"/>
              </w:rPr>
              <w:t>….</w:t>
            </w:r>
          </w:p>
        </w:tc>
      </w:tr>
      <w:tr w:rsidR="009B5F9E" w:rsidRPr="000547DA"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087" w:type="dxa"/>
            <w:gridSpan w:val="5"/>
            <w:tcBorders>
              <w:top w:val="dotted" w:sz="4" w:space="0" w:color="000000"/>
              <w:left w:val="dotted" w:sz="4" w:space="0" w:color="000000"/>
              <w:bottom w:val="dotted" w:sz="4" w:space="0" w:color="000000"/>
              <w:right w:val="dotted" w:sz="4" w:space="0" w:color="000000"/>
            </w:tcBorders>
            <w:shd w:val="clear" w:color="auto" w:fill="EAF1DD" w:themeFill="accent3" w:themeFillTint="33"/>
            <w:vAlign w:val="center"/>
            <w:hideMark/>
          </w:tcPr>
          <w:p w:rsidR="009B5F9E" w:rsidRPr="000547DA" w:rsidRDefault="009B5F9E" w:rsidP="00150250">
            <w:pPr>
              <w:spacing w:after="0" w:line="240" w:lineRule="atLeast"/>
              <w:rPr>
                <w:rFonts w:eastAsia="Times New Roman" w:cs="Arial"/>
                <w:b/>
                <w:bCs/>
                <w:sz w:val="20"/>
                <w:szCs w:val="20"/>
                <w:lang w:eastAsia="hr-HR"/>
              </w:rPr>
            </w:pPr>
            <w:r w:rsidRPr="000547DA">
              <w:rPr>
                <w:rFonts w:eastAsia="Times New Roman" w:cs="Arial"/>
                <w:b/>
                <w:bCs/>
                <w:sz w:val="20"/>
                <w:szCs w:val="20"/>
                <w:lang w:eastAsia="hr-HR"/>
              </w:rPr>
              <w:t>7. godina otplate</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73</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1.518,38</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101,53</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17.254,08</w:t>
            </w:r>
          </w:p>
        </w:tc>
      </w:tr>
      <w:tr w:rsidR="006B7E06"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hideMark/>
          </w:tcPr>
          <w:p w:rsidR="006B7E06" w:rsidRDefault="006B7E06" w:rsidP="00150250">
            <w:pPr>
              <w:spacing w:after="0" w:line="240" w:lineRule="atLeast"/>
            </w:pPr>
            <w:r w:rsidRPr="007436AB">
              <w:rPr>
                <w:rFonts w:eastAsia="Times New Roman" w:cs="Arial"/>
                <w:sz w:val="20"/>
                <w:szCs w:val="20"/>
                <w:lang w:eastAsia="hr-HR"/>
              </w:rPr>
              <w:t> ….</w:t>
            </w:r>
          </w:p>
        </w:tc>
        <w:tc>
          <w:tcPr>
            <w:tcW w:w="2741"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7436AB">
              <w:rPr>
                <w:rFonts w:eastAsia="Times New Roman" w:cs="Arial"/>
                <w:sz w:val="20"/>
                <w:szCs w:val="20"/>
                <w:lang w:eastAsia="hr-HR"/>
              </w:rPr>
              <w:t>….</w:t>
            </w:r>
          </w:p>
        </w:tc>
        <w:tc>
          <w:tcPr>
            <w:tcW w:w="1417"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7436AB">
              <w:rPr>
                <w:rFonts w:eastAsia="Times New Roman" w:cs="Arial"/>
                <w:sz w:val="20"/>
                <w:szCs w:val="20"/>
                <w:lang w:eastAsia="hr-HR"/>
              </w:rPr>
              <w:t>….</w:t>
            </w:r>
          </w:p>
        </w:tc>
        <w:tc>
          <w:tcPr>
            <w:tcW w:w="1560"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7436AB">
              <w:rPr>
                <w:rFonts w:eastAsia="Times New Roman" w:cs="Arial"/>
                <w:sz w:val="20"/>
                <w:szCs w:val="20"/>
                <w:lang w:eastAsia="hr-HR"/>
              </w:rPr>
              <w:t>….</w:t>
            </w:r>
          </w:p>
        </w:tc>
        <w:tc>
          <w:tcPr>
            <w:tcW w:w="2409" w:type="dxa"/>
            <w:tcBorders>
              <w:top w:val="nil"/>
              <w:left w:val="nil"/>
              <w:bottom w:val="dotted" w:sz="4" w:space="0" w:color="000000"/>
              <w:right w:val="dotted" w:sz="4" w:space="0" w:color="000000"/>
            </w:tcBorders>
            <w:shd w:val="clear" w:color="000000" w:fill="FFFFFF"/>
            <w:hideMark/>
          </w:tcPr>
          <w:p w:rsidR="006B7E06" w:rsidRDefault="006B7E06" w:rsidP="00150250">
            <w:pPr>
              <w:spacing w:after="0" w:line="240" w:lineRule="atLeast"/>
              <w:jc w:val="center"/>
            </w:pPr>
            <w:r w:rsidRPr="007436AB">
              <w:rPr>
                <w:rFonts w:eastAsia="Times New Roman" w:cs="Arial"/>
                <w:sz w:val="20"/>
                <w:szCs w:val="20"/>
                <w:lang w:eastAsia="hr-HR"/>
              </w:rPr>
              <w:t>….</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both"/>
              <w:rPr>
                <w:rFonts w:eastAsia="Times New Roman" w:cs="Arial"/>
                <w:sz w:val="20"/>
                <w:szCs w:val="20"/>
                <w:lang w:eastAsia="hr-HR"/>
              </w:rPr>
            </w:pPr>
            <w:r w:rsidRPr="000547DA">
              <w:rPr>
                <w:rFonts w:eastAsia="Times New Roman" w:cs="Arial"/>
                <w:sz w:val="20"/>
                <w:szCs w:val="20"/>
                <w:lang w:eastAsia="hr-HR"/>
              </w:rPr>
              <w:t>83</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1.602,53</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17,38</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tLeast"/>
              <w:jc w:val="center"/>
              <w:rPr>
                <w:rFonts w:eastAsia="Times New Roman" w:cs="Arial"/>
                <w:sz w:val="20"/>
                <w:szCs w:val="20"/>
                <w:lang w:eastAsia="hr-HR"/>
              </w:rPr>
            </w:pPr>
            <w:r w:rsidRPr="000547DA">
              <w:rPr>
                <w:rFonts w:eastAsia="Times New Roman" w:cs="Arial"/>
                <w:sz w:val="20"/>
                <w:szCs w:val="20"/>
                <w:lang w:eastAsia="hr-HR"/>
              </w:rPr>
              <w:t>1.611,20</w:t>
            </w:r>
          </w:p>
        </w:tc>
      </w:tr>
      <w:tr w:rsidR="009B5F9E" w:rsidRPr="009B5F9E" w:rsidTr="001502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960" w:type="dxa"/>
            <w:tcBorders>
              <w:top w:val="nil"/>
              <w:left w:val="dotted" w:sz="4" w:space="0" w:color="000000"/>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both"/>
              <w:rPr>
                <w:rFonts w:eastAsia="Times New Roman" w:cs="Arial"/>
                <w:sz w:val="20"/>
                <w:szCs w:val="20"/>
                <w:lang w:eastAsia="hr-HR"/>
              </w:rPr>
            </w:pPr>
            <w:r w:rsidRPr="000547DA">
              <w:rPr>
                <w:rFonts w:eastAsia="Times New Roman" w:cs="Arial"/>
                <w:sz w:val="20"/>
                <w:szCs w:val="20"/>
                <w:lang w:eastAsia="hr-HR"/>
              </w:rPr>
              <w:t>84</w:t>
            </w:r>
          </w:p>
        </w:tc>
        <w:tc>
          <w:tcPr>
            <w:tcW w:w="2741"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center"/>
              <w:rPr>
                <w:rFonts w:eastAsia="Times New Roman" w:cs="Arial"/>
                <w:sz w:val="20"/>
                <w:szCs w:val="20"/>
                <w:lang w:eastAsia="hr-HR"/>
              </w:rPr>
            </w:pPr>
            <w:r w:rsidRPr="000547DA">
              <w:rPr>
                <w:rFonts w:eastAsia="Times New Roman" w:cs="Arial"/>
                <w:sz w:val="20"/>
                <w:szCs w:val="20"/>
                <w:lang w:eastAsia="hr-HR"/>
              </w:rPr>
              <w:t>1.611,20</w:t>
            </w:r>
          </w:p>
        </w:tc>
        <w:tc>
          <w:tcPr>
            <w:tcW w:w="1417"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center"/>
              <w:rPr>
                <w:rFonts w:eastAsia="Times New Roman" w:cs="Arial"/>
                <w:sz w:val="20"/>
                <w:szCs w:val="20"/>
                <w:lang w:eastAsia="hr-HR"/>
              </w:rPr>
            </w:pPr>
            <w:r w:rsidRPr="000547DA">
              <w:rPr>
                <w:rFonts w:eastAsia="Times New Roman" w:cs="Arial"/>
                <w:sz w:val="20"/>
                <w:szCs w:val="20"/>
                <w:lang w:eastAsia="hr-HR"/>
              </w:rPr>
              <w:t>8,71</w:t>
            </w:r>
          </w:p>
        </w:tc>
        <w:tc>
          <w:tcPr>
            <w:tcW w:w="1560"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center"/>
              <w:rPr>
                <w:rFonts w:eastAsia="Times New Roman" w:cs="Arial"/>
                <w:sz w:val="20"/>
                <w:szCs w:val="20"/>
                <w:lang w:eastAsia="hr-HR"/>
              </w:rPr>
            </w:pPr>
            <w:r w:rsidRPr="000547DA">
              <w:rPr>
                <w:rFonts w:eastAsia="Times New Roman" w:cs="Arial"/>
                <w:sz w:val="20"/>
                <w:szCs w:val="20"/>
                <w:lang w:eastAsia="hr-HR"/>
              </w:rPr>
              <w:t>1.619,91</w:t>
            </w:r>
          </w:p>
        </w:tc>
        <w:tc>
          <w:tcPr>
            <w:tcW w:w="2409" w:type="dxa"/>
            <w:tcBorders>
              <w:top w:val="nil"/>
              <w:left w:val="nil"/>
              <w:bottom w:val="dotted" w:sz="4" w:space="0" w:color="000000"/>
              <w:right w:val="dotted" w:sz="4" w:space="0" w:color="000000"/>
            </w:tcBorders>
            <w:shd w:val="clear" w:color="000000" w:fill="FFFFFF"/>
            <w:vAlign w:val="center"/>
            <w:hideMark/>
          </w:tcPr>
          <w:p w:rsidR="009B5F9E" w:rsidRPr="000547DA" w:rsidRDefault="009B5F9E" w:rsidP="00150250">
            <w:pPr>
              <w:spacing w:after="0" w:line="240" w:lineRule="auto"/>
              <w:jc w:val="center"/>
              <w:rPr>
                <w:rFonts w:eastAsia="Times New Roman" w:cs="Arial"/>
                <w:sz w:val="20"/>
                <w:szCs w:val="20"/>
                <w:lang w:eastAsia="hr-HR"/>
              </w:rPr>
            </w:pPr>
            <w:r w:rsidRPr="000547DA">
              <w:rPr>
                <w:rFonts w:eastAsia="Times New Roman" w:cs="Arial"/>
                <w:sz w:val="20"/>
                <w:szCs w:val="20"/>
                <w:lang w:eastAsia="hr-HR"/>
              </w:rPr>
              <w:t>0</w:t>
            </w:r>
          </w:p>
        </w:tc>
      </w:tr>
    </w:tbl>
    <w:p w:rsidR="006B7E06" w:rsidRDefault="006B7E06" w:rsidP="006B7E06">
      <w:pPr>
        <w:spacing w:before="240"/>
        <w:jc w:val="both"/>
        <w:rPr>
          <w:rFonts w:eastAsia="Times New Roman" w:cs="Arial"/>
          <w:color w:val="000000" w:themeColor="text1"/>
          <w:sz w:val="24"/>
          <w:szCs w:val="24"/>
          <w:lang w:eastAsia="hr-HR"/>
        </w:rPr>
      </w:pPr>
      <w:r w:rsidRPr="00127222">
        <w:rPr>
          <w:rFonts w:eastAsia="Times New Roman" w:cs="Arial"/>
          <w:color w:val="000000" w:themeColor="text1"/>
          <w:sz w:val="24"/>
          <w:szCs w:val="24"/>
          <w:lang w:eastAsia="hr-HR"/>
        </w:rPr>
        <w:t>Dodatno</w:t>
      </w:r>
      <w:r>
        <w:rPr>
          <w:rFonts w:eastAsia="Times New Roman" w:cs="Arial"/>
          <w:color w:val="000000" w:themeColor="text1"/>
          <w:sz w:val="24"/>
          <w:szCs w:val="24"/>
          <w:lang w:eastAsia="hr-HR"/>
        </w:rPr>
        <w:t>,</w:t>
      </w:r>
      <w:r w:rsidRPr="00127222">
        <w:rPr>
          <w:rFonts w:eastAsia="Times New Roman" w:cs="Arial"/>
          <w:color w:val="000000" w:themeColor="text1"/>
          <w:sz w:val="24"/>
          <w:szCs w:val="24"/>
          <w:lang w:eastAsia="hr-HR"/>
        </w:rPr>
        <w:t xml:space="preserve"> korištenje bankovnog kredita zahtjeva vrijeme za rješavanje administrativne procedure te pribavu različite dokumentacije za ocjenu kreditne sposobnosti. Za korištenje auto-kredita najčešće je potreban 1 kreditno sposoban jamac a to uobičajeno ne može bit supružnik korisnika kredita ili sudužnika. Kako su svi sudionici kreditnog posla (korisnik kredita-dužnik, sudužnik, jamac) uz ugovor o kreditu dužni potpisati i „izjavu o zapljeni po pristanku dužnika“ te  zadužnicu uz solemnizaciju kod javnog bilježnika, korisnik kredita treba snositi i troškove javnobilježničkih pristojbi. Nadalje tu su i troškovi kasko osiguranja koje je korisnik kredita obvezan ugovoriti i vinkulirati u korist banke kreditora te uz koje se vežu dodatni troškovi plaćanja premije tijekom razdoblja otplate. Ukupnim davanjima za kredit stoga treba pridodati još par tisuća kuna drugih troškova, a cijeli iznos novca vezanog uz isplatu kredita korisnik nikada „neće vidjeti“ jer se radi o namjenskom kreditu iznos od </w:t>
      </w:r>
      <w:r w:rsidRPr="006B7E06">
        <w:rPr>
          <w:rFonts w:eastAsia="Times New Roman" w:cs="Arial"/>
          <w:color w:val="000000" w:themeColor="text1"/>
          <w:sz w:val="24"/>
          <w:szCs w:val="24"/>
          <w:lang w:eastAsia="hr-HR"/>
        </w:rPr>
        <w:t xml:space="preserve">105.400,00 kn potreban za plaćanje kupnje automobila banka direktno doznačuje prodavatelju automobila. </w:t>
      </w:r>
    </w:p>
    <w:p w:rsidR="009B5F9E" w:rsidRDefault="00FB506F" w:rsidP="006B7E06">
      <w:pPr>
        <w:spacing w:before="240"/>
        <w:jc w:val="both"/>
        <w:rPr>
          <w:rFonts w:cs="Arial"/>
          <w:sz w:val="24"/>
          <w:szCs w:val="24"/>
          <w:shd w:val="clear" w:color="auto" w:fill="FFFFFF"/>
        </w:rPr>
      </w:pPr>
      <w:r w:rsidRPr="00FB506F">
        <w:rPr>
          <w:rFonts w:eastAsia="Times New Roman" w:cs="Arial"/>
          <w:color w:val="C00000"/>
          <w:sz w:val="24"/>
          <w:szCs w:val="24"/>
          <w:lang w:eastAsia="hr-HR"/>
        </w:rPr>
        <w:lastRenderedPageBreak/>
        <w:t xml:space="preserve">PLAN B: </w:t>
      </w:r>
      <w:r w:rsidR="009B5F9E" w:rsidRPr="006B7E06">
        <w:rPr>
          <w:rFonts w:eastAsia="Times New Roman" w:cs="Arial"/>
          <w:color w:val="000000" w:themeColor="text1"/>
          <w:sz w:val="24"/>
          <w:szCs w:val="24"/>
          <w:lang w:eastAsia="hr-HR"/>
        </w:rPr>
        <w:t>Da je pojedinac godinu dana štedio iznos 1.619,91 kunu mjesečno uz kamatnu stopu 1,5% formirao bi štednju u iznosu 19.596,50 kuna</w:t>
      </w:r>
      <w:r w:rsidR="00795487">
        <w:rPr>
          <w:rFonts w:eastAsia="Times New Roman" w:cs="Arial"/>
          <w:color w:val="000000" w:themeColor="text1"/>
          <w:sz w:val="24"/>
          <w:szCs w:val="24"/>
          <w:lang w:eastAsia="hr-HR"/>
        </w:rPr>
        <w:t xml:space="preserve"> (uz tečaj 7,6 kuna za 1 euro to bi iznosilo oko </w:t>
      </w:r>
      <w:r w:rsidR="00795487" w:rsidRPr="00795487">
        <w:rPr>
          <w:rFonts w:eastAsia="Times New Roman" w:cs="Arial"/>
          <w:color w:val="000000" w:themeColor="text1"/>
          <w:sz w:val="24"/>
          <w:szCs w:val="24"/>
          <w:lang w:eastAsia="hr-HR"/>
        </w:rPr>
        <w:t>2</w:t>
      </w:r>
      <w:r w:rsidR="00795487">
        <w:rPr>
          <w:rFonts w:eastAsia="Times New Roman" w:cs="Arial"/>
          <w:color w:val="000000" w:themeColor="text1"/>
          <w:sz w:val="24"/>
          <w:szCs w:val="24"/>
          <w:lang w:eastAsia="hr-HR"/>
        </w:rPr>
        <w:t>.</w:t>
      </w:r>
      <w:r w:rsidR="00795487" w:rsidRPr="00795487">
        <w:rPr>
          <w:rFonts w:eastAsia="Times New Roman" w:cs="Arial"/>
          <w:color w:val="000000" w:themeColor="text1"/>
          <w:sz w:val="24"/>
          <w:szCs w:val="24"/>
          <w:lang w:eastAsia="hr-HR"/>
        </w:rPr>
        <w:t>578,4</w:t>
      </w:r>
      <w:r w:rsidR="00795487">
        <w:rPr>
          <w:rFonts w:eastAsia="Times New Roman" w:cs="Arial"/>
          <w:color w:val="000000" w:themeColor="text1"/>
          <w:sz w:val="24"/>
          <w:szCs w:val="24"/>
          <w:lang w:eastAsia="hr-HR"/>
        </w:rPr>
        <w:t>9 eura – što je nešto manje od učešća koje je minimalno potrebno za korištenje financijskog leasinga koji je naveden u nastavku a moglo bi se koristiti i kao izvor vlastitog financiranja radi smanjenja iznosa potrebnog kredita)</w:t>
      </w:r>
      <w:r w:rsidR="009B5F9E" w:rsidRPr="006B7E06">
        <w:rPr>
          <w:rFonts w:eastAsia="Times New Roman" w:cs="Arial"/>
          <w:color w:val="000000" w:themeColor="text1"/>
          <w:sz w:val="24"/>
          <w:szCs w:val="24"/>
          <w:lang w:eastAsia="hr-HR"/>
        </w:rPr>
        <w:t>. S druge strane uz petogodišnju štednju istom dinamikom i uz istu kamatnu stopu mogao je f</w:t>
      </w:r>
      <w:r w:rsidR="00795487">
        <w:rPr>
          <w:rFonts w:eastAsia="Times New Roman" w:cs="Arial"/>
          <w:color w:val="000000" w:themeColor="text1"/>
          <w:sz w:val="24"/>
          <w:szCs w:val="24"/>
          <w:lang w:eastAsia="hr-HR"/>
        </w:rPr>
        <w:t>ormirati iznos od 100.966,41 kn.</w:t>
      </w:r>
      <w:r w:rsidR="009B5F9E" w:rsidRPr="006B7E06">
        <w:rPr>
          <w:rFonts w:eastAsia="Times New Roman" w:cs="Arial"/>
          <w:color w:val="000000" w:themeColor="text1"/>
          <w:sz w:val="24"/>
          <w:szCs w:val="24"/>
          <w:lang w:eastAsia="hr-HR"/>
        </w:rPr>
        <w:t xml:space="preserve">  Uz malo veći iznos mjesečne štednje u iznosu 1.690 kuna </w:t>
      </w:r>
      <w:r w:rsidR="00CF3D09">
        <w:rPr>
          <w:rFonts w:eastAsia="Times New Roman" w:cs="Arial"/>
          <w:color w:val="000000" w:themeColor="text1"/>
          <w:sz w:val="24"/>
          <w:szCs w:val="24"/>
          <w:lang w:eastAsia="hr-HR"/>
        </w:rPr>
        <w:t xml:space="preserve">mjesečno </w:t>
      </w:r>
      <w:r w:rsidR="009B5F9E" w:rsidRPr="006B7E06">
        <w:rPr>
          <w:rFonts w:eastAsia="Times New Roman" w:cs="Arial"/>
          <w:color w:val="000000" w:themeColor="text1"/>
          <w:sz w:val="24"/>
          <w:szCs w:val="24"/>
          <w:lang w:eastAsia="hr-HR"/>
        </w:rPr>
        <w:t xml:space="preserve">kroz pet godina formirao bi štednju u iznosu 105.335,01 kn što je </w:t>
      </w:r>
      <w:r w:rsidR="00795487">
        <w:rPr>
          <w:rFonts w:eastAsia="Times New Roman" w:cs="Arial"/>
          <w:color w:val="000000" w:themeColor="text1"/>
          <w:sz w:val="24"/>
          <w:szCs w:val="24"/>
          <w:lang w:eastAsia="hr-HR"/>
        </w:rPr>
        <w:t xml:space="preserve">vrlo </w:t>
      </w:r>
      <w:r w:rsidR="009B5F9E" w:rsidRPr="006B7E06">
        <w:rPr>
          <w:rFonts w:eastAsia="Times New Roman" w:cs="Arial"/>
          <w:color w:val="000000" w:themeColor="text1"/>
          <w:sz w:val="24"/>
          <w:szCs w:val="24"/>
          <w:lang w:eastAsia="hr-HR"/>
        </w:rPr>
        <w:t>blizu iznosa cijene novog automobila iz primjera.</w:t>
      </w:r>
      <w:r w:rsidR="009B5F9E" w:rsidRPr="009B5F9E">
        <w:rPr>
          <w:rFonts w:cs="Arial"/>
          <w:sz w:val="24"/>
          <w:szCs w:val="24"/>
          <w:shd w:val="clear" w:color="auto" w:fill="FFFFFF"/>
        </w:rPr>
        <w:t xml:space="preserve"> </w:t>
      </w:r>
    </w:p>
    <w:p w:rsidR="00795487" w:rsidRPr="00C812A0" w:rsidRDefault="00FB506F" w:rsidP="00C812A0">
      <w:pPr>
        <w:jc w:val="both"/>
        <w:rPr>
          <w:rFonts w:eastAsia="Times New Roman" w:cs="Arial"/>
          <w:color w:val="000000" w:themeColor="text1"/>
          <w:sz w:val="24"/>
          <w:szCs w:val="24"/>
          <w:lang w:eastAsia="hr-HR"/>
        </w:rPr>
      </w:pPr>
      <w:r>
        <w:rPr>
          <w:rFonts w:eastAsia="Times New Roman" w:cs="Arial"/>
          <w:color w:val="000000" w:themeColor="text1"/>
          <w:sz w:val="24"/>
          <w:szCs w:val="24"/>
          <w:lang w:eastAsia="hr-HR"/>
        </w:rPr>
        <w:t xml:space="preserve">PLAN C: U slučaju da je pojedinac umjesto sedam godina otplate izabrao </w:t>
      </w:r>
      <w:r w:rsidRPr="00C812A0">
        <w:rPr>
          <w:rFonts w:eastAsia="Times New Roman" w:cs="Arial"/>
          <w:color w:val="000000" w:themeColor="text1"/>
          <w:sz w:val="24"/>
          <w:szCs w:val="24"/>
          <w:lang w:eastAsia="hr-HR"/>
        </w:rPr>
        <w:t>5 godina otplate</w:t>
      </w:r>
      <w:r>
        <w:rPr>
          <w:rFonts w:eastAsia="Times New Roman" w:cs="Arial"/>
          <w:color w:val="000000" w:themeColor="text1"/>
          <w:sz w:val="24"/>
          <w:szCs w:val="24"/>
          <w:lang w:eastAsia="hr-HR"/>
        </w:rPr>
        <w:t>, uz sve ostale iste uvijete mjesečni anuitet otplate kredita iznosio bi</w:t>
      </w:r>
      <w:r w:rsidR="00795487">
        <w:rPr>
          <w:rFonts w:eastAsia="Times New Roman" w:cs="Arial"/>
          <w:color w:val="000000" w:themeColor="text1"/>
          <w:sz w:val="24"/>
          <w:szCs w:val="24"/>
          <w:lang w:eastAsia="hr-HR"/>
        </w:rPr>
        <w:t xml:space="preserve"> </w:t>
      </w:r>
      <w:r w:rsidR="00795487" w:rsidRPr="00C812A0">
        <w:rPr>
          <w:rFonts w:eastAsia="Times New Roman" w:cs="Arial"/>
          <w:color w:val="000000" w:themeColor="text1"/>
          <w:sz w:val="24"/>
          <w:szCs w:val="24"/>
          <w:lang w:eastAsia="hr-HR"/>
        </w:rPr>
        <w:t>2.134,64 kn</w:t>
      </w:r>
      <w:r w:rsidRPr="00C812A0">
        <w:rPr>
          <w:rFonts w:eastAsia="Times New Roman" w:cs="Arial"/>
          <w:color w:val="000000" w:themeColor="text1"/>
          <w:sz w:val="24"/>
          <w:szCs w:val="24"/>
          <w:lang w:eastAsia="hr-HR"/>
        </w:rPr>
        <w:t xml:space="preserve">, a na kamate do kraja razdoblja otplate izdvojio bi se iznos od 18.953,85 kn. Ukupni izdaci za otplatu kredita nakon pet godina iznosili bi 128.078,40 kn (plus ranije opisane naknade banci). Razlika u odnosu na </w:t>
      </w:r>
      <w:r w:rsidR="00795487" w:rsidRPr="00C812A0">
        <w:rPr>
          <w:rFonts w:eastAsia="Times New Roman" w:cs="Arial"/>
          <w:color w:val="000000" w:themeColor="text1"/>
          <w:sz w:val="24"/>
          <w:szCs w:val="24"/>
          <w:lang w:eastAsia="hr-HR"/>
        </w:rPr>
        <w:t xml:space="preserve">otplatu kroz sedam godina iznosi 7.994,03 kuna, no pitanje je dali mjesečna financijska situacija pojedinca dozvoljava navedena veća izdvajanja za otplatu kredita, odnosno da li se time može zadovoljiti ocjena njegove kreditne sposobnosti. Ukoliko je problem samo ocjena kreditne sposobnosti a postoje realni kapaciteti za zaduživanje (no oni nikako ne smiju biti precijenjeni)  tom slučaju eventualno treba razmisliti o korištenju sudužnika pri zaduživanju koji će povećati kreditnu sposobnost. </w:t>
      </w:r>
    </w:p>
    <w:p w:rsidR="00795487" w:rsidRPr="00C812A0" w:rsidRDefault="00795487" w:rsidP="00C812A0">
      <w:pPr>
        <w:jc w:val="both"/>
        <w:rPr>
          <w:rFonts w:eastAsia="Times New Roman" w:cs="Arial"/>
          <w:color w:val="000000" w:themeColor="text1"/>
          <w:sz w:val="24"/>
          <w:szCs w:val="24"/>
          <w:lang w:eastAsia="hr-HR"/>
        </w:rPr>
      </w:pPr>
      <w:r w:rsidRPr="00C812A0">
        <w:rPr>
          <w:rFonts w:eastAsia="Times New Roman" w:cs="Arial"/>
          <w:color w:val="C00000"/>
          <w:sz w:val="24"/>
          <w:szCs w:val="24"/>
          <w:lang w:eastAsia="hr-HR"/>
        </w:rPr>
        <w:t xml:space="preserve">PLAN D: </w:t>
      </w:r>
      <w:r w:rsidRPr="006B7E06">
        <w:rPr>
          <w:rFonts w:eastAsia="Times New Roman" w:cs="Arial"/>
          <w:color w:val="000000" w:themeColor="text1"/>
          <w:sz w:val="24"/>
          <w:szCs w:val="24"/>
          <w:lang w:eastAsia="hr-HR"/>
        </w:rPr>
        <w:t xml:space="preserve">Da je pojedinac </w:t>
      </w:r>
      <w:r w:rsidR="008350C8" w:rsidRPr="00C812A0">
        <w:rPr>
          <w:rFonts w:eastAsia="Times New Roman" w:cs="Arial"/>
          <w:color w:val="C00000"/>
          <w:sz w:val="24"/>
          <w:szCs w:val="24"/>
          <w:lang w:eastAsia="hr-HR"/>
        </w:rPr>
        <w:t xml:space="preserve">5 </w:t>
      </w:r>
      <w:r w:rsidRPr="00C812A0">
        <w:rPr>
          <w:rFonts w:eastAsia="Times New Roman" w:cs="Arial"/>
          <w:color w:val="C00000"/>
          <w:sz w:val="24"/>
          <w:szCs w:val="24"/>
          <w:lang w:eastAsia="hr-HR"/>
        </w:rPr>
        <w:t>godin</w:t>
      </w:r>
      <w:r w:rsidR="008350C8" w:rsidRPr="00C812A0">
        <w:rPr>
          <w:rFonts w:eastAsia="Times New Roman" w:cs="Arial"/>
          <w:color w:val="C00000"/>
          <w:sz w:val="24"/>
          <w:szCs w:val="24"/>
          <w:lang w:eastAsia="hr-HR"/>
        </w:rPr>
        <w:t>a</w:t>
      </w:r>
      <w:r w:rsidRPr="00C812A0">
        <w:rPr>
          <w:rFonts w:eastAsia="Times New Roman" w:cs="Arial"/>
          <w:color w:val="C00000"/>
          <w:sz w:val="24"/>
          <w:szCs w:val="24"/>
          <w:lang w:eastAsia="hr-HR"/>
        </w:rPr>
        <w:t xml:space="preserve"> štedio </w:t>
      </w:r>
      <w:r w:rsidRPr="006B7E06">
        <w:rPr>
          <w:rFonts w:eastAsia="Times New Roman" w:cs="Arial"/>
          <w:color w:val="000000" w:themeColor="text1"/>
          <w:sz w:val="24"/>
          <w:szCs w:val="24"/>
          <w:lang w:eastAsia="hr-HR"/>
        </w:rPr>
        <w:t xml:space="preserve">iznos </w:t>
      </w:r>
      <w:r w:rsidR="008350C8" w:rsidRPr="00C812A0">
        <w:rPr>
          <w:rFonts w:eastAsia="Times New Roman" w:cs="Arial"/>
          <w:color w:val="000000" w:themeColor="text1"/>
          <w:sz w:val="24"/>
          <w:szCs w:val="24"/>
          <w:lang w:eastAsia="hr-HR"/>
        </w:rPr>
        <w:t xml:space="preserve">2.134,64 </w:t>
      </w:r>
      <w:r w:rsidRPr="006B7E06">
        <w:rPr>
          <w:rFonts w:eastAsia="Times New Roman" w:cs="Arial"/>
          <w:color w:val="000000" w:themeColor="text1"/>
          <w:sz w:val="24"/>
          <w:szCs w:val="24"/>
          <w:lang w:eastAsia="hr-HR"/>
        </w:rPr>
        <w:t xml:space="preserve">kunu mjesečno uz kamatnu stopu 1,5% formirao bi štednju u iznosu </w:t>
      </w:r>
      <w:r w:rsidR="008350C8" w:rsidRPr="00C812A0">
        <w:rPr>
          <w:rFonts w:eastAsia="Times New Roman" w:cs="Arial"/>
          <w:color w:val="000000" w:themeColor="text1"/>
          <w:sz w:val="24"/>
          <w:szCs w:val="24"/>
          <w:lang w:eastAsia="hr-HR"/>
        </w:rPr>
        <w:t>133.048,71 </w:t>
      </w:r>
      <w:r w:rsidRPr="006B7E06">
        <w:rPr>
          <w:rFonts w:eastAsia="Times New Roman" w:cs="Arial"/>
          <w:color w:val="000000" w:themeColor="text1"/>
          <w:sz w:val="24"/>
          <w:szCs w:val="24"/>
          <w:lang w:eastAsia="hr-HR"/>
        </w:rPr>
        <w:t>kuna</w:t>
      </w:r>
      <w:r>
        <w:rPr>
          <w:rFonts w:eastAsia="Times New Roman" w:cs="Arial"/>
          <w:color w:val="000000" w:themeColor="text1"/>
          <w:sz w:val="24"/>
          <w:szCs w:val="24"/>
          <w:lang w:eastAsia="hr-HR"/>
        </w:rPr>
        <w:t xml:space="preserve"> </w:t>
      </w:r>
      <w:r w:rsidR="008350C8">
        <w:rPr>
          <w:rFonts w:eastAsia="Times New Roman" w:cs="Arial"/>
          <w:color w:val="000000" w:themeColor="text1"/>
          <w:sz w:val="24"/>
          <w:szCs w:val="24"/>
          <w:lang w:eastAsia="hr-HR"/>
        </w:rPr>
        <w:t xml:space="preserve">što znači da bi imao izbor biranja i skupljeg osobnog vozila ili ugradnje bolje dodatne opreme, ako su doista potrebni. </w:t>
      </w:r>
      <w:r w:rsidRPr="006B7E06">
        <w:rPr>
          <w:rFonts w:eastAsia="Times New Roman" w:cs="Arial"/>
          <w:color w:val="000000" w:themeColor="text1"/>
          <w:sz w:val="24"/>
          <w:szCs w:val="24"/>
          <w:lang w:eastAsia="hr-HR"/>
        </w:rPr>
        <w:t xml:space="preserve">S druge strane </w:t>
      </w:r>
      <w:r w:rsidRPr="00C812A0">
        <w:rPr>
          <w:rFonts w:eastAsia="Times New Roman" w:cs="Arial"/>
          <w:color w:val="C00000"/>
          <w:sz w:val="24"/>
          <w:szCs w:val="24"/>
          <w:lang w:eastAsia="hr-HR"/>
        </w:rPr>
        <w:t xml:space="preserve">uz </w:t>
      </w:r>
      <w:r w:rsidR="008350C8" w:rsidRPr="00C812A0">
        <w:rPr>
          <w:rFonts w:eastAsia="Times New Roman" w:cs="Arial"/>
          <w:color w:val="C00000"/>
          <w:sz w:val="24"/>
          <w:szCs w:val="24"/>
          <w:lang w:eastAsia="hr-HR"/>
        </w:rPr>
        <w:t xml:space="preserve">4 godine štednje </w:t>
      </w:r>
      <w:r w:rsidR="008350C8">
        <w:rPr>
          <w:rFonts w:eastAsia="Times New Roman" w:cs="Arial"/>
          <w:color w:val="000000" w:themeColor="text1"/>
          <w:sz w:val="24"/>
          <w:szCs w:val="24"/>
          <w:lang w:eastAsia="hr-HR"/>
        </w:rPr>
        <w:t>is</w:t>
      </w:r>
      <w:r w:rsidRPr="006B7E06">
        <w:rPr>
          <w:rFonts w:eastAsia="Times New Roman" w:cs="Arial"/>
          <w:color w:val="000000" w:themeColor="text1"/>
          <w:sz w:val="24"/>
          <w:szCs w:val="24"/>
          <w:lang w:eastAsia="hr-HR"/>
        </w:rPr>
        <w:t xml:space="preserve">tom dinamikom </w:t>
      </w:r>
      <w:r w:rsidR="008350C8" w:rsidRPr="00C812A0">
        <w:rPr>
          <w:rFonts w:eastAsia="Times New Roman" w:cs="Arial"/>
          <w:color w:val="000000" w:themeColor="text1"/>
          <w:sz w:val="24"/>
          <w:szCs w:val="24"/>
          <w:lang w:eastAsia="hr-HR"/>
        </w:rPr>
        <w:t xml:space="preserve">2.134,64 </w:t>
      </w:r>
      <w:r w:rsidR="008350C8" w:rsidRPr="006B7E06">
        <w:rPr>
          <w:rFonts w:eastAsia="Times New Roman" w:cs="Arial"/>
          <w:color w:val="000000" w:themeColor="text1"/>
          <w:sz w:val="24"/>
          <w:szCs w:val="24"/>
          <w:lang w:eastAsia="hr-HR"/>
        </w:rPr>
        <w:t xml:space="preserve">kunu mjesečno </w:t>
      </w:r>
      <w:r w:rsidRPr="006B7E06">
        <w:rPr>
          <w:rFonts w:eastAsia="Times New Roman" w:cs="Arial"/>
          <w:color w:val="000000" w:themeColor="text1"/>
          <w:sz w:val="24"/>
          <w:szCs w:val="24"/>
          <w:lang w:eastAsia="hr-HR"/>
        </w:rPr>
        <w:t xml:space="preserve">i uz istu kamatnu stopu mogao je formirati iznos od </w:t>
      </w:r>
      <w:r w:rsidR="008350C8" w:rsidRPr="00C812A0">
        <w:rPr>
          <w:rFonts w:eastAsia="Times New Roman" w:cs="Arial"/>
          <w:color w:val="000000" w:themeColor="text1"/>
          <w:sz w:val="24"/>
          <w:szCs w:val="24"/>
          <w:lang w:eastAsia="hr-HR"/>
        </w:rPr>
        <w:t>105.640,76 kn</w:t>
      </w:r>
      <w:r w:rsidR="008350C8" w:rsidRPr="006B7E06">
        <w:rPr>
          <w:rFonts w:eastAsia="Times New Roman" w:cs="Arial"/>
          <w:color w:val="000000" w:themeColor="text1"/>
          <w:sz w:val="24"/>
          <w:szCs w:val="24"/>
          <w:lang w:eastAsia="hr-HR"/>
        </w:rPr>
        <w:t xml:space="preserve"> </w:t>
      </w:r>
      <w:r w:rsidR="008350C8">
        <w:rPr>
          <w:rFonts w:eastAsia="Times New Roman" w:cs="Arial"/>
          <w:color w:val="000000" w:themeColor="text1"/>
          <w:sz w:val="24"/>
          <w:szCs w:val="24"/>
          <w:lang w:eastAsia="hr-HR"/>
        </w:rPr>
        <w:t>pa bi njegov limeni ljubimac bio dostupan i bez korištenja kredita banke, bez kamata i naknada</w:t>
      </w:r>
      <w:r w:rsidR="001D5A8E">
        <w:rPr>
          <w:rFonts w:eastAsia="Times New Roman" w:cs="Arial"/>
          <w:color w:val="000000" w:themeColor="text1"/>
          <w:sz w:val="24"/>
          <w:szCs w:val="24"/>
          <w:lang w:eastAsia="hr-HR"/>
        </w:rPr>
        <w:t xml:space="preserve"> banci</w:t>
      </w:r>
      <w:r w:rsidR="008350C8">
        <w:rPr>
          <w:rFonts w:eastAsia="Times New Roman" w:cs="Arial"/>
          <w:color w:val="000000" w:themeColor="text1"/>
          <w:sz w:val="24"/>
          <w:szCs w:val="24"/>
          <w:lang w:eastAsia="hr-HR"/>
        </w:rPr>
        <w:t xml:space="preserve">, bez troškova javnog bilježnika, ali s obzirom da se radi o novom automobilu svakako bi bilo primjereno da zaključi kasko osiguranje (te jasno da će imati i dodatne troškove vezane uz registraciju i obvezno automobilsko osiguranje). </w:t>
      </w:r>
    </w:p>
    <w:p w:rsidR="00AF21E3" w:rsidRPr="00C812A0" w:rsidRDefault="008350C8"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C00000"/>
          <w:sz w:val="24"/>
          <w:szCs w:val="24"/>
          <w:lang w:eastAsia="hr-HR"/>
        </w:rPr>
        <w:t xml:space="preserve">PLAN E: </w:t>
      </w:r>
      <w:r w:rsidR="00CF3D09" w:rsidRPr="00C812A0">
        <w:rPr>
          <w:rFonts w:eastAsia="Times New Roman" w:cs="Arial"/>
          <w:color w:val="000000" w:themeColor="text1"/>
          <w:sz w:val="24"/>
          <w:szCs w:val="24"/>
          <w:lang w:eastAsia="hr-HR"/>
        </w:rPr>
        <w:t xml:space="preserve">Alternativu financiranju kroz kredit banke predstavlja </w:t>
      </w:r>
      <w:r w:rsidR="00CF3D09" w:rsidRPr="00C812A0">
        <w:rPr>
          <w:rFonts w:eastAsia="Times New Roman" w:cs="Arial"/>
          <w:color w:val="C00000"/>
          <w:sz w:val="24"/>
          <w:szCs w:val="24"/>
          <w:lang w:eastAsia="hr-HR"/>
        </w:rPr>
        <w:t>financijski leasing</w:t>
      </w:r>
      <w:r w:rsidR="00CF3D09" w:rsidRPr="00C812A0">
        <w:rPr>
          <w:rFonts w:eastAsia="Times New Roman" w:cs="Arial"/>
          <w:color w:val="000000" w:themeColor="text1"/>
          <w:sz w:val="24"/>
          <w:szCs w:val="24"/>
          <w:lang w:eastAsia="hr-HR"/>
        </w:rPr>
        <w:t xml:space="preserve">. Slično kao i kod kredita njegovo osnovni smisao je korištenje i stjecanje vlasništva nad predmetom leasinga (motornim vozilom). </w:t>
      </w:r>
      <w:r w:rsidR="006546BA" w:rsidRPr="00C812A0">
        <w:rPr>
          <w:rFonts w:eastAsia="Times New Roman" w:cs="Arial"/>
          <w:color w:val="C00000"/>
          <w:sz w:val="24"/>
          <w:szCs w:val="24"/>
          <w:lang w:eastAsia="hr-HR"/>
        </w:rPr>
        <w:t>Financijski leasing se stoga bitno razlikuje od operativnog leasinga</w:t>
      </w:r>
      <w:r w:rsidR="006546BA" w:rsidRPr="00C812A0">
        <w:rPr>
          <w:rFonts w:eastAsia="Times New Roman" w:cs="Arial"/>
          <w:color w:val="000000" w:themeColor="text1"/>
          <w:sz w:val="24"/>
          <w:szCs w:val="24"/>
          <w:lang w:eastAsia="hr-HR"/>
        </w:rPr>
        <w:t xml:space="preserve"> </w:t>
      </w:r>
      <w:r w:rsidR="00CF3D09" w:rsidRPr="00C812A0">
        <w:rPr>
          <w:rFonts w:eastAsia="Times New Roman" w:cs="Arial"/>
          <w:color w:val="000000" w:themeColor="text1"/>
          <w:sz w:val="24"/>
          <w:szCs w:val="24"/>
          <w:lang w:eastAsia="hr-HR"/>
        </w:rPr>
        <w:t>kojemu je smisao samo korištenje predmeta leasinga</w:t>
      </w:r>
      <w:r w:rsidR="006546BA" w:rsidRPr="00C812A0">
        <w:rPr>
          <w:rFonts w:eastAsia="Times New Roman" w:cs="Arial"/>
          <w:color w:val="000000" w:themeColor="text1"/>
          <w:sz w:val="24"/>
          <w:szCs w:val="24"/>
          <w:lang w:eastAsia="hr-HR"/>
        </w:rPr>
        <w:t xml:space="preserve"> (motornog vozila), bez stjecanja vlasništva nad njime te kasnije vraćanje korištenog motornog vozila i njegovu zamjenu novim. </w:t>
      </w:r>
    </w:p>
    <w:p w:rsidR="00CF3D09" w:rsidRPr="00C812A0" w:rsidRDefault="006546BA"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 xml:space="preserve">Kod operativnog leasinga, predmet leasinga se otpisuje u knjigama davatelja leasinga (pa mjesečna najamnina ulazi u porezno priznati trošak i namijenjen je </w:t>
      </w:r>
      <w:r w:rsidR="00AF21E3" w:rsidRPr="00C812A0">
        <w:rPr>
          <w:rFonts w:eastAsia="Times New Roman" w:cs="Arial"/>
          <w:color w:val="000000" w:themeColor="text1"/>
          <w:sz w:val="24"/>
          <w:szCs w:val="24"/>
          <w:lang w:eastAsia="hr-HR"/>
        </w:rPr>
        <w:t xml:space="preserve">osobito </w:t>
      </w:r>
      <w:r w:rsidRPr="00C812A0">
        <w:rPr>
          <w:rFonts w:eastAsia="Times New Roman" w:cs="Arial"/>
          <w:color w:val="000000" w:themeColor="text1"/>
          <w:sz w:val="24"/>
          <w:szCs w:val="24"/>
          <w:lang w:eastAsia="hr-HR"/>
        </w:rPr>
        <w:t xml:space="preserve">osobama koje su u sustavu PDV-a </w:t>
      </w:r>
      <w:r w:rsidR="00AF21E3" w:rsidRPr="00C812A0">
        <w:rPr>
          <w:rFonts w:eastAsia="Times New Roman" w:cs="Arial"/>
          <w:color w:val="000000" w:themeColor="text1"/>
          <w:sz w:val="24"/>
          <w:szCs w:val="24"/>
          <w:lang w:eastAsia="hr-HR"/>
        </w:rPr>
        <w:t xml:space="preserve">- </w:t>
      </w:r>
      <w:r w:rsidRPr="00C812A0">
        <w:rPr>
          <w:rFonts w:eastAsia="Times New Roman" w:cs="Arial"/>
          <w:color w:val="000000" w:themeColor="text1"/>
          <w:sz w:val="24"/>
          <w:szCs w:val="24"/>
          <w:lang w:eastAsia="hr-HR"/>
        </w:rPr>
        <w:t>trgovačka društva, odvjetnici, slobodni umjetnici itd.), dok se kod financijskog leasinga predmet leasinga otpisuje u knjigama primatelja leasinga (</w:t>
      </w:r>
      <w:r w:rsidR="00C0610F" w:rsidRPr="00C812A0">
        <w:rPr>
          <w:rFonts w:eastAsia="Times New Roman" w:cs="Arial"/>
          <w:color w:val="000000" w:themeColor="text1"/>
          <w:sz w:val="24"/>
          <w:szCs w:val="24"/>
          <w:lang w:eastAsia="hr-HR"/>
        </w:rPr>
        <w:t>pa</w:t>
      </w:r>
      <w:r w:rsidR="00AF21E3" w:rsidRPr="00C812A0">
        <w:rPr>
          <w:rFonts w:eastAsia="Times New Roman" w:cs="Arial"/>
          <w:color w:val="000000" w:themeColor="text1"/>
          <w:sz w:val="24"/>
          <w:szCs w:val="24"/>
          <w:lang w:eastAsia="hr-HR"/>
        </w:rPr>
        <w:t xml:space="preserve"> </w:t>
      </w:r>
      <w:r w:rsidRPr="00C812A0">
        <w:rPr>
          <w:rFonts w:eastAsia="Times New Roman" w:cs="Arial"/>
          <w:color w:val="000000" w:themeColor="text1"/>
          <w:sz w:val="24"/>
          <w:szCs w:val="24"/>
          <w:lang w:eastAsia="hr-HR"/>
        </w:rPr>
        <w:t xml:space="preserve">je pojedinim fizičkim osobama </w:t>
      </w:r>
      <w:r w:rsidR="00C0610F" w:rsidRPr="00C812A0">
        <w:rPr>
          <w:rFonts w:eastAsia="Times New Roman" w:cs="Arial"/>
          <w:color w:val="000000" w:themeColor="text1"/>
          <w:sz w:val="24"/>
          <w:szCs w:val="24"/>
          <w:lang w:eastAsia="hr-HR"/>
        </w:rPr>
        <w:t>koje</w:t>
      </w:r>
      <w:r w:rsidR="00AF21E3" w:rsidRPr="00C812A0">
        <w:rPr>
          <w:rFonts w:eastAsia="Times New Roman" w:cs="Arial"/>
          <w:color w:val="000000" w:themeColor="text1"/>
          <w:sz w:val="24"/>
          <w:szCs w:val="24"/>
          <w:lang w:eastAsia="hr-HR"/>
        </w:rPr>
        <w:t xml:space="preserve"> ostvaruju</w:t>
      </w:r>
      <w:r w:rsidR="00C0610F" w:rsidRPr="00C812A0">
        <w:rPr>
          <w:rFonts w:eastAsia="Times New Roman" w:cs="Arial"/>
          <w:color w:val="000000" w:themeColor="text1"/>
          <w:sz w:val="24"/>
          <w:szCs w:val="24"/>
          <w:lang w:eastAsia="hr-HR"/>
        </w:rPr>
        <w:t xml:space="preserve"> </w:t>
      </w:r>
      <w:r w:rsidR="00AF21E3" w:rsidRPr="00C812A0">
        <w:rPr>
          <w:rFonts w:eastAsia="Times New Roman" w:cs="Arial"/>
          <w:color w:val="000000" w:themeColor="text1"/>
          <w:sz w:val="24"/>
          <w:szCs w:val="24"/>
          <w:lang w:eastAsia="hr-HR"/>
        </w:rPr>
        <w:t xml:space="preserve">dohotka od samostalne djelatnosti </w:t>
      </w:r>
      <w:r w:rsidRPr="00C812A0">
        <w:rPr>
          <w:rFonts w:eastAsia="Times New Roman" w:cs="Arial"/>
          <w:color w:val="000000" w:themeColor="text1"/>
          <w:sz w:val="24"/>
          <w:szCs w:val="24"/>
          <w:lang w:eastAsia="hr-HR"/>
        </w:rPr>
        <w:t>posebno zanimljiv jer se kamate mogu uklju</w:t>
      </w:r>
      <w:r w:rsidR="00AF21E3" w:rsidRPr="00C812A0">
        <w:rPr>
          <w:rFonts w:eastAsia="Times New Roman" w:cs="Arial"/>
          <w:color w:val="000000" w:themeColor="text1"/>
          <w:sz w:val="24"/>
          <w:szCs w:val="24"/>
          <w:lang w:eastAsia="hr-HR"/>
        </w:rPr>
        <w:t>čiti</w:t>
      </w:r>
      <w:r w:rsidRPr="00C812A0">
        <w:rPr>
          <w:rFonts w:eastAsia="Times New Roman" w:cs="Arial"/>
          <w:color w:val="000000" w:themeColor="text1"/>
          <w:sz w:val="24"/>
          <w:szCs w:val="24"/>
          <w:lang w:eastAsia="hr-HR"/>
        </w:rPr>
        <w:t xml:space="preserve"> u porezno priznate troškove</w:t>
      </w:r>
      <w:r w:rsidR="00C0610F"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 xml:space="preserve">. </w:t>
      </w:r>
      <w:r w:rsidR="00AF21E3" w:rsidRPr="00C812A0">
        <w:rPr>
          <w:rFonts w:eastAsia="Times New Roman" w:cs="Arial"/>
          <w:color w:val="000000" w:themeColor="text1"/>
          <w:sz w:val="24"/>
          <w:szCs w:val="24"/>
          <w:lang w:eastAsia="hr-HR"/>
        </w:rPr>
        <w:t>Operativni</w:t>
      </w:r>
      <w:r w:rsidRPr="00C812A0">
        <w:rPr>
          <w:rFonts w:eastAsia="Times New Roman" w:cs="Arial"/>
          <w:color w:val="000000" w:themeColor="text1"/>
          <w:sz w:val="24"/>
          <w:szCs w:val="24"/>
          <w:lang w:eastAsia="hr-HR"/>
        </w:rPr>
        <w:t xml:space="preserve"> leasing ne </w:t>
      </w:r>
      <w:r w:rsidRPr="00C812A0">
        <w:rPr>
          <w:rFonts w:eastAsia="Times New Roman" w:cs="Arial"/>
          <w:color w:val="000000" w:themeColor="text1"/>
          <w:sz w:val="24"/>
          <w:szCs w:val="24"/>
          <w:lang w:eastAsia="hr-HR"/>
        </w:rPr>
        <w:lastRenderedPageBreak/>
        <w:t xml:space="preserve">predviđa otkup predmeta leasinga, dok je </w:t>
      </w:r>
      <w:r w:rsidRPr="00C812A0">
        <w:rPr>
          <w:rFonts w:eastAsia="Times New Roman" w:cs="Arial"/>
          <w:color w:val="C00000"/>
          <w:sz w:val="24"/>
          <w:szCs w:val="24"/>
          <w:lang w:eastAsia="hr-HR"/>
        </w:rPr>
        <w:t>kod financijskog leasinga ugovorom predviđen otkup</w:t>
      </w:r>
      <w:r w:rsidRPr="00C812A0">
        <w:rPr>
          <w:rFonts w:eastAsia="Times New Roman" w:cs="Arial"/>
          <w:color w:val="000000" w:themeColor="text1"/>
          <w:sz w:val="24"/>
          <w:szCs w:val="24"/>
          <w:lang w:eastAsia="hr-HR"/>
        </w:rPr>
        <w:t xml:space="preserve">. Kod operativnog leasinga potrebna je jamčevina npr. 20%, a kod financijskog leasinga </w:t>
      </w:r>
      <w:r w:rsidRPr="00C812A0">
        <w:rPr>
          <w:rFonts w:eastAsia="Times New Roman" w:cs="Arial"/>
          <w:color w:val="C00000"/>
          <w:sz w:val="24"/>
          <w:szCs w:val="24"/>
          <w:lang w:eastAsia="hr-HR"/>
        </w:rPr>
        <w:t xml:space="preserve">akontacija u visini npr. 20%. </w:t>
      </w:r>
      <w:r w:rsidRPr="00C812A0">
        <w:rPr>
          <w:rFonts w:eastAsia="Times New Roman" w:cs="Arial"/>
          <w:color w:val="000000" w:themeColor="text1"/>
          <w:sz w:val="24"/>
          <w:szCs w:val="24"/>
          <w:lang w:eastAsia="hr-HR"/>
        </w:rPr>
        <w:t xml:space="preserve">Osnovica za obračun iznosa financijskog leasinga jednaka je razlici između bruto vrijednosti predmeta leasinga i akontacije. </w:t>
      </w:r>
    </w:p>
    <w:p w:rsidR="001F47A3" w:rsidRPr="00C812A0" w:rsidRDefault="00FF7DAF"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U nastavku se nalazi informativni primjer uvjeta odobravanja financijskog leasinga za osobno vozilo čija je cijena s PDV-om 13.868,42 (105.400 kuna). Akontacija (učešće korisnika leasinga) u visini 20% iznosi 2.773,68</w:t>
      </w:r>
      <w:r w:rsidR="00AF21E3" w:rsidRPr="00C812A0">
        <w:rPr>
          <w:rFonts w:eastAsia="Times New Roman" w:cs="Arial"/>
          <w:color w:val="000000" w:themeColor="text1"/>
          <w:sz w:val="24"/>
          <w:szCs w:val="24"/>
          <w:lang w:eastAsia="hr-HR"/>
        </w:rPr>
        <w:t xml:space="preserve"> eura</w:t>
      </w:r>
      <w:r w:rsidR="008350C8" w:rsidRPr="00C812A0">
        <w:rPr>
          <w:rFonts w:eastAsia="Times New Roman" w:cs="Arial"/>
          <w:color w:val="000000" w:themeColor="text1"/>
          <w:sz w:val="24"/>
          <w:szCs w:val="24"/>
          <w:lang w:eastAsia="hr-HR"/>
        </w:rPr>
        <w:t xml:space="preserve"> (odnosno 21.079,97 kuna formiranih npr. mjesečnom štednjom 230 eura, odn</w:t>
      </w:r>
      <w:r w:rsidR="001D5A8E" w:rsidRPr="00C812A0">
        <w:rPr>
          <w:rFonts w:eastAsia="Times New Roman" w:cs="Arial"/>
          <w:color w:val="000000" w:themeColor="text1"/>
          <w:sz w:val="24"/>
          <w:szCs w:val="24"/>
          <w:lang w:eastAsia="hr-HR"/>
        </w:rPr>
        <w:t>o</w:t>
      </w:r>
      <w:r w:rsidR="008350C8" w:rsidRPr="00C812A0">
        <w:rPr>
          <w:rFonts w:eastAsia="Times New Roman" w:cs="Arial"/>
          <w:color w:val="000000" w:themeColor="text1"/>
          <w:sz w:val="24"/>
          <w:szCs w:val="24"/>
          <w:lang w:eastAsia="hr-HR"/>
        </w:rPr>
        <w:t xml:space="preserve">sno 1.748 kn </w:t>
      </w:r>
      <w:r w:rsidR="001D5A8E" w:rsidRPr="00C812A0">
        <w:rPr>
          <w:rFonts w:eastAsia="Times New Roman" w:cs="Arial"/>
          <w:color w:val="000000" w:themeColor="text1"/>
          <w:sz w:val="24"/>
          <w:szCs w:val="24"/>
          <w:lang w:eastAsia="hr-HR"/>
        </w:rPr>
        <w:t xml:space="preserve">mjesečno </w:t>
      </w:r>
      <w:r w:rsidR="008350C8" w:rsidRPr="00C812A0">
        <w:rPr>
          <w:rFonts w:eastAsia="Times New Roman" w:cs="Arial"/>
          <w:color w:val="000000" w:themeColor="text1"/>
          <w:sz w:val="24"/>
          <w:szCs w:val="24"/>
          <w:lang w:eastAsia="hr-HR"/>
        </w:rPr>
        <w:t>kroz godinu dana)</w:t>
      </w:r>
      <w:r w:rsidRPr="00C812A0">
        <w:rPr>
          <w:rFonts w:eastAsia="Times New Roman" w:cs="Arial"/>
          <w:color w:val="000000" w:themeColor="text1"/>
          <w:sz w:val="24"/>
          <w:szCs w:val="24"/>
          <w:lang w:eastAsia="hr-HR"/>
        </w:rPr>
        <w:t>. Iznos financiranja leasingom je stoga  11.094,74 EUR (odnosno 84</w:t>
      </w:r>
      <w:r w:rsidR="00AF21E3"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320,02 kuna uz tečaj 7,6 kuna za 1 euro). Kamatna stopa u trenutku sastavljanja ovog teksta iznosi 5,75% godišnje (ali je promjenjiva), a</w:t>
      </w:r>
      <w:r w:rsidR="00AF21E3" w:rsidRPr="00C812A0">
        <w:rPr>
          <w:rFonts w:eastAsia="Times New Roman" w:cs="Arial"/>
          <w:color w:val="000000" w:themeColor="text1"/>
          <w:sz w:val="24"/>
          <w:szCs w:val="24"/>
          <w:lang w:eastAsia="hr-HR"/>
        </w:rPr>
        <w:t xml:space="preserve"> </w:t>
      </w:r>
      <w:r w:rsidRPr="00C812A0">
        <w:rPr>
          <w:rFonts w:eastAsia="Times New Roman" w:cs="Arial"/>
          <w:color w:val="000000" w:themeColor="text1"/>
          <w:sz w:val="24"/>
          <w:szCs w:val="24"/>
          <w:lang w:eastAsia="hr-HR"/>
        </w:rPr>
        <w:t xml:space="preserve">EKS iznosi 6,12% godišnje. </w:t>
      </w:r>
    </w:p>
    <w:p w:rsidR="00FF7DAF" w:rsidRPr="00C812A0" w:rsidRDefault="001D5A8E"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 xml:space="preserve">Uz pretpostavku </w:t>
      </w:r>
      <w:r w:rsidRPr="00C812A0">
        <w:rPr>
          <w:rFonts w:eastAsia="Times New Roman" w:cs="Arial"/>
          <w:color w:val="C00000"/>
          <w:sz w:val="24"/>
          <w:szCs w:val="24"/>
          <w:lang w:eastAsia="hr-HR"/>
        </w:rPr>
        <w:t>trajanja leasinga 5 godina</w:t>
      </w:r>
      <w:r w:rsidRPr="00C812A0">
        <w:rPr>
          <w:rFonts w:eastAsia="Times New Roman" w:cs="Arial"/>
          <w:color w:val="000000" w:themeColor="text1"/>
          <w:sz w:val="24"/>
          <w:szCs w:val="24"/>
          <w:lang w:eastAsia="hr-HR"/>
        </w:rPr>
        <w:t>, p</w:t>
      </w:r>
      <w:r w:rsidR="00FF7DAF" w:rsidRPr="00C812A0">
        <w:rPr>
          <w:rFonts w:eastAsia="Times New Roman" w:cs="Arial"/>
          <w:color w:val="000000" w:themeColor="text1"/>
          <w:sz w:val="24"/>
          <w:szCs w:val="24"/>
          <w:lang w:eastAsia="hr-HR"/>
        </w:rPr>
        <w:t xml:space="preserve">rva rata i svi ostali </w:t>
      </w:r>
      <w:r w:rsidR="00C0610F" w:rsidRPr="00C812A0">
        <w:rPr>
          <w:rFonts w:eastAsia="Times New Roman" w:cs="Arial"/>
          <w:color w:val="000000" w:themeColor="text1"/>
          <w:sz w:val="24"/>
          <w:szCs w:val="24"/>
          <w:lang w:eastAsia="hr-HR"/>
        </w:rPr>
        <w:t xml:space="preserve">mjesečni </w:t>
      </w:r>
      <w:r w:rsidR="00FF7DAF" w:rsidRPr="00C812A0">
        <w:rPr>
          <w:rFonts w:eastAsia="Times New Roman" w:cs="Arial"/>
          <w:color w:val="000000" w:themeColor="text1"/>
          <w:sz w:val="24"/>
          <w:szCs w:val="24"/>
          <w:lang w:eastAsia="hr-HR"/>
        </w:rPr>
        <w:t>obroci otplate (uz nepromijenjenu kamatnu stopu</w:t>
      </w:r>
      <w:r w:rsidR="00C0610F" w:rsidRPr="00C812A0">
        <w:rPr>
          <w:rFonts w:eastAsia="Times New Roman" w:cs="Arial"/>
          <w:color w:val="000000" w:themeColor="text1"/>
          <w:sz w:val="24"/>
          <w:szCs w:val="24"/>
          <w:lang w:eastAsia="hr-HR"/>
        </w:rPr>
        <w:t xml:space="preserve"> 5,75% godišnje</w:t>
      </w:r>
      <w:r w:rsidR="00FF7DAF" w:rsidRPr="00C812A0">
        <w:rPr>
          <w:rFonts w:eastAsia="Times New Roman" w:cs="Arial"/>
          <w:color w:val="000000" w:themeColor="text1"/>
          <w:sz w:val="24"/>
          <w:szCs w:val="24"/>
          <w:lang w:eastAsia="hr-HR"/>
        </w:rPr>
        <w:t>) iznose 212,48 eura. Kroz pet godina trajanja leasinga korisnik će imati izdatke u visini 12.748,80 eura (96</w:t>
      </w:r>
      <w:r w:rsidR="00AF21E3" w:rsidRPr="00C812A0">
        <w:rPr>
          <w:rFonts w:eastAsia="Times New Roman" w:cs="Arial"/>
          <w:color w:val="000000" w:themeColor="text1"/>
          <w:sz w:val="24"/>
          <w:szCs w:val="24"/>
          <w:lang w:eastAsia="hr-HR"/>
        </w:rPr>
        <w:t>.</w:t>
      </w:r>
      <w:r w:rsidR="00FF7DAF" w:rsidRPr="00C812A0">
        <w:rPr>
          <w:rFonts w:eastAsia="Times New Roman" w:cs="Arial"/>
          <w:color w:val="000000" w:themeColor="text1"/>
          <w:sz w:val="24"/>
          <w:szCs w:val="24"/>
          <w:lang w:eastAsia="hr-HR"/>
        </w:rPr>
        <w:t>890,88</w:t>
      </w:r>
      <w:r w:rsidR="00AF21E3" w:rsidRPr="00C812A0">
        <w:rPr>
          <w:rFonts w:eastAsia="Times New Roman" w:cs="Arial"/>
          <w:color w:val="000000" w:themeColor="text1"/>
          <w:sz w:val="24"/>
          <w:szCs w:val="24"/>
          <w:lang w:eastAsia="hr-HR"/>
        </w:rPr>
        <w:t xml:space="preserve"> kuna</w:t>
      </w:r>
      <w:r w:rsidR="00FF7DAF" w:rsidRPr="00C812A0">
        <w:rPr>
          <w:rFonts w:eastAsia="Times New Roman" w:cs="Arial"/>
          <w:color w:val="000000" w:themeColor="text1"/>
          <w:sz w:val="24"/>
          <w:szCs w:val="24"/>
          <w:lang w:eastAsia="hr-HR"/>
        </w:rPr>
        <w:t>)</w:t>
      </w:r>
      <w:r w:rsidR="00AF21E3" w:rsidRPr="00C812A0">
        <w:rPr>
          <w:rFonts w:eastAsia="Times New Roman" w:cs="Arial"/>
          <w:color w:val="000000" w:themeColor="text1"/>
          <w:sz w:val="24"/>
          <w:szCs w:val="24"/>
          <w:lang w:eastAsia="hr-HR"/>
        </w:rPr>
        <w:t xml:space="preserve"> plus učešće 2.773,68 eura (odnosno 21.079,97 kuna), što (bez dodatnih naknada</w:t>
      </w:r>
      <w:r w:rsidRPr="00C812A0">
        <w:rPr>
          <w:rFonts w:eastAsia="Times New Roman" w:cs="Arial"/>
          <w:color w:val="000000" w:themeColor="text1"/>
          <w:sz w:val="24"/>
          <w:szCs w:val="24"/>
          <w:lang w:eastAsia="hr-HR"/>
        </w:rPr>
        <w:t xml:space="preserve"> leasing društva</w:t>
      </w:r>
      <w:r w:rsidR="00AF21E3" w:rsidRPr="00C812A0">
        <w:rPr>
          <w:rFonts w:eastAsia="Times New Roman" w:cs="Arial"/>
          <w:color w:val="000000" w:themeColor="text1"/>
          <w:sz w:val="24"/>
          <w:szCs w:val="24"/>
          <w:lang w:eastAsia="hr-HR"/>
        </w:rPr>
        <w:t xml:space="preserve">) znači ukupne planirane izdatke u visini 15.522,48 eura (odnosno uz pretpostavku o nepromijenjenom tečaju </w:t>
      </w:r>
      <w:r w:rsidR="00C0610F" w:rsidRPr="00C812A0">
        <w:rPr>
          <w:rFonts w:eastAsia="Times New Roman" w:cs="Arial"/>
          <w:color w:val="000000" w:themeColor="text1"/>
          <w:sz w:val="24"/>
          <w:szCs w:val="24"/>
          <w:lang w:eastAsia="hr-HR"/>
        </w:rPr>
        <w:t xml:space="preserve">radi se o iznosu </w:t>
      </w:r>
      <w:r w:rsidR="00AF21E3" w:rsidRPr="00C812A0">
        <w:rPr>
          <w:rFonts w:eastAsia="Times New Roman" w:cs="Arial"/>
          <w:color w:val="000000" w:themeColor="text1"/>
          <w:sz w:val="24"/>
          <w:szCs w:val="24"/>
          <w:lang w:eastAsia="hr-HR"/>
        </w:rPr>
        <w:t>117.970,85 kuna</w:t>
      </w:r>
      <w:r w:rsidR="001F47A3" w:rsidRPr="00C812A0">
        <w:rPr>
          <w:rFonts w:eastAsia="Times New Roman" w:cs="Arial"/>
          <w:color w:val="000000" w:themeColor="text1"/>
          <w:sz w:val="24"/>
          <w:szCs w:val="24"/>
          <w:lang w:eastAsia="hr-HR"/>
        </w:rPr>
        <w:t>)</w:t>
      </w:r>
      <w:r w:rsidR="00AF21E3" w:rsidRPr="00C812A0">
        <w:rPr>
          <w:rFonts w:eastAsia="Times New Roman" w:cs="Arial"/>
          <w:color w:val="000000" w:themeColor="text1"/>
          <w:sz w:val="24"/>
          <w:szCs w:val="24"/>
          <w:lang w:eastAsia="hr-HR"/>
        </w:rPr>
        <w:t xml:space="preserve">. </w:t>
      </w:r>
      <w:r w:rsidRPr="00C812A0">
        <w:rPr>
          <w:rFonts w:eastAsia="Times New Roman" w:cs="Arial"/>
          <w:color w:val="000000" w:themeColor="text1"/>
          <w:sz w:val="24"/>
          <w:szCs w:val="24"/>
          <w:lang w:eastAsia="hr-HR"/>
        </w:rPr>
        <w:t xml:space="preserve">Iznos koji bi još dodatno trebao podmiriti </w:t>
      </w:r>
      <w:r w:rsidR="001F47A3" w:rsidRPr="00C812A0">
        <w:rPr>
          <w:rFonts w:eastAsia="Times New Roman" w:cs="Arial"/>
          <w:color w:val="000000" w:themeColor="text1"/>
          <w:sz w:val="24"/>
          <w:szCs w:val="24"/>
          <w:lang w:eastAsia="hr-HR"/>
        </w:rPr>
        <w:t xml:space="preserve">korisnik leasinga </w:t>
      </w:r>
      <w:r w:rsidRPr="00C812A0">
        <w:rPr>
          <w:rFonts w:eastAsia="Times New Roman" w:cs="Arial"/>
          <w:color w:val="000000" w:themeColor="text1"/>
          <w:sz w:val="24"/>
          <w:szCs w:val="24"/>
          <w:lang w:eastAsia="hr-HR"/>
        </w:rPr>
        <w:t xml:space="preserve">radi stjecanja vlasništva nad vozilom, odnosno s aspekta otkupne vrijednosti je 50 eura (380 kuna). S obzirom da je kamatna stopa u slučaju financijskog leasinga niža nego kod kredita, opisani model jednogodišnje štednje uz mjesečnim iznosima 230 eura i petogodišnje otplate uz mjesečne </w:t>
      </w:r>
      <w:r w:rsidR="00C0610F" w:rsidRPr="00C812A0">
        <w:rPr>
          <w:rFonts w:eastAsia="Times New Roman" w:cs="Arial"/>
          <w:color w:val="000000" w:themeColor="text1"/>
          <w:sz w:val="24"/>
          <w:szCs w:val="24"/>
          <w:lang w:eastAsia="hr-HR"/>
        </w:rPr>
        <w:t xml:space="preserve">obroke </w:t>
      </w:r>
      <w:r w:rsidR="001F47A3" w:rsidRPr="00C812A0">
        <w:rPr>
          <w:rFonts w:eastAsia="Times New Roman" w:cs="Arial"/>
          <w:color w:val="000000" w:themeColor="text1"/>
          <w:sz w:val="24"/>
          <w:szCs w:val="24"/>
          <w:lang w:eastAsia="hr-HR"/>
        </w:rPr>
        <w:t>212,48 eura (sveukupno trajanje 6 godina) znači</w:t>
      </w:r>
      <w:r w:rsidR="00C0610F" w:rsidRPr="00C812A0">
        <w:rPr>
          <w:rFonts w:eastAsia="Times New Roman" w:cs="Arial"/>
          <w:color w:val="000000" w:themeColor="text1"/>
          <w:sz w:val="24"/>
          <w:szCs w:val="24"/>
          <w:lang w:eastAsia="hr-HR"/>
        </w:rPr>
        <w:t>o</w:t>
      </w:r>
      <w:r w:rsidR="001F47A3" w:rsidRPr="00C812A0">
        <w:rPr>
          <w:rFonts w:eastAsia="Times New Roman" w:cs="Arial"/>
          <w:color w:val="000000" w:themeColor="text1"/>
          <w:sz w:val="24"/>
          <w:szCs w:val="24"/>
          <w:lang w:eastAsia="hr-HR"/>
        </w:rPr>
        <w:t xml:space="preserve"> bi 10.107,55</w:t>
      </w:r>
      <w:r w:rsidRPr="00C812A0">
        <w:rPr>
          <w:rFonts w:eastAsia="Times New Roman" w:cs="Arial"/>
          <w:color w:val="000000" w:themeColor="text1"/>
          <w:sz w:val="24"/>
          <w:szCs w:val="24"/>
          <w:lang w:eastAsia="hr-HR"/>
        </w:rPr>
        <w:t xml:space="preserve"> </w:t>
      </w:r>
      <w:r w:rsidR="001F47A3" w:rsidRPr="00C812A0">
        <w:rPr>
          <w:rFonts w:eastAsia="Times New Roman" w:cs="Arial"/>
          <w:color w:val="000000" w:themeColor="text1"/>
          <w:sz w:val="24"/>
          <w:szCs w:val="24"/>
          <w:lang w:eastAsia="hr-HR"/>
        </w:rPr>
        <w:t>kuna manjih troškova kamata nego u slučaju petogodišnjeg kredita banke koji se otplaćuje u mjesečnim anuitetima 2.134,64 kn (280,87 eura).</w:t>
      </w:r>
      <w:r w:rsidR="002D3C41">
        <w:rPr>
          <w:rStyle w:val="Referencafusnote"/>
          <w:rFonts w:eastAsia="Times New Roman" w:cs="Arial"/>
          <w:color w:val="000000" w:themeColor="text1"/>
          <w:sz w:val="24"/>
          <w:szCs w:val="24"/>
          <w:lang w:eastAsia="hr-HR"/>
        </w:rPr>
        <w:footnoteReference w:id="68"/>
      </w:r>
      <w:r w:rsidR="001F47A3" w:rsidRPr="00C812A0">
        <w:rPr>
          <w:rFonts w:eastAsia="Times New Roman" w:cs="Arial"/>
          <w:color w:val="000000" w:themeColor="text1"/>
          <w:sz w:val="24"/>
          <w:szCs w:val="24"/>
          <w:lang w:eastAsia="hr-HR"/>
        </w:rPr>
        <w:t xml:space="preserve"> </w:t>
      </w:r>
    </w:p>
    <w:p w:rsidR="00C71D4C" w:rsidRPr="00C812A0" w:rsidRDefault="001F47A3"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 xml:space="preserve">Naposljetku, i </w:t>
      </w:r>
      <w:r w:rsidRPr="00C812A0">
        <w:rPr>
          <w:rFonts w:eastAsia="Times New Roman" w:cs="Arial"/>
          <w:color w:val="C00000"/>
          <w:sz w:val="24"/>
          <w:szCs w:val="24"/>
          <w:lang w:eastAsia="hr-HR"/>
        </w:rPr>
        <w:t>leasing je mogao trajati 4 godine</w:t>
      </w:r>
      <w:r w:rsidRPr="00C812A0">
        <w:rPr>
          <w:rFonts w:eastAsia="Times New Roman" w:cs="Arial"/>
          <w:color w:val="000000" w:themeColor="text1"/>
          <w:sz w:val="24"/>
          <w:szCs w:val="24"/>
          <w:lang w:eastAsia="hr-HR"/>
        </w:rPr>
        <w:t xml:space="preserve">. Uz učešće </w:t>
      </w:r>
      <w:r w:rsidR="00C0610F" w:rsidRPr="00C812A0">
        <w:rPr>
          <w:rFonts w:eastAsia="Times New Roman" w:cs="Arial"/>
          <w:color w:val="000000" w:themeColor="text1"/>
          <w:sz w:val="24"/>
          <w:szCs w:val="24"/>
          <w:lang w:eastAsia="hr-HR"/>
        </w:rPr>
        <w:t xml:space="preserve">20% odnosno </w:t>
      </w:r>
      <w:r w:rsidRPr="00C812A0">
        <w:rPr>
          <w:rFonts w:eastAsia="Times New Roman" w:cs="Arial"/>
          <w:color w:val="000000" w:themeColor="text1"/>
          <w:sz w:val="24"/>
          <w:szCs w:val="24"/>
          <w:lang w:eastAsia="hr-HR"/>
        </w:rPr>
        <w:t>2.773,68 eura (</w:t>
      </w:r>
      <w:r w:rsidR="00C0610F" w:rsidRPr="00C812A0">
        <w:rPr>
          <w:rFonts w:eastAsia="Times New Roman" w:cs="Arial"/>
          <w:color w:val="000000" w:themeColor="text1"/>
          <w:sz w:val="24"/>
          <w:szCs w:val="24"/>
          <w:lang w:eastAsia="hr-HR"/>
        </w:rPr>
        <w:t xml:space="preserve">ili </w:t>
      </w:r>
      <w:r w:rsidRPr="00C812A0">
        <w:rPr>
          <w:rFonts w:eastAsia="Times New Roman" w:cs="Arial"/>
          <w:color w:val="000000" w:themeColor="text1"/>
          <w:sz w:val="24"/>
          <w:szCs w:val="24"/>
          <w:lang w:eastAsia="hr-HR"/>
        </w:rPr>
        <w:t xml:space="preserve">21.079,97 kuna formiranih npr. mjesečnom štednjom 230 eura, odnosno 1.748 kn mjesečno kroz </w:t>
      </w:r>
      <w:r w:rsidR="00C71D4C" w:rsidRPr="00C812A0">
        <w:rPr>
          <w:rFonts w:eastAsia="Times New Roman" w:cs="Arial"/>
          <w:color w:val="000000" w:themeColor="text1"/>
          <w:sz w:val="24"/>
          <w:szCs w:val="24"/>
          <w:lang w:eastAsia="hr-HR"/>
        </w:rPr>
        <w:t xml:space="preserve">prvih </w:t>
      </w:r>
      <w:r w:rsidRPr="00C812A0">
        <w:rPr>
          <w:rFonts w:eastAsia="Times New Roman" w:cs="Arial"/>
          <w:color w:val="000000" w:themeColor="text1"/>
          <w:sz w:val="24"/>
          <w:szCs w:val="24"/>
          <w:lang w:eastAsia="hr-HR"/>
        </w:rPr>
        <w:t>godinu dana) te mjesečne obroke otplate financijskog leasinga  258,36 eura (odnosno 1</w:t>
      </w:r>
      <w:r w:rsidR="00C71D4C"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963,5</w:t>
      </w:r>
      <w:r w:rsidR="00C0610F" w:rsidRPr="00C812A0">
        <w:rPr>
          <w:rFonts w:eastAsia="Times New Roman" w:cs="Arial"/>
          <w:color w:val="000000" w:themeColor="text1"/>
          <w:sz w:val="24"/>
          <w:szCs w:val="24"/>
          <w:lang w:eastAsia="hr-HR"/>
        </w:rPr>
        <w:t>4 kuna</w:t>
      </w:r>
      <w:r w:rsidRPr="00C812A0">
        <w:rPr>
          <w:rFonts w:eastAsia="Times New Roman" w:cs="Arial"/>
          <w:color w:val="000000" w:themeColor="text1"/>
          <w:sz w:val="24"/>
          <w:szCs w:val="24"/>
          <w:lang w:eastAsia="hr-HR"/>
        </w:rPr>
        <w:t xml:space="preserve"> mjesečno)</w:t>
      </w:r>
      <w:r w:rsidR="00C71D4C" w:rsidRPr="00C812A0">
        <w:rPr>
          <w:rFonts w:eastAsia="Times New Roman" w:cs="Arial"/>
          <w:color w:val="000000" w:themeColor="text1"/>
          <w:sz w:val="24"/>
          <w:szCs w:val="24"/>
          <w:lang w:eastAsia="hr-HR"/>
        </w:rPr>
        <w:t xml:space="preserve"> kroz narednih četiri godina (ukupno trajanje aktivnosti </w:t>
      </w:r>
      <w:r w:rsidR="00C0610F" w:rsidRPr="00C812A0">
        <w:rPr>
          <w:rFonts w:eastAsia="Times New Roman" w:cs="Arial"/>
          <w:color w:val="000000" w:themeColor="text1"/>
          <w:sz w:val="24"/>
          <w:szCs w:val="24"/>
          <w:lang w:eastAsia="hr-HR"/>
        </w:rPr>
        <w:t xml:space="preserve">je </w:t>
      </w:r>
      <w:r w:rsidR="00C71D4C" w:rsidRPr="00C812A0">
        <w:rPr>
          <w:rFonts w:eastAsia="Times New Roman" w:cs="Arial"/>
          <w:color w:val="000000" w:themeColor="text1"/>
          <w:sz w:val="24"/>
          <w:szCs w:val="24"/>
          <w:lang w:eastAsia="hr-HR"/>
        </w:rPr>
        <w:t>pet godina)</w:t>
      </w:r>
      <w:r w:rsidRPr="00C812A0">
        <w:rPr>
          <w:rFonts w:eastAsia="Times New Roman" w:cs="Arial"/>
          <w:color w:val="000000" w:themeColor="text1"/>
          <w:sz w:val="24"/>
          <w:szCs w:val="24"/>
          <w:lang w:eastAsia="hr-HR"/>
        </w:rPr>
        <w:t xml:space="preserve"> izdaci za kupovinu automobila s ukupnim troškovima kamata</w:t>
      </w:r>
      <w:r w:rsidR="00C71D4C" w:rsidRPr="00C812A0">
        <w:rPr>
          <w:rFonts w:eastAsia="Times New Roman" w:cs="Arial"/>
          <w:color w:val="000000" w:themeColor="text1"/>
          <w:sz w:val="24"/>
          <w:szCs w:val="24"/>
          <w:lang w:eastAsia="hr-HR"/>
        </w:rPr>
        <w:t xml:space="preserve"> (ali bez naknada) </w:t>
      </w:r>
      <w:r w:rsidRPr="00C812A0">
        <w:rPr>
          <w:rFonts w:eastAsia="Times New Roman" w:cs="Arial"/>
          <w:color w:val="000000" w:themeColor="text1"/>
          <w:sz w:val="24"/>
          <w:szCs w:val="24"/>
          <w:lang w:eastAsia="hr-HR"/>
        </w:rPr>
        <w:t>iznosili bi 15</w:t>
      </w:r>
      <w:r w:rsidR="00C71D4C"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174,96 eura (115</w:t>
      </w:r>
      <w:r w:rsidR="00C71D4C" w:rsidRPr="00C812A0">
        <w:rPr>
          <w:rFonts w:eastAsia="Times New Roman" w:cs="Arial"/>
          <w:color w:val="000000" w:themeColor="text1"/>
          <w:sz w:val="24"/>
          <w:szCs w:val="24"/>
          <w:lang w:eastAsia="hr-HR"/>
        </w:rPr>
        <w:t>.</w:t>
      </w:r>
      <w:r w:rsidRPr="00C812A0">
        <w:rPr>
          <w:rFonts w:eastAsia="Times New Roman" w:cs="Arial"/>
          <w:color w:val="000000" w:themeColor="text1"/>
          <w:sz w:val="24"/>
          <w:szCs w:val="24"/>
          <w:lang w:eastAsia="hr-HR"/>
        </w:rPr>
        <w:t>329,</w:t>
      </w:r>
      <w:r w:rsidR="00C71D4C" w:rsidRPr="00C812A0">
        <w:rPr>
          <w:rFonts w:eastAsia="Times New Roman" w:cs="Arial"/>
          <w:color w:val="000000" w:themeColor="text1"/>
          <w:sz w:val="24"/>
          <w:szCs w:val="24"/>
          <w:lang w:eastAsia="hr-HR"/>
        </w:rPr>
        <w:t>70</w:t>
      </w:r>
      <w:r w:rsidRPr="00C812A0">
        <w:rPr>
          <w:rFonts w:eastAsia="Times New Roman" w:cs="Arial"/>
          <w:color w:val="000000" w:themeColor="text1"/>
          <w:sz w:val="24"/>
          <w:szCs w:val="24"/>
          <w:lang w:eastAsia="hr-HR"/>
        </w:rPr>
        <w:t>6</w:t>
      </w:r>
      <w:r w:rsidR="00C71D4C" w:rsidRPr="00C812A0">
        <w:rPr>
          <w:rFonts w:eastAsia="Times New Roman" w:cs="Arial"/>
          <w:color w:val="000000" w:themeColor="text1"/>
          <w:sz w:val="24"/>
          <w:szCs w:val="24"/>
          <w:lang w:eastAsia="hr-HR"/>
        </w:rPr>
        <w:t xml:space="preserve"> kuna). Radi se o iznosu koji je za 12.748,70 kuna troškova kamata manji nego u slučaju petogodišnjeg kredita banke koji se otplaćuje u mjesečnim anuitetima 2.134,64 kn (280,87 eura). Nakon što završi razdoblje trajanja leasinga, korisniku leasinga ostaje još izdatak otkupne vrijednosti 50 eura (380 kuna)</w:t>
      </w:r>
      <w:r w:rsidR="00C0610F" w:rsidRPr="00C812A0">
        <w:rPr>
          <w:rFonts w:eastAsia="Times New Roman" w:cs="Arial"/>
          <w:color w:val="000000" w:themeColor="text1"/>
          <w:sz w:val="24"/>
          <w:szCs w:val="24"/>
          <w:lang w:eastAsia="hr-HR"/>
        </w:rPr>
        <w:t xml:space="preserve"> i ima automobil star 4 godine. Slično kao u slučaju kredita banke povrh svih opisanih iznosa najčešće treba uključiti i jednokratne iznose naknada za ugovaranje leasing ugovora, iako je moguće da leasing društvo ne zaračunava naknade. </w:t>
      </w:r>
    </w:p>
    <w:p w:rsidR="001F47A3" w:rsidRPr="00C812A0" w:rsidRDefault="00C0610F" w:rsidP="00C812A0">
      <w:pPr>
        <w:shd w:val="clear" w:color="auto" w:fill="FFFFFF"/>
        <w:jc w:val="both"/>
        <w:textAlignment w:val="baseline"/>
        <w:rPr>
          <w:rFonts w:eastAsia="Times New Roman" w:cs="Arial"/>
          <w:color w:val="000000" w:themeColor="text1"/>
          <w:sz w:val="24"/>
          <w:szCs w:val="24"/>
          <w:lang w:eastAsia="hr-HR"/>
        </w:rPr>
      </w:pPr>
      <w:r w:rsidRPr="00C812A0">
        <w:rPr>
          <w:rFonts w:eastAsia="Times New Roman" w:cs="Arial"/>
          <w:color w:val="000000" w:themeColor="text1"/>
          <w:sz w:val="24"/>
          <w:szCs w:val="24"/>
          <w:lang w:eastAsia="hr-HR"/>
        </w:rPr>
        <w:t>N</w:t>
      </w:r>
      <w:r w:rsidR="00C71D4C" w:rsidRPr="00C812A0">
        <w:rPr>
          <w:rFonts w:eastAsia="Times New Roman" w:cs="Arial"/>
          <w:color w:val="000000" w:themeColor="text1"/>
          <w:sz w:val="24"/>
          <w:szCs w:val="24"/>
          <w:lang w:eastAsia="hr-HR"/>
        </w:rPr>
        <w:t xml:space="preserve">akon svih opisanih oblika eksternog financiranja ne treba zaboraviti i model financiranja iz vlastite štednje kroz koju se uz </w:t>
      </w:r>
      <w:r w:rsidR="00C71D4C">
        <w:rPr>
          <w:rFonts w:eastAsia="Times New Roman" w:cs="Arial"/>
          <w:color w:val="000000" w:themeColor="text1"/>
          <w:sz w:val="24"/>
          <w:szCs w:val="24"/>
          <w:lang w:eastAsia="hr-HR"/>
        </w:rPr>
        <w:t>štednju</w:t>
      </w:r>
      <w:r w:rsidR="00C71D4C" w:rsidRPr="006B7E06">
        <w:rPr>
          <w:rFonts w:eastAsia="Times New Roman" w:cs="Arial"/>
          <w:color w:val="000000" w:themeColor="text1"/>
          <w:sz w:val="24"/>
          <w:szCs w:val="24"/>
          <w:lang w:eastAsia="hr-HR"/>
        </w:rPr>
        <w:t xml:space="preserve"> u iznosu 1.690 kuna</w:t>
      </w:r>
      <w:r w:rsidR="00C71D4C">
        <w:rPr>
          <w:rFonts w:eastAsia="Times New Roman" w:cs="Arial"/>
          <w:color w:val="000000" w:themeColor="text1"/>
          <w:sz w:val="24"/>
          <w:szCs w:val="24"/>
          <w:lang w:eastAsia="hr-HR"/>
        </w:rPr>
        <w:t xml:space="preserve"> mjesečno</w:t>
      </w:r>
      <w:r w:rsidR="00C71D4C" w:rsidRPr="006B7E06">
        <w:rPr>
          <w:rFonts w:eastAsia="Times New Roman" w:cs="Arial"/>
          <w:color w:val="000000" w:themeColor="text1"/>
          <w:sz w:val="24"/>
          <w:szCs w:val="24"/>
          <w:lang w:eastAsia="hr-HR"/>
        </w:rPr>
        <w:t xml:space="preserve"> </w:t>
      </w:r>
      <w:r w:rsidR="00C71D4C">
        <w:rPr>
          <w:rFonts w:eastAsia="Times New Roman" w:cs="Arial"/>
          <w:color w:val="000000" w:themeColor="text1"/>
          <w:sz w:val="24"/>
          <w:szCs w:val="24"/>
          <w:lang w:eastAsia="hr-HR"/>
        </w:rPr>
        <w:t xml:space="preserve">i kamatnu stopu 1,5% </w:t>
      </w:r>
      <w:r w:rsidR="00C71D4C">
        <w:rPr>
          <w:rFonts w:eastAsia="Times New Roman" w:cs="Arial"/>
          <w:color w:val="000000" w:themeColor="text1"/>
          <w:sz w:val="24"/>
          <w:szCs w:val="24"/>
          <w:lang w:eastAsia="hr-HR"/>
        </w:rPr>
        <w:lastRenderedPageBreak/>
        <w:t xml:space="preserve">godišnje, </w:t>
      </w:r>
      <w:r w:rsidR="00C71D4C" w:rsidRPr="006B7E06">
        <w:rPr>
          <w:rFonts w:eastAsia="Times New Roman" w:cs="Arial"/>
          <w:color w:val="000000" w:themeColor="text1"/>
          <w:sz w:val="24"/>
          <w:szCs w:val="24"/>
          <w:lang w:eastAsia="hr-HR"/>
        </w:rPr>
        <w:t xml:space="preserve">kroz pet godina formira </w:t>
      </w:r>
      <w:r w:rsidR="00C71D4C">
        <w:rPr>
          <w:rFonts w:eastAsia="Times New Roman" w:cs="Arial"/>
          <w:color w:val="000000" w:themeColor="text1"/>
          <w:sz w:val="24"/>
          <w:szCs w:val="24"/>
          <w:lang w:eastAsia="hr-HR"/>
        </w:rPr>
        <w:t>iznos</w:t>
      </w:r>
      <w:r w:rsidR="00C71D4C" w:rsidRPr="006B7E06">
        <w:rPr>
          <w:rFonts w:eastAsia="Times New Roman" w:cs="Arial"/>
          <w:color w:val="000000" w:themeColor="text1"/>
          <w:sz w:val="24"/>
          <w:szCs w:val="24"/>
          <w:lang w:eastAsia="hr-HR"/>
        </w:rPr>
        <w:t xml:space="preserve"> 105.335,01 kn </w:t>
      </w:r>
      <w:r w:rsidR="00C71D4C">
        <w:rPr>
          <w:rFonts w:eastAsia="Times New Roman" w:cs="Arial"/>
          <w:color w:val="000000" w:themeColor="text1"/>
          <w:sz w:val="24"/>
          <w:szCs w:val="24"/>
          <w:lang w:eastAsia="hr-HR"/>
        </w:rPr>
        <w:t xml:space="preserve">gotovo dostatan za kupnju automobila bez korištenja usluga kredita ili leasinga, bez kamata na kredit i bez </w:t>
      </w:r>
      <w:r>
        <w:rPr>
          <w:rFonts w:eastAsia="Times New Roman" w:cs="Arial"/>
          <w:color w:val="000000" w:themeColor="text1"/>
          <w:sz w:val="24"/>
          <w:szCs w:val="24"/>
          <w:lang w:eastAsia="hr-HR"/>
        </w:rPr>
        <w:t xml:space="preserve">eventualnih </w:t>
      </w:r>
      <w:r w:rsidR="00C71D4C">
        <w:rPr>
          <w:rFonts w:eastAsia="Times New Roman" w:cs="Arial"/>
          <w:color w:val="000000" w:themeColor="text1"/>
          <w:sz w:val="24"/>
          <w:szCs w:val="24"/>
          <w:lang w:eastAsia="hr-HR"/>
        </w:rPr>
        <w:t>naknada koje financijske institucije zaračunavaju</w:t>
      </w:r>
      <w:r w:rsidR="00C812A0">
        <w:rPr>
          <w:rFonts w:eastAsia="Times New Roman" w:cs="Arial"/>
          <w:color w:val="000000" w:themeColor="text1"/>
          <w:sz w:val="24"/>
          <w:szCs w:val="24"/>
          <w:lang w:eastAsia="hr-HR"/>
        </w:rPr>
        <w:t xml:space="preserve"> te pretpostavku da se cijena istog modela vozila neće povećati kroz pet godina (što je realna pretpostavka jer cijene vozila kroz vrijeme prvenstveno rastu kod novih modela vozila, a za pet godina navedeno vozilo će već bit</w:t>
      </w:r>
      <w:r w:rsidR="00EE30B9">
        <w:rPr>
          <w:rFonts w:eastAsia="Times New Roman" w:cs="Arial"/>
          <w:color w:val="000000" w:themeColor="text1"/>
          <w:sz w:val="24"/>
          <w:szCs w:val="24"/>
          <w:lang w:eastAsia="hr-HR"/>
        </w:rPr>
        <w:t>i stari model, ali vozilo će biti novo),  a njegov vlasnik financijski slobodna osoba koja nije opterećena dugom</w:t>
      </w:r>
      <w:r w:rsidR="00C71D4C">
        <w:rPr>
          <w:rFonts w:eastAsia="Times New Roman" w:cs="Arial"/>
          <w:color w:val="000000" w:themeColor="text1"/>
          <w:sz w:val="24"/>
          <w:szCs w:val="24"/>
          <w:lang w:eastAsia="hr-HR"/>
        </w:rPr>
        <w:t>. Koju će od ovih opcija osoba izabrati ovisi prije svega o činjenici kada je vozilo nužno potrebno</w:t>
      </w:r>
      <w:r w:rsidR="00C812A0">
        <w:rPr>
          <w:rFonts w:eastAsia="Times New Roman" w:cs="Arial"/>
          <w:color w:val="000000" w:themeColor="text1"/>
          <w:sz w:val="24"/>
          <w:szCs w:val="24"/>
          <w:lang w:eastAsia="hr-HR"/>
        </w:rPr>
        <w:t xml:space="preserve">, može li se uz preferenciju štednje kupnja vozila odgoditi za budućnost (razdoblje za pet godina) </w:t>
      </w:r>
      <w:r w:rsidR="00C71D4C">
        <w:rPr>
          <w:rFonts w:eastAsia="Times New Roman" w:cs="Arial"/>
          <w:color w:val="000000" w:themeColor="text1"/>
          <w:sz w:val="24"/>
          <w:szCs w:val="24"/>
          <w:lang w:eastAsia="hr-HR"/>
        </w:rPr>
        <w:t>te koji su troškovi financirana prije</w:t>
      </w:r>
      <w:r w:rsidR="00C812A0">
        <w:rPr>
          <w:rFonts w:eastAsia="Times New Roman" w:cs="Arial"/>
          <w:color w:val="000000" w:themeColor="text1"/>
          <w:sz w:val="24"/>
          <w:szCs w:val="24"/>
          <w:lang w:eastAsia="hr-HR"/>
        </w:rPr>
        <w:t xml:space="preserve">voza, odnosno mogućnosti prijevoza </w:t>
      </w:r>
      <w:r w:rsidR="00C71D4C">
        <w:rPr>
          <w:rFonts w:eastAsia="Times New Roman" w:cs="Arial"/>
          <w:color w:val="000000" w:themeColor="text1"/>
          <w:sz w:val="24"/>
          <w:szCs w:val="24"/>
          <w:lang w:eastAsia="hr-HR"/>
        </w:rPr>
        <w:t xml:space="preserve">u potencijalnom razdoblju štednje. </w:t>
      </w:r>
    </w:p>
    <w:p w:rsidR="00776892" w:rsidRPr="00FF7DAF" w:rsidRDefault="006B7E06" w:rsidP="00776892">
      <w:pPr>
        <w:autoSpaceDE w:val="0"/>
        <w:autoSpaceDN w:val="0"/>
        <w:adjustRightInd w:val="0"/>
        <w:spacing w:before="240"/>
        <w:jc w:val="both"/>
        <w:rPr>
          <w:b/>
          <w:sz w:val="24"/>
          <w:szCs w:val="24"/>
        </w:rPr>
      </w:pPr>
      <w:r w:rsidRPr="00FF7DAF">
        <w:rPr>
          <w:b/>
          <w:sz w:val="24"/>
          <w:szCs w:val="24"/>
        </w:rPr>
        <w:t>4.5</w:t>
      </w:r>
      <w:r w:rsidR="00776892" w:rsidRPr="00FF7DAF">
        <w:rPr>
          <w:b/>
          <w:sz w:val="24"/>
          <w:szCs w:val="24"/>
        </w:rPr>
        <w:t>. Stambeni i hipotekarni krediti</w:t>
      </w:r>
    </w:p>
    <w:p w:rsidR="003145CC" w:rsidRDefault="00776892" w:rsidP="003145CC">
      <w:pPr>
        <w:autoSpaceDE w:val="0"/>
        <w:autoSpaceDN w:val="0"/>
        <w:adjustRightInd w:val="0"/>
        <w:spacing w:before="240"/>
        <w:jc w:val="both"/>
        <w:rPr>
          <w:sz w:val="24"/>
          <w:szCs w:val="24"/>
        </w:rPr>
      </w:pPr>
      <w:r w:rsidRPr="00A4535F">
        <w:rPr>
          <w:sz w:val="24"/>
          <w:szCs w:val="24"/>
        </w:rPr>
        <w:t xml:space="preserve">Stambeni kredit i hipotekarni kredit naizgled izgledaju vrlo slični, a osnovni razlog tome je što se kod oba javlja hipoteka (založno prvo na nekretnini) kao instrument osiguranja naplate kredite. Međutim, stambeni krediti u manjim iznosima, koji se odobravaju u svrhu adaptacije stana ili kuće, mogu se odobravati i bez založnog prava na nekretnini. Nadalje stambeni kredit je namjenski kredit, dok je u praksi europskih banaka hipotekarni kredit tipično nenamjenski gotovinski hipotekarni </w:t>
      </w:r>
      <w:r w:rsidR="00A4535F" w:rsidRPr="00A4535F">
        <w:rPr>
          <w:sz w:val="24"/>
          <w:szCs w:val="24"/>
        </w:rPr>
        <w:t>kredit</w:t>
      </w:r>
      <w:r w:rsidRPr="00A4535F">
        <w:rPr>
          <w:sz w:val="24"/>
          <w:szCs w:val="24"/>
        </w:rPr>
        <w:t xml:space="preserve">. </w:t>
      </w:r>
    </w:p>
    <w:p w:rsidR="00776892" w:rsidRDefault="00776892" w:rsidP="003145CC">
      <w:pPr>
        <w:autoSpaceDE w:val="0"/>
        <w:autoSpaceDN w:val="0"/>
        <w:adjustRightInd w:val="0"/>
        <w:spacing w:before="240"/>
        <w:jc w:val="both"/>
        <w:rPr>
          <w:rStyle w:val="Naglaeno"/>
          <w:rFonts w:ascii="Times New Roman" w:hAnsi="Times New Roman"/>
          <w:bCs w:val="0"/>
          <w:sz w:val="24"/>
          <w:szCs w:val="24"/>
        </w:rPr>
      </w:pPr>
      <w:r w:rsidRPr="00A4535F">
        <w:rPr>
          <w:sz w:val="24"/>
          <w:szCs w:val="24"/>
        </w:rPr>
        <w:t>S</w:t>
      </w:r>
      <w:r w:rsidR="00A4535F" w:rsidRPr="00A4535F">
        <w:rPr>
          <w:sz w:val="24"/>
          <w:szCs w:val="24"/>
        </w:rPr>
        <w:t xml:space="preserve">vrha odobravanja </w:t>
      </w:r>
      <w:r w:rsidR="00A4535F" w:rsidRPr="00F24A91">
        <w:rPr>
          <w:color w:val="C00000"/>
          <w:sz w:val="24"/>
          <w:szCs w:val="24"/>
        </w:rPr>
        <w:t>s</w:t>
      </w:r>
      <w:r w:rsidRPr="00F24A91">
        <w:rPr>
          <w:color w:val="C00000"/>
          <w:sz w:val="24"/>
          <w:szCs w:val="24"/>
        </w:rPr>
        <w:t>tamben</w:t>
      </w:r>
      <w:r w:rsidR="00A4535F" w:rsidRPr="00F24A91">
        <w:rPr>
          <w:color w:val="C00000"/>
          <w:sz w:val="24"/>
          <w:szCs w:val="24"/>
        </w:rPr>
        <w:t xml:space="preserve">og kredita </w:t>
      </w:r>
      <w:r w:rsidR="00A4535F" w:rsidRPr="00A4535F">
        <w:rPr>
          <w:sz w:val="24"/>
          <w:szCs w:val="24"/>
        </w:rPr>
        <w:t xml:space="preserve">može biti </w:t>
      </w:r>
      <w:r w:rsidRPr="00A4535F">
        <w:rPr>
          <w:sz w:val="24"/>
          <w:szCs w:val="24"/>
        </w:rPr>
        <w:t>kupnj</w:t>
      </w:r>
      <w:r w:rsidR="00A4535F" w:rsidRPr="00A4535F">
        <w:rPr>
          <w:sz w:val="24"/>
          <w:szCs w:val="24"/>
        </w:rPr>
        <w:t>a</w:t>
      </w:r>
      <w:r w:rsidRPr="00A4535F">
        <w:rPr>
          <w:sz w:val="24"/>
          <w:szCs w:val="24"/>
        </w:rPr>
        <w:t>, izgradnj</w:t>
      </w:r>
      <w:r w:rsidR="00A4535F" w:rsidRPr="00A4535F">
        <w:rPr>
          <w:sz w:val="24"/>
          <w:szCs w:val="24"/>
        </w:rPr>
        <w:t>a</w:t>
      </w:r>
      <w:r w:rsidRPr="00A4535F">
        <w:rPr>
          <w:sz w:val="24"/>
          <w:szCs w:val="24"/>
        </w:rPr>
        <w:t>, dogradnj</w:t>
      </w:r>
      <w:r w:rsidR="00A4535F" w:rsidRPr="00A4535F">
        <w:rPr>
          <w:sz w:val="24"/>
          <w:szCs w:val="24"/>
        </w:rPr>
        <w:t xml:space="preserve">a </w:t>
      </w:r>
      <w:r w:rsidRPr="00A4535F">
        <w:rPr>
          <w:sz w:val="24"/>
          <w:szCs w:val="24"/>
        </w:rPr>
        <w:t>ili adaptacij</w:t>
      </w:r>
      <w:r w:rsidR="00A4535F" w:rsidRPr="00A4535F">
        <w:rPr>
          <w:sz w:val="24"/>
          <w:szCs w:val="24"/>
        </w:rPr>
        <w:t>a</w:t>
      </w:r>
      <w:r w:rsidRPr="00A4535F">
        <w:rPr>
          <w:sz w:val="24"/>
          <w:szCs w:val="24"/>
        </w:rPr>
        <w:t xml:space="preserve"> stambene nekretnine. Najčešće se odobrava uz </w:t>
      </w:r>
      <w:r w:rsidRPr="003145CC">
        <w:rPr>
          <w:color w:val="C00000"/>
          <w:sz w:val="24"/>
          <w:szCs w:val="24"/>
        </w:rPr>
        <w:t xml:space="preserve">hipoteku - založno pravo na nekretnini </w:t>
      </w:r>
      <w:r w:rsidRPr="00A4535F">
        <w:rPr>
          <w:sz w:val="24"/>
          <w:szCs w:val="24"/>
        </w:rPr>
        <w:t xml:space="preserve">(bilo onoj koja je predmet kupnje ili drugoj nekretnini koja je u vlasništvu korisnika kredita ili treće osobe). </w:t>
      </w:r>
      <w:r w:rsidR="00A4535F" w:rsidRPr="00A4535F">
        <w:rPr>
          <w:sz w:val="24"/>
          <w:szCs w:val="24"/>
        </w:rPr>
        <w:t xml:space="preserve">Pri tome, vrijednost nekretnine pod hipotekom (vrijednost kolaterala) treba biti za određeni postotak veća od iznosa odobrenog kredita (na primjer 20% veća što podrazumijeva omjer 1:1,20 ili 30% veća kod omjera 1:1,30). </w:t>
      </w:r>
      <w:r w:rsidRPr="00A4535F">
        <w:rPr>
          <w:sz w:val="24"/>
          <w:szCs w:val="24"/>
        </w:rPr>
        <w:t>S obzirom da se radi o namjenskom kreditu isplata kredita vrši se u korist računa prodavatelja nekretnine, dok se u slučaju kredita za adaptaciju isplaćuje na račun korisnika kredita ali uz kontrolu namjenske upotrebe sredstava odobrenog kredita. Rok otplate kredita može bit do 20, 25 ili više godina (</w:t>
      </w:r>
      <w:r w:rsidR="00A4535F" w:rsidRPr="00A4535F">
        <w:rPr>
          <w:sz w:val="24"/>
          <w:szCs w:val="24"/>
        </w:rPr>
        <w:t xml:space="preserve">a kod </w:t>
      </w:r>
      <w:r w:rsidRPr="00A4535F">
        <w:rPr>
          <w:sz w:val="24"/>
          <w:szCs w:val="24"/>
        </w:rPr>
        <w:t>adaptacijskih kredita</w:t>
      </w:r>
      <w:r w:rsidR="003145CC">
        <w:rPr>
          <w:sz w:val="24"/>
          <w:szCs w:val="24"/>
        </w:rPr>
        <w:t xml:space="preserve"> i znatno kraće).</w:t>
      </w:r>
    </w:p>
    <w:p w:rsidR="00776892" w:rsidRPr="003145CC" w:rsidRDefault="00776892" w:rsidP="00776892">
      <w:pPr>
        <w:pStyle w:val="Naslov2"/>
        <w:spacing w:line="240" w:lineRule="atLeast"/>
        <w:jc w:val="both"/>
        <w:rPr>
          <w:rFonts w:asciiTheme="minorHAnsi" w:eastAsiaTheme="minorHAnsi" w:hAnsiTheme="minorHAnsi" w:cstheme="minorBidi"/>
          <w:b w:val="0"/>
          <w:color w:val="auto"/>
          <w:sz w:val="24"/>
          <w:szCs w:val="24"/>
        </w:rPr>
      </w:pPr>
      <w:r w:rsidRPr="003145CC">
        <w:rPr>
          <w:rFonts w:asciiTheme="minorHAnsi" w:eastAsiaTheme="minorHAnsi" w:hAnsiTheme="minorHAnsi" w:cstheme="minorBidi"/>
          <w:b w:val="0"/>
          <w:color w:val="auto"/>
          <w:sz w:val="24"/>
          <w:szCs w:val="24"/>
        </w:rPr>
        <w:t xml:space="preserve">Tipični </w:t>
      </w:r>
      <w:r w:rsidRPr="003145CC">
        <w:rPr>
          <w:rFonts w:asciiTheme="minorHAnsi" w:eastAsiaTheme="minorHAnsi" w:hAnsiTheme="minorHAnsi" w:cstheme="minorBidi"/>
          <w:b w:val="0"/>
          <w:color w:val="C00000"/>
          <w:sz w:val="24"/>
          <w:szCs w:val="24"/>
        </w:rPr>
        <w:t xml:space="preserve">instrumenti osiguranja naplate stamenog kredita </w:t>
      </w:r>
      <w:r w:rsidRPr="003145CC">
        <w:rPr>
          <w:rFonts w:asciiTheme="minorHAnsi" w:eastAsiaTheme="minorHAnsi" w:hAnsiTheme="minorHAnsi" w:cstheme="minorBidi"/>
          <w:b w:val="0"/>
          <w:color w:val="auto"/>
          <w:sz w:val="24"/>
          <w:szCs w:val="24"/>
        </w:rPr>
        <w:t>su:</w:t>
      </w:r>
    </w:p>
    <w:p w:rsidR="00776892" w:rsidRPr="003145CC" w:rsidRDefault="00776892" w:rsidP="006F1C04">
      <w:pPr>
        <w:numPr>
          <w:ilvl w:val="0"/>
          <w:numId w:val="57"/>
        </w:numPr>
        <w:autoSpaceDE w:val="0"/>
        <w:autoSpaceDN w:val="0"/>
        <w:adjustRightInd w:val="0"/>
        <w:spacing w:after="0" w:line="240" w:lineRule="auto"/>
        <w:rPr>
          <w:b/>
          <w:bCs/>
          <w:sz w:val="24"/>
          <w:szCs w:val="24"/>
        </w:rPr>
      </w:pPr>
      <w:r w:rsidRPr="003145CC">
        <w:rPr>
          <w:sz w:val="24"/>
          <w:szCs w:val="24"/>
        </w:rPr>
        <w:t>izjava korisnika kredita (</w:t>
      </w:r>
      <w:r w:rsidR="00B23554">
        <w:rPr>
          <w:sz w:val="24"/>
          <w:szCs w:val="24"/>
        </w:rPr>
        <w:t xml:space="preserve">sudužnika, jamca) </w:t>
      </w:r>
      <w:r w:rsidRPr="003145CC">
        <w:rPr>
          <w:sz w:val="24"/>
          <w:szCs w:val="24"/>
        </w:rPr>
        <w:t xml:space="preserve">o suglasnosti o zapljeni plaće, </w:t>
      </w:r>
      <w:r w:rsidRPr="003145CC">
        <w:rPr>
          <w:bCs/>
          <w:sz w:val="24"/>
          <w:szCs w:val="24"/>
        </w:rPr>
        <w:t>potvrđena kod javnog bilježnika</w:t>
      </w:r>
      <w:r w:rsidRPr="003145CC">
        <w:rPr>
          <w:b/>
          <w:bCs/>
          <w:sz w:val="24"/>
          <w:szCs w:val="24"/>
        </w:rPr>
        <w:t>;</w:t>
      </w:r>
    </w:p>
    <w:p w:rsidR="00776892" w:rsidRPr="003145CC" w:rsidRDefault="00776892" w:rsidP="006F1C04">
      <w:pPr>
        <w:pStyle w:val="Naslov2"/>
        <w:keepNext w:val="0"/>
        <w:keepLines w:val="0"/>
        <w:numPr>
          <w:ilvl w:val="0"/>
          <w:numId w:val="57"/>
        </w:numPr>
        <w:autoSpaceDE w:val="0"/>
        <w:autoSpaceDN w:val="0"/>
        <w:adjustRightInd w:val="0"/>
        <w:spacing w:before="0" w:line="240" w:lineRule="atLeast"/>
        <w:jc w:val="both"/>
        <w:rPr>
          <w:rFonts w:asciiTheme="minorHAnsi" w:eastAsiaTheme="minorHAnsi" w:hAnsiTheme="minorHAnsi" w:cstheme="minorBidi"/>
          <w:b w:val="0"/>
          <w:color w:val="auto"/>
          <w:sz w:val="24"/>
          <w:szCs w:val="24"/>
        </w:rPr>
      </w:pPr>
      <w:r w:rsidRPr="003145CC">
        <w:rPr>
          <w:rFonts w:asciiTheme="minorHAnsi" w:eastAsiaTheme="minorHAnsi" w:hAnsiTheme="minorHAnsi" w:cstheme="minorBidi"/>
          <w:b w:val="0"/>
          <w:color w:val="auto"/>
          <w:sz w:val="24"/>
          <w:szCs w:val="24"/>
        </w:rPr>
        <w:t>zadužnica korisnika kredita (</w:t>
      </w:r>
      <w:r w:rsidR="00B23554">
        <w:rPr>
          <w:rFonts w:asciiTheme="minorHAnsi" w:eastAsiaTheme="minorHAnsi" w:hAnsiTheme="minorHAnsi" w:cstheme="minorBidi"/>
          <w:b w:val="0"/>
          <w:color w:val="auto"/>
          <w:sz w:val="24"/>
          <w:szCs w:val="24"/>
        </w:rPr>
        <w:t xml:space="preserve">sudužnika, jamca) </w:t>
      </w:r>
      <w:r w:rsidRPr="003145CC">
        <w:rPr>
          <w:rFonts w:asciiTheme="minorHAnsi" w:eastAsiaTheme="minorHAnsi" w:hAnsiTheme="minorHAnsi" w:cstheme="minorBidi"/>
          <w:b w:val="0"/>
          <w:color w:val="auto"/>
          <w:sz w:val="24"/>
          <w:szCs w:val="24"/>
        </w:rPr>
        <w:t>potvrđena kod javnog bilježnika;</w:t>
      </w:r>
    </w:p>
    <w:p w:rsidR="00776892" w:rsidRPr="003145CC" w:rsidRDefault="00776892" w:rsidP="006F1C04">
      <w:pPr>
        <w:pStyle w:val="Naslov2"/>
        <w:keepNext w:val="0"/>
        <w:keepLines w:val="0"/>
        <w:numPr>
          <w:ilvl w:val="0"/>
          <w:numId w:val="57"/>
        </w:numPr>
        <w:autoSpaceDE w:val="0"/>
        <w:autoSpaceDN w:val="0"/>
        <w:adjustRightInd w:val="0"/>
        <w:spacing w:before="0" w:line="240" w:lineRule="atLeast"/>
        <w:jc w:val="both"/>
        <w:rPr>
          <w:rFonts w:asciiTheme="minorHAnsi" w:eastAsiaTheme="minorHAnsi" w:hAnsiTheme="minorHAnsi" w:cstheme="minorBidi"/>
          <w:b w:val="0"/>
          <w:bCs w:val="0"/>
          <w:color w:val="auto"/>
          <w:sz w:val="24"/>
          <w:szCs w:val="24"/>
        </w:rPr>
      </w:pPr>
      <w:r w:rsidRPr="003145CC">
        <w:rPr>
          <w:rFonts w:asciiTheme="minorHAnsi" w:eastAsiaTheme="minorHAnsi" w:hAnsiTheme="minorHAnsi" w:cstheme="minorBidi"/>
          <w:b w:val="0"/>
          <w:bCs w:val="0"/>
          <w:color w:val="auto"/>
          <w:sz w:val="24"/>
          <w:szCs w:val="24"/>
        </w:rPr>
        <w:t>založno prav</w:t>
      </w:r>
      <w:r w:rsidR="00B23554">
        <w:rPr>
          <w:rFonts w:asciiTheme="minorHAnsi" w:eastAsiaTheme="minorHAnsi" w:hAnsiTheme="minorHAnsi" w:cstheme="minorBidi"/>
          <w:b w:val="0"/>
          <w:bCs w:val="0"/>
          <w:color w:val="auto"/>
          <w:sz w:val="24"/>
          <w:szCs w:val="24"/>
        </w:rPr>
        <w:t>o</w:t>
      </w:r>
      <w:r w:rsidRPr="003145CC">
        <w:rPr>
          <w:rFonts w:asciiTheme="minorHAnsi" w:eastAsiaTheme="minorHAnsi" w:hAnsiTheme="minorHAnsi" w:cstheme="minorBidi"/>
          <w:b w:val="0"/>
          <w:bCs w:val="0"/>
          <w:color w:val="auto"/>
          <w:sz w:val="24"/>
          <w:szCs w:val="24"/>
        </w:rPr>
        <w:t xml:space="preserve"> banke na nekretnini (</w:t>
      </w:r>
      <w:r w:rsidR="00B23554">
        <w:rPr>
          <w:rFonts w:asciiTheme="minorHAnsi" w:eastAsiaTheme="minorHAnsi" w:hAnsiTheme="minorHAnsi" w:cstheme="minorBidi"/>
          <w:b w:val="0"/>
          <w:bCs w:val="0"/>
          <w:color w:val="auto"/>
          <w:sz w:val="24"/>
          <w:szCs w:val="24"/>
        </w:rPr>
        <w:t xml:space="preserve">koja je </w:t>
      </w:r>
      <w:r w:rsidRPr="003145CC">
        <w:rPr>
          <w:rFonts w:asciiTheme="minorHAnsi" w:eastAsiaTheme="minorHAnsi" w:hAnsiTheme="minorHAnsi" w:cstheme="minorBidi"/>
          <w:b w:val="0"/>
          <w:bCs w:val="0"/>
          <w:color w:val="auto"/>
          <w:sz w:val="24"/>
          <w:szCs w:val="24"/>
        </w:rPr>
        <w:t>osigurana od požara i drugih opasnosti, a polica osiguranja vinkulirana u korist banke);</w:t>
      </w:r>
    </w:p>
    <w:p w:rsidR="00A70118" w:rsidRDefault="00776892" w:rsidP="006F1C04">
      <w:pPr>
        <w:pStyle w:val="Naslov2"/>
        <w:keepNext w:val="0"/>
        <w:keepLines w:val="0"/>
        <w:numPr>
          <w:ilvl w:val="0"/>
          <w:numId w:val="57"/>
        </w:numPr>
        <w:autoSpaceDE w:val="0"/>
        <w:autoSpaceDN w:val="0"/>
        <w:adjustRightInd w:val="0"/>
        <w:spacing w:before="0" w:line="240" w:lineRule="atLeast"/>
        <w:jc w:val="both"/>
        <w:rPr>
          <w:rFonts w:asciiTheme="minorHAnsi" w:eastAsiaTheme="minorHAnsi" w:hAnsiTheme="minorHAnsi" w:cstheme="minorBidi"/>
          <w:b w:val="0"/>
          <w:bCs w:val="0"/>
          <w:color w:val="auto"/>
          <w:sz w:val="24"/>
          <w:szCs w:val="24"/>
        </w:rPr>
      </w:pPr>
      <w:r w:rsidRPr="00A70118">
        <w:rPr>
          <w:rFonts w:asciiTheme="minorHAnsi" w:eastAsiaTheme="minorHAnsi" w:hAnsiTheme="minorHAnsi" w:cstheme="minorBidi"/>
          <w:b w:val="0"/>
          <w:bCs w:val="0"/>
          <w:color w:val="auto"/>
          <w:sz w:val="24"/>
          <w:szCs w:val="24"/>
        </w:rPr>
        <w:t xml:space="preserve">zalog </w:t>
      </w:r>
      <w:r w:rsidR="00B23554" w:rsidRPr="00A70118">
        <w:rPr>
          <w:rFonts w:asciiTheme="minorHAnsi" w:eastAsiaTheme="minorHAnsi" w:hAnsiTheme="minorHAnsi" w:cstheme="minorBidi"/>
          <w:b w:val="0"/>
          <w:bCs w:val="0"/>
          <w:color w:val="auto"/>
          <w:sz w:val="24"/>
          <w:szCs w:val="24"/>
        </w:rPr>
        <w:t xml:space="preserve">depozita ili druge </w:t>
      </w:r>
      <w:r w:rsidRPr="00A70118">
        <w:rPr>
          <w:rFonts w:asciiTheme="minorHAnsi" w:eastAsiaTheme="minorHAnsi" w:hAnsiTheme="minorHAnsi" w:cstheme="minorBidi"/>
          <w:b w:val="0"/>
          <w:bCs w:val="0"/>
          <w:color w:val="auto"/>
          <w:sz w:val="24"/>
          <w:szCs w:val="24"/>
        </w:rPr>
        <w:t>financijske imovina</w:t>
      </w:r>
      <w:r w:rsidR="00A70118" w:rsidRPr="00A70118">
        <w:rPr>
          <w:rFonts w:asciiTheme="minorHAnsi" w:eastAsiaTheme="minorHAnsi" w:hAnsiTheme="minorHAnsi" w:cstheme="minorBidi"/>
          <w:b w:val="0"/>
          <w:bCs w:val="0"/>
          <w:color w:val="auto"/>
          <w:sz w:val="24"/>
          <w:szCs w:val="24"/>
        </w:rPr>
        <w:t xml:space="preserve"> </w:t>
      </w:r>
      <w:r w:rsidRPr="00A70118">
        <w:rPr>
          <w:rFonts w:asciiTheme="minorHAnsi" w:eastAsiaTheme="minorHAnsi" w:hAnsiTheme="minorHAnsi" w:cstheme="minorBidi"/>
          <w:b w:val="0"/>
          <w:bCs w:val="0"/>
          <w:color w:val="auto"/>
          <w:sz w:val="24"/>
          <w:szCs w:val="24"/>
        </w:rPr>
        <w:t xml:space="preserve">u određenom postotku iznosa odobrenog kredita </w:t>
      </w:r>
      <w:r w:rsidR="00A70118" w:rsidRPr="00A70118">
        <w:rPr>
          <w:rFonts w:asciiTheme="minorHAnsi" w:eastAsiaTheme="minorHAnsi" w:hAnsiTheme="minorHAnsi" w:cstheme="minorBidi"/>
          <w:b w:val="0"/>
          <w:bCs w:val="0"/>
          <w:color w:val="auto"/>
          <w:sz w:val="24"/>
          <w:szCs w:val="24"/>
        </w:rPr>
        <w:t xml:space="preserve">(ovisno o kombinaciji s određenim omjerom vrijednosti nekretnine pod hipotekom i iznosa kredita) </w:t>
      </w:r>
    </w:p>
    <w:p w:rsidR="00EE30B9" w:rsidRPr="002D3C41" w:rsidRDefault="00776892" w:rsidP="006F1C04">
      <w:pPr>
        <w:pStyle w:val="Naslov2"/>
        <w:keepNext w:val="0"/>
        <w:keepLines w:val="0"/>
        <w:numPr>
          <w:ilvl w:val="0"/>
          <w:numId w:val="57"/>
        </w:numPr>
        <w:autoSpaceDE w:val="0"/>
        <w:autoSpaceDN w:val="0"/>
        <w:adjustRightInd w:val="0"/>
        <w:spacing w:before="0" w:after="240" w:line="240" w:lineRule="atLeast"/>
        <w:ind w:left="714" w:hanging="357"/>
        <w:jc w:val="both"/>
        <w:rPr>
          <w:rFonts w:asciiTheme="minorHAnsi" w:eastAsiaTheme="minorHAnsi" w:hAnsiTheme="minorHAnsi" w:cstheme="minorBidi"/>
          <w:b w:val="0"/>
          <w:bCs w:val="0"/>
          <w:color w:val="auto"/>
          <w:sz w:val="24"/>
          <w:szCs w:val="24"/>
        </w:rPr>
      </w:pPr>
      <w:r w:rsidRPr="002D3C41">
        <w:rPr>
          <w:rFonts w:asciiTheme="minorHAnsi" w:eastAsiaTheme="minorHAnsi" w:hAnsiTheme="minorHAnsi" w:cstheme="minorBidi"/>
          <w:b w:val="0"/>
          <w:bCs w:val="0"/>
          <w:color w:val="auto"/>
          <w:sz w:val="24"/>
          <w:szCs w:val="24"/>
        </w:rPr>
        <w:t>polica osiguranja korisnika kredita od posljedica nesretnog slučaj vinkulirana u korist banke</w:t>
      </w:r>
      <w:r w:rsidR="002D3C41" w:rsidRPr="002D3C41">
        <w:rPr>
          <w:rFonts w:asciiTheme="minorHAnsi" w:eastAsiaTheme="minorHAnsi" w:hAnsiTheme="minorHAnsi" w:cstheme="minorBidi"/>
          <w:b w:val="0"/>
          <w:bCs w:val="0"/>
          <w:color w:val="auto"/>
          <w:sz w:val="24"/>
          <w:szCs w:val="24"/>
        </w:rPr>
        <w:t xml:space="preserve"> </w:t>
      </w:r>
      <w:r w:rsidRPr="002D3C41">
        <w:rPr>
          <w:rFonts w:asciiTheme="minorHAnsi" w:eastAsiaTheme="minorHAnsi" w:hAnsiTheme="minorHAnsi" w:cstheme="minorBidi"/>
          <w:b w:val="0"/>
          <w:bCs w:val="0"/>
          <w:color w:val="auto"/>
          <w:sz w:val="24"/>
          <w:szCs w:val="24"/>
        </w:rPr>
        <w:t>i drugo prema uvjetima banke.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776892" w:rsidRPr="00AF59B5" w:rsidTr="00EE30B9">
        <w:tc>
          <w:tcPr>
            <w:tcW w:w="9072" w:type="dxa"/>
            <w:shd w:val="clear" w:color="auto" w:fill="F2F2F2" w:themeFill="background1" w:themeFillShade="F2"/>
          </w:tcPr>
          <w:p w:rsidR="00776892" w:rsidRPr="00801489" w:rsidRDefault="00801489" w:rsidP="003145CC">
            <w:pPr>
              <w:autoSpaceDE w:val="0"/>
              <w:autoSpaceDN w:val="0"/>
              <w:adjustRightInd w:val="0"/>
              <w:spacing w:before="120" w:after="120" w:line="240" w:lineRule="auto"/>
              <w:jc w:val="both"/>
              <w:rPr>
                <w:i/>
                <w:sz w:val="24"/>
                <w:szCs w:val="24"/>
              </w:rPr>
            </w:pPr>
            <w:r w:rsidRPr="00801489">
              <w:rPr>
                <w:i/>
                <w:sz w:val="24"/>
                <w:szCs w:val="24"/>
              </w:rPr>
              <w:lastRenderedPageBreak/>
              <w:t>„</w:t>
            </w:r>
            <w:r w:rsidR="00776892" w:rsidRPr="00801489">
              <w:rPr>
                <w:i/>
                <w:sz w:val="24"/>
                <w:szCs w:val="24"/>
              </w:rPr>
              <w:t xml:space="preserve">Založno pravo (hipoteku) treba razlikovati od </w:t>
            </w:r>
            <w:r w:rsidR="00776892" w:rsidRPr="00801489">
              <w:rPr>
                <w:i/>
                <w:color w:val="C00000"/>
                <w:sz w:val="24"/>
                <w:szCs w:val="24"/>
              </w:rPr>
              <w:t>fiducije</w:t>
            </w:r>
            <w:r w:rsidR="00776892" w:rsidRPr="00801489">
              <w:rPr>
                <w:i/>
                <w:sz w:val="24"/>
                <w:szCs w:val="24"/>
              </w:rPr>
              <w:t xml:space="preserve">, koja se također katkada koristi kao instrument osiguranja naplate potraživanja po stambenim kreditima (ili drugim kreditima, na primjer kod lombardnog kredita – umjesto zaloga). </w:t>
            </w:r>
          </w:p>
          <w:p w:rsidR="00776892" w:rsidRPr="00801489" w:rsidRDefault="00776892" w:rsidP="003145CC">
            <w:pPr>
              <w:autoSpaceDE w:val="0"/>
              <w:autoSpaceDN w:val="0"/>
              <w:adjustRightInd w:val="0"/>
              <w:spacing w:before="120" w:after="120" w:line="240" w:lineRule="auto"/>
              <w:jc w:val="both"/>
              <w:rPr>
                <w:i/>
                <w:sz w:val="24"/>
                <w:szCs w:val="24"/>
              </w:rPr>
            </w:pPr>
            <w:r w:rsidRPr="00EE30B9">
              <w:rPr>
                <w:i/>
                <w:color w:val="C00000"/>
                <w:sz w:val="24"/>
                <w:szCs w:val="24"/>
              </w:rPr>
              <w:t xml:space="preserve">Fiducijarnim prijenosom prava vlasništva </w:t>
            </w:r>
            <w:r w:rsidRPr="00801489">
              <w:rPr>
                <w:i/>
                <w:sz w:val="24"/>
                <w:szCs w:val="24"/>
              </w:rPr>
              <w:t xml:space="preserve">se pravo vlasništva na imovini </w:t>
            </w:r>
            <w:r w:rsidR="00EE30B9">
              <w:rPr>
                <w:i/>
                <w:sz w:val="24"/>
                <w:szCs w:val="24"/>
              </w:rPr>
              <w:t xml:space="preserve">(nekretnini, automobilu i sl.) </w:t>
            </w:r>
            <w:r w:rsidRPr="00801489">
              <w:rPr>
                <w:i/>
                <w:sz w:val="24"/>
                <w:szCs w:val="24"/>
              </w:rPr>
              <w:t>odmah prenosi se na banku. Kod založnog prava (hipoteke), imovina se banci daje u zalog kao instrument osiguranja naplate, ali bez prijenosa vlasništva. Zalog (hipoteka) i pravo vlasništva (fiducija) mogu trajati samo do konačne otplate kredita.</w:t>
            </w:r>
          </w:p>
          <w:p w:rsidR="00776892" w:rsidRPr="00801489" w:rsidRDefault="00776892" w:rsidP="003145CC">
            <w:pPr>
              <w:autoSpaceDE w:val="0"/>
              <w:autoSpaceDN w:val="0"/>
              <w:adjustRightInd w:val="0"/>
              <w:spacing w:before="120" w:after="120" w:line="240" w:lineRule="auto"/>
              <w:jc w:val="both"/>
              <w:rPr>
                <w:rFonts w:ascii="InfoText-BoldCaps-HR" w:hAnsi="InfoText-BoldCaps-HR" w:cs="InfoText-BoldCaps-HR"/>
                <w:b/>
                <w:bCs/>
                <w:i/>
                <w:sz w:val="20"/>
                <w:szCs w:val="20"/>
              </w:rPr>
            </w:pPr>
            <w:r w:rsidRPr="00801489">
              <w:rPr>
                <w:bCs/>
                <w:i/>
                <w:color w:val="C00000"/>
                <w:sz w:val="24"/>
                <w:szCs w:val="24"/>
              </w:rPr>
              <w:t xml:space="preserve">Vinkulacija police </w:t>
            </w:r>
            <w:r w:rsidRPr="00801489">
              <w:rPr>
                <w:bCs/>
                <w:i/>
                <w:sz w:val="24"/>
                <w:szCs w:val="24"/>
              </w:rPr>
              <w:t>osiguranja (života ili nekretnine)</w:t>
            </w:r>
            <w:r w:rsidRPr="00801489">
              <w:rPr>
                <w:b/>
                <w:bCs/>
                <w:i/>
                <w:sz w:val="24"/>
                <w:szCs w:val="24"/>
              </w:rPr>
              <w:t xml:space="preserve"> </w:t>
            </w:r>
            <w:r w:rsidRPr="00801489">
              <w:rPr>
                <w:i/>
                <w:sz w:val="24"/>
                <w:szCs w:val="24"/>
              </w:rPr>
              <w:t>je ustupanje prava na isplatu svote osiguranja u korist banke.</w:t>
            </w:r>
            <w:r w:rsidR="00801489" w:rsidRPr="00801489">
              <w:rPr>
                <w:i/>
                <w:sz w:val="24"/>
                <w:szCs w:val="24"/>
              </w:rPr>
              <w:t>“</w:t>
            </w:r>
            <w:r w:rsidR="00801489" w:rsidRPr="00801489">
              <w:rPr>
                <w:i/>
                <w:sz w:val="24"/>
                <w:szCs w:val="24"/>
                <w:vertAlign w:val="superscript"/>
              </w:rPr>
              <w:t xml:space="preserve"> </w:t>
            </w:r>
            <w:r w:rsidR="00801489" w:rsidRPr="00801489">
              <w:rPr>
                <w:i/>
                <w:sz w:val="24"/>
                <w:szCs w:val="24"/>
                <w:vertAlign w:val="superscript"/>
              </w:rPr>
              <w:footnoteReference w:id="69"/>
            </w:r>
          </w:p>
        </w:tc>
      </w:tr>
      <w:tr w:rsidR="00776892" w:rsidRPr="00AF59B5" w:rsidTr="00EE30B9">
        <w:tc>
          <w:tcPr>
            <w:tcW w:w="9072" w:type="dxa"/>
            <w:shd w:val="clear" w:color="auto" w:fill="F2F2F2" w:themeFill="background1" w:themeFillShade="F2"/>
          </w:tcPr>
          <w:p w:rsidR="00776892" w:rsidRPr="00801489" w:rsidRDefault="00801489" w:rsidP="003145CC">
            <w:pPr>
              <w:autoSpaceDE w:val="0"/>
              <w:autoSpaceDN w:val="0"/>
              <w:adjustRightInd w:val="0"/>
              <w:spacing w:before="120" w:after="120"/>
              <w:rPr>
                <w:i/>
                <w:color w:val="C00000"/>
                <w:sz w:val="24"/>
                <w:szCs w:val="24"/>
              </w:rPr>
            </w:pPr>
            <w:r w:rsidRPr="00801489">
              <w:rPr>
                <w:i/>
                <w:color w:val="C00000"/>
                <w:sz w:val="24"/>
                <w:szCs w:val="24"/>
              </w:rPr>
              <w:t>„</w:t>
            </w:r>
            <w:r w:rsidR="00776892" w:rsidRPr="00801489">
              <w:rPr>
                <w:i/>
                <w:color w:val="C00000"/>
                <w:sz w:val="24"/>
                <w:szCs w:val="24"/>
              </w:rPr>
              <w:t>Uobičajena p</w:t>
            </w:r>
            <w:r w:rsidR="00776892" w:rsidRPr="00801489">
              <w:rPr>
                <w:bCs/>
                <w:i/>
                <w:color w:val="C00000"/>
                <w:sz w:val="24"/>
                <w:szCs w:val="24"/>
              </w:rPr>
              <w:t xml:space="preserve">otrebna dokumentacija za sudionike u stambenom kreditu: </w:t>
            </w:r>
          </w:p>
          <w:p w:rsidR="00776892" w:rsidRPr="00801489" w:rsidRDefault="00776892" w:rsidP="006F1C04">
            <w:pPr>
              <w:numPr>
                <w:ilvl w:val="0"/>
                <w:numId w:val="60"/>
              </w:numPr>
              <w:autoSpaceDE w:val="0"/>
              <w:autoSpaceDN w:val="0"/>
              <w:adjustRightInd w:val="0"/>
              <w:spacing w:after="0" w:line="240" w:lineRule="auto"/>
              <w:rPr>
                <w:i/>
                <w:sz w:val="24"/>
                <w:szCs w:val="24"/>
              </w:rPr>
            </w:pPr>
            <w:r w:rsidRPr="00801489">
              <w:rPr>
                <w:i/>
                <w:sz w:val="24"/>
                <w:szCs w:val="24"/>
              </w:rPr>
              <w:t>standardna dokumentacija kao kod drugih vrsta kredita, uključujući dokumentaciju koja dokazuju kreditnu sposobnost svih sudionika kredita;</w:t>
            </w:r>
          </w:p>
          <w:p w:rsidR="00776892" w:rsidRPr="00801489" w:rsidRDefault="00776892" w:rsidP="006F1C04">
            <w:pPr>
              <w:numPr>
                <w:ilvl w:val="0"/>
                <w:numId w:val="60"/>
              </w:numPr>
              <w:autoSpaceDE w:val="0"/>
              <w:autoSpaceDN w:val="0"/>
              <w:adjustRightInd w:val="0"/>
              <w:spacing w:after="0" w:line="240" w:lineRule="auto"/>
              <w:rPr>
                <w:i/>
                <w:sz w:val="24"/>
                <w:szCs w:val="24"/>
              </w:rPr>
            </w:pPr>
            <w:r w:rsidRPr="00801489">
              <w:rPr>
                <w:i/>
                <w:sz w:val="24"/>
                <w:szCs w:val="24"/>
              </w:rPr>
              <w:t>predugovor ili ugovor o kupoprodaji nekretnine – u kojem je kao kupac naznačen tražitelj kredita (p</w:t>
            </w:r>
            <w:r w:rsidRPr="00801489">
              <w:rPr>
                <w:i/>
                <w:color w:val="000000"/>
                <w:sz w:val="24"/>
                <w:szCs w:val="24"/>
              </w:rPr>
              <w:t>otpis prodavatelja nekretnine na ugovoru o kupoprodaji mora biti ovjeren kod javnog bilježnika prije isplate kredita);</w:t>
            </w:r>
          </w:p>
          <w:p w:rsidR="00776892" w:rsidRPr="00801489" w:rsidRDefault="00776892" w:rsidP="006F1C04">
            <w:pPr>
              <w:numPr>
                <w:ilvl w:val="0"/>
                <w:numId w:val="60"/>
              </w:numPr>
              <w:autoSpaceDE w:val="0"/>
              <w:autoSpaceDN w:val="0"/>
              <w:adjustRightInd w:val="0"/>
              <w:spacing w:after="0" w:line="240" w:lineRule="auto"/>
              <w:rPr>
                <w:i/>
                <w:sz w:val="24"/>
                <w:szCs w:val="24"/>
              </w:rPr>
            </w:pPr>
            <w:r w:rsidRPr="00801489">
              <w:rPr>
                <w:i/>
                <w:sz w:val="24"/>
                <w:szCs w:val="24"/>
              </w:rPr>
              <w:t>dokaz o vlasništvu nekretnine – original izvadak iz zemljišnih knjiga;</w:t>
            </w:r>
          </w:p>
          <w:p w:rsidR="00776892" w:rsidRPr="00801489" w:rsidRDefault="00776892" w:rsidP="006F1C04">
            <w:pPr>
              <w:numPr>
                <w:ilvl w:val="0"/>
                <w:numId w:val="60"/>
              </w:numPr>
              <w:autoSpaceDE w:val="0"/>
              <w:autoSpaceDN w:val="0"/>
              <w:adjustRightInd w:val="0"/>
              <w:spacing w:after="0" w:line="240" w:lineRule="auto"/>
              <w:rPr>
                <w:i/>
                <w:sz w:val="24"/>
                <w:szCs w:val="24"/>
              </w:rPr>
            </w:pPr>
            <w:r w:rsidRPr="00801489">
              <w:rPr>
                <w:i/>
                <w:sz w:val="24"/>
                <w:szCs w:val="24"/>
              </w:rPr>
              <w:t>energetski certifikat</w:t>
            </w:r>
            <w:r w:rsidR="003145CC" w:rsidRPr="00801489">
              <w:rPr>
                <w:i/>
                <w:sz w:val="24"/>
                <w:szCs w:val="24"/>
              </w:rPr>
              <w:t xml:space="preserve">; </w:t>
            </w:r>
            <w:r w:rsidRPr="00801489">
              <w:rPr>
                <w:i/>
                <w:sz w:val="24"/>
                <w:szCs w:val="24"/>
              </w:rPr>
              <w:t>procjena vrijednosti nekretnine od strane ovlaštenog procjenitelja;</w:t>
            </w:r>
          </w:p>
          <w:p w:rsidR="00776892" w:rsidRPr="00DC0F64" w:rsidRDefault="00776892" w:rsidP="006F1C04">
            <w:pPr>
              <w:numPr>
                <w:ilvl w:val="0"/>
                <w:numId w:val="60"/>
              </w:numPr>
              <w:autoSpaceDE w:val="0"/>
              <w:autoSpaceDN w:val="0"/>
              <w:adjustRightInd w:val="0"/>
              <w:spacing w:after="0" w:line="240" w:lineRule="auto"/>
            </w:pPr>
            <w:r w:rsidRPr="00801489">
              <w:rPr>
                <w:i/>
                <w:sz w:val="24"/>
                <w:szCs w:val="24"/>
              </w:rPr>
              <w:t>polica osiguranja kojom se osigurava nekretnina;</w:t>
            </w:r>
            <w:r w:rsidR="003145CC" w:rsidRPr="00801489">
              <w:rPr>
                <w:i/>
                <w:sz w:val="24"/>
                <w:szCs w:val="24"/>
              </w:rPr>
              <w:t xml:space="preserve"> </w:t>
            </w:r>
            <w:r w:rsidRPr="00801489">
              <w:rPr>
                <w:i/>
                <w:sz w:val="24"/>
                <w:szCs w:val="24"/>
              </w:rPr>
              <w:t>polica osiguranja korisnika kredita od posljedica nesretnog slučaja;</w:t>
            </w:r>
            <w:r w:rsidR="003145CC" w:rsidRPr="00801489">
              <w:rPr>
                <w:i/>
                <w:sz w:val="24"/>
                <w:szCs w:val="24"/>
              </w:rPr>
              <w:t xml:space="preserve"> i druga ovisno o uvjetima banke.</w:t>
            </w:r>
            <w:r w:rsidR="00801489">
              <w:rPr>
                <w:sz w:val="24"/>
                <w:szCs w:val="24"/>
              </w:rPr>
              <w:t>“</w:t>
            </w:r>
            <w:r w:rsidR="00801489" w:rsidRPr="00EE21BF">
              <w:rPr>
                <w:sz w:val="24"/>
                <w:szCs w:val="24"/>
                <w:vertAlign w:val="superscript"/>
              </w:rPr>
              <w:t xml:space="preserve"> </w:t>
            </w:r>
            <w:r w:rsidR="00801489" w:rsidRPr="00EE21BF">
              <w:rPr>
                <w:sz w:val="24"/>
                <w:szCs w:val="24"/>
                <w:vertAlign w:val="superscript"/>
              </w:rPr>
              <w:footnoteReference w:id="70"/>
            </w:r>
          </w:p>
        </w:tc>
      </w:tr>
    </w:tbl>
    <w:p w:rsidR="003A4DC2" w:rsidRDefault="00EE30B9" w:rsidP="003A4DC2">
      <w:pPr>
        <w:spacing w:before="240"/>
        <w:jc w:val="both"/>
        <w:rPr>
          <w:sz w:val="24"/>
          <w:szCs w:val="24"/>
        </w:rPr>
      </w:pPr>
      <w:r w:rsidRPr="00EE30B9">
        <w:rPr>
          <w:sz w:val="24"/>
          <w:szCs w:val="24"/>
        </w:rPr>
        <w:t xml:space="preserve">Otplata stambenih kredita može se ugovoriti kao </w:t>
      </w:r>
      <w:r w:rsidRPr="003A4DC2">
        <w:rPr>
          <w:sz w:val="24"/>
          <w:szCs w:val="24"/>
        </w:rPr>
        <w:t>standardna anuitetska otplata (</w:t>
      </w:r>
      <w:r w:rsidRPr="003A4DC2">
        <w:rPr>
          <w:rFonts w:cs="Times New Roman"/>
          <w:bCs/>
          <w:sz w:val="24"/>
          <w:szCs w:val="24"/>
        </w:rPr>
        <w:t xml:space="preserve">uz nominalno jednake iznose anuiteta ), odnosno alternativno kao </w:t>
      </w:r>
      <w:r w:rsidRPr="003A4DC2">
        <w:rPr>
          <w:sz w:val="24"/>
          <w:szCs w:val="24"/>
        </w:rPr>
        <w:t xml:space="preserve">otplata u ratama </w:t>
      </w:r>
      <w:r w:rsidRPr="00EE30B9">
        <w:rPr>
          <w:sz w:val="24"/>
          <w:szCs w:val="24"/>
        </w:rPr>
        <w:t>(</w:t>
      </w:r>
      <w:r w:rsidRPr="00EE30B9">
        <w:rPr>
          <w:rFonts w:cs="Times New Roman"/>
          <w:bCs/>
          <w:sz w:val="24"/>
          <w:szCs w:val="24"/>
        </w:rPr>
        <w:t>uz nominalno jednake iznose otplatnih kvota)</w:t>
      </w:r>
      <w:r w:rsidRPr="00EE30B9">
        <w:rPr>
          <w:sz w:val="24"/>
          <w:szCs w:val="24"/>
        </w:rPr>
        <w:t xml:space="preserve">. U slučaju </w:t>
      </w:r>
      <w:r w:rsidRPr="00EE30B9">
        <w:rPr>
          <w:color w:val="C00000"/>
          <w:sz w:val="24"/>
          <w:szCs w:val="24"/>
        </w:rPr>
        <w:t xml:space="preserve">otplate u ratama </w:t>
      </w:r>
      <w:r w:rsidRPr="00EE30B9">
        <w:rPr>
          <w:color w:val="000000"/>
          <w:sz w:val="24"/>
          <w:szCs w:val="24"/>
        </w:rPr>
        <w:t xml:space="preserve">mjesečno se uvijek otplaćuje </w:t>
      </w:r>
      <w:r w:rsidRPr="00EE30B9">
        <w:rPr>
          <w:sz w:val="24"/>
          <w:szCs w:val="24"/>
        </w:rPr>
        <w:t>jednak iznos glavnice (</w:t>
      </w:r>
      <w:r w:rsidRPr="00EE30B9">
        <w:rPr>
          <w:rFonts w:cs="Times New Roman"/>
          <w:bCs/>
          <w:sz w:val="24"/>
          <w:szCs w:val="24"/>
        </w:rPr>
        <w:t>od tuda i naziv „nominalno jednak iznos otplatnih kvota“)</w:t>
      </w:r>
      <w:r w:rsidRPr="00EE30B9">
        <w:rPr>
          <w:color w:val="000000"/>
          <w:sz w:val="24"/>
          <w:szCs w:val="24"/>
        </w:rPr>
        <w:t xml:space="preserve">, </w:t>
      </w:r>
      <w:r w:rsidRPr="00EE30B9">
        <w:rPr>
          <w:sz w:val="24"/>
          <w:szCs w:val="24"/>
        </w:rPr>
        <w:t>dok visina kamata, a time i mjesečnih rata ovisi o iznosu preostalog duga. Kako se dug s vremenom otplaćuje, iznosi mjesečnih rata najveći su na početku razdoblja otplate, a kasnije se sve više smanjuju.</w:t>
      </w:r>
      <w:r w:rsidR="003A4DC2">
        <w:rPr>
          <w:sz w:val="24"/>
          <w:szCs w:val="24"/>
        </w:rPr>
        <w:t xml:space="preserve"> </w:t>
      </w:r>
    </w:p>
    <w:p w:rsidR="003A4DC2" w:rsidRPr="003A4DC2" w:rsidRDefault="003A4DC2" w:rsidP="003A4DC2">
      <w:pPr>
        <w:spacing w:before="240"/>
        <w:jc w:val="both"/>
        <w:rPr>
          <w:sz w:val="24"/>
          <w:szCs w:val="24"/>
        </w:rPr>
      </w:pPr>
      <w:r w:rsidRPr="003A4DC2">
        <w:rPr>
          <w:color w:val="C00000"/>
          <w:sz w:val="24"/>
          <w:szCs w:val="24"/>
        </w:rPr>
        <w:t xml:space="preserve">Hipotekarni kredit </w:t>
      </w:r>
      <w:r w:rsidRPr="003A4DC2">
        <w:rPr>
          <w:sz w:val="24"/>
          <w:szCs w:val="24"/>
        </w:rPr>
        <w:t xml:space="preserve">su gotovinski nenamjenski krediti koji se odobravaju uz založno pravo banke na nekretnini. Teoretski gledano hipotekarni kredit odobrava do najviše 80% vrijednosti nekretnine odnosno uz omjer 1:1,20, ali kako se radi o nenamjenskom kreditu pa time i više rizičnom kreditnom proizvodu najčešći prisutni omjeri 1:2, 1: 2,5 ili 1:3. Odobrava se najčešće na rokove 7 do 20 godina (a ponekad i duže), a sredstva odobrenog kredita se doznačuju u korist računa korisnika kredita – što znači da banka ne kontrolira svrhu korištenja sredstava. S obzirom da se radi više rizičnom kreditnom proizvodu  kamatne stope na hipotekarne kredite su znatno više od kamatnih stopa na stambene kredite. Instrumenti osiguranja hipotekarnog kredita i potrebna dokumentacija za potrebe realizacije kredita vrlo su slični kao u slučaju stambenih kredita. Iako u svjetskoj praksi hipotekarni kredit često ne </w:t>
      </w:r>
      <w:r w:rsidRPr="003A4DC2">
        <w:rPr>
          <w:sz w:val="24"/>
          <w:szCs w:val="24"/>
        </w:rPr>
        <w:lastRenderedPageBreak/>
        <w:t xml:space="preserve">zahtijeva ocjenu kreditne sposobnosti, u praksi europski banaka hipotekarni krediti odobravaju se uz ocjenu kreditne sposobnosti. </w:t>
      </w:r>
    </w:p>
    <w:tbl>
      <w:tblPr>
        <w:tblStyle w:val="Reetkatablice"/>
        <w:tblW w:w="9100" w:type="dxa"/>
        <w:tblInd w:w="108" w:type="dxa"/>
        <w:tblLook w:val="0000" w:firstRow="0" w:lastRow="0" w:firstColumn="0" w:lastColumn="0" w:noHBand="0" w:noVBand="0"/>
      </w:tblPr>
      <w:tblGrid>
        <w:gridCol w:w="1300"/>
        <w:gridCol w:w="900"/>
        <w:gridCol w:w="600"/>
        <w:gridCol w:w="1400"/>
        <w:gridCol w:w="300"/>
        <w:gridCol w:w="1700"/>
        <w:gridCol w:w="1236"/>
        <w:gridCol w:w="1664"/>
      </w:tblGrid>
      <w:tr w:rsidR="00EE30B9" w:rsidTr="002D3C41">
        <w:trPr>
          <w:trHeight w:val="390"/>
        </w:trPr>
        <w:tc>
          <w:tcPr>
            <w:tcW w:w="9100"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CB5F7C" w:rsidP="002D3C41">
            <w:pPr>
              <w:pStyle w:val="Naslov2"/>
              <w:spacing w:line="240" w:lineRule="atLeast"/>
              <w:ind w:left="108"/>
              <w:jc w:val="center"/>
              <w:outlineLvl w:val="1"/>
              <w:rPr>
                <w:rStyle w:val="Naglaeno"/>
                <w:rFonts w:ascii="Times New Roman" w:hAnsi="Times New Roman"/>
                <w:b/>
                <w:bCs/>
                <w:color w:val="auto"/>
                <w:sz w:val="22"/>
                <w:szCs w:val="22"/>
              </w:rPr>
            </w:pPr>
            <w:r>
              <w:rPr>
                <w:rFonts w:asciiTheme="minorHAnsi" w:eastAsia="Times New Roman" w:hAnsiTheme="minorHAnsi" w:cs="Arial"/>
                <w:color w:val="555555"/>
                <w:sz w:val="22"/>
                <w:szCs w:val="22"/>
              </w:rPr>
              <w:t>I</w:t>
            </w:r>
            <w:r w:rsidR="00EE30B9" w:rsidRPr="00EE30B9">
              <w:rPr>
                <w:rFonts w:asciiTheme="minorHAnsi" w:eastAsia="Times New Roman" w:hAnsiTheme="minorHAnsi" w:cs="Arial"/>
                <w:color w:val="555555"/>
                <w:sz w:val="22"/>
                <w:szCs w:val="22"/>
              </w:rPr>
              <w:t>nformativni prikaz otplatnog plana s otplatom u ratama</w:t>
            </w:r>
          </w:p>
        </w:tc>
      </w:tr>
      <w:tr w:rsidR="00EE30B9" w:rsidTr="002D3C41">
        <w:tblPrEx>
          <w:tblLook w:val="01E0" w:firstRow="1" w:lastRow="1" w:firstColumn="1" w:lastColumn="1" w:noHBand="0" w:noVBand="0"/>
        </w:tblPrEx>
        <w:tc>
          <w:tcPr>
            <w:tcW w:w="2200" w:type="dxa"/>
            <w:gridSpan w:val="2"/>
            <w:tcBorders>
              <w:top w:val="single" w:sz="4" w:space="0" w:color="auto"/>
              <w:left w:val="single" w:sz="4" w:space="0" w:color="auto"/>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Iznos kredita</w:t>
            </w:r>
          </w:p>
        </w:tc>
        <w:tc>
          <w:tcPr>
            <w:tcW w:w="2000" w:type="dxa"/>
            <w:gridSpan w:val="2"/>
            <w:tcBorders>
              <w:top w:val="single" w:sz="4" w:space="0" w:color="auto"/>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1.000.000,00 kn</w:t>
            </w:r>
          </w:p>
        </w:tc>
        <w:tc>
          <w:tcPr>
            <w:tcW w:w="300" w:type="dxa"/>
            <w:tcBorders>
              <w:top w:val="single" w:sz="4" w:space="0" w:color="auto"/>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p>
        </w:tc>
        <w:tc>
          <w:tcPr>
            <w:tcW w:w="2936" w:type="dxa"/>
            <w:gridSpan w:val="2"/>
            <w:tcBorders>
              <w:top w:val="nil"/>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 xml:space="preserve">Rok otplate </w:t>
            </w:r>
          </w:p>
        </w:tc>
        <w:tc>
          <w:tcPr>
            <w:tcW w:w="1664" w:type="dxa"/>
            <w:tcBorders>
              <w:top w:val="single" w:sz="4" w:space="0" w:color="auto"/>
              <w:left w:val="nil"/>
              <w:bottom w:val="nil"/>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240 mjeseci</w:t>
            </w:r>
          </w:p>
        </w:tc>
      </w:tr>
      <w:tr w:rsidR="00EE30B9" w:rsidTr="002D3C41">
        <w:tblPrEx>
          <w:tblLook w:val="01E0" w:firstRow="1" w:lastRow="1" w:firstColumn="1" w:lastColumn="1" w:noHBand="0" w:noVBand="0"/>
        </w:tblPrEx>
        <w:tc>
          <w:tcPr>
            <w:tcW w:w="2200" w:type="dxa"/>
            <w:gridSpan w:val="2"/>
            <w:tcBorders>
              <w:top w:val="nil"/>
              <w:left w:val="single" w:sz="4" w:space="0" w:color="auto"/>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Kamatna stopa</w:t>
            </w:r>
          </w:p>
        </w:tc>
        <w:tc>
          <w:tcPr>
            <w:tcW w:w="2000" w:type="dxa"/>
            <w:gridSpan w:val="2"/>
            <w:tcBorders>
              <w:top w:val="nil"/>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6,00 %</w:t>
            </w:r>
          </w:p>
        </w:tc>
        <w:tc>
          <w:tcPr>
            <w:tcW w:w="300" w:type="dxa"/>
            <w:tcBorders>
              <w:top w:val="nil"/>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p>
        </w:tc>
        <w:tc>
          <w:tcPr>
            <w:tcW w:w="2936" w:type="dxa"/>
            <w:gridSpan w:val="2"/>
            <w:tcBorders>
              <w:top w:val="nil"/>
              <w:left w:val="nil"/>
              <w:bottom w:val="nil"/>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Glavnica plus kamate</w:t>
            </w:r>
          </w:p>
        </w:tc>
        <w:tc>
          <w:tcPr>
            <w:tcW w:w="1664" w:type="dxa"/>
            <w:tcBorders>
              <w:top w:val="nil"/>
              <w:left w:val="nil"/>
              <w:bottom w:val="nil"/>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1.602.500,00 kn</w:t>
            </w:r>
          </w:p>
        </w:tc>
      </w:tr>
      <w:tr w:rsidR="00EE30B9" w:rsidTr="002D3C41">
        <w:tblPrEx>
          <w:tblLook w:val="01E0" w:firstRow="1" w:lastRow="1" w:firstColumn="1" w:lastColumn="1" w:noHBand="0" w:noVBand="0"/>
        </w:tblPrEx>
        <w:tc>
          <w:tcPr>
            <w:tcW w:w="2200" w:type="dxa"/>
            <w:gridSpan w:val="2"/>
            <w:tcBorders>
              <w:top w:val="nil"/>
              <w:left w:val="single" w:sz="4" w:space="0" w:color="auto"/>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Iznos kamata:</w:t>
            </w:r>
          </w:p>
        </w:tc>
        <w:tc>
          <w:tcPr>
            <w:tcW w:w="2000" w:type="dxa"/>
            <w:gridSpan w:val="2"/>
            <w:tcBorders>
              <w:top w:val="nil"/>
              <w:left w:val="nil"/>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602.500,00 kn</w:t>
            </w:r>
          </w:p>
        </w:tc>
        <w:tc>
          <w:tcPr>
            <w:tcW w:w="300" w:type="dxa"/>
            <w:tcBorders>
              <w:top w:val="nil"/>
              <w:left w:val="nil"/>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p>
        </w:tc>
        <w:tc>
          <w:tcPr>
            <w:tcW w:w="2936" w:type="dxa"/>
            <w:gridSpan w:val="2"/>
            <w:tcBorders>
              <w:top w:val="nil"/>
              <w:left w:val="nil"/>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Iznos mjesečne otplate</w:t>
            </w:r>
          </w:p>
        </w:tc>
        <w:tc>
          <w:tcPr>
            <w:tcW w:w="1664" w:type="dxa"/>
            <w:tcBorders>
              <w:top w:val="nil"/>
              <w:left w:val="nil"/>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2"/>
                <w:szCs w:val="22"/>
              </w:rPr>
            </w:pPr>
            <w:r w:rsidRPr="00EE30B9">
              <w:rPr>
                <w:rFonts w:asciiTheme="minorHAnsi" w:eastAsia="Times New Roman" w:hAnsiTheme="minorHAnsi" w:cs="Arial"/>
                <w:b w:val="0"/>
                <w:color w:val="555555"/>
                <w:sz w:val="22"/>
                <w:szCs w:val="22"/>
              </w:rPr>
              <w:t>9.166,67 kn</w:t>
            </w:r>
          </w:p>
        </w:tc>
      </w:tr>
      <w:tr w:rsidR="00EE30B9" w:rsidTr="002D3C41">
        <w:tblPrEx>
          <w:tblLook w:val="01E0" w:firstRow="1" w:lastRow="1" w:firstColumn="1" w:lastColumn="1" w:noHBand="0" w:noVBand="0"/>
        </w:tblPrEx>
        <w:tc>
          <w:tcPr>
            <w:tcW w:w="9100"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rsidR="00EE30B9" w:rsidRPr="00EE30B9" w:rsidRDefault="00EE30B9" w:rsidP="002D3C41">
            <w:pPr>
              <w:pStyle w:val="Naslov2"/>
              <w:spacing w:before="0"/>
              <w:jc w:val="both"/>
              <w:outlineLvl w:val="1"/>
              <w:rPr>
                <w:rStyle w:val="Naglaeno"/>
                <w:rFonts w:ascii="Times New Roman" w:hAnsi="Times New Roman"/>
                <w:bCs/>
                <w:color w:val="auto"/>
                <w:sz w:val="20"/>
                <w:szCs w:val="20"/>
              </w:rPr>
            </w:pP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Rata</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Udio otplate glavnice u otplatnoj rati</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Udo kamata</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Iznos mjesečne otplatne rate</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center"/>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Preostali iznos glavnice</w:t>
            </w:r>
          </w:p>
          <w:p w:rsidR="00EE30B9" w:rsidRPr="00EE30B9" w:rsidRDefault="00EE30B9" w:rsidP="002D3C41">
            <w:pPr>
              <w:pStyle w:val="Naslov2"/>
              <w:spacing w:before="0"/>
              <w:jc w:val="center"/>
              <w:outlineLvl w:val="1"/>
              <w:rPr>
                <w:rFonts w:asciiTheme="minorHAnsi" w:hAnsiTheme="minorHAnsi" w:cs="Arial"/>
                <w:b w:val="0"/>
                <w:bCs w:val="0"/>
                <w:color w:val="555555"/>
                <w:sz w:val="20"/>
                <w:szCs w:val="20"/>
              </w:rPr>
            </w:pPr>
            <w:r w:rsidRPr="00EE30B9">
              <w:rPr>
                <w:rFonts w:asciiTheme="minorHAnsi" w:eastAsia="Times New Roman" w:hAnsiTheme="minorHAnsi" w:cs="Arial"/>
                <w:color w:val="555555"/>
                <w:sz w:val="20"/>
                <w:szCs w:val="20"/>
              </w:rPr>
              <w:t>(neotplaćeni kredit)</w:t>
            </w:r>
          </w:p>
        </w:tc>
      </w:tr>
      <w:tr w:rsidR="00EE30B9" w:rsidTr="002D3C41">
        <w:tblPrEx>
          <w:tblLook w:val="01E0" w:firstRow="1" w:lastRow="1" w:firstColumn="1" w:lastColumn="1" w:noHBand="0" w:noVBand="0"/>
        </w:tblPrEx>
        <w:tc>
          <w:tcPr>
            <w:tcW w:w="9100"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rsidR="00EE30B9" w:rsidRPr="00EE30B9" w:rsidRDefault="00EE30B9" w:rsidP="002D3C41">
            <w:pPr>
              <w:pStyle w:val="Naslov2"/>
              <w:spacing w:before="0"/>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1. godina</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1.</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5.000,00</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9.166,67</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995.833,33</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4.979,17</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9.145,83</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991.666,67</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3.</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4.958,33</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9.125,00</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987.500,00</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Cs/>
                <w:color w:val="555555"/>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p>
        </w:tc>
      </w:tr>
      <w:tr w:rsidR="00EE30B9" w:rsidTr="002D3C41">
        <w:tblPrEx>
          <w:tblLook w:val="01E0" w:firstRow="1" w:lastRow="1" w:firstColumn="1" w:lastColumn="1" w:noHBand="0" w:noVBand="0"/>
        </w:tblPrEx>
        <w:tc>
          <w:tcPr>
            <w:tcW w:w="9100" w:type="dxa"/>
            <w:gridSpan w:val="8"/>
            <w:tcBorders>
              <w:top w:val="single" w:sz="4" w:space="0" w:color="auto"/>
              <w:left w:val="single" w:sz="4" w:space="0" w:color="auto"/>
              <w:bottom w:val="single" w:sz="4" w:space="0" w:color="auto"/>
              <w:right w:val="single" w:sz="4" w:space="0" w:color="auto"/>
            </w:tcBorders>
            <w:shd w:val="clear" w:color="auto" w:fill="FFFFFF" w:themeFill="background1"/>
          </w:tcPr>
          <w:p w:rsidR="00EE30B9" w:rsidRPr="00EE30B9" w:rsidRDefault="00EE30B9" w:rsidP="002D3C41">
            <w:pPr>
              <w:pStyle w:val="Naslov2"/>
              <w:spacing w:before="0"/>
              <w:jc w:val="both"/>
              <w:outlineLvl w:val="1"/>
              <w:rPr>
                <w:rFonts w:asciiTheme="minorHAnsi" w:eastAsia="Times New Roman" w:hAnsiTheme="minorHAnsi" w:cs="Arial"/>
                <w:color w:val="555555"/>
                <w:sz w:val="20"/>
                <w:szCs w:val="20"/>
              </w:rPr>
            </w:pPr>
            <w:r w:rsidRPr="00EE30B9">
              <w:rPr>
                <w:rFonts w:asciiTheme="minorHAnsi" w:eastAsia="Times New Roman" w:hAnsiTheme="minorHAnsi" w:cs="Arial"/>
                <w:color w:val="555555"/>
                <w:sz w:val="20"/>
                <w:szCs w:val="20"/>
              </w:rPr>
              <w:t>20. godina</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238.</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62,50</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Cs/>
                <w:color w:val="555555"/>
              </w:rPr>
            </w:pPr>
            <w:r w:rsidRPr="00EE30B9">
              <w:rPr>
                <w:rFonts w:asciiTheme="minorHAnsi" w:hAnsiTheme="minorHAnsi" w:cs="Arial"/>
                <w:bCs/>
                <w:color w:val="555555"/>
              </w:rPr>
              <w:t>4.229,17</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8.333,33</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239.</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41,67</w:t>
            </w:r>
          </w:p>
        </w:tc>
        <w:tc>
          <w:tcPr>
            <w:tcW w:w="20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Cs/>
                <w:color w:val="555555"/>
              </w:rPr>
            </w:pPr>
            <w:r w:rsidRPr="00EE30B9">
              <w:rPr>
                <w:rFonts w:asciiTheme="minorHAnsi" w:hAnsiTheme="minorHAnsi" w:cs="Arial"/>
                <w:bCs/>
                <w:color w:val="555555"/>
              </w:rPr>
              <w:t>4.208,33</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4.166,67</w:t>
            </w:r>
          </w:p>
        </w:tc>
      </w:tr>
      <w:tr w:rsidR="00EE30B9" w:rsidTr="002D3C41">
        <w:tblPrEx>
          <w:tblLook w:val="01E0" w:firstRow="1" w:lastRow="1" w:firstColumn="1" w:lastColumn="1" w:noHBand="0" w:noVBand="0"/>
        </w:tblPrEx>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240.</w:t>
            </w:r>
          </w:p>
        </w:tc>
        <w:tc>
          <w:tcPr>
            <w:tcW w:w="1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
                <w:bCs/>
                <w:color w:val="555555"/>
              </w:rPr>
            </w:pPr>
            <w:r w:rsidRPr="00EE30B9">
              <w:rPr>
                <w:rFonts w:asciiTheme="minorHAnsi" w:hAnsiTheme="minorHAnsi" w:cs="Arial"/>
                <w:b/>
                <w:bCs/>
                <w:color w:val="555555"/>
              </w:rPr>
              <w:t>4.166,67</w:t>
            </w:r>
          </w:p>
        </w:tc>
        <w:tc>
          <w:tcPr>
            <w:tcW w:w="1400" w:type="dxa"/>
            <w:tcBorders>
              <w:top w:val="single" w:sz="4" w:space="0" w:color="auto"/>
              <w:left w:val="single" w:sz="4" w:space="0" w:color="auto"/>
              <w:bottom w:val="single" w:sz="4" w:space="0" w:color="auto"/>
              <w:right w:val="nil"/>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20,83</w:t>
            </w:r>
          </w:p>
        </w:tc>
        <w:tc>
          <w:tcPr>
            <w:tcW w:w="2000" w:type="dxa"/>
            <w:gridSpan w:val="2"/>
            <w:tcBorders>
              <w:top w:val="single" w:sz="4" w:space="0" w:color="auto"/>
              <w:left w:val="nil"/>
              <w:bottom w:val="single" w:sz="4" w:space="0" w:color="auto"/>
              <w:right w:val="single" w:sz="4" w:space="0" w:color="auto"/>
            </w:tcBorders>
            <w:shd w:val="clear" w:color="auto" w:fill="F2F2F2" w:themeFill="background1" w:themeFillShade="F2"/>
          </w:tcPr>
          <w:p w:rsidR="00EE30B9" w:rsidRPr="00EE30B9" w:rsidRDefault="00EE30B9" w:rsidP="002D3C41">
            <w:pPr>
              <w:jc w:val="both"/>
              <w:rPr>
                <w:rFonts w:asciiTheme="minorHAnsi" w:hAnsiTheme="minorHAnsi" w:cs="Arial"/>
                <w:bCs/>
                <w:color w:val="555555"/>
              </w:rPr>
            </w:pPr>
            <w:r w:rsidRPr="00EE30B9">
              <w:rPr>
                <w:rFonts w:asciiTheme="minorHAnsi" w:hAnsiTheme="minorHAnsi" w:cs="Arial"/>
                <w:bCs/>
                <w:color w:val="555555"/>
              </w:rPr>
              <w:t>4.187,50</w:t>
            </w:r>
          </w:p>
        </w:tc>
        <w:tc>
          <w:tcPr>
            <w:tcW w:w="29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30B9" w:rsidRPr="00EE30B9" w:rsidRDefault="00EE30B9" w:rsidP="002D3C41">
            <w:pPr>
              <w:pStyle w:val="Naslov2"/>
              <w:spacing w:before="0"/>
              <w:jc w:val="both"/>
              <w:outlineLvl w:val="1"/>
              <w:rPr>
                <w:rFonts w:asciiTheme="minorHAnsi" w:eastAsia="Times New Roman" w:hAnsiTheme="minorHAnsi" w:cs="Arial"/>
                <w:b w:val="0"/>
                <w:color w:val="555555"/>
                <w:sz w:val="20"/>
                <w:szCs w:val="20"/>
              </w:rPr>
            </w:pPr>
            <w:r w:rsidRPr="00EE30B9">
              <w:rPr>
                <w:rFonts w:asciiTheme="minorHAnsi" w:eastAsia="Times New Roman" w:hAnsiTheme="minorHAnsi" w:cs="Arial"/>
                <w:b w:val="0"/>
                <w:color w:val="555555"/>
                <w:sz w:val="20"/>
                <w:szCs w:val="20"/>
              </w:rPr>
              <w:t>0,0</w:t>
            </w:r>
          </w:p>
        </w:tc>
      </w:tr>
    </w:tbl>
    <w:p w:rsidR="001A25C6" w:rsidRDefault="006B7E06" w:rsidP="003A4DC2">
      <w:pPr>
        <w:autoSpaceDE w:val="0"/>
        <w:autoSpaceDN w:val="0"/>
        <w:adjustRightInd w:val="0"/>
        <w:spacing w:before="240"/>
        <w:jc w:val="both"/>
        <w:rPr>
          <w:b/>
          <w:sz w:val="24"/>
          <w:szCs w:val="24"/>
        </w:rPr>
      </w:pPr>
      <w:r>
        <w:rPr>
          <w:b/>
          <w:sz w:val="24"/>
          <w:szCs w:val="24"/>
        </w:rPr>
        <w:t>4.6</w:t>
      </w:r>
      <w:r w:rsidR="001A25C6">
        <w:rPr>
          <w:b/>
          <w:sz w:val="24"/>
          <w:szCs w:val="24"/>
        </w:rPr>
        <w:t>. Amortizacija kredita kroz periodičke otplate</w:t>
      </w:r>
    </w:p>
    <w:p w:rsidR="001A25C6" w:rsidRPr="001A25C6" w:rsidRDefault="001A25C6" w:rsidP="00040A8C">
      <w:pPr>
        <w:autoSpaceDE w:val="0"/>
        <w:autoSpaceDN w:val="0"/>
        <w:adjustRightInd w:val="0"/>
        <w:spacing w:before="240"/>
        <w:jc w:val="both"/>
        <w:rPr>
          <w:bCs/>
          <w:sz w:val="24"/>
          <w:szCs w:val="24"/>
        </w:rPr>
      </w:pPr>
      <w:r w:rsidRPr="001A25C6">
        <w:rPr>
          <w:bCs/>
          <w:sz w:val="24"/>
          <w:szCs w:val="24"/>
        </w:rPr>
        <w:t xml:space="preserve">Većina kredita otplaćuje se kroz anuitetske otplate, a izuzetak predstavljaju kontokorentni i okvirni krediti (po tekućem računu građana, odnosno žiro računu poslovnog subjekta) koji se otplaćuju (u cijelosti ili djelomično) svakim priljevom novca na računa za plaćanje. </w:t>
      </w:r>
    </w:p>
    <w:p w:rsidR="001A25C6" w:rsidRPr="001A25C6" w:rsidRDefault="001A25C6" w:rsidP="00040A8C">
      <w:pPr>
        <w:autoSpaceDE w:val="0"/>
        <w:autoSpaceDN w:val="0"/>
        <w:adjustRightInd w:val="0"/>
        <w:spacing w:before="240"/>
        <w:jc w:val="both"/>
        <w:rPr>
          <w:bCs/>
          <w:sz w:val="24"/>
          <w:szCs w:val="24"/>
        </w:rPr>
      </w:pPr>
      <w:r w:rsidRPr="001A25C6">
        <w:rPr>
          <w:bCs/>
          <w:sz w:val="24"/>
          <w:szCs w:val="24"/>
        </w:rPr>
        <w:t xml:space="preserve">Uz pojam amortizacije kredita kroz periodičke otplate veže se pojam anuitet, a koji označava iznos koji plaća dužnik u svrhu otplate (amortizacije) kredita kroz više razdoblja otplate. </w:t>
      </w:r>
      <w:r w:rsidRPr="001A25C6">
        <w:rPr>
          <w:bCs/>
          <w:color w:val="C00000"/>
          <w:sz w:val="24"/>
          <w:szCs w:val="24"/>
        </w:rPr>
        <w:t>Anuitet se sastoji od dva dijela</w:t>
      </w:r>
      <w:r w:rsidRPr="001A25C6">
        <w:rPr>
          <w:bCs/>
          <w:sz w:val="24"/>
          <w:szCs w:val="24"/>
        </w:rPr>
        <w:t>:</w:t>
      </w:r>
    </w:p>
    <w:p w:rsidR="001A25C6" w:rsidRPr="001A25C6" w:rsidRDefault="001A25C6" w:rsidP="006F1C04">
      <w:pPr>
        <w:pStyle w:val="Odlomakpopisa"/>
        <w:numPr>
          <w:ilvl w:val="0"/>
          <w:numId w:val="62"/>
        </w:numPr>
        <w:autoSpaceDE w:val="0"/>
        <w:autoSpaceDN w:val="0"/>
        <w:adjustRightInd w:val="0"/>
        <w:spacing w:before="240"/>
        <w:jc w:val="both"/>
        <w:rPr>
          <w:bCs/>
          <w:sz w:val="24"/>
          <w:szCs w:val="24"/>
        </w:rPr>
      </w:pPr>
      <w:r w:rsidRPr="001A25C6">
        <w:rPr>
          <w:bCs/>
          <w:color w:val="C00000"/>
          <w:sz w:val="24"/>
          <w:szCs w:val="24"/>
        </w:rPr>
        <w:t>kamata</w:t>
      </w:r>
      <w:r w:rsidRPr="001A25C6">
        <w:rPr>
          <w:bCs/>
          <w:sz w:val="24"/>
          <w:szCs w:val="24"/>
        </w:rPr>
        <w:t xml:space="preserve"> – kao naknade za korištenje tuđih sredstava</w:t>
      </w:r>
    </w:p>
    <w:p w:rsidR="001A25C6" w:rsidRPr="001A25C6" w:rsidRDefault="001A25C6" w:rsidP="006F1C04">
      <w:pPr>
        <w:pStyle w:val="Odlomakpopisa"/>
        <w:numPr>
          <w:ilvl w:val="0"/>
          <w:numId w:val="62"/>
        </w:numPr>
        <w:autoSpaceDE w:val="0"/>
        <w:autoSpaceDN w:val="0"/>
        <w:adjustRightInd w:val="0"/>
        <w:spacing w:before="240"/>
        <w:jc w:val="both"/>
        <w:rPr>
          <w:bCs/>
          <w:sz w:val="24"/>
          <w:szCs w:val="24"/>
        </w:rPr>
      </w:pPr>
      <w:r w:rsidRPr="001A25C6">
        <w:rPr>
          <w:bCs/>
          <w:sz w:val="24"/>
          <w:szCs w:val="24"/>
        </w:rPr>
        <w:t xml:space="preserve">i </w:t>
      </w:r>
      <w:r w:rsidRPr="001A25C6">
        <w:rPr>
          <w:bCs/>
          <w:color w:val="C00000"/>
          <w:sz w:val="24"/>
          <w:szCs w:val="24"/>
        </w:rPr>
        <w:t xml:space="preserve">otplatne kvote </w:t>
      </w:r>
      <w:r w:rsidRPr="001A25C6">
        <w:rPr>
          <w:bCs/>
          <w:sz w:val="24"/>
          <w:szCs w:val="24"/>
        </w:rPr>
        <w:t xml:space="preserve">koja predstavlja dio anuiteta kojim se otplaćuje temeljni dug </w:t>
      </w:r>
      <w:r w:rsidR="00893A24">
        <w:rPr>
          <w:bCs/>
          <w:sz w:val="24"/>
          <w:szCs w:val="24"/>
        </w:rPr>
        <w:t xml:space="preserve">, odnosno </w:t>
      </w:r>
      <w:r w:rsidRPr="001A25C6">
        <w:rPr>
          <w:bCs/>
          <w:sz w:val="24"/>
          <w:szCs w:val="24"/>
        </w:rPr>
        <w:t>glavnica kredita</w:t>
      </w:r>
      <w:r w:rsidR="00893A24">
        <w:rPr>
          <w:bCs/>
          <w:sz w:val="24"/>
          <w:szCs w:val="24"/>
        </w:rPr>
        <w:t xml:space="preserve"> (u dosadašnjem tekstu je nazivan udio otplate glavnice u anuitetu / otplatnoj rati</w:t>
      </w:r>
      <w:r w:rsidRPr="001A25C6">
        <w:rPr>
          <w:bCs/>
          <w:sz w:val="24"/>
          <w:szCs w:val="24"/>
        </w:rPr>
        <w:t xml:space="preserve">). </w:t>
      </w:r>
    </w:p>
    <w:p w:rsidR="00893A24" w:rsidRPr="00893A24" w:rsidRDefault="00893A24" w:rsidP="00893A24">
      <w:pPr>
        <w:tabs>
          <w:tab w:val="left" w:pos="3150"/>
        </w:tabs>
        <w:rPr>
          <w:bCs/>
          <w:sz w:val="24"/>
          <w:szCs w:val="24"/>
        </w:rPr>
      </w:pPr>
      <w:r w:rsidRPr="00893A24">
        <w:rPr>
          <w:bCs/>
          <w:sz w:val="24"/>
          <w:szCs w:val="24"/>
        </w:rPr>
        <w:t xml:space="preserve">Otplata (amortizacija) kredita najčešće se ugovara na jedan od sljedećih načina: </w:t>
      </w:r>
    </w:p>
    <w:p w:rsidR="00893A24" w:rsidRPr="00893A24" w:rsidRDefault="00893A24" w:rsidP="006F1C04">
      <w:pPr>
        <w:pStyle w:val="Odlomakpopisa"/>
        <w:numPr>
          <w:ilvl w:val="0"/>
          <w:numId w:val="64"/>
        </w:numPr>
        <w:tabs>
          <w:tab w:val="left" w:pos="3150"/>
        </w:tabs>
        <w:spacing w:after="0"/>
        <w:rPr>
          <w:bCs/>
          <w:sz w:val="24"/>
          <w:szCs w:val="24"/>
        </w:rPr>
      </w:pPr>
      <w:r w:rsidRPr="00893A24">
        <w:rPr>
          <w:bCs/>
          <w:sz w:val="24"/>
          <w:szCs w:val="24"/>
        </w:rPr>
        <w:t xml:space="preserve">uz </w:t>
      </w:r>
      <w:r w:rsidRPr="00893A24">
        <w:rPr>
          <w:bCs/>
          <w:color w:val="C00000"/>
          <w:sz w:val="24"/>
          <w:szCs w:val="24"/>
        </w:rPr>
        <w:t xml:space="preserve">nominalno jednake iznose anuiteta </w:t>
      </w:r>
      <w:r w:rsidRPr="00893A24">
        <w:rPr>
          <w:bCs/>
          <w:sz w:val="24"/>
          <w:szCs w:val="24"/>
        </w:rPr>
        <w:t xml:space="preserve">tijekom cijelog razdoblja otplate kredita – u tom slučaju radi se o standardnoj anuitetskoj otplati; </w:t>
      </w:r>
    </w:p>
    <w:p w:rsidR="00893A24" w:rsidRPr="00EE30B9" w:rsidRDefault="00893A24" w:rsidP="006F1C04">
      <w:pPr>
        <w:pStyle w:val="Odlomakpopisa"/>
        <w:numPr>
          <w:ilvl w:val="0"/>
          <w:numId w:val="63"/>
        </w:numPr>
        <w:tabs>
          <w:tab w:val="left" w:pos="3150"/>
        </w:tabs>
        <w:spacing w:after="240"/>
        <w:ind w:left="760" w:hanging="357"/>
        <w:rPr>
          <w:bCs/>
          <w:sz w:val="24"/>
          <w:szCs w:val="24"/>
        </w:rPr>
      </w:pPr>
      <w:r w:rsidRPr="00893A24">
        <w:rPr>
          <w:bCs/>
          <w:sz w:val="24"/>
          <w:szCs w:val="24"/>
        </w:rPr>
        <w:t xml:space="preserve">ili </w:t>
      </w:r>
      <w:r w:rsidRPr="00893A24">
        <w:rPr>
          <w:bCs/>
          <w:color w:val="C00000"/>
          <w:sz w:val="24"/>
          <w:szCs w:val="24"/>
        </w:rPr>
        <w:t xml:space="preserve">uz nominalno jednake iznose otplatnih kvota </w:t>
      </w:r>
      <w:r w:rsidRPr="00893A24">
        <w:rPr>
          <w:bCs/>
          <w:sz w:val="24"/>
          <w:szCs w:val="24"/>
        </w:rPr>
        <w:t>tijekom cijelog razdoblja otplate (što znači da su anuiteti promjenjivi, dok su unutar njih fiksni iznosi otplate glavnice) – u tom slučaju u bankarstvu se uobičajeno kaže da se radi o otplati u ratama.</w:t>
      </w:r>
      <w:r w:rsidRPr="00893A24">
        <w:rPr>
          <w:i/>
          <w:sz w:val="24"/>
          <w:szCs w:val="24"/>
          <w:vertAlign w:val="superscript"/>
        </w:rPr>
        <w:t xml:space="preserve"> </w:t>
      </w:r>
      <w:r w:rsidRPr="00801489">
        <w:rPr>
          <w:i/>
          <w:sz w:val="24"/>
          <w:szCs w:val="24"/>
          <w:vertAlign w:val="superscript"/>
        </w:rPr>
        <w:footnoteReference w:id="71"/>
      </w:r>
    </w:p>
    <w:p w:rsidR="00EE30B9" w:rsidRPr="00EE30B9" w:rsidRDefault="00EE30B9" w:rsidP="00EE30B9">
      <w:pPr>
        <w:tabs>
          <w:tab w:val="left" w:pos="3150"/>
        </w:tabs>
        <w:spacing w:after="240"/>
        <w:jc w:val="both"/>
        <w:rPr>
          <w:bCs/>
          <w:sz w:val="24"/>
          <w:szCs w:val="24"/>
        </w:rPr>
      </w:pPr>
      <w:r>
        <w:rPr>
          <w:bCs/>
          <w:sz w:val="24"/>
          <w:szCs w:val="24"/>
        </w:rPr>
        <w:lastRenderedPageBreak/>
        <w:t>Većina kredita u Hrvatskoj ugovorena je uz model nominalno jednakih iznosa anuiteta (tj. standardne anuitetske otplate) iz razloga što su se mogućnosti otplate u ratama relativno kasnije pojavile u ponudi banaka, a osim toga i danas su moguće tek kod pojedinih vrsta kredita, npr. kod stambenih kredita. U slučaju kredita koji su odobreni s valutnom klauzulom iznos mjesečne rate ili anuiteta kao definiran je u valuti valutne klauzule, a plaćanje po dospjelim obvezama izvršava se u kunama, uobičajeno po srednjem tečaju Hrvatske narodne banke. U trenutku isplate kredita odobrenih s valutnom klauzulom isplata se također obavlja u kunama, npr. u korist</w:t>
      </w:r>
      <w:r w:rsidR="00E72546">
        <w:rPr>
          <w:bCs/>
          <w:sz w:val="24"/>
          <w:szCs w:val="24"/>
        </w:rPr>
        <w:t xml:space="preserve"> računa prodavatelja stana, auto</w:t>
      </w:r>
      <w:r w:rsidR="000E2494">
        <w:rPr>
          <w:bCs/>
          <w:sz w:val="24"/>
          <w:szCs w:val="24"/>
        </w:rPr>
        <w:t>-</w:t>
      </w:r>
      <w:r w:rsidR="00E72546">
        <w:rPr>
          <w:bCs/>
          <w:sz w:val="24"/>
          <w:szCs w:val="24"/>
        </w:rPr>
        <w:t xml:space="preserve">kuće koja prodaje automobil </w:t>
      </w:r>
      <w:r w:rsidR="000E2494">
        <w:rPr>
          <w:bCs/>
          <w:sz w:val="24"/>
          <w:szCs w:val="24"/>
        </w:rPr>
        <w:t xml:space="preserve">uz kredit banke </w:t>
      </w:r>
      <w:r w:rsidR="00E72546">
        <w:rPr>
          <w:bCs/>
          <w:sz w:val="24"/>
          <w:szCs w:val="24"/>
        </w:rPr>
        <w:t>i slično, odnosno na tekući račun klijenta ako je u pitanju nenamjenski / gotovinski kredit.</w:t>
      </w:r>
      <w:r>
        <w:rPr>
          <w:bCs/>
          <w:sz w:val="24"/>
          <w:szCs w:val="24"/>
        </w:rPr>
        <w:t xml:space="preserve"> </w:t>
      </w:r>
    </w:p>
    <w:tbl>
      <w:tblPr>
        <w:tblStyle w:val="Reetkatablice"/>
        <w:tblW w:w="0" w:type="auto"/>
        <w:tblLook w:val="04A0" w:firstRow="1" w:lastRow="0" w:firstColumn="1" w:lastColumn="0" w:noHBand="0" w:noVBand="1"/>
      </w:tblPr>
      <w:tblGrid>
        <w:gridCol w:w="9288"/>
      </w:tblGrid>
      <w:tr w:rsidR="00893A24" w:rsidTr="00893A24">
        <w:tc>
          <w:tcPr>
            <w:tcW w:w="9288" w:type="dxa"/>
          </w:tcPr>
          <w:p w:rsidR="00893A24" w:rsidRDefault="00FA495E" w:rsidP="00893A24">
            <w:pPr>
              <w:autoSpaceDE w:val="0"/>
              <w:autoSpaceDN w:val="0"/>
              <w:adjustRightInd w:val="0"/>
              <w:spacing w:before="240"/>
              <w:jc w:val="center"/>
            </w:pPr>
            <w:r>
              <w:rPr>
                <w:rFonts w:asciiTheme="minorHAnsi" w:eastAsiaTheme="minorHAnsi" w:hAnsiTheme="minorHAnsi" w:cstheme="minorBidi"/>
                <w:sz w:val="22"/>
                <w:szCs w:val="22"/>
                <w:lang w:eastAsia="en-US"/>
              </w:rPr>
              <w:object w:dxaOrig="8205" w:dyaOrig="4125">
                <v:shape id="_x0000_i1066" type="#_x0000_t75" style="width:402.75pt;height:202.5pt" o:ole="">
                  <v:imagedata r:id="rId190" o:title=""/>
                </v:shape>
                <o:OLEObject Type="Embed" ProgID="PBrush" ShapeID="_x0000_i1066" DrawAspect="Content" ObjectID="_1505681394" r:id="rId191"/>
              </w:object>
            </w:r>
          </w:p>
          <w:p w:rsidR="00893A24" w:rsidRDefault="00FA495E" w:rsidP="00893A24">
            <w:pPr>
              <w:tabs>
                <w:tab w:val="left" w:pos="2040"/>
              </w:tabs>
              <w:spacing w:line="276" w:lineRule="auto"/>
              <w:jc w:val="center"/>
            </w:pPr>
            <w:r>
              <w:rPr>
                <w:rFonts w:asciiTheme="minorHAnsi" w:eastAsiaTheme="minorHAnsi" w:hAnsiTheme="minorHAnsi" w:cstheme="minorBidi"/>
                <w:sz w:val="22"/>
                <w:szCs w:val="22"/>
                <w:lang w:eastAsia="en-US"/>
              </w:rPr>
              <w:object w:dxaOrig="8520" w:dyaOrig="1170">
                <v:shape id="_x0000_i1067" type="#_x0000_t75" style="width:408pt;height:55.5pt" o:ole="">
                  <v:imagedata r:id="rId192" o:title=""/>
                </v:shape>
                <o:OLEObject Type="Embed" ProgID="PBrush" ShapeID="_x0000_i1067" DrawAspect="Content" ObjectID="_1505681395" r:id="rId193"/>
              </w:object>
            </w:r>
          </w:p>
          <w:p w:rsidR="00893A24" w:rsidRPr="00F4403C" w:rsidRDefault="00893A24" w:rsidP="00893A24">
            <w:pPr>
              <w:tabs>
                <w:tab w:val="left" w:pos="1050"/>
              </w:tabs>
              <w:spacing w:before="240" w:line="276" w:lineRule="auto"/>
              <w:rPr>
                <w:rFonts w:asciiTheme="minorHAnsi" w:hAnsiTheme="minorHAnsi"/>
                <w:sz w:val="24"/>
                <w:szCs w:val="24"/>
              </w:rPr>
            </w:pPr>
            <w:r w:rsidRPr="00F4403C">
              <w:rPr>
                <w:rFonts w:asciiTheme="minorHAnsi" w:hAnsiTheme="minorHAnsi"/>
                <w:bCs/>
                <w:i/>
                <w:iCs/>
                <w:color w:val="C00000"/>
                <w:sz w:val="24"/>
                <w:szCs w:val="24"/>
              </w:rPr>
              <w:t>Primjer:</w:t>
            </w:r>
            <w:r w:rsidRPr="00F4403C">
              <w:rPr>
                <w:rFonts w:asciiTheme="minorHAnsi" w:hAnsiTheme="minorHAnsi"/>
                <w:b/>
                <w:bCs/>
                <w:i/>
                <w:iCs/>
                <w:color w:val="C00000"/>
                <w:sz w:val="24"/>
                <w:szCs w:val="24"/>
              </w:rPr>
              <w:t xml:space="preserve"> </w:t>
            </w:r>
            <w:r w:rsidRPr="00F4403C">
              <w:rPr>
                <w:rFonts w:asciiTheme="minorHAnsi" w:hAnsiTheme="minorHAnsi"/>
                <w:sz w:val="24"/>
                <w:szCs w:val="24"/>
              </w:rPr>
              <w:t xml:space="preserve">Odobren je gotovinski kredit u iznosu od 350.000 kuna s rokom otplate 5 godina i uz kamatnu stopu 7 % godišnje. Kamatna stopa je fiksna, a obračun kamata složen i dekurzivan. </w:t>
            </w:r>
          </w:p>
          <w:p w:rsidR="00893A24" w:rsidRPr="00F4403C" w:rsidRDefault="00893A24" w:rsidP="00893A24">
            <w:p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Izračunajte iznos </w:t>
            </w:r>
            <w:r w:rsidRPr="00F4403C">
              <w:rPr>
                <w:rFonts w:asciiTheme="minorHAnsi" w:hAnsiTheme="minorHAnsi"/>
                <w:sz w:val="24"/>
                <w:szCs w:val="24"/>
                <w:u w:val="single"/>
              </w:rPr>
              <w:t xml:space="preserve">nominalno jednakog mjesečnog anuiteta </w:t>
            </w:r>
            <w:r w:rsidRPr="00F4403C">
              <w:rPr>
                <w:rFonts w:asciiTheme="minorHAnsi" w:hAnsiTheme="minorHAnsi"/>
                <w:sz w:val="24"/>
                <w:szCs w:val="24"/>
              </w:rPr>
              <w:t xml:space="preserve">koji dospijeva </w:t>
            </w:r>
            <w:r w:rsidRPr="00F4403C">
              <w:rPr>
                <w:rFonts w:asciiTheme="minorHAnsi" w:hAnsiTheme="minorHAnsi"/>
                <w:sz w:val="24"/>
                <w:szCs w:val="24"/>
                <w:u w:val="single"/>
              </w:rPr>
              <w:t xml:space="preserve">krajem </w:t>
            </w:r>
            <w:r w:rsidRPr="00F4403C">
              <w:rPr>
                <w:rFonts w:asciiTheme="minorHAnsi" w:hAnsiTheme="minorHAnsi"/>
                <w:sz w:val="24"/>
                <w:szCs w:val="24"/>
              </w:rPr>
              <w:t xml:space="preserve">mjeseca </w:t>
            </w:r>
          </w:p>
          <w:p w:rsidR="00893A24" w:rsidRPr="00F4403C" w:rsidRDefault="00893A24" w:rsidP="006F1C04">
            <w:pPr>
              <w:pStyle w:val="Odlomakpopisa"/>
              <w:numPr>
                <w:ilvl w:val="0"/>
                <w:numId w:val="65"/>
              </w:num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ako banka koristi konformnu metodu </w:t>
            </w:r>
          </w:p>
          <w:p w:rsidR="00893A24" w:rsidRDefault="00893A24" w:rsidP="006F1C04">
            <w:pPr>
              <w:pStyle w:val="Odlomakpopisa"/>
              <w:numPr>
                <w:ilvl w:val="0"/>
                <w:numId w:val="65"/>
              </w:num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ako banka koristi proporcionalnu metodu. </w:t>
            </w:r>
          </w:p>
          <w:p w:rsidR="00FA495E" w:rsidRDefault="00FA495E" w:rsidP="00FA495E">
            <w:pPr>
              <w:tabs>
                <w:tab w:val="left" w:pos="1035"/>
              </w:tabs>
              <w:rPr>
                <w:rFonts w:asciiTheme="minorHAnsi" w:hAnsiTheme="minorHAnsi"/>
                <w:color w:val="C00000"/>
                <w:sz w:val="24"/>
                <w:szCs w:val="24"/>
              </w:rPr>
            </w:pPr>
          </w:p>
          <w:p w:rsidR="00FA495E" w:rsidRPr="00F4403C" w:rsidRDefault="00FA495E" w:rsidP="00FA495E">
            <w:pPr>
              <w:tabs>
                <w:tab w:val="left" w:pos="1035"/>
              </w:tabs>
              <w:rPr>
                <w:rFonts w:asciiTheme="minorHAnsi" w:hAnsiTheme="minorHAnsi"/>
                <w:color w:val="C00000"/>
                <w:sz w:val="24"/>
                <w:szCs w:val="24"/>
              </w:rPr>
            </w:pPr>
            <w:r w:rsidRPr="00F4403C">
              <w:rPr>
                <w:rFonts w:asciiTheme="minorHAnsi" w:hAnsiTheme="minorHAnsi"/>
                <w:color w:val="C00000"/>
                <w:sz w:val="24"/>
                <w:szCs w:val="24"/>
              </w:rPr>
              <w:t xml:space="preserve">Banke u Hrvatskoj tipično koriste proporcionalnu metodu kod obračuna kamata na kredite. </w:t>
            </w:r>
          </w:p>
          <w:p w:rsidR="00FA495E" w:rsidRPr="00FA495E" w:rsidRDefault="00FA495E" w:rsidP="00FA495E">
            <w:pPr>
              <w:tabs>
                <w:tab w:val="left" w:pos="1050"/>
              </w:tabs>
              <w:rPr>
                <w:sz w:val="24"/>
                <w:szCs w:val="24"/>
              </w:rPr>
            </w:pPr>
          </w:p>
          <w:p w:rsidR="00FA495E" w:rsidRPr="00D0255E" w:rsidRDefault="00893A24" w:rsidP="00FA495E">
            <w:pPr>
              <w:tabs>
                <w:tab w:val="left" w:pos="1050"/>
              </w:tabs>
              <w:spacing w:before="240" w:line="276" w:lineRule="auto"/>
              <w:rPr>
                <w:sz w:val="24"/>
                <w:szCs w:val="24"/>
              </w:rPr>
            </w:pPr>
            <w:r w:rsidRPr="00F4403C">
              <w:rPr>
                <w:rFonts w:asciiTheme="minorHAnsi" w:hAnsiTheme="minorHAnsi"/>
                <w:sz w:val="24"/>
                <w:szCs w:val="24"/>
              </w:rPr>
              <w:t xml:space="preserve">a) Ako banka koristi </w:t>
            </w:r>
            <w:r w:rsidRPr="00F4403C">
              <w:rPr>
                <w:rFonts w:asciiTheme="minorHAnsi" w:hAnsiTheme="minorHAnsi"/>
                <w:b/>
                <w:bCs/>
                <w:sz w:val="24"/>
                <w:szCs w:val="24"/>
              </w:rPr>
              <w:t>konformnu metodu</w:t>
            </w:r>
            <w:r w:rsidRPr="00F4403C">
              <w:rPr>
                <w:rFonts w:asciiTheme="minorHAnsi" w:hAnsiTheme="minorHAnsi"/>
                <w:sz w:val="24"/>
                <w:szCs w:val="24"/>
              </w:rPr>
              <w:t xml:space="preserve">, za potrebe izračuna mjesečnog anuiteta prvo treba izračunati </w:t>
            </w:r>
            <w:r w:rsidRPr="00F4403C">
              <w:rPr>
                <w:rFonts w:asciiTheme="minorHAnsi" w:hAnsiTheme="minorHAnsi"/>
                <w:i/>
                <w:iCs/>
                <w:sz w:val="24"/>
                <w:szCs w:val="24"/>
              </w:rPr>
              <w:t>mjesečni konformni kamatnjak</w:t>
            </w:r>
            <w:r w:rsidRPr="00F4403C">
              <w:rPr>
                <w:rFonts w:asciiTheme="minorHAnsi" w:hAnsiTheme="minorHAnsi"/>
                <w:sz w:val="24"/>
                <w:szCs w:val="24"/>
              </w:rPr>
              <w:t xml:space="preserve">. Uz godišnju nominalnu kamatnu stopu slijedi da je </w:t>
            </w:r>
            <w:r w:rsidRPr="00F4403C">
              <w:rPr>
                <w:rFonts w:asciiTheme="minorHAnsi" w:hAnsiTheme="minorHAnsi"/>
                <w:i/>
                <w:iCs/>
                <w:sz w:val="24"/>
                <w:szCs w:val="24"/>
              </w:rPr>
              <w:t xml:space="preserve">k </w:t>
            </w:r>
            <w:r w:rsidRPr="00F4403C">
              <w:rPr>
                <w:rFonts w:asciiTheme="minorHAnsi" w:hAnsiTheme="minorHAnsi"/>
                <w:sz w:val="24"/>
                <w:szCs w:val="24"/>
              </w:rPr>
              <w:t>= 12.</w:t>
            </w:r>
          </w:p>
          <w:p w:rsidR="00893A24" w:rsidRPr="00D0255E" w:rsidRDefault="00893A24" w:rsidP="00893A24">
            <w:pPr>
              <w:tabs>
                <w:tab w:val="left" w:pos="1050"/>
              </w:tabs>
              <w:rPr>
                <w:sz w:val="24"/>
                <w:szCs w:val="24"/>
              </w:rPr>
            </w:pPr>
            <w:r w:rsidRPr="00D0255E">
              <w:rPr>
                <w:noProof/>
                <w:sz w:val="24"/>
                <w:szCs w:val="24"/>
              </w:rPr>
              <w:lastRenderedPageBreak/>
              <w:drawing>
                <wp:inline distT="0" distB="0" distL="0" distR="0" wp14:anchorId="2D03EF86" wp14:editId="0B08BD54">
                  <wp:extent cx="5760720" cy="1234440"/>
                  <wp:effectExtent l="19050" t="0" r="0" b="0"/>
                  <wp:docPr id="961" name="Slika 960" descr="Slika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png"/>
                          <pic:cNvPicPr/>
                        </pic:nvPicPr>
                        <pic:blipFill>
                          <a:blip r:embed="rId194" cstate="print"/>
                          <a:stretch>
                            <a:fillRect/>
                          </a:stretch>
                        </pic:blipFill>
                        <pic:spPr>
                          <a:xfrm>
                            <a:off x="0" y="0"/>
                            <a:ext cx="5760720" cy="1234440"/>
                          </a:xfrm>
                          <a:prstGeom prst="rect">
                            <a:avLst/>
                          </a:prstGeom>
                        </pic:spPr>
                      </pic:pic>
                    </a:graphicData>
                  </a:graphic>
                </wp:inline>
              </w:drawing>
            </w:r>
          </w:p>
          <w:p w:rsidR="00893A24" w:rsidRPr="00D0255E" w:rsidRDefault="00893A24" w:rsidP="00893A24">
            <w:pPr>
              <w:tabs>
                <w:tab w:val="left" w:pos="2925"/>
              </w:tabs>
              <w:spacing w:line="276" w:lineRule="auto"/>
              <w:rPr>
                <w:sz w:val="24"/>
                <w:szCs w:val="24"/>
              </w:rPr>
            </w:pPr>
            <w:r w:rsidRPr="00D0255E">
              <w:rPr>
                <w:noProof/>
                <w:sz w:val="24"/>
                <w:szCs w:val="24"/>
              </w:rPr>
              <w:drawing>
                <wp:inline distT="0" distB="0" distL="0" distR="0" wp14:anchorId="6953E43A" wp14:editId="5267856C">
                  <wp:extent cx="5760720" cy="1348740"/>
                  <wp:effectExtent l="19050" t="0" r="0" b="0"/>
                  <wp:docPr id="962" name="Slika 961" descr="Slika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png"/>
                          <pic:cNvPicPr/>
                        </pic:nvPicPr>
                        <pic:blipFill>
                          <a:blip r:embed="rId195" cstate="print"/>
                          <a:stretch>
                            <a:fillRect/>
                          </a:stretch>
                        </pic:blipFill>
                        <pic:spPr>
                          <a:xfrm>
                            <a:off x="0" y="0"/>
                            <a:ext cx="5760720" cy="1348740"/>
                          </a:xfrm>
                          <a:prstGeom prst="rect">
                            <a:avLst/>
                          </a:prstGeom>
                        </pic:spPr>
                      </pic:pic>
                    </a:graphicData>
                  </a:graphic>
                </wp:inline>
              </w:drawing>
            </w:r>
          </w:p>
          <w:p w:rsidR="00893A24" w:rsidRPr="00F4403C" w:rsidRDefault="00893A24" w:rsidP="00893A24">
            <w:pPr>
              <w:tabs>
                <w:tab w:val="left" w:pos="1425"/>
              </w:tabs>
              <w:spacing w:line="276" w:lineRule="auto"/>
              <w:rPr>
                <w:rFonts w:asciiTheme="minorHAnsi" w:hAnsiTheme="minorHAnsi"/>
                <w:sz w:val="26"/>
                <w:szCs w:val="26"/>
              </w:rPr>
            </w:pPr>
            <w:r w:rsidRPr="00F4403C">
              <w:rPr>
                <w:rFonts w:asciiTheme="minorHAnsi" w:hAnsiTheme="minorHAnsi"/>
                <w:sz w:val="26"/>
                <w:szCs w:val="26"/>
              </w:rPr>
              <w:t xml:space="preserve">nominalno jednakog mjesečnog anuiteta otplate kredita ako banka koristi konformnu metodu. </w:t>
            </w:r>
          </w:p>
          <w:p w:rsidR="00284237" w:rsidRPr="00F4403C" w:rsidRDefault="00284237" w:rsidP="00893A24">
            <w:pPr>
              <w:tabs>
                <w:tab w:val="left" w:pos="1425"/>
              </w:tabs>
              <w:spacing w:line="276" w:lineRule="auto"/>
              <w:rPr>
                <w:rFonts w:asciiTheme="minorHAnsi" w:hAnsiTheme="minorHAnsi"/>
                <w:sz w:val="26"/>
                <w:szCs w:val="26"/>
              </w:rPr>
            </w:pPr>
            <w:r w:rsidRPr="00F4403C">
              <w:rPr>
                <w:rFonts w:asciiTheme="minorHAnsi" w:hAnsiTheme="minorHAnsi"/>
                <w:sz w:val="24"/>
                <w:szCs w:val="24"/>
              </w:rPr>
              <w:t>(</w:t>
            </w:r>
            <w:r w:rsidRPr="00F4403C">
              <w:rPr>
                <w:rFonts w:asciiTheme="minorHAnsi" w:hAnsiTheme="minorHAnsi"/>
                <w:i/>
                <w:iCs/>
                <w:sz w:val="24"/>
                <w:szCs w:val="24"/>
              </w:rPr>
              <w:t>Vodite računa da se zbog zaokruživanja javljaju manje razlike u izračunima.)</w:t>
            </w:r>
          </w:p>
          <w:p w:rsidR="00893A24" w:rsidRPr="00F4403C" w:rsidRDefault="00893A24" w:rsidP="00893A24">
            <w:pPr>
              <w:tabs>
                <w:tab w:val="left" w:pos="1425"/>
              </w:tabs>
              <w:spacing w:line="276" w:lineRule="auto"/>
              <w:rPr>
                <w:rFonts w:asciiTheme="minorHAnsi" w:hAnsiTheme="minorHAnsi"/>
                <w:sz w:val="24"/>
                <w:szCs w:val="24"/>
              </w:rPr>
            </w:pPr>
          </w:p>
          <w:p w:rsidR="00893A24" w:rsidRPr="00F4403C" w:rsidRDefault="00893A24" w:rsidP="00893A24">
            <w:pPr>
              <w:tabs>
                <w:tab w:val="left" w:pos="1425"/>
              </w:tabs>
              <w:spacing w:line="276" w:lineRule="auto"/>
              <w:rPr>
                <w:rFonts w:asciiTheme="minorHAnsi" w:hAnsiTheme="minorHAnsi"/>
                <w:sz w:val="24"/>
                <w:szCs w:val="24"/>
              </w:rPr>
            </w:pPr>
            <w:r w:rsidRPr="00F4403C">
              <w:rPr>
                <w:rFonts w:asciiTheme="minorHAnsi" w:hAnsiTheme="minorHAnsi"/>
                <w:sz w:val="24"/>
                <w:szCs w:val="24"/>
              </w:rPr>
              <w:t xml:space="preserve">b) Ako banka koristi </w:t>
            </w:r>
            <w:r w:rsidRPr="00F4403C">
              <w:rPr>
                <w:rFonts w:asciiTheme="minorHAnsi" w:hAnsiTheme="minorHAnsi"/>
                <w:b/>
                <w:bCs/>
                <w:sz w:val="24"/>
                <w:szCs w:val="24"/>
              </w:rPr>
              <w:t>proporcionalnu metodu</w:t>
            </w:r>
            <w:r w:rsidRPr="00F4403C">
              <w:rPr>
                <w:rFonts w:asciiTheme="minorHAnsi" w:hAnsiTheme="minorHAnsi"/>
                <w:sz w:val="24"/>
                <w:szCs w:val="24"/>
              </w:rPr>
              <w:t xml:space="preserve">, za potrebe izračuna mjesečnog anuiteta prvo treba izračunati </w:t>
            </w:r>
            <w:r w:rsidRPr="00F4403C">
              <w:rPr>
                <w:rFonts w:asciiTheme="minorHAnsi" w:hAnsiTheme="minorHAnsi"/>
                <w:i/>
                <w:iCs/>
                <w:sz w:val="24"/>
                <w:szCs w:val="24"/>
              </w:rPr>
              <w:t>mjesečni relativni kamatnjak</w:t>
            </w:r>
            <w:r w:rsidRPr="00F4403C">
              <w:rPr>
                <w:rFonts w:asciiTheme="minorHAnsi" w:hAnsiTheme="minorHAnsi"/>
                <w:sz w:val="24"/>
                <w:szCs w:val="24"/>
              </w:rPr>
              <w:t xml:space="preserve">. Uz godišnju nominalnu kamatnu stopu, slijedi da je </w:t>
            </w:r>
            <w:r w:rsidRPr="00F4403C">
              <w:rPr>
                <w:rFonts w:asciiTheme="minorHAnsi" w:hAnsiTheme="minorHAnsi"/>
                <w:i/>
                <w:iCs/>
                <w:sz w:val="24"/>
                <w:szCs w:val="24"/>
              </w:rPr>
              <w:t xml:space="preserve">k </w:t>
            </w:r>
            <w:r w:rsidRPr="00F4403C">
              <w:rPr>
                <w:rFonts w:asciiTheme="minorHAnsi" w:hAnsiTheme="minorHAnsi"/>
                <w:sz w:val="24"/>
                <w:szCs w:val="24"/>
              </w:rPr>
              <w:t>= 12.</w:t>
            </w:r>
          </w:p>
          <w:p w:rsidR="00893A24" w:rsidRPr="00D0255E" w:rsidRDefault="00893A24" w:rsidP="00893A24">
            <w:pPr>
              <w:tabs>
                <w:tab w:val="left" w:pos="1425"/>
              </w:tabs>
              <w:spacing w:line="276" w:lineRule="auto"/>
              <w:rPr>
                <w:sz w:val="24"/>
                <w:szCs w:val="24"/>
              </w:rPr>
            </w:pPr>
            <w:r w:rsidRPr="00D0255E">
              <w:rPr>
                <w:noProof/>
                <w:sz w:val="24"/>
                <w:szCs w:val="24"/>
              </w:rPr>
              <w:drawing>
                <wp:inline distT="0" distB="0" distL="0" distR="0" wp14:anchorId="68765FD7" wp14:editId="2047B29E">
                  <wp:extent cx="5760720" cy="2081530"/>
                  <wp:effectExtent l="19050" t="0" r="0" b="0"/>
                  <wp:docPr id="963" name="Slika 962" descr="Slika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png"/>
                          <pic:cNvPicPr/>
                        </pic:nvPicPr>
                        <pic:blipFill>
                          <a:blip r:embed="rId196" cstate="print"/>
                          <a:stretch>
                            <a:fillRect/>
                          </a:stretch>
                        </pic:blipFill>
                        <pic:spPr>
                          <a:xfrm>
                            <a:off x="0" y="0"/>
                            <a:ext cx="5760720" cy="2081530"/>
                          </a:xfrm>
                          <a:prstGeom prst="rect">
                            <a:avLst/>
                          </a:prstGeom>
                        </pic:spPr>
                      </pic:pic>
                    </a:graphicData>
                  </a:graphic>
                </wp:inline>
              </w:drawing>
            </w:r>
          </w:p>
          <w:p w:rsidR="00893A24" w:rsidRPr="00D0255E" w:rsidRDefault="00893A24" w:rsidP="00893A24">
            <w:pPr>
              <w:rPr>
                <w:sz w:val="24"/>
                <w:szCs w:val="24"/>
              </w:rPr>
            </w:pPr>
          </w:p>
          <w:p w:rsidR="00893A24" w:rsidRPr="00F4403C" w:rsidRDefault="00893A24" w:rsidP="00893A24">
            <w:pPr>
              <w:tabs>
                <w:tab w:val="left" w:pos="1035"/>
              </w:tabs>
              <w:rPr>
                <w:rFonts w:asciiTheme="minorHAnsi" w:hAnsiTheme="minorHAnsi"/>
                <w:sz w:val="26"/>
                <w:szCs w:val="26"/>
              </w:rPr>
            </w:pPr>
            <w:r w:rsidRPr="00F4403C">
              <w:rPr>
                <w:rFonts w:asciiTheme="minorHAnsi" w:hAnsiTheme="minorHAnsi"/>
                <w:sz w:val="26"/>
                <w:szCs w:val="26"/>
              </w:rPr>
              <w:t xml:space="preserve">nominalno jednakog mjesečnog anuiteta otplate kredita ako banka koristi proporcionalnu metodu. </w:t>
            </w:r>
          </w:p>
          <w:p w:rsidR="00284237" w:rsidRPr="00F4403C" w:rsidRDefault="00284237" w:rsidP="00893A24">
            <w:pPr>
              <w:tabs>
                <w:tab w:val="left" w:pos="1035"/>
              </w:tabs>
              <w:rPr>
                <w:rFonts w:asciiTheme="minorHAnsi" w:hAnsiTheme="minorHAnsi"/>
                <w:sz w:val="26"/>
                <w:szCs w:val="26"/>
              </w:rPr>
            </w:pPr>
            <w:r w:rsidRPr="00F4403C">
              <w:rPr>
                <w:rFonts w:asciiTheme="minorHAnsi" w:hAnsiTheme="minorHAnsi"/>
                <w:sz w:val="24"/>
                <w:szCs w:val="24"/>
              </w:rPr>
              <w:t>(</w:t>
            </w:r>
            <w:r w:rsidRPr="00F4403C">
              <w:rPr>
                <w:rFonts w:asciiTheme="minorHAnsi" w:hAnsiTheme="minorHAnsi"/>
                <w:i/>
                <w:iCs/>
                <w:sz w:val="24"/>
                <w:szCs w:val="24"/>
              </w:rPr>
              <w:t>Vodite računa da se zbog zaokruživanja javljaju manje razlike u izračunima.)</w:t>
            </w:r>
          </w:p>
          <w:p w:rsidR="00893A24" w:rsidRPr="00F4403C" w:rsidRDefault="00893A24" w:rsidP="00893A24">
            <w:pPr>
              <w:tabs>
                <w:tab w:val="left" w:pos="1035"/>
              </w:tabs>
              <w:rPr>
                <w:rFonts w:asciiTheme="minorHAnsi" w:hAnsiTheme="minorHAnsi"/>
                <w:sz w:val="26"/>
                <w:szCs w:val="26"/>
              </w:rPr>
            </w:pPr>
          </w:p>
          <w:p w:rsidR="00893A24" w:rsidRDefault="00893A24" w:rsidP="00893A24">
            <w:pPr>
              <w:tabs>
                <w:tab w:val="left" w:pos="1050"/>
              </w:tabs>
              <w:spacing w:line="276" w:lineRule="auto"/>
              <w:jc w:val="center"/>
            </w:pPr>
            <w:r>
              <w:rPr>
                <w:rFonts w:asciiTheme="minorHAnsi" w:eastAsiaTheme="minorHAnsi" w:hAnsiTheme="minorHAnsi" w:cstheme="minorBidi"/>
                <w:sz w:val="22"/>
                <w:szCs w:val="22"/>
                <w:lang w:eastAsia="en-US"/>
              </w:rPr>
              <w:object w:dxaOrig="7425" w:dyaOrig="3600">
                <v:shape id="_x0000_i1068" type="#_x0000_t75" style="width:371.25pt;height:180pt" o:ole="">
                  <v:imagedata r:id="rId197" o:title=""/>
                </v:shape>
                <o:OLEObject Type="Embed" ProgID="PBrush" ShapeID="_x0000_i1068" DrawAspect="Content" ObjectID="_1505681396" r:id="rId198"/>
              </w:object>
            </w:r>
          </w:p>
          <w:p w:rsidR="00FA495E" w:rsidRDefault="00FA495E" w:rsidP="00E72546">
            <w:pPr>
              <w:tabs>
                <w:tab w:val="left" w:pos="1035"/>
              </w:tabs>
              <w:rPr>
                <w:rFonts w:asciiTheme="minorHAnsi" w:hAnsiTheme="minorHAnsi"/>
                <w:sz w:val="24"/>
                <w:szCs w:val="24"/>
              </w:rPr>
            </w:pPr>
          </w:p>
          <w:p w:rsidR="00E72546" w:rsidRPr="00E72546" w:rsidRDefault="00E72546" w:rsidP="00E72546">
            <w:pPr>
              <w:tabs>
                <w:tab w:val="left" w:pos="1035"/>
              </w:tabs>
              <w:rPr>
                <w:rFonts w:asciiTheme="minorHAnsi" w:hAnsiTheme="minorHAnsi"/>
                <w:sz w:val="24"/>
                <w:szCs w:val="24"/>
              </w:rPr>
            </w:pPr>
            <w:r w:rsidRPr="00E72546">
              <w:rPr>
                <w:rFonts w:asciiTheme="minorHAnsi" w:hAnsiTheme="minorHAnsi"/>
                <w:sz w:val="24"/>
                <w:szCs w:val="24"/>
              </w:rPr>
              <w:t xml:space="preserve">Iznos kamata u navedenom slučaju moguće je izračunati iz izraza </w:t>
            </w:r>
          </w:p>
          <w:p w:rsidR="00E72546" w:rsidRPr="00F4403C" w:rsidRDefault="00E72546" w:rsidP="00E72546">
            <w:pPr>
              <w:tabs>
                <w:tab w:val="left" w:pos="1035"/>
              </w:tabs>
              <w:jc w:val="center"/>
              <w:rPr>
                <w:rFonts w:asciiTheme="minorHAnsi" w:hAnsiTheme="minorHAnsi"/>
                <w:sz w:val="26"/>
                <w:szCs w:val="26"/>
              </w:rPr>
            </w:pPr>
            <w:r w:rsidRPr="00F4403C">
              <w:rPr>
                <w:rFonts w:asciiTheme="minorHAnsi" w:eastAsiaTheme="minorHAnsi" w:hAnsiTheme="minorHAnsi" w:cstheme="minorBidi"/>
                <w:sz w:val="22"/>
                <w:szCs w:val="22"/>
                <w:lang w:eastAsia="en-US"/>
              </w:rPr>
              <w:object w:dxaOrig="2190" w:dyaOrig="600">
                <v:shape id="_x0000_i1069" type="#_x0000_t75" style="width:101.25pt;height:27.75pt" o:ole="">
                  <v:imagedata r:id="rId199" o:title=""/>
                </v:shape>
                <o:OLEObject Type="Embed" ProgID="PBrush" ShapeID="_x0000_i1069" DrawAspect="Content" ObjectID="_1505681397" r:id="rId200"/>
              </w:object>
            </w:r>
          </w:p>
          <w:p w:rsidR="00E72546" w:rsidRPr="00E72546" w:rsidRDefault="00E72546" w:rsidP="00E72546">
            <w:pPr>
              <w:tabs>
                <w:tab w:val="left" w:pos="1035"/>
              </w:tabs>
              <w:rPr>
                <w:rFonts w:asciiTheme="minorHAnsi" w:hAnsiTheme="minorHAnsi"/>
                <w:sz w:val="24"/>
                <w:szCs w:val="24"/>
              </w:rPr>
            </w:pPr>
            <w:r w:rsidRPr="00E72546">
              <w:rPr>
                <w:rFonts w:asciiTheme="minorHAnsi" w:hAnsiTheme="minorHAnsi"/>
                <w:sz w:val="24"/>
                <w:szCs w:val="24"/>
              </w:rPr>
              <w:t>odnosno (60 * 6930,42) – 350.000,00 = 65.825,20 kn</w:t>
            </w:r>
          </w:p>
          <w:p w:rsidR="00E72546" w:rsidRDefault="00E72546" w:rsidP="00284237">
            <w:pPr>
              <w:tabs>
                <w:tab w:val="left" w:pos="1050"/>
              </w:tabs>
              <w:spacing w:line="276" w:lineRule="auto"/>
              <w:rPr>
                <w:rFonts w:asciiTheme="minorHAnsi" w:hAnsiTheme="minorHAnsi"/>
                <w:sz w:val="24"/>
                <w:szCs w:val="24"/>
              </w:rPr>
            </w:pPr>
          </w:p>
          <w:p w:rsidR="00893A24" w:rsidRPr="00F4403C" w:rsidRDefault="00284237" w:rsidP="00284237">
            <w:p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Uz primjenu proporcionalne metode otplatni plan u ovom primjeru izgledao bi kao što je navedeno u nastavku. </w:t>
            </w:r>
          </w:p>
          <w:p w:rsidR="00284237" w:rsidRDefault="00284237" w:rsidP="00284237">
            <w:pPr>
              <w:tabs>
                <w:tab w:val="left" w:pos="1050"/>
              </w:tabs>
              <w:spacing w:line="276" w:lineRule="auto"/>
              <w:jc w:val="center"/>
            </w:pPr>
            <w:r>
              <w:rPr>
                <w:rFonts w:asciiTheme="minorHAnsi" w:eastAsiaTheme="minorHAnsi" w:hAnsiTheme="minorHAnsi" w:cstheme="minorBidi"/>
                <w:sz w:val="22"/>
                <w:szCs w:val="22"/>
                <w:lang w:eastAsia="en-US"/>
              </w:rPr>
              <w:object w:dxaOrig="5415" w:dyaOrig="2565">
                <v:shape id="_x0000_i1070" type="#_x0000_t75" style="width:270.75pt;height:128.25pt" o:ole="">
                  <v:imagedata r:id="rId201" o:title=""/>
                </v:shape>
                <o:OLEObject Type="Embed" ProgID="PBrush" ShapeID="_x0000_i1070" DrawAspect="Content" ObjectID="_1505681398" r:id="rId202"/>
              </w:object>
            </w:r>
          </w:p>
          <w:p w:rsidR="00284237" w:rsidRDefault="00284237" w:rsidP="00284237">
            <w:pPr>
              <w:tabs>
                <w:tab w:val="left" w:pos="1050"/>
              </w:tabs>
              <w:spacing w:line="276" w:lineRule="auto"/>
              <w:jc w:val="center"/>
            </w:pPr>
            <w:r>
              <w:t>……………</w:t>
            </w:r>
          </w:p>
          <w:p w:rsidR="00E72546" w:rsidRDefault="00FA495E" w:rsidP="003E5851">
            <w:pPr>
              <w:tabs>
                <w:tab w:val="left" w:pos="1050"/>
              </w:tabs>
              <w:spacing w:line="276" w:lineRule="auto"/>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5355" w:dyaOrig="2280">
                <v:shape id="_x0000_i1071" type="#_x0000_t75" style="width:267.75pt;height:114pt" o:ole="">
                  <v:imagedata r:id="rId203" o:title=""/>
                </v:shape>
                <o:OLEObject Type="Embed" ProgID="PBrush" ShapeID="_x0000_i1071" DrawAspect="Content" ObjectID="_1505681399" r:id="rId204"/>
              </w:object>
            </w:r>
          </w:p>
          <w:p w:rsidR="002D3C41" w:rsidRDefault="00BB1408" w:rsidP="00A642A7">
            <w:pPr>
              <w:tabs>
                <w:tab w:val="left" w:pos="1050"/>
              </w:tabs>
              <w:rPr>
                <w:rFonts w:asciiTheme="minorHAnsi" w:hAnsiTheme="minorHAnsi"/>
              </w:rPr>
            </w:pPr>
            <w:r w:rsidRPr="00BB1408">
              <w:rPr>
                <w:rFonts w:asciiTheme="minorHAnsi" w:hAnsiTheme="minorHAnsi"/>
              </w:rPr>
              <w:t xml:space="preserve">* </w:t>
            </w:r>
            <w:r w:rsidR="00A642A7">
              <w:rPr>
                <w:rFonts w:asciiTheme="minorHAnsi" w:hAnsiTheme="minorHAnsi"/>
              </w:rPr>
              <w:t>Izračun je informativna te se u druge svrhe ne može koristiti.</w:t>
            </w:r>
          </w:p>
          <w:p w:rsidR="00A642A7" w:rsidRPr="00BB1408" w:rsidRDefault="00A642A7" w:rsidP="00A642A7">
            <w:pPr>
              <w:tabs>
                <w:tab w:val="left" w:pos="1050"/>
              </w:tabs>
              <w:rPr>
                <w:rFonts w:asciiTheme="minorHAnsi" w:hAnsiTheme="minorHAnsi"/>
              </w:rPr>
            </w:pPr>
          </w:p>
        </w:tc>
      </w:tr>
      <w:tr w:rsidR="00284237" w:rsidTr="00D21ECC">
        <w:trPr>
          <w:trHeight w:val="678"/>
        </w:trPr>
        <w:tc>
          <w:tcPr>
            <w:tcW w:w="9288" w:type="dxa"/>
          </w:tcPr>
          <w:p w:rsidR="00284237" w:rsidRDefault="00BB1408" w:rsidP="00D21ECC">
            <w:pPr>
              <w:autoSpaceDE w:val="0"/>
              <w:autoSpaceDN w:val="0"/>
              <w:adjustRightInd w:val="0"/>
              <w:spacing w:before="120" w:after="120"/>
            </w:pPr>
            <w:r>
              <w:rPr>
                <w:rFonts w:asciiTheme="minorHAnsi" w:hAnsiTheme="minorHAnsi"/>
                <w:noProof/>
              </w:rPr>
              <w:lastRenderedPageBreak/>
              <w:t xml:space="preserve">** </w:t>
            </w:r>
            <w:r w:rsidR="001662C2">
              <w:rPr>
                <w:rFonts w:asciiTheme="minorHAnsi" w:hAnsiTheme="minorHAnsi"/>
                <w:noProof/>
              </w:rPr>
              <w:t>Uz manje izmjene dio teksta je pre</w:t>
            </w:r>
            <w:r w:rsidR="001662C2" w:rsidRPr="00240640">
              <w:rPr>
                <w:rFonts w:asciiTheme="minorHAnsi" w:hAnsiTheme="minorHAnsi"/>
                <w:noProof/>
              </w:rPr>
              <w:t>uzet iz: Ivanov, M.; Maroshi, V. (2014.) „Bankarstvo i osiguranje“, radna bilježnica za treći razred srednje ekonomske škole,  Alka Script, 2014. U izradi radne bilježnice korišena su objašnjenja iz udžbenika „Matematika“, autora Šego, B. (izdvač Neodidakta, 1998.)</w:t>
            </w:r>
          </w:p>
        </w:tc>
      </w:tr>
      <w:tr w:rsidR="00482A10" w:rsidTr="00D21ECC">
        <w:trPr>
          <w:trHeight w:val="678"/>
        </w:trPr>
        <w:tc>
          <w:tcPr>
            <w:tcW w:w="9288" w:type="dxa"/>
          </w:tcPr>
          <w:p w:rsidR="00482A10" w:rsidRPr="00482A10" w:rsidRDefault="00482A10" w:rsidP="002D3C41">
            <w:pPr>
              <w:tabs>
                <w:tab w:val="left" w:pos="1050"/>
              </w:tabs>
              <w:spacing w:after="200"/>
              <w:jc w:val="both"/>
              <w:rPr>
                <w:rFonts w:asciiTheme="minorHAnsi" w:eastAsiaTheme="minorHAnsi" w:hAnsiTheme="minorHAnsi" w:cstheme="minorBidi"/>
                <w:sz w:val="24"/>
                <w:szCs w:val="24"/>
                <w:lang w:eastAsia="en-US"/>
              </w:rPr>
            </w:pPr>
            <w:r w:rsidRPr="00482A10">
              <w:rPr>
                <w:rFonts w:asciiTheme="minorHAnsi" w:hAnsiTheme="minorHAnsi"/>
                <w:noProof/>
                <w:color w:val="C00000"/>
                <w:sz w:val="24"/>
                <w:szCs w:val="24"/>
              </w:rPr>
              <w:t xml:space="preserve">Napomena: </w:t>
            </w:r>
            <w:r w:rsidRPr="00482A10">
              <w:rPr>
                <w:rFonts w:asciiTheme="minorHAnsi" w:eastAsiaTheme="minorHAnsi" w:hAnsiTheme="minorHAnsi" w:cstheme="minorBidi"/>
                <w:sz w:val="24"/>
                <w:szCs w:val="24"/>
                <w:lang w:eastAsia="en-US"/>
              </w:rPr>
              <w:t xml:space="preserve">Pod pretpostavkom da tijekom trajanja otplate kredita kamatna stopa ostane nepromijenjena, iznos mjesečnog anuiteta je nominalno isti (u valuti u kojoj se veže novčana obveza). Međutim, kada bi kamatna stopa bila promjenjiva razmjerno njenom povećanju </w:t>
            </w:r>
            <w:r w:rsidRPr="00482A10">
              <w:rPr>
                <w:rFonts w:asciiTheme="minorHAnsi" w:eastAsiaTheme="minorHAnsi" w:hAnsiTheme="minorHAnsi" w:cstheme="minorBidi"/>
                <w:sz w:val="24"/>
                <w:szCs w:val="24"/>
                <w:lang w:eastAsia="en-US"/>
              </w:rPr>
              <w:lastRenderedPageBreak/>
              <w:t xml:space="preserve">povećao bi se iznos kamata  u anuitetu pa sukladno tome i mjesečni iznos obveza dužnika. </w:t>
            </w:r>
          </w:p>
          <w:p w:rsidR="00482A10" w:rsidRDefault="00482A10" w:rsidP="002D3C41">
            <w:pPr>
              <w:autoSpaceDE w:val="0"/>
              <w:autoSpaceDN w:val="0"/>
              <w:adjustRightInd w:val="0"/>
              <w:spacing w:after="200"/>
              <w:jc w:val="both"/>
              <w:rPr>
                <w:noProof/>
              </w:rPr>
            </w:pPr>
            <w:r w:rsidRPr="00482A10">
              <w:rPr>
                <w:rFonts w:asciiTheme="minorHAnsi" w:eastAsiaTheme="minorHAnsi" w:hAnsiTheme="minorHAnsi" w:cstheme="minorBidi"/>
                <w:sz w:val="24"/>
                <w:szCs w:val="24"/>
                <w:lang w:eastAsia="en-US"/>
              </w:rPr>
              <w:t>U opisanom primjeru kredit je odobren kao kunski kredit bez valutne klauzule. Međutim kada bi se radilo o kunskom kreditu s valutnom klauzulom. u slučaju slabljenja kune u odnosu na valutu valutne klauzule npr. za 10%, iznos mjesečnog anuiteta preračunat u kune bio bi za 10% veći</w:t>
            </w:r>
            <w:r w:rsidR="003E5851">
              <w:rPr>
                <w:rFonts w:asciiTheme="minorHAnsi" w:eastAsiaTheme="minorHAnsi" w:hAnsiTheme="minorHAnsi" w:cstheme="minorBidi"/>
                <w:sz w:val="24"/>
                <w:szCs w:val="24"/>
                <w:lang w:eastAsia="en-US"/>
              </w:rPr>
              <w:t xml:space="preserve">, odnosno u slučaju aprecijacije kune za 10% i kunska protuvrijednost anuiteta bi bila za 10% manja – </w:t>
            </w:r>
            <w:r w:rsidR="003E5851" w:rsidRPr="003E5851">
              <w:rPr>
                <w:rFonts w:asciiTheme="minorHAnsi" w:eastAsiaTheme="minorHAnsi" w:hAnsiTheme="minorHAnsi" w:cstheme="minorBidi"/>
                <w:color w:val="C00000"/>
                <w:sz w:val="24"/>
                <w:szCs w:val="24"/>
                <w:lang w:eastAsia="en-US"/>
              </w:rPr>
              <w:t>slučaj dvosmjerne valutne klauzule</w:t>
            </w:r>
            <w:r w:rsidRPr="00482A10">
              <w:rPr>
                <w:rFonts w:asciiTheme="minorHAnsi" w:eastAsiaTheme="minorHAnsi" w:hAnsiTheme="minorHAnsi" w:cstheme="minorBidi"/>
                <w:sz w:val="24"/>
                <w:szCs w:val="24"/>
                <w:lang w:eastAsia="en-US"/>
              </w:rPr>
              <w:t>.</w:t>
            </w:r>
            <w:r w:rsidR="00947CE2">
              <w:rPr>
                <w:rFonts w:asciiTheme="minorHAnsi" w:eastAsiaTheme="minorHAnsi" w:hAnsiTheme="minorHAnsi" w:cstheme="minorBidi"/>
                <w:sz w:val="24"/>
                <w:szCs w:val="24"/>
                <w:lang w:eastAsia="en-US"/>
              </w:rPr>
              <w:t xml:space="preserve"> No, aprecijacija domaće valute u odnosu na valutu valutne klauzule </w:t>
            </w:r>
            <w:r w:rsidR="00761E96">
              <w:rPr>
                <w:rFonts w:asciiTheme="minorHAnsi" w:eastAsiaTheme="minorHAnsi" w:hAnsiTheme="minorHAnsi" w:cstheme="minorBidi"/>
                <w:sz w:val="24"/>
                <w:szCs w:val="24"/>
                <w:lang w:eastAsia="en-US"/>
              </w:rPr>
              <w:t xml:space="preserve">koja vrijednost tečaja spušta na razinu ispod  one u trenutku </w:t>
            </w:r>
            <w:r w:rsidR="00947CE2">
              <w:rPr>
                <w:rFonts w:asciiTheme="minorHAnsi" w:eastAsiaTheme="minorHAnsi" w:hAnsiTheme="minorHAnsi" w:cstheme="minorBidi"/>
                <w:sz w:val="24"/>
                <w:szCs w:val="24"/>
                <w:lang w:eastAsia="en-US"/>
              </w:rPr>
              <w:t>odobravanj</w:t>
            </w:r>
            <w:r w:rsidR="00761E96">
              <w:rPr>
                <w:rFonts w:asciiTheme="minorHAnsi" w:eastAsiaTheme="minorHAnsi" w:hAnsiTheme="minorHAnsi" w:cstheme="minorBidi"/>
                <w:sz w:val="24"/>
                <w:szCs w:val="24"/>
                <w:lang w:eastAsia="en-US"/>
              </w:rPr>
              <w:t>a</w:t>
            </w:r>
            <w:r w:rsidR="00947CE2">
              <w:rPr>
                <w:rFonts w:asciiTheme="minorHAnsi" w:eastAsiaTheme="minorHAnsi" w:hAnsiTheme="minorHAnsi" w:cstheme="minorBidi"/>
                <w:sz w:val="24"/>
                <w:szCs w:val="24"/>
                <w:lang w:eastAsia="en-US"/>
              </w:rPr>
              <w:t xml:space="preserve"> kredita</w:t>
            </w:r>
            <w:r w:rsidR="003E5851">
              <w:rPr>
                <w:rFonts w:asciiTheme="minorHAnsi" w:eastAsiaTheme="minorHAnsi" w:hAnsiTheme="minorHAnsi" w:cstheme="minorBidi"/>
                <w:sz w:val="24"/>
                <w:szCs w:val="24"/>
                <w:lang w:eastAsia="en-US"/>
              </w:rPr>
              <w:t xml:space="preserve"> (npr. sa 7,6 na 7,3 kune za euro)</w:t>
            </w:r>
            <w:r w:rsidR="00947CE2">
              <w:rPr>
                <w:rFonts w:asciiTheme="minorHAnsi" w:eastAsiaTheme="minorHAnsi" w:hAnsiTheme="minorHAnsi" w:cstheme="minorBidi"/>
                <w:sz w:val="24"/>
                <w:szCs w:val="24"/>
                <w:lang w:eastAsia="en-US"/>
              </w:rPr>
              <w:t xml:space="preserve">, ne mora uvijek ići u prilog dužniku, </w:t>
            </w:r>
            <w:r w:rsidR="003E5851">
              <w:rPr>
                <w:rFonts w:asciiTheme="minorHAnsi" w:eastAsiaTheme="minorHAnsi" w:hAnsiTheme="minorHAnsi" w:cstheme="minorBidi"/>
                <w:sz w:val="24"/>
                <w:szCs w:val="24"/>
                <w:lang w:eastAsia="en-US"/>
              </w:rPr>
              <w:t xml:space="preserve">konkretno ako je ugovorena </w:t>
            </w:r>
            <w:r w:rsidR="003E5851" w:rsidRPr="003E5851">
              <w:rPr>
                <w:rFonts w:asciiTheme="minorHAnsi" w:eastAsiaTheme="minorHAnsi" w:hAnsiTheme="minorHAnsi" w:cstheme="minorBidi"/>
                <w:color w:val="C00000"/>
                <w:sz w:val="24"/>
                <w:szCs w:val="24"/>
                <w:lang w:eastAsia="en-US"/>
              </w:rPr>
              <w:t>j</w:t>
            </w:r>
            <w:r w:rsidR="00947CE2" w:rsidRPr="008C5245">
              <w:rPr>
                <w:rFonts w:asciiTheme="minorHAnsi" w:eastAsiaTheme="minorHAnsi" w:hAnsiTheme="minorHAnsi" w:cstheme="minorBidi"/>
                <w:color w:val="C00000"/>
                <w:sz w:val="24"/>
                <w:szCs w:val="24"/>
                <w:lang w:eastAsia="en-US"/>
              </w:rPr>
              <w:t>ednos</w:t>
            </w:r>
            <w:r w:rsidR="003E5851">
              <w:rPr>
                <w:rFonts w:asciiTheme="minorHAnsi" w:eastAsiaTheme="minorHAnsi" w:hAnsiTheme="minorHAnsi" w:cstheme="minorBidi"/>
                <w:color w:val="C00000"/>
                <w:sz w:val="24"/>
                <w:szCs w:val="24"/>
                <w:lang w:eastAsia="en-US"/>
              </w:rPr>
              <w:t>mjerna</w:t>
            </w:r>
            <w:r w:rsidR="00947CE2" w:rsidRPr="008C5245">
              <w:rPr>
                <w:rFonts w:asciiTheme="minorHAnsi" w:eastAsiaTheme="minorHAnsi" w:hAnsiTheme="minorHAnsi" w:cstheme="minorBidi"/>
                <w:color w:val="C00000"/>
                <w:sz w:val="24"/>
                <w:szCs w:val="24"/>
                <w:lang w:eastAsia="en-US"/>
              </w:rPr>
              <w:t xml:space="preserve"> valutn</w:t>
            </w:r>
            <w:r w:rsidR="003E5851">
              <w:rPr>
                <w:rFonts w:asciiTheme="minorHAnsi" w:eastAsiaTheme="minorHAnsi" w:hAnsiTheme="minorHAnsi" w:cstheme="minorBidi"/>
                <w:color w:val="C00000"/>
                <w:sz w:val="24"/>
                <w:szCs w:val="24"/>
                <w:lang w:eastAsia="en-US"/>
              </w:rPr>
              <w:t>a</w:t>
            </w:r>
            <w:r w:rsidR="00947CE2" w:rsidRPr="008C5245">
              <w:rPr>
                <w:rFonts w:asciiTheme="minorHAnsi" w:eastAsiaTheme="minorHAnsi" w:hAnsiTheme="minorHAnsi" w:cstheme="minorBidi"/>
                <w:color w:val="C00000"/>
                <w:sz w:val="24"/>
                <w:szCs w:val="24"/>
                <w:lang w:eastAsia="en-US"/>
              </w:rPr>
              <w:t xml:space="preserve"> klauzul</w:t>
            </w:r>
            <w:r w:rsidR="003E5851">
              <w:rPr>
                <w:rFonts w:asciiTheme="minorHAnsi" w:eastAsiaTheme="minorHAnsi" w:hAnsiTheme="minorHAnsi" w:cstheme="minorBidi"/>
                <w:color w:val="C00000"/>
                <w:sz w:val="24"/>
                <w:szCs w:val="24"/>
                <w:lang w:eastAsia="en-US"/>
              </w:rPr>
              <w:t>a</w:t>
            </w:r>
            <w:r w:rsidR="00947CE2">
              <w:rPr>
                <w:rFonts w:asciiTheme="minorHAnsi" w:eastAsiaTheme="minorHAnsi" w:hAnsiTheme="minorHAnsi" w:cstheme="minorBidi"/>
                <w:sz w:val="24"/>
                <w:szCs w:val="24"/>
                <w:lang w:eastAsia="en-US"/>
              </w:rPr>
              <w:t>.</w:t>
            </w:r>
          </w:p>
        </w:tc>
      </w:tr>
      <w:tr w:rsidR="001662C2" w:rsidTr="001662C2">
        <w:tc>
          <w:tcPr>
            <w:tcW w:w="9288" w:type="dxa"/>
          </w:tcPr>
          <w:p w:rsidR="001662C2" w:rsidRDefault="001662C2" w:rsidP="001662C2">
            <w:pPr>
              <w:autoSpaceDE w:val="0"/>
              <w:autoSpaceDN w:val="0"/>
              <w:adjustRightInd w:val="0"/>
              <w:spacing w:before="240"/>
              <w:jc w:val="center"/>
            </w:pPr>
            <w:r>
              <w:rPr>
                <w:rFonts w:asciiTheme="minorHAnsi" w:eastAsiaTheme="minorHAnsi" w:hAnsiTheme="minorHAnsi" w:cstheme="minorBidi"/>
                <w:sz w:val="22"/>
                <w:szCs w:val="22"/>
                <w:lang w:eastAsia="en-US"/>
              </w:rPr>
              <w:object w:dxaOrig="8415" w:dyaOrig="10155">
                <v:shape id="_x0000_i1072" type="#_x0000_t75" style="width:420.75pt;height:507.75pt" o:ole="">
                  <v:imagedata r:id="rId205" o:title=""/>
                </v:shape>
                <o:OLEObject Type="Embed" ProgID="PBrush" ShapeID="_x0000_i1072" DrawAspect="Content" ObjectID="_1505681400" r:id="rId206"/>
              </w:object>
            </w:r>
          </w:p>
          <w:p w:rsidR="00F4403C" w:rsidRPr="00F4403C" w:rsidRDefault="00F4403C" w:rsidP="00F4403C">
            <w:pPr>
              <w:spacing w:before="240" w:line="276" w:lineRule="auto"/>
              <w:rPr>
                <w:rFonts w:asciiTheme="minorHAnsi" w:hAnsiTheme="minorHAnsi"/>
                <w:sz w:val="24"/>
                <w:szCs w:val="24"/>
              </w:rPr>
            </w:pPr>
            <w:r w:rsidRPr="00F4403C">
              <w:rPr>
                <w:rFonts w:asciiTheme="minorHAnsi" w:hAnsiTheme="minorHAnsi"/>
                <w:bCs/>
                <w:i/>
                <w:iCs/>
                <w:color w:val="C00000"/>
                <w:sz w:val="24"/>
                <w:szCs w:val="24"/>
              </w:rPr>
              <w:lastRenderedPageBreak/>
              <w:t>Primjer:</w:t>
            </w:r>
            <w:r w:rsidRPr="00F4403C">
              <w:rPr>
                <w:rFonts w:asciiTheme="minorHAnsi" w:hAnsiTheme="minorHAnsi"/>
                <w:b/>
                <w:bCs/>
                <w:i/>
                <w:iCs/>
                <w:color w:val="C00000"/>
                <w:sz w:val="24"/>
                <w:szCs w:val="24"/>
              </w:rPr>
              <w:t xml:space="preserve"> </w:t>
            </w:r>
            <w:r w:rsidRPr="00F4403C">
              <w:rPr>
                <w:rFonts w:asciiTheme="minorHAnsi" w:hAnsiTheme="minorHAnsi"/>
                <w:sz w:val="24"/>
                <w:szCs w:val="24"/>
              </w:rPr>
              <w:t xml:space="preserve">Odobren je stambeni kredit u iznosu od 525.000 kuna s rokom otplate 10 godina i uz kamatnu stopu 5 % godišnje. Kredit se amortizira kroz model </w:t>
            </w:r>
            <w:r w:rsidRPr="00F4403C">
              <w:rPr>
                <w:rFonts w:asciiTheme="minorHAnsi" w:hAnsiTheme="minorHAnsi"/>
                <w:sz w:val="24"/>
                <w:szCs w:val="24"/>
                <w:u w:val="single"/>
              </w:rPr>
              <w:t xml:space="preserve">nominalno jednakih mjesečnih otplatnih kvota </w:t>
            </w:r>
            <w:r w:rsidRPr="00F4403C">
              <w:rPr>
                <w:rFonts w:asciiTheme="minorHAnsi" w:hAnsiTheme="minorHAnsi"/>
                <w:sz w:val="24"/>
                <w:szCs w:val="24"/>
              </w:rPr>
              <w:t xml:space="preserve">koje dospijevaju krajem mjeseca. Izračunajte otplatne kvote, kamate i ostatak duga za </w:t>
            </w:r>
            <w:r w:rsidRPr="00F4403C">
              <w:rPr>
                <w:rFonts w:asciiTheme="minorHAnsi" w:hAnsiTheme="minorHAnsi"/>
                <w:i/>
                <w:iCs/>
                <w:sz w:val="24"/>
                <w:szCs w:val="24"/>
              </w:rPr>
              <w:t xml:space="preserve">i </w:t>
            </w:r>
            <w:r w:rsidRPr="00F4403C">
              <w:rPr>
                <w:rFonts w:asciiTheme="minorHAnsi" w:hAnsiTheme="minorHAnsi"/>
                <w:sz w:val="24"/>
                <w:szCs w:val="24"/>
              </w:rPr>
              <w:t xml:space="preserve">= 1, </w:t>
            </w:r>
            <w:r w:rsidRPr="00F4403C">
              <w:rPr>
                <w:rFonts w:asciiTheme="minorHAnsi" w:hAnsiTheme="minorHAnsi"/>
                <w:i/>
                <w:iCs/>
                <w:sz w:val="24"/>
                <w:szCs w:val="24"/>
              </w:rPr>
              <w:t xml:space="preserve">i </w:t>
            </w:r>
            <w:r w:rsidRPr="00F4403C">
              <w:rPr>
                <w:rFonts w:asciiTheme="minorHAnsi" w:hAnsiTheme="minorHAnsi"/>
                <w:sz w:val="24"/>
                <w:szCs w:val="24"/>
              </w:rPr>
              <w:t xml:space="preserve">= 2, i = 5, </w:t>
            </w:r>
            <w:r w:rsidRPr="00F4403C">
              <w:rPr>
                <w:rFonts w:asciiTheme="minorHAnsi" w:hAnsiTheme="minorHAnsi"/>
                <w:i/>
                <w:iCs/>
                <w:sz w:val="24"/>
                <w:szCs w:val="24"/>
              </w:rPr>
              <w:t xml:space="preserve">i </w:t>
            </w:r>
            <w:r w:rsidRPr="00F4403C">
              <w:rPr>
                <w:rFonts w:asciiTheme="minorHAnsi" w:hAnsiTheme="minorHAnsi"/>
                <w:sz w:val="24"/>
                <w:szCs w:val="24"/>
              </w:rPr>
              <w:t xml:space="preserve">= 119, te </w:t>
            </w:r>
            <w:r w:rsidRPr="00F4403C">
              <w:rPr>
                <w:rFonts w:asciiTheme="minorHAnsi" w:hAnsiTheme="minorHAnsi"/>
                <w:i/>
                <w:iCs/>
                <w:sz w:val="24"/>
                <w:szCs w:val="24"/>
              </w:rPr>
              <w:t xml:space="preserve">i </w:t>
            </w:r>
            <w:r w:rsidRPr="00F4403C">
              <w:rPr>
                <w:rFonts w:asciiTheme="minorHAnsi" w:hAnsiTheme="minorHAnsi"/>
                <w:sz w:val="24"/>
                <w:szCs w:val="24"/>
              </w:rPr>
              <w:t xml:space="preserve">= 120. Obračun kamata je dekurzivan, a banka primjenjuje </w:t>
            </w:r>
            <w:r w:rsidRPr="00F4403C">
              <w:rPr>
                <w:rFonts w:asciiTheme="minorHAnsi" w:hAnsiTheme="minorHAnsi"/>
                <w:sz w:val="24"/>
                <w:szCs w:val="24"/>
                <w:u w:val="single"/>
              </w:rPr>
              <w:t xml:space="preserve">proporcionalnu </w:t>
            </w:r>
            <w:r w:rsidRPr="00F4403C">
              <w:rPr>
                <w:rFonts w:asciiTheme="minorHAnsi" w:hAnsiTheme="minorHAnsi"/>
                <w:sz w:val="24"/>
                <w:szCs w:val="24"/>
              </w:rPr>
              <w:t xml:space="preserve">metodu. </w:t>
            </w:r>
          </w:p>
          <w:p w:rsidR="00F4403C" w:rsidRPr="00D0255E" w:rsidRDefault="00F4403C" w:rsidP="00F4403C">
            <w:pPr>
              <w:spacing w:line="276" w:lineRule="auto"/>
              <w:rPr>
                <w:sz w:val="24"/>
                <w:szCs w:val="24"/>
              </w:rPr>
            </w:pPr>
          </w:p>
          <w:p w:rsidR="00F4403C" w:rsidRPr="00D0255E" w:rsidRDefault="00F4403C" w:rsidP="00F4403C">
            <w:pPr>
              <w:spacing w:before="120" w:line="276" w:lineRule="auto"/>
              <w:rPr>
                <w:sz w:val="24"/>
                <w:szCs w:val="24"/>
              </w:rPr>
            </w:pPr>
            <w:r w:rsidRPr="00D0255E">
              <w:rPr>
                <w:noProof/>
                <w:sz w:val="24"/>
                <w:szCs w:val="24"/>
              </w:rPr>
              <w:drawing>
                <wp:inline distT="0" distB="0" distL="0" distR="0" wp14:anchorId="799C265F" wp14:editId="7678F595">
                  <wp:extent cx="5400675" cy="713660"/>
                  <wp:effectExtent l="0" t="0" r="0" b="0"/>
                  <wp:docPr id="976" name="Slika 975" descr="Slik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png"/>
                          <pic:cNvPicPr/>
                        </pic:nvPicPr>
                        <pic:blipFill>
                          <a:blip r:embed="rId207" cstate="print"/>
                          <a:stretch>
                            <a:fillRect/>
                          </a:stretch>
                        </pic:blipFill>
                        <pic:spPr>
                          <a:xfrm>
                            <a:off x="0" y="0"/>
                            <a:ext cx="5434872" cy="718179"/>
                          </a:xfrm>
                          <a:prstGeom prst="rect">
                            <a:avLst/>
                          </a:prstGeom>
                        </pic:spPr>
                      </pic:pic>
                    </a:graphicData>
                  </a:graphic>
                </wp:inline>
              </w:drawing>
            </w:r>
          </w:p>
          <w:p w:rsidR="00F4403C" w:rsidRPr="00D0255E" w:rsidRDefault="00F4403C" w:rsidP="00F4403C">
            <w:pPr>
              <w:spacing w:line="276" w:lineRule="auto"/>
              <w:rPr>
                <w:sz w:val="24"/>
                <w:szCs w:val="24"/>
              </w:rPr>
            </w:pPr>
          </w:p>
          <w:p w:rsidR="00F4403C" w:rsidRPr="00F4403C" w:rsidRDefault="00F4403C" w:rsidP="00F4403C">
            <w:pPr>
              <w:spacing w:line="276" w:lineRule="auto"/>
              <w:rPr>
                <w:rFonts w:asciiTheme="minorHAnsi" w:hAnsiTheme="minorHAnsi"/>
                <w:sz w:val="24"/>
                <w:szCs w:val="24"/>
              </w:rPr>
            </w:pPr>
            <w:r w:rsidRPr="00F4403C">
              <w:rPr>
                <w:rFonts w:asciiTheme="minorHAnsi" w:hAnsiTheme="minorHAnsi"/>
                <w:sz w:val="24"/>
                <w:szCs w:val="24"/>
              </w:rPr>
              <w:t xml:space="preserve">Budući da banka koristi proporcionalnu metodu, za potrebe izračuna kamata prvo trebamo izračunati mjesečni relativni kamatnjak. Uz godišnju nominalnu kamatnu stopu, slijedi da je </w:t>
            </w:r>
            <w:r w:rsidRPr="00F4403C">
              <w:rPr>
                <w:rFonts w:asciiTheme="minorHAnsi" w:hAnsiTheme="minorHAnsi"/>
                <w:i/>
                <w:iCs/>
                <w:sz w:val="24"/>
                <w:szCs w:val="24"/>
              </w:rPr>
              <w:t xml:space="preserve">k </w:t>
            </w:r>
            <w:r w:rsidRPr="00F4403C">
              <w:rPr>
                <w:rFonts w:asciiTheme="minorHAnsi" w:hAnsiTheme="minorHAnsi"/>
                <w:sz w:val="24"/>
                <w:szCs w:val="24"/>
              </w:rPr>
              <w:t>= 12.</w:t>
            </w:r>
          </w:p>
          <w:p w:rsidR="00F4403C" w:rsidRPr="00D0255E" w:rsidRDefault="00F4403C" w:rsidP="00F4403C">
            <w:pPr>
              <w:spacing w:line="276" w:lineRule="auto"/>
              <w:rPr>
                <w:sz w:val="24"/>
                <w:szCs w:val="24"/>
              </w:rPr>
            </w:pPr>
            <w:r w:rsidRPr="00D0255E">
              <w:rPr>
                <w:noProof/>
                <w:sz w:val="24"/>
                <w:szCs w:val="24"/>
              </w:rPr>
              <w:drawing>
                <wp:inline distT="0" distB="0" distL="0" distR="0" wp14:anchorId="197244B3" wp14:editId="4FC24C56">
                  <wp:extent cx="5648325" cy="4267200"/>
                  <wp:effectExtent l="19050" t="0" r="9525" b="0"/>
                  <wp:docPr id="977" name="Slika 976" descr="Slik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png"/>
                          <pic:cNvPicPr/>
                        </pic:nvPicPr>
                        <pic:blipFill>
                          <a:blip r:embed="rId208" cstate="print"/>
                          <a:stretch>
                            <a:fillRect/>
                          </a:stretch>
                        </pic:blipFill>
                        <pic:spPr>
                          <a:xfrm>
                            <a:off x="0" y="0"/>
                            <a:ext cx="5648325" cy="4267200"/>
                          </a:xfrm>
                          <a:prstGeom prst="rect">
                            <a:avLst/>
                          </a:prstGeom>
                        </pic:spPr>
                      </pic:pic>
                    </a:graphicData>
                  </a:graphic>
                </wp:inline>
              </w:drawing>
            </w:r>
          </w:p>
          <w:p w:rsidR="00F4403C" w:rsidRPr="00D0255E" w:rsidRDefault="00F4403C" w:rsidP="00F4403C">
            <w:pPr>
              <w:rPr>
                <w:sz w:val="24"/>
                <w:szCs w:val="24"/>
              </w:rPr>
            </w:pPr>
          </w:p>
          <w:p w:rsidR="00F4403C" w:rsidRDefault="00F4403C" w:rsidP="00F4403C">
            <w:pPr>
              <w:jc w:val="center"/>
            </w:pPr>
            <w:r>
              <w:rPr>
                <w:rFonts w:asciiTheme="minorHAnsi" w:eastAsiaTheme="minorHAnsi" w:hAnsiTheme="minorHAnsi" w:cstheme="minorBidi"/>
                <w:sz w:val="22"/>
                <w:szCs w:val="22"/>
                <w:lang w:eastAsia="en-US"/>
              </w:rPr>
              <w:object w:dxaOrig="8280" w:dyaOrig="3795">
                <v:shape id="_x0000_i1073" type="#_x0000_t75" style="width:401.25pt;height:183.75pt" o:ole="">
                  <v:imagedata r:id="rId209" o:title=""/>
                </v:shape>
                <o:OLEObject Type="Embed" ProgID="PBrush" ShapeID="_x0000_i1073" DrawAspect="Content" ObjectID="_1505681401" r:id="rId210"/>
              </w:object>
            </w:r>
          </w:p>
          <w:p w:rsidR="00F4403C" w:rsidRDefault="00F4403C" w:rsidP="00F4403C">
            <w:pPr>
              <w:jc w:val="center"/>
            </w:pPr>
            <w:r>
              <w:rPr>
                <w:rFonts w:asciiTheme="minorHAnsi" w:eastAsiaTheme="minorHAnsi" w:hAnsiTheme="minorHAnsi" w:cstheme="minorBidi"/>
                <w:sz w:val="22"/>
                <w:szCs w:val="22"/>
                <w:lang w:eastAsia="en-US"/>
              </w:rPr>
              <w:object w:dxaOrig="8175" w:dyaOrig="1365">
                <v:shape id="_x0000_i1074" type="#_x0000_t75" style="width:396.75pt;height:66pt" o:ole="">
                  <v:imagedata r:id="rId211" o:title=""/>
                </v:shape>
                <o:OLEObject Type="Embed" ProgID="PBrush" ShapeID="_x0000_i1074" DrawAspect="Content" ObjectID="_1505681402" r:id="rId212"/>
              </w:object>
            </w:r>
          </w:p>
          <w:p w:rsidR="00F4403C" w:rsidRPr="00F4403C" w:rsidRDefault="00F4403C" w:rsidP="00F4403C">
            <w:pPr>
              <w:tabs>
                <w:tab w:val="left" w:pos="1050"/>
              </w:tabs>
              <w:spacing w:line="276" w:lineRule="auto"/>
              <w:rPr>
                <w:rFonts w:asciiTheme="minorHAnsi" w:hAnsiTheme="minorHAnsi"/>
                <w:sz w:val="24"/>
                <w:szCs w:val="24"/>
              </w:rPr>
            </w:pPr>
            <w:r w:rsidRPr="00F4403C">
              <w:rPr>
                <w:rFonts w:asciiTheme="minorHAnsi" w:hAnsiTheme="minorHAnsi"/>
                <w:sz w:val="24"/>
                <w:szCs w:val="24"/>
              </w:rPr>
              <w:t xml:space="preserve">Uz primjenu proporcionalne metode otplatni plan u ovom primjeru izgledao bi kao što je navedeno u nastavku. </w:t>
            </w:r>
          </w:p>
          <w:p w:rsidR="00F4403C" w:rsidRDefault="00F4403C" w:rsidP="00F4403C">
            <w:pPr>
              <w:jc w:val="center"/>
            </w:pPr>
            <w:r>
              <w:rPr>
                <w:rFonts w:asciiTheme="minorHAnsi" w:eastAsiaTheme="minorHAnsi" w:hAnsiTheme="minorHAnsi" w:cstheme="minorBidi"/>
                <w:sz w:val="22"/>
                <w:szCs w:val="22"/>
                <w:lang w:eastAsia="en-US"/>
              </w:rPr>
              <w:object w:dxaOrig="5400" w:dyaOrig="2250">
                <v:shape id="_x0000_i1075" type="#_x0000_t75" style="width:270pt;height:112.5pt" o:ole="">
                  <v:imagedata r:id="rId213" o:title=""/>
                </v:shape>
                <o:OLEObject Type="Embed" ProgID="PBrush" ShapeID="_x0000_i1075" DrawAspect="Content" ObjectID="_1505681403" r:id="rId214"/>
              </w:object>
            </w:r>
          </w:p>
          <w:p w:rsidR="00F4403C" w:rsidRDefault="00F4403C" w:rsidP="00F4403C">
            <w:pPr>
              <w:jc w:val="center"/>
              <w:rPr>
                <w:sz w:val="24"/>
                <w:szCs w:val="24"/>
              </w:rPr>
            </w:pPr>
            <w:r>
              <w:rPr>
                <w:sz w:val="24"/>
                <w:szCs w:val="24"/>
              </w:rPr>
              <w:t>………</w:t>
            </w:r>
          </w:p>
          <w:p w:rsidR="00F4403C" w:rsidRDefault="00F4403C" w:rsidP="00D21ECC">
            <w:pPr>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5385" w:dyaOrig="4290">
                <v:shape id="_x0000_i1076" type="#_x0000_t75" style="width:269.25pt;height:214.5pt" o:ole="">
                  <v:imagedata r:id="rId215" o:title=""/>
                </v:shape>
                <o:OLEObject Type="Embed" ProgID="PBrush" ShapeID="_x0000_i1076" DrawAspect="Content" ObjectID="_1505681404" r:id="rId216"/>
              </w:object>
            </w:r>
          </w:p>
          <w:p w:rsidR="00BB1408" w:rsidRDefault="00BB1408" w:rsidP="00A642A7">
            <w:pPr>
              <w:rPr>
                <w:b/>
                <w:sz w:val="24"/>
                <w:szCs w:val="24"/>
              </w:rPr>
            </w:pPr>
            <w:r w:rsidRPr="00BB1408">
              <w:rPr>
                <w:rFonts w:asciiTheme="minorHAnsi" w:hAnsiTheme="minorHAnsi"/>
              </w:rPr>
              <w:t xml:space="preserve">* </w:t>
            </w:r>
            <w:r w:rsidR="00A642A7">
              <w:rPr>
                <w:rFonts w:asciiTheme="minorHAnsi" w:hAnsiTheme="minorHAnsi"/>
              </w:rPr>
              <w:t>Izračun je informativan te se u druge svrhe ne može koristiti.</w:t>
            </w:r>
          </w:p>
        </w:tc>
      </w:tr>
      <w:tr w:rsidR="001662C2" w:rsidTr="001662C2">
        <w:tc>
          <w:tcPr>
            <w:tcW w:w="9288" w:type="dxa"/>
          </w:tcPr>
          <w:p w:rsidR="001662C2" w:rsidRDefault="00BB1408" w:rsidP="00D21ECC">
            <w:pPr>
              <w:autoSpaceDE w:val="0"/>
              <w:autoSpaceDN w:val="0"/>
              <w:adjustRightInd w:val="0"/>
              <w:spacing w:before="120" w:after="120"/>
              <w:jc w:val="both"/>
              <w:rPr>
                <w:b/>
                <w:sz w:val="24"/>
                <w:szCs w:val="24"/>
              </w:rPr>
            </w:pPr>
            <w:r>
              <w:rPr>
                <w:rFonts w:asciiTheme="minorHAnsi" w:hAnsiTheme="minorHAnsi"/>
                <w:noProof/>
              </w:rPr>
              <w:lastRenderedPageBreak/>
              <w:t xml:space="preserve">** </w:t>
            </w:r>
            <w:r w:rsidR="00D21ECC">
              <w:rPr>
                <w:rFonts w:asciiTheme="minorHAnsi" w:hAnsiTheme="minorHAnsi"/>
                <w:noProof/>
              </w:rPr>
              <w:t>Uz manje izmjene dio teksta je pre</w:t>
            </w:r>
            <w:r w:rsidR="00D21ECC" w:rsidRPr="00240640">
              <w:rPr>
                <w:rFonts w:asciiTheme="minorHAnsi" w:hAnsiTheme="minorHAnsi"/>
                <w:noProof/>
              </w:rPr>
              <w:t>uzet iz: Ivanov, M.; Maroshi, V. (2014.) „Bankarstvo i osiguranje“, radna bilježnica za treći razred srednje ekonomske škole,  Alka Script, 2014. U izradi radne bilježnice korišena su objašnjenja iz udžbenika „Matematika“, autora Šego, B. (izdvač Neodidakta, 1998.)</w:t>
            </w:r>
          </w:p>
        </w:tc>
      </w:tr>
    </w:tbl>
    <w:p w:rsidR="00776892" w:rsidRPr="00CA4B38" w:rsidRDefault="00784626" w:rsidP="00D21ECC">
      <w:pPr>
        <w:autoSpaceDE w:val="0"/>
        <w:autoSpaceDN w:val="0"/>
        <w:adjustRightInd w:val="0"/>
        <w:spacing w:before="240"/>
        <w:jc w:val="both"/>
        <w:rPr>
          <w:b/>
          <w:sz w:val="24"/>
          <w:szCs w:val="24"/>
        </w:rPr>
      </w:pPr>
      <w:r w:rsidRPr="00CA4B38">
        <w:rPr>
          <w:b/>
          <w:sz w:val="24"/>
          <w:szCs w:val="24"/>
        </w:rPr>
        <w:lastRenderedPageBreak/>
        <w:t>4.</w:t>
      </w:r>
      <w:r w:rsidR="006B7E06">
        <w:rPr>
          <w:b/>
          <w:sz w:val="24"/>
          <w:szCs w:val="24"/>
        </w:rPr>
        <w:t>7</w:t>
      </w:r>
      <w:r w:rsidRPr="00CA4B38">
        <w:rPr>
          <w:b/>
          <w:sz w:val="24"/>
          <w:szCs w:val="24"/>
        </w:rPr>
        <w:t>. Ocjena kreditne sposobnosti</w:t>
      </w:r>
    </w:p>
    <w:p w:rsidR="00784626" w:rsidRPr="00CA4B38" w:rsidRDefault="00CA4B38" w:rsidP="00CA4B38">
      <w:pPr>
        <w:jc w:val="both"/>
        <w:rPr>
          <w:sz w:val="24"/>
          <w:szCs w:val="24"/>
        </w:rPr>
      </w:pPr>
      <w:r w:rsidRPr="00CA4B38">
        <w:rPr>
          <w:sz w:val="24"/>
          <w:szCs w:val="24"/>
        </w:rPr>
        <w:t xml:space="preserve">Kod </w:t>
      </w:r>
      <w:r w:rsidR="003E5851">
        <w:rPr>
          <w:sz w:val="24"/>
          <w:szCs w:val="24"/>
        </w:rPr>
        <w:t xml:space="preserve">odobravanja kredita </w:t>
      </w:r>
      <w:r w:rsidR="003D2D36">
        <w:rPr>
          <w:sz w:val="24"/>
          <w:szCs w:val="24"/>
        </w:rPr>
        <w:t>(kao i izdavanja kreditnih kartica i sličnih proizvoda)</w:t>
      </w:r>
      <w:r w:rsidR="00D40838">
        <w:rPr>
          <w:sz w:val="24"/>
          <w:szCs w:val="24"/>
        </w:rPr>
        <w:t>,</w:t>
      </w:r>
      <w:r w:rsidR="003E5851">
        <w:rPr>
          <w:sz w:val="24"/>
          <w:szCs w:val="24"/>
        </w:rPr>
        <w:t xml:space="preserve"> </w:t>
      </w:r>
      <w:r w:rsidR="00D40838">
        <w:rPr>
          <w:sz w:val="24"/>
          <w:szCs w:val="24"/>
        </w:rPr>
        <w:t xml:space="preserve">kreditori </w:t>
      </w:r>
      <w:r w:rsidR="00FF4026">
        <w:rPr>
          <w:sz w:val="24"/>
          <w:szCs w:val="24"/>
        </w:rPr>
        <w:t xml:space="preserve">su </w:t>
      </w:r>
      <w:r w:rsidR="00D40838">
        <w:rPr>
          <w:sz w:val="24"/>
          <w:szCs w:val="24"/>
        </w:rPr>
        <w:t>dužni s</w:t>
      </w:r>
      <w:r w:rsidRPr="00CA4B38">
        <w:rPr>
          <w:sz w:val="24"/>
          <w:szCs w:val="24"/>
        </w:rPr>
        <w:t xml:space="preserve">u procijeniti </w:t>
      </w:r>
      <w:r w:rsidRPr="000145A4">
        <w:rPr>
          <w:color w:val="C00000"/>
          <w:sz w:val="24"/>
          <w:szCs w:val="24"/>
        </w:rPr>
        <w:t>kreditnu sposobnost klijenta</w:t>
      </w:r>
      <w:r w:rsidR="00FF4026" w:rsidRPr="00FF4026">
        <w:rPr>
          <w:sz w:val="24"/>
          <w:szCs w:val="24"/>
        </w:rPr>
        <w:t>. Pri tome</w:t>
      </w:r>
      <w:r w:rsidR="00D40838" w:rsidRPr="00FF4026">
        <w:rPr>
          <w:sz w:val="24"/>
          <w:szCs w:val="24"/>
        </w:rPr>
        <w:t xml:space="preserve"> </w:t>
      </w:r>
      <w:r w:rsidR="00D40838">
        <w:rPr>
          <w:sz w:val="24"/>
          <w:szCs w:val="24"/>
        </w:rPr>
        <w:t>specifični</w:t>
      </w:r>
      <w:r w:rsidRPr="00CA4B38">
        <w:rPr>
          <w:sz w:val="24"/>
          <w:szCs w:val="24"/>
        </w:rPr>
        <w:t xml:space="preserve"> faktori koji se uzimaju u obzir pri ocjeni kreditne sposobnosti mogu biti različiti ovisno o vrsti kreditnog proizvoda koji se odobrava. Radi se o </w:t>
      </w:r>
      <w:r w:rsidR="00D40838">
        <w:rPr>
          <w:sz w:val="24"/>
          <w:szCs w:val="24"/>
        </w:rPr>
        <w:t xml:space="preserve">kreditorovoj </w:t>
      </w:r>
      <w:r w:rsidR="00784626" w:rsidRPr="00FF4026">
        <w:rPr>
          <w:color w:val="C00000"/>
          <w:sz w:val="24"/>
          <w:szCs w:val="24"/>
        </w:rPr>
        <w:t>procjen</w:t>
      </w:r>
      <w:r w:rsidRPr="00FF4026">
        <w:rPr>
          <w:color w:val="C00000"/>
          <w:sz w:val="24"/>
          <w:szCs w:val="24"/>
        </w:rPr>
        <w:t xml:space="preserve">i </w:t>
      </w:r>
      <w:r w:rsidR="00784626" w:rsidRPr="00FF4026">
        <w:rPr>
          <w:color w:val="C00000"/>
          <w:sz w:val="24"/>
          <w:szCs w:val="24"/>
        </w:rPr>
        <w:t>boniteta klijenta</w:t>
      </w:r>
      <w:r w:rsidR="00D40838" w:rsidRPr="00FF4026">
        <w:rPr>
          <w:color w:val="C00000"/>
          <w:sz w:val="24"/>
          <w:szCs w:val="24"/>
        </w:rPr>
        <w:t>/ potencijalnog dužnika</w:t>
      </w:r>
      <w:r w:rsidR="00784626" w:rsidRPr="00FF4026">
        <w:rPr>
          <w:color w:val="C00000"/>
          <w:sz w:val="24"/>
          <w:szCs w:val="24"/>
        </w:rPr>
        <w:t xml:space="preserve"> i njegove sposobnosti </w:t>
      </w:r>
      <w:r w:rsidRPr="00FF4026">
        <w:rPr>
          <w:color w:val="C00000"/>
          <w:sz w:val="24"/>
          <w:szCs w:val="24"/>
        </w:rPr>
        <w:t>podmirivanja p</w:t>
      </w:r>
      <w:r w:rsidR="00784626" w:rsidRPr="00FF4026">
        <w:rPr>
          <w:color w:val="C00000"/>
          <w:sz w:val="24"/>
          <w:szCs w:val="24"/>
        </w:rPr>
        <w:t xml:space="preserve">reuzetih obveza </w:t>
      </w:r>
      <w:r w:rsidR="00784626" w:rsidRPr="00CA4B38">
        <w:rPr>
          <w:sz w:val="24"/>
          <w:szCs w:val="24"/>
        </w:rPr>
        <w:t>u definiranim rokovima</w:t>
      </w:r>
      <w:r w:rsidR="00D40838">
        <w:rPr>
          <w:sz w:val="24"/>
          <w:szCs w:val="24"/>
        </w:rPr>
        <w:t xml:space="preserve">. Oni su </w:t>
      </w:r>
      <w:r w:rsidR="000145A4">
        <w:rPr>
          <w:sz w:val="24"/>
          <w:szCs w:val="24"/>
        </w:rPr>
        <w:t xml:space="preserve"> važni u svrhu procjene kreditnog rizika koji banka </w:t>
      </w:r>
      <w:r w:rsidR="00D40838">
        <w:rPr>
          <w:sz w:val="24"/>
          <w:szCs w:val="24"/>
        </w:rPr>
        <w:t xml:space="preserve">(ili drugi kreditor) </w:t>
      </w:r>
      <w:r w:rsidR="000145A4">
        <w:rPr>
          <w:sz w:val="24"/>
          <w:szCs w:val="24"/>
        </w:rPr>
        <w:t xml:space="preserve">preuzima </w:t>
      </w:r>
      <w:r w:rsidR="00D40838">
        <w:rPr>
          <w:sz w:val="24"/>
          <w:szCs w:val="24"/>
        </w:rPr>
        <w:t xml:space="preserve">na sebe </w:t>
      </w:r>
      <w:r w:rsidR="000145A4">
        <w:rPr>
          <w:sz w:val="24"/>
          <w:szCs w:val="24"/>
        </w:rPr>
        <w:t xml:space="preserve">odobravanjem kredita (odnosno </w:t>
      </w:r>
      <w:r w:rsidR="00D40838">
        <w:rPr>
          <w:sz w:val="24"/>
          <w:szCs w:val="24"/>
        </w:rPr>
        <w:t xml:space="preserve">radi se o procjeni vjerojatnosti nastupa okolnosti u kojima klijent </w:t>
      </w:r>
      <w:r w:rsidR="000145A4">
        <w:rPr>
          <w:sz w:val="24"/>
          <w:szCs w:val="24"/>
        </w:rPr>
        <w:t>neće moći servisirati svoje obveze)</w:t>
      </w:r>
      <w:r w:rsidR="00784626" w:rsidRPr="00CA4B38">
        <w:rPr>
          <w:sz w:val="24"/>
          <w:szCs w:val="24"/>
        </w:rPr>
        <w:t xml:space="preserve">. </w:t>
      </w:r>
      <w:r w:rsidRPr="00CA4B38">
        <w:rPr>
          <w:sz w:val="24"/>
          <w:szCs w:val="24"/>
        </w:rPr>
        <w:t xml:space="preserve">U tu svrhu koriste se različiti </w:t>
      </w:r>
      <w:r w:rsidRPr="003E5851">
        <w:rPr>
          <w:color w:val="C00000"/>
          <w:sz w:val="24"/>
          <w:szCs w:val="24"/>
        </w:rPr>
        <w:t>p</w:t>
      </w:r>
      <w:r w:rsidRPr="000145A4">
        <w:rPr>
          <w:color w:val="C00000"/>
          <w:sz w:val="24"/>
          <w:szCs w:val="24"/>
        </w:rPr>
        <w:t>odaci o korisniku kredita, odnosno po potrebi drugim sudionicima kreditnog posla (sudužniku i/ili jamcu)</w:t>
      </w:r>
      <w:r w:rsidR="00FF4026">
        <w:rPr>
          <w:color w:val="C00000"/>
          <w:sz w:val="24"/>
          <w:szCs w:val="24"/>
        </w:rPr>
        <w:t xml:space="preserve">. </w:t>
      </w:r>
      <w:r w:rsidR="00FF4026" w:rsidRPr="00FF4026">
        <w:rPr>
          <w:sz w:val="24"/>
          <w:szCs w:val="24"/>
        </w:rPr>
        <w:t>U</w:t>
      </w:r>
      <w:r w:rsidR="00FF4026">
        <w:rPr>
          <w:color w:val="C00000"/>
          <w:sz w:val="24"/>
          <w:szCs w:val="24"/>
        </w:rPr>
        <w:t xml:space="preserve"> </w:t>
      </w:r>
      <w:r w:rsidR="00D40838">
        <w:rPr>
          <w:sz w:val="24"/>
          <w:szCs w:val="24"/>
        </w:rPr>
        <w:t xml:space="preserve">kreditnim odnosima sa sektorom stanovništvo </w:t>
      </w:r>
      <w:r w:rsidR="00FF4026">
        <w:rPr>
          <w:sz w:val="24"/>
          <w:szCs w:val="24"/>
        </w:rPr>
        <w:t xml:space="preserve">oni se </w:t>
      </w:r>
      <w:r w:rsidR="000145A4">
        <w:rPr>
          <w:sz w:val="24"/>
          <w:szCs w:val="24"/>
        </w:rPr>
        <w:t xml:space="preserve">boduju kroz </w:t>
      </w:r>
      <w:r w:rsidR="00FF4026" w:rsidRPr="00FF4026">
        <w:rPr>
          <w:color w:val="C00000"/>
          <w:sz w:val="24"/>
          <w:szCs w:val="24"/>
        </w:rPr>
        <w:t xml:space="preserve">tzv, </w:t>
      </w:r>
      <w:r w:rsidR="000145A4" w:rsidRPr="00FF4026">
        <w:rPr>
          <w:color w:val="C00000"/>
          <w:sz w:val="24"/>
          <w:szCs w:val="24"/>
        </w:rPr>
        <w:t xml:space="preserve">credit scoring modele </w:t>
      </w:r>
      <w:r w:rsidR="000145A4">
        <w:rPr>
          <w:sz w:val="24"/>
          <w:szCs w:val="24"/>
        </w:rPr>
        <w:t>(</w:t>
      </w:r>
      <w:r w:rsidR="000145A4" w:rsidRPr="00CA4B38">
        <w:rPr>
          <w:sz w:val="24"/>
          <w:szCs w:val="24"/>
        </w:rPr>
        <w:t>sustave automatske računalne obrade i bodovanja prikupljenih podataka iz kreditnog zahtjeva klijenta</w:t>
      </w:r>
      <w:r w:rsidR="000145A4">
        <w:rPr>
          <w:sz w:val="24"/>
          <w:szCs w:val="24"/>
        </w:rPr>
        <w:t>), a navedeno posebno uključuje podatke o</w:t>
      </w:r>
      <w:r w:rsidRPr="00CA4B38">
        <w:rPr>
          <w:sz w:val="24"/>
          <w:szCs w:val="24"/>
        </w:rPr>
        <w:t xml:space="preserve">: </w:t>
      </w:r>
    </w:p>
    <w:p w:rsidR="00784626" w:rsidRPr="000145A4" w:rsidRDefault="000145A4" w:rsidP="006F1C04">
      <w:pPr>
        <w:numPr>
          <w:ilvl w:val="0"/>
          <w:numId w:val="61"/>
        </w:numPr>
        <w:spacing w:after="0" w:line="240" w:lineRule="auto"/>
        <w:jc w:val="both"/>
        <w:rPr>
          <w:i/>
          <w:sz w:val="24"/>
          <w:szCs w:val="24"/>
        </w:rPr>
      </w:pPr>
      <w:r w:rsidRPr="000145A4">
        <w:rPr>
          <w:i/>
          <w:sz w:val="24"/>
          <w:szCs w:val="24"/>
        </w:rPr>
        <w:t>„</w:t>
      </w:r>
      <w:r w:rsidR="00784626" w:rsidRPr="000145A4">
        <w:rPr>
          <w:i/>
          <w:color w:val="C00000"/>
          <w:sz w:val="24"/>
          <w:szCs w:val="24"/>
        </w:rPr>
        <w:t xml:space="preserve">redovnim primanjima u proteklom razdoblju </w:t>
      </w:r>
      <w:r w:rsidR="00784626" w:rsidRPr="000145A4">
        <w:rPr>
          <w:i/>
          <w:sz w:val="24"/>
          <w:szCs w:val="24"/>
        </w:rPr>
        <w:t>(iz posljednje tri platne liste, odnosno potvrde HZMO kod umirovljenika te eventualno druge dokumentacije o primanjima, plaćenom porezu i doprinosima unatrag šest mjeseci, godinu dana);</w:t>
      </w:r>
    </w:p>
    <w:p w:rsidR="00784626" w:rsidRPr="000145A4" w:rsidRDefault="00784626" w:rsidP="006F1C04">
      <w:pPr>
        <w:numPr>
          <w:ilvl w:val="0"/>
          <w:numId w:val="61"/>
        </w:numPr>
        <w:spacing w:after="0" w:line="240" w:lineRule="auto"/>
        <w:jc w:val="both"/>
        <w:rPr>
          <w:i/>
          <w:sz w:val="24"/>
          <w:szCs w:val="24"/>
        </w:rPr>
      </w:pPr>
      <w:r w:rsidRPr="000145A4">
        <w:rPr>
          <w:i/>
          <w:color w:val="C00000"/>
          <w:sz w:val="24"/>
          <w:szCs w:val="24"/>
        </w:rPr>
        <w:t xml:space="preserve">minimalnom iznosu slobodnih novčanih sredstva </w:t>
      </w:r>
      <w:r w:rsidRPr="000145A4">
        <w:rPr>
          <w:i/>
          <w:sz w:val="24"/>
          <w:szCs w:val="24"/>
        </w:rPr>
        <w:t>koji klijentu trebaju ostati na raspolaganju povrh svih obveza na ime vraćanja kredita (na primjer 1/3 mjesečnih redovitih primanja za osobe koje ostvaruju prosječnu neto-plaću);</w:t>
      </w:r>
    </w:p>
    <w:p w:rsidR="00784626" w:rsidRPr="000145A4" w:rsidRDefault="00784626" w:rsidP="006F1C04">
      <w:pPr>
        <w:numPr>
          <w:ilvl w:val="0"/>
          <w:numId w:val="61"/>
        </w:numPr>
        <w:spacing w:after="0" w:line="240" w:lineRule="auto"/>
        <w:jc w:val="both"/>
        <w:rPr>
          <w:i/>
          <w:sz w:val="24"/>
          <w:szCs w:val="24"/>
        </w:rPr>
      </w:pPr>
      <w:r w:rsidRPr="000145A4">
        <w:rPr>
          <w:i/>
          <w:color w:val="C00000"/>
          <w:sz w:val="24"/>
          <w:szCs w:val="24"/>
        </w:rPr>
        <w:t xml:space="preserve">statusu zaposlenja </w:t>
      </w:r>
      <w:r w:rsidRPr="000145A4">
        <w:rPr>
          <w:i/>
          <w:sz w:val="24"/>
          <w:szCs w:val="24"/>
        </w:rPr>
        <w:t>prema potvrdama poslodavaca (krediti se tipično odobravaju zaposlenima na neodređeno vrijeme, a izuzeci postoje kod manjih iznosa kredita (po tekućem računu) ili onih kredita čija je otplata primarno vezana uz instrumente osiguranja);</w:t>
      </w:r>
    </w:p>
    <w:p w:rsidR="00784626" w:rsidRPr="000145A4" w:rsidRDefault="00784626" w:rsidP="006F1C04">
      <w:pPr>
        <w:numPr>
          <w:ilvl w:val="0"/>
          <w:numId w:val="61"/>
        </w:numPr>
        <w:spacing w:after="0" w:line="240" w:lineRule="auto"/>
        <w:jc w:val="both"/>
        <w:rPr>
          <w:i/>
          <w:sz w:val="24"/>
          <w:szCs w:val="24"/>
        </w:rPr>
      </w:pPr>
      <w:r w:rsidRPr="000145A4">
        <w:rPr>
          <w:i/>
          <w:color w:val="C00000"/>
          <w:sz w:val="24"/>
          <w:szCs w:val="24"/>
        </w:rPr>
        <w:t xml:space="preserve">poslodavcu </w:t>
      </w:r>
      <w:r w:rsidRPr="000145A4">
        <w:rPr>
          <w:i/>
          <w:sz w:val="24"/>
          <w:szCs w:val="24"/>
        </w:rPr>
        <w:t>kod koga je potencijalni dužnik zaposlen (konkretno da li u javnom ili privatnom trgovačkom društvu, ili u obrtu, da li se radi o malom/srednjem/ili velikom trgovačkom društvu</w:t>
      </w:r>
      <w:r w:rsidR="00CA4B38" w:rsidRPr="000145A4">
        <w:rPr>
          <w:i/>
          <w:sz w:val="24"/>
          <w:szCs w:val="24"/>
        </w:rPr>
        <w:t xml:space="preserve"> – o bonitetu poslodavca koji isplaćuje redovna primanja praktično ovisi i bonitet klijenta</w:t>
      </w:r>
      <w:r w:rsidRPr="000145A4">
        <w:rPr>
          <w:i/>
          <w:sz w:val="24"/>
          <w:szCs w:val="24"/>
        </w:rPr>
        <w:t xml:space="preserve">); </w:t>
      </w:r>
    </w:p>
    <w:p w:rsidR="00784626" w:rsidRPr="000145A4" w:rsidRDefault="00784626" w:rsidP="006F1C04">
      <w:pPr>
        <w:numPr>
          <w:ilvl w:val="0"/>
          <w:numId w:val="61"/>
        </w:numPr>
        <w:spacing w:after="0" w:line="240" w:lineRule="auto"/>
        <w:jc w:val="both"/>
        <w:rPr>
          <w:i/>
          <w:sz w:val="24"/>
          <w:szCs w:val="24"/>
        </w:rPr>
      </w:pPr>
      <w:r w:rsidRPr="000145A4">
        <w:rPr>
          <w:i/>
          <w:color w:val="C00000"/>
          <w:sz w:val="24"/>
          <w:szCs w:val="24"/>
        </w:rPr>
        <w:t>imovini</w:t>
      </w:r>
      <w:r w:rsidRPr="000145A4">
        <w:rPr>
          <w:i/>
          <w:color w:val="000080"/>
          <w:sz w:val="24"/>
          <w:szCs w:val="24"/>
        </w:rPr>
        <w:t xml:space="preserve"> </w:t>
      </w:r>
      <w:r w:rsidRPr="000145A4">
        <w:rPr>
          <w:i/>
          <w:sz w:val="24"/>
          <w:szCs w:val="24"/>
        </w:rPr>
        <w:t>osobe čija se kreditna sposobnost ocjenjuje;</w:t>
      </w:r>
    </w:p>
    <w:p w:rsidR="00784626" w:rsidRPr="000145A4" w:rsidRDefault="00784626" w:rsidP="006F1C04">
      <w:pPr>
        <w:numPr>
          <w:ilvl w:val="0"/>
          <w:numId w:val="61"/>
        </w:numPr>
        <w:spacing w:after="0" w:line="240" w:lineRule="auto"/>
        <w:jc w:val="both"/>
        <w:rPr>
          <w:i/>
          <w:sz w:val="24"/>
          <w:szCs w:val="24"/>
        </w:rPr>
      </w:pPr>
      <w:r w:rsidRPr="000145A4">
        <w:rPr>
          <w:i/>
          <w:color w:val="C00000"/>
          <w:sz w:val="24"/>
          <w:szCs w:val="24"/>
        </w:rPr>
        <w:t xml:space="preserve">dosadašnjim iskustvima i odnosima s klijentom </w:t>
      </w:r>
      <w:r w:rsidRPr="000145A4">
        <w:rPr>
          <w:i/>
          <w:sz w:val="24"/>
          <w:szCs w:val="24"/>
        </w:rPr>
        <w:t xml:space="preserve">prema podacima iz vlastite baze; </w:t>
      </w:r>
    </w:p>
    <w:p w:rsidR="00784626" w:rsidRPr="000145A4" w:rsidRDefault="00784626" w:rsidP="006F1C04">
      <w:pPr>
        <w:numPr>
          <w:ilvl w:val="0"/>
          <w:numId w:val="61"/>
        </w:numPr>
        <w:spacing w:after="0" w:line="240" w:lineRule="auto"/>
        <w:jc w:val="both"/>
        <w:rPr>
          <w:i/>
          <w:sz w:val="24"/>
          <w:szCs w:val="24"/>
        </w:rPr>
      </w:pPr>
      <w:r w:rsidRPr="000145A4">
        <w:rPr>
          <w:i/>
          <w:color w:val="C00000"/>
          <w:sz w:val="24"/>
          <w:szCs w:val="24"/>
        </w:rPr>
        <w:t xml:space="preserve">kreditnoj opterećenosti klijenta </w:t>
      </w:r>
      <w:r w:rsidRPr="000145A4">
        <w:rPr>
          <w:i/>
          <w:sz w:val="24"/>
          <w:szCs w:val="24"/>
        </w:rPr>
        <w:t xml:space="preserve">s obzirom na druge kredite kod iste i drugih banaka (podaci iz Hrvatskog registra obveza po kreditima – HROK; - u </w:t>
      </w:r>
      <w:r w:rsidRPr="000145A4">
        <w:rPr>
          <w:i/>
          <w:color w:val="C00000"/>
          <w:sz w:val="24"/>
          <w:szCs w:val="24"/>
        </w:rPr>
        <w:t xml:space="preserve">kreditno izviješće </w:t>
      </w:r>
      <w:r w:rsidRPr="000145A4">
        <w:rPr>
          <w:i/>
          <w:sz w:val="24"/>
          <w:szCs w:val="24"/>
        </w:rPr>
        <w:t>HROK-a ulaze svi evidentirani podaci o korištenju kredita kod banaka i kartičarskih institucija ako ih one prijavljuj u registar);</w:t>
      </w:r>
    </w:p>
    <w:p w:rsidR="00784626" w:rsidRPr="000145A4" w:rsidRDefault="00784626" w:rsidP="006F1C04">
      <w:pPr>
        <w:numPr>
          <w:ilvl w:val="0"/>
          <w:numId w:val="61"/>
        </w:numPr>
        <w:spacing w:after="0" w:line="240" w:lineRule="auto"/>
        <w:jc w:val="both"/>
        <w:rPr>
          <w:i/>
          <w:sz w:val="24"/>
          <w:szCs w:val="24"/>
        </w:rPr>
      </w:pPr>
      <w:r w:rsidRPr="000145A4">
        <w:rPr>
          <w:i/>
          <w:sz w:val="24"/>
          <w:szCs w:val="24"/>
        </w:rPr>
        <w:t xml:space="preserve">potencijalnim obvezama korisnika kredita na ime njegove uloge </w:t>
      </w:r>
      <w:r w:rsidRPr="000145A4">
        <w:rPr>
          <w:i/>
          <w:color w:val="C00000"/>
          <w:sz w:val="24"/>
          <w:szCs w:val="24"/>
        </w:rPr>
        <w:t>jamca</w:t>
      </w:r>
      <w:r w:rsidRPr="000145A4">
        <w:rPr>
          <w:i/>
          <w:color w:val="000080"/>
          <w:sz w:val="24"/>
          <w:szCs w:val="24"/>
        </w:rPr>
        <w:t xml:space="preserve"> </w:t>
      </w:r>
      <w:r w:rsidRPr="000145A4">
        <w:rPr>
          <w:i/>
          <w:sz w:val="24"/>
          <w:szCs w:val="24"/>
        </w:rPr>
        <w:t xml:space="preserve">za druge kredite kod iste ili duge banke; </w:t>
      </w:r>
    </w:p>
    <w:p w:rsidR="00784626" w:rsidRPr="000145A4" w:rsidRDefault="00784626" w:rsidP="006F1C04">
      <w:pPr>
        <w:numPr>
          <w:ilvl w:val="0"/>
          <w:numId w:val="61"/>
        </w:numPr>
        <w:spacing w:after="0" w:line="240" w:lineRule="auto"/>
        <w:jc w:val="both"/>
        <w:rPr>
          <w:i/>
          <w:sz w:val="24"/>
          <w:szCs w:val="24"/>
        </w:rPr>
      </w:pPr>
      <w:r w:rsidRPr="000145A4">
        <w:rPr>
          <w:i/>
          <w:color w:val="C00000"/>
          <w:sz w:val="24"/>
          <w:szCs w:val="24"/>
        </w:rPr>
        <w:t xml:space="preserve">neurednost klijenta </w:t>
      </w:r>
      <w:r w:rsidRPr="000145A4">
        <w:rPr>
          <w:i/>
          <w:color w:val="000080"/>
          <w:sz w:val="24"/>
          <w:szCs w:val="24"/>
        </w:rPr>
        <w:t>u</w:t>
      </w:r>
      <w:r w:rsidRPr="000145A4">
        <w:rPr>
          <w:i/>
          <w:sz w:val="24"/>
          <w:szCs w:val="24"/>
        </w:rPr>
        <w:t xml:space="preserve"> dotadašnjim i trenutnim </w:t>
      </w:r>
      <w:r w:rsidRPr="000145A4">
        <w:rPr>
          <w:i/>
          <w:color w:val="C00000"/>
          <w:sz w:val="24"/>
          <w:szCs w:val="24"/>
        </w:rPr>
        <w:t xml:space="preserve">otplatama kredita </w:t>
      </w:r>
      <w:r w:rsidRPr="000145A4">
        <w:rPr>
          <w:i/>
          <w:sz w:val="24"/>
          <w:szCs w:val="24"/>
        </w:rPr>
        <w:t>(podaci iz Sustava razmjene informacija – SRI, preko kojeg banke međusobno razmjenjuju podatke o neurednoj otplati kredita; popularno zvano „crna lista“);</w:t>
      </w:r>
    </w:p>
    <w:p w:rsidR="00784626" w:rsidRPr="000145A4" w:rsidRDefault="00784626" w:rsidP="006F1C04">
      <w:pPr>
        <w:numPr>
          <w:ilvl w:val="0"/>
          <w:numId w:val="61"/>
        </w:numPr>
        <w:spacing w:after="0" w:line="240" w:lineRule="auto"/>
        <w:jc w:val="both"/>
        <w:rPr>
          <w:i/>
          <w:sz w:val="24"/>
          <w:szCs w:val="24"/>
        </w:rPr>
      </w:pPr>
      <w:r w:rsidRPr="000145A4">
        <w:rPr>
          <w:i/>
          <w:color w:val="C00000"/>
          <w:sz w:val="24"/>
          <w:szCs w:val="24"/>
        </w:rPr>
        <w:t xml:space="preserve">subjektivnoj ocjeni </w:t>
      </w:r>
      <w:r w:rsidRPr="000145A4">
        <w:rPr>
          <w:i/>
          <w:sz w:val="24"/>
          <w:szCs w:val="24"/>
        </w:rPr>
        <w:t>(osobnog bankara)</w:t>
      </w:r>
      <w:r w:rsidRPr="000145A4">
        <w:rPr>
          <w:i/>
          <w:color w:val="000080"/>
          <w:sz w:val="24"/>
          <w:szCs w:val="24"/>
        </w:rPr>
        <w:t xml:space="preserve"> </w:t>
      </w:r>
      <w:r w:rsidRPr="000145A4">
        <w:rPr>
          <w:i/>
          <w:color w:val="C00000"/>
          <w:sz w:val="24"/>
          <w:szCs w:val="24"/>
        </w:rPr>
        <w:t xml:space="preserve">o karakteru </w:t>
      </w:r>
      <w:r w:rsidRPr="000145A4">
        <w:rPr>
          <w:i/>
          <w:sz w:val="24"/>
          <w:szCs w:val="24"/>
        </w:rPr>
        <w:t>osobe korisnika kredita</w:t>
      </w:r>
      <w:r w:rsidRPr="000145A4">
        <w:rPr>
          <w:i/>
          <w:color w:val="000080"/>
          <w:sz w:val="24"/>
          <w:szCs w:val="24"/>
        </w:rPr>
        <w:t>;</w:t>
      </w:r>
    </w:p>
    <w:p w:rsidR="00784626" w:rsidRPr="000145A4" w:rsidRDefault="00784626" w:rsidP="006F1C04">
      <w:pPr>
        <w:numPr>
          <w:ilvl w:val="0"/>
          <w:numId w:val="61"/>
        </w:numPr>
        <w:spacing w:after="0" w:line="240" w:lineRule="auto"/>
        <w:jc w:val="both"/>
        <w:rPr>
          <w:i/>
          <w:sz w:val="24"/>
          <w:szCs w:val="24"/>
        </w:rPr>
      </w:pPr>
      <w:r w:rsidRPr="000145A4">
        <w:rPr>
          <w:i/>
          <w:sz w:val="24"/>
          <w:szCs w:val="24"/>
        </w:rPr>
        <w:t>sudužniku ako on postoji;</w:t>
      </w:r>
    </w:p>
    <w:p w:rsidR="00CA4B38" w:rsidRPr="000145A4" w:rsidRDefault="00784626" w:rsidP="006F1C04">
      <w:pPr>
        <w:numPr>
          <w:ilvl w:val="0"/>
          <w:numId w:val="61"/>
        </w:numPr>
        <w:spacing w:after="0" w:line="240" w:lineRule="auto"/>
        <w:jc w:val="both"/>
        <w:rPr>
          <w:i/>
          <w:sz w:val="24"/>
          <w:szCs w:val="24"/>
        </w:rPr>
      </w:pPr>
      <w:r w:rsidRPr="000145A4">
        <w:rPr>
          <w:i/>
          <w:sz w:val="24"/>
          <w:szCs w:val="24"/>
        </w:rPr>
        <w:t>vrijednosti i kvaliteta instrumenata osiguranja naplate</w:t>
      </w:r>
    </w:p>
    <w:p w:rsidR="00784626" w:rsidRPr="00CA4B38" w:rsidRDefault="00CA4B38" w:rsidP="006F1C04">
      <w:pPr>
        <w:numPr>
          <w:ilvl w:val="0"/>
          <w:numId w:val="61"/>
        </w:numPr>
        <w:spacing w:after="0" w:line="240" w:lineRule="auto"/>
        <w:jc w:val="both"/>
        <w:rPr>
          <w:sz w:val="24"/>
          <w:szCs w:val="24"/>
        </w:rPr>
      </w:pPr>
      <w:r w:rsidRPr="000145A4">
        <w:rPr>
          <w:i/>
          <w:color w:val="C00000"/>
          <w:sz w:val="24"/>
          <w:szCs w:val="24"/>
        </w:rPr>
        <w:lastRenderedPageBreak/>
        <w:t>broju članova kućanstva i uzdržavanih osoba</w:t>
      </w:r>
      <w:r w:rsidRPr="000145A4">
        <w:rPr>
          <w:i/>
          <w:sz w:val="24"/>
          <w:szCs w:val="24"/>
        </w:rPr>
        <w:t>, bračnom statusu, stanovanju u vlastitom stanu/kući, stručnoj spremi, starosti, dužini vremena provedenog na istoj stambenoj adresi, odnosno kod istog poslodavca; itd.</w:t>
      </w:r>
      <w:r w:rsidR="000145A4" w:rsidRPr="000145A4">
        <w:rPr>
          <w:i/>
          <w:sz w:val="24"/>
          <w:szCs w:val="24"/>
        </w:rPr>
        <w:t>“</w:t>
      </w:r>
      <w:r w:rsidR="000145A4" w:rsidRPr="000145A4">
        <w:rPr>
          <w:i/>
          <w:sz w:val="24"/>
          <w:szCs w:val="24"/>
          <w:vertAlign w:val="superscript"/>
        </w:rPr>
        <w:t xml:space="preserve"> </w:t>
      </w:r>
      <w:r w:rsidR="000145A4" w:rsidRPr="00EE21BF">
        <w:rPr>
          <w:sz w:val="24"/>
          <w:szCs w:val="24"/>
          <w:vertAlign w:val="superscript"/>
        </w:rPr>
        <w:footnoteReference w:id="72"/>
      </w:r>
      <w:r w:rsidRPr="00CA4B38">
        <w:rPr>
          <w:sz w:val="24"/>
          <w:szCs w:val="24"/>
        </w:rPr>
        <w:t xml:space="preserve"> </w:t>
      </w:r>
    </w:p>
    <w:p w:rsidR="00784626" w:rsidRDefault="003D2D36" w:rsidP="000145A4">
      <w:pPr>
        <w:spacing w:before="240"/>
        <w:jc w:val="both"/>
        <w:rPr>
          <w:sz w:val="24"/>
          <w:szCs w:val="24"/>
        </w:rPr>
      </w:pPr>
      <w:r>
        <w:rPr>
          <w:sz w:val="24"/>
          <w:szCs w:val="24"/>
        </w:rPr>
        <w:t>Primari instrumenti naplate za banku su redovne otplate klijenta omogućene njegovim novčanim prihodima. Zašt</w:t>
      </w:r>
      <w:r w:rsidR="000145A4" w:rsidRPr="000145A4">
        <w:rPr>
          <w:sz w:val="24"/>
          <w:szCs w:val="24"/>
        </w:rPr>
        <w:t xml:space="preserve">ita banke od kreditnog rizika </w:t>
      </w:r>
      <w:r>
        <w:rPr>
          <w:sz w:val="24"/>
          <w:szCs w:val="24"/>
        </w:rPr>
        <w:t xml:space="preserve">dodatno se </w:t>
      </w:r>
      <w:r w:rsidR="000145A4" w:rsidRPr="000145A4">
        <w:rPr>
          <w:sz w:val="24"/>
          <w:szCs w:val="24"/>
        </w:rPr>
        <w:t xml:space="preserve">postiže kroz različite </w:t>
      </w:r>
      <w:r w:rsidR="000145A4" w:rsidRPr="003D2D36">
        <w:rPr>
          <w:color w:val="C00000"/>
          <w:sz w:val="24"/>
          <w:szCs w:val="24"/>
        </w:rPr>
        <w:t>instrumente osiguranja naplate</w:t>
      </w:r>
      <w:r w:rsidR="00FF4026" w:rsidRPr="003D2D36">
        <w:rPr>
          <w:color w:val="C00000"/>
          <w:sz w:val="24"/>
          <w:szCs w:val="24"/>
        </w:rPr>
        <w:t xml:space="preserve"> </w:t>
      </w:r>
      <w:r w:rsidR="00FF4026">
        <w:rPr>
          <w:sz w:val="24"/>
          <w:szCs w:val="24"/>
        </w:rPr>
        <w:t>(namjenske oročene depozite, hipoteku, jamce itd.)</w:t>
      </w:r>
      <w:r w:rsidR="000145A4" w:rsidRPr="000145A4">
        <w:rPr>
          <w:sz w:val="24"/>
          <w:szCs w:val="24"/>
        </w:rPr>
        <w:t xml:space="preserve">, pri čemu vrijedi pravilo da: </w:t>
      </w:r>
      <w:r w:rsidR="000145A4" w:rsidRPr="00FF4026">
        <w:rPr>
          <w:i/>
          <w:sz w:val="24"/>
          <w:szCs w:val="24"/>
        </w:rPr>
        <w:t>„</w:t>
      </w:r>
      <w:r w:rsidR="00784626" w:rsidRPr="00FF4026">
        <w:rPr>
          <w:i/>
          <w:sz w:val="24"/>
          <w:szCs w:val="24"/>
        </w:rPr>
        <w:t>Banka ima pravo po vlastitom izboru odrediti redoslijed aktiviranja bilo kojeg instrumenta osiguranja</w:t>
      </w:r>
      <w:r w:rsidR="000145A4" w:rsidRPr="00FF4026">
        <w:rPr>
          <w:i/>
          <w:sz w:val="24"/>
          <w:szCs w:val="24"/>
        </w:rPr>
        <w:t>.“</w:t>
      </w:r>
      <w:r w:rsidR="000145A4" w:rsidRPr="00FF4026">
        <w:rPr>
          <w:sz w:val="24"/>
          <w:szCs w:val="24"/>
        </w:rPr>
        <w:t xml:space="preserve"> </w:t>
      </w:r>
      <w:r w:rsidR="00FF4026">
        <w:rPr>
          <w:color w:val="C00000"/>
          <w:sz w:val="24"/>
          <w:szCs w:val="24"/>
        </w:rPr>
        <w:t>I</w:t>
      </w:r>
      <w:r w:rsidR="00FF4026" w:rsidRPr="000145A4">
        <w:rPr>
          <w:sz w:val="24"/>
          <w:szCs w:val="24"/>
        </w:rPr>
        <w:t>nstrumenti</w:t>
      </w:r>
      <w:r w:rsidR="000145A4" w:rsidRPr="000145A4">
        <w:rPr>
          <w:sz w:val="24"/>
          <w:szCs w:val="24"/>
        </w:rPr>
        <w:t xml:space="preserve"> osiguranja </w:t>
      </w:r>
      <w:r w:rsidR="00FF4026">
        <w:rPr>
          <w:sz w:val="24"/>
          <w:szCs w:val="24"/>
        </w:rPr>
        <w:t>predstavljaju sekundarne</w:t>
      </w:r>
      <w:r w:rsidR="000145A4" w:rsidRPr="000145A4">
        <w:rPr>
          <w:sz w:val="24"/>
          <w:szCs w:val="24"/>
        </w:rPr>
        <w:t xml:space="preserve"> izvor</w:t>
      </w:r>
      <w:r w:rsidR="00FF4026">
        <w:rPr>
          <w:sz w:val="24"/>
          <w:szCs w:val="24"/>
        </w:rPr>
        <w:t>e</w:t>
      </w:r>
      <w:r w:rsidR="000145A4" w:rsidRPr="000145A4">
        <w:rPr>
          <w:sz w:val="24"/>
          <w:szCs w:val="24"/>
        </w:rPr>
        <w:t xml:space="preserve"> naplate,</w:t>
      </w:r>
      <w:r>
        <w:rPr>
          <w:sz w:val="24"/>
          <w:szCs w:val="24"/>
        </w:rPr>
        <w:t xml:space="preserve"> koji se u praksi relativno rijetko aktiviraju, ali imaju važnu funkciju smanjenju potencijalnog moralnog hazarda dužnika</w:t>
      </w:r>
      <w:r w:rsidR="000145A4" w:rsidRPr="000145A4">
        <w:rPr>
          <w:sz w:val="24"/>
          <w:szCs w:val="24"/>
        </w:rPr>
        <w:t>.</w:t>
      </w:r>
      <w:r>
        <w:rPr>
          <w:sz w:val="24"/>
          <w:szCs w:val="24"/>
        </w:rPr>
        <w:t xml:space="preserve"> Pojam </w:t>
      </w:r>
      <w:r w:rsidRPr="003D2D36">
        <w:rPr>
          <w:color w:val="C00000"/>
          <w:sz w:val="24"/>
          <w:szCs w:val="24"/>
        </w:rPr>
        <w:t xml:space="preserve">moralni hazard </w:t>
      </w:r>
      <w:r>
        <w:rPr>
          <w:sz w:val="24"/>
          <w:szCs w:val="24"/>
        </w:rPr>
        <w:t xml:space="preserve">općenito označava ponašanje pojedinca ili drugog ekonomskog subjekta koji postaje skloniji riziku ukoliko postoji netko drugi tko će odgovarati i/ili snositi troškove spašavanja (gubitke) za taj rizik. </w:t>
      </w:r>
    </w:p>
    <w:p w:rsidR="00982B8F" w:rsidRDefault="00D40838" w:rsidP="000145A4">
      <w:pPr>
        <w:spacing w:before="240"/>
        <w:jc w:val="both"/>
        <w:rPr>
          <w:sz w:val="24"/>
          <w:szCs w:val="24"/>
        </w:rPr>
      </w:pPr>
      <w:r>
        <w:rPr>
          <w:sz w:val="24"/>
          <w:szCs w:val="24"/>
        </w:rPr>
        <w:t xml:space="preserve">Pri odobravanju kredita </w:t>
      </w:r>
      <w:r w:rsidR="00EA19E1">
        <w:rPr>
          <w:sz w:val="24"/>
          <w:szCs w:val="24"/>
        </w:rPr>
        <w:t>banka procjenjuje kreditnu sposobno</w:t>
      </w:r>
      <w:r w:rsidR="00FF4026">
        <w:rPr>
          <w:sz w:val="24"/>
          <w:szCs w:val="24"/>
        </w:rPr>
        <w:t>st klijenta i utvrđuje koliko se potencijalni dužnik</w:t>
      </w:r>
      <w:r w:rsidR="00EA19E1">
        <w:rPr>
          <w:sz w:val="24"/>
          <w:szCs w:val="24"/>
        </w:rPr>
        <w:t xml:space="preserve"> </w:t>
      </w:r>
      <w:r w:rsidR="00A43B20">
        <w:rPr>
          <w:sz w:val="24"/>
          <w:szCs w:val="24"/>
        </w:rPr>
        <w:t>uz danu kamatnu stopu u trenutku odobravanja kredita, može zadužiti na određeni rok i uz</w:t>
      </w:r>
      <w:r w:rsidR="00EA19E1">
        <w:rPr>
          <w:sz w:val="24"/>
          <w:szCs w:val="24"/>
        </w:rPr>
        <w:t xml:space="preserve"> određen</w:t>
      </w:r>
      <w:r w:rsidR="00A43B20">
        <w:rPr>
          <w:sz w:val="24"/>
          <w:szCs w:val="24"/>
        </w:rPr>
        <w:t>i</w:t>
      </w:r>
      <w:r w:rsidR="00EA19E1">
        <w:rPr>
          <w:sz w:val="24"/>
          <w:szCs w:val="24"/>
        </w:rPr>
        <w:t xml:space="preserve"> </w:t>
      </w:r>
      <w:r w:rsidR="00A43B20">
        <w:rPr>
          <w:sz w:val="24"/>
          <w:szCs w:val="24"/>
        </w:rPr>
        <w:t xml:space="preserve">maksimalni </w:t>
      </w:r>
      <w:r w:rsidR="00EA19E1">
        <w:rPr>
          <w:sz w:val="24"/>
          <w:szCs w:val="24"/>
        </w:rPr>
        <w:t>iznos mje</w:t>
      </w:r>
      <w:r w:rsidR="00A43B20">
        <w:rPr>
          <w:sz w:val="24"/>
          <w:szCs w:val="24"/>
        </w:rPr>
        <w:t>sečnog anuiteta otplate kredita</w:t>
      </w:r>
      <w:r w:rsidR="00B64CEE">
        <w:rPr>
          <w:sz w:val="24"/>
          <w:szCs w:val="24"/>
        </w:rPr>
        <w:t xml:space="preserve">, a da se </w:t>
      </w:r>
      <w:r w:rsidR="00FF4026">
        <w:rPr>
          <w:sz w:val="24"/>
          <w:szCs w:val="24"/>
        </w:rPr>
        <w:t xml:space="preserve">istodobno </w:t>
      </w:r>
      <w:r w:rsidR="00B64CEE">
        <w:rPr>
          <w:sz w:val="24"/>
          <w:szCs w:val="24"/>
        </w:rPr>
        <w:t xml:space="preserve">kreditor </w:t>
      </w:r>
      <w:r w:rsidR="00FF4026">
        <w:rPr>
          <w:sz w:val="24"/>
          <w:szCs w:val="24"/>
        </w:rPr>
        <w:t xml:space="preserve">(banka) </w:t>
      </w:r>
      <w:r>
        <w:rPr>
          <w:sz w:val="24"/>
          <w:szCs w:val="24"/>
        </w:rPr>
        <w:t>prekomjerno ne izloži kreditnom riziku</w:t>
      </w:r>
      <w:r w:rsidR="00982B8F">
        <w:rPr>
          <w:sz w:val="24"/>
          <w:szCs w:val="24"/>
        </w:rPr>
        <w:t>.</w:t>
      </w:r>
    </w:p>
    <w:tbl>
      <w:tblPr>
        <w:tblStyle w:val="Reetkatablice"/>
        <w:tblW w:w="0" w:type="auto"/>
        <w:tblInd w:w="250" w:type="dxa"/>
        <w:tblLook w:val="04A0" w:firstRow="1" w:lastRow="0" w:firstColumn="1" w:lastColumn="0" w:noHBand="0" w:noVBand="1"/>
      </w:tblPr>
      <w:tblGrid>
        <w:gridCol w:w="9038"/>
      </w:tblGrid>
      <w:tr w:rsidR="00982B8F" w:rsidTr="000867A4">
        <w:tc>
          <w:tcPr>
            <w:tcW w:w="9038" w:type="dxa"/>
            <w:shd w:val="clear" w:color="auto" w:fill="F2F2F2" w:themeFill="background1" w:themeFillShade="F2"/>
          </w:tcPr>
          <w:p w:rsidR="006F320A" w:rsidRPr="006F320A" w:rsidRDefault="006F320A" w:rsidP="00FF4026">
            <w:pPr>
              <w:spacing w:before="120"/>
              <w:jc w:val="both"/>
              <w:rPr>
                <w:rFonts w:asciiTheme="minorHAnsi" w:eastAsiaTheme="minorHAnsi" w:hAnsiTheme="minorHAnsi" w:cstheme="minorBidi"/>
                <w:color w:val="C00000"/>
                <w:sz w:val="24"/>
                <w:szCs w:val="24"/>
                <w:lang w:eastAsia="en-US"/>
              </w:rPr>
            </w:pPr>
            <w:r w:rsidRPr="006F320A">
              <w:rPr>
                <w:rFonts w:asciiTheme="minorHAnsi" w:eastAsiaTheme="minorHAnsi" w:hAnsiTheme="minorHAnsi" w:cstheme="minorBidi"/>
                <w:color w:val="C00000"/>
                <w:sz w:val="24"/>
                <w:szCs w:val="24"/>
                <w:lang w:eastAsia="en-US"/>
              </w:rPr>
              <w:t xml:space="preserve">Primjer uvjeta </w:t>
            </w:r>
            <w:r>
              <w:rPr>
                <w:rFonts w:asciiTheme="minorHAnsi" w:eastAsiaTheme="minorHAnsi" w:hAnsiTheme="minorHAnsi" w:cstheme="minorBidi"/>
                <w:color w:val="C00000"/>
                <w:sz w:val="24"/>
                <w:szCs w:val="24"/>
                <w:lang w:eastAsia="en-US"/>
              </w:rPr>
              <w:t xml:space="preserve">ocjene kreditne sposobnosti kod </w:t>
            </w:r>
            <w:r w:rsidRPr="006F320A">
              <w:rPr>
                <w:rFonts w:asciiTheme="minorHAnsi" w:eastAsiaTheme="minorHAnsi" w:hAnsiTheme="minorHAnsi" w:cstheme="minorBidi"/>
                <w:color w:val="C00000"/>
                <w:sz w:val="24"/>
                <w:szCs w:val="24"/>
                <w:lang w:eastAsia="en-US"/>
              </w:rPr>
              <w:t xml:space="preserve">nenamjenskih kredita </w:t>
            </w:r>
            <w:r>
              <w:rPr>
                <w:rFonts w:asciiTheme="minorHAnsi" w:eastAsiaTheme="minorHAnsi" w:hAnsiTheme="minorHAnsi" w:cstheme="minorBidi"/>
                <w:color w:val="C00000"/>
                <w:sz w:val="24"/>
                <w:szCs w:val="24"/>
                <w:lang w:eastAsia="en-US"/>
              </w:rPr>
              <w:t xml:space="preserve">prema općim uvjetima </w:t>
            </w:r>
            <w:r w:rsidRPr="006F320A">
              <w:rPr>
                <w:rFonts w:asciiTheme="minorHAnsi" w:eastAsiaTheme="minorHAnsi" w:hAnsiTheme="minorHAnsi" w:cstheme="minorBidi"/>
                <w:color w:val="C00000"/>
                <w:sz w:val="24"/>
                <w:szCs w:val="24"/>
                <w:lang w:eastAsia="en-US"/>
              </w:rPr>
              <w:t xml:space="preserve"> jedne banke</w:t>
            </w:r>
          </w:p>
          <w:p w:rsidR="006F320A" w:rsidRPr="00A642A7" w:rsidRDefault="006F320A" w:rsidP="006F1C04">
            <w:pPr>
              <w:pStyle w:val="Odlomakpopisa"/>
              <w:numPr>
                <w:ilvl w:val="0"/>
                <w:numId w:val="63"/>
              </w:numPr>
              <w:spacing w:before="120"/>
              <w:ind w:left="459" w:hanging="283"/>
              <w:jc w:val="both"/>
              <w:rPr>
                <w:rFonts w:asciiTheme="minorHAnsi" w:eastAsiaTheme="minorHAnsi" w:hAnsiTheme="minorHAnsi" w:cstheme="minorBidi"/>
                <w:i/>
                <w:sz w:val="22"/>
                <w:szCs w:val="22"/>
                <w:lang w:eastAsia="en-US"/>
              </w:rPr>
            </w:pPr>
            <w:r w:rsidRPr="00A642A7">
              <w:rPr>
                <w:rFonts w:asciiTheme="minorHAnsi" w:eastAsiaTheme="minorHAnsi" w:hAnsiTheme="minorHAnsi" w:cstheme="minorBidi"/>
                <w:i/>
                <w:sz w:val="22"/>
                <w:szCs w:val="22"/>
                <w:lang w:eastAsia="en-US"/>
              </w:rPr>
              <w:t>„</w:t>
            </w:r>
            <w:r w:rsidR="00982B8F" w:rsidRPr="00A642A7">
              <w:rPr>
                <w:rFonts w:asciiTheme="minorHAnsi" w:eastAsiaTheme="minorHAnsi" w:hAnsiTheme="minorHAnsi" w:cstheme="minorBidi"/>
                <w:i/>
                <w:sz w:val="22"/>
                <w:szCs w:val="22"/>
                <w:lang w:eastAsia="en-US"/>
              </w:rPr>
              <w:t xml:space="preserve">Za kredite do 10.000 eura, korisnik kredita je kreditno sposoban ako mjesečni anuitet ne prelazi 1/3 njegove neto plaće. Jamci su kreditno sposobni ako mjesečni anuitet ne prelazi 1/3 njihovih zbrojenih neto plaća. Minimalna visina plaće korisnika kredita, sudužnika i jamaca je 1.500 kuna. Minimalna potrebna visina mirovine korisnika gotovinskih kredita za umirovljenike je 1.000 kuna. </w:t>
            </w:r>
          </w:p>
          <w:p w:rsidR="00982B8F" w:rsidRDefault="006F320A" w:rsidP="006F1C04">
            <w:pPr>
              <w:pStyle w:val="Odlomakpopisa"/>
              <w:numPr>
                <w:ilvl w:val="0"/>
                <w:numId w:val="63"/>
              </w:numPr>
              <w:spacing w:before="240" w:after="120"/>
              <w:ind w:left="459" w:hanging="283"/>
              <w:jc w:val="both"/>
              <w:rPr>
                <w:sz w:val="24"/>
                <w:szCs w:val="24"/>
              </w:rPr>
            </w:pPr>
            <w:r w:rsidRPr="00A642A7">
              <w:rPr>
                <w:rFonts w:asciiTheme="minorHAnsi" w:eastAsiaTheme="minorHAnsi" w:hAnsiTheme="minorHAnsi" w:cstheme="minorBidi"/>
                <w:i/>
                <w:sz w:val="22"/>
                <w:szCs w:val="22"/>
                <w:lang w:eastAsia="en-US"/>
              </w:rPr>
              <w:t xml:space="preserve">Za </w:t>
            </w:r>
            <w:r w:rsidR="00982B8F" w:rsidRPr="00A642A7">
              <w:rPr>
                <w:rFonts w:asciiTheme="minorHAnsi" w:eastAsiaTheme="minorHAnsi" w:hAnsiTheme="minorHAnsi" w:cstheme="minorBidi"/>
                <w:i/>
                <w:sz w:val="22"/>
                <w:szCs w:val="22"/>
                <w:lang w:eastAsia="en-US"/>
              </w:rPr>
              <w:t xml:space="preserve">kredite </w:t>
            </w:r>
            <w:r w:rsidRPr="00A642A7">
              <w:rPr>
                <w:rFonts w:asciiTheme="minorHAnsi" w:eastAsiaTheme="minorHAnsi" w:hAnsiTheme="minorHAnsi" w:cstheme="minorBidi"/>
                <w:i/>
                <w:sz w:val="22"/>
                <w:szCs w:val="22"/>
                <w:lang w:eastAsia="en-US"/>
              </w:rPr>
              <w:t xml:space="preserve">u iznosu većem </w:t>
            </w:r>
            <w:r w:rsidR="00982B8F" w:rsidRPr="00A642A7">
              <w:rPr>
                <w:rFonts w:asciiTheme="minorHAnsi" w:eastAsiaTheme="minorHAnsi" w:hAnsiTheme="minorHAnsi" w:cstheme="minorBidi"/>
                <w:i/>
                <w:sz w:val="22"/>
                <w:szCs w:val="22"/>
                <w:lang w:eastAsia="en-US"/>
              </w:rPr>
              <w:t>od 10.001 eura, korisnik kredita je kreditno sposoban ako ima neopterećenu neto plaću u visini najmanje jednog mjesečnog anuiteta uvećanog za 1.800 kuna. Jamci su kreditno sposobni ako im je zbroj plaća jednak jednom mjesečnom anuitetu, uvećanom za 1.800 kuna po svakom jamcu. Minimalna visina plaće korisnika kredita, sudužnika i jamaca je 1.500 kuna.</w:t>
            </w:r>
            <w:r w:rsidRPr="00A642A7">
              <w:rPr>
                <w:rFonts w:asciiTheme="minorHAnsi" w:eastAsiaTheme="minorHAnsi" w:hAnsiTheme="minorHAnsi" w:cstheme="minorBidi"/>
                <w:i/>
                <w:sz w:val="22"/>
                <w:szCs w:val="22"/>
                <w:lang w:eastAsia="en-US"/>
              </w:rPr>
              <w:t>“</w:t>
            </w:r>
            <w:r w:rsidR="00982B8F" w:rsidRPr="006F320A">
              <w:rPr>
                <w:rFonts w:asciiTheme="minorHAnsi" w:eastAsiaTheme="minorHAnsi" w:hAnsiTheme="minorHAnsi" w:cstheme="minorBidi"/>
                <w:sz w:val="24"/>
                <w:szCs w:val="24"/>
                <w:lang w:eastAsia="en-US"/>
              </w:rPr>
              <w:t xml:space="preserve"> </w:t>
            </w:r>
          </w:p>
        </w:tc>
      </w:tr>
      <w:tr w:rsidR="006F320A" w:rsidTr="000867A4">
        <w:tc>
          <w:tcPr>
            <w:tcW w:w="9038" w:type="dxa"/>
            <w:shd w:val="clear" w:color="auto" w:fill="F2F2F2" w:themeFill="background1" w:themeFillShade="F2"/>
          </w:tcPr>
          <w:p w:rsidR="006F320A" w:rsidRPr="006F320A" w:rsidRDefault="006F320A" w:rsidP="00FF4026">
            <w:pPr>
              <w:spacing w:before="120"/>
              <w:jc w:val="both"/>
              <w:rPr>
                <w:rFonts w:asciiTheme="minorHAnsi" w:eastAsiaTheme="minorHAnsi" w:hAnsiTheme="minorHAnsi" w:cstheme="minorBidi"/>
                <w:color w:val="C00000"/>
                <w:sz w:val="24"/>
                <w:szCs w:val="24"/>
                <w:lang w:eastAsia="en-US"/>
              </w:rPr>
            </w:pPr>
            <w:r w:rsidRPr="006F320A">
              <w:rPr>
                <w:rFonts w:asciiTheme="minorHAnsi" w:eastAsiaTheme="minorHAnsi" w:hAnsiTheme="minorHAnsi" w:cstheme="minorBidi"/>
                <w:color w:val="C00000"/>
                <w:sz w:val="24"/>
                <w:szCs w:val="24"/>
                <w:lang w:eastAsia="en-US"/>
              </w:rPr>
              <w:t xml:space="preserve">Primjer uvjeta </w:t>
            </w:r>
            <w:r>
              <w:rPr>
                <w:rFonts w:asciiTheme="minorHAnsi" w:eastAsiaTheme="minorHAnsi" w:hAnsiTheme="minorHAnsi" w:cstheme="minorBidi"/>
                <w:color w:val="C00000"/>
                <w:sz w:val="24"/>
                <w:szCs w:val="24"/>
                <w:lang w:eastAsia="en-US"/>
              </w:rPr>
              <w:t xml:space="preserve">ocjene kreditne sposobnosti kod stambenih </w:t>
            </w:r>
            <w:r w:rsidRPr="006F320A">
              <w:rPr>
                <w:rFonts w:asciiTheme="minorHAnsi" w:eastAsiaTheme="minorHAnsi" w:hAnsiTheme="minorHAnsi" w:cstheme="minorBidi"/>
                <w:color w:val="C00000"/>
                <w:sz w:val="24"/>
                <w:szCs w:val="24"/>
                <w:lang w:eastAsia="en-US"/>
              </w:rPr>
              <w:t xml:space="preserve">kredita </w:t>
            </w:r>
            <w:r>
              <w:rPr>
                <w:rFonts w:asciiTheme="minorHAnsi" w:eastAsiaTheme="minorHAnsi" w:hAnsiTheme="minorHAnsi" w:cstheme="minorBidi"/>
                <w:color w:val="C00000"/>
                <w:sz w:val="24"/>
                <w:szCs w:val="24"/>
                <w:lang w:eastAsia="en-US"/>
              </w:rPr>
              <w:t xml:space="preserve">prema općim uvjetima </w:t>
            </w:r>
            <w:r w:rsidRPr="006F320A">
              <w:rPr>
                <w:rFonts w:asciiTheme="minorHAnsi" w:eastAsiaTheme="minorHAnsi" w:hAnsiTheme="minorHAnsi" w:cstheme="minorBidi"/>
                <w:color w:val="C00000"/>
                <w:sz w:val="24"/>
                <w:szCs w:val="24"/>
                <w:lang w:eastAsia="en-US"/>
              </w:rPr>
              <w:t xml:space="preserve"> jedne banke</w:t>
            </w:r>
          </w:p>
          <w:p w:rsidR="006F320A" w:rsidRPr="00A642A7" w:rsidRDefault="006F320A" w:rsidP="006F1C04">
            <w:pPr>
              <w:pStyle w:val="Odlomakpopisa"/>
              <w:numPr>
                <w:ilvl w:val="0"/>
                <w:numId w:val="69"/>
              </w:numPr>
              <w:spacing w:before="120"/>
              <w:ind w:left="459" w:hanging="357"/>
              <w:jc w:val="both"/>
              <w:rPr>
                <w:rFonts w:asciiTheme="minorHAnsi" w:eastAsiaTheme="minorHAnsi" w:hAnsiTheme="minorHAnsi" w:cstheme="minorBidi"/>
                <w:i/>
                <w:sz w:val="22"/>
                <w:szCs w:val="22"/>
                <w:lang w:eastAsia="en-US"/>
              </w:rPr>
            </w:pPr>
            <w:r w:rsidRPr="00A642A7">
              <w:rPr>
                <w:rFonts w:asciiTheme="minorHAnsi" w:eastAsiaTheme="minorHAnsi" w:hAnsiTheme="minorHAnsi" w:cstheme="minorBidi"/>
                <w:i/>
                <w:sz w:val="22"/>
                <w:szCs w:val="22"/>
                <w:lang w:eastAsia="en-US"/>
              </w:rPr>
              <w:t xml:space="preserve">„Za korisnika kredita, solidarnog dužnika i solidarnog jamca čija su novčana primanja manja od 2 (dvije) prosječne neto plaće po zaposlenom u Republici Hrvatskoj, kreditna sposobnost se utvrđuje do 1/2 primanja i kreditno su sposobni ako neopterećeni iznos 1/2 njihovih stalnih novčanih primanja pojedinačno ili zajedno pokriva iznos anuiteta. Neopterećena mjesečna primanja ne smiju biti niža od 2.000 kn. </w:t>
            </w:r>
          </w:p>
          <w:p w:rsidR="006F320A" w:rsidRPr="006F320A" w:rsidRDefault="006F320A" w:rsidP="006F1C04">
            <w:pPr>
              <w:pStyle w:val="Odlomakpopisa"/>
              <w:numPr>
                <w:ilvl w:val="0"/>
                <w:numId w:val="69"/>
              </w:numPr>
              <w:spacing w:before="240" w:after="120"/>
              <w:ind w:left="459" w:hanging="357"/>
              <w:jc w:val="both"/>
              <w:rPr>
                <w:color w:val="C00000"/>
                <w:sz w:val="24"/>
                <w:szCs w:val="24"/>
              </w:rPr>
            </w:pPr>
            <w:r w:rsidRPr="00A642A7">
              <w:rPr>
                <w:rFonts w:asciiTheme="minorHAnsi" w:eastAsiaTheme="minorHAnsi" w:hAnsiTheme="minorHAnsi" w:cstheme="minorBidi"/>
                <w:i/>
                <w:sz w:val="22"/>
                <w:szCs w:val="22"/>
                <w:lang w:eastAsia="en-US"/>
              </w:rPr>
              <w:t>Za korisnika kredita, solidarnog dužnika i solidarnog jamca čija su novčana primanja veća od 2 (dvije) prosječne neto plaće po zaposlenom u Republici Hrvatskoj kreditna sposobnost utvrđuje se na način da se od prosječnog mjesečnog primanja oduzme 1 (jedna) prosječna neto plaća po zaposlenom u Republici Hrvatskoj te preostali iznos njihovih stalnih novčanih primanja pojedinačno ili zajedno pokriva iznos anuiteta.“</w:t>
            </w:r>
          </w:p>
        </w:tc>
      </w:tr>
    </w:tbl>
    <w:p w:rsidR="007716D7" w:rsidRDefault="006F320A" w:rsidP="000145A4">
      <w:pPr>
        <w:spacing w:before="240"/>
        <w:jc w:val="both"/>
        <w:rPr>
          <w:sz w:val="24"/>
          <w:szCs w:val="24"/>
        </w:rPr>
      </w:pPr>
      <w:r>
        <w:rPr>
          <w:sz w:val="24"/>
          <w:szCs w:val="24"/>
        </w:rPr>
        <w:lastRenderedPageBreak/>
        <w:t>U</w:t>
      </w:r>
      <w:r w:rsidR="00B64CEE">
        <w:rPr>
          <w:sz w:val="24"/>
          <w:szCs w:val="24"/>
        </w:rPr>
        <w:t xml:space="preserve"> </w:t>
      </w:r>
      <w:r w:rsidR="00AC47BE">
        <w:rPr>
          <w:sz w:val="24"/>
          <w:szCs w:val="24"/>
        </w:rPr>
        <w:t xml:space="preserve">određivanju uvjeta za ocjenu kreditne sposobnosti </w:t>
      </w:r>
      <w:r w:rsidR="00AC47BE" w:rsidRPr="00FF4026">
        <w:rPr>
          <w:color w:val="C00000"/>
          <w:sz w:val="24"/>
          <w:szCs w:val="24"/>
        </w:rPr>
        <w:t>pojedine banke su više konzervativne, a pojedine manje konzervativne</w:t>
      </w:r>
      <w:r w:rsidR="00AC47BE">
        <w:rPr>
          <w:sz w:val="24"/>
          <w:szCs w:val="24"/>
        </w:rPr>
        <w:t xml:space="preserve">, dok situacija prezaduženosti brojnih građana u razdoblju recesije od 2009. do 2014. </w:t>
      </w:r>
      <w:r w:rsidR="007716D7">
        <w:rPr>
          <w:sz w:val="24"/>
          <w:szCs w:val="24"/>
        </w:rPr>
        <w:t>u</w:t>
      </w:r>
      <w:r w:rsidR="00AC47BE">
        <w:rPr>
          <w:sz w:val="24"/>
          <w:szCs w:val="24"/>
        </w:rPr>
        <w:t xml:space="preserve">kazuje da su </w:t>
      </w:r>
      <w:r w:rsidR="00FF4026">
        <w:rPr>
          <w:sz w:val="24"/>
          <w:szCs w:val="24"/>
        </w:rPr>
        <w:t xml:space="preserve">pojedine </w:t>
      </w:r>
      <w:r w:rsidR="00AC47BE">
        <w:rPr>
          <w:sz w:val="24"/>
          <w:szCs w:val="24"/>
        </w:rPr>
        <w:t xml:space="preserve">procijene kreditne sposobnosti u predkriznom razdoblju bile pretjerano </w:t>
      </w:r>
      <w:r w:rsidR="007716D7">
        <w:rPr>
          <w:sz w:val="24"/>
          <w:szCs w:val="24"/>
        </w:rPr>
        <w:t>optimistične. B</w:t>
      </w:r>
      <w:r w:rsidR="00AC47BE">
        <w:rPr>
          <w:sz w:val="24"/>
          <w:szCs w:val="24"/>
        </w:rPr>
        <w:t xml:space="preserve">rojni dužnici </w:t>
      </w:r>
      <w:r w:rsidR="007716D7">
        <w:rPr>
          <w:sz w:val="24"/>
          <w:szCs w:val="24"/>
        </w:rPr>
        <w:t>danas su prekomjerno zaduženi i ne mogu servisirati dospjele obveze</w:t>
      </w:r>
      <w:r w:rsidR="00FF4026">
        <w:rPr>
          <w:sz w:val="24"/>
          <w:szCs w:val="24"/>
        </w:rPr>
        <w:t xml:space="preserve"> ne samo prema bankama nego i prema drugim dužnicima</w:t>
      </w:r>
      <w:r w:rsidR="007716D7">
        <w:rPr>
          <w:sz w:val="24"/>
          <w:szCs w:val="24"/>
        </w:rPr>
        <w:t xml:space="preserve">, što je rezultiralo </w:t>
      </w:r>
      <w:r w:rsidR="00FF4026">
        <w:rPr>
          <w:sz w:val="24"/>
          <w:szCs w:val="24"/>
        </w:rPr>
        <w:t xml:space="preserve">čestim slučajem </w:t>
      </w:r>
      <w:r w:rsidR="007716D7" w:rsidRPr="00FF4026">
        <w:rPr>
          <w:color w:val="C00000"/>
          <w:sz w:val="24"/>
          <w:szCs w:val="24"/>
        </w:rPr>
        <w:t xml:space="preserve">ovrha </w:t>
      </w:r>
      <w:r w:rsidR="007716D7">
        <w:rPr>
          <w:sz w:val="24"/>
          <w:szCs w:val="24"/>
        </w:rPr>
        <w:t xml:space="preserve">(nad stvarima i pravima na kojima se po zakonu može provesti ovrha radi prisilnog ostvarenja tražbine vjerovnika ili njezina osiguranja), a česti su i slučajevi deložacija dijela dužnika iz njihovih stambenih prostora. </w:t>
      </w:r>
    </w:p>
    <w:p w:rsidR="000D5AE5" w:rsidRDefault="007716D7" w:rsidP="000145A4">
      <w:pPr>
        <w:spacing w:before="240"/>
        <w:jc w:val="both"/>
        <w:rPr>
          <w:sz w:val="24"/>
          <w:szCs w:val="24"/>
        </w:rPr>
      </w:pPr>
      <w:r>
        <w:rPr>
          <w:sz w:val="24"/>
          <w:szCs w:val="24"/>
        </w:rPr>
        <w:t xml:space="preserve">U </w:t>
      </w:r>
      <w:r w:rsidR="00B64CEE">
        <w:rPr>
          <w:sz w:val="24"/>
          <w:szCs w:val="24"/>
        </w:rPr>
        <w:t>slučaju neispunjenja dužnikovih obveza</w:t>
      </w:r>
      <w:r w:rsidR="006F320A">
        <w:rPr>
          <w:sz w:val="24"/>
          <w:szCs w:val="24"/>
        </w:rPr>
        <w:t>,</w:t>
      </w:r>
      <w:r w:rsidR="00526BC6">
        <w:rPr>
          <w:sz w:val="24"/>
          <w:szCs w:val="24"/>
        </w:rPr>
        <w:t xml:space="preserve"> kreditor </w:t>
      </w:r>
      <w:r w:rsidR="00B64CEE">
        <w:rPr>
          <w:sz w:val="24"/>
          <w:szCs w:val="24"/>
        </w:rPr>
        <w:t xml:space="preserve">može provoditi </w:t>
      </w:r>
      <w:r w:rsidR="00B64CEE" w:rsidRPr="00B64CEE">
        <w:rPr>
          <w:color w:val="C00000"/>
          <w:sz w:val="24"/>
          <w:szCs w:val="24"/>
        </w:rPr>
        <w:t>p</w:t>
      </w:r>
      <w:r w:rsidR="00526BC6">
        <w:rPr>
          <w:color w:val="C00000"/>
          <w:sz w:val="24"/>
          <w:szCs w:val="24"/>
        </w:rPr>
        <w:t xml:space="preserve">risilno ostvarenje tražbina </w:t>
      </w:r>
      <w:r w:rsidR="00B64CEE" w:rsidRPr="00B64CEE">
        <w:rPr>
          <w:color w:val="C00000"/>
          <w:sz w:val="24"/>
          <w:szCs w:val="24"/>
        </w:rPr>
        <w:t>u skladu s regulativom provođenja ovršnog postupka</w:t>
      </w:r>
      <w:r w:rsidR="00B64CEE">
        <w:rPr>
          <w:sz w:val="24"/>
          <w:szCs w:val="24"/>
        </w:rPr>
        <w:t xml:space="preserve">. U skladu s time iznos maksimalnog mjesečnog anuiteta </w:t>
      </w:r>
      <w:r>
        <w:rPr>
          <w:sz w:val="24"/>
          <w:szCs w:val="24"/>
        </w:rPr>
        <w:t xml:space="preserve">ovisi o </w:t>
      </w:r>
      <w:r w:rsidR="006F320A">
        <w:rPr>
          <w:sz w:val="24"/>
          <w:szCs w:val="24"/>
        </w:rPr>
        <w:t>iznos</w:t>
      </w:r>
      <w:r>
        <w:rPr>
          <w:sz w:val="24"/>
          <w:szCs w:val="24"/>
        </w:rPr>
        <w:t>ima</w:t>
      </w:r>
      <w:r w:rsidR="006F320A">
        <w:rPr>
          <w:sz w:val="24"/>
          <w:szCs w:val="24"/>
        </w:rPr>
        <w:t xml:space="preserve"> </w:t>
      </w:r>
      <w:r w:rsidR="00B64CEE" w:rsidRPr="00982B8F">
        <w:rPr>
          <w:sz w:val="24"/>
          <w:szCs w:val="24"/>
        </w:rPr>
        <w:t xml:space="preserve">izuzeća </w:t>
      </w:r>
      <w:r w:rsidR="006F320A">
        <w:rPr>
          <w:sz w:val="24"/>
          <w:szCs w:val="24"/>
        </w:rPr>
        <w:t xml:space="preserve">o </w:t>
      </w:r>
      <w:r w:rsidR="00B64CEE" w:rsidRPr="00982B8F">
        <w:rPr>
          <w:sz w:val="24"/>
          <w:szCs w:val="24"/>
        </w:rPr>
        <w:t>provođenj</w:t>
      </w:r>
      <w:r w:rsidR="006F320A">
        <w:rPr>
          <w:sz w:val="24"/>
          <w:szCs w:val="24"/>
        </w:rPr>
        <w:t>u</w:t>
      </w:r>
      <w:r w:rsidR="00B64CEE" w:rsidRPr="00982B8F">
        <w:rPr>
          <w:sz w:val="24"/>
          <w:szCs w:val="24"/>
        </w:rPr>
        <w:t xml:space="preserve"> ovrhe</w:t>
      </w:r>
      <w:r w:rsidR="00B64CEE" w:rsidRPr="00526BC6">
        <w:rPr>
          <w:color w:val="C00000"/>
          <w:sz w:val="24"/>
          <w:szCs w:val="24"/>
        </w:rPr>
        <w:t xml:space="preserve"> </w:t>
      </w:r>
      <w:r w:rsidR="00B64CEE">
        <w:rPr>
          <w:sz w:val="24"/>
          <w:szCs w:val="24"/>
        </w:rPr>
        <w:t xml:space="preserve">koji su definirani </w:t>
      </w:r>
      <w:r w:rsidR="00B64CEE" w:rsidRPr="00526BC6">
        <w:rPr>
          <w:i/>
          <w:sz w:val="24"/>
          <w:szCs w:val="24"/>
        </w:rPr>
        <w:t>Ovršnim zakonom</w:t>
      </w:r>
      <w:r w:rsidR="00B64CEE">
        <w:rPr>
          <w:sz w:val="24"/>
          <w:szCs w:val="24"/>
        </w:rPr>
        <w:t>. Konkretno,</w:t>
      </w:r>
      <w:r w:rsidR="000D5AE5">
        <w:rPr>
          <w:sz w:val="24"/>
          <w:szCs w:val="24"/>
        </w:rPr>
        <w:t xml:space="preserve"> u slučaju </w:t>
      </w:r>
      <w:r w:rsidR="000D5AE5" w:rsidRPr="000D5AE5">
        <w:rPr>
          <w:color w:val="C00000"/>
          <w:sz w:val="24"/>
          <w:szCs w:val="24"/>
        </w:rPr>
        <w:t xml:space="preserve">osoba </w:t>
      </w:r>
      <w:r w:rsidR="000D5AE5" w:rsidRPr="00AC47BE">
        <w:rPr>
          <w:color w:val="C00000"/>
          <w:sz w:val="24"/>
          <w:szCs w:val="24"/>
        </w:rPr>
        <w:t>koje ostvaruju neto plaću veću od prosjeka RH</w:t>
      </w:r>
      <w:r w:rsidR="000D5AE5">
        <w:rPr>
          <w:color w:val="C00000"/>
          <w:sz w:val="24"/>
          <w:szCs w:val="24"/>
        </w:rPr>
        <w:t xml:space="preserve"> - </w:t>
      </w:r>
      <w:r w:rsidR="00B64CEE">
        <w:rPr>
          <w:sz w:val="24"/>
          <w:szCs w:val="24"/>
        </w:rPr>
        <w:t xml:space="preserve"> „</w:t>
      </w:r>
      <w:r w:rsidR="00B64CEE" w:rsidRPr="000C4D62">
        <w:rPr>
          <w:i/>
          <w:sz w:val="24"/>
          <w:szCs w:val="24"/>
        </w:rPr>
        <w:t>ako se ovrha provodi na plaći ovršenika, od ovrhe je izuzet iznos u visini dvije trećine prosječne netoplaće u Republici Hrvatskoj“</w:t>
      </w:r>
      <w:r w:rsidR="000C4D62">
        <w:rPr>
          <w:rStyle w:val="Referencafusnote"/>
          <w:i/>
          <w:sz w:val="24"/>
          <w:szCs w:val="24"/>
        </w:rPr>
        <w:footnoteReference w:id="73"/>
      </w:r>
      <w:r w:rsidR="00B64CEE">
        <w:rPr>
          <w:sz w:val="24"/>
          <w:szCs w:val="24"/>
        </w:rPr>
        <w:t xml:space="preserve">. </w:t>
      </w:r>
      <w:r w:rsidR="00526BC6">
        <w:rPr>
          <w:sz w:val="24"/>
          <w:szCs w:val="24"/>
        </w:rPr>
        <w:t>To</w:t>
      </w:r>
      <w:r w:rsidR="00B64CEE">
        <w:rPr>
          <w:sz w:val="24"/>
          <w:szCs w:val="24"/>
        </w:rPr>
        <w:t xml:space="preserve"> praktično znači da je </w:t>
      </w:r>
      <w:r w:rsidR="00AC47BE">
        <w:rPr>
          <w:sz w:val="24"/>
          <w:szCs w:val="24"/>
        </w:rPr>
        <w:t xml:space="preserve">kreditor zaštićen </w:t>
      </w:r>
      <w:r w:rsidR="00B64CEE">
        <w:rPr>
          <w:sz w:val="24"/>
          <w:szCs w:val="24"/>
        </w:rPr>
        <w:t xml:space="preserve">ukoliko je maksimalni mjesečni anuitet otplate </w:t>
      </w:r>
      <w:r w:rsidR="00AC47BE">
        <w:rPr>
          <w:sz w:val="24"/>
          <w:szCs w:val="24"/>
        </w:rPr>
        <w:t xml:space="preserve">novog </w:t>
      </w:r>
      <w:r w:rsidR="00B64CEE">
        <w:rPr>
          <w:sz w:val="24"/>
          <w:szCs w:val="24"/>
        </w:rPr>
        <w:t xml:space="preserve">kredita manji od razlike između </w:t>
      </w:r>
      <w:r>
        <w:rPr>
          <w:sz w:val="24"/>
          <w:szCs w:val="24"/>
        </w:rPr>
        <w:t>(</w:t>
      </w:r>
      <w:r w:rsidR="00AC47BE">
        <w:rPr>
          <w:sz w:val="24"/>
          <w:szCs w:val="24"/>
        </w:rPr>
        <w:t>neopterećene</w:t>
      </w:r>
      <w:r>
        <w:rPr>
          <w:sz w:val="24"/>
          <w:szCs w:val="24"/>
        </w:rPr>
        <w:t>)</w:t>
      </w:r>
      <w:r w:rsidR="00AC47BE">
        <w:rPr>
          <w:sz w:val="24"/>
          <w:szCs w:val="24"/>
        </w:rPr>
        <w:t xml:space="preserve"> </w:t>
      </w:r>
      <w:r w:rsidR="00B64CEE">
        <w:rPr>
          <w:sz w:val="24"/>
          <w:szCs w:val="24"/>
        </w:rPr>
        <w:t>neto</w:t>
      </w:r>
      <w:r w:rsidR="000D5AE5">
        <w:rPr>
          <w:sz w:val="24"/>
          <w:szCs w:val="24"/>
        </w:rPr>
        <w:t xml:space="preserve"> </w:t>
      </w:r>
      <w:r w:rsidR="00B64CEE">
        <w:rPr>
          <w:sz w:val="24"/>
          <w:szCs w:val="24"/>
        </w:rPr>
        <w:t>plaće dužnika i iznosa dvije trećine prosječne neto</w:t>
      </w:r>
      <w:r w:rsidR="000D5AE5">
        <w:rPr>
          <w:sz w:val="24"/>
          <w:szCs w:val="24"/>
        </w:rPr>
        <w:t xml:space="preserve"> </w:t>
      </w:r>
      <w:r w:rsidR="00B64CEE">
        <w:rPr>
          <w:sz w:val="24"/>
          <w:szCs w:val="24"/>
        </w:rPr>
        <w:t xml:space="preserve">plaće u RH utvrđene za određeno razdoblje. </w:t>
      </w:r>
      <w:r w:rsidR="000D5AE5">
        <w:rPr>
          <w:sz w:val="24"/>
          <w:szCs w:val="24"/>
        </w:rPr>
        <w:t xml:space="preserve">Pojam neopterećena plaća ili neopterećena primanja odnosi se na primanja dužnika koja nisu opterećena kreditima po drugoj osnovi neovisno da li se osoba javlja kao korisnik kredita, sudužnik ili jamac. </w:t>
      </w:r>
    </w:p>
    <w:tbl>
      <w:tblPr>
        <w:tblStyle w:val="Reetkatablice"/>
        <w:tblW w:w="0" w:type="auto"/>
        <w:tblInd w:w="108" w:type="dxa"/>
        <w:tblLook w:val="04A0" w:firstRow="1" w:lastRow="0" w:firstColumn="1" w:lastColumn="0" w:noHBand="0" w:noVBand="1"/>
      </w:tblPr>
      <w:tblGrid>
        <w:gridCol w:w="9180"/>
      </w:tblGrid>
      <w:tr w:rsidR="00185783" w:rsidTr="00185783">
        <w:tc>
          <w:tcPr>
            <w:tcW w:w="9180" w:type="dxa"/>
            <w:shd w:val="clear" w:color="auto" w:fill="F2F2F2" w:themeFill="background1" w:themeFillShade="F2"/>
          </w:tcPr>
          <w:p w:rsidR="00185783" w:rsidRDefault="00185783" w:rsidP="00185783">
            <w:pPr>
              <w:spacing w:before="120"/>
              <w:jc w:val="both"/>
              <w:rPr>
                <w:rFonts w:asciiTheme="minorHAnsi" w:eastAsiaTheme="minorHAnsi" w:hAnsiTheme="minorHAnsi" w:cstheme="minorBidi"/>
                <w:sz w:val="24"/>
                <w:szCs w:val="24"/>
                <w:lang w:eastAsia="en-US"/>
              </w:rPr>
            </w:pPr>
            <w:r w:rsidRPr="00185783">
              <w:rPr>
                <w:rFonts w:asciiTheme="minorHAnsi" w:eastAsiaTheme="minorHAnsi" w:hAnsiTheme="minorHAnsi" w:cstheme="minorBidi"/>
                <w:sz w:val="24"/>
                <w:szCs w:val="24"/>
                <w:lang w:eastAsia="en-US"/>
              </w:rPr>
              <w:t xml:space="preserve">Prosječnu neto plaću po zaposlenom u pravnim osobama RH za razdoblje siječanj-kolovoz prethodne godine objavljuje Državni zavod za statistiku, a navedeni iznos primjenjuje se u </w:t>
            </w:r>
            <w:r w:rsidRPr="00185783">
              <w:rPr>
                <w:rFonts w:asciiTheme="minorHAnsi" w:eastAsiaTheme="minorHAnsi" w:hAnsiTheme="minorHAnsi" w:cstheme="minorBidi"/>
                <w:color w:val="C00000"/>
                <w:sz w:val="24"/>
                <w:szCs w:val="24"/>
                <w:lang w:eastAsia="en-US"/>
              </w:rPr>
              <w:t>slijedećoj kalendarskoj godini</w:t>
            </w:r>
            <w:r w:rsidRPr="00185783">
              <w:rPr>
                <w:rFonts w:asciiTheme="minorHAnsi" w:eastAsiaTheme="minorHAnsi" w:hAnsiTheme="minorHAnsi" w:cstheme="minorBidi"/>
                <w:sz w:val="24"/>
                <w:szCs w:val="24"/>
                <w:lang w:eastAsia="en-US"/>
              </w:rPr>
              <w:t>. Tako u 2015. godini spomenuti iznos iznosi 5.510,00 kuna, od čega 2/3 iznose 3.673,33 kune. Ako nije riječ o alimentaciji niti dugu s osnova javnih davanja, a radnikova (ovršenikova) neto-plaća je veća od 5.510,00 kuna, od ovrhe je izuzet iznos u visini dvije trećine prosječne neto plaće u RH, što znači da mu se može plijeniti sve iznad 3.673,33 kn.</w:t>
            </w:r>
          </w:p>
          <w:p w:rsidR="00185783" w:rsidRDefault="00185783" w:rsidP="00185783">
            <w:pPr>
              <w:spacing w:before="120" w:after="120"/>
              <w:jc w:val="both"/>
              <w:rPr>
                <w:sz w:val="24"/>
                <w:szCs w:val="24"/>
              </w:rPr>
            </w:pPr>
            <w:r w:rsidRPr="00185783">
              <w:rPr>
                <w:rFonts w:asciiTheme="minorHAnsi" w:eastAsiaTheme="minorHAnsi" w:hAnsiTheme="minorHAnsi" w:cstheme="minorBidi"/>
                <w:sz w:val="24"/>
                <w:szCs w:val="24"/>
                <w:lang w:eastAsia="en-US"/>
              </w:rPr>
              <w:t xml:space="preserve">S druge strane „ako ovršenik prima plaću koja je </w:t>
            </w:r>
            <w:r w:rsidRPr="00185783">
              <w:rPr>
                <w:rFonts w:asciiTheme="minorHAnsi" w:eastAsiaTheme="minorHAnsi" w:hAnsiTheme="minorHAnsi" w:cstheme="minorBidi"/>
                <w:color w:val="C00000"/>
                <w:sz w:val="24"/>
                <w:szCs w:val="24"/>
                <w:lang w:eastAsia="en-US"/>
              </w:rPr>
              <w:t>manja od prosječen netoplaće u Republici Hrvatskoj,</w:t>
            </w:r>
            <w:r w:rsidRPr="00185783">
              <w:rPr>
                <w:rFonts w:asciiTheme="minorHAnsi" w:eastAsiaTheme="minorHAnsi" w:hAnsiTheme="minorHAnsi" w:cstheme="minorBidi"/>
                <w:sz w:val="24"/>
                <w:szCs w:val="24"/>
                <w:lang w:eastAsia="en-US"/>
              </w:rPr>
              <w:t xml:space="preserve"> od ovrhe je izuzet iznos u visini dvije trećine plaće ovršenika …“</w:t>
            </w:r>
            <w:r w:rsidRPr="00185783">
              <w:rPr>
                <w:rFonts w:asciiTheme="minorHAnsi" w:eastAsiaTheme="minorHAnsi" w:hAnsiTheme="minorHAnsi" w:cstheme="minorBidi"/>
                <w:lang w:eastAsia="en-US"/>
              </w:rPr>
              <w:footnoteReference w:id="74"/>
            </w:r>
            <w:r w:rsidRPr="00185783">
              <w:rPr>
                <w:rFonts w:asciiTheme="minorHAnsi" w:eastAsiaTheme="minorHAnsi" w:hAnsiTheme="minorHAnsi" w:cstheme="minorBidi"/>
                <w:sz w:val="24"/>
                <w:szCs w:val="24"/>
                <w:lang w:eastAsia="en-US"/>
              </w:rPr>
              <w:t xml:space="preserve"> To znači ako je neto plaća radnika (ovršenika) u 2015. manja od 5.510,00 kuna, predmet pljenidbe može biti samo jedna trećina stvarne neto plaće radnika (ovršenika).</w:t>
            </w:r>
          </w:p>
        </w:tc>
      </w:tr>
    </w:tbl>
    <w:p w:rsidR="003D2D36" w:rsidRDefault="00AC47BE" w:rsidP="000145A4">
      <w:pPr>
        <w:spacing w:before="240"/>
        <w:jc w:val="both"/>
        <w:rPr>
          <w:sz w:val="24"/>
          <w:szCs w:val="24"/>
        </w:rPr>
      </w:pPr>
      <w:r w:rsidRPr="000C4D62">
        <w:rPr>
          <w:sz w:val="24"/>
          <w:szCs w:val="24"/>
        </w:rPr>
        <w:t xml:space="preserve">Pored ocjene kreditne sposobnosti koju provodi banka </w:t>
      </w:r>
      <w:r w:rsidR="007716D7" w:rsidRPr="000C4D62">
        <w:rPr>
          <w:sz w:val="24"/>
          <w:szCs w:val="24"/>
        </w:rPr>
        <w:t xml:space="preserve">u trenutku odobravanja kredita </w:t>
      </w:r>
      <w:r w:rsidRPr="000C4D62">
        <w:rPr>
          <w:sz w:val="24"/>
          <w:szCs w:val="24"/>
        </w:rPr>
        <w:t xml:space="preserve">s ciljem da se zaštiti </w:t>
      </w:r>
      <w:r w:rsidR="007716D7" w:rsidRPr="000C4D62">
        <w:rPr>
          <w:sz w:val="24"/>
          <w:szCs w:val="24"/>
        </w:rPr>
        <w:t xml:space="preserve">od </w:t>
      </w:r>
      <w:r w:rsidRPr="000C4D62">
        <w:rPr>
          <w:sz w:val="24"/>
          <w:szCs w:val="24"/>
        </w:rPr>
        <w:t xml:space="preserve">nemogućnosti naplate dospjelih potraživanja, </w:t>
      </w:r>
      <w:r w:rsidR="00A43B20" w:rsidRPr="000C4D62">
        <w:rPr>
          <w:sz w:val="24"/>
          <w:szCs w:val="24"/>
        </w:rPr>
        <w:t xml:space="preserve">svaki potencijalni dužnik </w:t>
      </w:r>
      <w:r w:rsidR="00EA19E1" w:rsidRPr="000C4D62">
        <w:rPr>
          <w:sz w:val="24"/>
          <w:szCs w:val="24"/>
        </w:rPr>
        <w:t xml:space="preserve">treba voditi računa da se </w:t>
      </w:r>
      <w:r w:rsidR="00A43B20" w:rsidRPr="000C4D62">
        <w:rPr>
          <w:sz w:val="24"/>
          <w:szCs w:val="24"/>
        </w:rPr>
        <w:t xml:space="preserve">njegova </w:t>
      </w:r>
      <w:r w:rsidR="00EA19E1" w:rsidRPr="000C4D62">
        <w:rPr>
          <w:sz w:val="24"/>
          <w:szCs w:val="24"/>
        </w:rPr>
        <w:t>financijska situacija može se bitno pogoršati tijekom razdoblja otplate</w:t>
      </w:r>
      <w:r w:rsidR="00EA19E1">
        <w:rPr>
          <w:sz w:val="24"/>
          <w:szCs w:val="24"/>
        </w:rPr>
        <w:t xml:space="preserve">. Moguće su promjene kamatne stope i/ili deviznog tečaja koje podižu iznose mjesečnog anuiteta na znatno veću razinu nego što je dužnik sposoban otplaćivati, a isto tako je moguće da dužnik ostane bez posla ili da na novom radnom mjestu ostvaruje </w:t>
      </w:r>
      <w:r w:rsidR="00EA19E1">
        <w:rPr>
          <w:sz w:val="24"/>
          <w:szCs w:val="24"/>
        </w:rPr>
        <w:lastRenderedPageBreak/>
        <w:t xml:space="preserve">nižu plaću nego ranije. U tom slučaju procjena kreditne sposobnosti izvršena u trenutku odobravanja kredita praktično više nije točna, ali dužnikova obveza i dalje </w:t>
      </w:r>
      <w:r w:rsidR="00A43B20">
        <w:rPr>
          <w:sz w:val="24"/>
          <w:szCs w:val="24"/>
        </w:rPr>
        <w:t>postoji</w:t>
      </w:r>
      <w:r w:rsidR="00EA19E1">
        <w:rPr>
          <w:sz w:val="24"/>
          <w:szCs w:val="24"/>
        </w:rPr>
        <w:t xml:space="preserve">. </w:t>
      </w:r>
    </w:p>
    <w:p w:rsidR="00EA19E1" w:rsidRDefault="00EA19E1" w:rsidP="000145A4">
      <w:pPr>
        <w:spacing w:before="240"/>
        <w:jc w:val="both"/>
        <w:rPr>
          <w:sz w:val="24"/>
          <w:szCs w:val="24"/>
        </w:rPr>
      </w:pPr>
      <w:r>
        <w:rPr>
          <w:sz w:val="24"/>
          <w:szCs w:val="24"/>
        </w:rPr>
        <w:t xml:space="preserve">Eventualno radi smanjenja tereta otplate duga dužnik može zatražiti produljenje razdoblja otplate uz snižavanje mjesečnog anuiteta, ali u tom slučaju njegovi troškovi kamata u nominalnim terminima bit će veći jer se dug sporije otplaćuje. </w:t>
      </w:r>
      <w:r w:rsidR="00C05765">
        <w:rPr>
          <w:sz w:val="24"/>
          <w:szCs w:val="24"/>
        </w:rPr>
        <w:t xml:space="preserve">Kako bi se takve situacije izbjegle, </w:t>
      </w:r>
      <w:r w:rsidR="00C05765" w:rsidRPr="000C4D62">
        <w:rPr>
          <w:color w:val="C00000"/>
          <w:sz w:val="24"/>
          <w:szCs w:val="24"/>
        </w:rPr>
        <w:t>oprezan, konzervativan, odgovoran i racionalan dužnik ne bi se smio zadužiti u maksimalnom iznosu koliko dopušta njegova procjena kreditne sposobnosti, nego znatno manje</w:t>
      </w:r>
      <w:r w:rsidR="00C05765">
        <w:rPr>
          <w:sz w:val="24"/>
          <w:szCs w:val="24"/>
        </w:rPr>
        <w:t>, uvažavajući testove</w:t>
      </w:r>
      <w:r w:rsidR="0002505A">
        <w:rPr>
          <w:sz w:val="24"/>
          <w:szCs w:val="24"/>
        </w:rPr>
        <w:t xml:space="preserve"> otpornosti na stres, npr. kombinaciju slabljenja domaće valute za barem 10%, odnosno ra</w:t>
      </w:r>
      <w:r w:rsidR="000C4D62">
        <w:rPr>
          <w:sz w:val="24"/>
          <w:szCs w:val="24"/>
        </w:rPr>
        <w:t>st kamatnih stopa za 10% do 20%, odnosno uvažavajući rizike značajnog smanjenja ili čak izostanka redovitih mjesečnih primanja tijekom određenog vremena.</w:t>
      </w:r>
    </w:p>
    <w:p w:rsidR="009B2F94" w:rsidRPr="00806F24" w:rsidRDefault="00711733" w:rsidP="00806F24">
      <w:pPr>
        <w:autoSpaceDE w:val="0"/>
        <w:autoSpaceDN w:val="0"/>
        <w:adjustRightInd w:val="0"/>
        <w:spacing w:before="240"/>
        <w:jc w:val="both"/>
        <w:rPr>
          <w:rFonts w:cs="Times New Roman"/>
          <w:b/>
          <w:iCs/>
          <w:sz w:val="24"/>
          <w:szCs w:val="24"/>
        </w:rPr>
      </w:pPr>
      <w:r>
        <w:rPr>
          <w:b/>
          <w:sz w:val="24"/>
          <w:szCs w:val="24"/>
        </w:rPr>
        <w:t>4.</w:t>
      </w:r>
      <w:r w:rsidR="006B7E06">
        <w:rPr>
          <w:b/>
          <w:sz w:val="24"/>
          <w:szCs w:val="24"/>
        </w:rPr>
        <w:t>8</w:t>
      </w:r>
      <w:r w:rsidR="00806F24" w:rsidRPr="00806F24">
        <w:rPr>
          <w:b/>
          <w:sz w:val="24"/>
          <w:szCs w:val="24"/>
        </w:rPr>
        <w:t xml:space="preserve">. </w:t>
      </w:r>
      <w:r w:rsidR="009B2F94" w:rsidRPr="00806F24">
        <w:rPr>
          <w:rFonts w:cs="Times New Roman"/>
          <w:b/>
          <w:iCs/>
          <w:sz w:val="24"/>
          <w:szCs w:val="24"/>
        </w:rPr>
        <w:t>Financijska sloboda i odgovorno zaduživanje</w:t>
      </w:r>
    </w:p>
    <w:p w:rsidR="009B2F94" w:rsidRDefault="009B2F94" w:rsidP="009B2F94">
      <w:pPr>
        <w:tabs>
          <w:tab w:val="left" w:pos="1575"/>
        </w:tabs>
        <w:jc w:val="both"/>
        <w:rPr>
          <w:rFonts w:cs="Times New Roman"/>
          <w:iCs/>
          <w:sz w:val="24"/>
          <w:szCs w:val="24"/>
        </w:rPr>
      </w:pPr>
      <w:r w:rsidRPr="0002505A">
        <w:rPr>
          <w:rFonts w:cs="Times New Roman"/>
          <w:iCs/>
          <w:sz w:val="24"/>
          <w:szCs w:val="24"/>
        </w:rPr>
        <w:t>Pored kredita banaka i drugih kreditnih proizvoda financijskih institucija, u svakoj zemlji pa tako i Hrvatskoj postoji</w:t>
      </w:r>
      <w:r>
        <w:rPr>
          <w:rFonts w:cs="Times New Roman"/>
          <w:iCs/>
          <w:sz w:val="24"/>
          <w:szCs w:val="24"/>
        </w:rPr>
        <w:t xml:space="preserve"> </w:t>
      </w:r>
      <w:r w:rsidRPr="009B3243">
        <w:rPr>
          <w:rFonts w:cs="Times New Roman"/>
          <w:iCs/>
          <w:color w:val="C00000"/>
          <w:sz w:val="24"/>
          <w:szCs w:val="24"/>
        </w:rPr>
        <w:t xml:space="preserve">neregistrirano tržište zajmova </w:t>
      </w:r>
      <w:r>
        <w:rPr>
          <w:rFonts w:cs="Times New Roman"/>
          <w:iCs/>
          <w:sz w:val="24"/>
          <w:szCs w:val="24"/>
        </w:rPr>
        <w:t xml:space="preserve">koje </w:t>
      </w:r>
      <w:r w:rsidR="0002505A">
        <w:rPr>
          <w:rFonts w:cs="Times New Roman"/>
          <w:iCs/>
          <w:sz w:val="24"/>
          <w:szCs w:val="24"/>
        </w:rPr>
        <w:t xml:space="preserve">često </w:t>
      </w:r>
      <w:r>
        <w:rPr>
          <w:rFonts w:cs="Times New Roman"/>
          <w:iCs/>
          <w:sz w:val="24"/>
          <w:szCs w:val="24"/>
        </w:rPr>
        <w:t>uključuje sivu ekonomiju, a dodatno se veže uz kamatn</w:t>
      </w:r>
      <w:r w:rsidR="0002505A">
        <w:rPr>
          <w:rFonts w:cs="Times New Roman"/>
          <w:iCs/>
          <w:sz w:val="24"/>
          <w:szCs w:val="24"/>
        </w:rPr>
        <w:t xml:space="preserve">e stope obično </w:t>
      </w:r>
      <w:r>
        <w:rPr>
          <w:rFonts w:cs="Times New Roman"/>
          <w:iCs/>
          <w:sz w:val="24"/>
          <w:szCs w:val="24"/>
        </w:rPr>
        <w:t>veće nego u slučaju banaka</w:t>
      </w:r>
      <w:r w:rsidR="0002505A">
        <w:rPr>
          <w:rFonts w:cs="Times New Roman"/>
          <w:iCs/>
          <w:sz w:val="24"/>
          <w:szCs w:val="24"/>
        </w:rPr>
        <w:t xml:space="preserve">. Razlike postoje i u uvjetima </w:t>
      </w:r>
      <w:r>
        <w:rPr>
          <w:rFonts w:cs="Times New Roman"/>
          <w:iCs/>
          <w:sz w:val="24"/>
          <w:szCs w:val="24"/>
        </w:rPr>
        <w:t>stavljanja na raspolaganje instrumenata osiguranja naplate potraživanja</w:t>
      </w:r>
      <w:r w:rsidR="0002505A">
        <w:rPr>
          <w:rFonts w:cs="Times New Roman"/>
          <w:iCs/>
          <w:sz w:val="24"/>
          <w:szCs w:val="24"/>
        </w:rPr>
        <w:t xml:space="preserve"> (čest je fiducijarni prijenos vlasništva)</w:t>
      </w:r>
      <w:r>
        <w:rPr>
          <w:rFonts w:cs="Times New Roman"/>
          <w:iCs/>
          <w:sz w:val="24"/>
          <w:szCs w:val="24"/>
        </w:rPr>
        <w:t xml:space="preserve">, </w:t>
      </w:r>
      <w:r w:rsidR="0002505A">
        <w:rPr>
          <w:rFonts w:cs="Times New Roman"/>
          <w:iCs/>
          <w:sz w:val="24"/>
          <w:szCs w:val="24"/>
        </w:rPr>
        <w:t xml:space="preserve">kao i u </w:t>
      </w:r>
      <w:r>
        <w:rPr>
          <w:rFonts w:cs="Times New Roman"/>
          <w:iCs/>
          <w:sz w:val="24"/>
          <w:szCs w:val="24"/>
        </w:rPr>
        <w:t>modalitet</w:t>
      </w:r>
      <w:r w:rsidR="0002505A">
        <w:rPr>
          <w:rFonts w:cs="Times New Roman"/>
          <w:iCs/>
          <w:sz w:val="24"/>
          <w:szCs w:val="24"/>
        </w:rPr>
        <w:t>ima</w:t>
      </w:r>
      <w:r>
        <w:rPr>
          <w:rFonts w:cs="Times New Roman"/>
          <w:iCs/>
          <w:sz w:val="24"/>
          <w:szCs w:val="24"/>
        </w:rPr>
        <w:t xml:space="preserve"> otplate duga koji nerijetko otežavaju otplatu glavnice</w:t>
      </w:r>
      <w:r w:rsidR="0002505A">
        <w:rPr>
          <w:rFonts w:cs="Times New Roman"/>
          <w:iCs/>
          <w:sz w:val="24"/>
          <w:szCs w:val="24"/>
        </w:rPr>
        <w:t xml:space="preserve"> (npr. jednokratnu otplatu glavnice srednjoročnog kredita na kraju razdoblja uz mjesečno plaćanje visokih kamata</w:t>
      </w:r>
      <w:r w:rsidR="00A43B20">
        <w:rPr>
          <w:rFonts w:cs="Times New Roman"/>
          <w:iCs/>
          <w:sz w:val="24"/>
          <w:szCs w:val="24"/>
        </w:rPr>
        <w:t>, čega mnogi dužnici ograničenih financijskih znanja nisu bili svjesni</w:t>
      </w:r>
      <w:r w:rsidR="0002505A">
        <w:rPr>
          <w:rFonts w:cs="Times New Roman"/>
          <w:iCs/>
          <w:sz w:val="24"/>
          <w:szCs w:val="24"/>
        </w:rPr>
        <w:t>)</w:t>
      </w:r>
      <w:r>
        <w:rPr>
          <w:rFonts w:cs="Times New Roman"/>
          <w:iCs/>
          <w:sz w:val="24"/>
          <w:szCs w:val="24"/>
        </w:rPr>
        <w:t xml:space="preserve">, a poseban problem predstavljaju i nasilne metode naplate potraživanja. </w:t>
      </w:r>
      <w:r w:rsidR="0002505A">
        <w:rPr>
          <w:rFonts w:cs="Times New Roman"/>
          <w:iCs/>
          <w:sz w:val="24"/>
          <w:szCs w:val="24"/>
        </w:rPr>
        <w:t xml:space="preserve">Osim toga radi se o tržištu koje nije regulirano niti nadzirano zbog čega je zaštita dužnika znatno manja. </w:t>
      </w:r>
      <w:r>
        <w:rPr>
          <w:rFonts w:cs="Times New Roman"/>
          <w:iCs/>
          <w:sz w:val="24"/>
          <w:szCs w:val="24"/>
        </w:rPr>
        <w:t xml:space="preserve">Zajmovi na neregistriranom (crnom) tržištu stoga se najčešće koriste od strane </w:t>
      </w:r>
      <w:r w:rsidRPr="009B3243">
        <w:rPr>
          <w:rFonts w:cs="Times New Roman"/>
          <w:iCs/>
          <w:color w:val="C00000"/>
          <w:sz w:val="24"/>
          <w:szCs w:val="24"/>
        </w:rPr>
        <w:t xml:space="preserve">osoba koje su financijski isključene </w:t>
      </w:r>
      <w:r>
        <w:rPr>
          <w:rFonts w:cs="Times New Roman"/>
          <w:iCs/>
          <w:sz w:val="24"/>
          <w:szCs w:val="24"/>
        </w:rPr>
        <w:t xml:space="preserve">iz mogućnosti zaduživanja po povoljnijim uvjetima </w:t>
      </w:r>
      <w:r w:rsidR="0002505A">
        <w:rPr>
          <w:rFonts w:cs="Times New Roman"/>
          <w:iCs/>
          <w:sz w:val="24"/>
          <w:szCs w:val="24"/>
        </w:rPr>
        <w:t>u reguliranom financijskom sustavu</w:t>
      </w:r>
      <w:r>
        <w:rPr>
          <w:rFonts w:cs="Times New Roman"/>
          <w:iCs/>
          <w:sz w:val="24"/>
          <w:szCs w:val="24"/>
        </w:rPr>
        <w:t>, uključujući:</w:t>
      </w:r>
    </w:p>
    <w:p w:rsidR="009B2F94" w:rsidRPr="009B3243" w:rsidRDefault="009B2F94" w:rsidP="006F1C04">
      <w:pPr>
        <w:pStyle w:val="Odlomakpopisa"/>
        <w:numPr>
          <w:ilvl w:val="0"/>
          <w:numId w:val="33"/>
        </w:numPr>
        <w:tabs>
          <w:tab w:val="left" w:pos="1575"/>
        </w:tabs>
        <w:jc w:val="both"/>
        <w:rPr>
          <w:rFonts w:cs="Times New Roman"/>
          <w:iCs/>
          <w:sz w:val="24"/>
          <w:szCs w:val="24"/>
        </w:rPr>
      </w:pPr>
      <w:r w:rsidRPr="009B3243">
        <w:rPr>
          <w:rFonts w:cs="Times New Roman"/>
          <w:iCs/>
          <w:sz w:val="24"/>
          <w:szCs w:val="24"/>
        </w:rPr>
        <w:t>osobe koje veći do prihoda kućanstva ostvaruju u sivoj ekonomiji pa oni nisu registrirani i ne mogu se</w:t>
      </w:r>
      <w:r>
        <w:rPr>
          <w:rFonts w:cs="Times New Roman"/>
          <w:iCs/>
          <w:sz w:val="24"/>
          <w:szCs w:val="24"/>
        </w:rPr>
        <w:t xml:space="preserve"> koristiti </w:t>
      </w:r>
      <w:r w:rsidRPr="009B3243">
        <w:rPr>
          <w:rFonts w:cs="Times New Roman"/>
          <w:iCs/>
          <w:sz w:val="24"/>
          <w:szCs w:val="24"/>
        </w:rPr>
        <w:t>u ocjeni kreditne sposobnosti</w:t>
      </w:r>
      <w:r w:rsidR="0002505A">
        <w:rPr>
          <w:rFonts w:cs="Times New Roman"/>
          <w:iCs/>
          <w:sz w:val="24"/>
          <w:szCs w:val="24"/>
        </w:rPr>
        <w:t xml:space="preserve"> koju provode financijske institucije</w:t>
      </w:r>
      <w:r w:rsidRPr="009B3243">
        <w:rPr>
          <w:rFonts w:cs="Times New Roman"/>
          <w:iCs/>
          <w:sz w:val="24"/>
          <w:szCs w:val="24"/>
        </w:rPr>
        <w:t xml:space="preserve">, </w:t>
      </w:r>
    </w:p>
    <w:p w:rsidR="009B2F94" w:rsidRPr="009B3243" w:rsidRDefault="009B2F94" w:rsidP="006F1C04">
      <w:pPr>
        <w:pStyle w:val="Odlomakpopisa"/>
        <w:numPr>
          <w:ilvl w:val="0"/>
          <w:numId w:val="33"/>
        </w:numPr>
        <w:tabs>
          <w:tab w:val="left" w:pos="1575"/>
        </w:tabs>
        <w:jc w:val="both"/>
        <w:rPr>
          <w:rFonts w:cs="Times New Roman"/>
          <w:iCs/>
          <w:sz w:val="24"/>
          <w:szCs w:val="24"/>
        </w:rPr>
      </w:pPr>
      <w:r w:rsidRPr="009B3243">
        <w:rPr>
          <w:rFonts w:cs="Times New Roman"/>
          <w:iCs/>
          <w:sz w:val="24"/>
          <w:szCs w:val="24"/>
        </w:rPr>
        <w:t xml:space="preserve">osobe koje temeljem registriranih prihoda nemaju kapacitet zaduživanja pa ne mogu ostvariti uvjete u ocjeni kreditne sposobnosti kod banaka, </w:t>
      </w:r>
    </w:p>
    <w:p w:rsidR="009B2F94" w:rsidRPr="009B3243" w:rsidRDefault="009B2F94" w:rsidP="006F1C04">
      <w:pPr>
        <w:pStyle w:val="Odlomakpopisa"/>
        <w:numPr>
          <w:ilvl w:val="0"/>
          <w:numId w:val="33"/>
        </w:numPr>
        <w:tabs>
          <w:tab w:val="left" w:pos="1575"/>
        </w:tabs>
        <w:jc w:val="both"/>
        <w:rPr>
          <w:rFonts w:cs="Times New Roman"/>
          <w:iCs/>
          <w:sz w:val="24"/>
          <w:szCs w:val="24"/>
        </w:rPr>
      </w:pPr>
      <w:r w:rsidRPr="009B3243">
        <w:rPr>
          <w:rFonts w:cs="Times New Roman"/>
          <w:iCs/>
          <w:sz w:val="24"/>
          <w:szCs w:val="24"/>
        </w:rPr>
        <w:t xml:space="preserve">osobe čiji su tekući i drugi računi blokirani zbog ulaska u „crveno“, nad kojima se provode postupci pljenidbe i ovrha, </w:t>
      </w:r>
    </w:p>
    <w:p w:rsidR="009B2F94" w:rsidRDefault="009B2F94" w:rsidP="006F1C04">
      <w:pPr>
        <w:pStyle w:val="Odlomakpopisa"/>
        <w:numPr>
          <w:ilvl w:val="0"/>
          <w:numId w:val="33"/>
        </w:numPr>
        <w:tabs>
          <w:tab w:val="left" w:pos="1575"/>
        </w:tabs>
        <w:jc w:val="both"/>
        <w:rPr>
          <w:rFonts w:cs="Times New Roman"/>
          <w:iCs/>
          <w:sz w:val="24"/>
          <w:szCs w:val="24"/>
        </w:rPr>
      </w:pPr>
      <w:r w:rsidRPr="009B3243">
        <w:rPr>
          <w:rFonts w:cs="Times New Roman"/>
          <w:iCs/>
          <w:sz w:val="24"/>
          <w:szCs w:val="24"/>
        </w:rPr>
        <w:t xml:space="preserve">odnosno osobe koje su </w:t>
      </w:r>
      <w:r>
        <w:rPr>
          <w:rFonts w:cs="Times New Roman"/>
          <w:iCs/>
          <w:sz w:val="24"/>
          <w:szCs w:val="24"/>
        </w:rPr>
        <w:t>zbog prezaduženosti i/ili l</w:t>
      </w:r>
      <w:r w:rsidRPr="009B3243">
        <w:rPr>
          <w:rFonts w:cs="Times New Roman"/>
          <w:iCs/>
          <w:sz w:val="24"/>
          <w:szCs w:val="24"/>
        </w:rPr>
        <w:t>oše kreditne povijesti isključene s tržišta legalnih kredita</w:t>
      </w:r>
      <w:r>
        <w:rPr>
          <w:rFonts w:cs="Times New Roman"/>
          <w:iCs/>
          <w:sz w:val="24"/>
          <w:szCs w:val="24"/>
        </w:rPr>
        <w:t>,</w:t>
      </w:r>
      <w:r w:rsidRPr="009B3243">
        <w:rPr>
          <w:rFonts w:cs="Times New Roman"/>
          <w:iCs/>
          <w:sz w:val="24"/>
          <w:szCs w:val="24"/>
        </w:rPr>
        <w:t xml:space="preserve"> a zbog istog razloga nemaju mogućnost korištenja dopušten</w:t>
      </w:r>
      <w:r w:rsidR="00A43B20">
        <w:rPr>
          <w:rFonts w:cs="Times New Roman"/>
          <w:iCs/>
          <w:sz w:val="24"/>
          <w:szCs w:val="24"/>
        </w:rPr>
        <w:t xml:space="preserve">og </w:t>
      </w:r>
      <w:r w:rsidRPr="009B3243">
        <w:rPr>
          <w:rFonts w:cs="Times New Roman"/>
          <w:iCs/>
          <w:sz w:val="24"/>
          <w:szCs w:val="24"/>
        </w:rPr>
        <w:t xml:space="preserve">prekoračenja po tekućem računu ili kreditnih kartica. </w:t>
      </w:r>
    </w:p>
    <w:p w:rsidR="009A0629" w:rsidRDefault="009A0629" w:rsidP="009B2F94">
      <w:pPr>
        <w:tabs>
          <w:tab w:val="left" w:pos="1575"/>
        </w:tabs>
        <w:jc w:val="both"/>
        <w:rPr>
          <w:rFonts w:cs="Times New Roman"/>
          <w:i/>
          <w:iCs/>
          <w:sz w:val="24"/>
          <w:szCs w:val="24"/>
        </w:rPr>
      </w:pPr>
      <w:r>
        <w:rPr>
          <w:rFonts w:cs="Times New Roman"/>
          <w:iCs/>
          <w:sz w:val="24"/>
          <w:szCs w:val="24"/>
        </w:rPr>
        <w:t xml:space="preserve">Zadovoljavajuća definicija „prezaduženosti“ ne postoji pa u tom smislu treba uvjetno shvatiti i definiciju prezaduženosti i osvrte na taj problem koji se navodi u nastavku: </w:t>
      </w:r>
      <w:r w:rsidRPr="009A0629">
        <w:rPr>
          <w:rFonts w:cs="Times New Roman"/>
          <w:i/>
          <w:iCs/>
          <w:sz w:val="24"/>
          <w:szCs w:val="24"/>
        </w:rPr>
        <w:t xml:space="preserve">„Prema definiciji Oxera (2004) </w:t>
      </w:r>
      <w:r w:rsidRPr="00E716E6">
        <w:rPr>
          <w:rFonts w:cs="Times New Roman"/>
          <w:i/>
          <w:iCs/>
          <w:color w:val="C00000"/>
          <w:sz w:val="24"/>
          <w:szCs w:val="24"/>
        </w:rPr>
        <w:t>prezadužena osoba ili kućanstvo</w:t>
      </w:r>
      <w:r w:rsidRPr="009A0629">
        <w:rPr>
          <w:rFonts w:cs="Times New Roman"/>
          <w:i/>
          <w:iCs/>
          <w:sz w:val="24"/>
          <w:szCs w:val="24"/>
        </w:rPr>
        <w:t xml:space="preserve"> je ono koje kasni s plaćanjima na strukturnoj osnovici ili se približava takvom stanju. Pokušamo li prilagoditi uobičajenu definiciju </w:t>
      </w:r>
      <w:r w:rsidRPr="009A0629">
        <w:rPr>
          <w:rFonts w:cs="Times New Roman"/>
          <w:i/>
          <w:iCs/>
          <w:sz w:val="24"/>
          <w:szCs w:val="24"/>
        </w:rPr>
        <w:lastRenderedPageBreak/>
        <w:t>prezaduženosti za gospodarske subjekte na kućanstva onda bi to mogao biti gubitak kreditne sposobnosti zbog prevelikog korištenja pozajmljenih sredstava. Prezaduženost kao apsolutna kategorija ne postoji, odnosno ne postoji tako neizdrživa razina zaduženosti ako korisnik pazi da struktura ulaganja pozajmljenih sredstava po ročnosti i rentabilnosti odgovara strukturi pozajmljenih sredstava. Stoga se prezaduženost može javiti samo kada vjerovnik-kreditor loše procjeni kreditnu sposobnost korisnika, ili ukoliko dođe do naglih promjena u uvjetima života dužnika (bolest, nezaposlenost i sl.). Zbog nepostojanja općeprihvaćene definicije prezaduženosti teško je pouzdano procijeniti stvarni broj prezaduženih osoba (Korczak, 1998).“</w:t>
      </w:r>
      <w:r w:rsidR="00A43B20" w:rsidRPr="00A43B20">
        <w:rPr>
          <w:rStyle w:val="Referencafusnote"/>
          <w:rFonts w:cs="Times New Roman"/>
          <w:iCs/>
          <w:sz w:val="24"/>
          <w:szCs w:val="24"/>
        </w:rPr>
        <w:t xml:space="preserve"> </w:t>
      </w:r>
      <w:r w:rsidR="00A43B20">
        <w:rPr>
          <w:rStyle w:val="Referencafusnote"/>
          <w:rFonts w:cs="Times New Roman"/>
          <w:iCs/>
          <w:sz w:val="24"/>
          <w:szCs w:val="24"/>
        </w:rPr>
        <w:footnoteReference w:id="75"/>
      </w:r>
      <w:r w:rsidRPr="009A0629">
        <w:rPr>
          <w:rFonts w:cs="Times New Roman"/>
          <w:i/>
          <w:iCs/>
          <w:sz w:val="24"/>
          <w:szCs w:val="24"/>
        </w:rPr>
        <w:t xml:space="preserve"> </w:t>
      </w:r>
    </w:p>
    <w:p w:rsidR="00E716E6" w:rsidRPr="00952D41" w:rsidRDefault="00E716E6" w:rsidP="00952D41">
      <w:pPr>
        <w:tabs>
          <w:tab w:val="left" w:pos="1575"/>
        </w:tabs>
        <w:jc w:val="both"/>
        <w:rPr>
          <w:rFonts w:cs="Times New Roman"/>
          <w:iCs/>
          <w:sz w:val="24"/>
          <w:szCs w:val="24"/>
        </w:rPr>
      </w:pPr>
      <w:r w:rsidRPr="00952D41">
        <w:rPr>
          <w:rFonts w:cs="Times New Roman"/>
          <w:iCs/>
          <w:sz w:val="24"/>
          <w:szCs w:val="24"/>
        </w:rPr>
        <w:t xml:space="preserve">Na sličan način, za procjenu rizika prezaduženosti kućanstva praktično ne postoje adekvatni pokazatelji, iako se najčešće </w:t>
      </w:r>
      <w:r w:rsidR="00952D41">
        <w:rPr>
          <w:rFonts w:cs="Times New Roman"/>
          <w:iCs/>
          <w:sz w:val="24"/>
          <w:szCs w:val="24"/>
        </w:rPr>
        <w:t xml:space="preserve">kao </w:t>
      </w:r>
      <w:r w:rsidR="00952D41" w:rsidRPr="00952D41">
        <w:rPr>
          <w:rFonts w:cs="Times New Roman"/>
          <w:iCs/>
          <w:color w:val="C00000"/>
          <w:sz w:val="24"/>
          <w:szCs w:val="24"/>
        </w:rPr>
        <w:t xml:space="preserve">osnovni pokazatelj (pre)zaduženosti </w:t>
      </w:r>
      <w:r w:rsidRPr="00952D41">
        <w:rPr>
          <w:rFonts w:cs="Times New Roman"/>
          <w:iCs/>
          <w:sz w:val="24"/>
          <w:szCs w:val="24"/>
        </w:rPr>
        <w:t>koristi koeficijent (stopa) zaduženosti definirana kao postotak duga u odnosu na raspoloživi dohodak</w:t>
      </w:r>
      <w:r w:rsidR="00952D41">
        <w:rPr>
          <w:rFonts w:cs="Times New Roman"/>
          <w:iCs/>
          <w:sz w:val="24"/>
          <w:szCs w:val="24"/>
        </w:rPr>
        <w:t xml:space="preserve">. Kao </w:t>
      </w:r>
      <w:r w:rsidR="00952D41" w:rsidRPr="00952D41">
        <w:rPr>
          <w:rFonts w:cs="Times New Roman"/>
          <w:iCs/>
          <w:color w:val="C00000"/>
          <w:sz w:val="24"/>
          <w:szCs w:val="24"/>
        </w:rPr>
        <w:t xml:space="preserve">dodatni </w:t>
      </w:r>
      <w:r w:rsidRPr="00952D41">
        <w:rPr>
          <w:rFonts w:cs="Times New Roman"/>
          <w:iCs/>
          <w:color w:val="C00000"/>
          <w:sz w:val="24"/>
          <w:szCs w:val="24"/>
        </w:rPr>
        <w:t>pokazatelji</w:t>
      </w:r>
      <w:r w:rsidR="00952D41" w:rsidRPr="00952D41">
        <w:rPr>
          <w:rFonts w:cs="Times New Roman"/>
          <w:iCs/>
          <w:color w:val="C00000"/>
          <w:sz w:val="24"/>
          <w:szCs w:val="24"/>
        </w:rPr>
        <w:t xml:space="preserve"> </w:t>
      </w:r>
      <w:r w:rsidR="00952D41">
        <w:rPr>
          <w:rFonts w:cs="Times New Roman"/>
          <w:iCs/>
          <w:sz w:val="24"/>
          <w:szCs w:val="24"/>
        </w:rPr>
        <w:t>koriste se podaci o</w:t>
      </w:r>
      <w:r w:rsidRPr="00952D41">
        <w:rPr>
          <w:rFonts w:cs="Times New Roman"/>
          <w:iCs/>
          <w:sz w:val="24"/>
          <w:szCs w:val="24"/>
        </w:rPr>
        <w:t xml:space="preserve">: </w:t>
      </w:r>
      <w:r w:rsidR="00952D41">
        <w:rPr>
          <w:rFonts w:cs="Times New Roman"/>
          <w:iCs/>
          <w:sz w:val="24"/>
          <w:szCs w:val="24"/>
        </w:rPr>
        <w:t xml:space="preserve">duljini trajanja </w:t>
      </w:r>
      <w:r w:rsidRPr="00952D41">
        <w:rPr>
          <w:rFonts w:cs="Times New Roman"/>
          <w:iCs/>
          <w:sz w:val="24"/>
          <w:szCs w:val="24"/>
        </w:rPr>
        <w:t>kašnjenja s plaćanjima, broj</w:t>
      </w:r>
      <w:r w:rsidR="00952D41">
        <w:rPr>
          <w:rFonts w:cs="Times New Roman"/>
          <w:iCs/>
          <w:sz w:val="24"/>
          <w:szCs w:val="24"/>
        </w:rPr>
        <w:t>u</w:t>
      </w:r>
      <w:r w:rsidRPr="00952D41">
        <w:rPr>
          <w:rFonts w:cs="Times New Roman"/>
          <w:iCs/>
          <w:sz w:val="24"/>
          <w:szCs w:val="24"/>
        </w:rPr>
        <w:t xml:space="preserve"> otplaćivanih kredita</w:t>
      </w:r>
      <w:r w:rsidR="00952D41">
        <w:rPr>
          <w:rFonts w:cs="Times New Roman"/>
          <w:iCs/>
          <w:sz w:val="24"/>
          <w:szCs w:val="24"/>
        </w:rPr>
        <w:t>, udjelu</w:t>
      </w:r>
      <w:r w:rsidR="00952D41" w:rsidRPr="00952D41">
        <w:rPr>
          <w:rFonts w:cs="Times New Roman"/>
          <w:iCs/>
          <w:sz w:val="24"/>
          <w:szCs w:val="24"/>
        </w:rPr>
        <w:t xml:space="preserve"> duga u bruto financijskoj imovini te subjektivna procjena nositelja kućanstva </w:t>
      </w:r>
      <w:r w:rsidR="00952D41">
        <w:rPr>
          <w:rFonts w:cs="Times New Roman"/>
          <w:iCs/>
          <w:sz w:val="24"/>
          <w:szCs w:val="24"/>
        </w:rPr>
        <w:t>„</w:t>
      </w:r>
      <w:r w:rsidR="00952D41" w:rsidRPr="00952D41">
        <w:rPr>
          <w:rFonts w:cs="Times New Roman"/>
          <w:iCs/>
          <w:sz w:val="24"/>
          <w:szCs w:val="24"/>
        </w:rPr>
        <w:t>da je otplata duga težak problem za njihov proračun</w:t>
      </w:r>
      <w:r w:rsidR="00952D41">
        <w:rPr>
          <w:rFonts w:cs="Times New Roman"/>
          <w:iCs/>
          <w:sz w:val="24"/>
          <w:szCs w:val="24"/>
        </w:rPr>
        <w:t>“</w:t>
      </w:r>
      <w:r w:rsidRPr="00952D41">
        <w:rPr>
          <w:rFonts w:cs="Times New Roman"/>
          <w:iCs/>
          <w:sz w:val="24"/>
          <w:szCs w:val="24"/>
        </w:rPr>
        <w:t>.</w:t>
      </w:r>
    </w:p>
    <w:p w:rsidR="00E716E6" w:rsidRDefault="00BB1408" w:rsidP="009B2F94">
      <w:pPr>
        <w:tabs>
          <w:tab w:val="left" w:pos="1575"/>
        </w:tabs>
        <w:jc w:val="both"/>
        <w:rPr>
          <w:rFonts w:cs="Times New Roman"/>
          <w:iCs/>
          <w:sz w:val="24"/>
          <w:szCs w:val="24"/>
        </w:rPr>
      </w:pPr>
      <w:r>
        <w:rPr>
          <w:rFonts w:cs="Times New Roman"/>
          <w:iCs/>
          <w:sz w:val="24"/>
          <w:szCs w:val="24"/>
        </w:rPr>
        <w:t xml:space="preserve">U razvijenim ekonomijama u kojima su građanima uglavnom dostupni kreditni i drugi proizvodi financijskih institucija, </w:t>
      </w:r>
      <w:r w:rsidRPr="00E716E6">
        <w:rPr>
          <w:rFonts w:cs="Times New Roman"/>
          <w:iCs/>
          <w:color w:val="C00000"/>
          <w:sz w:val="24"/>
          <w:szCs w:val="24"/>
        </w:rPr>
        <w:t>problemi financijske isključenosti i prezaduženosti višestruko su povezani</w:t>
      </w:r>
      <w:r>
        <w:rPr>
          <w:rFonts w:cs="Times New Roman"/>
          <w:iCs/>
          <w:sz w:val="24"/>
          <w:szCs w:val="24"/>
        </w:rPr>
        <w:t xml:space="preserve">, o čemu govori i sljedeći citat: </w:t>
      </w:r>
      <w:r w:rsidRPr="009A0629">
        <w:rPr>
          <w:rFonts w:cs="Times New Roman"/>
          <w:i/>
          <w:iCs/>
          <w:sz w:val="24"/>
          <w:szCs w:val="24"/>
        </w:rPr>
        <w:t>„Financijski isključene osobe većinom su: prezadužene i/ili s niskim dohotkom, nezaposlene osobe, korisnici pomoći u sustavu socijalne skrbi, osobe s poteškoćama u duševnom i tjelesnom razvoju, beskućnici, te osobe koje imaju lošu financijsku povijest u službama bankarskih i sličnih registara. Očigledna je isključenost prezaduženih osoba iz urednog financijskog i socijalnog života i partnerstva.“</w:t>
      </w:r>
      <w:r w:rsidR="00E716E6">
        <w:rPr>
          <w:rStyle w:val="Referencafusnote"/>
          <w:rFonts w:cs="Times New Roman"/>
          <w:i/>
          <w:iCs/>
          <w:sz w:val="24"/>
          <w:szCs w:val="24"/>
        </w:rPr>
        <w:footnoteReference w:id="76"/>
      </w:r>
      <w:r>
        <w:rPr>
          <w:rFonts w:cs="Times New Roman"/>
          <w:iCs/>
          <w:sz w:val="24"/>
          <w:szCs w:val="24"/>
        </w:rPr>
        <w:t xml:space="preserve"> </w:t>
      </w:r>
    </w:p>
    <w:p w:rsidR="00BB1408" w:rsidRDefault="00BB1408" w:rsidP="00E716E6">
      <w:pPr>
        <w:tabs>
          <w:tab w:val="left" w:pos="1575"/>
        </w:tabs>
        <w:jc w:val="both"/>
        <w:rPr>
          <w:rFonts w:cs="Times New Roman"/>
          <w:iCs/>
          <w:sz w:val="24"/>
          <w:szCs w:val="24"/>
        </w:rPr>
      </w:pPr>
      <w:r>
        <w:rPr>
          <w:rFonts w:cs="Times New Roman"/>
          <w:iCs/>
          <w:sz w:val="24"/>
          <w:szCs w:val="24"/>
        </w:rPr>
        <w:t xml:space="preserve">Naime, situacija prezaduženosti i neurednog otplaćivanja kredita prije ili kasnije dovodi do isključenosti osobe iz reguliranog </w:t>
      </w:r>
      <w:r w:rsidR="001E65FD">
        <w:rPr>
          <w:rFonts w:cs="Times New Roman"/>
          <w:iCs/>
          <w:sz w:val="24"/>
          <w:szCs w:val="24"/>
        </w:rPr>
        <w:t>(</w:t>
      </w:r>
      <w:r>
        <w:rPr>
          <w:rFonts w:cs="Times New Roman"/>
          <w:iCs/>
          <w:sz w:val="24"/>
          <w:szCs w:val="24"/>
        </w:rPr>
        <w:t>i od supervizora nadziranog</w:t>
      </w:r>
      <w:r w:rsidR="001E65FD">
        <w:rPr>
          <w:rFonts w:cs="Times New Roman"/>
          <w:iCs/>
          <w:sz w:val="24"/>
          <w:szCs w:val="24"/>
        </w:rPr>
        <w:t>)</w:t>
      </w:r>
      <w:r>
        <w:rPr>
          <w:rFonts w:cs="Times New Roman"/>
          <w:iCs/>
          <w:sz w:val="24"/>
          <w:szCs w:val="24"/>
        </w:rPr>
        <w:t xml:space="preserve"> </w:t>
      </w:r>
      <w:r w:rsidR="001E65FD">
        <w:rPr>
          <w:rFonts w:cs="Times New Roman"/>
          <w:iCs/>
          <w:sz w:val="24"/>
          <w:szCs w:val="24"/>
        </w:rPr>
        <w:t>„</w:t>
      </w:r>
      <w:r>
        <w:rPr>
          <w:rFonts w:cs="Times New Roman"/>
          <w:iCs/>
          <w:sz w:val="24"/>
          <w:szCs w:val="24"/>
        </w:rPr>
        <w:t xml:space="preserve">svijeta </w:t>
      </w:r>
      <w:r w:rsidR="001E65FD">
        <w:rPr>
          <w:rFonts w:cs="Times New Roman"/>
          <w:iCs/>
          <w:sz w:val="24"/>
          <w:szCs w:val="24"/>
        </w:rPr>
        <w:t>zaduživanja“</w:t>
      </w:r>
      <w:r>
        <w:rPr>
          <w:rFonts w:cs="Times New Roman"/>
          <w:iCs/>
          <w:sz w:val="24"/>
          <w:szCs w:val="24"/>
        </w:rPr>
        <w:t xml:space="preserve">. Osobe s </w:t>
      </w:r>
      <w:r w:rsidRPr="00E716E6">
        <w:rPr>
          <w:rFonts w:cs="Times New Roman"/>
          <w:iCs/>
          <w:color w:val="C00000"/>
          <w:sz w:val="24"/>
          <w:szCs w:val="24"/>
        </w:rPr>
        <w:t>lošom financijskom prošlošću i neurednim servisiranjem ranijih obveza</w:t>
      </w:r>
      <w:r w:rsidR="009A0629">
        <w:rPr>
          <w:rFonts w:cs="Times New Roman"/>
          <w:iCs/>
          <w:sz w:val="24"/>
          <w:szCs w:val="24"/>
        </w:rPr>
        <w:t xml:space="preserve">, a posebno osobe nad kojima su provođene ovrhe zbog kreditnih </w:t>
      </w:r>
      <w:r w:rsidR="000C4D62">
        <w:rPr>
          <w:rFonts w:cs="Times New Roman"/>
          <w:iCs/>
          <w:sz w:val="24"/>
          <w:szCs w:val="24"/>
        </w:rPr>
        <w:t xml:space="preserve">nepodmirenih dospjelih </w:t>
      </w:r>
      <w:r w:rsidR="009A0629">
        <w:rPr>
          <w:rFonts w:cs="Times New Roman"/>
          <w:iCs/>
          <w:sz w:val="24"/>
          <w:szCs w:val="24"/>
        </w:rPr>
        <w:t>dugova</w:t>
      </w:r>
      <w:r w:rsidR="000C4D62">
        <w:rPr>
          <w:rFonts w:cs="Times New Roman"/>
          <w:iCs/>
          <w:sz w:val="24"/>
          <w:szCs w:val="24"/>
        </w:rPr>
        <w:t>nja</w:t>
      </w:r>
      <w:r w:rsidR="009A0629">
        <w:rPr>
          <w:rFonts w:cs="Times New Roman"/>
          <w:iCs/>
          <w:sz w:val="24"/>
          <w:szCs w:val="24"/>
        </w:rPr>
        <w:t xml:space="preserve">, </w:t>
      </w:r>
      <w:r>
        <w:rPr>
          <w:rFonts w:cs="Times New Roman"/>
          <w:iCs/>
          <w:sz w:val="24"/>
          <w:szCs w:val="24"/>
        </w:rPr>
        <w:t xml:space="preserve">teško </w:t>
      </w:r>
      <w:r w:rsidR="009A0629">
        <w:rPr>
          <w:rFonts w:cs="Times New Roman"/>
          <w:iCs/>
          <w:sz w:val="24"/>
          <w:szCs w:val="24"/>
        </w:rPr>
        <w:t xml:space="preserve">u budućnosti dobivaju priliku postati ravnopravno </w:t>
      </w:r>
      <w:r>
        <w:rPr>
          <w:rFonts w:cs="Times New Roman"/>
          <w:iCs/>
          <w:sz w:val="24"/>
          <w:szCs w:val="24"/>
        </w:rPr>
        <w:t xml:space="preserve">financijski uključene </w:t>
      </w:r>
      <w:r w:rsidR="009A0629">
        <w:rPr>
          <w:rFonts w:cs="Times New Roman"/>
          <w:iCs/>
          <w:sz w:val="24"/>
          <w:szCs w:val="24"/>
        </w:rPr>
        <w:t>(</w:t>
      </w:r>
      <w:r>
        <w:rPr>
          <w:rFonts w:cs="Times New Roman"/>
          <w:iCs/>
          <w:sz w:val="24"/>
          <w:szCs w:val="24"/>
        </w:rPr>
        <w:t xml:space="preserve">čak i </w:t>
      </w:r>
      <w:r w:rsidR="009A0629">
        <w:rPr>
          <w:rFonts w:cs="Times New Roman"/>
          <w:iCs/>
          <w:sz w:val="24"/>
          <w:szCs w:val="24"/>
        </w:rPr>
        <w:t xml:space="preserve">onda </w:t>
      </w:r>
      <w:r>
        <w:rPr>
          <w:rFonts w:cs="Times New Roman"/>
          <w:iCs/>
          <w:sz w:val="24"/>
          <w:szCs w:val="24"/>
        </w:rPr>
        <w:t>kada riješe svoje financijske probleme</w:t>
      </w:r>
      <w:r w:rsidR="009A0629">
        <w:rPr>
          <w:rFonts w:cs="Times New Roman"/>
          <w:iCs/>
          <w:sz w:val="24"/>
          <w:szCs w:val="24"/>
        </w:rPr>
        <w:t xml:space="preserve">), jer se pri svakoj novoj ocjeni kreditne sposobnosti gledaju prošla iskustva iste institucije ili drugih institucija u odnosima s istim klijentom, a sva negativna iskustva ostaju zapisana u registrima „crnih lista“, odnosno registrima kreditnih obveza. </w:t>
      </w:r>
      <w:r w:rsidR="009A0629" w:rsidRPr="00E716E6">
        <w:rPr>
          <w:rFonts w:cs="Times New Roman"/>
          <w:iCs/>
          <w:color w:val="C00000"/>
          <w:sz w:val="24"/>
          <w:szCs w:val="24"/>
        </w:rPr>
        <w:t xml:space="preserve">Odgovorno zaduživanje </w:t>
      </w:r>
      <w:r w:rsidR="009A0629">
        <w:rPr>
          <w:rFonts w:cs="Times New Roman"/>
          <w:iCs/>
          <w:sz w:val="24"/>
          <w:szCs w:val="24"/>
        </w:rPr>
        <w:t xml:space="preserve">je stoga prioritet o kojem treba voditi računa svaki pojedinac, a tim više što </w:t>
      </w:r>
      <w:r w:rsidR="00E716E6">
        <w:rPr>
          <w:rFonts w:cs="Times New Roman"/>
          <w:iCs/>
          <w:sz w:val="24"/>
          <w:szCs w:val="24"/>
        </w:rPr>
        <w:t xml:space="preserve">je </w:t>
      </w:r>
      <w:r w:rsidR="009A0629">
        <w:rPr>
          <w:rFonts w:cs="Times New Roman"/>
          <w:iCs/>
          <w:sz w:val="24"/>
          <w:szCs w:val="24"/>
        </w:rPr>
        <w:t xml:space="preserve">regulativa u tržišno orijentiranom gospodarstvu tipično </w:t>
      </w:r>
      <w:r w:rsidR="00E716E6">
        <w:rPr>
          <w:rFonts w:cs="Times New Roman"/>
          <w:iCs/>
          <w:sz w:val="24"/>
          <w:szCs w:val="24"/>
        </w:rPr>
        <w:t xml:space="preserve">orijentirana na zaštitu prava potraživanja vjerovnika, odnosno </w:t>
      </w:r>
      <w:r w:rsidR="009A0629">
        <w:rPr>
          <w:rFonts w:cs="Times New Roman"/>
          <w:iCs/>
          <w:sz w:val="24"/>
          <w:szCs w:val="24"/>
        </w:rPr>
        <w:t>više štiti vjerovnika</w:t>
      </w:r>
      <w:r w:rsidR="00E716E6">
        <w:rPr>
          <w:rFonts w:cs="Times New Roman"/>
          <w:iCs/>
          <w:sz w:val="24"/>
          <w:szCs w:val="24"/>
        </w:rPr>
        <w:t xml:space="preserve">, a manje vodi računa o socijalnim i financijskim problemima </w:t>
      </w:r>
      <w:r w:rsidR="009A0629">
        <w:rPr>
          <w:rFonts w:cs="Times New Roman"/>
          <w:iCs/>
          <w:sz w:val="24"/>
          <w:szCs w:val="24"/>
        </w:rPr>
        <w:t>dužnika</w:t>
      </w:r>
      <w:r w:rsidR="00E716E6">
        <w:rPr>
          <w:rFonts w:cs="Times New Roman"/>
          <w:iCs/>
          <w:sz w:val="24"/>
          <w:szCs w:val="24"/>
        </w:rPr>
        <w:t xml:space="preserve">. S druge strane, kako su </w:t>
      </w:r>
      <w:r w:rsidR="00E716E6" w:rsidRPr="00E716E6">
        <w:rPr>
          <w:rFonts w:cs="Times New Roman"/>
          <w:iCs/>
          <w:color w:val="C00000"/>
          <w:sz w:val="24"/>
          <w:szCs w:val="24"/>
        </w:rPr>
        <w:t>prezadužene osobe vrlo često i socijalno isključene</w:t>
      </w:r>
      <w:r w:rsidR="00E716E6">
        <w:rPr>
          <w:rFonts w:cs="Times New Roman"/>
          <w:iCs/>
          <w:sz w:val="24"/>
          <w:szCs w:val="24"/>
        </w:rPr>
        <w:t>, moralna obveza društva je vratiti prezaduženu osobu ponovno u stanje socijalne i financijske uključenosti</w:t>
      </w:r>
      <w:r w:rsidR="009A0629">
        <w:rPr>
          <w:rFonts w:cs="Times New Roman"/>
          <w:iCs/>
          <w:sz w:val="24"/>
          <w:szCs w:val="24"/>
        </w:rPr>
        <w:t xml:space="preserve">. </w:t>
      </w:r>
      <w:r w:rsidR="000C4D62">
        <w:rPr>
          <w:rFonts w:cs="Times New Roman"/>
          <w:iCs/>
          <w:sz w:val="24"/>
          <w:szCs w:val="24"/>
        </w:rPr>
        <w:t xml:space="preserve">U tu svrhu u brojnim zemljama postoje </w:t>
      </w:r>
      <w:r w:rsidR="000C4D62" w:rsidRPr="000C4D62">
        <w:rPr>
          <w:rFonts w:cs="Times New Roman"/>
          <w:iCs/>
          <w:color w:val="C00000"/>
          <w:sz w:val="24"/>
          <w:szCs w:val="24"/>
        </w:rPr>
        <w:t xml:space="preserve">zakoni o osobnom </w:t>
      </w:r>
      <w:r w:rsidR="000C4D62" w:rsidRPr="000C4D62">
        <w:rPr>
          <w:rFonts w:cs="Times New Roman"/>
          <w:iCs/>
          <w:color w:val="C00000"/>
          <w:sz w:val="24"/>
          <w:szCs w:val="24"/>
        </w:rPr>
        <w:lastRenderedPageBreak/>
        <w:t>stečaju</w:t>
      </w:r>
      <w:r w:rsidR="000C4D62">
        <w:rPr>
          <w:rFonts w:cs="Times New Roman"/>
          <w:iCs/>
          <w:sz w:val="24"/>
          <w:szCs w:val="24"/>
        </w:rPr>
        <w:t xml:space="preserve"> koji imaju za cilj dati priliku dužniku za novi početak, a vjerovnicima dati priliku za naplatu dijela potraživanja. </w:t>
      </w:r>
    </w:p>
    <w:p w:rsidR="00CA160E" w:rsidRPr="00CA160E" w:rsidRDefault="009B2F94" w:rsidP="00CA160E">
      <w:pPr>
        <w:tabs>
          <w:tab w:val="left" w:pos="1575"/>
        </w:tabs>
        <w:jc w:val="both"/>
        <w:rPr>
          <w:iCs/>
        </w:rPr>
      </w:pPr>
      <w:r>
        <w:rPr>
          <w:rFonts w:cs="Times New Roman"/>
          <w:iCs/>
          <w:sz w:val="24"/>
          <w:szCs w:val="24"/>
        </w:rPr>
        <w:t xml:space="preserve">Jedan od najčešćih razloga </w:t>
      </w:r>
      <w:r w:rsidR="009A0629">
        <w:rPr>
          <w:rFonts w:cs="Times New Roman"/>
          <w:iCs/>
          <w:sz w:val="24"/>
          <w:szCs w:val="24"/>
        </w:rPr>
        <w:t xml:space="preserve">kumuliranja prekomjernog duga i dovođenja u stanje </w:t>
      </w:r>
      <w:r>
        <w:rPr>
          <w:rFonts w:cs="Times New Roman"/>
          <w:iCs/>
          <w:sz w:val="24"/>
          <w:szCs w:val="24"/>
        </w:rPr>
        <w:t>prezaduženosti je prekomjerna potrošnja</w:t>
      </w:r>
      <w:r w:rsidR="009A0629">
        <w:rPr>
          <w:rFonts w:cs="Times New Roman"/>
          <w:iCs/>
          <w:sz w:val="24"/>
          <w:szCs w:val="24"/>
        </w:rPr>
        <w:t xml:space="preserve"> u dotadašnjem</w:t>
      </w:r>
      <w:r>
        <w:rPr>
          <w:rFonts w:cs="Times New Roman"/>
          <w:iCs/>
          <w:sz w:val="24"/>
          <w:szCs w:val="24"/>
        </w:rPr>
        <w:t xml:space="preserve"> razdoblju, odnosno kontinuitet stvaranja rashoda i izdataka većih od prihoda</w:t>
      </w:r>
      <w:r w:rsidR="00EF7D1D">
        <w:rPr>
          <w:rFonts w:cs="Times New Roman"/>
          <w:iCs/>
          <w:sz w:val="24"/>
          <w:szCs w:val="24"/>
        </w:rPr>
        <w:t xml:space="preserve">, što nakon određenog vremena dovodi do znatnog </w:t>
      </w:r>
      <w:r w:rsidR="00EF7D1D" w:rsidRPr="00EF7D1D">
        <w:rPr>
          <w:rFonts w:cs="Times New Roman"/>
          <w:iCs/>
          <w:color w:val="C00000"/>
          <w:sz w:val="24"/>
          <w:szCs w:val="24"/>
        </w:rPr>
        <w:t>kašnjenja u plaćanjima brojnih obveza prema različitim subjektima</w:t>
      </w:r>
      <w:r>
        <w:rPr>
          <w:rFonts w:cs="Times New Roman"/>
          <w:iCs/>
          <w:sz w:val="24"/>
          <w:szCs w:val="24"/>
        </w:rPr>
        <w:t>. U nedostatku ranije kumulirane štednje to potiče kućanstva na maksimalno moguće korištenje dopuštenog prekoračenja po tekućem računu i stvaranja troškova po karticama s odgodom plaćanja i kreditnim karticama (posebno u slučaju revolving kreditnih kartica)</w:t>
      </w:r>
      <w:r w:rsidR="000E149D">
        <w:rPr>
          <w:rFonts w:cs="Times New Roman"/>
          <w:iCs/>
          <w:sz w:val="24"/>
          <w:szCs w:val="24"/>
        </w:rPr>
        <w:t>, odnosno korištenje drugih oblika kredita koje nakon određe</w:t>
      </w:r>
      <w:r w:rsidR="00EF7D1D">
        <w:rPr>
          <w:rFonts w:cs="Times New Roman"/>
          <w:iCs/>
          <w:sz w:val="24"/>
          <w:szCs w:val="24"/>
        </w:rPr>
        <w:t>nog vremena ne mogu otplaćivati, uz istodobno kašnjenje u podmirivanju drugih obveza</w:t>
      </w:r>
      <w:r w:rsidR="000E149D">
        <w:rPr>
          <w:rFonts w:cs="Times New Roman"/>
          <w:iCs/>
          <w:sz w:val="24"/>
          <w:szCs w:val="24"/>
        </w:rPr>
        <w:t xml:space="preserve"> </w:t>
      </w:r>
      <w:r w:rsidR="00EF7D1D">
        <w:rPr>
          <w:rFonts w:cs="Times New Roman"/>
          <w:iCs/>
          <w:sz w:val="24"/>
          <w:szCs w:val="24"/>
        </w:rPr>
        <w:t xml:space="preserve">prema drugim ekonomskim subjektima. </w:t>
      </w:r>
      <w:r w:rsidR="000E149D">
        <w:rPr>
          <w:rFonts w:cs="Times New Roman"/>
          <w:iCs/>
          <w:sz w:val="24"/>
          <w:szCs w:val="24"/>
        </w:rPr>
        <w:t xml:space="preserve">Spirala povezanih financijskih problema </w:t>
      </w:r>
      <w:r w:rsidR="009E621D">
        <w:rPr>
          <w:rFonts w:cs="Times New Roman"/>
          <w:iCs/>
          <w:sz w:val="24"/>
          <w:szCs w:val="24"/>
        </w:rPr>
        <w:t xml:space="preserve">stoga </w:t>
      </w:r>
      <w:r w:rsidR="000E149D">
        <w:rPr>
          <w:rFonts w:cs="Times New Roman"/>
          <w:iCs/>
          <w:sz w:val="24"/>
          <w:szCs w:val="24"/>
        </w:rPr>
        <w:t xml:space="preserve">prijeti </w:t>
      </w:r>
      <w:r w:rsidR="000E149D" w:rsidRPr="009E621D">
        <w:rPr>
          <w:rFonts w:cs="Times New Roman"/>
          <w:iCs/>
          <w:color w:val="C00000"/>
          <w:sz w:val="24"/>
          <w:szCs w:val="24"/>
        </w:rPr>
        <w:t xml:space="preserve">rizikom </w:t>
      </w:r>
      <w:r w:rsidR="009E621D">
        <w:rPr>
          <w:rFonts w:cs="Times New Roman"/>
          <w:iCs/>
          <w:color w:val="C00000"/>
          <w:sz w:val="24"/>
          <w:szCs w:val="24"/>
        </w:rPr>
        <w:t xml:space="preserve">prezaduženosti koji se manifestira kao rizik </w:t>
      </w:r>
      <w:r w:rsidR="000E149D" w:rsidRPr="009E621D">
        <w:rPr>
          <w:rFonts w:cs="Times New Roman"/>
          <w:iCs/>
          <w:color w:val="C00000"/>
          <w:sz w:val="24"/>
          <w:szCs w:val="24"/>
        </w:rPr>
        <w:t xml:space="preserve">gubitka financijske slobode </w:t>
      </w:r>
      <w:r w:rsidR="000E149D" w:rsidRPr="00EF7D1D">
        <w:rPr>
          <w:rFonts w:cs="Times New Roman"/>
          <w:iCs/>
          <w:sz w:val="24"/>
          <w:szCs w:val="24"/>
        </w:rPr>
        <w:t>prezadužene osobe</w:t>
      </w:r>
      <w:r w:rsidRPr="00EF7D1D">
        <w:rPr>
          <w:rFonts w:cs="Times New Roman"/>
          <w:iCs/>
          <w:sz w:val="24"/>
          <w:szCs w:val="24"/>
        </w:rPr>
        <w:t xml:space="preserve">. </w:t>
      </w:r>
      <w:r w:rsidR="00CA160E">
        <w:rPr>
          <w:rFonts w:cs="Times New Roman"/>
          <w:iCs/>
          <w:sz w:val="24"/>
          <w:szCs w:val="24"/>
        </w:rPr>
        <w:t xml:space="preserve">(Osoba je financijski slobodna kada </w:t>
      </w:r>
      <w:r w:rsidR="00CA160E" w:rsidRPr="00CA160E">
        <w:rPr>
          <w:rFonts w:cs="Times New Roman"/>
          <w:iCs/>
          <w:sz w:val="24"/>
          <w:szCs w:val="24"/>
        </w:rPr>
        <w:t>zarađujemo dovoljno da iz ostvarenih prihoda može pokriti životne troškove i izdatke za preuzete obveze te formirati određeni fond rezervi štednje za situacije neizvjesnosti.)</w:t>
      </w:r>
    </w:p>
    <w:tbl>
      <w:tblPr>
        <w:tblStyle w:val="Reetkatablice"/>
        <w:tblW w:w="0" w:type="auto"/>
        <w:tblInd w:w="108" w:type="dxa"/>
        <w:tblLook w:val="04A0" w:firstRow="1" w:lastRow="0" w:firstColumn="1" w:lastColumn="0" w:noHBand="0" w:noVBand="1"/>
      </w:tblPr>
      <w:tblGrid>
        <w:gridCol w:w="9180"/>
      </w:tblGrid>
      <w:tr w:rsidR="002A5FF3" w:rsidTr="000C4D62">
        <w:tc>
          <w:tcPr>
            <w:tcW w:w="9180" w:type="dxa"/>
            <w:shd w:val="clear" w:color="auto" w:fill="F2F2F2" w:themeFill="background1" w:themeFillShade="F2"/>
          </w:tcPr>
          <w:p w:rsidR="002A5FF3" w:rsidRDefault="002A5FF3" w:rsidP="00EF7D1D">
            <w:pPr>
              <w:tabs>
                <w:tab w:val="left" w:pos="1575"/>
              </w:tabs>
              <w:spacing w:before="120"/>
              <w:jc w:val="both"/>
              <w:rPr>
                <w:rFonts w:asciiTheme="minorHAnsi" w:eastAsiaTheme="minorHAnsi" w:hAnsiTheme="minorHAnsi"/>
                <w:iCs/>
                <w:sz w:val="24"/>
                <w:szCs w:val="24"/>
                <w:lang w:eastAsia="en-US"/>
              </w:rPr>
            </w:pPr>
            <w:r w:rsidRPr="002A5FF3">
              <w:rPr>
                <w:rFonts w:asciiTheme="minorHAnsi" w:eastAsiaTheme="minorHAnsi" w:hAnsiTheme="minorHAnsi"/>
                <w:iCs/>
                <w:sz w:val="24"/>
                <w:szCs w:val="24"/>
                <w:lang w:eastAsia="en-US"/>
              </w:rPr>
              <w:t xml:space="preserve">Prezadužene osobe vrlo često ne znaju točno </w:t>
            </w:r>
            <w:r w:rsidR="00CA160E">
              <w:rPr>
                <w:rFonts w:asciiTheme="minorHAnsi" w:eastAsiaTheme="minorHAnsi" w:hAnsiTheme="minorHAnsi"/>
                <w:iCs/>
                <w:sz w:val="24"/>
                <w:szCs w:val="24"/>
                <w:lang w:eastAsia="en-US"/>
              </w:rPr>
              <w:t>„</w:t>
            </w:r>
            <w:r w:rsidRPr="002A5FF3">
              <w:rPr>
                <w:rFonts w:asciiTheme="minorHAnsi" w:eastAsiaTheme="minorHAnsi" w:hAnsiTheme="minorHAnsi"/>
                <w:iCs/>
                <w:sz w:val="24"/>
                <w:szCs w:val="24"/>
                <w:lang w:eastAsia="en-US"/>
              </w:rPr>
              <w:t>koliko su i kome sve dužne</w:t>
            </w:r>
            <w:r w:rsidR="00CA160E">
              <w:rPr>
                <w:rFonts w:asciiTheme="minorHAnsi" w:eastAsiaTheme="minorHAnsi" w:hAnsiTheme="minorHAnsi"/>
                <w:iCs/>
                <w:sz w:val="24"/>
                <w:szCs w:val="24"/>
                <w:lang w:eastAsia="en-US"/>
              </w:rPr>
              <w:t>“</w:t>
            </w:r>
            <w:r w:rsidRPr="002A5FF3">
              <w:rPr>
                <w:rFonts w:asciiTheme="minorHAnsi" w:eastAsiaTheme="minorHAnsi" w:hAnsiTheme="minorHAnsi"/>
                <w:iCs/>
                <w:sz w:val="24"/>
                <w:szCs w:val="24"/>
                <w:lang w:eastAsia="en-US"/>
              </w:rPr>
              <w:t>, a posebice ako koriste velik broj kreditnih proizvoda i pozajmljuju sredstva od prijatelja</w:t>
            </w:r>
            <w:r w:rsidR="00CA160E">
              <w:rPr>
                <w:rFonts w:asciiTheme="minorHAnsi" w:eastAsiaTheme="minorHAnsi" w:hAnsiTheme="minorHAnsi"/>
                <w:iCs/>
                <w:sz w:val="24"/>
                <w:szCs w:val="24"/>
                <w:lang w:eastAsia="en-US"/>
              </w:rPr>
              <w:t xml:space="preserve"> i</w:t>
            </w:r>
            <w:r w:rsidRPr="002A5FF3">
              <w:rPr>
                <w:rFonts w:asciiTheme="minorHAnsi" w:eastAsiaTheme="minorHAnsi" w:hAnsiTheme="minorHAnsi"/>
                <w:iCs/>
                <w:sz w:val="24"/>
                <w:szCs w:val="24"/>
                <w:lang w:eastAsia="en-US"/>
              </w:rPr>
              <w:t xml:space="preserve"> rodbine</w:t>
            </w:r>
            <w:r w:rsidR="00EF7D1D">
              <w:rPr>
                <w:rFonts w:asciiTheme="minorHAnsi" w:eastAsiaTheme="minorHAnsi" w:hAnsiTheme="minorHAnsi"/>
                <w:iCs/>
                <w:sz w:val="24"/>
                <w:szCs w:val="24"/>
                <w:lang w:eastAsia="en-US"/>
              </w:rPr>
              <w:t>, dok istodobno kumuliraju brojne neplaćene račune i obveze prema drugim vjerovnicima, npr. teleoperaterima, državi, državnoj televiziji, distributeru električne energije, distributerima plina, školama za prehranu djece i drugo.</w:t>
            </w:r>
            <w:r w:rsidRPr="002A5FF3">
              <w:rPr>
                <w:rFonts w:asciiTheme="minorHAnsi" w:eastAsiaTheme="minorHAnsi" w:hAnsiTheme="minorHAnsi"/>
                <w:iCs/>
                <w:sz w:val="24"/>
                <w:szCs w:val="24"/>
                <w:lang w:eastAsia="en-US"/>
              </w:rPr>
              <w:t xml:space="preserve"> </w:t>
            </w:r>
            <w:r w:rsidRPr="002A5FF3">
              <w:rPr>
                <w:rFonts w:asciiTheme="minorHAnsi" w:eastAsiaTheme="minorHAnsi" w:hAnsiTheme="minorHAnsi"/>
                <w:iCs/>
                <w:color w:val="C00000"/>
                <w:sz w:val="24"/>
                <w:szCs w:val="24"/>
                <w:lang w:eastAsia="en-US"/>
              </w:rPr>
              <w:t xml:space="preserve">Evidencija </w:t>
            </w:r>
            <w:r w:rsidRPr="00953290">
              <w:rPr>
                <w:rFonts w:asciiTheme="minorHAnsi" w:eastAsiaTheme="minorHAnsi" w:hAnsiTheme="minorHAnsi"/>
                <w:iCs/>
                <w:sz w:val="24"/>
                <w:szCs w:val="24"/>
                <w:lang w:eastAsia="en-US"/>
              </w:rPr>
              <w:t xml:space="preserve">i točno utvrđivanje svih </w:t>
            </w:r>
            <w:r w:rsidRPr="002A5FF3">
              <w:rPr>
                <w:rFonts w:asciiTheme="minorHAnsi" w:eastAsiaTheme="minorHAnsi" w:hAnsiTheme="minorHAnsi"/>
                <w:iCs/>
                <w:color w:val="C00000"/>
                <w:sz w:val="24"/>
                <w:szCs w:val="24"/>
                <w:lang w:eastAsia="en-US"/>
              </w:rPr>
              <w:t xml:space="preserve">dugovanja i s njima vezanih kamata </w:t>
            </w:r>
            <w:r w:rsidRPr="002A5FF3">
              <w:rPr>
                <w:rFonts w:asciiTheme="minorHAnsi" w:eastAsiaTheme="minorHAnsi" w:hAnsiTheme="minorHAnsi"/>
                <w:iCs/>
                <w:sz w:val="24"/>
                <w:szCs w:val="24"/>
                <w:lang w:eastAsia="en-US"/>
              </w:rPr>
              <w:t xml:space="preserve">stoga je važan korak ka utvrđivanju i rješavanju problema prezaduženosti, odnosno sprječavanju daljnjeg zaduženja. </w:t>
            </w:r>
          </w:p>
          <w:p w:rsidR="002A5FF3" w:rsidRPr="002A5FF3" w:rsidRDefault="002A5FF3" w:rsidP="00EF7D1D">
            <w:pPr>
              <w:tabs>
                <w:tab w:val="left" w:pos="1575"/>
              </w:tabs>
              <w:spacing w:before="120"/>
              <w:jc w:val="both"/>
              <w:rPr>
                <w:rFonts w:asciiTheme="minorHAnsi" w:eastAsiaTheme="minorHAnsi" w:hAnsiTheme="minorHAnsi"/>
                <w:iCs/>
                <w:sz w:val="24"/>
                <w:szCs w:val="24"/>
                <w:lang w:eastAsia="en-US"/>
              </w:rPr>
            </w:pPr>
            <w:r w:rsidRPr="002A5FF3">
              <w:rPr>
                <w:rFonts w:asciiTheme="minorHAnsi" w:eastAsiaTheme="minorHAnsi" w:hAnsiTheme="minorHAnsi"/>
                <w:iCs/>
                <w:sz w:val="24"/>
                <w:szCs w:val="24"/>
                <w:lang w:eastAsia="en-US"/>
              </w:rPr>
              <w:t xml:space="preserve">Daljnji važan korak je </w:t>
            </w:r>
            <w:r w:rsidRPr="002A5FF3">
              <w:rPr>
                <w:rFonts w:asciiTheme="minorHAnsi" w:eastAsiaTheme="minorHAnsi" w:hAnsiTheme="minorHAnsi"/>
                <w:iCs/>
                <w:color w:val="C00000"/>
                <w:sz w:val="24"/>
                <w:szCs w:val="24"/>
                <w:lang w:eastAsia="en-US"/>
              </w:rPr>
              <w:t>usmjeravanje na što priju otplatu (vraćanje) onih dugovanja koj</w:t>
            </w:r>
            <w:r w:rsidR="00953290">
              <w:rPr>
                <w:rFonts w:asciiTheme="minorHAnsi" w:eastAsiaTheme="minorHAnsi" w:hAnsiTheme="minorHAnsi"/>
                <w:iCs/>
                <w:color w:val="C00000"/>
                <w:sz w:val="24"/>
                <w:szCs w:val="24"/>
                <w:lang w:eastAsia="en-US"/>
              </w:rPr>
              <w:t>a</w:t>
            </w:r>
            <w:r w:rsidRPr="002A5FF3">
              <w:rPr>
                <w:rFonts w:asciiTheme="minorHAnsi" w:eastAsiaTheme="minorHAnsi" w:hAnsiTheme="minorHAnsi"/>
                <w:iCs/>
                <w:color w:val="C00000"/>
                <w:sz w:val="24"/>
                <w:szCs w:val="24"/>
                <w:lang w:eastAsia="en-US"/>
              </w:rPr>
              <w:t xml:space="preserve"> se vežu uz visoke kamatne stope</w:t>
            </w:r>
            <w:r w:rsidRPr="002A5FF3">
              <w:rPr>
                <w:rFonts w:asciiTheme="minorHAnsi" w:eastAsiaTheme="minorHAnsi" w:hAnsiTheme="minorHAnsi"/>
                <w:iCs/>
                <w:sz w:val="24"/>
                <w:szCs w:val="24"/>
                <w:lang w:eastAsia="en-US"/>
              </w:rPr>
              <w:t xml:space="preserve">, a potom i druga dugovanja uz koju se vežu niže kamatne stope. Međutim, </w:t>
            </w:r>
            <w:r w:rsidR="00953290">
              <w:rPr>
                <w:rFonts w:asciiTheme="minorHAnsi" w:eastAsiaTheme="minorHAnsi" w:hAnsiTheme="minorHAnsi"/>
                <w:iCs/>
                <w:sz w:val="24"/>
                <w:szCs w:val="24"/>
                <w:lang w:eastAsia="en-US"/>
              </w:rPr>
              <w:t xml:space="preserve">sve </w:t>
            </w:r>
            <w:r w:rsidRPr="002A5FF3">
              <w:rPr>
                <w:rFonts w:asciiTheme="minorHAnsi" w:eastAsiaTheme="minorHAnsi" w:hAnsiTheme="minorHAnsi"/>
                <w:iCs/>
                <w:sz w:val="24"/>
                <w:szCs w:val="24"/>
                <w:lang w:eastAsia="en-US"/>
              </w:rPr>
              <w:t xml:space="preserve">to najčešće nije dovoljno pa kao rješenje ostaju temeljna pravila za </w:t>
            </w:r>
            <w:r w:rsidRPr="00953290">
              <w:rPr>
                <w:rFonts w:asciiTheme="minorHAnsi" w:eastAsiaTheme="minorHAnsi" w:hAnsiTheme="minorHAnsi"/>
                <w:iCs/>
                <w:sz w:val="24"/>
                <w:szCs w:val="24"/>
                <w:lang w:eastAsia="en-US"/>
              </w:rPr>
              <w:t>unapređenje osobne financijske situacije</w:t>
            </w:r>
            <w:r w:rsidRPr="002A5FF3">
              <w:rPr>
                <w:rFonts w:asciiTheme="minorHAnsi" w:eastAsiaTheme="minorHAnsi" w:hAnsiTheme="minorHAnsi"/>
                <w:iCs/>
                <w:sz w:val="24"/>
                <w:szCs w:val="24"/>
                <w:lang w:eastAsia="en-US"/>
              </w:rPr>
              <w:t xml:space="preserve">: </w:t>
            </w:r>
          </w:p>
          <w:p w:rsidR="002A5FF3" w:rsidRPr="002A5FF3" w:rsidRDefault="002A5FF3" w:rsidP="006F1C04">
            <w:pPr>
              <w:pStyle w:val="Odlomakpopisa"/>
              <w:numPr>
                <w:ilvl w:val="0"/>
                <w:numId w:val="66"/>
              </w:numPr>
              <w:tabs>
                <w:tab w:val="left" w:pos="1575"/>
              </w:tabs>
              <w:jc w:val="both"/>
              <w:rPr>
                <w:rFonts w:asciiTheme="minorHAnsi" w:eastAsiaTheme="minorHAnsi" w:hAnsiTheme="minorHAnsi"/>
                <w:iCs/>
                <w:sz w:val="24"/>
                <w:szCs w:val="24"/>
                <w:lang w:eastAsia="en-US"/>
              </w:rPr>
            </w:pPr>
            <w:r w:rsidRPr="00953290">
              <w:rPr>
                <w:rFonts w:asciiTheme="minorHAnsi" w:eastAsiaTheme="minorHAnsi" w:hAnsiTheme="minorHAnsi"/>
                <w:iCs/>
                <w:color w:val="C00000"/>
                <w:sz w:val="24"/>
                <w:szCs w:val="24"/>
                <w:lang w:eastAsia="en-US"/>
              </w:rPr>
              <w:t xml:space="preserve">povećanje prihoda </w:t>
            </w:r>
            <w:r w:rsidRPr="002A5FF3">
              <w:rPr>
                <w:rFonts w:asciiTheme="minorHAnsi" w:eastAsiaTheme="minorHAnsi" w:hAnsiTheme="minorHAnsi"/>
                <w:iCs/>
                <w:sz w:val="24"/>
                <w:szCs w:val="24"/>
                <w:lang w:eastAsia="en-US"/>
              </w:rPr>
              <w:t>(pronalazak drugog, dodatnog ili privremenog izvora posla i dodatnih prihoda</w:t>
            </w:r>
            <w:r w:rsidR="00953290">
              <w:rPr>
                <w:rFonts w:asciiTheme="minorHAnsi" w:eastAsiaTheme="minorHAnsi" w:hAnsiTheme="minorHAnsi"/>
                <w:iCs/>
                <w:sz w:val="24"/>
                <w:szCs w:val="24"/>
                <w:lang w:eastAsia="en-US"/>
              </w:rPr>
              <w:t xml:space="preserve"> – različiti honorarni poslovi</w:t>
            </w:r>
            <w:r w:rsidRPr="002A5FF3">
              <w:rPr>
                <w:rFonts w:asciiTheme="minorHAnsi" w:eastAsiaTheme="minorHAnsi" w:hAnsiTheme="minorHAnsi"/>
                <w:iCs/>
                <w:sz w:val="24"/>
                <w:szCs w:val="24"/>
                <w:lang w:eastAsia="en-US"/>
              </w:rPr>
              <w:t xml:space="preserve">), </w:t>
            </w:r>
          </w:p>
          <w:p w:rsidR="002A5FF3" w:rsidRPr="002A5FF3" w:rsidRDefault="002A5FF3" w:rsidP="006F1C04">
            <w:pPr>
              <w:pStyle w:val="Odlomakpopisa"/>
              <w:numPr>
                <w:ilvl w:val="0"/>
                <w:numId w:val="66"/>
              </w:numPr>
              <w:tabs>
                <w:tab w:val="left" w:pos="1575"/>
              </w:tabs>
              <w:jc w:val="both"/>
              <w:rPr>
                <w:rFonts w:asciiTheme="minorHAnsi" w:eastAsiaTheme="minorHAnsi" w:hAnsiTheme="minorHAnsi"/>
                <w:iCs/>
                <w:sz w:val="24"/>
                <w:szCs w:val="24"/>
                <w:lang w:eastAsia="en-US"/>
              </w:rPr>
            </w:pPr>
            <w:r w:rsidRPr="00953290">
              <w:rPr>
                <w:rFonts w:asciiTheme="minorHAnsi" w:eastAsiaTheme="minorHAnsi" w:hAnsiTheme="minorHAnsi"/>
                <w:iCs/>
                <w:color w:val="C00000"/>
                <w:sz w:val="24"/>
                <w:szCs w:val="24"/>
                <w:lang w:eastAsia="en-US"/>
              </w:rPr>
              <w:t>smanjenje rashoda</w:t>
            </w:r>
            <w:r w:rsidRPr="002A5FF3">
              <w:rPr>
                <w:rFonts w:asciiTheme="minorHAnsi" w:eastAsiaTheme="minorHAnsi" w:hAnsiTheme="minorHAnsi"/>
                <w:iCs/>
                <w:sz w:val="24"/>
                <w:szCs w:val="24"/>
                <w:lang w:eastAsia="en-US"/>
              </w:rPr>
              <w:t xml:space="preserve">, odnosno smanjenje svih troškova koji se mogu izbjeći ili znatno smanjiti (npr. iznajmljivanje stana na lokaciji koja ima niže troškove), ali ne na štetu kašnjenja u otplati </w:t>
            </w:r>
            <w:r w:rsidR="00CA160E">
              <w:rPr>
                <w:rFonts w:asciiTheme="minorHAnsi" w:eastAsiaTheme="minorHAnsi" w:hAnsiTheme="minorHAnsi"/>
                <w:iCs/>
                <w:sz w:val="24"/>
                <w:szCs w:val="24"/>
                <w:lang w:eastAsia="en-US"/>
              </w:rPr>
              <w:t xml:space="preserve">dospjelih </w:t>
            </w:r>
            <w:r w:rsidRPr="002A5FF3">
              <w:rPr>
                <w:rFonts w:asciiTheme="minorHAnsi" w:eastAsiaTheme="minorHAnsi" w:hAnsiTheme="minorHAnsi"/>
                <w:iCs/>
                <w:sz w:val="24"/>
                <w:szCs w:val="24"/>
                <w:lang w:eastAsia="en-US"/>
              </w:rPr>
              <w:t>dug</w:t>
            </w:r>
            <w:r w:rsidR="00CA160E">
              <w:rPr>
                <w:rFonts w:asciiTheme="minorHAnsi" w:eastAsiaTheme="minorHAnsi" w:hAnsiTheme="minorHAnsi"/>
                <w:iCs/>
                <w:sz w:val="24"/>
                <w:szCs w:val="24"/>
                <w:lang w:eastAsia="en-US"/>
              </w:rPr>
              <w:t>ovanja</w:t>
            </w:r>
            <w:r w:rsidRPr="002A5FF3">
              <w:rPr>
                <w:rFonts w:asciiTheme="minorHAnsi" w:eastAsiaTheme="minorHAnsi" w:hAnsiTheme="minorHAnsi"/>
                <w:iCs/>
                <w:sz w:val="24"/>
                <w:szCs w:val="24"/>
                <w:lang w:eastAsia="en-US"/>
              </w:rPr>
              <w:t xml:space="preserve"> jer to donosi dodatne troškove redovnih kamata</w:t>
            </w:r>
            <w:r w:rsidR="00407F2D">
              <w:rPr>
                <w:rFonts w:asciiTheme="minorHAnsi" w:eastAsiaTheme="minorHAnsi" w:hAnsiTheme="minorHAnsi"/>
                <w:iCs/>
                <w:sz w:val="24"/>
                <w:szCs w:val="24"/>
                <w:lang w:eastAsia="en-US"/>
              </w:rPr>
              <w:t>,</w:t>
            </w:r>
            <w:r w:rsidRPr="002A5FF3">
              <w:rPr>
                <w:rFonts w:asciiTheme="minorHAnsi" w:eastAsiaTheme="minorHAnsi" w:hAnsiTheme="minorHAnsi"/>
                <w:iCs/>
                <w:sz w:val="24"/>
                <w:szCs w:val="24"/>
                <w:lang w:eastAsia="en-US"/>
              </w:rPr>
              <w:t xml:space="preserve"> rizik zateznih kamata</w:t>
            </w:r>
            <w:r w:rsidR="00407F2D">
              <w:rPr>
                <w:rFonts w:asciiTheme="minorHAnsi" w:eastAsiaTheme="minorHAnsi" w:hAnsiTheme="minorHAnsi"/>
                <w:iCs/>
                <w:sz w:val="24"/>
                <w:szCs w:val="24"/>
                <w:lang w:eastAsia="en-US"/>
              </w:rPr>
              <w:t>, kao i rizik da sveukupni npr. kreditni dug dužnika prema pojedinom vjerovniku dospije na naplatu</w:t>
            </w:r>
          </w:p>
          <w:p w:rsidR="002A5FF3" w:rsidRDefault="002A5FF3" w:rsidP="006F1C04">
            <w:pPr>
              <w:pStyle w:val="Odlomakpopisa"/>
              <w:numPr>
                <w:ilvl w:val="0"/>
                <w:numId w:val="66"/>
              </w:numPr>
              <w:tabs>
                <w:tab w:val="left" w:pos="1575"/>
              </w:tabs>
              <w:jc w:val="both"/>
              <w:rPr>
                <w:rFonts w:asciiTheme="minorHAnsi" w:eastAsiaTheme="minorHAnsi" w:hAnsiTheme="minorHAnsi"/>
                <w:iCs/>
                <w:sz w:val="24"/>
                <w:szCs w:val="24"/>
                <w:lang w:eastAsia="en-US"/>
              </w:rPr>
            </w:pPr>
            <w:r w:rsidRPr="00953290">
              <w:rPr>
                <w:rFonts w:asciiTheme="minorHAnsi" w:eastAsiaTheme="minorHAnsi" w:hAnsiTheme="minorHAnsi"/>
                <w:iCs/>
                <w:color w:val="C00000"/>
                <w:sz w:val="24"/>
                <w:szCs w:val="24"/>
                <w:lang w:eastAsia="en-US"/>
              </w:rPr>
              <w:t xml:space="preserve">restrukturiranje imovine </w:t>
            </w:r>
            <w:r w:rsidRPr="002A5FF3">
              <w:rPr>
                <w:rFonts w:asciiTheme="minorHAnsi" w:eastAsiaTheme="minorHAnsi" w:hAnsiTheme="minorHAnsi"/>
                <w:iCs/>
                <w:sz w:val="24"/>
                <w:szCs w:val="24"/>
                <w:lang w:eastAsia="en-US"/>
              </w:rPr>
              <w:t xml:space="preserve">(prodaja većeg stana i kupnja manjeg) odnosno prodaja dijela imovine - posebice imovine koja se ne koristi a stvara dodatne troškove. </w:t>
            </w:r>
          </w:p>
          <w:p w:rsidR="00787001" w:rsidRPr="00787001" w:rsidRDefault="00787001" w:rsidP="00EF7D1D">
            <w:pPr>
              <w:tabs>
                <w:tab w:val="left" w:pos="1575"/>
              </w:tabs>
              <w:spacing w:before="120"/>
              <w:jc w:val="both"/>
              <w:rPr>
                <w:rFonts w:asciiTheme="minorHAnsi" w:eastAsiaTheme="minorHAnsi" w:hAnsiTheme="minorHAnsi"/>
                <w:iCs/>
                <w:sz w:val="24"/>
                <w:szCs w:val="24"/>
                <w:lang w:eastAsia="en-US"/>
              </w:rPr>
            </w:pPr>
            <w:r w:rsidRPr="00787001">
              <w:rPr>
                <w:rFonts w:asciiTheme="minorHAnsi" w:eastAsiaTheme="minorHAnsi" w:hAnsiTheme="minorHAnsi"/>
                <w:iCs/>
                <w:sz w:val="24"/>
                <w:szCs w:val="24"/>
                <w:lang w:eastAsia="en-US"/>
              </w:rPr>
              <w:t>U slučaju socijalno ugroženih osoba eventualno je moguće ostvariti prava za otpis dijela duga</w:t>
            </w:r>
            <w:r w:rsidR="00EF7D1D">
              <w:rPr>
                <w:rFonts w:asciiTheme="minorHAnsi" w:eastAsiaTheme="minorHAnsi" w:hAnsiTheme="minorHAnsi"/>
                <w:iCs/>
                <w:sz w:val="24"/>
                <w:szCs w:val="24"/>
                <w:lang w:eastAsia="en-US"/>
              </w:rPr>
              <w:t xml:space="preserve"> prema pojedinim vjerovnicima</w:t>
            </w:r>
            <w:r w:rsidRPr="00787001">
              <w:rPr>
                <w:rFonts w:asciiTheme="minorHAnsi" w:eastAsiaTheme="minorHAnsi" w:hAnsiTheme="minorHAnsi"/>
                <w:iCs/>
                <w:sz w:val="24"/>
                <w:szCs w:val="24"/>
                <w:lang w:eastAsia="en-US"/>
              </w:rPr>
              <w:t xml:space="preserve">, ukoliko to predviđa zakonska regulativa. Međutim pretjerano oslanjanje na ovu mogućnost nije poželjno jer za brojne dužnike to </w:t>
            </w:r>
            <w:r w:rsidR="00EF7D1D">
              <w:rPr>
                <w:rFonts w:asciiTheme="minorHAnsi" w:eastAsiaTheme="minorHAnsi" w:hAnsiTheme="minorHAnsi"/>
                <w:iCs/>
                <w:sz w:val="24"/>
                <w:szCs w:val="24"/>
                <w:lang w:eastAsia="en-US"/>
              </w:rPr>
              <w:t>često nije dostupno</w:t>
            </w:r>
            <w:r w:rsidRPr="00787001">
              <w:rPr>
                <w:rFonts w:asciiTheme="minorHAnsi" w:eastAsiaTheme="minorHAnsi" w:hAnsiTheme="minorHAnsi"/>
                <w:iCs/>
                <w:sz w:val="24"/>
                <w:szCs w:val="24"/>
                <w:lang w:eastAsia="en-US"/>
              </w:rPr>
              <w:t xml:space="preserve">. </w:t>
            </w:r>
          </w:p>
          <w:p w:rsidR="002A5FF3" w:rsidRDefault="002A5FF3" w:rsidP="002A5FF3">
            <w:pPr>
              <w:tabs>
                <w:tab w:val="left" w:pos="1575"/>
              </w:tabs>
              <w:jc w:val="both"/>
              <w:rPr>
                <w:iCs/>
                <w:sz w:val="24"/>
                <w:szCs w:val="24"/>
              </w:rPr>
            </w:pPr>
          </w:p>
        </w:tc>
      </w:tr>
    </w:tbl>
    <w:p w:rsidR="009B2F94" w:rsidRDefault="009B2F94" w:rsidP="002A5FF3">
      <w:pPr>
        <w:tabs>
          <w:tab w:val="left" w:pos="1575"/>
        </w:tabs>
        <w:spacing w:before="240"/>
        <w:jc w:val="both"/>
        <w:rPr>
          <w:rFonts w:cs="Times New Roman"/>
          <w:iCs/>
          <w:sz w:val="24"/>
          <w:szCs w:val="24"/>
        </w:rPr>
      </w:pPr>
      <w:r>
        <w:rPr>
          <w:rFonts w:cs="Times New Roman"/>
          <w:iCs/>
          <w:sz w:val="24"/>
          <w:szCs w:val="24"/>
        </w:rPr>
        <w:lastRenderedPageBreak/>
        <w:t>Iako povremeno korištenje dopuštenog prekoračenja npr. pet dana u mjesecu nema značajne efekte na kamatne troškove, situacija je posve drugačija u okolnostima kada osoba kontinuirano cijeli mjesec, nekoliko mjeseci pa i cijelu godinu provede u minusu i kada visoke kamatne stope (oko 1</w:t>
      </w:r>
      <w:r w:rsidR="000E149D">
        <w:rPr>
          <w:rFonts w:cs="Times New Roman"/>
          <w:iCs/>
          <w:sz w:val="24"/>
          <w:szCs w:val="24"/>
        </w:rPr>
        <w:t>0</w:t>
      </w:r>
      <w:r>
        <w:rPr>
          <w:rFonts w:cs="Times New Roman"/>
          <w:iCs/>
          <w:sz w:val="24"/>
          <w:szCs w:val="24"/>
        </w:rPr>
        <w:t>% godišnje</w:t>
      </w:r>
      <w:r w:rsidR="000E149D">
        <w:rPr>
          <w:rFonts w:cs="Times New Roman"/>
          <w:iCs/>
          <w:sz w:val="24"/>
          <w:szCs w:val="24"/>
        </w:rPr>
        <w:t>, a ranije i veće</w:t>
      </w:r>
      <w:r>
        <w:rPr>
          <w:rFonts w:cs="Times New Roman"/>
          <w:iCs/>
          <w:sz w:val="24"/>
          <w:szCs w:val="24"/>
        </w:rPr>
        <w:t xml:space="preserve">) obračunate kroz dugo vremensko razdoblje </w:t>
      </w:r>
      <w:r w:rsidR="000E149D">
        <w:rPr>
          <w:rFonts w:cs="Times New Roman"/>
          <w:iCs/>
          <w:sz w:val="24"/>
          <w:szCs w:val="24"/>
        </w:rPr>
        <w:t xml:space="preserve">na visoke iznose </w:t>
      </w:r>
      <w:r>
        <w:rPr>
          <w:rFonts w:cs="Times New Roman"/>
          <w:iCs/>
          <w:sz w:val="24"/>
          <w:szCs w:val="24"/>
        </w:rPr>
        <w:t xml:space="preserve">duga postanu značajan rashod kućanstva. </w:t>
      </w:r>
    </w:p>
    <w:p w:rsidR="00740CC5" w:rsidRDefault="009B2F94" w:rsidP="009B2F94">
      <w:pPr>
        <w:tabs>
          <w:tab w:val="left" w:pos="1575"/>
        </w:tabs>
        <w:jc w:val="both"/>
        <w:rPr>
          <w:rFonts w:cs="Times New Roman"/>
          <w:iCs/>
          <w:sz w:val="24"/>
          <w:szCs w:val="24"/>
        </w:rPr>
      </w:pPr>
      <w:r>
        <w:rPr>
          <w:rFonts w:cs="Times New Roman"/>
          <w:iCs/>
          <w:sz w:val="24"/>
          <w:szCs w:val="24"/>
        </w:rPr>
        <w:t xml:space="preserve">Razlog pretjeranom oslanjanju na „dozvoljeni minus po tekućem računu“ može biti gubitak posla i nemogućnosti pronalaska novog kroz duže vrijeme, premali prihodi </w:t>
      </w:r>
      <w:r w:rsidR="00EF7D1D">
        <w:rPr>
          <w:rFonts w:cs="Times New Roman"/>
          <w:iCs/>
          <w:sz w:val="24"/>
          <w:szCs w:val="24"/>
        </w:rPr>
        <w:t>u odnosu na rashode i izdatke te</w:t>
      </w:r>
      <w:r>
        <w:rPr>
          <w:rFonts w:cs="Times New Roman"/>
          <w:iCs/>
          <w:sz w:val="24"/>
          <w:szCs w:val="24"/>
        </w:rPr>
        <w:t xml:space="preserve"> </w:t>
      </w:r>
      <w:r w:rsidRPr="00385877">
        <w:rPr>
          <w:rFonts w:cs="Times New Roman"/>
          <w:iCs/>
          <w:color w:val="C00000"/>
          <w:sz w:val="24"/>
          <w:szCs w:val="24"/>
        </w:rPr>
        <w:t>„lažna nada“ da će se uskoro situacija promijeniti na bolje</w:t>
      </w:r>
      <w:r>
        <w:rPr>
          <w:rFonts w:cs="Times New Roman"/>
          <w:iCs/>
          <w:sz w:val="24"/>
          <w:szCs w:val="24"/>
        </w:rPr>
        <w:t>, a svako kućanstvo i u najskromnijim uvjetima života ima potrebu za nabavkom osnovnih dobara tekuće potrošnje. Međutim, ako određeno vrijeme tekući račun ne bilježi priljev redovitih primanja, banka će onemogućiti korištenje dopuštenog prekoračenja</w:t>
      </w:r>
      <w:r w:rsidR="00740CC5">
        <w:rPr>
          <w:rFonts w:cs="Times New Roman"/>
          <w:iCs/>
          <w:sz w:val="24"/>
          <w:szCs w:val="24"/>
        </w:rPr>
        <w:t xml:space="preserve">. U takvim slučajevima vrlo često se događa da </w:t>
      </w:r>
      <w:r>
        <w:rPr>
          <w:rFonts w:cs="Times New Roman"/>
          <w:iCs/>
          <w:sz w:val="24"/>
          <w:szCs w:val="24"/>
        </w:rPr>
        <w:t>kumuliran dug postaje dospjela nenaplaćena obveza koja se ne može podmiriti.</w:t>
      </w:r>
    </w:p>
    <w:p w:rsidR="00787001" w:rsidRDefault="009B2F94" w:rsidP="009B2F94">
      <w:pPr>
        <w:tabs>
          <w:tab w:val="left" w:pos="1575"/>
        </w:tabs>
        <w:jc w:val="both"/>
        <w:rPr>
          <w:rFonts w:cs="Times New Roman"/>
          <w:iCs/>
          <w:sz w:val="24"/>
          <w:szCs w:val="24"/>
        </w:rPr>
      </w:pPr>
      <w:r>
        <w:rPr>
          <w:rFonts w:cs="Times New Roman"/>
          <w:iCs/>
          <w:sz w:val="24"/>
          <w:szCs w:val="24"/>
        </w:rPr>
        <w:t>Kako bi se takve nepoželjne situacije izbjegle važno je formirati štednju u razdoblju kada osoba ima prihode</w:t>
      </w:r>
      <w:r w:rsidR="00EF7D1D">
        <w:rPr>
          <w:rFonts w:cs="Times New Roman"/>
          <w:iCs/>
          <w:sz w:val="24"/>
          <w:szCs w:val="24"/>
        </w:rPr>
        <w:t xml:space="preserve"> ili ostvaruje veće prihode od prosječnih (tj. treba se ponašati protuciklično)</w:t>
      </w:r>
      <w:r>
        <w:rPr>
          <w:rFonts w:cs="Times New Roman"/>
          <w:iCs/>
          <w:sz w:val="24"/>
          <w:szCs w:val="24"/>
        </w:rPr>
        <w:t xml:space="preserve">, a posebno je važan </w:t>
      </w:r>
      <w:r w:rsidRPr="007E6A47">
        <w:rPr>
          <w:rFonts w:cs="Times New Roman"/>
          <w:iCs/>
          <w:color w:val="C00000"/>
          <w:sz w:val="24"/>
          <w:szCs w:val="24"/>
        </w:rPr>
        <w:t xml:space="preserve">fond štednje za crne dane </w:t>
      </w:r>
      <w:r>
        <w:rPr>
          <w:rFonts w:cs="Times New Roman"/>
          <w:iCs/>
          <w:sz w:val="24"/>
          <w:szCs w:val="24"/>
        </w:rPr>
        <w:t xml:space="preserve">koji bi trebao biti dostatan da može pokriti izdatke kućanstva u razdoblju izostanka prihoda i traženja novog posla. U normalnim makroekonomskim okolnostima </w:t>
      </w:r>
      <w:r w:rsidR="009E621D">
        <w:rPr>
          <w:rFonts w:cs="Times New Roman"/>
          <w:iCs/>
          <w:sz w:val="24"/>
          <w:szCs w:val="24"/>
        </w:rPr>
        <w:t xml:space="preserve">to </w:t>
      </w:r>
      <w:r>
        <w:rPr>
          <w:rFonts w:cs="Times New Roman"/>
          <w:iCs/>
          <w:sz w:val="24"/>
          <w:szCs w:val="24"/>
        </w:rPr>
        <w:t xml:space="preserve">može biti tri mjeseca, </w:t>
      </w:r>
      <w:r w:rsidR="00385877">
        <w:rPr>
          <w:rFonts w:cs="Times New Roman"/>
          <w:iCs/>
          <w:sz w:val="24"/>
          <w:szCs w:val="24"/>
        </w:rPr>
        <w:t>dok</w:t>
      </w:r>
      <w:r>
        <w:rPr>
          <w:rFonts w:cs="Times New Roman"/>
          <w:iCs/>
          <w:sz w:val="24"/>
          <w:szCs w:val="24"/>
        </w:rPr>
        <w:t xml:space="preserve"> u okolnostima duboke recesije razdoblje </w:t>
      </w:r>
      <w:r w:rsidR="009E621D">
        <w:rPr>
          <w:rFonts w:cs="Times New Roman"/>
          <w:iCs/>
          <w:sz w:val="24"/>
          <w:szCs w:val="24"/>
        </w:rPr>
        <w:t xml:space="preserve">nezaposlenosti </w:t>
      </w:r>
      <w:r>
        <w:rPr>
          <w:rFonts w:cs="Times New Roman"/>
          <w:iCs/>
          <w:sz w:val="24"/>
          <w:szCs w:val="24"/>
        </w:rPr>
        <w:t xml:space="preserve">može trajati šest, devet i više mjeseci (i duže od godinu dana) pa je nužno prihvaćanje različitih povremenih poslova, a posebno racionalno upravljanje troškovima za potrošnju. </w:t>
      </w:r>
      <w:r w:rsidR="009E621D">
        <w:rPr>
          <w:rFonts w:cs="Times New Roman"/>
          <w:iCs/>
          <w:sz w:val="24"/>
          <w:szCs w:val="24"/>
        </w:rPr>
        <w:t xml:space="preserve">Dodatno, iako uobičajeno postoji mogućnost prijevremene otplate kredita (radi smanjenja troškova kamata ili skraćenja trajanja razdoblja otplate), </w:t>
      </w:r>
      <w:r w:rsidR="00787001" w:rsidRPr="00787001">
        <w:rPr>
          <w:rFonts w:cs="Times New Roman"/>
          <w:iCs/>
          <w:color w:val="C00000"/>
          <w:sz w:val="24"/>
          <w:szCs w:val="24"/>
        </w:rPr>
        <w:t xml:space="preserve">zadužena osoba nikako ne bi trebala iskoristiti svu akumuliranu štednju </w:t>
      </w:r>
      <w:r w:rsidR="009E621D" w:rsidRPr="009E621D">
        <w:rPr>
          <w:rFonts w:cs="Times New Roman"/>
          <w:iCs/>
          <w:color w:val="C00000"/>
          <w:sz w:val="24"/>
          <w:szCs w:val="24"/>
        </w:rPr>
        <w:t xml:space="preserve">za </w:t>
      </w:r>
      <w:r w:rsidR="009E621D">
        <w:rPr>
          <w:rFonts w:cs="Times New Roman"/>
          <w:iCs/>
          <w:color w:val="C00000"/>
          <w:sz w:val="24"/>
          <w:szCs w:val="24"/>
        </w:rPr>
        <w:t xml:space="preserve">prijevremenu </w:t>
      </w:r>
      <w:r w:rsidR="009E621D" w:rsidRPr="009E621D">
        <w:rPr>
          <w:rFonts w:cs="Times New Roman"/>
          <w:iCs/>
          <w:color w:val="C00000"/>
          <w:sz w:val="24"/>
          <w:szCs w:val="24"/>
        </w:rPr>
        <w:t>otplatu kredita</w:t>
      </w:r>
      <w:r w:rsidR="00787001">
        <w:rPr>
          <w:rFonts w:cs="Times New Roman"/>
          <w:iCs/>
          <w:color w:val="C00000"/>
          <w:sz w:val="24"/>
          <w:szCs w:val="24"/>
        </w:rPr>
        <w:t>,</w:t>
      </w:r>
      <w:r w:rsidR="009E621D">
        <w:rPr>
          <w:rFonts w:cs="Times New Roman"/>
          <w:iCs/>
          <w:sz w:val="24"/>
          <w:szCs w:val="24"/>
        </w:rPr>
        <w:t xml:space="preserve"> nego se dio štednje uvijek treba držati za potrebe nenadanih situacija gubitka prihoda kada uredna otplata kredita može postati upitna. </w:t>
      </w:r>
    </w:p>
    <w:p w:rsidR="00FE131E" w:rsidRDefault="009E621D" w:rsidP="009B2F94">
      <w:pPr>
        <w:tabs>
          <w:tab w:val="left" w:pos="1575"/>
        </w:tabs>
        <w:jc w:val="both"/>
        <w:rPr>
          <w:rFonts w:cs="Times New Roman"/>
          <w:iCs/>
          <w:sz w:val="24"/>
          <w:szCs w:val="24"/>
        </w:rPr>
      </w:pPr>
      <w:r>
        <w:rPr>
          <w:rFonts w:cs="Times New Roman"/>
          <w:iCs/>
          <w:sz w:val="24"/>
          <w:szCs w:val="24"/>
        </w:rPr>
        <w:t xml:space="preserve">Osim osoba koje kumuliraju prekomjerni dug </w:t>
      </w:r>
      <w:r w:rsidR="004F786C">
        <w:rPr>
          <w:rFonts w:cs="Times New Roman"/>
          <w:iCs/>
          <w:sz w:val="24"/>
          <w:szCs w:val="24"/>
        </w:rPr>
        <w:t xml:space="preserve">zbog </w:t>
      </w:r>
      <w:r w:rsidR="00FE131E">
        <w:rPr>
          <w:rFonts w:cs="Times New Roman"/>
          <w:iCs/>
          <w:sz w:val="24"/>
          <w:szCs w:val="24"/>
        </w:rPr>
        <w:t>financijskih</w:t>
      </w:r>
      <w:r>
        <w:rPr>
          <w:rFonts w:cs="Times New Roman"/>
          <w:iCs/>
          <w:sz w:val="24"/>
          <w:szCs w:val="24"/>
        </w:rPr>
        <w:t xml:space="preserve"> </w:t>
      </w:r>
      <w:r w:rsidR="00FE131E">
        <w:rPr>
          <w:rFonts w:cs="Times New Roman"/>
          <w:iCs/>
          <w:sz w:val="24"/>
          <w:szCs w:val="24"/>
        </w:rPr>
        <w:t xml:space="preserve">poremećaja uzrokovanih </w:t>
      </w:r>
      <w:r w:rsidR="004F786C">
        <w:rPr>
          <w:rFonts w:cs="Times New Roman"/>
          <w:iCs/>
          <w:sz w:val="24"/>
          <w:szCs w:val="24"/>
        </w:rPr>
        <w:t xml:space="preserve">gubitkom posla i prihoda te </w:t>
      </w:r>
      <w:r w:rsidR="00FE131E">
        <w:rPr>
          <w:rFonts w:cs="Times New Roman"/>
          <w:iCs/>
          <w:sz w:val="24"/>
          <w:szCs w:val="24"/>
        </w:rPr>
        <w:t>izvanrednim neočekivanim rashodima (npr. bolest, smrt u obitelji i drugo)</w:t>
      </w:r>
      <w:r>
        <w:rPr>
          <w:rFonts w:cs="Times New Roman"/>
          <w:iCs/>
          <w:sz w:val="24"/>
          <w:szCs w:val="24"/>
        </w:rPr>
        <w:t xml:space="preserve">, </w:t>
      </w:r>
      <w:r w:rsidR="00787001">
        <w:rPr>
          <w:rFonts w:cs="Times New Roman"/>
          <w:iCs/>
          <w:sz w:val="24"/>
          <w:szCs w:val="24"/>
        </w:rPr>
        <w:t xml:space="preserve">čest je slučaj situacije prekomjernog kumuliranja duga i nepodmirenih </w:t>
      </w:r>
      <w:r w:rsidR="004F786C">
        <w:rPr>
          <w:rFonts w:cs="Times New Roman"/>
          <w:iCs/>
          <w:sz w:val="24"/>
          <w:szCs w:val="24"/>
        </w:rPr>
        <w:t xml:space="preserve">dospjelih </w:t>
      </w:r>
      <w:r w:rsidR="00787001">
        <w:rPr>
          <w:rFonts w:cs="Times New Roman"/>
          <w:iCs/>
          <w:sz w:val="24"/>
          <w:szCs w:val="24"/>
        </w:rPr>
        <w:t>dugovanja</w:t>
      </w:r>
      <w:r>
        <w:rPr>
          <w:rFonts w:cs="Times New Roman"/>
          <w:iCs/>
          <w:sz w:val="24"/>
          <w:szCs w:val="24"/>
        </w:rPr>
        <w:t xml:space="preserve"> kod brojnih osoba </w:t>
      </w:r>
      <w:r w:rsidR="009B2F94">
        <w:rPr>
          <w:rFonts w:cs="Times New Roman"/>
          <w:iCs/>
          <w:sz w:val="24"/>
          <w:szCs w:val="24"/>
        </w:rPr>
        <w:t>koje imaju posao</w:t>
      </w:r>
      <w:r w:rsidR="00FE131E">
        <w:rPr>
          <w:rFonts w:cs="Times New Roman"/>
          <w:iCs/>
          <w:sz w:val="24"/>
          <w:szCs w:val="24"/>
        </w:rPr>
        <w:t xml:space="preserve"> i</w:t>
      </w:r>
      <w:r w:rsidR="009B2F94">
        <w:rPr>
          <w:rFonts w:cs="Times New Roman"/>
          <w:iCs/>
          <w:sz w:val="24"/>
          <w:szCs w:val="24"/>
        </w:rPr>
        <w:t xml:space="preserve"> visoke prihode</w:t>
      </w:r>
      <w:r w:rsidR="00FE131E">
        <w:rPr>
          <w:rFonts w:cs="Times New Roman"/>
          <w:iCs/>
          <w:sz w:val="24"/>
          <w:szCs w:val="24"/>
        </w:rPr>
        <w:t>,</w:t>
      </w:r>
      <w:r w:rsidR="009B2F94">
        <w:rPr>
          <w:rFonts w:cs="Times New Roman"/>
          <w:iCs/>
          <w:sz w:val="24"/>
          <w:szCs w:val="24"/>
        </w:rPr>
        <w:t xml:space="preserve"> odnosno oni</w:t>
      </w:r>
      <w:r w:rsidR="00FE131E">
        <w:rPr>
          <w:rFonts w:cs="Times New Roman"/>
          <w:iCs/>
          <w:sz w:val="24"/>
          <w:szCs w:val="24"/>
        </w:rPr>
        <w:t>h</w:t>
      </w:r>
      <w:r w:rsidR="009B2F94">
        <w:rPr>
          <w:rFonts w:cs="Times New Roman"/>
          <w:iCs/>
          <w:sz w:val="24"/>
          <w:szCs w:val="24"/>
        </w:rPr>
        <w:t xml:space="preserve"> čija financijska situacija nije pogoršana eksternim faktorima nego su skloni prekomjernoj potrošnji, kupuju emotivno i stihijski, a odlazak u </w:t>
      </w:r>
      <w:r w:rsidR="00FE131E">
        <w:rPr>
          <w:rFonts w:cs="Times New Roman"/>
          <w:iCs/>
          <w:sz w:val="24"/>
          <w:szCs w:val="24"/>
        </w:rPr>
        <w:t xml:space="preserve">trgovačke </w:t>
      </w:r>
      <w:r w:rsidR="009B2F94">
        <w:rPr>
          <w:rFonts w:cs="Times New Roman"/>
          <w:iCs/>
          <w:sz w:val="24"/>
          <w:szCs w:val="24"/>
        </w:rPr>
        <w:t xml:space="preserve">centre tretiraju kao </w:t>
      </w:r>
      <w:r w:rsidR="00FE131E">
        <w:rPr>
          <w:rFonts w:cs="Times New Roman"/>
          <w:iCs/>
          <w:sz w:val="24"/>
          <w:szCs w:val="24"/>
        </w:rPr>
        <w:t>„</w:t>
      </w:r>
      <w:r w:rsidR="009B2F94">
        <w:rPr>
          <w:rFonts w:cs="Times New Roman"/>
          <w:iCs/>
          <w:sz w:val="24"/>
          <w:szCs w:val="24"/>
        </w:rPr>
        <w:t>društveni događaj</w:t>
      </w:r>
      <w:r w:rsidR="00FE131E">
        <w:rPr>
          <w:rFonts w:cs="Times New Roman"/>
          <w:iCs/>
          <w:sz w:val="24"/>
          <w:szCs w:val="24"/>
        </w:rPr>
        <w:t>“</w:t>
      </w:r>
      <w:r w:rsidR="009B2F94">
        <w:rPr>
          <w:rFonts w:cs="Times New Roman"/>
          <w:iCs/>
          <w:sz w:val="24"/>
          <w:szCs w:val="24"/>
        </w:rPr>
        <w:t xml:space="preserve"> koji im povećava zadovoljstvo ili djeluje kao antidepresiv. </w:t>
      </w:r>
    </w:p>
    <w:p w:rsidR="009B2F94" w:rsidRDefault="009B2F94" w:rsidP="009B2F94">
      <w:pPr>
        <w:tabs>
          <w:tab w:val="left" w:pos="1575"/>
        </w:tabs>
        <w:jc w:val="both"/>
        <w:rPr>
          <w:rFonts w:cs="Times New Roman"/>
          <w:iCs/>
          <w:sz w:val="24"/>
          <w:szCs w:val="24"/>
        </w:rPr>
      </w:pPr>
      <w:r>
        <w:rPr>
          <w:rFonts w:cs="Times New Roman"/>
          <w:iCs/>
          <w:sz w:val="24"/>
          <w:szCs w:val="24"/>
        </w:rPr>
        <w:t xml:space="preserve">Uz </w:t>
      </w:r>
      <w:r w:rsidRPr="007E6A47">
        <w:rPr>
          <w:rFonts w:cs="Times New Roman"/>
          <w:iCs/>
          <w:color w:val="C00000"/>
          <w:sz w:val="24"/>
          <w:szCs w:val="24"/>
        </w:rPr>
        <w:t>neadekvatno donošenje odluka o kupovini</w:t>
      </w:r>
      <w:r>
        <w:rPr>
          <w:rFonts w:cs="Times New Roman"/>
          <w:iCs/>
          <w:sz w:val="24"/>
          <w:szCs w:val="24"/>
        </w:rPr>
        <w:t xml:space="preserve"> i postojanje budžetskog ograničenja determiniranog visinom tekućih prihoda, takvo ponašanje prije ili kasnije </w:t>
      </w:r>
      <w:r w:rsidR="00385877" w:rsidRPr="00385877">
        <w:rPr>
          <w:rFonts w:cs="Times New Roman"/>
          <w:iCs/>
          <w:sz w:val="24"/>
          <w:szCs w:val="24"/>
        </w:rPr>
        <w:t xml:space="preserve">završava kumuliranjem </w:t>
      </w:r>
      <w:r w:rsidR="00385877">
        <w:rPr>
          <w:rFonts w:cs="Times New Roman"/>
          <w:iCs/>
          <w:sz w:val="24"/>
          <w:szCs w:val="24"/>
        </w:rPr>
        <w:t xml:space="preserve">nepodmirenih </w:t>
      </w:r>
      <w:r w:rsidR="00385877" w:rsidRPr="00385877">
        <w:rPr>
          <w:rFonts w:cs="Times New Roman"/>
          <w:iCs/>
          <w:sz w:val="24"/>
          <w:szCs w:val="24"/>
        </w:rPr>
        <w:t>dugovanja (</w:t>
      </w:r>
      <w:r w:rsidR="00385877">
        <w:rPr>
          <w:rFonts w:cs="Times New Roman"/>
          <w:iCs/>
          <w:sz w:val="24"/>
          <w:szCs w:val="24"/>
        </w:rPr>
        <w:t xml:space="preserve">prema prodavateljima roba i usluga, prema banci kroz značajan iznos dozvoljenog prekoračenja po </w:t>
      </w:r>
      <w:r w:rsidR="00385877" w:rsidRPr="00385877">
        <w:rPr>
          <w:rFonts w:cs="Times New Roman"/>
          <w:iCs/>
          <w:sz w:val="24"/>
          <w:szCs w:val="24"/>
        </w:rPr>
        <w:t>tekućem računu</w:t>
      </w:r>
      <w:r w:rsidR="00385877">
        <w:rPr>
          <w:rFonts w:cs="Times New Roman"/>
          <w:iCs/>
          <w:sz w:val="24"/>
          <w:szCs w:val="24"/>
        </w:rPr>
        <w:t xml:space="preserve">, gomilanjem </w:t>
      </w:r>
      <w:r w:rsidR="00385877" w:rsidRPr="00385877">
        <w:rPr>
          <w:rFonts w:cs="Times New Roman"/>
          <w:iCs/>
          <w:sz w:val="24"/>
          <w:szCs w:val="24"/>
        </w:rPr>
        <w:t xml:space="preserve">nepodmirenih dospjelih troškova </w:t>
      </w:r>
      <w:r w:rsidR="00385877">
        <w:rPr>
          <w:rFonts w:cs="Times New Roman"/>
          <w:iCs/>
          <w:sz w:val="24"/>
          <w:szCs w:val="24"/>
        </w:rPr>
        <w:t xml:space="preserve">po </w:t>
      </w:r>
      <w:r w:rsidR="00385877" w:rsidRPr="00385877">
        <w:rPr>
          <w:rFonts w:cs="Times New Roman"/>
          <w:iCs/>
          <w:sz w:val="24"/>
          <w:szCs w:val="24"/>
        </w:rPr>
        <w:t>kartični</w:t>
      </w:r>
      <w:r w:rsidR="00385877">
        <w:rPr>
          <w:rFonts w:cs="Times New Roman"/>
          <w:iCs/>
          <w:sz w:val="24"/>
          <w:szCs w:val="24"/>
        </w:rPr>
        <w:t>m</w:t>
      </w:r>
      <w:r w:rsidR="00385877" w:rsidRPr="00385877">
        <w:rPr>
          <w:rFonts w:cs="Times New Roman"/>
          <w:iCs/>
          <w:sz w:val="24"/>
          <w:szCs w:val="24"/>
        </w:rPr>
        <w:t xml:space="preserve"> proizvod</w:t>
      </w:r>
      <w:r w:rsidR="00385877">
        <w:rPr>
          <w:rFonts w:cs="Times New Roman"/>
          <w:iCs/>
          <w:sz w:val="24"/>
          <w:szCs w:val="24"/>
        </w:rPr>
        <w:t>ima itd.)</w:t>
      </w:r>
      <w:r>
        <w:rPr>
          <w:rFonts w:cs="Times New Roman"/>
          <w:iCs/>
          <w:sz w:val="24"/>
          <w:szCs w:val="24"/>
        </w:rPr>
        <w:t xml:space="preserve">, a potom da bi se osobe </w:t>
      </w:r>
      <w:r w:rsidR="00385877">
        <w:rPr>
          <w:rFonts w:cs="Times New Roman"/>
          <w:iCs/>
          <w:sz w:val="24"/>
          <w:szCs w:val="24"/>
        </w:rPr>
        <w:t>„</w:t>
      </w:r>
      <w:r>
        <w:rPr>
          <w:rFonts w:cs="Times New Roman"/>
          <w:iCs/>
          <w:sz w:val="24"/>
          <w:szCs w:val="24"/>
        </w:rPr>
        <w:t>izvukle iz problema</w:t>
      </w:r>
      <w:r w:rsidR="00385877">
        <w:rPr>
          <w:rFonts w:cs="Times New Roman"/>
          <w:iCs/>
          <w:sz w:val="24"/>
          <w:szCs w:val="24"/>
        </w:rPr>
        <w:t>“</w:t>
      </w:r>
      <w:r>
        <w:rPr>
          <w:rFonts w:cs="Times New Roman"/>
          <w:iCs/>
          <w:sz w:val="24"/>
          <w:szCs w:val="24"/>
        </w:rPr>
        <w:t xml:space="preserve"> podižu gotovinske nenamjenske kredite kojima </w:t>
      </w:r>
      <w:r w:rsidR="00FE131E">
        <w:rPr>
          <w:rFonts w:cs="Times New Roman"/>
          <w:iCs/>
          <w:sz w:val="24"/>
          <w:szCs w:val="24"/>
        </w:rPr>
        <w:t>rješavaju</w:t>
      </w:r>
      <w:r>
        <w:rPr>
          <w:rFonts w:cs="Times New Roman"/>
          <w:iCs/>
          <w:sz w:val="24"/>
          <w:szCs w:val="24"/>
        </w:rPr>
        <w:t xml:space="preserve"> aktualni problem</w:t>
      </w:r>
      <w:r w:rsidR="00067A16">
        <w:rPr>
          <w:rFonts w:cs="Times New Roman"/>
          <w:iCs/>
          <w:sz w:val="24"/>
          <w:szCs w:val="24"/>
        </w:rPr>
        <w:t xml:space="preserve"> (zatvaraju stare dugove)</w:t>
      </w:r>
      <w:r>
        <w:rPr>
          <w:rFonts w:cs="Times New Roman"/>
          <w:iCs/>
          <w:sz w:val="24"/>
          <w:szCs w:val="24"/>
        </w:rPr>
        <w:t xml:space="preserve">, ali ako ne promjene navike potrošačkog ponašanja samo </w:t>
      </w:r>
      <w:r>
        <w:rPr>
          <w:rFonts w:cs="Times New Roman"/>
          <w:iCs/>
          <w:sz w:val="24"/>
          <w:szCs w:val="24"/>
        </w:rPr>
        <w:lastRenderedPageBreak/>
        <w:t>je pitanje vremena kada će tekući račun opet doći u „prekomjerni minus“, a nepodmireni troškovi po kreditnim karticama postati faktor financijske nestabilnosti</w:t>
      </w:r>
      <w:r w:rsidR="00FE131E">
        <w:rPr>
          <w:rFonts w:cs="Times New Roman"/>
          <w:iCs/>
          <w:sz w:val="24"/>
          <w:szCs w:val="24"/>
        </w:rPr>
        <w:t xml:space="preserve"> kućanstva</w:t>
      </w:r>
      <w:r>
        <w:rPr>
          <w:rFonts w:cs="Times New Roman"/>
          <w:iCs/>
          <w:sz w:val="24"/>
          <w:szCs w:val="24"/>
        </w:rPr>
        <w:t xml:space="preserve">. </w:t>
      </w:r>
    </w:p>
    <w:p w:rsidR="009B2F94" w:rsidRDefault="009B2F94" w:rsidP="009B2F94">
      <w:pPr>
        <w:tabs>
          <w:tab w:val="left" w:pos="1575"/>
        </w:tabs>
        <w:jc w:val="both"/>
        <w:rPr>
          <w:rFonts w:cs="Times New Roman"/>
          <w:iCs/>
          <w:sz w:val="24"/>
          <w:szCs w:val="24"/>
        </w:rPr>
      </w:pPr>
      <w:r>
        <w:rPr>
          <w:rFonts w:cs="Times New Roman"/>
          <w:iCs/>
          <w:sz w:val="24"/>
          <w:szCs w:val="24"/>
        </w:rPr>
        <w:t xml:space="preserve">Za takve osobe je najbolje da </w:t>
      </w:r>
      <w:r w:rsidR="00067A16">
        <w:rPr>
          <w:rFonts w:cs="Times New Roman"/>
          <w:iCs/>
          <w:sz w:val="24"/>
          <w:szCs w:val="24"/>
        </w:rPr>
        <w:t xml:space="preserve">nakon epizode rješavanja kumuliranog duga po karticama kroz gotovinski kredit, </w:t>
      </w:r>
      <w:r>
        <w:rPr>
          <w:rFonts w:cs="Times New Roman"/>
          <w:iCs/>
          <w:sz w:val="24"/>
          <w:szCs w:val="24"/>
        </w:rPr>
        <w:t xml:space="preserve">u banci zatraže ukidanje dopuštenog prekoračenja po tekućem računu (ili njegov iznos bitno smanje u odnosu na mogući) te da s kartičnim kućama dogovore ukidanje mogućnosti korištenja kreditnih kartica. Neupitna je činjenica da </w:t>
      </w:r>
      <w:r w:rsidRPr="007E6A47">
        <w:rPr>
          <w:rFonts w:cs="Times New Roman"/>
          <w:iCs/>
          <w:color w:val="C00000"/>
          <w:sz w:val="24"/>
          <w:szCs w:val="24"/>
        </w:rPr>
        <w:t>kreditni proizvodi nisu poželjni za osobe koje se na vlastitu štetu njima neadekvatno koriste</w:t>
      </w:r>
      <w:r>
        <w:rPr>
          <w:rFonts w:cs="Times New Roman"/>
          <w:iCs/>
          <w:sz w:val="24"/>
          <w:szCs w:val="24"/>
        </w:rPr>
        <w:t xml:space="preserve">. Ujedno to znači da koliko god je veća financijska uključenost građana poželjna (a tome donosi i veća informiranost o financijskim proizvodima), </w:t>
      </w:r>
      <w:r w:rsidRPr="00FE131E">
        <w:rPr>
          <w:rFonts w:cs="Times New Roman"/>
          <w:iCs/>
          <w:color w:val="C00000"/>
          <w:sz w:val="24"/>
          <w:szCs w:val="24"/>
        </w:rPr>
        <w:t xml:space="preserve">financijsko uključivanje u korištenju kreditnih proizvoda za dio osoba je visoko rizičan proces </w:t>
      </w:r>
      <w:r>
        <w:rPr>
          <w:rFonts w:cs="Times New Roman"/>
          <w:iCs/>
          <w:sz w:val="24"/>
          <w:szCs w:val="24"/>
        </w:rPr>
        <w:t>(kako za kreditora i dužnika tako i za društvo u cjelini - ukoliko prezaduženost postane razlog povećanja siromaštva, ako se odrazi na zdravlje građana kao i ako postane razlog financijske nestabilnosti</w:t>
      </w:r>
      <w:r w:rsidR="00FE131E">
        <w:rPr>
          <w:rFonts w:cs="Times New Roman"/>
          <w:iCs/>
          <w:sz w:val="24"/>
          <w:szCs w:val="24"/>
        </w:rPr>
        <w:t>, makroekonomskih poremećaja</w:t>
      </w:r>
      <w:r>
        <w:rPr>
          <w:rFonts w:cs="Times New Roman"/>
          <w:iCs/>
          <w:sz w:val="24"/>
          <w:szCs w:val="24"/>
        </w:rPr>
        <w:t xml:space="preserve"> ili drugih nepoželjnih pojava). </w:t>
      </w:r>
    </w:p>
    <w:p w:rsidR="008256BF" w:rsidRDefault="004F786C" w:rsidP="004F786C">
      <w:pPr>
        <w:widowControl w:val="0"/>
        <w:overflowPunct w:val="0"/>
        <w:autoSpaceDE w:val="0"/>
        <w:autoSpaceDN w:val="0"/>
        <w:adjustRightInd w:val="0"/>
        <w:spacing w:after="120"/>
        <w:jc w:val="both"/>
        <w:rPr>
          <w:rFonts w:cs="Times New Roman"/>
          <w:iCs/>
          <w:sz w:val="24"/>
          <w:szCs w:val="24"/>
        </w:rPr>
      </w:pPr>
      <w:r>
        <w:rPr>
          <w:rFonts w:cs="Times New Roman"/>
          <w:iCs/>
          <w:sz w:val="24"/>
          <w:szCs w:val="24"/>
        </w:rPr>
        <w:t>Uzimajući sve navedeno u obzir, može se konstatirati da je prezaduženost</w:t>
      </w:r>
      <w:r w:rsidR="008256BF">
        <w:rPr>
          <w:rFonts w:cs="Times New Roman"/>
          <w:iCs/>
          <w:sz w:val="24"/>
          <w:szCs w:val="24"/>
        </w:rPr>
        <w:t>:</w:t>
      </w:r>
    </w:p>
    <w:p w:rsidR="009B2F94" w:rsidRPr="008256BF" w:rsidRDefault="008256BF" w:rsidP="006F1C04">
      <w:pPr>
        <w:pStyle w:val="Odlomakpopisa"/>
        <w:widowControl w:val="0"/>
        <w:numPr>
          <w:ilvl w:val="0"/>
          <w:numId w:val="68"/>
        </w:numPr>
        <w:overflowPunct w:val="0"/>
        <w:autoSpaceDE w:val="0"/>
        <w:autoSpaceDN w:val="0"/>
        <w:adjustRightInd w:val="0"/>
        <w:spacing w:after="0"/>
        <w:jc w:val="both"/>
        <w:rPr>
          <w:rFonts w:cs="Times New Roman"/>
          <w:iCs/>
          <w:sz w:val="24"/>
          <w:szCs w:val="24"/>
        </w:rPr>
      </w:pPr>
      <w:r w:rsidRPr="008256BF">
        <w:rPr>
          <w:rFonts w:cs="Times New Roman"/>
          <w:iCs/>
          <w:sz w:val="24"/>
          <w:szCs w:val="24"/>
        </w:rPr>
        <w:t xml:space="preserve">za </w:t>
      </w:r>
      <w:r w:rsidR="009B2F94" w:rsidRPr="008256BF">
        <w:rPr>
          <w:rFonts w:cs="Times New Roman"/>
          <w:iCs/>
          <w:sz w:val="24"/>
          <w:szCs w:val="24"/>
        </w:rPr>
        <w:t>dio dužnika izazvan</w:t>
      </w:r>
      <w:r>
        <w:rPr>
          <w:rFonts w:cs="Times New Roman"/>
          <w:iCs/>
          <w:sz w:val="24"/>
          <w:szCs w:val="24"/>
        </w:rPr>
        <w:t>a</w:t>
      </w:r>
      <w:r w:rsidR="009B2F94" w:rsidRPr="008256BF">
        <w:rPr>
          <w:rFonts w:cs="Times New Roman"/>
          <w:iCs/>
          <w:sz w:val="24"/>
          <w:szCs w:val="24"/>
        </w:rPr>
        <w:t xml:space="preserve"> faktorima pogoršanja financijske pozicije na koju dužnici nisu mogli utjecati (u slučaju gubitka posla, bolesti ili tržišnog jačanja strane valute u kojoj su indeksirane njihove dugoročne obveze, npr. slučaj dužnika s valutnom klauzulom u švicarskom franku)</w:t>
      </w:r>
      <w:r w:rsidR="00B400AD" w:rsidRPr="008256BF">
        <w:rPr>
          <w:rFonts w:cs="Times New Roman"/>
          <w:iCs/>
          <w:sz w:val="24"/>
          <w:szCs w:val="24"/>
        </w:rPr>
        <w:t xml:space="preserve"> – takve osobe </w:t>
      </w:r>
      <w:r w:rsidR="00B400AD" w:rsidRPr="008256BF">
        <w:rPr>
          <w:rFonts w:cs="Times New Roman"/>
          <w:iCs/>
          <w:color w:val="C00000"/>
          <w:sz w:val="24"/>
          <w:szCs w:val="24"/>
        </w:rPr>
        <w:t xml:space="preserve">prema definiciji P. Bejakovića </w:t>
      </w:r>
      <w:r w:rsidR="00B400AD" w:rsidRPr="008256BF">
        <w:rPr>
          <w:rFonts w:cs="Times New Roman"/>
          <w:iCs/>
          <w:sz w:val="24"/>
          <w:szCs w:val="24"/>
        </w:rPr>
        <w:t xml:space="preserve">se mogu okarakterizirati kao </w:t>
      </w:r>
      <w:r w:rsidR="00B400AD" w:rsidRPr="008256BF">
        <w:rPr>
          <w:rFonts w:cs="Times New Roman"/>
          <w:iCs/>
          <w:color w:val="C00000"/>
          <w:sz w:val="24"/>
          <w:szCs w:val="24"/>
        </w:rPr>
        <w:t>pasivni dužnici</w:t>
      </w:r>
      <w:r w:rsidR="00FE131E" w:rsidRPr="008256BF">
        <w:rPr>
          <w:rFonts w:cs="Times New Roman"/>
          <w:iCs/>
          <w:color w:val="C00000"/>
          <w:sz w:val="24"/>
          <w:szCs w:val="24"/>
        </w:rPr>
        <w:t xml:space="preserve"> (pasivno prezadužene osobe)</w:t>
      </w:r>
      <w:r w:rsidR="009B2F94" w:rsidRPr="008256BF">
        <w:rPr>
          <w:rFonts w:cs="Times New Roman"/>
          <w:iCs/>
          <w:sz w:val="24"/>
          <w:szCs w:val="24"/>
        </w:rPr>
        <w:t xml:space="preserve">, </w:t>
      </w:r>
    </w:p>
    <w:p w:rsidR="009B2F94" w:rsidRPr="00A27BF1" w:rsidRDefault="008256BF" w:rsidP="006F1C04">
      <w:pPr>
        <w:pStyle w:val="Odlomakpopisa"/>
        <w:numPr>
          <w:ilvl w:val="0"/>
          <w:numId w:val="43"/>
        </w:numPr>
        <w:tabs>
          <w:tab w:val="left" w:pos="1575"/>
        </w:tabs>
        <w:spacing w:line="274" w:lineRule="auto"/>
        <w:ind w:left="714" w:hanging="357"/>
        <w:jc w:val="both"/>
        <w:rPr>
          <w:rFonts w:cs="Times New Roman"/>
          <w:iCs/>
          <w:sz w:val="24"/>
          <w:szCs w:val="24"/>
        </w:rPr>
      </w:pPr>
      <w:r>
        <w:rPr>
          <w:rFonts w:cs="Times New Roman"/>
          <w:iCs/>
          <w:sz w:val="24"/>
          <w:szCs w:val="24"/>
        </w:rPr>
        <w:t xml:space="preserve">dok </w:t>
      </w:r>
      <w:r w:rsidR="009B2F94" w:rsidRPr="00A27BF1">
        <w:rPr>
          <w:rFonts w:cs="Times New Roman"/>
          <w:iCs/>
          <w:sz w:val="24"/>
          <w:szCs w:val="24"/>
        </w:rPr>
        <w:t>kod dijela dužnika prezaduženost je uzrokovana prekomjernim zaduživanjem (željama za posjedovanjem boljih automobila i različitih drugih stvari koje možda nisu bile nužne, željom za posjedovanjem većeg broja kvadrata stana nego što njihova financijska situacija dopušta itd., željom da kreditom pribave realnu ili financijsku imovinu po kojoj bi se mogli uspoređivati s prijateljima, radnom okolinom ili susjedstvom itd. a tim više što današnje društvo status pojedinca primarno promatra kroz posjedovanje materijalnih dobara)</w:t>
      </w:r>
      <w:r w:rsidR="00B400AD">
        <w:rPr>
          <w:rFonts w:cs="Times New Roman"/>
          <w:iCs/>
          <w:sz w:val="24"/>
          <w:szCs w:val="24"/>
        </w:rPr>
        <w:t xml:space="preserve"> – takve osobe </w:t>
      </w:r>
      <w:r w:rsidR="00B400AD" w:rsidRPr="00B400AD">
        <w:rPr>
          <w:rFonts w:cs="Times New Roman"/>
          <w:iCs/>
          <w:color w:val="C00000"/>
          <w:sz w:val="24"/>
          <w:szCs w:val="24"/>
        </w:rPr>
        <w:t xml:space="preserve">prema definiciji P. Bejakovića </w:t>
      </w:r>
      <w:r w:rsidR="00B400AD">
        <w:rPr>
          <w:rFonts w:cs="Times New Roman"/>
          <w:iCs/>
          <w:sz w:val="24"/>
          <w:szCs w:val="24"/>
        </w:rPr>
        <w:t xml:space="preserve">se mogu okarakterizirati kao </w:t>
      </w:r>
      <w:r w:rsidR="00B400AD" w:rsidRPr="00B400AD">
        <w:rPr>
          <w:rFonts w:cs="Times New Roman"/>
          <w:iCs/>
          <w:color w:val="C00000"/>
          <w:sz w:val="24"/>
          <w:szCs w:val="24"/>
        </w:rPr>
        <w:t>aktivni</w:t>
      </w:r>
      <w:r w:rsidR="00B400AD">
        <w:rPr>
          <w:rFonts w:cs="Times New Roman"/>
          <w:iCs/>
          <w:sz w:val="24"/>
          <w:szCs w:val="24"/>
        </w:rPr>
        <w:t xml:space="preserve"> </w:t>
      </w:r>
      <w:r w:rsidR="00B400AD" w:rsidRPr="00B400AD">
        <w:rPr>
          <w:rFonts w:cs="Times New Roman"/>
          <w:iCs/>
          <w:color w:val="C00000"/>
          <w:sz w:val="24"/>
          <w:szCs w:val="24"/>
        </w:rPr>
        <w:t>dužnici</w:t>
      </w:r>
      <w:r w:rsidR="00FE131E">
        <w:rPr>
          <w:rFonts w:cs="Times New Roman"/>
          <w:iCs/>
          <w:color w:val="C00000"/>
          <w:sz w:val="24"/>
          <w:szCs w:val="24"/>
        </w:rPr>
        <w:t xml:space="preserve"> (aktivno prezadužene osobe)</w:t>
      </w:r>
      <w:r w:rsidR="009B2F94" w:rsidRPr="00A27BF1">
        <w:rPr>
          <w:rFonts w:cs="Times New Roman"/>
          <w:iCs/>
          <w:sz w:val="24"/>
          <w:szCs w:val="24"/>
        </w:rPr>
        <w:t>.</w:t>
      </w:r>
    </w:p>
    <w:p w:rsidR="00953290" w:rsidRDefault="00953290" w:rsidP="009B2F94">
      <w:pPr>
        <w:widowControl w:val="0"/>
        <w:overflowPunct w:val="0"/>
        <w:autoSpaceDE w:val="0"/>
        <w:autoSpaceDN w:val="0"/>
        <w:adjustRightInd w:val="0"/>
        <w:jc w:val="both"/>
        <w:rPr>
          <w:rFonts w:cs="Times New Roman"/>
          <w:iCs/>
          <w:sz w:val="24"/>
          <w:szCs w:val="24"/>
        </w:rPr>
      </w:pPr>
      <w:r>
        <w:rPr>
          <w:rFonts w:cs="Times New Roman"/>
          <w:iCs/>
          <w:sz w:val="24"/>
          <w:szCs w:val="24"/>
        </w:rPr>
        <w:t>Nekoliko faktora se može posebno izdvojiti kao razlog većoj sklonosti zaduživanju i potrošnji u mjeri koja prijeti rizikom prezaduženosti:</w:t>
      </w:r>
    </w:p>
    <w:p w:rsidR="00653AC4" w:rsidRPr="00953290" w:rsidRDefault="00477D5B" w:rsidP="006F1C04">
      <w:pPr>
        <w:widowControl w:val="0"/>
        <w:numPr>
          <w:ilvl w:val="0"/>
          <w:numId w:val="67"/>
        </w:numPr>
        <w:overflowPunct w:val="0"/>
        <w:autoSpaceDE w:val="0"/>
        <w:autoSpaceDN w:val="0"/>
        <w:adjustRightInd w:val="0"/>
        <w:spacing w:after="0"/>
        <w:ind w:left="714" w:hanging="357"/>
        <w:jc w:val="both"/>
        <w:rPr>
          <w:rFonts w:cs="Times New Roman"/>
          <w:iCs/>
          <w:sz w:val="24"/>
          <w:szCs w:val="24"/>
        </w:rPr>
      </w:pPr>
      <w:r w:rsidRPr="00953290">
        <w:rPr>
          <w:rFonts w:cs="Times New Roman"/>
          <w:iCs/>
          <w:color w:val="C00000"/>
          <w:sz w:val="24"/>
          <w:szCs w:val="24"/>
        </w:rPr>
        <w:t xml:space="preserve">niska razina dohotka i suženi financijski izvori </w:t>
      </w:r>
      <w:r w:rsidRPr="00953290">
        <w:rPr>
          <w:rFonts w:cs="Times New Roman"/>
          <w:iCs/>
          <w:sz w:val="24"/>
          <w:szCs w:val="24"/>
        </w:rPr>
        <w:t>(npr. zbog zaostajanja u obrazovanju dohodak određenih osoba kontinuirano zaostaje za prosječnim dohotkom okoline)</w:t>
      </w:r>
      <w:r w:rsidR="00385877">
        <w:rPr>
          <w:rFonts w:cs="Times New Roman"/>
          <w:iCs/>
          <w:sz w:val="24"/>
          <w:szCs w:val="24"/>
        </w:rPr>
        <w:t>;</w:t>
      </w:r>
    </w:p>
    <w:p w:rsidR="00653AC4" w:rsidRPr="00953290" w:rsidRDefault="00477D5B" w:rsidP="006F1C04">
      <w:pPr>
        <w:widowControl w:val="0"/>
        <w:numPr>
          <w:ilvl w:val="0"/>
          <w:numId w:val="67"/>
        </w:numPr>
        <w:overflowPunct w:val="0"/>
        <w:autoSpaceDE w:val="0"/>
        <w:autoSpaceDN w:val="0"/>
        <w:adjustRightInd w:val="0"/>
        <w:spacing w:after="0"/>
        <w:ind w:left="714" w:hanging="357"/>
        <w:jc w:val="both"/>
        <w:rPr>
          <w:rFonts w:cs="Times New Roman"/>
          <w:iCs/>
          <w:sz w:val="24"/>
          <w:szCs w:val="24"/>
        </w:rPr>
      </w:pPr>
      <w:r w:rsidRPr="00953290">
        <w:rPr>
          <w:rFonts w:cs="Times New Roman"/>
          <w:iCs/>
          <w:sz w:val="24"/>
          <w:szCs w:val="24"/>
        </w:rPr>
        <w:t xml:space="preserve">rastuće financijske potrebe i </w:t>
      </w:r>
      <w:r w:rsidRPr="00953290">
        <w:rPr>
          <w:rFonts w:cs="Times New Roman"/>
          <w:iCs/>
          <w:color w:val="C00000"/>
          <w:sz w:val="24"/>
          <w:szCs w:val="24"/>
        </w:rPr>
        <w:t>okolina koja nameće zahtjeve za posjedovanjem</w:t>
      </w:r>
      <w:r w:rsidRPr="00953290">
        <w:rPr>
          <w:rFonts w:cs="Times New Roman"/>
          <w:iCs/>
          <w:sz w:val="24"/>
          <w:szCs w:val="24"/>
        </w:rPr>
        <w:t xml:space="preserve"> automobila, televizora, računala itd. što može biti financirano zaduživanjem</w:t>
      </w:r>
      <w:r w:rsidR="00385877">
        <w:rPr>
          <w:rFonts w:cs="Times New Roman"/>
          <w:iCs/>
          <w:sz w:val="24"/>
          <w:szCs w:val="24"/>
        </w:rPr>
        <w:t>;</w:t>
      </w:r>
    </w:p>
    <w:p w:rsidR="00653AC4" w:rsidRPr="00953290" w:rsidRDefault="00477D5B" w:rsidP="006F1C04">
      <w:pPr>
        <w:widowControl w:val="0"/>
        <w:numPr>
          <w:ilvl w:val="0"/>
          <w:numId w:val="67"/>
        </w:numPr>
        <w:overflowPunct w:val="0"/>
        <w:autoSpaceDE w:val="0"/>
        <w:autoSpaceDN w:val="0"/>
        <w:adjustRightInd w:val="0"/>
        <w:spacing w:after="0"/>
        <w:ind w:left="714" w:hanging="357"/>
        <w:jc w:val="both"/>
        <w:rPr>
          <w:rFonts w:cs="Times New Roman"/>
          <w:iCs/>
          <w:sz w:val="24"/>
          <w:szCs w:val="24"/>
        </w:rPr>
      </w:pPr>
      <w:r w:rsidRPr="00953290">
        <w:rPr>
          <w:rFonts w:cs="Times New Roman"/>
          <w:iCs/>
          <w:sz w:val="24"/>
          <w:szCs w:val="24"/>
        </w:rPr>
        <w:t>mladi ljudi danas tipično napuštaju obiteljski dom i zadužuju se za potrebe rješavanja stambenog pitanja</w:t>
      </w:r>
      <w:r w:rsidR="00953290">
        <w:rPr>
          <w:rFonts w:cs="Times New Roman"/>
          <w:iCs/>
          <w:sz w:val="24"/>
          <w:szCs w:val="24"/>
        </w:rPr>
        <w:t xml:space="preserve"> (pri tome najčešće nemaju kreditno iskustvo, ali imaju želje </w:t>
      </w:r>
      <w:r w:rsidR="00385877">
        <w:rPr>
          <w:rFonts w:cs="Times New Roman"/>
          <w:iCs/>
          <w:sz w:val="24"/>
          <w:szCs w:val="24"/>
        </w:rPr>
        <w:t xml:space="preserve">i potrebu za osamostaljivanjem </w:t>
      </w:r>
      <w:r w:rsidR="00953290">
        <w:rPr>
          <w:rFonts w:cs="Times New Roman"/>
          <w:iCs/>
          <w:sz w:val="24"/>
          <w:szCs w:val="24"/>
        </w:rPr>
        <w:t>ili životom u vlastitom stambenom prostoru umjesto najma</w:t>
      </w:r>
      <w:r w:rsidR="00385877">
        <w:rPr>
          <w:rFonts w:cs="Times New Roman"/>
          <w:iCs/>
          <w:sz w:val="24"/>
          <w:szCs w:val="24"/>
        </w:rPr>
        <w:t xml:space="preserve"> tuđe stambene nekretnine</w:t>
      </w:r>
      <w:r w:rsidR="00953290">
        <w:rPr>
          <w:rFonts w:cs="Times New Roman"/>
          <w:iCs/>
          <w:sz w:val="24"/>
          <w:szCs w:val="24"/>
        </w:rPr>
        <w:t>)</w:t>
      </w:r>
      <w:r w:rsidR="00385877">
        <w:rPr>
          <w:rFonts w:cs="Times New Roman"/>
          <w:iCs/>
          <w:sz w:val="24"/>
          <w:szCs w:val="24"/>
        </w:rPr>
        <w:t>;</w:t>
      </w:r>
      <w:r w:rsidR="00953290">
        <w:rPr>
          <w:rFonts w:cs="Times New Roman"/>
          <w:iCs/>
          <w:sz w:val="24"/>
          <w:szCs w:val="24"/>
        </w:rPr>
        <w:t xml:space="preserve"> </w:t>
      </w:r>
    </w:p>
    <w:p w:rsidR="00653AC4" w:rsidRPr="00953290" w:rsidRDefault="00477D5B" w:rsidP="006F1C04">
      <w:pPr>
        <w:widowControl w:val="0"/>
        <w:numPr>
          <w:ilvl w:val="0"/>
          <w:numId w:val="67"/>
        </w:numPr>
        <w:overflowPunct w:val="0"/>
        <w:autoSpaceDE w:val="0"/>
        <w:autoSpaceDN w:val="0"/>
        <w:adjustRightInd w:val="0"/>
        <w:spacing w:after="0"/>
        <w:ind w:left="714" w:hanging="357"/>
        <w:jc w:val="both"/>
        <w:rPr>
          <w:rFonts w:cs="Times New Roman"/>
          <w:iCs/>
          <w:sz w:val="24"/>
          <w:szCs w:val="24"/>
        </w:rPr>
      </w:pPr>
      <w:r w:rsidRPr="00953290">
        <w:rPr>
          <w:rFonts w:cs="Times New Roman"/>
          <w:iCs/>
          <w:color w:val="C00000"/>
          <w:sz w:val="24"/>
          <w:szCs w:val="24"/>
        </w:rPr>
        <w:t>pohlepa i</w:t>
      </w:r>
      <w:r w:rsidR="00385877">
        <w:rPr>
          <w:rFonts w:cs="Times New Roman"/>
          <w:iCs/>
          <w:color w:val="C00000"/>
          <w:sz w:val="24"/>
          <w:szCs w:val="24"/>
        </w:rPr>
        <w:t>li</w:t>
      </w:r>
      <w:r w:rsidRPr="00953290">
        <w:rPr>
          <w:rFonts w:cs="Times New Roman"/>
          <w:iCs/>
          <w:color w:val="C00000"/>
          <w:sz w:val="24"/>
          <w:szCs w:val="24"/>
        </w:rPr>
        <w:t xml:space="preserve"> zavist </w:t>
      </w:r>
      <w:r w:rsidRPr="00953290">
        <w:rPr>
          <w:rFonts w:cs="Times New Roman"/>
          <w:iCs/>
          <w:sz w:val="24"/>
          <w:szCs w:val="24"/>
        </w:rPr>
        <w:t xml:space="preserve">– potrošnja ili kupnja roba i usluga zbog postizanja (ili potvrđivanja) </w:t>
      </w:r>
      <w:r w:rsidRPr="00953290">
        <w:rPr>
          <w:rFonts w:cs="Times New Roman"/>
          <w:iCs/>
          <w:sz w:val="24"/>
          <w:szCs w:val="24"/>
        </w:rPr>
        <w:lastRenderedPageBreak/>
        <w:t>statusa i prestiža</w:t>
      </w:r>
      <w:r w:rsidR="00385877">
        <w:rPr>
          <w:rFonts w:cs="Times New Roman"/>
          <w:iCs/>
          <w:sz w:val="24"/>
          <w:szCs w:val="24"/>
        </w:rPr>
        <w:t>;</w:t>
      </w:r>
      <w:r w:rsidRPr="00953290">
        <w:rPr>
          <w:rFonts w:cs="Times New Roman"/>
          <w:iCs/>
          <w:sz w:val="24"/>
          <w:szCs w:val="24"/>
        </w:rPr>
        <w:t xml:space="preserve"> </w:t>
      </w:r>
    </w:p>
    <w:p w:rsidR="00653AC4" w:rsidRDefault="00477D5B" w:rsidP="006F1C04">
      <w:pPr>
        <w:widowControl w:val="0"/>
        <w:numPr>
          <w:ilvl w:val="0"/>
          <w:numId w:val="67"/>
        </w:numPr>
        <w:overflowPunct w:val="0"/>
        <w:autoSpaceDE w:val="0"/>
        <w:autoSpaceDN w:val="0"/>
        <w:adjustRightInd w:val="0"/>
        <w:spacing w:after="0"/>
        <w:ind w:left="714" w:hanging="357"/>
        <w:jc w:val="both"/>
        <w:rPr>
          <w:rFonts w:cs="Times New Roman"/>
          <w:iCs/>
          <w:sz w:val="24"/>
          <w:szCs w:val="24"/>
        </w:rPr>
      </w:pPr>
      <w:r w:rsidRPr="00953290">
        <w:rPr>
          <w:rFonts w:cs="Times New Roman"/>
          <w:iCs/>
          <w:color w:val="C00000"/>
          <w:sz w:val="24"/>
          <w:szCs w:val="24"/>
        </w:rPr>
        <w:t xml:space="preserve">reklame imaju vrlo sugestivnu i manipulativnu moć </w:t>
      </w:r>
      <w:r w:rsidRPr="00953290">
        <w:rPr>
          <w:rFonts w:cs="Times New Roman"/>
          <w:iCs/>
          <w:sz w:val="24"/>
          <w:szCs w:val="24"/>
        </w:rPr>
        <w:t>u poticanju ljudi na nabavku proizvoda i usluga koji im trebaju, ali isto tako i proizvoda i usluga koji im često ne trebaju (s obzirom na ostvarene koristi i nastale troškove)</w:t>
      </w:r>
      <w:r w:rsidR="00713E5F">
        <w:rPr>
          <w:rFonts w:cs="Times New Roman"/>
          <w:iCs/>
          <w:sz w:val="24"/>
          <w:szCs w:val="24"/>
        </w:rPr>
        <w:t>;</w:t>
      </w:r>
    </w:p>
    <w:p w:rsidR="00953290" w:rsidRDefault="00477D5B" w:rsidP="006F1C04">
      <w:pPr>
        <w:widowControl w:val="0"/>
        <w:numPr>
          <w:ilvl w:val="0"/>
          <w:numId w:val="67"/>
        </w:numPr>
        <w:overflowPunct w:val="0"/>
        <w:autoSpaceDE w:val="0"/>
        <w:autoSpaceDN w:val="0"/>
        <w:adjustRightInd w:val="0"/>
        <w:spacing w:after="0"/>
        <w:ind w:left="714" w:hanging="357"/>
        <w:jc w:val="both"/>
        <w:rPr>
          <w:rFonts w:cs="Times New Roman"/>
          <w:iCs/>
          <w:sz w:val="24"/>
          <w:szCs w:val="24"/>
        </w:rPr>
      </w:pPr>
      <w:r w:rsidRPr="00953290">
        <w:rPr>
          <w:rFonts w:cs="Times New Roman"/>
          <w:iCs/>
          <w:color w:val="C00000"/>
          <w:sz w:val="24"/>
          <w:szCs w:val="24"/>
        </w:rPr>
        <w:t xml:space="preserve">reklame kojima za potiče korištenje kreditnih </w:t>
      </w:r>
      <w:r w:rsidR="00953290" w:rsidRPr="00953290">
        <w:rPr>
          <w:rFonts w:cs="Times New Roman"/>
          <w:iCs/>
          <w:color w:val="C00000"/>
          <w:sz w:val="24"/>
          <w:szCs w:val="24"/>
        </w:rPr>
        <w:t xml:space="preserve">proizvoda </w:t>
      </w:r>
      <w:r w:rsidR="00713E5F">
        <w:rPr>
          <w:rFonts w:cs="Times New Roman"/>
          <w:iCs/>
          <w:color w:val="C00000"/>
          <w:sz w:val="24"/>
          <w:szCs w:val="24"/>
        </w:rPr>
        <w:t xml:space="preserve">i </w:t>
      </w:r>
      <w:r w:rsidRPr="00953290">
        <w:rPr>
          <w:rFonts w:cs="Times New Roman"/>
          <w:iCs/>
          <w:color w:val="C00000"/>
          <w:sz w:val="24"/>
          <w:szCs w:val="24"/>
        </w:rPr>
        <w:t xml:space="preserve">usluga </w:t>
      </w:r>
      <w:r w:rsidRPr="00953290">
        <w:rPr>
          <w:rFonts w:cs="Times New Roman"/>
          <w:iCs/>
          <w:sz w:val="24"/>
          <w:szCs w:val="24"/>
        </w:rPr>
        <w:t>uz stvaranje dojma da je traženje i odobravanje kredita brzo i lako bez rizika i posljedic</w:t>
      </w:r>
      <w:r w:rsidR="00713E5F">
        <w:rPr>
          <w:rFonts w:cs="Times New Roman"/>
          <w:iCs/>
          <w:sz w:val="24"/>
          <w:szCs w:val="24"/>
        </w:rPr>
        <w:t>a;</w:t>
      </w:r>
      <w:r w:rsidRPr="00953290">
        <w:rPr>
          <w:rFonts w:cs="Times New Roman"/>
          <w:iCs/>
          <w:sz w:val="24"/>
          <w:szCs w:val="24"/>
        </w:rPr>
        <w:t xml:space="preserve"> </w:t>
      </w:r>
    </w:p>
    <w:p w:rsidR="00653AC4" w:rsidRPr="00953290" w:rsidRDefault="00477D5B" w:rsidP="006F1C04">
      <w:pPr>
        <w:widowControl w:val="0"/>
        <w:numPr>
          <w:ilvl w:val="0"/>
          <w:numId w:val="67"/>
        </w:numPr>
        <w:overflowPunct w:val="0"/>
        <w:autoSpaceDE w:val="0"/>
        <w:autoSpaceDN w:val="0"/>
        <w:adjustRightInd w:val="0"/>
        <w:spacing w:after="0"/>
        <w:ind w:left="714" w:hanging="357"/>
        <w:jc w:val="both"/>
        <w:rPr>
          <w:rFonts w:cs="Times New Roman"/>
          <w:iCs/>
          <w:sz w:val="24"/>
          <w:szCs w:val="24"/>
        </w:rPr>
      </w:pPr>
      <w:r w:rsidRPr="00953290">
        <w:rPr>
          <w:rFonts w:cs="Times New Roman"/>
          <w:iCs/>
          <w:sz w:val="24"/>
          <w:szCs w:val="24"/>
        </w:rPr>
        <w:t>dozvoljen</w:t>
      </w:r>
      <w:r w:rsidR="00713E5F">
        <w:rPr>
          <w:rFonts w:cs="Times New Roman"/>
          <w:iCs/>
          <w:sz w:val="24"/>
          <w:szCs w:val="24"/>
        </w:rPr>
        <w:t>a prekoračenja po tekućem računu – ljudi ih</w:t>
      </w:r>
      <w:r w:rsidRPr="00953290">
        <w:rPr>
          <w:rFonts w:cs="Times New Roman"/>
          <w:iCs/>
          <w:sz w:val="24"/>
          <w:szCs w:val="24"/>
        </w:rPr>
        <w:t xml:space="preserve"> percipiraju kao izvor prihoda, a ne kao vrlo skupi kredit</w:t>
      </w:r>
      <w:r w:rsidR="00713E5F">
        <w:rPr>
          <w:rFonts w:cs="Times New Roman"/>
          <w:iCs/>
          <w:sz w:val="24"/>
          <w:szCs w:val="24"/>
        </w:rPr>
        <w:t>, dok banke (posebno u ranijoj praksi) odobravaju osobama s redovitim prihodima dozvoljene minuse u visini dva (a ranije i tri) puta veće od njihovih redovitih mjesečnih primanja;</w:t>
      </w:r>
    </w:p>
    <w:p w:rsidR="00653AC4" w:rsidRPr="00953290" w:rsidRDefault="00477D5B" w:rsidP="006F1C04">
      <w:pPr>
        <w:widowControl w:val="0"/>
        <w:numPr>
          <w:ilvl w:val="0"/>
          <w:numId w:val="67"/>
        </w:numPr>
        <w:overflowPunct w:val="0"/>
        <w:autoSpaceDE w:val="0"/>
        <w:autoSpaceDN w:val="0"/>
        <w:adjustRightInd w:val="0"/>
        <w:spacing w:after="0"/>
        <w:ind w:left="714" w:hanging="357"/>
        <w:jc w:val="both"/>
        <w:rPr>
          <w:rFonts w:cs="Times New Roman"/>
          <w:iCs/>
          <w:sz w:val="24"/>
          <w:szCs w:val="24"/>
        </w:rPr>
      </w:pPr>
      <w:r w:rsidRPr="00953290">
        <w:rPr>
          <w:rFonts w:cs="Times New Roman"/>
          <w:iCs/>
          <w:sz w:val="24"/>
          <w:szCs w:val="24"/>
        </w:rPr>
        <w:t>dostupnost kreditnih kartica i brojnih prodajnih mjesta na kojima se mogu koristiti – postojanje revolving kredita</w:t>
      </w:r>
    </w:p>
    <w:p w:rsidR="00653AC4" w:rsidRPr="00953290" w:rsidRDefault="00477D5B" w:rsidP="006F1C04">
      <w:pPr>
        <w:widowControl w:val="0"/>
        <w:numPr>
          <w:ilvl w:val="0"/>
          <w:numId w:val="67"/>
        </w:numPr>
        <w:overflowPunct w:val="0"/>
        <w:autoSpaceDE w:val="0"/>
        <w:autoSpaceDN w:val="0"/>
        <w:adjustRightInd w:val="0"/>
        <w:spacing w:after="0"/>
        <w:ind w:left="714" w:hanging="357"/>
        <w:jc w:val="both"/>
        <w:rPr>
          <w:rFonts w:cs="Times New Roman"/>
          <w:iCs/>
          <w:sz w:val="24"/>
          <w:szCs w:val="24"/>
        </w:rPr>
      </w:pPr>
      <w:r w:rsidRPr="008256BF">
        <w:rPr>
          <w:rFonts w:cs="Times New Roman"/>
          <w:iCs/>
          <w:color w:val="C00000"/>
          <w:sz w:val="24"/>
          <w:szCs w:val="24"/>
        </w:rPr>
        <w:t xml:space="preserve">neodgovorno zaduživanje </w:t>
      </w:r>
      <w:r w:rsidRPr="00953290">
        <w:rPr>
          <w:rFonts w:cs="Times New Roman"/>
          <w:iCs/>
          <w:sz w:val="24"/>
          <w:szCs w:val="24"/>
        </w:rPr>
        <w:t>- podcjenjivanje ukupnog iznosa duga u kombinaciji s precjenjivanjem budućeg dohotka te krivom procjenom budućih troškova života i potrebnih sredstava za njihovo pokrivanje</w:t>
      </w:r>
      <w:r w:rsidR="00953290">
        <w:rPr>
          <w:rFonts w:cs="Times New Roman"/>
          <w:iCs/>
          <w:sz w:val="24"/>
          <w:szCs w:val="24"/>
        </w:rPr>
        <w:t>.</w:t>
      </w:r>
    </w:p>
    <w:p w:rsidR="009B2F94" w:rsidRDefault="008256BF" w:rsidP="008256BF">
      <w:pPr>
        <w:widowControl w:val="0"/>
        <w:overflowPunct w:val="0"/>
        <w:autoSpaceDE w:val="0"/>
        <w:autoSpaceDN w:val="0"/>
        <w:adjustRightInd w:val="0"/>
        <w:spacing w:before="240"/>
        <w:jc w:val="both"/>
        <w:rPr>
          <w:rFonts w:cs="Times New Roman"/>
          <w:iCs/>
          <w:sz w:val="24"/>
          <w:szCs w:val="24"/>
        </w:rPr>
      </w:pPr>
      <w:r>
        <w:rPr>
          <w:rFonts w:cs="Times New Roman"/>
          <w:iCs/>
          <w:sz w:val="24"/>
          <w:szCs w:val="24"/>
        </w:rPr>
        <w:t>N</w:t>
      </w:r>
      <w:r w:rsidR="009B2F94">
        <w:rPr>
          <w:rFonts w:cs="Times New Roman"/>
          <w:iCs/>
          <w:sz w:val="24"/>
          <w:szCs w:val="24"/>
        </w:rPr>
        <w:t>euvažavanje brojnih rizika koji se odražavaju na financije kućanstva najveće su opasnosti u procesu donošenja odluka o kupovini i zaduživanju. Na prvom mjestu to su neuvažavanja makroekonomskih rizika vezanih uz smjene faza razdoblja ekspanzije i kontrakcije, a potom neuvažavanje kamatnog rizika i valutnog rizika koji utječu na troškove servisiranja duga, neuvažavanje tržišnih rizika koji se odražavaju na vrijednost imovine (npr. nekretnina</w:t>
      </w:r>
      <w:r w:rsidR="00FE131E">
        <w:rPr>
          <w:rFonts w:cs="Times New Roman"/>
          <w:iCs/>
          <w:sz w:val="24"/>
          <w:szCs w:val="24"/>
        </w:rPr>
        <w:t>, osobno automobila</w:t>
      </w:r>
      <w:r w:rsidR="009B2F94">
        <w:rPr>
          <w:rFonts w:cs="Times New Roman"/>
          <w:iCs/>
          <w:sz w:val="24"/>
          <w:szCs w:val="24"/>
        </w:rPr>
        <w:t>) te osobni rizici koji se vežu uz prekomjerni utjecaj emocija i faktora iracionalnosti ponašanja</w:t>
      </w:r>
      <w:r w:rsidR="004F786C">
        <w:rPr>
          <w:rFonts w:cs="Times New Roman"/>
          <w:iCs/>
          <w:sz w:val="24"/>
          <w:szCs w:val="24"/>
        </w:rPr>
        <w:t xml:space="preserve"> pri donošenju odluka o potrošnji i zaduživanju</w:t>
      </w:r>
      <w:r w:rsidR="009B2F94">
        <w:rPr>
          <w:rFonts w:cs="Times New Roman"/>
          <w:iCs/>
          <w:sz w:val="24"/>
          <w:szCs w:val="24"/>
        </w:rPr>
        <w:t xml:space="preserve">. </w:t>
      </w:r>
    </w:p>
    <w:p w:rsidR="00596AD0" w:rsidRDefault="00596AD0" w:rsidP="00596AD0">
      <w:pPr>
        <w:widowControl w:val="0"/>
        <w:overflowPunct w:val="0"/>
        <w:autoSpaceDE w:val="0"/>
        <w:autoSpaceDN w:val="0"/>
        <w:adjustRightInd w:val="0"/>
        <w:spacing w:before="240"/>
        <w:jc w:val="both"/>
        <w:rPr>
          <w:rFonts w:cs="Times New Roman"/>
          <w:iCs/>
          <w:sz w:val="24"/>
          <w:szCs w:val="24"/>
        </w:rPr>
      </w:pPr>
      <w:r>
        <w:rPr>
          <w:rFonts w:cs="Times New Roman"/>
          <w:iCs/>
          <w:sz w:val="24"/>
          <w:szCs w:val="24"/>
        </w:rPr>
        <w:t xml:space="preserve">Kombinacija sveg navedenog a posebno učinaka recesije na sposobnost servisiranja kreditnih obveza na makro razini vidljiva je i kroz pokazatelje kvarenja kreditnog portfelja banaka koji su vidljivi u tablici 15 i slici 37. Problem rasta loših plasmana u razdoblju recesije posebno se ističe kod kredita poduzećima, ali također i u slučaju kredita stanovništvu (a među njima posebno stambenih i drugih kredita indeksiranih u švicarskom franku). </w:t>
      </w:r>
    </w:p>
    <w:p w:rsidR="00596AD0" w:rsidRDefault="00596AD0" w:rsidP="00596AD0">
      <w:pPr>
        <w:widowControl w:val="0"/>
        <w:overflowPunct w:val="0"/>
        <w:autoSpaceDE w:val="0"/>
        <w:autoSpaceDN w:val="0"/>
        <w:adjustRightInd w:val="0"/>
        <w:jc w:val="both"/>
        <w:rPr>
          <w:rFonts w:cs="Times New Roman"/>
          <w:iCs/>
          <w:sz w:val="24"/>
          <w:szCs w:val="24"/>
        </w:rPr>
      </w:pPr>
      <w:r>
        <w:rPr>
          <w:rFonts w:cs="Times New Roman"/>
          <w:iCs/>
          <w:sz w:val="24"/>
          <w:szCs w:val="24"/>
        </w:rPr>
        <w:t xml:space="preserve">U slučaju prekoračenja po transakcijskim računima sektora stanovništvo, djelomično nadoknadivi i potpuno nenadoknadivi krediti banaka čine skoro 13% kredita odobrenih u tu svrhu. Kod stambenih kredita djelomično nadoknadivi i potpuno nenadoknadivi krediti imaju udio blizu 9%, a kod kredita po kreditnim karticama banaka 4,1% (pri tome podaci ne uključuju situaciju kod kartičnih kuća, odnosno obveze po kreditnim karticama koje se ne vežu uz banke). </w:t>
      </w:r>
    </w:p>
    <w:p w:rsidR="00596AD0" w:rsidRDefault="00596AD0" w:rsidP="003D2D36">
      <w:pPr>
        <w:widowControl w:val="0"/>
        <w:overflowPunct w:val="0"/>
        <w:autoSpaceDE w:val="0"/>
        <w:autoSpaceDN w:val="0"/>
        <w:adjustRightInd w:val="0"/>
        <w:spacing w:after="120" w:line="240" w:lineRule="auto"/>
        <w:jc w:val="both"/>
        <w:rPr>
          <w:rFonts w:cs="Times New Roman"/>
          <w:b/>
          <w:iCs/>
          <w:sz w:val="24"/>
          <w:szCs w:val="24"/>
        </w:rPr>
      </w:pPr>
    </w:p>
    <w:p w:rsidR="00C6462B" w:rsidRDefault="00C6462B" w:rsidP="003D2D36">
      <w:pPr>
        <w:widowControl w:val="0"/>
        <w:overflowPunct w:val="0"/>
        <w:autoSpaceDE w:val="0"/>
        <w:autoSpaceDN w:val="0"/>
        <w:adjustRightInd w:val="0"/>
        <w:spacing w:after="120" w:line="240" w:lineRule="auto"/>
        <w:jc w:val="both"/>
        <w:rPr>
          <w:rFonts w:cs="Times New Roman"/>
          <w:b/>
          <w:iCs/>
          <w:sz w:val="24"/>
          <w:szCs w:val="24"/>
        </w:rPr>
      </w:pPr>
    </w:p>
    <w:p w:rsidR="00C6462B" w:rsidRDefault="00C6462B" w:rsidP="003D2D36">
      <w:pPr>
        <w:widowControl w:val="0"/>
        <w:overflowPunct w:val="0"/>
        <w:autoSpaceDE w:val="0"/>
        <w:autoSpaceDN w:val="0"/>
        <w:adjustRightInd w:val="0"/>
        <w:spacing w:after="120" w:line="240" w:lineRule="auto"/>
        <w:jc w:val="both"/>
        <w:rPr>
          <w:rFonts w:cs="Times New Roman"/>
          <w:b/>
          <w:iCs/>
          <w:sz w:val="24"/>
          <w:szCs w:val="24"/>
        </w:rPr>
      </w:pPr>
    </w:p>
    <w:p w:rsidR="00C6462B" w:rsidRDefault="00C6462B" w:rsidP="003D2D36">
      <w:pPr>
        <w:widowControl w:val="0"/>
        <w:overflowPunct w:val="0"/>
        <w:autoSpaceDE w:val="0"/>
        <w:autoSpaceDN w:val="0"/>
        <w:adjustRightInd w:val="0"/>
        <w:spacing w:after="120" w:line="240" w:lineRule="auto"/>
        <w:jc w:val="both"/>
        <w:rPr>
          <w:rFonts w:cs="Times New Roman"/>
          <w:b/>
          <w:iCs/>
          <w:sz w:val="24"/>
          <w:szCs w:val="24"/>
        </w:rPr>
      </w:pPr>
    </w:p>
    <w:p w:rsidR="009B2F94" w:rsidRPr="00E61358" w:rsidRDefault="009B2F94" w:rsidP="003D2D36">
      <w:pPr>
        <w:widowControl w:val="0"/>
        <w:overflowPunct w:val="0"/>
        <w:autoSpaceDE w:val="0"/>
        <w:autoSpaceDN w:val="0"/>
        <w:adjustRightInd w:val="0"/>
        <w:spacing w:after="120" w:line="240" w:lineRule="auto"/>
        <w:jc w:val="both"/>
        <w:rPr>
          <w:rFonts w:cs="Times New Roman"/>
          <w:b/>
          <w:iCs/>
          <w:sz w:val="24"/>
          <w:szCs w:val="24"/>
        </w:rPr>
      </w:pPr>
      <w:r w:rsidRPr="00E61358">
        <w:rPr>
          <w:rFonts w:cs="Times New Roman"/>
          <w:b/>
          <w:iCs/>
          <w:sz w:val="24"/>
          <w:szCs w:val="24"/>
        </w:rPr>
        <w:lastRenderedPageBreak/>
        <w:t>Tablica 15: Krediti banaka odobreni sektoru stanovništvo, na kraju razdoblja, u milijunima kuna i postocima</w:t>
      </w:r>
    </w:p>
    <w:p w:rsidR="009B2F94" w:rsidRDefault="009B2F94" w:rsidP="009B2F94">
      <w:pPr>
        <w:widowControl w:val="0"/>
        <w:overflowPunct w:val="0"/>
        <w:autoSpaceDE w:val="0"/>
        <w:autoSpaceDN w:val="0"/>
        <w:adjustRightInd w:val="0"/>
        <w:spacing w:after="0" w:line="240" w:lineRule="atLeast"/>
        <w:jc w:val="both"/>
        <w:rPr>
          <w:rFonts w:cs="Times New Roman"/>
          <w:iCs/>
          <w:sz w:val="24"/>
          <w:szCs w:val="24"/>
        </w:rPr>
      </w:pPr>
      <w:r>
        <w:rPr>
          <w:rFonts w:cs="Times New Roman"/>
          <w:iCs/>
          <w:noProof/>
          <w:sz w:val="24"/>
          <w:szCs w:val="24"/>
          <w:lang w:eastAsia="hr-HR"/>
        </w:rPr>
        <w:drawing>
          <wp:inline distT="0" distB="0" distL="0" distR="0" wp14:anchorId="6BF759C1" wp14:editId="0B3B2B24">
            <wp:extent cx="4810125" cy="3000375"/>
            <wp:effectExtent l="0" t="0" r="9525" b="9525"/>
            <wp:docPr id="16389" name="Slika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10125" cy="3000375"/>
                    </a:xfrm>
                    <a:prstGeom prst="rect">
                      <a:avLst/>
                    </a:prstGeom>
                    <a:noFill/>
                    <a:ln>
                      <a:noFill/>
                    </a:ln>
                  </pic:spPr>
                </pic:pic>
              </a:graphicData>
            </a:graphic>
          </wp:inline>
        </w:drawing>
      </w:r>
      <w:r>
        <w:rPr>
          <w:rFonts w:cs="Times New Roman"/>
          <w:iCs/>
          <w:noProof/>
          <w:sz w:val="24"/>
          <w:szCs w:val="24"/>
          <w:lang w:eastAsia="hr-HR"/>
        </w:rPr>
        <w:drawing>
          <wp:inline distT="0" distB="0" distL="0" distR="0" wp14:anchorId="77F2B873" wp14:editId="359B12B5">
            <wp:extent cx="4782576" cy="2409825"/>
            <wp:effectExtent l="0" t="0" r="0" b="0"/>
            <wp:docPr id="1151" name="Slika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82576" cy="2409825"/>
                    </a:xfrm>
                    <a:prstGeom prst="rect">
                      <a:avLst/>
                    </a:prstGeom>
                    <a:noFill/>
                    <a:ln>
                      <a:noFill/>
                    </a:ln>
                  </pic:spPr>
                </pic:pic>
              </a:graphicData>
            </a:graphic>
          </wp:inline>
        </w:drawing>
      </w:r>
      <w:r>
        <w:rPr>
          <w:rFonts w:cs="Times New Roman"/>
          <w:iCs/>
          <w:noProof/>
          <w:sz w:val="24"/>
          <w:szCs w:val="24"/>
          <w:lang w:eastAsia="hr-HR"/>
        </w:rPr>
        <w:drawing>
          <wp:inline distT="0" distB="0" distL="0" distR="0" wp14:anchorId="1929780F" wp14:editId="66EF83CE">
            <wp:extent cx="4810125" cy="57150"/>
            <wp:effectExtent l="0" t="0" r="9525" b="0"/>
            <wp:docPr id="16392" name="Slika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810125" cy="57150"/>
                    </a:xfrm>
                    <a:prstGeom prst="rect">
                      <a:avLst/>
                    </a:prstGeom>
                    <a:noFill/>
                    <a:ln>
                      <a:noFill/>
                    </a:ln>
                  </pic:spPr>
                </pic:pic>
              </a:graphicData>
            </a:graphic>
          </wp:inline>
        </w:drawing>
      </w:r>
    </w:p>
    <w:p w:rsidR="009B2F94" w:rsidRPr="005A6FFF" w:rsidRDefault="009B2F94" w:rsidP="009B2F94">
      <w:pPr>
        <w:widowControl w:val="0"/>
        <w:overflowPunct w:val="0"/>
        <w:autoSpaceDE w:val="0"/>
        <w:autoSpaceDN w:val="0"/>
        <w:adjustRightInd w:val="0"/>
        <w:jc w:val="both"/>
        <w:rPr>
          <w:rFonts w:cs="Times New Roman"/>
          <w:iCs/>
          <w:sz w:val="20"/>
          <w:szCs w:val="20"/>
        </w:rPr>
      </w:pPr>
      <w:r>
        <w:rPr>
          <w:rFonts w:cs="Times New Roman"/>
          <w:iCs/>
          <w:sz w:val="20"/>
          <w:szCs w:val="20"/>
        </w:rPr>
        <w:t>Izvor: uz određene izmjene p</w:t>
      </w:r>
      <w:r w:rsidRPr="005A6FFF">
        <w:rPr>
          <w:rFonts w:cs="Times New Roman"/>
          <w:iCs/>
          <w:sz w:val="20"/>
          <w:szCs w:val="20"/>
        </w:rPr>
        <w:t>reuzeto iz: HNB (2015.), „Bilten o bankama“ br. 28</w:t>
      </w:r>
    </w:p>
    <w:p w:rsidR="00596AD0" w:rsidRDefault="00596AD0" w:rsidP="00596AD0">
      <w:pPr>
        <w:autoSpaceDE w:val="0"/>
        <w:autoSpaceDN w:val="0"/>
        <w:adjustRightInd w:val="0"/>
        <w:spacing w:before="60" w:after="0"/>
        <w:jc w:val="both"/>
        <w:rPr>
          <w:rFonts w:cs="Arial"/>
          <w:i/>
          <w:sz w:val="24"/>
          <w:szCs w:val="24"/>
        </w:rPr>
      </w:pPr>
      <w:r w:rsidRPr="001B0107">
        <w:rPr>
          <w:rFonts w:cs="Arial"/>
          <w:color w:val="C00000"/>
          <w:sz w:val="24"/>
          <w:szCs w:val="24"/>
        </w:rPr>
        <w:t xml:space="preserve">Razmjeri prezaduženosti građana </w:t>
      </w:r>
      <w:r w:rsidRPr="00D60434">
        <w:rPr>
          <w:rFonts w:cs="Arial"/>
          <w:sz w:val="24"/>
          <w:szCs w:val="24"/>
        </w:rPr>
        <w:t>u Hr</w:t>
      </w:r>
      <w:r>
        <w:rPr>
          <w:rFonts w:cs="Arial"/>
          <w:sz w:val="24"/>
          <w:szCs w:val="24"/>
        </w:rPr>
        <w:t xml:space="preserve">vatskoj, odnosno financijskih problema građana u plaćanju dospjelih obveza, vidljivi su </w:t>
      </w:r>
      <w:r w:rsidRPr="00D60434">
        <w:rPr>
          <w:rFonts w:cs="Arial"/>
          <w:sz w:val="24"/>
          <w:szCs w:val="24"/>
        </w:rPr>
        <w:t xml:space="preserve">i </w:t>
      </w:r>
      <w:r>
        <w:rPr>
          <w:rFonts w:cs="Arial"/>
          <w:sz w:val="24"/>
          <w:szCs w:val="24"/>
        </w:rPr>
        <w:t xml:space="preserve">iz </w:t>
      </w:r>
      <w:r w:rsidRPr="001B0107">
        <w:rPr>
          <w:rFonts w:cs="Arial"/>
          <w:color w:val="C00000"/>
          <w:sz w:val="24"/>
          <w:szCs w:val="24"/>
        </w:rPr>
        <w:t xml:space="preserve">podataka o broju osoba s blokiranim računima </w:t>
      </w:r>
      <w:r w:rsidRPr="00D60434">
        <w:rPr>
          <w:rFonts w:cs="Arial"/>
          <w:sz w:val="24"/>
          <w:szCs w:val="24"/>
        </w:rPr>
        <w:t>i njihovom iznosu dugovanja.</w:t>
      </w:r>
      <w:r>
        <w:rPr>
          <w:rFonts w:cs="Arial"/>
          <w:i/>
          <w:sz w:val="24"/>
          <w:szCs w:val="24"/>
        </w:rPr>
        <w:t xml:space="preserve"> </w:t>
      </w:r>
      <w:r w:rsidRPr="00FD58B6">
        <w:rPr>
          <w:rFonts w:cs="Arial"/>
          <w:i/>
          <w:sz w:val="24"/>
          <w:szCs w:val="24"/>
        </w:rPr>
        <w:t>„Prema podacima koje je obradila Fina, z</w:t>
      </w:r>
      <w:r w:rsidRPr="00FD58B6">
        <w:rPr>
          <w:rFonts w:cs="Arial"/>
          <w:bCs/>
          <w:i/>
          <w:sz w:val="24"/>
          <w:szCs w:val="24"/>
        </w:rPr>
        <w:t xml:space="preserve">bog neizvršenih osnova za plaćanje, 30. lipnja 2015. godine </w:t>
      </w:r>
      <w:r w:rsidRPr="00D60434">
        <w:rPr>
          <w:rFonts w:cs="Arial"/>
          <w:bCs/>
          <w:i/>
          <w:color w:val="C00000"/>
          <w:sz w:val="24"/>
          <w:szCs w:val="24"/>
        </w:rPr>
        <w:t>u blokadi je bilo 320.214 građana</w:t>
      </w:r>
      <w:r w:rsidRPr="00FD58B6">
        <w:rPr>
          <w:rFonts w:cs="Arial"/>
          <w:bCs/>
          <w:i/>
          <w:sz w:val="24"/>
          <w:szCs w:val="24"/>
        </w:rPr>
        <w:t>. Njihov dug iz osnova iznosio je 33,61 milijardu kuna. Zadnji dan u lipnju 2014. godine, bila su blokirana 316.964 građana, čiji je dug iznosio 27,89 milijardi kuna, godinu dana ranije, u lipnju 2013. godine blokirano je bilo 262.657 građana s dugom od 20,22 milijarde kuna, dok su 30. lipnja 2012. godine u blokadi bila 229.072 građana, a dug je iznosio 14,83 milijarde kuna.</w:t>
      </w:r>
      <w:r w:rsidRPr="00FD58B6">
        <w:rPr>
          <w:rFonts w:cs="Arial"/>
          <w:i/>
          <w:sz w:val="24"/>
          <w:szCs w:val="24"/>
        </w:rPr>
        <w:t xml:space="preserve"> Jedan od razloga tom trendu jest </w:t>
      </w:r>
      <w:r w:rsidRPr="00713E5F">
        <w:rPr>
          <w:rFonts w:cs="Arial"/>
          <w:i/>
          <w:color w:val="C00000"/>
          <w:sz w:val="24"/>
          <w:szCs w:val="24"/>
        </w:rPr>
        <w:t>zatvaranje obrta</w:t>
      </w:r>
      <w:r w:rsidRPr="00FD58B6">
        <w:rPr>
          <w:rFonts w:cs="Arial"/>
          <w:i/>
          <w:sz w:val="24"/>
          <w:szCs w:val="24"/>
        </w:rPr>
        <w:t>, zbog čega se dug obrta, umjesto na obrtu, nakon njegova zatvaranja, evidentira njegovom dotadašnjem vlasniku, kao građaninu.</w:t>
      </w:r>
      <w:r>
        <w:rPr>
          <w:rFonts w:cs="Arial"/>
          <w:i/>
          <w:sz w:val="24"/>
          <w:szCs w:val="24"/>
        </w:rPr>
        <w:t xml:space="preserve"> …</w:t>
      </w:r>
    </w:p>
    <w:p w:rsidR="00596AD0" w:rsidRDefault="00596AD0" w:rsidP="00FE131E">
      <w:pPr>
        <w:widowControl w:val="0"/>
        <w:overflowPunct w:val="0"/>
        <w:autoSpaceDE w:val="0"/>
        <w:autoSpaceDN w:val="0"/>
        <w:adjustRightInd w:val="0"/>
        <w:jc w:val="both"/>
        <w:rPr>
          <w:rFonts w:cs="Times New Roman"/>
          <w:b/>
          <w:iCs/>
          <w:sz w:val="24"/>
          <w:szCs w:val="24"/>
        </w:rPr>
      </w:pPr>
    </w:p>
    <w:p w:rsidR="00FE131E" w:rsidRPr="005A6FFF" w:rsidRDefault="00FE131E" w:rsidP="00342900">
      <w:pPr>
        <w:widowControl w:val="0"/>
        <w:overflowPunct w:val="0"/>
        <w:autoSpaceDE w:val="0"/>
        <w:autoSpaceDN w:val="0"/>
        <w:adjustRightInd w:val="0"/>
        <w:spacing w:after="120"/>
        <w:jc w:val="both"/>
        <w:rPr>
          <w:rFonts w:cs="Times New Roman"/>
          <w:b/>
          <w:iCs/>
          <w:sz w:val="24"/>
          <w:szCs w:val="24"/>
        </w:rPr>
      </w:pPr>
      <w:r w:rsidRPr="005A6FFF">
        <w:rPr>
          <w:rFonts w:cs="Times New Roman"/>
          <w:b/>
          <w:iCs/>
          <w:sz w:val="24"/>
          <w:szCs w:val="24"/>
        </w:rPr>
        <w:lastRenderedPageBreak/>
        <w:t>Slika 37: Udio djelomično nenadoknadivih i potpuno nenadoknadivih kredita banaka u RH</w:t>
      </w:r>
    </w:p>
    <w:p w:rsidR="00FE131E" w:rsidRDefault="00FE131E" w:rsidP="00FE131E">
      <w:pPr>
        <w:widowControl w:val="0"/>
        <w:overflowPunct w:val="0"/>
        <w:autoSpaceDE w:val="0"/>
        <w:autoSpaceDN w:val="0"/>
        <w:adjustRightInd w:val="0"/>
        <w:spacing w:after="0"/>
        <w:jc w:val="both"/>
        <w:rPr>
          <w:rFonts w:cs="Times New Roman"/>
          <w:iCs/>
          <w:sz w:val="24"/>
          <w:szCs w:val="24"/>
        </w:rPr>
      </w:pPr>
      <w:r>
        <w:rPr>
          <w:rFonts w:cs="Times New Roman"/>
          <w:iCs/>
          <w:noProof/>
          <w:sz w:val="24"/>
          <w:szCs w:val="24"/>
          <w:lang w:eastAsia="hr-HR"/>
        </w:rPr>
        <w:drawing>
          <wp:inline distT="0" distB="0" distL="0" distR="0" wp14:anchorId="0DA0640F" wp14:editId="5D2B4E57">
            <wp:extent cx="5400675" cy="2594170"/>
            <wp:effectExtent l="0" t="0" r="0" b="0"/>
            <wp:docPr id="1143" name="Slika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00675" cy="2594170"/>
                    </a:xfrm>
                    <a:prstGeom prst="rect">
                      <a:avLst/>
                    </a:prstGeom>
                    <a:noFill/>
                    <a:ln>
                      <a:noFill/>
                    </a:ln>
                  </pic:spPr>
                </pic:pic>
              </a:graphicData>
            </a:graphic>
          </wp:inline>
        </w:drawing>
      </w:r>
    </w:p>
    <w:p w:rsidR="00FE131E" w:rsidRDefault="00FE131E" w:rsidP="009B2F94">
      <w:pPr>
        <w:widowControl w:val="0"/>
        <w:overflowPunct w:val="0"/>
        <w:autoSpaceDE w:val="0"/>
        <w:autoSpaceDN w:val="0"/>
        <w:adjustRightInd w:val="0"/>
        <w:jc w:val="both"/>
        <w:rPr>
          <w:rFonts w:cs="Times New Roman"/>
          <w:iCs/>
          <w:sz w:val="20"/>
          <w:szCs w:val="20"/>
        </w:rPr>
      </w:pPr>
      <w:r>
        <w:rPr>
          <w:rFonts w:cs="Times New Roman"/>
          <w:iCs/>
          <w:sz w:val="20"/>
          <w:szCs w:val="20"/>
        </w:rPr>
        <w:t>Izvor: p</w:t>
      </w:r>
      <w:r w:rsidRPr="005A6FFF">
        <w:rPr>
          <w:rFonts w:cs="Times New Roman"/>
          <w:iCs/>
          <w:sz w:val="20"/>
          <w:szCs w:val="20"/>
        </w:rPr>
        <w:t>reuzeto iz: HNB (20</w:t>
      </w:r>
      <w:r w:rsidR="004F786C">
        <w:rPr>
          <w:rFonts w:cs="Times New Roman"/>
          <w:iCs/>
          <w:sz w:val="20"/>
          <w:szCs w:val="20"/>
        </w:rPr>
        <w:t>15.), „Bilten o bankama“ br. 28</w:t>
      </w:r>
    </w:p>
    <w:p w:rsidR="00713E5F" w:rsidRPr="00FD58B6" w:rsidRDefault="00713E5F" w:rsidP="00713E5F">
      <w:pPr>
        <w:spacing w:before="120" w:after="0" w:line="252" w:lineRule="auto"/>
        <w:jc w:val="both"/>
        <w:rPr>
          <w:rFonts w:cs="Arial"/>
          <w:i/>
          <w:sz w:val="24"/>
          <w:szCs w:val="24"/>
        </w:rPr>
      </w:pPr>
      <w:r>
        <w:rPr>
          <w:rFonts w:cs="Arial"/>
          <w:i/>
          <w:sz w:val="24"/>
          <w:szCs w:val="24"/>
        </w:rPr>
        <w:t xml:space="preserve">… </w:t>
      </w:r>
      <w:r w:rsidRPr="00FD58B6">
        <w:rPr>
          <w:rFonts w:cs="Arial"/>
          <w:i/>
          <w:sz w:val="24"/>
          <w:szCs w:val="24"/>
        </w:rPr>
        <w:t>Iz analize duga građana prema iznosu duga, po segmentima, vidno je da je najviše građana čiji je dug s osnove neizvršenih osnova za plaćanje veći od 2 tisuće kuna, a jednak ili manji od 10 tisuća kuna. Tih je građana 30. lipnja 2015. godine bilo 84.759. Pribroje li se tom broju građana, oni koji su blokirani za iznos do 2 tisuće kuna, ukupno je 132.541 građanin blokiran zbog duga koji je jednak ili manji od 10 tisuća kuna</w:t>
      </w:r>
      <w:r>
        <w:rPr>
          <w:rFonts w:cs="Arial"/>
          <w:i/>
          <w:sz w:val="24"/>
          <w:szCs w:val="24"/>
        </w:rPr>
        <w:t xml:space="preserve"> . ….. </w:t>
      </w:r>
      <w:r w:rsidRPr="00FD58B6">
        <w:rPr>
          <w:rFonts w:cs="Arial"/>
          <w:i/>
          <w:sz w:val="24"/>
          <w:szCs w:val="24"/>
        </w:rPr>
        <w:t>U strukturi dospjelih neizvršenih osnova za plaćanje prema trajanju blokade računa građana, prevladavaju dugotrajne blokade i ona se, u dužem razdoblju, nije mijenjala. Dominiraju one u trajanju duljem od godinu dana, kako po broju građana, tako i po iznosu blokade.“</w:t>
      </w:r>
      <w:r w:rsidRPr="00D60434">
        <w:rPr>
          <w:rStyle w:val="Referencafusnote"/>
          <w:rFonts w:cs="Arial"/>
          <w:i/>
          <w:sz w:val="24"/>
          <w:szCs w:val="24"/>
        </w:rPr>
        <w:t xml:space="preserve"> </w:t>
      </w:r>
      <w:r>
        <w:rPr>
          <w:rStyle w:val="Referencafusnote"/>
          <w:rFonts w:cs="Arial"/>
          <w:i/>
          <w:sz w:val="24"/>
          <w:szCs w:val="24"/>
        </w:rPr>
        <w:footnoteReference w:id="77"/>
      </w:r>
      <w:r w:rsidR="00771025">
        <w:rPr>
          <w:rFonts w:cs="Arial"/>
          <w:i/>
          <w:sz w:val="24"/>
          <w:szCs w:val="24"/>
        </w:rPr>
        <w:t xml:space="preserve"> </w:t>
      </w:r>
      <w:r w:rsidR="00771025" w:rsidRPr="00771025">
        <w:rPr>
          <w:rFonts w:cs="Arial"/>
          <w:sz w:val="24"/>
          <w:szCs w:val="24"/>
        </w:rPr>
        <w:t>S obzirom na vjerovnike najveći dio duga osoba s blokiranim računima odnosi se na dug prema bankama, a potom prema državi,  društvima za osiguranje, teleoperaterima i kartičnim kućama.</w:t>
      </w:r>
      <w:r w:rsidR="00771025">
        <w:rPr>
          <w:rFonts w:cs="Arial"/>
          <w:i/>
          <w:sz w:val="24"/>
          <w:szCs w:val="24"/>
        </w:rPr>
        <w:t xml:space="preserve"> </w:t>
      </w:r>
    </w:p>
    <w:p w:rsidR="00DF4437" w:rsidRPr="00FD58B6" w:rsidRDefault="00DF4437" w:rsidP="00DF4437">
      <w:pPr>
        <w:tabs>
          <w:tab w:val="left" w:pos="1134"/>
        </w:tabs>
        <w:spacing w:before="180" w:after="60" w:line="260" w:lineRule="atLeast"/>
        <w:rPr>
          <w:rFonts w:cs="Arial"/>
          <w:b/>
          <w:bCs/>
          <w:sz w:val="24"/>
          <w:szCs w:val="24"/>
        </w:rPr>
      </w:pPr>
      <w:r w:rsidRPr="00FD58B6">
        <w:rPr>
          <w:rFonts w:cs="Arial"/>
          <w:b/>
          <w:bCs/>
          <w:sz w:val="24"/>
          <w:szCs w:val="24"/>
        </w:rPr>
        <w:t>Tablica 1</w:t>
      </w:r>
      <w:r w:rsidR="00FD58B6" w:rsidRPr="00FD58B6">
        <w:rPr>
          <w:rFonts w:cs="Arial"/>
          <w:b/>
          <w:bCs/>
          <w:sz w:val="24"/>
          <w:szCs w:val="24"/>
        </w:rPr>
        <w:t>6</w:t>
      </w:r>
      <w:r w:rsidRPr="00FD58B6">
        <w:rPr>
          <w:rFonts w:cs="Arial"/>
          <w:b/>
          <w:bCs/>
          <w:sz w:val="24"/>
          <w:szCs w:val="24"/>
        </w:rPr>
        <w:t>.</w:t>
      </w:r>
      <w:r w:rsidRPr="00FD58B6">
        <w:rPr>
          <w:rFonts w:cs="Arial"/>
          <w:b/>
          <w:bCs/>
          <w:sz w:val="24"/>
          <w:szCs w:val="24"/>
        </w:rPr>
        <w:tab/>
        <w:t>Dug građana segmentiran po vjerovnicima (skup) – stanje 30.6.2015.</w:t>
      </w:r>
    </w:p>
    <w:tbl>
      <w:tblPr>
        <w:tblW w:w="9087" w:type="dxa"/>
        <w:tblInd w:w="93" w:type="dxa"/>
        <w:tblLayout w:type="fixed"/>
        <w:tblLook w:val="04A0" w:firstRow="1" w:lastRow="0" w:firstColumn="1" w:lastColumn="0" w:noHBand="0" w:noVBand="1"/>
      </w:tblPr>
      <w:tblGrid>
        <w:gridCol w:w="1465"/>
        <w:gridCol w:w="4362"/>
        <w:gridCol w:w="1843"/>
        <w:gridCol w:w="1417"/>
      </w:tblGrid>
      <w:tr w:rsidR="00DF4437" w:rsidRPr="00FD58B6" w:rsidTr="00DF4437">
        <w:trPr>
          <w:trHeight w:val="340"/>
        </w:trPr>
        <w:tc>
          <w:tcPr>
            <w:tcW w:w="1465" w:type="dxa"/>
            <w:tcBorders>
              <w:top w:val="single" w:sz="4" w:space="0" w:color="FFFFFF"/>
              <w:left w:val="single" w:sz="4" w:space="0" w:color="FFFFFF"/>
              <w:bottom w:val="single" w:sz="4" w:space="0" w:color="FFFFFF"/>
              <w:right w:val="single" w:sz="4" w:space="0" w:color="FFFFFF"/>
            </w:tcBorders>
            <w:shd w:val="clear" w:color="auto" w:fill="244062"/>
            <w:noWrap/>
            <w:vAlign w:val="center"/>
            <w:hideMark/>
          </w:tcPr>
          <w:p w:rsidR="00DF4437" w:rsidRPr="00FD58B6" w:rsidRDefault="00DF4437">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Stanje na dan</w:t>
            </w:r>
          </w:p>
        </w:tc>
        <w:tc>
          <w:tcPr>
            <w:tcW w:w="4362" w:type="dxa"/>
            <w:tcBorders>
              <w:top w:val="single" w:sz="4" w:space="0" w:color="FFFFFF"/>
              <w:left w:val="nil"/>
              <w:bottom w:val="single" w:sz="4" w:space="0" w:color="FFFFFF"/>
              <w:right w:val="single" w:sz="4" w:space="0" w:color="FFFFFF"/>
            </w:tcBorders>
            <w:shd w:val="clear" w:color="auto" w:fill="244062"/>
            <w:vAlign w:val="center"/>
            <w:hideMark/>
          </w:tcPr>
          <w:p w:rsidR="00DF4437" w:rsidRPr="00FD58B6" w:rsidRDefault="00DF4437">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Vrsta (skup) vjerovnika</w:t>
            </w:r>
          </w:p>
        </w:tc>
        <w:tc>
          <w:tcPr>
            <w:tcW w:w="1843" w:type="dxa"/>
            <w:tcBorders>
              <w:top w:val="single" w:sz="4" w:space="0" w:color="FFFFFF"/>
              <w:left w:val="nil"/>
              <w:bottom w:val="single" w:sz="4" w:space="0" w:color="FFFFFF"/>
              <w:right w:val="single" w:sz="4" w:space="0" w:color="BFBFBF"/>
            </w:tcBorders>
            <w:shd w:val="clear" w:color="auto" w:fill="244062"/>
            <w:noWrap/>
            <w:vAlign w:val="center"/>
            <w:hideMark/>
          </w:tcPr>
          <w:p w:rsidR="00DF4437" w:rsidRPr="00FD58B6" w:rsidRDefault="00DF4437">
            <w:pPr>
              <w:spacing w:after="0" w:line="240" w:lineRule="auto"/>
              <w:jc w:val="center"/>
              <w:rPr>
                <w:rFonts w:ascii="Arial" w:eastAsia="Times New Roman" w:hAnsi="Arial" w:cs="Arial"/>
                <w:b/>
                <w:sz w:val="16"/>
                <w:szCs w:val="16"/>
                <w:lang w:eastAsia="hr-HR"/>
              </w:rPr>
            </w:pPr>
            <w:r w:rsidRPr="00FD58B6">
              <w:rPr>
                <w:rFonts w:ascii="Arial" w:eastAsia="Times New Roman" w:hAnsi="Arial" w:cs="Arial"/>
                <w:b/>
                <w:sz w:val="16"/>
                <w:szCs w:val="16"/>
                <w:lang w:eastAsia="hr-HR"/>
              </w:rPr>
              <w:t>Iznos duga</w:t>
            </w:r>
          </w:p>
        </w:tc>
        <w:tc>
          <w:tcPr>
            <w:tcW w:w="1417" w:type="dxa"/>
            <w:tcBorders>
              <w:top w:val="single" w:sz="4" w:space="0" w:color="FFFFFF"/>
              <w:left w:val="single" w:sz="4" w:space="0" w:color="BFBFBF"/>
              <w:bottom w:val="single" w:sz="4" w:space="0" w:color="FFFFFF"/>
              <w:right w:val="single" w:sz="4" w:space="0" w:color="FFFFFF"/>
            </w:tcBorders>
            <w:shd w:val="clear" w:color="auto" w:fill="244062"/>
            <w:vAlign w:val="center"/>
            <w:hideMark/>
          </w:tcPr>
          <w:p w:rsidR="00DF4437" w:rsidRPr="00FD58B6" w:rsidRDefault="00DF4437">
            <w:pPr>
              <w:spacing w:after="0" w:line="240" w:lineRule="auto"/>
              <w:jc w:val="center"/>
              <w:rPr>
                <w:rFonts w:ascii="Arial" w:eastAsia="Times New Roman" w:hAnsi="Arial" w:cs="Arial"/>
                <w:b/>
                <w:sz w:val="16"/>
                <w:szCs w:val="16"/>
                <w:lang w:eastAsia="hr-HR"/>
              </w:rPr>
            </w:pPr>
            <w:r w:rsidRPr="00FD58B6">
              <w:rPr>
                <w:rFonts w:ascii="Arial" w:eastAsia="Times New Roman" w:hAnsi="Arial" w:cs="Arial"/>
                <w:b/>
                <w:sz w:val="16"/>
                <w:szCs w:val="16"/>
                <w:lang w:eastAsia="hr-HR"/>
              </w:rPr>
              <w:t>Udio u %</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Banke, kreditne unije, ŠKZ i štedionice</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18.276.275.295,48</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54,39</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Leasing i factoring društva</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930.878.116,06</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2,77</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Osiguravajuća društva</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1.011.558.986,97</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3,01</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 xml:space="preserve">Tvrtke - kartično poslovanje </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760.740.087,35</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2,26</w:t>
            </w:r>
          </w:p>
        </w:tc>
      </w:tr>
      <w:tr w:rsidR="00DF4437" w:rsidRPr="00FD58B6" w:rsidTr="00DF4437">
        <w:trPr>
          <w:trHeight w:val="283"/>
        </w:trPr>
        <w:tc>
          <w:tcPr>
            <w:tcW w:w="5827" w:type="dxa"/>
            <w:gridSpan w:val="2"/>
            <w:tcBorders>
              <w:top w:val="single" w:sz="4" w:space="0" w:color="FFFFFF"/>
              <w:left w:val="single" w:sz="4" w:space="0" w:color="FFFFFF"/>
              <w:bottom w:val="single" w:sz="4" w:space="0" w:color="FFFFFF"/>
              <w:right w:val="single" w:sz="4" w:space="0" w:color="FFFFFF"/>
            </w:tcBorders>
            <w:shd w:val="clear" w:color="auto" w:fill="F2F2F2"/>
            <w:noWrap/>
            <w:vAlign w:val="center"/>
            <w:hideMark/>
          </w:tcPr>
          <w:p w:rsidR="00DF4437" w:rsidRPr="00771025" w:rsidRDefault="00DF4437">
            <w:pPr>
              <w:tabs>
                <w:tab w:val="left" w:pos="1835"/>
                <w:tab w:val="left" w:pos="2019"/>
              </w:tabs>
              <w:spacing w:after="0"/>
              <w:ind w:right="273"/>
              <w:rPr>
                <w:rFonts w:ascii="Arial" w:hAnsi="Arial" w:cs="Arial"/>
                <w:b/>
                <w:sz w:val="18"/>
                <w:szCs w:val="18"/>
              </w:rPr>
            </w:pPr>
            <w:r w:rsidRPr="00771025">
              <w:rPr>
                <w:rFonts w:ascii="Arial" w:eastAsia="Times New Roman" w:hAnsi="Arial" w:cs="Arial"/>
                <w:b/>
                <w:sz w:val="18"/>
                <w:szCs w:val="18"/>
                <w:lang w:eastAsia="hr-HR"/>
              </w:rPr>
              <w:t>Ukupan dug prema financijskom sektoru</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vAlign w:val="center"/>
            <w:hideMark/>
          </w:tcPr>
          <w:p w:rsidR="00DF4437" w:rsidRPr="00771025" w:rsidRDefault="00DF4437">
            <w:pPr>
              <w:spacing w:after="0"/>
              <w:jc w:val="right"/>
              <w:rPr>
                <w:rFonts w:ascii="Arial" w:hAnsi="Arial" w:cs="Arial"/>
                <w:b/>
                <w:sz w:val="18"/>
                <w:szCs w:val="18"/>
              </w:rPr>
            </w:pPr>
            <w:r w:rsidRPr="00771025">
              <w:rPr>
                <w:rFonts w:ascii="Arial" w:hAnsi="Arial" w:cs="Arial"/>
                <w:b/>
                <w:sz w:val="18"/>
                <w:szCs w:val="18"/>
              </w:rPr>
              <w:t>20.979.452.485,86</w:t>
            </w:r>
          </w:p>
        </w:tc>
        <w:tc>
          <w:tcPr>
            <w:tcW w:w="1417" w:type="dxa"/>
            <w:tcBorders>
              <w:top w:val="single" w:sz="4" w:space="0" w:color="FFFFFF"/>
              <w:left w:val="single" w:sz="4" w:space="0" w:color="FFFFFF"/>
              <w:bottom w:val="single" w:sz="4" w:space="0" w:color="FFFFFF"/>
              <w:right w:val="single" w:sz="4" w:space="0" w:color="FFFFFF"/>
            </w:tcBorders>
            <w:shd w:val="clear" w:color="auto" w:fill="F2F2F2"/>
            <w:vAlign w:val="center"/>
            <w:hideMark/>
          </w:tcPr>
          <w:p w:rsidR="00DF4437" w:rsidRPr="00771025" w:rsidRDefault="00DF4437">
            <w:pPr>
              <w:spacing w:after="0" w:line="240" w:lineRule="auto"/>
              <w:ind w:right="176"/>
              <w:jc w:val="right"/>
              <w:rPr>
                <w:rFonts w:ascii="Arial" w:eastAsia="Times New Roman" w:hAnsi="Arial" w:cs="Arial"/>
                <w:b/>
                <w:sz w:val="18"/>
                <w:szCs w:val="18"/>
                <w:lang w:eastAsia="hr-HR"/>
              </w:rPr>
            </w:pPr>
            <w:r w:rsidRPr="00771025">
              <w:rPr>
                <w:rFonts w:ascii="Arial" w:eastAsia="Times New Roman" w:hAnsi="Arial" w:cs="Arial"/>
                <w:b/>
                <w:sz w:val="18"/>
                <w:szCs w:val="18"/>
                <w:lang w:eastAsia="hr-HR"/>
              </w:rPr>
              <w:t>62,43</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Središnja država</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hAnsi="Arial" w:cs="Arial"/>
                <w:sz w:val="18"/>
                <w:szCs w:val="18"/>
              </w:rPr>
            </w:pPr>
            <w:r w:rsidRPr="00771025">
              <w:rPr>
                <w:rFonts w:ascii="Arial" w:hAnsi="Arial" w:cs="Arial"/>
                <w:sz w:val="18"/>
                <w:szCs w:val="18"/>
              </w:rPr>
              <w:t>3.223.397.426,05</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9,59</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Županije, gradovi/općine (JLP(R)S)</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hAnsi="Arial" w:cs="Arial"/>
                <w:sz w:val="18"/>
                <w:szCs w:val="18"/>
              </w:rPr>
            </w:pPr>
            <w:r w:rsidRPr="00771025">
              <w:rPr>
                <w:rFonts w:ascii="Arial" w:hAnsi="Arial" w:cs="Arial"/>
                <w:sz w:val="18"/>
                <w:szCs w:val="18"/>
              </w:rPr>
              <w:t>304.860.431,39</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0,91</w:t>
            </w:r>
          </w:p>
        </w:tc>
      </w:tr>
      <w:tr w:rsidR="00DF4437" w:rsidRPr="00FD58B6" w:rsidTr="00DF4437">
        <w:trPr>
          <w:trHeight w:val="283"/>
        </w:trPr>
        <w:tc>
          <w:tcPr>
            <w:tcW w:w="5827" w:type="dxa"/>
            <w:gridSpan w:val="2"/>
            <w:tcBorders>
              <w:top w:val="single" w:sz="4" w:space="0" w:color="FFFFFF"/>
              <w:left w:val="single" w:sz="4" w:space="0" w:color="FFFFFF"/>
              <w:bottom w:val="single" w:sz="4" w:space="0" w:color="FFFFFF"/>
              <w:right w:val="single" w:sz="4" w:space="0" w:color="FFFFFF"/>
            </w:tcBorders>
            <w:shd w:val="clear" w:color="auto" w:fill="F2F2F2"/>
            <w:noWrap/>
            <w:vAlign w:val="center"/>
            <w:hideMark/>
          </w:tcPr>
          <w:p w:rsidR="00DF4437" w:rsidRPr="00771025" w:rsidRDefault="00DF4437">
            <w:pPr>
              <w:spacing w:after="0" w:line="240" w:lineRule="auto"/>
              <w:rPr>
                <w:rFonts w:ascii="Arial" w:eastAsia="Times New Roman" w:hAnsi="Arial" w:cs="Arial"/>
                <w:b/>
                <w:sz w:val="18"/>
                <w:szCs w:val="18"/>
                <w:lang w:eastAsia="hr-HR"/>
              </w:rPr>
            </w:pPr>
            <w:r w:rsidRPr="00771025">
              <w:rPr>
                <w:rFonts w:ascii="Arial" w:eastAsia="Times New Roman" w:hAnsi="Arial" w:cs="Arial"/>
                <w:b/>
                <w:sz w:val="18"/>
                <w:szCs w:val="18"/>
                <w:lang w:eastAsia="hr-HR"/>
              </w:rPr>
              <w:t>Ukupan dug prema središnjoj državi i JLP(R)S</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vAlign w:val="center"/>
            <w:hideMark/>
          </w:tcPr>
          <w:p w:rsidR="00DF4437" w:rsidRPr="00771025" w:rsidRDefault="00DF4437">
            <w:pPr>
              <w:spacing w:after="0" w:line="240" w:lineRule="auto"/>
              <w:jc w:val="right"/>
              <w:rPr>
                <w:rFonts w:ascii="Arial" w:eastAsia="Times New Roman" w:hAnsi="Arial" w:cs="Arial"/>
                <w:b/>
                <w:sz w:val="18"/>
                <w:szCs w:val="18"/>
                <w:lang w:eastAsia="hr-HR"/>
              </w:rPr>
            </w:pPr>
            <w:r w:rsidRPr="00771025">
              <w:rPr>
                <w:rFonts w:ascii="Arial" w:eastAsia="Times New Roman" w:hAnsi="Arial" w:cs="Arial"/>
                <w:b/>
                <w:sz w:val="18"/>
                <w:szCs w:val="18"/>
                <w:lang w:eastAsia="hr-HR"/>
              </w:rPr>
              <w:t>3.528.257.857,44</w:t>
            </w:r>
          </w:p>
        </w:tc>
        <w:tc>
          <w:tcPr>
            <w:tcW w:w="1417" w:type="dxa"/>
            <w:tcBorders>
              <w:top w:val="single" w:sz="4" w:space="0" w:color="FFFFFF"/>
              <w:left w:val="single" w:sz="4" w:space="0" w:color="FFFFFF"/>
              <w:bottom w:val="single" w:sz="4" w:space="0" w:color="FFFFFF"/>
              <w:right w:val="single" w:sz="4" w:space="0" w:color="FFFFFF"/>
            </w:tcBorders>
            <w:shd w:val="clear" w:color="auto" w:fill="F2F2F2"/>
            <w:vAlign w:val="center"/>
            <w:hideMark/>
          </w:tcPr>
          <w:p w:rsidR="00DF4437" w:rsidRPr="00771025" w:rsidRDefault="00DF4437">
            <w:pPr>
              <w:spacing w:after="0" w:line="240" w:lineRule="auto"/>
              <w:ind w:right="176"/>
              <w:jc w:val="right"/>
              <w:rPr>
                <w:rFonts w:ascii="Arial" w:eastAsia="Times New Roman" w:hAnsi="Arial" w:cs="Arial"/>
                <w:b/>
                <w:sz w:val="18"/>
                <w:szCs w:val="18"/>
                <w:lang w:eastAsia="hr-HR"/>
              </w:rPr>
            </w:pPr>
            <w:r w:rsidRPr="00771025">
              <w:rPr>
                <w:rFonts w:ascii="Arial" w:eastAsia="Times New Roman" w:hAnsi="Arial" w:cs="Arial"/>
                <w:b/>
                <w:sz w:val="18"/>
                <w:szCs w:val="18"/>
                <w:lang w:eastAsia="hr-HR"/>
              </w:rPr>
              <w:t>10,50</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Telekomunikacijske tvrtke (usluge)</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894.217.722,79</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2,66</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Odvjetnici i sudski vještaci</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373.001.496,33</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1,11</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Komunalne tvrtke (usluge)</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234.926.373,18</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0,70</w:t>
            </w:r>
          </w:p>
        </w:tc>
      </w:tr>
      <w:tr w:rsidR="00DF4437" w:rsidRPr="00FD58B6" w:rsidTr="00DF4437">
        <w:trPr>
          <w:trHeight w:val="283"/>
        </w:trPr>
        <w:tc>
          <w:tcPr>
            <w:tcW w:w="1465"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center"/>
              <w:rPr>
                <w:rFonts w:ascii="Arial" w:eastAsia="Times New Roman" w:hAnsi="Arial" w:cs="Arial"/>
                <w:sz w:val="18"/>
                <w:szCs w:val="18"/>
                <w:lang w:eastAsia="hr-HR"/>
              </w:rPr>
            </w:pPr>
            <w:r w:rsidRPr="00771025">
              <w:rPr>
                <w:rFonts w:ascii="Arial" w:eastAsia="Times New Roman" w:hAnsi="Arial" w:cs="Arial"/>
                <w:sz w:val="18"/>
                <w:szCs w:val="18"/>
                <w:lang w:eastAsia="hr-HR"/>
              </w:rPr>
              <w:t>30.6.2015.</w:t>
            </w:r>
          </w:p>
        </w:tc>
        <w:tc>
          <w:tcPr>
            <w:tcW w:w="4362"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sz w:val="18"/>
                <w:szCs w:val="18"/>
                <w:lang w:eastAsia="hr-HR"/>
              </w:rPr>
              <w:t>Svi ostali vjerovnici (ostale tvrtke, građani, obrti ...)</w:t>
            </w:r>
          </w:p>
        </w:tc>
        <w:tc>
          <w:tcPr>
            <w:tcW w:w="1843" w:type="dxa"/>
            <w:tcBorders>
              <w:top w:val="single" w:sz="4" w:space="0" w:color="FFFFFF"/>
              <w:left w:val="single" w:sz="4" w:space="0" w:color="FFFFFF"/>
              <w:bottom w:val="single" w:sz="4" w:space="0" w:color="FFFFFF"/>
              <w:right w:val="single" w:sz="4" w:space="0" w:color="FFFFFF"/>
            </w:tcBorders>
            <w:shd w:val="clear" w:color="auto" w:fill="DBE5F1"/>
            <w:noWrap/>
            <w:vAlign w:val="center"/>
            <w:hideMark/>
          </w:tcPr>
          <w:p w:rsidR="00DF4437" w:rsidRPr="00771025" w:rsidRDefault="00DF4437">
            <w:pPr>
              <w:spacing w:after="0" w:line="240" w:lineRule="auto"/>
              <w:jc w:val="right"/>
              <w:rPr>
                <w:rFonts w:ascii="Arial" w:eastAsia="Times New Roman" w:hAnsi="Arial" w:cs="Arial"/>
                <w:sz w:val="18"/>
                <w:szCs w:val="18"/>
                <w:lang w:eastAsia="hr-HR"/>
              </w:rPr>
            </w:pPr>
            <w:r w:rsidRPr="00771025">
              <w:rPr>
                <w:rFonts w:ascii="Arial" w:eastAsia="Times New Roman" w:hAnsi="Arial" w:cs="Arial"/>
                <w:sz w:val="18"/>
                <w:szCs w:val="18"/>
                <w:lang w:eastAsia="hr-HR"/>
              </w:rPr>
              <w:t>7.595.164.191,48</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DF4437" w:rsidRPr="00771025" w:rsidRDefault="00DF4437">
            <w:pPr>
              <w:spacing w:after="0" w:line="240" w:lineRule="auto"/>
              <w:ind w:right="176"/>
              <w:jc w:val="right"/>
              <w:rPr>
                <w:rFonts w:ascii="Arial" w:hAnsi="Arial" w:cs="Arial"/>
                <w:sz w:val="18"/>
                <w:szCs w:val="18"/>
              </w:rPr>
            </w:pPr>
            <w:r w:rsidRPr="00771025">
              <w:rPr>
                <w:rFonts w:ascii="Arial" w:hAnsi="Arial" w:cs="Arial"/>
                <w:sz w:val="18"/>
                <w:szCs w:val="18"/>
              </w:rPr>
              <w:t>22,60</w:t>
            </w:r>
          </w:p>
        </w:tc>
      </w:tr>
      <w:tr w:rsidR="00DF4437" w:rsidRPr="00FD58B6" w:rsidTr="00DF4437">
        <w:trPr>
          <w:trHeight w:val="340"/>
        </w:trPr>
        <w:tc>
          <w:tcPr>
            <w:tcW w:w="5827" w:type="dxa"/>
            <w:gridSpan w:val="2"/>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DF4437" w:rsidRPr="00771025" w:rsidRDefault="00DF4437">
            <w:pPr>
              <w:spacing w:after="0" w:line="240" w:lineRule="auto"/>
              <w:rPr>
                <w:rFonts w:ascii="Arial" w:eastAsia="Times New Roman" w:hAnsi="Arial" w:cs="Arial"/>
                <w:sz w:val="18"/>
                <w:szCs w:val="18"/>
                <w:lang w:eastAsia="hr-HR"/>
              </w:rPr>
            </w:pPr>
            <w:r w:rsidRPr="00771025">
              <w:rPr>
                <w:rFonts w:ascii="Arial" w:eastAsia="Times New Roman" w:hAnsi="Arial" w:cs="Arial"/>
                <w:b/>
                <w:bCs/>
                <w:sz w:val="18"/>
                <w:szCs w:val="18"/>
                <w:lang w:eastAsia="hr-HR"/>
              </w:rPr>
              <w:t>SVEUKUPAN iznos duga građana</w:t>
            </w:r>
          </w:p>
        </w:tc>
        <w:tc>
          <w:tcPr>
            <w:tcW w:w="1843"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DF4437" w:rsidRPr="00771025" w:rsidRDefault="00DF4437">
            <w:pPr>
              <w:spacing w:after="0" w:line="240" w:lineRule="auto"/>
              <w:jc w:val="right"/>
              <w:rPr>
                <w:rFonts w:ascii="Arial" w:eastAsia="Times New Roman" w:hAnsi="Arial" w:cs="Arial"/>
                <w:b/>
                <w:bCs/>
                <w:sz w:val="18"/>
                <w:szCs w:val="18"/>
                <w:lang w:eastAsia="hr-HR"/>
              </w:rPr>
            </w:pPr>
            <w:r w:rsidRPr="00771025">
              <w:rPr>
                <w:rFonts w:ascii="Arial" w:eastAsia="Times New Roman" w:hAnsi="Arial" w:cs="Arial"/>
                <w:b/>
                <w:bCs/>
                <w:sz w:val="18"/>
                <w:szCs w:val="18"/>
                <w:lang w:eastAsia="hr-HR"/>
              </w:rPr>
              <w:t>33.605.020.127,08</w:t>
            </w:r>
          </w:p>
        </w:tc>
        <w:tc>
          <w:tcPr>
            <w:tcW w:w="1417"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rsidR="00DF4437" w:rsidRPr="00771025" w:rsidRDefault="00DF4437">
            <w:pPr>
              <w:spacing w:after="0" w:line="240" w:lineRule="auto"/>
              <w:ind w:right="175"/>
              <w:jc w:val="right"/>
              <w:rPr>
                <w:rFonts w:ascii="Arial" w:eastAsia="Times New Roman" w:hAnsi="Arial" w:cs="Arial"/>
                <w:b/>
                <w:bCs/>
                <w:sz w:val="18"/>
                <w:szCs w:val="18"/>
                <w:lang w:eastAsia="hr-HR"/>
              </w:rPr>
            </w:pPr>
            <w:r w:rsidRPr="00771025">
              <w:rPr>
                <w:rFonts w:ascii="Arial" w:hAnsi="Arial" w:cs="Arial"/>
                <w:b/>
                <w:sz w:val="18"/>
                <w:szCs w:val="18"/>
              </w:rPr>
              <w:t>100,00</w:t>
            </w:r>
          </w:p>
        </w:tc>
      </w:tr>
    </w:tbl>
    <w:p w:rsidR="00DF4437" w:rsidRPr="00FD58B6" w:rsidRDefault="00DF4437" w:rsidP="00DF4437">
      <w:pPr>
        <w:tabs>
          <w:tab w:val="left" w:pos="4536"/>
        </w:tabs>
        <w:spacing w:after="0" w:line="240" w:lineRule="atLeast"/>
        <w:jc w:val="both"/>
        <w:rPr>
          <w:rFonts w:ascii="Arial" w:hAnsi="Arial" w:cs="Arial"/>
          <w:i/>
          <w:sz w:val="16"/>
          <w:szCs w:val="16"/>
        </w:rPr>
      </w:pPr>
      <w:r w:rsidRPr="00FD58B6">
        <w:rPr>
          <w:rFonts w:ascii="Arial" w:hAnsi="Arial" w:cs="Arial"/>
          <w:i/>
          <w:sz w:val="16"/>
          <w:szCs w:val="16"/>
        </w:rPr>
        <w:t xml:space="preserve">Izvor: </w:t>
      </w:r>
      <w:r w:rsidR="00FD58B6" w:rsidRPr="00FD58B6">
        <w:rPr>
          <w:rFonts w:ascii="Arial" w:hAnsi="Arial" w:cs="Arial"/>
          <w:i/>
          <w:sz w:val="16"/>
          <w:szCs w:val="16"/>
        </w:rPr>
        <w:t xml:space="preserve">preuzeto iz: </w:t>
      </w:r>
      <w:r w:rsidRPr="00FD58B6">
        <w:rPr>
          <w:rFonts w:ascii="Arial" w:hAnsi="Arial" w:cs="Arial"/>
          <w:i/>
          <w:sz w:val="16"/>
          <w:szCs w:val="16"/>
        </w:rPr>
        <w:t>Financijska agencija - Očevidnik redoslijeda osnova za plaćanje</w:t>
      </w:r>
    </w:p>
    <w:p w:rsidR="00DF4437" w:rsidRPr="00FD58B6" w:rsidRDefault="00DF4437" w:rsidP="003D2D36">
      <w:pPr>
        <w:tabs>
          <w:tab w:val="left" w:pos="993"/>
          <w:tab w:val="left" w:pos="4536"/>
        </w:tabs>
        <w:spacing w:before="240" w:after="60" w:line="240" w:lineRule="auto"/>
        <w:jc w:val="both"/>
        <w:rPr>
          <w:rFonts w:cs="Arial"/>
          <w:b/>
          <w:sz w:val="24"/>
          <w:szCs w:val="24"/>
        </w:rPr>
      </w:pPr>
      <w:r w:rsidRPr="00FD58B6">
        <w:rPr>
          <w:rFonts w:cs="Arial"/>
          <w:b/>
          <w:sz w:val="24"/>
          <w:szCs w:val="24"/>
        </w:rPr>
        <w:lastRenderedPageBreak/>
        <w:t xml:space="preserve">Tablica </w:t>
      </w:r>
      <w:r w:rsidR="00FD58B6" w:rsidRPr="00FD58B6">
        <w:rPr>
          <w:rFonts w:cs="Arial"/>
          <w:b/>
          <w:sz w:val="24"/>
          <w:szCs w:val="24"/>
        </w:rPr>
        <w:t>17</w:t>
      </w:r>
      <w:r w:rsidRPr="00FD58B6">
        <w:rPr>
          <w:rFonts w:cs="Arial"/>
          <w:b/>
          <w:sz w:val="24"/>
          <w:szCs w:val="24"/>
        </w:rPr>
        <w:t>.</w:t>
      </w:r>
      <w:r w:rsidRPr="00FD58B6">
        <w:rPr>
          <w:b/>
          <w:sz w:val="24"/>
          <w:szCs w:val="24"/>
        </w:rPr>
        <w:t xml:space="preserve"> </w:t>
      </w:r>
      <w:r w:rsidRPr="00FD58B6">
        <w:rPr>
          <w:rFonts w:cs="Arial"/>
          <w:b/>
          <w:sz w:val="24"/>
          <w:szCs w:val="24"/>
        </w:rPr>
        <w:t xml:space="preserve">Broj blokiranih građana i iznos prijavljenih neizvršenih osnova za plaćanje prema ročnosti – 30.6.2015. </w:t>
      </w:r>
    </w:p>
    <w:tbl>
      <w:tblPr>
        <w:tblW w:w="9087" w:type="dxa"/>
        <w:tblInd w:w="93" w:type="dxa"/>
        <w:tblBorders>
          <w:top w:val="single" w:sz="4" w:space="0" w:color="244061"/>
          <w:left w:val="single" w:sz="4" w:space="0" w:color="244061"/>
          <w:bottom w:val="single" w:sz="4" w:space="0" w:color="244061"/>
          <w:right w:val="single" w:sz="4" w:space="0" w:color="244061"/>
          <w:insideH w:val="single" w:sz="4" w:space="0" w:color="244061"/>
          <w:insideV w:val="single" w:sz="4" w:space="0" w:color="244061"/>
        </w:tblBorders>
        <w:tblLayout w:type="fixed"/>
        <w:tblLook w:val="04A0" w:firstRow="1" w:lastRow="0" w:firstColumn="1" w:lastColumn="0" w:noHBand="0" w:noVBand="1"/>
      </w:tblPr>
      <w:tblGrid>
        <w:gridCol w:w="2000"/>
        <w:gridCol w:w="2126"/>
        <w:gridCol w:w="1701"/>
        <w:gridCol w:w="1843"/>
        <w:gridCol w:w="1417"/>
      </w:tblGrid>
      <w:tr w:rsidR="00FD58B6" w:rsidRPr="00FD58B6" w:rsidTr="001B0107">
        <w:trPr>
          <w:trHeight w:val="312"/>
        </w:trPr>
        <w:tc>
          <w:tcPr>
            <w:tcW w:w="2000"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Trajanje blokade</w:t>
            </w:r>
          </w:p>
        </w:tc>
        <w:tc>
          <w:tcPr>
            <w:tcW w:w="2126"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Iznos duga</w:t>
            </w:r>
          </w:p>
        </w:tc>
        <w:tc>
          <w:tcPr>
            <w:tcW w:w="1701"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Udio u %</w:t>
            </w:r>
          </w:p>
        </w:tc>
        <w:tc>
          <w:tcPr>
            <w:tcW w:w="1843"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Broj blokiranih građana</w:t>
            </w:r>
          </w:p>
        </w:tc>
        <w:tc>
          <w:tcPr>
            <w:tcW w:w="1417" w:type="dxa"/>
            <w:tcBorders>
              <w:top w:val="single" w:sz="4" w:space="0" w:color="FFFFFF"/>
              <w:left w:val="single" w:sz="4" w:space="0" w:color="FFFFFF"/>
              <w:bottom w:val="single" w:sz="4" w:space="0" w:color="FFFFFF"/>
              <w:right w:val="single" w:sz="4" w:space="0" w:color="FFFFFF"/>
            </w:tcBorders>
            <w:shd w:val="clear" w:color="auto" w:fill="244061"/>
            <w:vAlign w:val="center"/>
            <w:hideMark/>
          </w:tcPr>
          <w:p w:rsidR="00FD58B6" w:rsidRPr="00FD58B6" w:rsidRDefault="00FD58B6">
            <w:pPr>
              <w:spacing w:after="0" w:line="240" w:lineRule="auto"/>
              <w:jc w:val="center"/>
              <w:rPr>
                <w:rFonts w:ascii="Arial" w:eastAsia="Times New Roman" w:hAnsi="Arial" w:cs="Arial"/>
                <w:b/>
                <w:bCs/>
                <w:sz w:val="16"/>
                <w:szCs w:val="16"/>
                <w:lang w:eastAsia="hr-HR"/>
              </w:rPr>
            </w:pPr>
            <w:r w:rsidRPr="00FD58B6">
              <w:rPr>
                <w:rFonts w:ascii="Arial" w:eastAsia="Times New Roman" w:hAnsi="Arial" w:cs="Arial"/>
                <w:b/>
                <w:bCs/>
                <w:sz w:val="16"/>
                <w:szCs w:val="16"/>
                <w:lang w:eastAsia="hr-HR"/>
              </w:rPr>
              <w:t>Udio u %</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do 30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97.009.526,50</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0,29</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11.384</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3,55</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od 31-60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81.112.486,08</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0,24</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7.489</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2,34</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od 61-180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568.494.956,86</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1,69</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23.435</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7,32</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od 181-360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1.154.908.900,74</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3,44</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25.229</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7,88</w:t>
            </w:r>
          </w:p>
        </w:tc>
      </w:tr>
      <w:tr w:rsidR="00FD58B6" w:rsidRPr="00FD58B6" w:rsidTr="001B0107">
        <w:trPr>
          <w:trHeight w:val="283"/>
        </w:trPr>
        <w:tc>
          <w:tcPr>
            <w:tcW w:w="2000"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jc w:val="right"/>
              <w:rPr>
                <w:rFonts w:ascii="Arial" w:eastAsia="Times New Roman" w:hAnsi="Arial" w:cs="Arial"/>
                <w:sz w:val="18"/>
                <w:szCs w:val="18"/>
                <w:lang w:eastAsia="hr-HR"/>
              </w:rPr>
            </w:pPr>
            <w:r w:rsidRPr="00FD58B6">
              <w:rPr>
                <w:rFonts w:ascii="Arial" w:eastAsia="Times New Roman" w:hAnsi="Arial" w:cs="Arial"/>
                <w:sz w:val="18"/>
                <w:szCs w:val="18"/>
                <w:lang w:eastAsia="hr-HR"/>
              </w:rPr>
              <w:t>više od 360 dana</w:t>
            </w:r>
          </w:p>
        </w:tc>
        <w:tc>
          <w:tcPr>
            <w:tcW w:w="2126"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127"/>
              <w:jc w:val="right"/>
              <w:rPr>
                <w:rFonts w:ascii="Arial" w:hAnsi="Arial" w:cs="Arial"/>
                <w:sz w:val="18"/>
                <w:szCs w:val="18"/>
              </w:rPr>
            </w:pPr>
            <w:r w:rsidRPr="00FD58B6">
              <w:rPr>
                <w:rFonts w:ascii="Arial" w:hAnsi="Arial" w:cs="Arial"/>
                <w:sz w:val="18"/>
                <w:szCs w:val="18"/>
              </w:rPr>
              <w:t>31.703.494.256,90</w:t>
            </w:r>
          </w:p>
        </w:tc>
        <w:tc>
          <w:tcPr>
            <w:tcW w:w="1701"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11"/>
              <w:jc w:val="right"/>
              <w:rPr>
                <w:rFonts w:ascii="Arial" w:hAnsi="Arial" w:cs="Arial"/>
                <w:sz w:val="18"/>
                <w:szCs w:val="18"/>
              </w:rPr>
            </w:pPr>
            <w:r w:rsidRPr="00FD58B6">
              <w:rPr>
                <w:rFonts w:ascii="Arial" w:hAnsi="Arial" w:cs="Arial"/>
                <w:sz w:val="18"/>
                <w:szCs w:val="18"/>
              </w:rPr>
              <w:t>94,34</w:t>
            </w:r>
          </w:p>
        </w:tc>
        <w:tc>
          <w:tcPr>
            <w:tcW w:w="1843"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438"/>
              <w:jc w:val="right"/>
              <w:rPr>
                <w:rFonts w:ascii="Arial" w:hAnsi="Arial" w:cs="Arial"/>
                <w:sz w:val="18"/>
                <w:szCs w:val="18"/>
              </w:rPr>
            </w:pPr>
            <w:r w:rsidRPr="00FD58B6">
              <w:rPr>
                <w:rFonts w:ascii="Arial" w:hAnsi="Arial" w:cs="Arial"/>
                <w:sz w:val="18"/>
                <w:szCs w:val="18"/>
              </w:rPr>
              <w:t>252.677</w:t>
            </w:r>
          </w:p>
        </w:tc>
        <w:tc>
          <w:tcPr>
            <w:tcW w:w="1417" w:type="dxa"/>
            <w:tcBorders>
              <w:top w:val="single" w:sz="4" w:space="0" w:color="FFFFFF"/>
              <w:left w:val="single" w:sz="4" w:space="0" w:color="FFFFFF"/>
              <w:bottom w:val="single" w:sz="4" w:space="0" w:color="FFFFFF"/>
              <w:right w:val="single" w:sz="4" w:space="0" w:color="FFFFFF"/>
            </w:tcBorders>
            <w:shd w:val="clear" w:color="auto" w:fill="DBE5F1"/>
            <w:vAlign w:val="center"/>
            <w:hideMark/>
          </w:tcPr>
          <w:p w:rsidR="00FD58B6" w:rsidRPr="00FD58B6" w:rsidRDefault="00FD58B6">
            <w:pPr>
              <w:spacing w:after="0" w:line="240" w:lineRule="auto"/>
              <w:ind w:right="240"/>
              <w:jc w:val="right"/>
              <w:rPr>
                <w:rFonts w:ascii="Arial" w:hAnsi="Arial" w:cs="Arial"/>
                <w:sz w:val="18"/>
                <w:szCs w:val="18"/>
              </w:rPr>
            </w:pPr>
            <w:r w:rsidRPr="00FD58B6">
              <w:rPr>
                <w:rFonts w:ascii="Arial" w:hAnsi="Arial" w:cs="Arial"/>
                <w:sz w:val="18"/>
                <w:szCs w:val="18"/>
              </w:rPr>
              <w:t>78,91</w:t>
            </w:r>
          </w:p>
        </w:tc>
      </w:tr>
      <w:tr w:rsidR="00FD58B6" w:rsidRPr="00FD58B6" w:rsidTr="001B0107">
        <w:trPr>
          <w:trHeight w:val="312"/>
        </w:trPr>
        <w:tc>
          <w:tcPr>
            <w:tcW w:w="2000"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FD58B6" w:rsidRPr="00FD58B6" w:rsidRDefault="00FD58B6">
            <w:pPr>
              <w:spacing w:after="0" w:line="240" w:lineRule="auto"/>
              <w:jc w:val="right"/>
              <w:rPr>
                <w:rFonts w:ascii="Arial" w:eastAsia="Times New Roman" w:hAnsi="Arial" w:cs="Arial"/>
                <w:bCs/>
                <w:sz w:val="18"/>
                <w:szCs w:val="18"/>
                <w:lang w:eastAsia="hr-HR"/>
              </w:rPr>
            </w:pPr>
            <w:r w:rsidRPr="00FD58B6">
              <w:rPr>
                <w:rFonts w:ascii="Arial" w:eastAsia="Times New Roman" w:hAnsi="Arial" w:cs="Arial"/>
                <w:bCs/>
                <w:sz w:val="18"/>
                <w:szCs w:val="18"/>
                <w:lang w:eastAsia="hr-HR"/>
              </w:rPr>
              <w:t> </w:t>
            </w:r>
          </w:p>
        </w:tc>
        <w:tc>
          <w:tcPr>
            <w:tcW w:w="2126"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FD58B6" w:rsidRPr="00FD58B6" w:rsidRDefault="00FD58B6">
            <w:pPr>
              <w:spacing w:after="0" w:line="240" w:lineRule="auto"/>
              <w:ind w:right="127"/>
              <w:jc w:val="right"/>
              <w:rPr>
                <w:rFonts w:ascii="Arial" w:eastAsia="Times New Roman" w:hAnsi="Arial" w:cs="Arial"/>
                <w:b/>
                <w:bCs/>
                <w:sz w:val="18"/>
                <w:szCs w:val="18"/>
                <w:lang w:eastAsia="hr-HR"/>
              </w:rPr>
            </w:pPr>
            <w:r w:rsidRPr="00FD58B6">
              <w:rPr>
                <w:rFonts w:ascii="Arial" w:eastAsia="Times New Roman" w:hAnsi="Arial" w:cs="Arial"/>
                <w:b/>
                <w:bCs/>
                <w:sz w:val="18"/>
                <w:szCs w:val="18"/>
                <w:lang w:eastAsia="hr-HR"/>
              </w:rPr>
              <w:t>33.605.020.127,08</w:t>
            </w:r>
          </w:p>
        </w:tc>
        <w:tc>
          <w:tcPr>
            <w:tcW w:w="1701"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rsidR="00FD58B6" w:rsidRPr="00FD58B6" w:rsidRDefault="00FD58B6">
            <w:pPr>
              <w:spacing w:after="0" w:line="240" w:lineRule="auto"/>
              <w:ind w:right="240"/>
              <w:jc w:val="right"/>
              <w:rPr>
                <w:rFonts w:ascii="Arial" w:eastAsia="Times New Roman" w:hAnsi="Arial" w:cs="Arial"/>
                <w:b/>
                <w:bCs/>
                <w:sz w:val="18"/>
                <w:szCs w:val="18"/>
                <w:lang w:eastAsia="hr-HR"/>
              </w:rPr>
            </w:pPr>
            <w:r w:rsidRPr="00FD58B6">
              <w:rPr>
                <w:rFonts w:ascii="Arial" w:hAnsi="Arial" w:cs="Arial"/>
                <w:b/>
                <w:sz w:val="18"/>
                <w:szCs w:val="18"/>
              </w:rPr>
              <w:t>100,00</w:t>
            </w:r>
          </w:p>
        </w:tc>
        <w:tc>
          <w:tcPr>
            <w:tcW w:w="1843"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rsidR="00FD58B6" w:rsidRPr="00FD58B6" w:rsidRDefault="00FD58B6">
            <w:pPr>
              <w:spacing w:after="0" w:line="240" w:lineRule="auto"/>
              <w:ind w:right="438"/>
              <w:jc w:val="right"/>
              <w:rPr>
                <w:rFonts w:ascii="Arial" w:eastAsia="Times New Roman" w:hAnsi="Arial" w:cs="Arial"/>
                <w:b/>
                <w:bCs/>
                <w:sz w:val="18"/>
                <w:szCs w:val="18"/>
                <w:lang w:eastAsia="hr-HR"/>
              </w:rPr>
            </w:pPr>
            <w:r w:rsidRPr="00FD58B6">
              <w:rPr>
                <w:rFonts w:ascii="Arial" w:eastAsia="Times New Roman" w:hAnsi="Arial" w:cs="Arial"/>
                <w:b/>
                <w:bCs/>
                <w:sz w:val="18"/>
                <w:szCs w:val="18"/>
                <w:lang w:eastAsia="hr-HR"/>
              </w:rPr>
              <w:t>320.214</w:t>
            </w:r>
          </w:p>
        </w:tc>
        <w:tc>
          <w:tcPr>
            <w:tcW w:w="1417"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rsidR="00FD58B6" w:rsidRPr="00FD58B6" w:rsidRDefault="00FD58B6">
            <w:pPr>
              <w:spacing w:after="0" w:line="240" w:lineRule="auto"/>
              <w:ind w:right="240"/>
              <w:jc w:val="right"/>
              <w:rPr>
                <w:rFonts w:ascii="Arial" w:hAnsi="Arial" w:cs="Arial"/>
                <w:b/>
                <w:sz w:val="18"/>
                <w:szCs w:val="18"/>
              </w:rPr>
            </w:pPr>
            <w:r w:rsidRPr="00FD58B6">
              <w:rPr>
                <w:rFonts w:ascii="Arial" w:hAnsi="Arial" w:cs="Arial"/>
                <w:b/>
                <w:sz w:val="18"/>
                <w:szCs w:val="18"/>
              </w:rPr>
              <w:t>100,00</w:t>
            </w:r>
          </w:p>
        </w:tc>
      </w:tr>
    </w:tbl>
    <w:p w:rsidR="00DF4437" w:rsidRPr="00FD58B6" w:rsidRDefault="00DF4437" w:rsidP="00DF4437">
      <w:pPr>
        <w:tabs>
          <w:tab w:val="left" w:pos="4536"/>
        </w:tabs>
        <w:spacing w:after="0" w:line="240" w:lineRule="atLeast"/>
        <w:jc w:val="both"/>
        <w:rPr>
          <w:rFonts w:ascii="Arial" w:hAnsi="Arial" w:cs="Arial"/>
          <w:i/>
          <w:sz w:val="16"/>
          <w:szCs w:val="16"/>
        </w:rPr>
      </w:pPr>
      <w:r w:rsidRPr="00FD58B6">
        <w:rPr>
          <w:rFonts w:ascii="Arial" w:hAnsi="Arial" w:cs="Arial"/>
          <w:i/>
          <w:sz w:val="16"/>
          <w:szCs w:val="16"/>
        </w:rPr>
        <w:t xml:space="preserve">Izvor: </w:t>
      </w:r>
      <w:r w:rsidR="00FD58B6" w:rsidRPr="00FD58B6">
        <w:rPr>
          <w:rFonts w:ascii="Arial" w:hAnsi="Arial" w:cs="Arial"/>
          <w:i/>
          <w:sz w:val="16"/>
          <w:szCs w:val="16"/>
        </w:rPr>
        <w:t xml:space="preserve">preuzeto iz: </w:t>
      </w:r>
      <w:r w:rsidRPr="00FD58B6">
        <w:rPr>
          <w:rFonts w:ascii="Arial" w:hAnsi="Arial" w:cs="Arial"/>
          <w:i/>
          <w:sz w:val="16"/>
          <w:szCs w:val="16"/>
        </w:rPr>
        <w:t>Financijska agencija - Očevidnik redoslijeda osnova za plaćanje</w:t>
      </w:r>
    </w:p>
    <w:p w:rsidR="00DF4437" w:rsidRDefault="00D60434" w:rsidP="005800C4">
      <w:pPr>
        <w:spacing w:before="240" w:after="240" w:line="260" w:lineRule="atLeast"/>
        <w:jc w:val="both"/>
        <w:rPr>
          <w:rFonts w:cs="Arial"/>
          <w:i/>
          <w:sz w:val="24"/>
          <w:szCs w:val="24"/>
        </w:rPr>
      </w:pPr>
      <w:r>
        <w:rPr>
          <w:rFonts w:cs="Arial"/>
          <w:i/>
          <w:sz w:val="24"/>
          <w:szCs w:val="24"/>
        </w:rPr>
        <w:t>„</w:t>
      </w:r>
      <w:r w:rsidR="00DF4437" w:rsidRPr="00FD58B6">
        <w:rPr>
          <w:rFonts w:cs="Arial"/>
          <w:i/>
          <w:sz w:val="24"/>
          <w:szCs w:val="24"/>
        </w:rPr>
        <w:t>Od ukupnog broja građana u Republici Hrvatskoj, kojih je prema popisu iz 2011. godine 4.284.889</w:t>
      </w:r>
      <w:r w:rsidR="00DF4437" w:rsidRPr="00FD58B6">
        <w:rPr>
          <w:rFonts w:cs="Arial"/>
          <w:i/>
          <w:sz w:val="24"/>
          <w:szCs w:val="24"/>
        </w:rPr>
        <w:footnoteReference w:id="78"/>
      </w:r>
      <w:r w:rsidR="00DF4437" w:rsidRPr="00FD58B6">
        <w:rPr>
          <w:rFonts w:cs="Arial"/>
          <w:i/>
          <w:sz w:val="24"/>
          <w:szCs w:val="24"/>
        </w:rPr>
        <w:t>, njih 3.569.983</w:t>
      </w:r>
      <w:r w:rsidR="00DF4437" w:rsidRPr="00FD58B6">
        <w:rPr>
          <w:rFonts w:cs="Arial"/>
          <w:i/>
          <w:sz w:val="24"/>
          <w:szCs w:val="24"/>
        </w:rPr>
        <w:footnoteReference w:id="79"/>
      </w:r>
      <w:r w:rsidR="00DF4437" w:rsidRPr="00FD58B6">
        <w:rPr>
          <w:rFonts w:cs="Arial"/>
          <w:i/>
          <w:sz w:val="24"/>
          <w:szCs w:val="24"/>
        </w:rPr>
        <w:t xml:space="preserve"> ili 83,32% ima otvorene račune, jedan ili više njih, te je ukupan broj otvorenih računa građana evidentiranih u Jedinstvenom registru računa (JRR), prema stanju od 30. lipnja 2015. godine, 7.081.014 računa. Od toga je blokiranih računa 727.723 (10,28%). Broj računa građana potpuno izuzetih od ovrhe je 421.895.</w:t>
      </w:r>
      <w:r>
        <w:rPr>
          <w:rFonts w:cs="Arial"/>
          <w:i/>
          <w:sz w:val="24"/>
          <w:szCs w:val="24"/>
        </w:rPr>
        <w:t>“</w:t>
      </w:r>
      <w:r w:rsidRPr="00D60434">
        <w:rPr>
          <w:rStyle w:val="Referencafusnote"/>
          <w:rFonts w:cs="Arial"/>
          <w:i/>
          <w:sz w:val="24"/>
          <w:szCs w:val="24"/>
        </w:rPr>
        <w:t xml:space="preserve"> </w:t>
      </w:r>
      <w:r>
        <w:rPr>
          <w:rStyle w:val="Referencafusnote"/>
          <w:rFonts w:cs="Arial"/>
          <w:i/>
          <w:sz w:val="24"/>
          <w:szCs w:val="24"/>
        </w:rPr>
        <w:footnoteReference w:id="80"/>
      </w:r>
    </w:p>
    <w:p w:rsidR="005F5AE4" w:rsidRDefault="007506F0" w:rsidP="001B0376">
      <w:pPr>
        <w:spacing w:after="60" w:line="240" w:lineRule="auto"/>
        <w:jc w:val="both"/>
        <w:rPr>
          <w:rFonts w:cs="Arial"/>
          <w:b/>
          <w:sz w:val="24"/>
          <w:szCs w:val="24"/>
        </w:rPr>
      </w:pPr>
      <w:r>
        <w:rPr>
          <w:rFonts w:cs="Arial"/>
          <w:b/>
          <w:sz w:val="24"/>
          <w:szCs w:val="24"/>
        </w:rPr>
        <w:t>Tablica 18</w:t>
      </w:r>
      <w:r w:rsidR="005F5AE4" w:rsidRPr="00FD58B6">
        <w:rPr>
          <w:rFonts w:cs="Arial"/>
          <w:b/>
          <w:sz w:val="24"/>
          <w:szCs w:val="24"/>
        </w:rPr>
        <w:t>.</w:t>
      </w:r>
      <w:r w:rsidR="00FA3D0A" w:rsidRPr="00FA3D0A">
        <w:rPr>
          <w:rFonts w:cs="Arial"/>
          <w:b/>
          <w:sz w:val="24"/>
          <w:szCs w:val="24"/>
        </w:rPr>
        <w:t xml:space="preserve"> Pregled dospjelih neizvršenih osnova građana, promatrano po županijama stanje 30.6.2015., rang po broju blokiranih građana</w:t>
      </w:r>
    </w:p>
    <w:tbl>
      <w:tblPr>
        <w:tblW w:w="9087" w:type="dxa"/>
        <w:tblInd w:w="93" w:type="dxa"/>
        <w:tblLayout w:type="fixed"/>
        <w:tblLook w:val="04A0" w:firstRow="1" w:lastRow="0" w:firstColumn="1" w:lastColumn="0" w:noHBand="0" w:noVBand="1"/>
      </w:tblPr>
      <w:tblGrid>
        <w:gridCol w:w="2607"/>
        <w:gridCol w:w="1475"/>
        <w:gridCol w:w="1475"/>
        <w:gridCol w:w="1829"/>
        <w:gridCol w:w="1701"/>
      </w:tblGrid>
      <w:tr w:rsidR="00FA3D0A" w:rsidTr="00FA3D0A">
        <w:trPr>
          <w:trHeight w:val="397"/>
        </w:trPr>
        <w:tc>
          <w:tcPr>
            <w:tcW w:w="2607" w:type="dxa"/>
            <w:tcBorders>
              <w:top w:val="single" w:sz="4" w:space="0" w:color="000000"/>
              <w:left w:val="nil"/>
              <w:bottom w:val="nil"/>
              <w:right w:val="single" w:sz="4" w:space="0" w:color="FFFFFF"/>
            </w:tcBorders>
            <w:shd w:val="clear" w:color="auto" w:fill="003366"/>
            <w:vAlign w:val="center"/>
            <w:hideMark/>
          </w:tcPr>
          <w:p w:rsidR="00FA3D0A" w:rsidRPr="00FA3D0A" w:rsidRDefault="00FA3D0A">
            <w:pPr>
              <w:spacing w:after="0" w:line="240" w:lineRule="auto"/>
              <w:jc w:val="center"/>
              <w:rPr>
                <w:rFonts w:eastAsia="Times New Roman" w:cs="Arial"/>
                <w:b/>
                <w:bCs/>
                <w:sz w:val="16"/>
                <w:szCs w:val="16"/>
                <w:lang w:eastAsia="hr-HR"/>
              </w:rPr>
            </w:pPr>
            <w:r w:rsidRPr="00FA3D0A">
              <w:rPr>
                <w:rFonts w:eastAsia="Times New Roman" w:cs="Arial"/>
                <w:b/>
                <w:bCs/>
                <w:sz w:val="16"/>
                <w:szCs w:val="16"/>
                <w:lang w:eastAsia="hr-HR"/>
              </w:rPr>
              <w:t>Naziv županije</w:t>
            </w:r>
          </w:p>
        </w:tc>
        <w:tc>
          <w:tcPr>
            <w:tcW w:w="1475" w:type="dxa"/>
            <w:tcBorders>
              <w:top w:val="single" w:sz="4" w:space="0" w:color="000000"/>
              <w:left w:val="nil"/>
              <w:bottom w:val="single" w:sz="4" w:space="0" w:color="FFFFFF"/>
              <w:right w:val="single" w:sz="4" w:space="0" w:color="FFFFFF"/>
            </w:tcBorders>
            <w:shd w:val="clear" w:color="auto" w:fill="003366"/>
            <w:vAlign w:val="center"/>
            <w:hideMark/>
          </w:tcPr>
          <w:p w:rsidR="00FA3D0A" w:rsidRPr="00FA3D0A" w:rsidRDefault="00FA3D0A">
            <w:pPr>
              <w:spacing w:after="0" w:line="240" w:lineRule="auto"/>
              <w:jc w:val="center"/>
              <w:rPr>
                <w:rFonts w:eastAsia="Times New Roman" w:cs="Arial"/>
                <w:b/>
                <w:bCs/>
                <w:sz w:val="16"/>
                <w:szCs w:val="16"/>
                <w:lang w:eastAsia="hr-HR"/>
              </w:rPr>
            </w:pPr>
            <w:r w:rsidRPr="00FA3D0A">
              <w:rPr>
                <w:rFonts w:eastAsia="Times New Roman" w:cs="Arial"/>
                <w:b/>
                <w:bCs/>
                <w:sz w:val="16"/>
                <w:szCs w:val="16"/>
                <w:lang w:eastAsia="hr-HR"/>
              </w:rPr>
              <w:t>Broj stanovnika</w:t>
            </w:r>
          </w:p>
        </w:tc>
        <w:tc>
          <w:tcPr>
            <w:tcW w:w="1475" w:type="dxa"/>
            <w:tcBorders>
              <w:top w:val="single" w:sz="4" w:space="0" w:color="000000"/>
              <w:left w:val="single" w:sz="4" w:space="0" w:color="FFFFFF"/>
              <w:bottom w:val="single" w:sz="4" w:space="0" w:color="FFFFFF"/>
              <w:right w:val="single" w:sz="4" w:space="0" w:color="FFFFFF"/>
            </w:tcBorders>
            <w:shd w:val="clear" w:color="auto" w:fill="003366"/>
            <w:vAlign w:val="center"/>
            <w:hideMark/>
          </w:tcPr>
          <w:p w:rsidR="00FA3D0A" w:rsidRPr="00FA3D0A" w:rsidRDefault="00FA3D0A">
            <w:pPr>
              <w:spacing w:after="0" w:line="240" w:lineRule="auto"/>
              <w:jc w:val="center"/>
              <w:rPr>
                <w:rFonts w:eastAsia="Times New Roman" w:cs="Arial"/>
                <w:b/>
                <w:bCs/>
                <w:sz w:val="16"/>
                <w:szCs w:val="16"/>
                <w:lang w:eastAsia="hr-HR"/>
              </w:rPr>
            </w:pPr>
            <w:r w:rsidRPr="00FA3D0A">
              <w:rPr>
                <w:rFonts w:eastAsia="Times New Roman" w:cs="Arial"/>
                <w:b/>
                <w:bCs/>
                <w:sz w:val="16"/>
                <w:szCs w:val="16"/>
                <w:lang w:eastAsia="hr-HR"/>
              </w:rPr>
              <w:t>Broj blokiranih građana</w:t>
            </w:r>
          </w:p>
        </w:tc>
        <w:tc>
          <w:tcPr>
            <w:tcW w:w="1829" w:type="dxa"/>
            <w:tcBorders>
              <w:top w:val="single" w:sz="4" w:space="0" w:color="000000"/>
              <w:left w:val="nil"/>
              <w:bottom w:val="single" w:sz="4" w:space="0" w:color="FFFFFF"/>
              <w:right w:val="single" w:sz="4" w:space="0" w:color="FFFFFF"/>
            </w:tcBorders>
            <w:shd w:val="clear" w:color="auto" w:fill="003366"/>
            <w:vAlign w:val="center"/>
            <w:hideMark/>
          </w:tcPr>
          <w:p w:rsidR="00FA3D0A" w:rsidRPr="00FA3D0A" w:rsidRDefault="00FA3D0A">
            <w:pPr>
              <w:spacing w:after="0" w:line="240" w:lineRule="auto"/>
              <w:jc w:val="center"/>
              <w:rPr>
                <w:rFonts w:cs="Arial"/>
                <w:b/>
                <w:sz w:val="16"/>
                <w:szCs w:val="16"/>
              </w:rPr>
            </w:pPr>
            <w:r w:rsidRPr="00FA3D0A">
              <w:rPr>
                <w:rFonts w:cs="Arial"/>
                <w:b/>
                <w:sz w:val="16"/>
                <w:szCs w:val="16"/>
              </w:rPr>
              <w:t>Udio blokiranih građana u broju stanovnika u %</w:t>
            </w:r>
          </w:p>
        </w:tc>
        <w:tc>
          <w:tcPr>
            <w:tcW w:w="1701" w:type="dxa"/>
            <w:tcBorders>
              <w:top w:val="single" w:sz="4" w:space="0" w:color="000000"/>
              <w:left w:val="nil"/>
              <w:bottom w:val="single" w:sz="4" w:space="0" w:color="FFFFFF"/>
              <w:right w:val="single" w:sz="4" w:space="0" w:color="FFFFFF"/>
            </w:tcBorders>
            <w:shd w:val="clear" w:color="auto" w:fill="003366"/>
            <w:vAlign w:val="center"/>
            <w:hideMark/>
          </w:tcPr>
          <w:p w:rsidR="00FA3D0A" w:rsidRPr="00FA3D0A" w:rsidRDefault="00FA3D0A">
            <w:pPr>
              <w:spacing w:after="0" w:line="240" w:lineRule="auto"/>
              <w:jc w:val="center"/>
              <w:rPr>
                <w:rFonts w:cs="Arial"/>
                <w:b/>
                <w:sz w:val="16"/>
                <w:szCs w:val="16"/>
              </w:rPr>
            </w:pPr>
            <w:r w:rsidRPr="00FA3D0A">
              <w:rPr>
                <w:rFonts w:cs="Arial"/>
                <w:b/>
                <w:sz w:val="16"/>
                <w:szCs w:val="16"/>
              </w:rPr>
              <w:t>Udio blokiranih građana u broju radno sposobnog stanovništva u %</w:t>
            </w:r>
          </w:p>
        </w:tc>
      </w:tr>
      <w:tr w:rsidR="00FA3D0A" w:rsidTr="00FA3D0A">
        <w:trPr>
          <w:trHeight w:val="255"/>
        </w:trPr>
        <w:tc>
          <w:tcPr>
            <w:tcW w:w="2607" w:type="dxa"/>
            <w:tcBorders>
              <w:top w:val="single" w:sz="4" w:space="0" w:color="FFFFFF"/>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Grad Zagreb</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790.017</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59.294</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7,51*</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11,04</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Splitsko-dalmatinska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454.798</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30.674</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6,74</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10,06</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Osječko-baranjska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305.032</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25.972</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8,51*</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right="190" w:firstLine="445"/>
              <w:rPr>
                <w:rFonts w:cs="Arial"/>
                <w:bCs/>
                <w:sz w:val="20"/>
                <w:szCs w:val="20"/>
              </w:rPr>
            </w:pPr>
            <w:r w:rsidRPr="00FA3D0A">
              <w:rPr>
                <w:rFonts w:cs="Arial"/>
                <w:bCs/>
                <w:sz w:val="20"/>
                <w:szCs w:val="20"/>
              </w:rPr>
              <w:t>12,57*</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Zagrebačka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317.606</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25.339</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7,98*</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11,76*</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Primorsko-goranska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296.195</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20.646</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6,97</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10,16</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Sisačko-moslavačka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172.439</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15.499</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bCs/>
                <w:sz w:val="20"/>
                <w:szCs w:val="20"/>
              </w:rPr>
            </w:pPr>
            <w:r w:rsidRPr="00FA3D0A">
              <w:rPr>
                <w:rFonts w:cs="Arial"/>
                <w:bCs/>
                <w:sz w:val="20"/>
                <w:szCs w:val="20"/>
              </w:rPr>
              <w:t>8,99*</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13,63*</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Istarska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208.055</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14.310</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6,88</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10,02</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Vukovarsko-srijemska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179.521</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13.764</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7,67*</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11,63*</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Varaždinska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175.951</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12.068</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6,86</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10,12</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Brodsko-posavska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158.575</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12.042</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7,59*</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11,62*</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Zadarska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170.017</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11.853</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bCs/>
                <w:sz w:val="20"/>
                <w:szCs w:val="20"/>
              </w:rPr>
            </w:pPr>
            <w:r w:rsidRPr="00FA3D0A">
              <w:rPr>
                <w:rFonts w:cs="Arial"/>
                <w:bCs/>
                <w:sz w:val="20"/>
                <w:szCs w:val="20"/>
              </w:rPr>
              <w:t>6,97</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10,62</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Koprivničko-križevačka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115.584</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11.139</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9,64*</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14,48*</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Bjelovarsko-bilogorska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119.764</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10.254</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bCs/>
                <w:sz w:val="20"/>
                <w:szCs w:val="20"/>
              </w:rPr>
            </w:pPr>
            <w:r w:rsidRPr="00FA3D0A">
              <w:rPr>
                <w:rFonts w:cs="Arial"/>
                <w:bCs/>
                <w:sz w:val="20"/>
                <w:szCs w:val="20"/>
              </w:rPr>
              <w:t>8,56*</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12,93*</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Krapinsko-zagorska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132.892</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8.788</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6,61</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 xml:space="preserve"> 9,81</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Karlovačka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128.899</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8.659</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6,72</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10,26</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Međimurska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113.804</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7.984</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7,02</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10,39</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Virovitičko-podravska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84.836</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7.410</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bCs/>
                <w:sz w:val="20"/>
                <w:szCs w:val="20"/>
              </w:rPr>
            </w:pPr>
            <w:r w:rsidRPr="00FA3D0A">
              <w:rPr>
                <w:rFonts w:cs="Arial"/>
                <w:bCs/>
                <w:sz w:val="20"/>
                <w:szCs w:val="20"/>
              </w:rPr>
              <w:t>8,73*</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bCs/>
                <w:sz w:val="20"/>
                <w:szCs w:val="20"/>
              </w:rPr>
            </w:pPr>
            <w:r w:rsidRPr="00FA3D0A">
              <w:rPr>
                <w:rFonts w:cs="Arial"/>
                <w:bCs/>
                <w:sz w:val="20"/>
                <w:szCs w:val="20"/>
              </w:rPr>
              <w:t>13,05*</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Šibensko-kninska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109.375</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7.247</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6,63</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10,35</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Dubrovačko-neretvanska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122.568</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6.890</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5,62</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 xml:space="preserve"> 8,53</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Požeško-slavonska</w:t>
            </w:r>
          </w:p>
        </w:tc>
        <w:tc>
          <w:tcPr>
            <w:tcW w:w="1475"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78.034</w:t>
            </w:r>
          </w:p>
        </w:tc>
        <w:tc>
          <w:tcPr>
            <w:tcW w:w="1475"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5.569</w:t>
            </w:r>
          </w:p>
        </w:tc>
        <w:tc>
          <w:tcPr>
            <w:tcW w:w="1829" w:type="dxa"/>
            <w:tcBorders>
              <w:top w:val="single" w:sz="4" w:space="0" w:color="FFFFFF"/>
              <w:left w:val="single" w:sz="4" w:space="0" w:color="FFFFFF"/>
              <w:bottom w:val="single" w:sz="4" w:space="0" w:color="FFFFFF"/>
              <w:right w:val="single" w:sz="4" w:space="0" w:color="FFFFFF"/>
            </w:tcBorders>
            <w:shd w:val="clear" w:color="auto" w:fill="B8CCE4"/>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7,14</w:t>
            </w:r>
          </w:p>
        </w:tc>
        <w:tc>
          <w:tcPr>
            <w:tcW w:w="1701" w:type="dxa"/>
            <w:tcBorders>
              <w:top w:val="single" w:sz="4" w:space="0" w:color="FFFFFF"/>
              <w:left w:val="single" w:sz="4" w:space="0" w:color="FFFFFF"/>
              <w:bottom w:val="single" w:sz="4" w:space="0" w:color="FFFFFF"/>
              <w:right w:val="single" w:sz="4" w:space="0" w:color="FFFFFF"/>
            </w:tcBorders>
            <w:shd w:val="clear" w:color="auto" w:fill="B8CCE4"/>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10,94</w:t>
            </w:r>
          </w:p>
        </w:tc>
      </w:tr>
      <w:tr w:rsidR="00FA3D0A" w:rsidTr="00FA3D0A">
        <w:trPr>
          <w:trHeight w:val="255"/>
        </w:trPr>
        <w:tc>
          <w:tcPr>
            <w:tcW w:w="2607" w:type="dxa"/>
            <w:tcBorders>
              <w:top w:val="nil"/>
              <w:left w:val="nil"/>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Ličko-senjska</w:t>
            </w:r>
          </w:p>
        </w:tc>
        <w:tc>
          <w:tcPr>
            <w:tcW w:w="1475"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spacing w:after="0" w:line="240" w:lineRule="auto"/>
              <w:jc w:val="right"/>
              <w:rPr>
                <w:rFonts w:cs="Arial"/>
                <w:sz w:val="20"/>
                <w:szCs w:val="20"/>
              </w:rPr>
            </w:pPr>
            <w:r w:rsidRPr="00FA3D0A">
              <w:rPr>
                <w:rFonts w:cs="Arial"/>
                <w:sz w:val="20"/>
                <w:szCs w:val="20"/>
              </w:rPr>
              <w:t>50.927</w:t>
            </w:r>
          </w:p>
        </w:tc>
        <w:tc>
          <w:tcPr>
            <w:tcW w:w="1475"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spacing w:after="0" w:line="240" w:lineRule="auto"/>
              <w:ind w:right="325"/>
              <w:jc w:val="right"/>
              <w:rPr>
                <w:rFonts w:eastAsia="Times New Roman" w:cs="Arial"/>
                <w:bCs/>
                <w:sz w:val="20"/>
                <w:szCs w:val="20"/>
                <w:lang w:eastAsia="hr-HR"/>
              </w:rPr>
            </w:pPr>
            <w:r w:rsidRPr="00FA3D0A">
              <w:rPr>
                <w:rFonts w:eastAsia="Times New Roman" w:cs="Arial"/>
                <w:bCs/>
                <w:sz w:val="20"/>
                <w:szCs w:val="20"/>
                <w:lang w:eastAsia="hr-HR"/>
              </w:rPr>
              <w:t>2.745</w:t>
            </w:r>
          </w:p>
        </w:tc>
        <w:tc>
          <w:tcPr>
            <w:tcW w:w="1829" w:type="dxa"/>
            <w:tcBorders>
              <w:top w:val="single" w:sz="4" w:space="0" w:color="FFFFFF"/>
              <w:left w:val="single" w:sz="4" w:space="0" w:color="FFFFFF"/>
              <w:bottom w:val="single" w:sz="4" w:space="0" w:color="FFFFFF"/>
              <w:right w:val="single" w:sz="4" w:space="0" w:color="FFFFFF"/>
            </w:tcBorders>
            <w:shd w:val="clear" w:color="auto" w:fill="DCE6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5,39</w:t>
            </w:r>
          </w:p>
        </w:tc>
        <w:tc>
          <w:tcPr>
            <w:tcW w:w="1701" w:type="dxa"/>
            <w:tcBorders>
              <w:top w:val="single" w:sz="4" w:space="0" w:color="FFFFFF"/>
              <w:left w:val="single" w:sz="4" w:space="0" w:color="FFFFFF"/>
              <w:bottom w:val="single" w:sz="4" w:space="0" w:color="FFFFFF"/>
              <w:right w:val="single" w:sz="4" w:space="0" w:color="FFFFFF"/>
            </w:tcBorders>
            <w:shd w:val="clear" w:color="auto" w:fill="DCE6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 xml:space="preserve"> 8,73</w:t>
            </w:r>
          </w:p>
        </w:tc>
      </w:tr>
      <w:tr w:rsidR="00FA3D0A" w:rsidTr="00FA3D0A">
        <w:trPr>
          <w:trHeight w:val="283"/>
        </w:trPr>
        <w:tc>
          <w:tcPr>
            <w:tcW w:w="2607" w:type="dxa"/>
            <w:tcBorders>
              <w:top w:val="single" w:sz="4" w:space="0" w:color="FFFFFF"/>
              <w:left w:val="nil"/>
              <w:bottom w:val="double" w:sz="4" w:space="0" w:color="FFFFFF"/>
              <w:right w:val="single" w:sz="4" w:space="0" w:color="FFFFFF"/>
            </w:tcBorders>
            <w:shd w:val="clear" w:color="auto" w:fill="DBE5F1"/>
            <w:noWrap/>
            <w:vAlign w:val="center"/>
            <w:hideMark/>
          </w:tcPr>
          <w:p w:rsidR="00FA3D0A" w:rsidRPr="00FA3D0A" w:rsidRDefault="00FA3D0A">
            <w:pPr>
              <w:spacing w:after="0" w:line="240" w:lineRule="auto"/>
              <w:rPr>
                <w:rFonts w:eastAsia="Times New Roman" w:cs="Arial"/>
                <w:bCs/>
                <w:sz w:val="20"/>
                <w:szCs w:val="20"/>
                <w:lang w:eastAsia="hr-HR"/>
              </w:rPr>
            </w:pPr>
            <w:r w:rsidRPr="00FA3D0A">
              <w:rPr>
                <w:rFonts w:eastAsia="Times New Roman" w:cs="Arial"/>
                <w:bCs/>
                <w:sz w:val="20"/>
                <w:szCs w:val="20"/>
                <w:lang w:eastAsia="hr-HR"/>
              </w:rPr>
              <w:t>Nema oznake županije</w:t>
            </w:r>
          </w:p>
        </w:tc>
        <w:tc>
          <w:tcPr>
            <w:tcW w:w="1475" w:type="dxa"/>
            <w:tcBorders>
              <w:top w:val="single" w:sz="4" w:space="0" w:color="FFFFFF"/>
              <w:left w:val="single" w:sz="4" w:space="0" w:color="FFFFFF"/>
              <w:bottom w:val="double" w:sz="4" w:space="0" w:color="FFFFFF"/>
              <w:right w:val="single" w:sz="4" w:space="0" w:color="FFFFFF"/>
            </w:tcBorders>
            <w:shd w:val="clear" w:color="auto" w:fill="DBE5F1"/>
            <w:vAlign w:val="center"/>
            <w:hideMark/>
          </w:tcPr>
          <w:p w:rsidR="00FA3D0A" w:rsidRPr="00FA3D0A" w:rsidRDefault="00FA3D0A">
            <w:pPr>
              <w:spacing w:after="0" w:line="240" w:lineRule="auto"/>
              <w:jc w:val="right"/>
              <w:rPr>
                <w:rFonts w:eastAsia="Times New Roman" w:cs="Arial"/>
                <w:sz w:val="20"/>
                <w:szCs w:val="20"/>
                <w:lang w:eastAsia="hr-HR"/>
              </w:rPr>
            </w:pPr>
            <w:r w:rsidRPr="00FA3D0A">
              <w:rPr>
                <w:rFonts w:eastAsia="Times New Roman" w:cs="Arial"/>
                <w:sz w:val="20"/>
                <w:szCs w:val="20"/>
                <w:lang w:eastAsia="hr-HR"/>
              </w:rPr>
              <w:t>4.284.889</w:t>
            </w:r>
          </w:p>
        </w:tc>
        <w:tc>
          <w:tcPr>
            <w:tcW w:w="1475" w:type="dxa"/>
            <w:tcBorders>
              <w:top w:val="single" w:sz="4" w:space="0" w:color="FFFFFF"/>
              <w:left w:val="single" w:sz="4" w:space="0" w:color="FFFFFF"/>
              <w:bottom w:val="double" w:sz="4" w:space="0" w:color="FFFFFF"/>
              <w:right w:val="single" w:sz="4" w:space="0" w:color="FFFFFF"/>
            </w:tcBorders>
            <w:shd w:val="clear" w:color="auto" w:fill="DBE5F1"/>
            <w:noWrap/>
            <w:vAlign w:val="center"/>
            <w:hideMark/>
          </w:tcPr>
          <w:p w:rsidR="00FA3D0A" w:rsidRPr="00FA3D0A" w:rsidRDefault="00FA3D0A">
            <w:pPr>
              <w:spacing w:after="0" w:line="240" w:lineRule="auto"/>
              <w:ind w:right="325"/>
              <w:jc w:val="right"/>
              <w:rPr>
                <w:rFonts w:eastAsia="Times New Roman" w:cs="Arial"/>
                <w:sz w:val="20"/>
                <w:szCs w:val="20"/>
                <w:lang w:eastAsia="hr-HR"/>
              </w:rPr>
            </w:pPr>
            <w:r w:rsidRPr="00FA3D0A">
              <w:rPr>
                <w:rFonts w:eastAsia="Times New Roman" w:cs="Arial"/>
                <w:sz w:val="20"/>
                <w:szCs w:val="20"/>
                <w:lang w:eastAsia="hr-HR"/>
              </w:rPr>
              <w:t>2.068</w:t>
            </w:r>
          </w:p>
        </w:tc>
        <w:tc>
          <w:tcPr>
            <w:tcW w:w="1829" w:type="dxa"/>
            <w:tcBorders>
              <w:top w:val="single" w:sz="4" w:space="0" w:color="FFFFFF"/>
              <w:left w:val="single" w:sz="4" w:space="0" w:color="FFFFFF"/>
              <w:bottom w:val="double" w:sz="4" w:space="0" w:color="FFFFFF"/>
              <w:right w:val="single" w:sz="4" w:space="0" w:color="FFFFFF"/>
            </w:tcBorders>
            <w:shd w:val="clear" w:color="auto" w:fill="DBE5F1"/>
            <w:noWrap/>
            <w:vAlign w:val="center"/>
            <w:hideMark/>
          </w:tcPr>
          <w:p w:rsidR="00FA3D0A" w:rsidRPr="00FA3D0A" w:rsidRDefault="00FA3D0A">
            <w:pPr>
              <w:tabs>
                <w:tab w:val="left" w:pos="1096"/>
              </w:tabs>
              <w:spacing w:after="0" w:line="240" w:lineRule="auto"/>
              <w:ind w:left="529"/>
              <w:rPr>
                <w:rFonts w:cs="Arial"/>
                <w:sz w:val="20"/>
                <w:szCs w:val="20"/>
              </w:rPr>
            </w:pPr>
            <w:r w:rsidRPr="00FA3D0A">
              <w:rPr>
                <w:rFonts w:cs="Arial"/>
                <w:sz w:val="20"/>
                <w:szCs w:val="20"/>
              </w:rPr>
              <w:t>0,05</w:t>
            </w:r>
          </w:p>
        </w:tc>
        <w:tc>
          <w:tcPr>
            <w:tcW w:w="1701" w:type="dxa"/>
            <w:tcBorders>
              <w:top w:val="single" w:sz="4" w:space="0" w:color="FFFFFF"/>
              <w:left w:val="single" w:sz="4" w:space="0" w:color="FFFFFF"/>
              <w:bottom w:val="double" w:sz="4" w:space="0" w:color="FFFFFF"/>
              <w:right w:val="single" w:sz="4" w:space="0" w:color="FFFFFF"/>
            </w:tcBorders>
            <w:shd w:val="clear" w:color="auto" w:fill="DBE5F1"/>
            <w:vAlign w:val="center"/>
            <w:hideMark/>
          </w:tcPr>
          <w:p w:rsidR="00FA3D0A" w:rsidRPr="00FA3D0A" w:rsidRDefault="00FA3D0A">
            <w:pPr>
              <w:tabs>
                <w:tab w:val="left" w:pos="1295"/>
              </w:tabs>
              <w:spacing w:after="0" w:line="240" w:lineRule="auto"/>
              <w:ind w:left="445" w:right="190"/>
              <w:rPr>
                <w:rFonts w:cs="Arial"/>
                <w:sz w:val="20"/>
                <w:szCs w:val="20"/>
              </w:rPr>
            </w:pPr>
            <w:r w:rsidRPr="00FA3D0A">
              <w:rPr>
                <w:rFonts w:cs="Arial"/>
                <w:sz w:val="20"/>
                <w:szCs w:val="20"/>
              </w:rPr>
              <w:t xml:space="preserve"> 0,07</w:t>
            </w:r>
          </w:p>
        </w:tc>
      </w:tr>
      <w:tr w:rsidR="00FA3D0A" w:rsidTr="00FA3D0A">
        <w:trPr>
          <w:trHeight w:val="283"/>
        </w:trPr>
        <w:tc>
          <w:tcPr>
            <w:tcW w:w="2607" w:type="dxa"/>
            <w:tcBorders>
              <w:top w:val="double" w:sz="4" w:space="0" w:color="FFFFFF"/>
              <w:left w:val="single" w:sz="4" w:space="0" w:color="FFFFFF"/>
              <w:bottom w:val="single" w:sz="4" w:space="0" w:color="FFFFFF"/>
              <w:right w:val="single" w:sz="4" w:space="0" w:color="FFFFFF"/>
            </w:tcBorders>
            <w:shd w:val="clear" w:color="auto" w:fill="D9D9D9"/>
            <w:noWrap/>
            <w:vAlign w:val="center"/>
            <w:hideMark/>
          </w:tcPr>
          <w:p w:rsidR="00FA3D0A" w:rsidRPr="00FA3D0A" w:rsidRDefault="00FA3D0A">
            <w:pPr>
              <w:spacing w:after="0" w:line="240" w:lineRule="auto"/>
              <w:rPr>
                <w:rFonts w:eastAsia="Times New Roman" w:cs="Arial"/>
                <w:b/>
                <w:sz w:val="20"/>
                <w:szCs w:val="20"/>
                <w:lang w:eastAsia="hr-HR"/>
              </w:rPr>
            </w:pPr>
            <w:r w:rsidRPr="00FA3D0A">
              <w:rPr>
                <w:rFonts w:eastAsia="Times New Roman" w:cs="Arial"/>
                <w:b/>
                <w:sz w:val="20"/>
                <w:szCs w:val="20"/>
                <w:lang w:eastAsia="hr-HR"/>
              </w:rPr>
              <w:t>Ukupno RH</w:t>
            </w:r>
          </w:p>
        </w:tc>
        <w:tc>
          <w:tcPr>
            <w:tcW w:w="1475" w:type="dxa"/>
            <w:tcBorders>
              <w:top w:val="double" w:sz="4" w:space="0" w:color="FFFFFF"/>
              <w:left w:val="single" w:sz="4" w:space="0" w:color="FFFFFF"/>
              <w:bottom w:val="single" w:sz="4" w:space="0" w:color="FFFFFF"/>
              <w:right w:val="single" w:sz="4" w:space="0" w:color="FFFFFF"/>
            </w:tcBorders>
            <w:shd w:val="clear" w:color="auto" w:fill="D9D9D9"/>
            <w:vAlign w:val="center"/>
            <w:hideMark/>
          </w:tcPr>
          <w:p w:rsidR="00FA3D0A" w:rsidRPr="00FA3D0A" w:rsidRDefault="00FA3D0A">
            <w:pPr>
              <w:spacing w:after="0" w:line="240" w:lineRule="auto"/>
              <w:jc w:val="right"/>
              <w:rPr>
                <w:rFonts w:eastAsia="Times New Roman" w:cs="Arial"/>
                <w:b/>
                <w:bCs/>
                <w:sz w:val="20"/>
                <w:szCs w:val="20"/>
                <w:lang w:eastAsia="hr-HR"/>
              </w:rPr>
            </w:pPr>
            <w:r w:rsidRPr="00FA3D0A">
              <w:rPr>
                <w:rFonts w:eastAsia="Times New Roman" w:cs="Arial"/>
                <w:b/>
                <w:bCs/>
                <w:sz w:val="20"/>
                <w:szCs w:val="20"/>
                <w:lang w:eastAsia="hr-HR"/>
              </w:rPr>
              <w:t>4.284.889</w:t>
            </w:r>
          </w:p>
        </w:tc>
        <w:tc>
          <w:tcPr>
            <w:tcW w:w="1475" w:type="dxa"/>
            <w:tcBorders>
              <w:top w:val="double" w:sz="4" w:space="0" w:color="FFFFFF"/>
              <w:left w:val="single" w:sz="4" w:space="0" w:color="FFFFFF"/>
              <w:bottom w:val="single" w:sz="4" w:space="0" w:color="FFFFFF"/>
              <w:right w:val="single" w:sz="4" w:space="0" w:color="FFFFFF"/>
            </w:tcBorders>
            <w:shd w:val="clear" w:color="auto" w:fill="D9D9D9"/>
            <w:noWrap/>
            <w:vAlign w:val="center"/>
            <w:hideMark/>
          </w:tcPr>
          <w:p w:rsidR="00FA3D0A" w:rsidRPr="00FA3D0A" w:rsidRDefault="00FA3D0A">
            <w:pPr>
              <w:spacing w:after="0" w:line="240" w:lineRule="auto"/>
              <w:ind w:right="325"/>
              <w:jc w:val="right"/>
              <w:rPr>
                <w:rFonts w:eastAsia="Times New Roman" w:cs="Arial"/>
                <w:b/>
                <w:bCs/>
                <w:sz w:val="20"/>
                <w:szCs w:val="20"/>
                <w:lang w:eastAsia="hr-HR"/>
              </w:rPr>
            </w:pPr>
            <w:r w:rsidRPr="00FA3D0A">
              <w:rPr>
                <w:rFonts w:eastAsia="Times New Roman" w:cs="Arial"/>
                <w:b/>
                <w:bCs/>
                <w:sz w:val="20"/>
                <w:szCs w:val="20"/>
                <w:lang w:eastAsia="hr-HR"/>
              </w:rPr>
              <w:t>320.214</w:t>
            </w:r>
          </w:p>
        </w:tc>
        <w:tc>
          <w:tcPr>
            <w:tcW w:w="1829" w:type="dxa"/>
            <w:tcBorders>
              <w:top w:val="double" w:sz="4" w:space="0" w:color="FFFFFF"/>
              <w:left w:val="single" w:sz="4" w:space="0" w:color="FFFFFF"/>
              <w:bottom w:val="single" w:sz="4" w:space="0" w:color="FFFFFF"/>
              <w:right w:val="single" w:sz="4" w:space="0" w:color="FFFFFF"/>
            </w:tcBorders>
            <w:shd w:val="clear" w:color="auto" w:fill="D9D9D9"/>
            <w:noWrap/>
            <w:vAlign w:val="center"/>
            <w:hideMark/>
          </w:tcPr>
          <w:p w:rsidR="00FA3D0A" w:rsidRPr="00FA3D0A" w:rsidRDefault="00FA3D0A">
            <w:pPr>
              <w:spacing w:after="0" w:line="240" w:lineRule="auto"/>
              <w:ind w:left="529" w:right="48"/>
              <w:rPr>
                <w:rFonts w:cs="Arial"/>
                <w:b/>
                <w:sz w:val="20"/>
                <w:szCs w:val="20"/>
              </w:rPr>
            </w:pPr>
            <w:r w:rsidRPr="00FA3D0A">
              <w:rPr>
                <w:rFonts w:cs="Arial"/>
                <w:b/>
                <w:sz w:val="20"/>
                <w:szCs w:val="20"/>
              </w:rPr>
              <w:t>7,47</w:t>
            </w:r>
          </w:p>
        </w:tc>
        <w:tc>
          <w:tcPr>
            <w:tcW w:w="1701" w:type="dxa"/>
            <w:tcBorders>
              <w:top w:val="double" w:sz="4" w:space="0" w:color="FFFFFF"/>
              <w:left w:val="single" w:sz="4" w:space="0" w:color="FFFFFF"/>
              <w:bottom w:val="single" w:sz="4" w:space="0" w:color="FFFFFF"/>
              <w:right w:val="single" w:sz="4" w:space="0" w:color="FFFFFF"/>
            </w:tcBorders>
            <w:shd w:val="clear" w:color="auto" w:fill="D9D9D9"/>
            <w:vAlign w:val="center"/>
            <w:hideMark/>
          </w:tcPr>
          <w:p w:rsidR="00FA3D0A" w:rsidRPr="00FA3D0A" w:rsidRDefault="00FA3D0A">
            <w:pPr>
              <w:tabs>
                <w:tab w:val="left" w:pos="1295"/>
              </w:tabs>
              <w:spacing w:after="0" w:line="240" w:lineRule="auto"/>
              <w:ind w:left="445" w:right="190"/>
              <w:rPr>
                <w:rFonts w:cs="Arial"/>
                <w:b/>
                <w:sz w:val="20"/>
                <w:szCs w:val="20"/>
              </w:rPr>
            </w:pPr>
            <w:r w:rsidRPr="00FA3D0A">
              <w:rPr>
                <w:rFonts w:cs="Arial"/>
                <w:b/>
                <w:sz w:val="20"/>
                <w:szCs w:val="20"/>
              </w:rPr>
              <w:t>11,14</w:t>
            </w:r>
          </w:p>
        </w:tc>
      </w:tr>
    </w:tbl>
    <w:p w:rsidR="00596AD0" w:rsidRDefault="00596AD0" w:rsidP="00596AD0">
      <w:pPr>
        <w:tabs>
          <w:tab w:val="left" w:pos="4536"/>
        </w:tabs>
        <w:spacing w:after="240" w:line="240" w:lineRule="auto"/>
        <w:jc w:val="both"/>
        <w:rPr>
          <w:sz w:val="20"/>
          <w:szCs w:val="20"/>
        </w:rPr>
      </w:pPr>
      <w:r>
        <w:rPr>
          <w:sz w:val="20"/>
          <w:szCs w:val="20"/>
        </w:rPr>
        <w:t xml:space="preserve">Izvor: </w:t>
      </w:r>
      <w:r w:rsidRPr="00FA3D0A">
        <w:rPr>
          <w:sz w:val="20"/>
          <w:szCs w:val="20"/>
        </w:rPr>
        <w:t>Preuzeto iz: Fina (2015): Pregled stanja blokade građana – po gradovima i županijama 30.6.2015</w:t>
      </w:r>
      <w:r>
        <w:rPr>
          <w:sz w:val="20"/>
          <w:szCs w:val="20"/>
        </w:rPr>
        <w:t>.</w:t>
      </w:r>
    </w:p>
    <w:p w:rsidR="00FA3D0A" w:rsidRPr="007506F0" w:rsidRDefault="00596AD0" w:rsidP="00596AD0">
      <w:pPr>
        <w:tabs>
          <w:tab w:val="left" w:pos="4536"/>
        </w:tabs>
        <w:spacing w:after="240" w:line="240" w:lineRule="auto"/>
        <w:jc w:val="both"/>
        <w:rPr>
          <w:rFonts w:cs="Arial"/>
          <w:b/>
          <w:sz w:val="24"/>
          <w:szCs w:val="24"/>
        </w:rPr>
      </w:pPr>
      <w:r w:rsidRPr="007506F0">
        <w:rPr>
          <w:rFonts w:cs="Arial"/>
          <w:b/>
          <w:sz w:val="24"/>
          <w:szCs w:val="24"/>
        </w:rPr>
        <w:lastRenderedPageBreak/>
        <w:t xml:space="preserve"> </w:t>
      </w:r>
      <w:r w:rsidR="00FA3D0A" w:rsidRPr="007506F0">
        <w:rPr>
          <w:rFonts w:cs="Arial"/>
          <w:b/>
          <w:sz w:val="24"/>
          <w:szCs w:val="24"/>
        </w:rPr>
        <w:t>Tablica 1</w:t>
      </w:r>
      <w:r w:rsidR="007506F0">
        <w:rPr>
          <w:rFonts w:cs="Arial"/>
          <w:b/>
          <w:sz w:val="24"/>
          <w:szCs w:val="24"/>
        </w:rPr>
        <w:t>9</w:t>
      </w:r>
      <w:r>
        <w:rPr>
          <w:rFonts w:cs="Arial"/>
          <w:b/>
          <w:sz w:val="24"/>
          <w:szCs w:val="24"/>
        </w:rPr>
        <w:t xml:space="preserve">. </w:t>
      </w:r>
      <w:r w:rsidR="00FA3D0A" w:rsidRPr="007506F0">
        <w:rPr>
          <w:rFonts w:cs="Arial"/>
          <w:b/>
          <w:sz w:val="24"/>
          <w:szCs w:val="24"/>
        </w:rPr>
        <w:t>Rang lista 25 gradova po kriteriju broja blokiranih građana - stanje 30.6.2015.</w:t>
      </w:r>
    </w:p>
    <w:tbl>
      <w:tblPr>
        <w:tblW w:w="9002" w:type="dxa"/>
        <w:tblInd w:w="93" w:type="dxa"/>
        <w:tblLayout w:type="fixed"/>
        <w:tblLook w:val="04A0" w:firstRow="1" w:lastRow="0" w:firstColumn="1" w:lastColumn="0" w:noHBand="0" w:noVBand="1"/>
      </w:tblPr>
      <w:tblGrid>
        <w:gridCol w:w="1571"/>
        <w:gridCol w:w="1329"/>
        <w:gridCol w:w="1329"/>
        <w:gridCol w:w="1519"/>
        <w:gridCol w:w="1627"/>
        <w:gridCol w:w="1627"/>
      </w:tblGrid>
      <w:tr w:rsidR="007506F0" w:rsidTr="007506F0">
        <w:trPr>
          <w:cantSplit/>
          <w:trHeight w:val="794"/>
        </w:trPr>
        <w:tc>
          <w:tcPr>
            <w:tcW w:w="1571" w:type="dxa"/>
            <w:tcBorders>
              <w:top w:val="single" w:sz="4" w:space="0" w:color="FFFFFF"/>
              <w:left w:val="single" w:sz="4" w:space="0" w:color="FFFFFF"/>
              <w:bottom w:val="single" w:sz="4" w:space="0" w:color="FFFFFF"/>
              <w:right w:val="single" w:sz="4" w:space="0" w:color="FFFFFF"/>
            </w:tcBorders>
            <w:shd w:val="clear" w:color="auto" w:fill="003366"/>
            <w:vAlign w:val="center"/>
            <w:hideMark/>
          </w:tcPr>
          <w:p w:rsidR="007506F0" w:rsidRPr="007506F0" w:rsidRDefault="007506F0">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Grada/općine</w:t>
            </w:r>
          </w:p>
        </w:tc>
        <w:tc>
          <w:tcPr>
            <w:tcW w:w="1329"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rsidP="001B0376">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Broj stanovnika</w:t>
            </w:r>
          </w:p>
        </w:tc>
        <w:tc>
          <w:tcPr>
            <w:tcW w:w="1329"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Broj blokiranih građana</w:t>
            </w:r>
          </w:p>
        </w:tc>
        <w:tc>
          <w:tcPr>
            <w:tcW w:w="1519"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Udio blokiranih u ukupnom broju stanovnika u %</w:t>
            </w:r>
          </w:p>
        </w:tc>
        <w:tc>
          <w:tcPr>
            <w:tcW w:w="1627"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rsidP="001B0376">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 xml:space="preserve">Broj radno sposobnog stanovništva </w:t>
            </w:r>
            <w:r w:rsidRPr="007506F0">
              <w:rPr>
                <w:rFonts w:eastAsia="Times New Roman" w:cs="Arial"/>
                <w:bCs/>
                <w:sz w:val="20"/>
                <w:szCs w:val="20"/>
                <w:lang w:eastAsia="hr-HR"/>
              </w:rPr>
              <w:br/>
              <w:t>(od 15-64 god</w:t>
            </w:r>
            <w:r w:rsidR="001B0376">
              <w:rPr>
                <w:rFonts w:eastAsia="Times New Roman" w:cs="Arial"/>
                <w:bCs/>
                <w:sz w:val="20"/>
                <w:szCs w:val="20"/>
                <w:lang w:eastAsia="hr-HR"/>
              </w:rPr>
              <w:t>.</w:t>
            </w:r>
          </w:p>
        </w:tc>
        <w:tc>
          <w:tcPr>
            <w:tcW w:w="1627" w:type="dxa"/>
            <w:tcBorders>
              <w:top w:val="single" w:sz="4" w:space="0" w:color="FFFFFF"/>
              <w:left w:val="nil"/>
              <w:bottom w:val="single" w:sz="4" w:space="0" w:color="FFFFFF"/>
              <w:right w:val="single" w:sz="4" w:space="0" w:color="FFFFFF"/>
            </w:tcBorders>
            <w:shd w:val="clear" w:color="auto" w:fill="003366"/>
            <w:vAlign w:val="center"/>
            <w:hideMark/>
          </w:tcPr>
          <w:p w:rsidR="007506F0" w:rsidRPr="007506F0" w:rsidRDefault="007506F0">
            <w:pPr>
              <w:spacing w:after="0" w:line="240" w:lineRule="auto"/>
              <w:jc w:val="center"/>
              <w:rPr>
                <w:rFonts w:eastAsia="Times New Roman" w:cs="Arial"/>
                <w:bCs/>
                <w:sz w:val="20"/>
                <w:szCs w:val="20"/>
                <w:lang w:eastAsia="hr-HR"/>
              </w:rPr>
            </w:pPr>
            <w:r w:rsidRPr="007506F0">
              <w:rPr>
                <w:rFonts w:eastAsia="Times New Roman" w:cs="Arial"/>
                <w:bCs/>
                <w:sz w:val="20"/>
                <w:szCs w:val="20"/>
                <w:lang w:eastAsia="hr-HR"/>
              </w:rPr>
              <w:t>Udio blokiranih građana u broju radno sposobnog stanovništva u %</w:t>
            </w:r>
          </w:p>
        </w:tc>
      </w:tr>
      <w:tr w:rsidR="007506F0" w:rsidTr="007506F0">
        <w:trPr>
          <w:trHeight w:val="255"/>
        </w:trPr>
        <w:tc>
          <w:tcPr>
            <w:tcW w:w="1571" w:type="dxa"/>
            <w:tcBorders>
              <w:top w:val="single" w:sz="4" w:space="0" w:color="FFFFFF"/>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Grad Zagreb</w:t>
            </w:r>
          </w:p>
        </w:tc>
        <w:tc>
          <w:tcPr>
            <w:tcW w:w="1329" w:type="dxa"/>
            <w:tcBorders>
              <w:top w:val="single" w:sz="4" w:space="0" w:color="FFFFFF"/>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790.017</w:t>
            </w:r>
          </w:p>
        </w:tc>
        <w:tc>
          <w:tcPr>
            <w:tcW w:w="1329" w:type="dxa"/>
            <w:tcBorders>
              <w:top w:val="single" w:sz="4" w:space="0" w:color="FFFFFF"/>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59.294</w:t>
            </w:r>
          </w:p>
        </w:tc>
        <w:tc>
          <w:tcPr>
            <w:tcW w:w="1519" w:type="dxa"/>
            <w:tcBorders>
              <w:top w:val="single" w:sz="4" w:space="0" w:color="FFFFFF"/>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7,51</w:t>
            </w:r>
          </w:p>
        </w:tc>
        <w:tc>
          <w:tcPr>
            <w:tcW w:w="1627" w:type="dxa"/>
            <w:tcBorders>
              <w:top w:val="single" w:sz="4" w:space="0" w:color="FFFFFF"/>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537.188</w:t>
            </w:r>
          </w:p>
        </w:tc>
        <w:tc>
          <w:tcPr>
            <w:tcW w:w="1627" w:type="dxa"/>
            <w:tcBorders>
              <w:top w:val="single" w:sz="4" w:space="0" w:color="FFFFFF"/>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11,04</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Split</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178.102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12.344</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6,93</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121.242</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10,18</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Rijeka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128.624</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10.162</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7,90</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88.271</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11,51</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Osijek</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108.048</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8.906</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8,24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73.921</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12,05</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Zadar</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75.062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5.453</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bCs/>
                <w:sz w:val="20"/>
                <w:szCs w:val="20"/>
                <w:lang w:eastAsia="hr-HR"/>
              </w:rPr>
            </w:pPr>
            <w:r w:rsidRPr="007506F0">
              <w:rPr>
                <w:rFonts w:eastAsia="Times New Roman" w:cs="Arial"/>
                <w:bCs/>
                <w:sz w:val="20"/>
                <w:szCs w:val="20"/>
                <w:lang w:eastAsia="hr-HR"/>
              </w:rPr>
              <w:t>7,26</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50.709</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bCs/>
                <w:sz w:val="20"/>
                <w:szCs w:val="20"/>
                <w:lang w:eastAsia="hr-HR"/>
              </w:rPr>
            </w:pPr>
            <w:r w:rsidRPr="007506F0">
              <w:rPr>
                <w:rFonts w:eastAsia="Times New Roman" w:cs="Arial"/>
                <w:bCs/>
                <w:sz w:val="20"/>
                <w:szCs w:val="20"/>
                <w:lang w:eastAsia="hr-HR"/>
              </w:rPr>
              <w:t>10,75</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Sisak</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47.768</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5.066</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10,61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32.268</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15,70</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Velika Gorica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63.517</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5.010</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7,89</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43.739</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11,45</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Slavonski Brod</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59.141</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4.996</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8,45</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39.363</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12,69</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Pula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57.460</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4.561</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7,94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38.760</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11,77</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Karlovac</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55.705</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4.232</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7,60</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36.833</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11,49</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Varaždin</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46.946</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3.665</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7,81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31.593</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11,60</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Bjelovar</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40.276</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3.640</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9,04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26.975</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bCs/>
                <w:sz w:val="20"/>
                <w:szCs w:val="20"/>
                <w:lang w:eastAsia="hr-HR"/>
              </w:rPr>
            </w:pPr>
            <w:r w:rsidRPr="007506F0">
              <w:rPr>
                <w:rFonts w:eastAsia="Times New Roman" w:cs="Arial"/>
                <w:bCs/>
                <w:sz w:val="20"/>
                <w:szCs w:val="20"/>
                <w:lang w:eastAsia="hr-HR"/>
              </w:rPr>
              <w:t>13,49</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Šibenik</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46.332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3.087</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6,66</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31.044</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9,94</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Vinkovci</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35.312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3.071</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8,70</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23.669</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12,97</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Čakovec</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27.104</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2.692</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bCs/>
                <w:sz w:val="20"/>
                <w:szCs w:val="20"/>
                <w:lang w:eastAsia="hr-HR"/>
              </w:rPr>
            </w:pPr>
            <w:r w:rsidRPr="007506F0">
              <w:rPr>
                <w:rFonts w:eastAsia="Times New Roman" w:cs="Arial"/>
                <w:bCs/>
                <w:sz w:val="20"/>
                <w:szCs w:val="20"/>
                <w:lang w:eastAsia="hr-HR"/>
              </w:rPr>
              <w:t>9,93</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18.468</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bCs/>
                <w:sz w:val="20"/>
                <w:szCs w:val="20"/>
                <w:lang w:eastAsia="hr-HR"/>
              </w:rPr>
            </w:pPr>
            <w:r w:rsidRPr="007506F0">
              <w:rPr>
                <w:rFonts w:eastAsia="Times New Roman" w:cs="Arial"/>
                <w:bCs/>
                <w:sz w:val="20"/>
                <w:szCs w:val="20"/>
                <w:lang w:eastAsia="hr-HR"/>
              </w:rPr>
              <w:t>14,58</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Samobor</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37.633</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2.674</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7,11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25.579</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10,45</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Kaštela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38.667</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2.569</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6,64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26.544</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9,68</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Križevci</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21.122</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2.532</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bCs/>
                <w:sz w:val="20"/>
                <w:szCs w:val="20"/>
                <w:lang w:eastAsia="hr-HR"/>
              </w:rPr>
            </w:pPr>
            <w:r w:rsidRPr="007506F0">
              <w:rPr>
                <w:rFonts w:eastAsia="Times New Roman" w:cs="Arial"/>
                <w:bCs/>
                <w:sz w:val="20"/>
                <w:szCs w:val="20"/>
                <w:lang w:eastAsia="hr-HR"/>
              </w:rPr>
              <w:t>11,99</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14.298</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bCs/>
                <w:sz w:val="20"/>
                <w:szCs w:val="20"/>
                <w:lang w:eastAsia="hr-HR"/>
              </w:rPr>
            </w:pPr>
            <w:r w:rsidRPr="007506F0">
              <w:rPr>
                <w:rFonts w:eastAsia="Times New Roman" w:cs="Arial"/>
                <w:bCs/>
                <w:sz w:val="20"/>
                <w:szCs w:val="20"/>
                <w:lang w:eastAsia="hr-HR"/>
              </w:rPr>
              <w:t>17,71</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Dubrovnik</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42.615</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2.505</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5,88</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28.327</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8,84</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BE5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Đakovo</w:t>
            </w:r>
          </w:p>
        </w:tc>
        <w:tc>
          <w:tcPr>
            <w:tcW w:w="1329" w:type="dxa"/>
            <w:tcBorders>
              <w:top w:val="nil"/>
              <w:left w:val="nil"/>
              <w:bottom w:val="single" w:sz="4" w:space="0" w:color="FFFFFF"/>
              <w:right w:val="single" w:sz="4" w:space="0" w:color="FFFFFF"/>
            </w:tcBorders>
            <w:shd w:val="clear" w:color="auto" w:fill="F2F2F2"/>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27.745</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2.445</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8,81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18.750</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13,04</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BE5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Petrinja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24.671</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2.328</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9,44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16.210</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14,36</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BE5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Vukovar</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27.683</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2.274</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8,21</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18.367</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12,38</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BE5F1"/>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Zaprešić</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25.223</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2.254</w:t>
            </w:r>
          </w:p>
        </w:tc>
        <w:tc>
          <w:tcPr>
            <w:tcW w:w="151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8,94</w:t>
            </w:r>
          </w:p>
        </w:tc>
        <w:tc>
          <w:tcPr>
            <w:tcW w:w="1627"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17.804</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12,66</w:t>
            </w:r>
          </w:p>
        </w:tc>
      </w:tr>
      <w:tr w:rsidR="007506F0" w:rsidTr="007506F0">
        <w:trPr>
          <w:trHeight w:val="255"/>
        </w:trPr>
        <w:tc>
          <w:tcPr>
            <w:tcW w:w="1571" w:type="dxa"/>
            <w:tcBorders>
              <w:top w:val="nil"/>
              <w:left w:val="nil"/>
              <w:bottom w:val="sing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Koprivnica</w:t>
            </w:r>
          </w:p>
        </w:tc>
        <w:tc>
          <w:tcPr>
            <w:tcW w:w="1329" w:type="dxa"/>
            <w:tcBorders>
              <w:top w:val="nil"/>
              <w:left w:val="nil"/>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30.854</w:t>
            </w:r>
          </w:p>
        </w:tc>
        <w:tc>
          <w:tcPr>
            <w:tcW w:w="1329"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2.221</w:t>
            </w:r>
          </w:p>
        </w:tc>
        <w:tc>
          <w:tcPr>
            <w:tcW w:w="1519" w:type="dxa"/>
            <w:tcBorders>
              <w:top w:val="nil"/>
              <w:left w:val="nil"/>
              <w:bottom w:val="single" w:sz="4" w:space="0" w:color="FFFFFF"/>
              <w:right w:val="nil"/>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7,20</w:t>
            </w:r>
          </w:p>
        </w:tc>
        <w:tc>
          <w:tcPr>
            <w:tcW w:w="1627" w:type="dxa"/>
            <w:tcBorders>
              <w:top w:val="nil"/>
              <w:left w:val="single" w:sz="4" w:space="0" w:color="FFFFFF"/>
              <w:bottom w:val="sing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21.343</w:t>
            </w:r>
          </w:p>
        </w:tc>
        <w:tc>
          <w:tcPr>
            <w:tcW w:w="1627" w:type="dxa"/>
            <w:tcBorders>
              <w:top w:val="nil"/>
              <w:left w:val="nil"/>
              <w:bottom w:val="sing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10,41</w:t>
            </w:r>
          </w:p>
        </w:tc>
      </w:tr>
      <w:tr w:rsidR="007506F0" w:rsidTr="007506F0">
        <w:trPr>
          <w:trHeight w:val="255"/>
        </w:trPr>
        <w:tc>
          <w:tcPr>
            <w:tcW w:w="1571" w:type="dxa"/>
            <w:tcBorders>
              <w:top w:val="nil"/>
              <w:left w:val="nil"/>
              <w:bottom w:val="double" w:sz="4" w:space="0" w:color="FFFFFF"/>
              <w:right w:val="single" w:sz="4" w:space="0" w:color="FFFFFF"/>
            </w:tcBorders>
            <w:shd w:val="clear" w:color="auto" w:fill="DCE6F1"/>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Dugo Selo</w:t>
            </w:r>
          </w:p>
        </w:tc>
        <w:tc>
          <w:tcPr>
            <w:tcW w:w="1329" w:type="dxa"/>
            <w:tcBorders>
              <w:top w:val="nil"/>
              <w:left w:val="nil"/>
              <w:bottom w:val="double" w:sz="4" w:space="0" w:color="FFFFFF"/>
              <w:right w:val="single" w:sz="4" w:space="0" w:color="FFFFFF"/>
            </w:tcBorders>
            <w:shd w:val="clear" w:color="auto" w:fill="F2F2F2"/>
            <w:noWrap/>
            <w:vAlign w:val="center"/>
            <w:hideMark/>
          </w:tcPr>
          <w:p w:rsidR="007506F0" w:rsidRPr="007506F0" w:rsidRDefault="007506F0">
            <w:pPr>
              <w:spacing w:after="0" w:line="240" w:lineRule="auto"/>
              <w:jc w:val="right"/>
              <w:rPr>
                <w:rFonts w:eastAsia="Times New Roman" w:cs="Arial"/>
                <w:sz w:val="20"/>
                <w:szCs w:val="20"/>
                <w:lang w:eastAsia="hr-HR"/>
              </w:rPr>
            </w:pPr>
            <w:r w:rsidRPr="007506F0">
              <w:rPr>
                <w:rFonts w:eastAsia="Times New Roman" w:cs="Arial"/>
                <w:sz w:val="20"/>
                <w:szCs w:val="20"/>
                <w:lang w:eastAsia="hr-HR"/>
              </w:rPr>
              <w:t>17.466</w:t>
            </w:r>
          </w:p>
        </w:tc>
        <w:tc>
          <w:tcPr>
            <w:tcW w:w="1329" w:type="dxa"/>
            <w:tcBorders>
              <w:top w:val="nil"/>
              <w:left w:val="nil"/>
              <w:bottom w:val="double" w:sz="4" w:space="0" w:color="FFFFFF"/>
              <w:right w:val="single" w:sz="4" w:space="0" w:color="FFFFFF"/>
            </w:tcBorders>
            <w:shd w:val="clear" w:color="auto" w:fill="C6D9F1"/>
            <w:noWrap/>
            <w:vAlign w:val="center"/>
            <w:hideMark/>
          </w:tcPr>
          <w:p w:rsidR="007506F0" w:rsidRPr="007506F0" w:rsidRDefault="007506F0">
            <w:pPr>
              <w:spacing w:after="0" w:line="240" w:lineRule="auto"/>
              <w:ind w:right="242"/>
              <w:jc w:val="right"/>
              <w:rPr>
                <w:rFonts w:eastAsia="Times New Roman" w:cs="Arial"/>
                <w:bCs/>
                <w:sz w:val="20"/>
                <w:szCs w:val="20"/>
                <w:lang w:eastAsia="hr-HR"/>
              </w:rPr>
            </w:pPr>
            <w:r w:rsidRPr="007506F0">
              <w:rPr>
                <w:rFonts w:eastAsia="Times New Roman" w:cs="Arial"/>
                <w:bCs/>
                <w:sz w:val="20"/>
                <w:szCs w:val="20"/>
                <w:lang w:eastAsia="hr-HR"/>
              </w:rPr>
              <w:t>1.916</w:t>
            </w:r>
          </w:p>
        </w:tc>
        <w:tc>
          <w:tcPr>
            <w:tcW w:w="1519" w:type="dxa"/>
            <w:tcBorders>
              <w:top w:val="nil"/>
              <w:left w:val="nil"/>
              <w:bottom w:val="double" w:sz="4" w:space="0" w:color="FFFFFF"/>
              <w:right w:val="nil"/>
            </w:tcBorders>
            <w:shd w:val="clear" w:color="auto" w:fill="C6D9F1"/>
            <w:noWrap/>
            <w:vAlign w:val="center"/>
            <w:hideMark/>
          </w:tcPr>
          <w:p w:rsidR="007506F0" w:rsidRPr="007506F0" w:rsidRDefault="007506F0">
            <w:pPr>
              <w:tabs>
                <w:tab w:val="left" w:pos="1243"/>
              </w:tabs>
              <w:spacing w:after="0" w:line="240" w:lineRule="auto"/>
              <w:ind w:right="356"/>
              <w:jc w:val="right"/>
              <w:rPr>
                <w:rFonts w:eastAsia="Times New Roman" w:cs="Arial"/>
                <w:sz w:val="20"/>
                <w:szCs w:val="20"/>
                <w:lang w:eastAsia="hr-HR"/>
              </w:rPr>
            </w:pPr>
            <w:r w:rsidRPr="007506F0">
              <w:rPr>
                <w:rFonts w:eastAsia="Times New Roman" w:cs="Arial"/>
                <w:sz w:val="20"/>
                <w:szCs w:val="20"/>
                <w:lang w:eastAsia="hr-HR"/>
              </w:rPr>
              <w:t>10,97</w:t>
            </w:r>
          </w:p>
        </w:tc>
        <w:tc>
          <w:tcPr>
            <w:tcW w:w="1627" w:type="dxa"/>
            <w:tcBorders>
              <w:top w:val="nil"/>
              <w:left w:val="single" w:sz="4" w:space="0" w:color="FFFFFF"/>
              <w:bottom w:val="double" w:sz="4" w:space="0" w:color="FFFFFF"/>
              <w:right w:val="single" w:sz="4" w:space="0" w:color="FFFFFF"/>
            </w:tcBorders>
            <w:shd w:val="clear" w:color="auto" w:fill="F2F2F2"/>
            <w:noWrap/>
            <w:vAlign w:val="center"/>
            <w:hideMark/>
          </w:tcPr>
          <w:p w:rsidR="007506F0" w:rsidRPr="007506F0" w:rsidRDefault="007506F0">
            <w:pPr>
              <w:spacing w:after="0" w:line="240" w:lineRule="auto"/>
              <w:ind w:right="371"/>
              <w:jc w:val="right"/>
              <w:rPr>
                <w:rFonts w:eastAsia="Times New Roman" w:cs="Arial"/>
                <w:sz w:val="20"/>
                <w:szCs w:val="20"/>
                <w:lang w:eastAsia="hr-HR"/>
              </w:rPr>
            </w:pPr>
            <w:r w:rsidRPr="007506F0">
              <w:rPr>
                <w:rFonts w:eastAsia="Times New Roman" w:cs="Arial"/>
                <w:sz w:val="20"/>
                <w:szCs w:val="20"/>
                <w:lang w:eastAsia="hr-HR"/>
              </w:rPr>
              <w:t>11.876</w:t>
            </w:r>
          </w:p>
        </w:tc>
        <w:tc>
          <w:tcPr>
            <w:tcW w:w="1627" w:type="dxa"/>
            <w:tcBorders>
              <w:top w:val="nil"/>
              <w:left w:val="nil"/>
              <w:bottom w:val="double" w:sz="4" w:space="0" w:color="FFFFFF"/>
              <w:right w:val="single" w:sz="4" w:space="0" w:color="FFFFFF"/>
            </w:tcBorders>
            <w:shd w:val="clear" w:color="auto" w:fill="C6D9F1"/>
            <w:noWrap/>
            <w:vAlign w:val="center"/>
            <w:hideMark/>
          </w:tcPr>
          <w:p w:rsidR="007506F0" w:rsidRPr="007506F0" w:rsidRDefault="007506F0">
            <w:pPr>
              <w:spacing w:after="0" w:line="240" w:lineRule="auto"/>
              <w:ind w:right="399"/>
              <w:jc w:val="right"/>
              <w:rPr>
                <w:rFonts w:eastAsia="Times New Roman" w:cs="Arial"/>
                <w:sz w:val="20"/>
                <w:szCs w:val="20"/>
                <w:lang w:eastAsia="hr-HR"/>
              </w:rPr>
            </w:pPr>
            <w:r w:rsidRPr="007506F0">
              <w:rPr>
                <w:rFonts w:eastAsia="Times New Roman" w:cs="Arial"/>
                <w:sz w:val="20"/>
                <w:szCs w:val="20"/>
                <w:lang w:eastAsia="hr-HR"/>
              </w:rPr>
              <w:t>16,13</w:t>
            </w:r>
          </w:p>
        </w:tc>
      </w:tr>
      <w:tr w:rsidR="007506F0" w:rsidTr="007506F0">
        <w:trPr>
          <w:trHeight w:val="284"/>
        </w:trPr>
        <w:tc>
          <w:tcPr>
            <w:tcW w:w="1571"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spacing w:after="0" w:line="240" w:lineRule="auto"/>
              <w:rPr>
                <w:rFonts w:eastAsia="Times New Roman" w:cs="Arial"/>
                <w:bCs/>
                <w:sz w:val="20"/>
                <w:szCs w:val="20"/>
                <w:lang w:eastAsia="hr-HR"/>
              </w:rPr>
            </w:pPr>
            <w:r w:rsidRPr="007506F0">
              <w:rPr>
                <w:rFonts w:eastAsia="Times New Roman" w:cs="Arial"/>
                <w:bCs/>
                <w:sz w:val="20"/>
                <w:szCs w:val="20"/>
                <w:lang w:eastAsia="hr-HR"/>
              </w:rPr>
              <w:t>Ukupno</w:t>
            </w:r>
          </w:p>
        </w:tc>
        <w:tc>
          <w:tcPr>
            <w:tcW w:w="1329"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spacing w:after="0" w:line="240" w:lineRule="auto"/>
              <w:jc w:val="right"/>
              <w:rPr>
                <w:rFonts w:cs="Arial"/>
                <w:sz w:val="20"/>
                <w:szCs w:val="20"/>
              </w:rPr>
            </w:pPr>
            <w:r w:rsidRPr="007506F0">
              <w:rPr>
                <w:rFonts w:cs="Arial"/>
                <w:sz w:val="20"/>
                <w:szCs w:val="20"/>
              </w:rPr>
              <w:t>2.053.093</w:t>
            </w:r>
          </w:p>
        </w:tc>
        <w:tc>
          <w:tcPr>
            <w:tcW w:w="1329"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spacing w:after="0" w:line="240" w:lineRule="auto"/>
              <w:ind w:right="242"/>
              <w:jc w:val="right"/>
              <w:rPr>
                <w:rFonts w:cs="Arial"/>
                <w:sz w:val="20"/>
                <w:szCs w:val="20"/>
              </w:rPr>
            </w:pPr>
            <w:r w:rsidRPr="007506F0">
              <w:rPr>
                <w:rFonts w:cs="Arial"/>
                <w:sz w:val="20"/>
                <w:szCs w:val="20"/>
              </w:rPr>
              <w:t>159.897</w:t>
            </w:r>
          </w:p>
        </w:tc>
        <w:tc>
          <w:tcPr>
            <w:tcW w:w="1519"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tabs>
                <w:tab w:val="left" w:pos="959"/>
              </w:tabs>
              <w:spacing w:after="0" w:line="240" w:lineRule="auto"/>
              <w:ind w:right="356"/>
              <w:jc w:val="right"/>
              <w:rPr>
                <w:rFonts w:cs="Arial"/>
                <w:sz w:val="20"/>
                <w:szCs w:val="20"/>
              </w:rPr>
            </w:pPr>
            <w:r w:rsidRPr="007506F0">
              <w:rPr>
                <w:rFonts w:cs="Arial"/>
                <w:sz w:val="20"/>
                <w:szCs w:val="20"/>
              </w:rPr>
              <w:t>7,79</w:t>
            </w:r>
          </w:p>
        </w:tc>
        <w:tc>
          <w:tcPr>
            <w:tcW w:w="1627"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tabs>
                <w:tab w:val="left" w:pos="1129"/>
              </w:tabs>
              <w:spacing w:after="0" w:line="240" w:lineRule="auto"/>
              <w:ind w:right="299"/>
              <w:jc w:val="right"/>
              <w:rPr>
                <w:rFonts w:cs="Arial"/>
                <w:sz w:val="20"/>
                <w:szCs w:val="20"/>
              </w:rPr>
            </w:pPr>
            <w:r w:rsidRPr="007506F0">
              <w:rPr>
                <w:rFonts w:cs="Arial"/>
                <w:sz w:val="20"/>
                <w:szCs w:val="20"/>
              </w:rPr>
              <w:t>1.393.141</w:t>
            </w:r>
          </w:p>
        </w:tc>
        <w:tc>
          <w:tcPr>
            <w:tcW w:w="1627" w:type="dxa"/>
            <w:tcBorders>
              <w:top w:val="double" w:sz="4" w:space="0" w:color="FFFFFF"/>
              <w:left w:val="single" w:sz="4" w:space="0" w:color="FFFFFF"/>
              <w:bottom w:val="single" w:sz="4" w:space="0" w:color="FFFFFF"/>
              <w:right w:val="single" w:sz="4" w:space="0" w:color="FFFFFF"/>
            </w:tcBorders>
            <w:shd w:val="clear" w:color="auto" w:fill="E5DFEC"/>
            <w:noWrap/>
            <w:vAlign w:val="center"/>
            <w:hideMark/>
          </w:tcPr>
          <w:p w:rsidR="007506F0" w:rsidRPr="007506F0" w:rsidRDefault="007506F0">
            <w:pPr>
              <w:spacing w:after="0" w:line="240" w:lineRule="auto"/>
              <w:ind w:right="370"/>
              <w:jc w:val="right"/>
              <w:rPr>
                <w:rFonts w:cs="Arial"/>
                <w:sz w:val="20"/>
                <w:szCs w:val="20"/>
              </w:rPr>
            </w:pPr>
            <w:r w:rsidRPr="007506F0">
              <w:rPr>
                <w:rFonts w:cs="Arial"/>
                <w:sz w:val="20"/>
                <w:szCs w:val="20"/>
              </w:rPr>
              <w:t>11,48</w:t>
            </w:r>
          </w:p>
        </w:tc>
      </w:tr>
      <w:tr w:rsidR="007506F0" w:rsidTr="007506F0">
        <w:trPr>
          <w:trHeight w:val="283"/>
        </w:trPr>
        <w:tc>
          <w:tcPr>
            <w:tcW w:w="1571"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rPr>
                <w:rFonts w:eastAsia="Times New Roman" w:cs="Arial"/>
                <w:sz w:val="20"/>
                <w:szCs w:val="20"/>
                <w:lang w:eastAsia="hr-HR"/>
              </w:rPr>
            </w:pPr>
            <w:r w:rsidRPr="007506F0">
              <w:rPr>
                <w:rFonts w:eastAsia="Times New Roman" w:cs="Arial"/>
                <w:sz w:val="20"/>
                <w:szCs w:val="20"/>
                <w:lang w:eastAsia="hr-HR"/>
              </w:rPr>
              <w:t>Ukupno RH</w:t>
            </w:r>
          </w:p>
        </w:tc>
        <w:tc>
          <w:tcPr>
            <w:tcW w:w="1329"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jc w:val="right"/>
              <w:rPr>
                <w:rFonts w:eastAsia="Times New Roman" w:cs="Arial"/>
                <w:bCs/>
                <w:sz w:val="20"/>
                <w:szCs w:val="20"/>
                <w:lang w:eastAsia="hr-HR"/>
              </w:rPr>
            </w:pPr>
            <w:r w:rsidRPr="007506F0">
              <w:rPr>
                <w:rFonts w:eastAsia="Times New Roman" w:cs="Arial"/>
                <w:bCs/>
                <w:sz w:val="20"/>
                <w:szCs w:val="20"/>
                <w:lang w:eastAsia="hr-HR"/>
              </w:rPr>
              <w:t>4.284.889</w:t>
            </w:r>
          </w:p>
        </w:tc>
        <w:tc>
          <w:tcPr>
            <w:tcW w:w="1329"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ind w:right="244"/>
              <w:jc w:val="right"/>
              <w:rPr>
                <w:rFonts w:eastAsia="Times New Roman" w:cs="Arial"/>
                <w:bCs/>
                <w:sz w:val="20"/>
                <w:szCs w:val="20"/>
                <w:lang w:eastAsia="hr-HR"/>
              </w:rPr>
            </w:pPr>
            <w:r w:rsidRPr="007506F0">
              <w:rPr>
                <w:rFonts w:eastAsia="Times New Roman" w:cs="Arial"/>
                <w:bCs/>
                <w:sz w:val="20"/>
                <w:szCs w:val="20"/>
                <w:lang w:eastAsia="hr-HR"/>
              </w:rPr>
              <w:t>320.214</w:t>
            </w:r>
          </w:p>
        </w:tc>
        <w:tc>
          <w:tcPr>
            <w:tcW w:w="1519"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ind w:right="357"/>
              <w:jc w:val="right"/>
              <w:rPr>
                <w:rFonts w:cs="Arial"/>
                <w:sz w:val="20"/>
                <w:szCs w:val="20"/>
              </w:rPr>
            </w:pPr>
            <w:r w:rsidRPr="007506F0">
              <w:rPr>
                <w:rFonts w:cs="Arial"/>
                <w:sz w:val="20"/>
                <w:szCs w:val="20"/>
              </w:rPr>
              <w:t>7,47</w:t>
            </w:r>
          </w:p>
        </w:tc>
        <w:tc>
          <w:tcPr>
            <w:tcW w:w="1627"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tabs>
                <w:tab w:val="left" w:pos="1153"/>
              </w:tabs>
              <w:spacing w:after="0" w:line="240" w:lineRule="auto"/>
              <w:ind w:right="301" w:firstLine="17"/>
              <w:jc w:val="right"/>
              <w:rPr>
                <w:rFonts w:cs="Arial"/>
                <w:sz w:val="20"/>
                <w:szCs w:val="20"/>
              </w:rPr>
            </w:pPr>
            <w:r w:rsidRPr="007506F0">
              <w:rPr>
                <w:rFonts w:cs="Arial"/>
                <w:bCs/>
                <w:sz w:val="20"/>
                <w:szCs w:val="20"/>
              </w:rPr>
              <w:t>2.873.828</w:t>
            </w:r>
          </w:p>
        </w:tc>
        <w:tc>
          <w:tcPr>
            <w:tcW w:w="1627" w:type="dxa"/>
            <w:tcBorders>
              <w:top w:val="single" w:sz="4" w:space="0" w:color="FFFFFF"/>
              <w:left w:val="single" w:sz="4" w:space="0" w:color="FFFFFF"/>
              <w:bottom w:val="single" w:sz="4" w:space="0" w:color="FFFFFF"/>
              <w:right w:val="single" w:sz="4" w:space="0" w:color="FFFFFF"/>
            </w:tcBorders>
            <w:shd w:val="clear" w:color="auto" w:fill="D9D9D9"/>
            <w:noWrap/>
            <w:vAlign w:val="center"/>
            <w:hideMark/>
          </w:tcPr>
          <w:p w:rsidR="007506F0" w:rsidRPr="007506F0" w:rsidRDefault="007506F0">
            <w:pPr>
              <w:spacing w:after="0" w:line="240" w:lineRule="auto"/>
              <w:ind w:right="370"/>
              <w:jc w:val="right"/>
              <w:rPr>
                <w:rFonts w:cs="Arial"/>
                <w:sz w:val="20"/>
                <w:szCs w:val="20"/>
              </w:rPr>
            </w:pPr>
            <w:r w:rsidRPr="007506F0">
              <w:rPr>
                <w:rFonts w:cs="Arial"/>
                <w:sz w:val="20"/>
                <w:szCs w:val="20"/>
              </w:rPr>
              <w:t>11,14</w:t>
            </w:r>
          </w:p>
        </w:tc>
      </w:tr>
    </w:tbl>
    <w:p w:rsidR="007506F0" w:rsidRDefault="00FA3D0A" w:rsidP="007506F0">
      <w:pPr>
        <w:tabs>
          <w:tab w:val="left" w:pos="4536"/>
        </w:tabs>
        <w:spacing w:after="0" w:line="240" w:lineRule="auto"/>
        <w:jc w:val="both"/>
        <w:rPr>
          <w:i/>
          <w:sz w:val="20"/>
          <w:szCs w:val="20"/>
        </w:rPr>
      </w:pPr>
      <w:r w:rsidRPr="007506F0">
        <w:rPr>
          <w:rFonts w:cs="Arial"/>
          <w:i/>
          <w:sz w:val="20"/>
          <w:szCs w:val="20"/>
        </w:rPr>
        <w:t>Izvor: Financijska agencija - Očevidnik redoslijeda osnova za plaćanje</w:t>
      </w:r>
      <w:r w:rsidR="007506F0" w:rsidRPr="007506F0">
        <w:rPr>
          <w:rFonts w:cs="Arial"/>
          <w:i/>
          <w:sz w:val="20"/>
          <w:szCs w:val="20"/>
        </w:rPr>
        <w:t>, p</w:t>
      </w:r>
      <w:r w:rsidR="007506F0" w:rsidRPr="007506F0">
        <w:rPr>
          <w:i/>
          <w:sz w:val="20"/>
          <w:szCs w:val="20"/>
        </w:rPr>
        <w:t xml:space="preserve">reuzeto iz: Fina (2015): Pregled stanja blokade građana – po gradovima i županijama 30.6.2015.; dostupno na: </w:t>
      </w:r>
      <w:r w:rsidR="00596AD0" w:rsidRPr="00596AD0">
        <w:rPr>
          <w:i/>
          <w:sz w:val="20"/>
          <w:szCs w:val="20"/>
        </w:rPr>
        <w:t>http://www.fina.hr/Default.aspx?sec=1759</w:t>
      </w:r>
    </w:p>
    <w:p w:rsidR="00596AD0" w:rsidRDefault="00596AD0" w:rsidP="007506F0">
      <w:pPr>
        <w:tabs>
          <w:tab w:val="left" w:pos="4536"/>
        </w:tabs>
        <w:spacing w:after="0" w:line="240" w:lineRule="auto"/>
        <w:jc w:val="both"/>
        <w:rPr>
          <w:i/>
          <w:sz w:val="20"/>
          <w:szCs w:val="20"/>
        </w:rPr>
      </w:pPr>
    </w:p>
    <w:tbl>
      <w:tblPr>
        <w:tblStyle w:val="Reetkatablice"/>
        <w:tblW w:w="0" w:type="auto"/>
        <w:tblInd w:w="108" w:type="dxa"/>
        <w:tblLook w:val="04A0" w:firstRow="1" w:lastRow="0" w:firstColumn="1" w:lastColumn="0" w:noHBand="0" w:noVBand="1"/>
      </w:tblPr>
      <w:tblGrid>
        <w:gridCol w:w="9180"/>
      </w:tblGrid>
      <w:tr w:rsidR="00596AD0" w:rsidRPr="00C639B7" w:rsidTr="00576C97">
        <w:tc>
          <w:tcPr>
            <w:tcW w:w="9180" w:type="dxa"/>
          </w:tcPr>
          <w:p w:rsidR="00596AD0" w:rsidRPr="00C639B7" w:rsidRDefault="00596AD0" w:rsidP="00576C97">
            <w:pPr>
              <w:pStyle w:val="StandardWeb"/>
              <w:shd w:val="clear" w:color="auto" w:fill="FFFFFF"/>
              <w:spacing w:before="0" w:beforeAutospacing="0" w:after="0" w:afterAutospacing="0" w:line="264" w:lineRule="auto"/>
              <w:jc w:val="both"/>
              <w:rPr>
                <w:rFonts w:asciiTheme="minorHAnsi" w:hAnsiTheme="minorHAnsi" w:cs="Arial"/>
                <w:color w:val="C00000"/>
              </w:rPr>
            </w:pPr>
            <w:r w:rsidRPr="00C639B7">
              <w:rPr>
                <w:rFonts w:asciiTheme="minorHAnsi" w:hAnsiTheme="minorHAnsi" w:cs="Arial"/>
                <w:color w:val="C00000"/>
              </w:rPr>
              <w:t>Ovršni postupak</w:t>
            </w:r>
          </w:p>
          <w:p w:rsidR="00596AD0" w:rsidRPr="00C639B7" w:rsidRDefault="00596AD0" w:rsidP="00576C97">
            <w:pPr>
              <w:pStyle w:val="StandardWeb"/>
              <w:shd w:val="clear" w:color="auto" w:fill="FFFFFF"/>
              <w:spacing w:before="60" w:beforeAutospacing="0" w:after="0" w:afterAutospacing="0" w:line="247" w:lineRule="auto"/>
              <w:jc w:val="both"/>
              <w:rPr>
                <w:rFonts w:asciiTheme="minorHAnsi" w:hAnsiTheme="minorHAnsi" w:cs="Arial"/>
                <w:i/>
              </w:rPr>
            </w:pPr>
            <w:r w:rsidRPr="00C639B7">
              <w:rPr>
                <w:rFonts w:asciiTheme="minorHAnsi" w:hAnsiTheme="minorHAnsi" w:cs="Arial"/>
                <w:i/>
              </w:rPr>
              <w:t xml:space="preserve">„Ovršni postupak (ovrha) je postupak u kojem ovrhovoditelj, uz pomoć suda ili javnog bilježnika, prisilno ostvaruje svoju tražbinu. Prema Zakonu o provedbi ovrhe na novčanim sredstvima od 1. siječnja 2011. godine Financijska agencija (Fina, Agencija) provodi ovrhe na novčanim sredstvima poslovnih subjekata i građana, po svim računima i oročenim novčanim sredstvima u svim bankama, prema osobnom identifikacijskom broju ovršenika, bez njegove suglasnosti. …. </w:t>
            </w:r>
            <w:r w:rsidRPr="00C639B7">
              <w:rPr>
                <w:rFonts w:asciiTheme="minorHAnsi" w:hAnsiTheme="minorHAnsi" w:cs="Arial"/>
                <w:i/>
                <w:color w:val="C00000"/>
              </w:rPr>
              <w:t xml:space="preserve">Fina pokreće postupak provođenja ovrhe na temelju zaprimljene osnove za plaćanje. </w:t>
            </w:r>
            <w:r w:rsidRPr="00C639B7">
              <w:rPr>
                <w:rFonts w:asciiTheme="minorHAnsi" w:hAnsiTheme="minorHAnsi" w:cs="Arial"/>
                <w:i/>
              </w:rPr>
              <w:t xml:space="preserve">Osnova za plaćanje može biti ovršna odluka i nagodba domaćeg suda ili upravnog tijela, obračun poslodavca o neisplati dospjelog iznosa plaće, naknade plaće ili otpremnine, rješenje o ovrsi, rješenje o osiguranju, zadužnica …. </w:t>
            </w:r>
          </w:p>
          <w:p w:rsidR="00596AD0" w:rsidRPr="00C639B7" w:rsidRDefault="00596AD0" w:rsidP="00576C97">
            <w:pPr>
              <w:pStyle w:val="StandardWeb"/>
              <w:spacing w:before="60" w:beforeAutospacing="0" w:after="0" w:afterAutospacing="0" w:line="247" w:lineRule="auto"/>
              <w:jc w:val="both"/>
              <w:rPr>
                <w:rFonts w:asciiTheme="minorHAnsi" w:hAnsiTheme="minorHAnsi" w:cs="Arial"/>
                <w:i/>
              </w:rPr>
            </w:pPr>
            <w:r w:rsidRPr="00C639B7">
              <w:rPr>
                <w:rFonts w:asciiTheme="minorHAnsi" w:hAnsiTheme="minorHAnsi" w:cs="Arial"/>
                <w:i/>
              </w:rPr>
              <w:t xml:space="preserve">…. Kada Fina zaprimi osnovu za plaćanje, </w:t>
            </w:r>
            <w:r w:rsidRPr="00C639B7">
              <w:rPr>
                <w:rFonts w:asciiTheme="minorHAnsi" w:hAnsiTheme="minorHAnsi" w:cs="Arial"/>
                <w:i/>
                <w:color w:val="C00000"/>
              </w:rPr>
              <w:t xml:space="preserve">daje naloge bankama </w:t>
            </w:r>
            <w:r w:rsidRPr="00C639B7">
              <w:rPr>
                <w:rFonts w:asciiTheme="minorHAnsi" w:hAnsiTheme="minorHAnsi" w:cs="Arial"/>
                <w:i/>
              </w:rPr>
              <w:t xml:space="preserve">za izvršavanje osnova za plaćanje na novčanim sredstvima po svim računima i oročenim novčanim sredstvima ovršenika u svim bankama, prema osobnom identifikacijskom broju ovršenika, bez njegove </w:t>
            </w:r>
            <w:r w:rsidRPr="00C639B7">
              <w:rPr>
                <w:rFonts w:asciiTheme="minorHAnsi" w:hAnsiTheme="minorHAnsi" w:cs="Arial"/>
                <w:i/>
              </w:rPr>
              <w:lastRenderedPageBreak/>
              <w:t xml:space="preserve">suglasnosti. Ako osnova za plaćanje nije izvršena u cijelosti, Fina daje nalog bankama da </w:t>
            </w:r>
            <w:r w:rsidRPr="00C639B7">
              <w:rPr>
                <w:rFonts w:asciiTheme="minorHAnsi" w:hAnsiTheme="minorHAnsi" w:cs="Arial"/>
                <w:i/>
                <w:color w:val="C00000"/>
              </w:rPr>
              <w:t xml:space="preserve">blokiraju sve ovršenikove račune i zabrane raspolaganje oročenim novčanim sredstvima </w:t>
            </w:r>
            <w:r w:rsidRPr="00C639B7">
              <w:rPr>
                <w:rFonts w:asciiTheme="minorHAnsi" w:hAnsiTheme="minorHAnsi" w:cs="Arial"/>
                <w:i/>
              </w:rPr>
              <w:t>te u Jedinstveni registar računa stavlja oznaku blokade ovršenikovih računa i oznaku zabrane raspolaganja oročenim novčanim sredstvima.</w:t>
            </w:r>
          </w:p>
          <w:p w:rsidR="00596AD0" w:rsidRPr="00C639B7" w:rsidRDefault="00596AD0" w:rsidP="00576C97">
            <w:pPr>
              <w:pStyle w:val="StandardWeb"/>
              <w:spacing w:before="60" w:beforeAutospacing="0" w:after="0" w:afterAutospacing="0" w:line="247" w:lineRule="auto"/>
              <w:jc w:val="both"/>
              <w:rPr>
                <w:rFonts w:asciiTheme="minorHAnsi" w:hAnsiTheme="minorHAnsi" w:cs="Arial"/>
                <w:i/>
              </w:rPr>
            </w:pPr>
            <w:r w:rsidRPr="00C639B7">
              <w:rPr>
                <w:rFonts w:asciiTheme="minorHAnsi" w:hAnsiTheme="minorHAnsi" w:cs="Arial"/>
                <w:i/>
              </w:rPr>
              <w:t xml:space="preserve">Banke kontinuirano izvještavaju Finu o svim priljevima novčanih sredstava na ovršenikov račun. Priljev novčanih sredstava koristi se isključivo za izvršenje osnova za plaćanje zbog kojeg je ovršenikov račun blokiran, sve do izvršenja osnove za plaćanje. Nakon izvršenja osnove za plaćanje u cijelosti, Fina obavještava banku o </w:t>
            </w:r>
            <w:r w:rsidRPr="00C639B7">
              <w:rPr>
                <w:rFonts w:asciiTheme="minorHAnsi" w:hAnsiTheme="minorHAnsi" w:cs="Arial"/>
                <w:i/>
                <w:color w:val="C00000"/>
              </w:rPr>
              <w:t xml:space="preserve">deblokadi računa ovršenika </w:t>
            </w:r>
            <w:r w:rsidRPr="00C639B7">
              <w:rPr>
                <w:rFonts w:asciiTheme="minorHAnsi" w:hAnsiTheme="minorHAnsi" w:cs="Arial"/>
                <w:i/>
              </w:rPr>
              <w:t>i o ukidanju zabrane raspolaganja oročenim novčanim sredstvima na razini OIB-a ovršenika te mijenja oznaku blokade računa i oznaku zabrane raspolaganja oročenim novčanim sredstvima ovršenika u Jedinstvenom registru računa.</w:t>
            </w:r>
          </w:p>
          <w:p w:rsidR="00596AD0" w:rsidRPr="00C639B7" w:rsidRDefault="00596AD0" w:rsidP="00576C97">
            <w:pPr>
              <w:tabs>
                <w:tab w:val="left" w:pos="1134"/>
              </w:tabs>
              <w:spacing w:before="60" w:line="247" w:lineRule="auto"/>
              <w:jc w:val="both"/>
              <w:rPr>
                <w:rFonts w:ascii="Arial" w:hAnsi="Arial" w:cs="Arial"/>
                <w:b/>
                <w:bCs/>
                <w:color w:val="002060"/>
                <w:sz w:val="24"/>
                <w:szCs w:val="24"/>
              </w:rPr>
            </w:pPr>
            <w:r w:rsidRPr="00C639B7">
              <w:rPr>
                <w:rFonts w:asciiTheme="minorHAnsi" w:hAnsiTheme="minorHAnsi" w:cs="Arial"/>
                <w:i/>
                <w:sz w:val="24"/>
                <w:szCs w:val="24"/>
              </w:rPr>
              <w:t xml:space="preserve">Ako u </w:t>
            </w:r>
            <w:r w:rsidRPr="00C639B7">
              <w:rPr>
                <w:rFonts w:asciiTheme="minorHAnsi" w:hAnsiTheme="minorHAnsi" w:cs="Arial"/>
                <w:i/>
                <w:color w:val="C00000"/>
                <w:sz w:val="24"/>
                <w:szCs w:val="24"/>
              </w:rPr>
              <w:t xml:space="preserve">Jedinstvenom registru računa </w:t>
            </w:r>
            <w:r w:rsidRPr="00C639B7">
              <w:rPr>
                <w:rFonts w:asciiTheme="minorHAnsi" w:hAnsiTheme="minorHAnsi" w:cs="Arial"/>
                <w:i/>
                <w:sz w:val="24"/>
                <w:szCs w:val="24"/>
              </w:rPr>
              <w:t>poslovni subjekt ima oznaku blokade računa, odnosno oznaku zabrane raspolaganja oročenim novčanim sredstvima, takav ovršenik (poslovni subjekt) ne smije obavljati obračunsko plaćanje (kompenzacija, cesija, asignacija, preuzimanje duga i drugi oblici namire međusobnih novčanih obveza i potraživanja); plaćati svoje obveze gotovim novcem, a gotov novac koji je primio obavljajući registriranu djelatnost dužan je položiti na račun u banci …..“</w:t>
            </w:r>
          </w:p>
        </w:tc>
      </w:tr>
      <w:tr w:rsidR="001B0107" w:rsidRPr="00C639B7" w:rsidTr="00713E5F">
        <w:tc>
          <w:tcPr>
            <w:tcW w:w="9180" w:type="dxa"/>
          </w:tcPr>
          <w:p w:rsidR="00FA3D0A" w:rsidRPr="00C639B7" w:rsidRDefault="001B0107" w:rsidP="001B0107">
            <w:pPr>
              <w:pStyle w:val="StandardWeb"/>
              <w:spacing w:before="120" w:beforeAutospacing="0" w:after="0" w:afterAutospacing="0"/>
              <w:jc w:val="both"/>
              <w:rPr>
                <w:rFonts w:asciiTheme="minorHAnsi" w:hAnsiTheme="minorHAnsi" w:cs="Arial"/>
                <w:i/>
              </w:rPr>
            </w:pPr>
            <w:r w:rsidRPr="00C639B7">
              <w:rPr>
                <w:rFonts w:asciiTheme="minorHAnsi" w:hAnsiTheme="minorHAnsi" w:cs="Arial"/>
                <w:i/>
              </w:rPr>
              <w:lastRenderedPageBreak/>
              <w:t>„</w:t>
            </w:r>
            <w:r w:rsidRPr="00C639B7">
              <w:rPr>
                <w:rFonts w:asciiTheme="minorHAnsi" w:hAnsiTheme="minorHAnsi" w:cs="Arial"/>
                <w:i/>
                <w:color w:val="C00000"/>
              </w:rPr>
              <w:t>Od ovrhe je izuzet</w:t>
            </w:r>
            <w:r w:rsidRPr="00C639B7">
              <w:rPr>
                <w:rFonts w:asciiTheme="minorHAnsi" w:hAnsiTheme="minorHAnsi" w:cs="Arial"/>
                <w:i/>
              </w:rPr>
              <w:t xml:space="preserve"> iznos od 2/3 prosječne neto plaće u Republici Hrvatskoj, a ako je plaća manja od prosječne, izuzima se iznos od 2/3 iznosa plaće. </w:t>
            </w:r>
            <w:r w:rsidRPr="00C639B7">
              <w:rPr>
                <w:rFonts w:asciiTheme="minorHAnsi" w:hAnsiTheme="minorHAnsi" w:cs="Arial"/>
                <w:i/>
                <w:color w:val="C00000"/>
              </w:rPr>
              <w:t>Navedeno ograničenje od ovrhe se odnosi i na druga zakonom određena primanja</w:t>
            </w:r>
            <w:r w:rsidRPr="00C639B7">
              <w:rPr>
                <w:rFonts w:asciiTheme="minorHAnsi" w:hAnsiTheme="minorHAnsi" w:cs="Arial"/>
                <w:i/>
              </w:rPr>
              <w:t xml:space="preserve"> (vidi: Popis primanja i naknada izuzetih od ovrhe).</w:t>
            </w:r>
          </w:p>
          <w:p w:rsidR="001B0107" w:rsidRPr="00C639B7" w:rsidRDefault="001B0107" w:rsidP="001B0107">
            <w:pPr>
              <w:pStyle w:val="StandardWeb"/>
              <w:spacing w:before="120" w:beforeAutospacing="0" w:after="0" w:afterAutospacing="0"/>
              <w:jc w:val="both"/>
              <w:rPr>
                <w:rFonts w:asciiTheme="minorHAnsi" w:hAnsiTheme="minorHAnsi" w:cs="Arial"/>
                <w:i/>
              </w:rPr>
            </w:pPr>
            <w:r w:rsidRPr="00C639B7">
              <w:rPr>
                <w:rFonts w:asciiTheme="minorHAnsi" w:hAnsiTheme="minorHAnsi" w:cs="Arial"/>
                <w:i/>
              </w:rPr>
              <w:t xml:space="preserve">Odredbe o ograničenju ovrhe na plaći primjenjuju se i kada se ovrha provodi na primanjima ovršenika koji nisu plaća, mirovina niti primici od obavljanja samostalne djelatnosti obrta, od slobodnih zanimanja, od poljoprivrede i šumarstva, od imovine i imovinskih prava, od kapitala, kao niti primici od osiguranja (drugi dohodak prema posebnim propisima) i imaju karakter jedinih stalnih novčanih primanja, ako ovršenik javnom ispravom dokaže da je to primanje jedino stalno novčano primanje. …. </w:t>
            </w:r>
          </w:p>
          <w:p w:rsidR="001B0107" w:rsidRPr="00C639B7" w:rsidRDefault="001B0107" w:rsidP="001B0107">
            <w:pPr>
              <w:pStyle w:val="StandardWeb"/>
              <w:spacing w:before="120" w:beforeAutospacing="0" w:after="0" w:afterAutospacing="0"/>
              <w:rPr>
                <w:rFonts w:asciiTheme="minorHAnsi" w:hAnsiTheme="minorHAnsi" w:cs="Arial"/>
                <w:i/>
              </w:rPr>
            </w:pPr>
            <w:r w:rsidRPr="00C639B7">
              <w:rPr>
                <w:rFonts w:asciiTheme="minorHAnsi" w:hAnsiTheme="minorHAnsi" w:cs="Arial"/>
                <w:i/>
              </w:rPr>
              <w:t>…. Prema Ovršnom zakonu</w:t>
            </w:r>
            <w:r w:rsidRPr="00C639B7">
              <w:rPr>
                <w:rStyle w:val="apple-converted-space"/>
                <w:rFonts w:asciiTheme="minorHAnsi" w:hAnsiTheme="minorHAnsi" w:cs="Arial"/>
                <w:i/>
              </w:rPr>
              <w:t> </w:t>
            </w:r>
            <w:r w:rsidRPr="00C639B7">
              <w:rPr>
                <w:rStyle w:val="Naglaeno"/>
                <w:rFonts w:asciiTheme="minorHAnsi" w:hAnsiTheme="minorHAnsi" w:cs="Arial"/>
                <w:b w:val="0"/>
                <w:i/>
                <w:color w:val="C00000"/>
              </w:rPr>
              <w:t>ovrha se ne provodi na sljedećim novčanim sredstvima</w:t>
            </w:r>
            <w:r w:rsidRPr="00C639B7">
              <w:rPr>
                <w:rFonts w:asciiTheme="minorHAnsi" w:hAnsiTheme="minorHAnsi" w:cs="Arial"/>
                <w:b/>
                <w:i/>
                <w:color w:val="C00000"/>
              </w:rPr>
              <w:t>:</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primanjima po osnovi zakonskoga uzdržavanja, naknade štete nastale zbog narušenja zdravlja ili smanjenja, odnosno gubitka radne sposobnosti, naknade štete za izgubljeno uzdržavanje zbog smrti davatelja uzdržavanja;</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primanjima po osnovi naknade zbog tjelesnoga oštećenja prema propisima o invalidskome osiguranju;</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primanjima po osnovi socijalne skrbi;</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primanjima po osnovi privremene nezaposlenosti;</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primanjima po osnovi dječjega doplatka;</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primanjima po osnovi stipendije i pomoći učenicima i studentima;</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naknadama za rad osuđenika, osim za tražbine po osnovi zakonskoga uzdržavanja te za tražbine naknade štete prouzročene kaznenim djelom osuđenika,</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primanjima po osnovi odličja i priznanja,</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rodiljnim i roditeljskim novčanim potporama, osim ako posebnim propisom nije drugačije određeno (primanja prema Zakonu o rodiljnjim i roditeljskim potporama),</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utvrđenim iznosima za uzdržavanje djeteta uplaćenim na poseban račun kod banke,</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 xml:space="preserve">naknadi troškova za službeno putovanje i naknadi troškova prijevoza na posao i s posla do propisanih iznosa do kojih se ne smatraju oporezivim primicima po osnovi </w:t>
            </w:r>
            <w:r w:rsidRPr="00C639B7">
              <w:rPr>
                <w:rFonts w:asciiTheme="minorHAnsi" w:hAnsiTheme="minorHAnsi" w:cs="Arial"/>
                <w:i/>
                <w:sz w:val="24"/>
                <w:szCs w:val="24"/>
              </w:rPr>
              <w:lastRenderedPageBreak/>
              <w:t>od nesamostalnog rada (u visini stvarnih izdataka prema cijeni mjesečne odnosno pojedinačne prijevozne karte javnog prijevoza),</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daru za djecu do 15. godine života (600,00 kn) i potpori za novorođenče do propisanih iznosa do kojih se ne smatraju oporezivim primicima po osnovi od nesamostalnog rada (3.326,00 kn),</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naknadi za saniranje posljedica štete od katastrofa i elementarnih nepogoda,</w:t>
            </w:r>
          </w:p>
          <w:p w:rsidR="001B0107" w:rsidRPr="00C639B7" w:rsidRDefault="001B0107" w:rsidP="006F1C04">
            <w:pPr>
              <w:numPr>
                <w:ilvl w:val="0"/>
                <w:numId w:val="70"/>
              </w:numPr>
              <w:rPr>
                <w:rFonts w:asciiTheme="minorHAnsi" w:hAnsiTheme="minorHAnsi" w:cs="Arial"/>
                <w:i/>
                <w:sz w:val="24"/>
                <w:szCs w:val="24"/>
              </w:rPr>
            </w:pPr>
            <w:r w:rsidRPr="00C639B7">
              <w:rPr>
                <w:rFonts w:asciiTheme="minorHAnsi" w:hAnsiTheme="minorHAnsi" w:cs="Arial"/>
                <w:i/>
                <w:sz w:val="24"/>
                <w:szCs w:val="24"/>
              </w:rPr>
              <w:t>potpori zbog invalidnosti radnika (2.500,00 kn godišnje) i neprekidnog bolovanja radnika duljeg od 90 dana (2.500,00 kn godišnje), potpori za slučaj smrti radnika (7.500,00 kn) i smrti člana uže obitelji radnika (do 3.000,00 godišnje), do propisanih iznosa do kojih se ne smatraju oporezivim primicima po osnovi od nesamostalnog rada (u slučaju isplate djeci radnika zbog smrti radnika, potpora je u cijelosti izuzeta od ovrhe),</w:t>
            </w:r>
            <w:r w:rsidR="00596AD0" w:rsidRPr="00C639B7">
              <w:rPr>
                <w:rFonts w:asciiTheme="minorHAnsi" w:hAnsiTheme="minorHAnsi" w:cs="Arial"/>
                <w:i/>
                <w:sz w:val="24"/>
                <w:szCs w:val="24"/>
              </w:rPr>
              <w:t xml:space="preserve"> ….</w:t>
            </w:r>
          </w:p>
          <w:p w:rsidR="001B0107" w:rsidRPr="00C639B7" w:rsidRDefault="001B0107" w:rsidP="000A023F">
            <w:pPr>
              <w:pStyle w:val="StandardWeb"/>
              <w:shd w:val="clear" w:color="auto" w:fill="FFFFFF"/>
              <w:spacing w:before="120" w:beforeAutospacing="0" w:after="0" w:afterAutospacing="0" w:line="198" w:lineRule="atLeast"/>
              <w:rPr>
                <w:rFonts w:asciiTheme="minorHAnsi" w:hAnsiTheme="minorHAnsi" w:cs="Arial"/>
                <w:i/>
              </w:rPr>
            </w:pPr>
            <w:r w:rsidRPr="00C639B7">
              <w:rPr>
                <w:rFonts w:asciiTheme="minorHAnsi" w:hAnsiTheme="minorHAnsi" w:cs="Arial"/>
                <w:i/>
              </w:rPr>
              <w:t>…. Kada se radi o primanjima, naknadama i iznosima koji su izuzeti od ovrhe,</w:t>
            </w:r>
            <w:r w:rsidRPr="00C639B7">
              <w:rPr>
                <w:rStyle w:val="apple-converted-space"/>
                <w:rFonts w:asciiTheme="minorHAnsi" w:hAnsiTheme="minorHAnsi" w:cs="Arial"/>
                <w:i/>
              </w:rPr>
              <w:t> </w:t>
            </w:r>
            <w:r w:rsidRPr="00C639B7">
              <w:rPr>
                <w:rStyle w:val="Naglaeno"/>
                <w:rFonts w:asciiTheme="minorHAnsi" w:hAnsiTheme="minorHAnsi" w:cs="Arial"/>
                <w:b w:val="0"/>
                <w:i/>
              </w:rPr>
              <w:t>postupak je sljedeći</w:t>
            </w:r>
            <w:r w:rsidRPr="00C639B7">
              <w:rPr>
                <w:rFonts w:asciiTheme="minorHAnsi" w:hAnsiTheme="minorHAnsi" w:cs="Arial"/>
                <w:b/>
                <w:i/>
              </w:rPr>
              <w:t>:</w:t>
            </w:r>
            <w:r w:rsidR="000A023F" w:rsidRPr="00C639B7">
              <w:rPr>
                <w:rFonts w:asciiTheme="minorHAnsi" w:hAnsiTheme="minorHAnsi" w:cs="Arial"/>
                <w:b/>
                <w:i/>
              </w:rPr>
              <w:t xml:space="preserve">  </w:t>
            </w:r>
            <w:r w:rsidRPr="00C639B7">
              <w:rPr>
                <w:rFonts w:asciiTheme="minorHAnsi" w:hAnsiTheme="minorHAnsi" w:cs="Arial"/>
                <w:i/>
              </w:rPr>
              <w:t>Ovršenik ispunjava obrazac</w:t>
            </w:r>
            <w:r w:rsidRPr="00C639B7">
              <w:rPr>
                <w:rStyle w:val="apple-converted-space"/>
                <w:rFonts w:asciiTheme="minorHAnsi" w:hAnsiTheme="minorHAnsi" w:cs="Arial"/>
                <w:i/>
              </w:rPr>
              <w:t> </w:t>
            </w:r>
            <w:r w:rsidRPr="00C639B7">
              <w:rPr>
                <w:rFonts w:asciiTheme="minorHAnsi" w:hAnsiTheme="minorHAnsi" w:cs="Arial"/>
                <w:i/>
              </w:rPr>
              <w:t xml:space="preserve">Obavijesti o primanjima, naknadama i iznosima koji su izuzeti od ovrhe </w:t>
            </w:r>
            <w:r w:rsidR="000A023F" w:rsidRPr="00C639B7">
              <w:rPr>
                <w:rFonts w:asciiTheme="minorHAnsi" w:hAnsiTheme="minorHAnsi" w:cs="Arial"/>
                <w:i/>
              </w:rPr>
              <w:t xml:space="preserve"> ….); </w:t>
            </w:r>
            <w:r w:rsidRPr="00C639B7">
              <w:rPr>
                <w:rFonts w:asciiTheme="minorHAnsi" w:hAnsiTheme="minorHAnsi" w:cs="Arial"/>
                <w:i/>
              </w:rPr>
              <w:t>Ovršenik dostavlja potpisan obrazac Obavijesti u bilo koju Fininu poslovnicu</w:t>
            </w:r>
            <w:r w:rsidR="000A023F" w:rsidRPr="00C639B7">
              <w:rPr>
                <w:rFonts w:asciiTheme="minorHAnsi" w:hAnsiTheme="minorHAnsi" w:cs="Arial"/>
                <w:i/>
              </w:rPr>
              <w:t xml:space="preserve"> ….; </w:t>
            </w:r>
            <w:r w:rsidRPr="00C639B7">
              <w:rPr>
                <w:rFonts w:asciiTheme="minorHAnsi" w:hAnsiTheme="minorHAnsi" w:cs="Arial"/>
                <w:i/>
              </w:rPr>
              <w:t xml:space="preserve">Fina o tome odmah obavještava </w:t>
            </w:r>
            <w:r w:rsidRPr="00C639B7">
              <w:rPr>
                <w:rFonts w:asciiTheme="minorHAnsi" w:hAnsiTheme="minorHAnsi" w:cs="Arial"/>
                <w:i/>
                <w:color w:val="C00000"/>
              </w:rPr>
              <w:t>banku, koja otvara poseban račun za ova sredstva</w:t>
            </w:r>
            <w:r w:rsidRPr="00C639B7">
              <w:rPr>
                <w:rFonts w:asciiTheme="minorHAnsi" w:hAnsiTheme="minorHAnsi" w:cs="Arial"/>
                <w:i/>
              </w:rPr>
              <w:t>, te  uplatitelja primanja izuzetih od ovrhe, da bi ovršenik mogao ovim sredstvima slobodno raspolagati.</w:t>
            </w:r>
            <w:r w:rsidR="000A023F" w:rsidRPr="00C639B7">
              <w:rPr>
                <w:rFonts w:asciiTheme="minorHAnsi" w:hAnsiTheme="minorHAnsi" w:cs="Arial"/>
                <w:i/>
              </w:rPr>
              <w:t>“</w:t>
            </w:r>
            <w:r w:rsidRPr="00C639B7">
              <w:rPr>
                <w:rStyle w:val="apple-converted-space"/>
                <w:rFonts w:ascii="Arial" w:hAnsi="Arial" w:cs="Arial"/>
                <w:color w:val="808080"/>
                <w:shd w:val="clear" w:color="auto" w:fill="FFFFFF"/>
              </w:rPr>
              <w:t> </w:t>
            </w:r>
          </w:p>
        </w:tc>
      </w:tr>
      <w:tr w:rsidR="001B0107" w:rsidTr="00713E5F">
        <w:tc>
          <w:tcPr>
            <w:tcW w:w="9180" w:type="dxa"/>
          </w:tcPr>
          <w:p w:rsidR="001B0107" w:rsidRPr="001B0107" w:rsidRDefault="00342900" w:rsidP="005800C4">
            <w:pPr>
              <w:pStyle w:val="StandardWeb"/>
              <w:spacing w:before="120" w:beforeAutospacing="0" w:after="120" w:afterAutospacing="0" w:line="252" w:lineRule="auto"/>
              <w:jc w:val="both"/>
              <w:rPr>
                <w:rFonts w:asciiTheme="minorHAnsi" w:hAnsiTheme="minorHAnsi" w:cs="Arial"/>
                <w:i/>
                <w:sz w:val="20"/>
                <w:szCs w:val="20"/>
              </w:rPr>
            </w:pPr>
            <w:r w:rsidRPr="001B0107">
              <w:rPr>
                <w:rFonts w:asciiTheme="minorHAnsi" w:hAnsiTheme="minorHAnsi" w:cs="Arial"/>
                <w:sz w:val="20"/>
                <w:szCs w:val="20"/>
              </w:rPr>
              <w:lastRenderedPageBreak/>
              <w:t>* Tekst pod navodnicima preuzet je iz: Fina, dostupno na: http://www.fina.hr/Default.aspx?sec=1490</w:t>
            </w:r>
          </w:p>
        </w:tc>
      </w:tr>
    </w:tbl>
    <w:p w:rsidR="00DC0948" w:rsidRDefault="00DC0948" w:rsidP="001B0376">
      <w:pPr>
        <w:spacing w:before="240" w:after="0"/>
        <w:jc w:val="both"/>
        <w:rPr>
          <w:sz w:val="24"/>
          <w:szCs w:val="24"/>
        </w:rPr>
      </w:pPr>
      <w:r>
        <w:rPr>
          <w:sz w:val="24"/>
          <w:szCs w:val="24"/>
        </w:rPr>
        <w:t xml:space="preserve">Osim financijskih problema, osobnih gubitaka te rizika financijske i socijalne isključenosti, prezaduženost se odražava i na niz </w:t>
      </w:r>
      <w:r w:rsidRPr="00DC0948">
        <w:rPr>
          <w:color w:val="C00000"/>
          <w:sz w:val="24"/>
          <w:szCs w:val="24"/>
        </w:rPr>
        <w:t>psihofizičkih problema pojedinca</w:t>
      </w:r>
      <w:r>
        <w:rPr>
          <w:sz w:val="24"/>
          <w:szCs w:val="24"/>
        </w:rPr>
        <w:t xml:space="preserve">, uz razvoj različitih </w:t>
      </w:r>
      <w:r w:rsidRPr="00DC0948">
        <w:rPr>
          <w:color w:val="C00000"/>
          <w:sz w:val="24"/>
          <w:szCs w:val="24"/>
        </w:rPr>
        <w:t xml:space="preserve">negativnih emocija </w:t>
      </w:r>
      <w:r>
        <w:rPr>
          <w:sz w:val="24"/>
          <w:szCs w:val="24"/>
        </w:rPr>
        <w:t>koje se manifestiraju u početnim i kasnijim fazama sta</w:t>
      </w:r>
      <w:r w:rsidR="00FA3D0A">
        <w:rPr>
          <w:sz w:val="24"/>
          <w:szCs w:val="24"/>
        </w:rPr>
        <w:t>nja prezaduženosti, uključujući:</w:t>
      </w:r>
    </w:p>
    <w:p w:rsidR="00FC70A9" w:rsidRPr="00DC0948" w:rsidRDefault="00DC0948" w:rsidP="006F1C04">
      <w:pPr>
        <w:pStyle w:val="Odlomakpopisa"/>
        <w:numPr>
          <w:ilvl w:val="0"/>
          <w:numId w:val="43"/>
        </w:numPr>
        <w:spacing w:after="0" w:line="240" w:lineRule="auto"/>
        <w:ind w:left="714" w:hanging="357"/>
        <w:jc w:val="both"/>
        <w:rPr>
          <w:sz w:val="24"/>
          <w:szCs w:val="24"/>
        </w:rPr>
      </w:pPr>
      <w:r w:rsidRPr="00DC0948">
        <w:rPr>
          <w:sz w:val="24"/>
          <w:szCs w:val="24"/>
        </w:rPr>
        <w:t>s</w:t>
      </w:r>
      <w:r w:rsidR="005772A6" w:rsidRPr="00DC0948">
        <w:rPr>
          <w:sz w:val="24"/>
          <w:szCs w:val="24"/>
        </w:rPr>
        <w:t>trah, osjećaj krize</w:t>
      </w:r>
      <w:r w:rsidRPr="00DC0948">
        <w:rPr>
          <w:sz w:val="24"/>
          <w:szCs w:val="24"/>
        </w:rPr>
        <w:t>, t</w:t>
      </w:r>
      <w:r w:rsidR="005772A6" w:rsidRPr="00DC0948">
        <w:rPr>
          <w:sz w:val="24"/>
          <w:szCs w:val="24"/>
        </w:rPr>
        <w:t>jeskob</w:t>
      </w:r>
      <w:r w:rsidRPr="00DC0948">
        <w:rPr>
          <w:sz w:val="24"/>
          <w:szCs w:val="24"/>
        </w:rPr>
        <w:t>e i</w:t>
      </w:r>
      <w:r w:rsidR="005772A6" w:rsidRPr="00DC0948">
        <w:rPr>
          <w:sz w:val="24"/>
          <w:szCs w:val="24"/>
        </w:rPr>
        <w:t xml:space="preserve"> zabrinutost</w:t>
      </w:r>
      <w:r w:rsidRPr="00DC0948">
        <w:rPr>
          <w:sz w:val="24"/>
          <w:szCs w:val="24"/>
        </w:rPr>
        <w:t>i</w:t>
      </w:r>
    </w:p>
    <w:p w:rsidR="00596AD0" w:rsidRDefault="00DC0948" w:rsidP="006F1C04">
      <w:pPr>
        <w:pStyle w:val="Odlomakpopisa"/>
        <w:numPr>
          <w:ilvl w:val="0"/>
          <w:numId w:val="43"/>
        </w:numPr>
        <w:spacing w:after="0" w:line="240" w:lineRule="auto"/>
        <w:ind w:left="714" w:hanging="357"/>
        <w:jc w:val="both"/>
        <w:rPr>
          <w:sz w:val="24"/>
          <w:szCs w:val="24"/>
        </w:rPr>
      </w:pPr>
      <w:r w:rsidRPr="00596AD0">
        <w:rPr>
          <w:sz w:val="24"/>
          <w:szCs w:val="24"/>
        </w:rPr>
        <w:t>sram i o</w:t>
      </w:r>
      <w:r w:rsidR="00596AD0" w:rsidRPr="00596AD0">
        <w:rPr>
          <w:sz w:val="24"/>
          <w:szCs w:val="24"/>
        </w:rPr>
        <w:t xml:space="preserve">samljenost, </w:t>
      </w:r>
      <w:r w:rsidRPr="00596AD0">
        <w:rPr>
          <w:sz w:val="24"/>
          <w:szCs w:val="24"/>
        </w:rPr>
        <w:t>d</w:t>
      </w:r>
      <w:r w:rsidR="005772A6" w:rsidRPr="00596AD0">
        <w:rPr>
          <w:sz w:val="24"/>
          <w:szCs w:val="24"/>
        </w:rPr>
        <w:t>epresij</w:t>
      </w:r>
      <w:r w:rsidRPr="00596AD0">
        <w:rPr>
          <w:sz w:val="24"/>
          <w:szCs w:val="24"/>
        </w:rPr>
        <w:t>u</w:t>
      </w:r>
      <w:r w:rsidR="005772A6" w:rsidRPr="00596AD0">
        <w:rPr>
          <w:sz w:val="24"/>
          <w:szCs w:val="24"/>
        </w:rPr>
        <w:t xml:space="preserve">, </w:t>
      </w:r>
    </w:p>
    <w:p w:rsidR="00FC70A9" w:rsidRPr="00596AD0" w:rsidRDefault="00DC0948" w:rsidP="006F1C04">
      <w:pPr>
        <w:pStyle w:val="Odlomakpopisa"/>
        <w:numPr>
          <w:ilvl w:val="0"/>
          <w:numId w:val="43"/>
        </w:numPr>
        <w:spacing w:after="0" w:line="240" w:lineRule="auto"/>
        <w:ind w:left="714" w:hanging="357"/>
        <w:jc w:val="both"/>
        <w:rPr>
          <w:sz w:val="24"/>
          <w:szCs w:val="24"/>
        </w:rPr>
      </w:pPr>
      <w:r w:rsidRPr="00596AD0">
        <w:rPr>
          <w:sz w:val="24"/>
          <w:szCs w:val="24"/>
        </w:rPr>
        <w:t>osjećaj</w:t>
      </w:r>
      <w:r w:rsidR="005772A6" w:rsidRPr="00596AD0">
        <w:rPr>
          <w:sz w:val="24"/>
          <w:szCs w:val="24"/>
        </w:rPr>
        <w:t xml:space="preserve"> beznađa</w:t>
      </w:r>
      <w:r w:rsidRPr="00596AD0">
        <w:rPr>
          <w:sz w:val="24"/>
          <w:szCs w:val="24"/>
        </w:rPr>
        <w:t>, f</w:t>
      </w:r>
      <w:r w:rsidR="005772A6" w:rsidRPr="00596AD0">
        <w:rPr>
          <w:sz w:val="24"/>
          <w:szCs w:val="24"/>
        </w:rPr>
        <w:t>rustracije i</w:t>
      </w:r>
      <w:r w:rsidRPr="00596AD0">
        <w:rPr>
          <w:sz w:val="24"/>
          <w:szCs w:val="24"/>
        </w:rPr>
        <w:t>/ ili</w:t>
      </w:r>
      <w:r w:rsidR="005772A6" w:rsidRPr="00596AD0">
        <w:rPr>
          <w:sz w:val="24"/>
          <w:szCs w:val="24"/>
        </w:rPr>
        <w:t xml:space="preserve"> napetost</w:t>
      </w:r>
    </w:p>
    <w:p w:rsidR="00596AD0" w:rsidRDefault="00DC0948" w:rsidP="006F1C04">
      <w:pPr>
        <w:pStyle w:val="Odlomakpopisa"/>
        <w:numPr>
          <w:ilvl w:val="0"/>
          <w:numId w:val="43"/>
        </w:numPr>
        <w:spacing w:after="0" w:line="240" w:lineRule="auto"/>
        <w:ind w:left="714" w:hanging="357"/>
        <w:jc w:val="both"/>
        <w:rPr>
          <w:sz w:val="24"/>
          <w:szCs w:val="24"/>
        </w:rPr>
      </w:pPr>
      <w:r w:rsidRPr="00596AD0">
        <w:rPr>
          <w:sz w:val="24"/>
          <w:szCs w:val="24"/>
        </w:rPr>
        <w:t>c</w:t>
      </w:r>
      <w:r w:rsidR="005772A6" w:rsidRPr="00596AD0">
        <w:rPr>
          <w:sz w:val="24"/>
          <w:szCs w:val="24"/>
        </w:rPr>
        <w:t>inično</w:t>
      </w:r>
      <w:r w:rsidRPr="00596AD0">
        <w:rPr>
          <w:sz w:val="24"/>
          <w:szCs w:val="24"/>
        </w:rPr>
        <w:t xml:space="preserve"> nepovjerenje</w:t>
      </w:r>
      <w:r w:rsidR="005772A6" w:rsidRPr="00596AD0">
        <w:rPr>
          <w:sz w:val="24"/>
          <w:szCs w:val="24"/>
        </w:rPr>
        <w:t xml:space="preserve"> i osjećaj ljutnje</w:t>
      </w:r>
      <w:r w:rsidR="00596AD0" w:rsidRPr="00596AD0">
        <w:rPr>
          <w:sz w:val="24"/>
          <w:szCs w:val="24"/>
        </w:rPr>
        <w:t xml:space="preserve">, </w:t>
      </w:r>
    </w:p>
    <w:p w:rsidR="00FC70A9" w:rsidRPr="00596AD0" w:rsidRDefault="00DC0948" w:rsidP="006F1C04">
      <w:pPr>
        <w:pStyle w:val="Odlomakpopisa"/>
        <w:numPr>
          <w:ilvl w:val="0"/>
          <w:numId w:val="43"/>
        </w:numPr>
        <w:spacing w:after="0" w:line="240" w:lineRule="auto"/>
        <w:ind w:left="714" w:hanging="357"/>
        <w:jc w:val="both"/>
        <w:rPr>
          <w:sz w:val="24"/>
          <w:szCs w:val="24"/>
        </w:rPr>
      </w:pPr>
      <w:r w:rsidRPr="00596AD0">
        <w:rPr>
          <w:sz w:val="24"/>
          <w:szCs w:val="24"/>
        </w:rPr>
        <w:t>s</w:t>
      </w:r>
      <w:r w:rsidR="005772A6" w:rsidRPr="00596AD0">
        <w:rPr>
          <w:sz w:val="24"/>
          <w:szCs w:val="24"/>
        </w:rPr>
        <w:t>ukob</w:t>
      </w:r>
      <w:r w:rsidRPr="00596AD0">
        <w:rPr>
          <w:sz w:val="24"/>
          <w:szCs w:val="24"/>
        </w:rPr>
        <w:t>e</w:t>
      </w:r>
      <w:r w:rsidR="005772A6" w:rsidRPr="00596AD0">
        <w:rPr>
          <w:sz w:val="24"/>
          <w:szCs w:val="24"/>
        </w:rPr>
        <w:t xml:space="preserve"> s bračnim drugovima i djecom, obiteljsko nasilje</w:t>
      </w:r>
    </w:p>
    <w:p w:rsidR="00FC70A9" w:rsidRPr="00DC0948" w:rsidRDefault="00DC0948" w:rsidP="006F1C04">
      <w:pPr>
        <w:pStyle w:val="Odlomakpopisa"/>
        <w:numPr>
          <w:ilvl w:val="0"/>
          <w:numId w:val="43"/>
        </w:numPr>
        <w:spacing w:after="0" w:line="240" w:lineRule="auto"/>
        <w:ind w:left="714" w:hanging="357"/>
        <w:jc w:val="both"/>
        <w:rPr>
          <w:sz w:val="24"/>
          <w:szCs w:val="24"/>
        </w:rPr>
      </w:pPr>
      <w:r w:rsidRPr="00DC0948">
        <w:rPr>
          <w:sz w:val="24"/>
          <w:szCs w:val="24"/>
        </w:rPr>
        <w:t>a</w:t>
      </w:r>
      <w:r w:rsidR="005772A6" w:rsidRPr="00DC0948">
        <w:rPr>
          <w:sz w:val="24"/>
          <w:szCs w:val="24"/>
        </w:rPr>
        <w:t>gresivnost prema drugima ili sebi</w:t>
      </w:r>
      <w:r w:rsidRPr="00DC0948">
        <w:rPr>
          <w:sz w:val="24"/>
          <w:szCs w:val="24"/>
        </w:rPr>
        <w:t>, s</w:t>
      </w:r>
      <w:r w:rsidR="005772A6" w:rsidRPr="00DC0948">
        <w:rPr>
          <w:sz w:val="24"/>
          <w:szCs w:val="24"/>
        </w:rPr>
        <w:t>klonost samoubojstvu</w:t>
      </w:r>
    </w:p>
    <w:p w:rsidR="00FC70A9" w:rsidRPr="00DC0948" w:rsidRDefault="00DC0948" w:rsidP="006F1C04">
      <w:pPr>
        <w:pStyle w:val="Odlomakpopisa"/>
        <w:numPr>
          <w:ilvl w:val="0"/>
          <w:numId w:val="43"/>
        </w:numPr>
        <w:spacing w:after="0" w:line="240" w:lineRule="auto"/>
        <w:ind w:left="714" w:hanging="357"/>
        <w:jc w:val="both"/>
        <w:rPr>
          <w:sz w:val="24"/>
          <w:szCs w:val="24"/>
        </w:rPr>
      </w:pPr>
      <w:r w:rsidRPr="00DC0948">
        <w:rPr>
          <w:sz w:val="24"/>
          <w:szCs w:val="24"/>
        </w:rPr>
        <w:t>s</w:t>
      </w:r>
      <w:r w:rsidR="005772A6" w:rsidRPr="00DC0948">
        <w:rPr>
          <w:sz w:val="24"/>
          <w:szCs w:val="24"/>
        </w:rPr>
        <w:t>klonost ovisnosti o alkoholu, korištenju lijekova posebice sedativa</w:t>
      </w:r>
    </w:p>
    <w:p w:rsidR="00DC0948" w:rsidRPr="00DC0948" w:rsidRDefault="00DC0948" w:rsidP="006F1C04">
      <w:pPr>
        <w:pStyle w:val="Odlomakpopisa"/>
        <w:numPr>
          <w:ilvl w:val="0"/>
          <w:numId w:val="43"/>
        </w:numPr>
        <w:spacing w:after="0" w:line="240" w:lineRule="auto"/>
        <w:ind w:left="714" w:hanging="357"/>
        <w:jc w:val="both"/>
        <w:rPr>
          <w:sz w:val="24"/>
          <w:szCs w:val="24"/>
        </w:rPr>
      </w:pPr>
      <w:r w:rsidRPr="00DC0948">
        <w:rPr>
          <w:sz w:val="24"/>
          <w:szCs w:val="24"/>
        </w:rPr>
        <w:t>ž</w:t>
      </w:r>
      <w:r w:rsidR="005772A6" w:rsidRPr="00DC0948">
        <w:rPr>
          <w:sz w:val="24"/>
          <w:szCs w:val="24"/>
        </w:rPr>
        <w:t>ivčana rastrojenost</w:t>
      </w:r>
      <w:r w:rsidRPr="00DC0948">
        <w:rPr>
          <w:sz w:val="24"/>
          <w:szCs w:val="24"/>
        </w:rPr>
        <w:t>, g</w:t>
      </w:r>
      <w:r w:rsidR="005772A6" w:rsidRPr="00DC0948">
        <w:rPr>
          <w:sz w:val="24"/>
          <w:szCs w:val="24"/>
        </w:rPr>
        <w:t>lavobolja, na</w:t>
      </w:r>
      <w:r w:rsidRPr="00DC0948">
        <w:rPr>
          <w:sz w:val="24"/>
          <w:szCs w:val="24"/>
        </w:rPr>
        <w:t>gli i neželjeni gubitak težine i brojne druge.</w:t>
      </w:r>
    </w:p>
    <w:p w:rsidR="00DC0948" w:rsidRPr="00C639B7" w:rsidRDefault="00DC0948" w:rsidP="001B0376">
      <w:pPr>
        <w:spacing w:before="240" w:after="0"/>
        <w:jc w:val="both"/>
        <w:rPr>
          <w:sz w:val="24"/>
          <w:szCs w:val="24"/>
        </w:rPr>
      </w:pPr>
      <w:r w:rsidRPr="00C639B7">
        <w:rPr>
          <w:sz w:val="24"/>
          <w:szCs w:val="24"/>
        </w:rPr>
        <w:t xml:space="preserve">Dodatno </w:t>
      </w:r>
      <w:r w:rsidR="007B4028" w:rsidRPr="00C639B7">
        <w:rPr>
          <w:sz w:val="24"/>
          <w:szCs w:val="24"/>
        </w:rPr>
        <w:t xml:space="preserve">prezaduženost stanovništva na makro razini donosi brojne </w:t>
      </w:r>
      <w:r w:rsidR="007B4028" w:rsidRPr="00C639B7">
        <w:rPr>
          <w:color w:val="C00000"/>
          <w:sz w:val="24"/>
          <w:szCs w:val="24"/>
        </w:rPr>
        <w:t>s</w:t>
      </w:r>
      <w:r w:rsidRPr="00C639B7">
        <w:rPr>
          <w:color w:val="C00000"/>
          <w:sz w:val="24"/>
          <w:szCs w:val="24"/>
        </w:rPr>
        <w:t>ocijalno-ekonomsk</w:t>
      </w:r>
      <w:r w:rsidR="007B4028" w:rsidRPr="00C639B7">
        <w:rPr>
          <w:color w:val="C00000"/>
          <w:sz w:val="24"/>
          <w:szCs w:val="24"/>
        </w:rPr>
        <w:t>e</w:t>
      </w:r>
      <w:r w:rsidRPr="00C639B7">
        <w:rPr>
          <w:color w:val="C00000"/>
          <w:sz w:val="24"/>
          <w:szCs w:val="24"/>
        </w:rPr>
        <w:t xml:space="preserve"> problem</w:t>
      </w:r>
      <w:r w:rsidR="007B4028" w:rsidRPr="00C639B7">
        <w:rPr>
          <w:color w:val="C00000"/>
          <w:sz w:val="24"/>
          <w:szCs w:val="24"/>
        </w:rPr>
        <w:t>e i troškove za društvo u cjelini</w:t>
      </w:r>
      <w:r w:rsidR="007B4028" w:rsidRPr="00C639B7">
        <w:rPr>
          <w:sz w:val="24"/>
          <w:szCs w:val="24"/>
        </w:rPr>
        <w:t>,</w:t>
      </w:r>
      <w:r w:rsidR="007B4028" w:rsidRPr="00C639B7">
        <w:rPr>
          <w:color w:val="C00000"/>
          <w:sz w:val="24"/>
          <w:szCs w:val="24"/>
        </w:rPr>
        <w:t xml:space="preserve"> </w:t>
      </w:r>
      <w:r w:rsidR="007B4028" w:rsidRPr="00C639B7">
        <w:rPr>
          <w:sz w:val="24"/>
          <w:szCs w:val="24"/>
        </w:rPr>
        <w:t xml:space="preserve">koji su već unazad 20 i više godina uočeni iz svjetskih iskustva, uključujući: </w:t>
      </w:r>
      <w:r w:rsidRPr="00C639B7">
        <w:rPr>
          <w:sz w:val="24"/>
          <w:szCs w:val="24"/>
        </w:rPr>
        <w:t xml:space="preserve"> </w:t>
      </w:r>
    </w:p>
    <w:p w:rsidR="007B4028" w:rsidRPr="00C639B7" w:rsidRDefault="007B4028" w:rsidP="00596AD0">
      <w:pPr>
        <w:numPr>
          <w:ilvl w:val="0"/>
          <w:numId w:val="71"/>
        </w:numPr>
        <w:spacing w:after="0"/>
        <w:ind w:left="714" w:hanging="357"/>
        <w:jc w:val="both"/>
        <w:rPr>
          <w:sz w:val="24"/>
          <w:szCs w:val="24"/>
        </w:rPr>
      </w:pPr>
      <w:r w:rsidRPr="00C639B7">
        <w:rPr>
          <w:sz w:val="24"/>
          <w:szCs w:val="24"/>
        </w:rPr>
        <w:t>rast siromaštva i socijalne isključenosti, beskućništva, razaranje obitelji i samoubojstva</w:t>
      </w:r>
    </w:p>
    <w:p w:rsidR="007B4028" w:rsidRPr="00C639B7" w:rsidRDefault="005772A6" w:rsidP="00596AD0">
      <w:pPr>
        <w:numPr>
          <w:ilvl w:val="0"/>
          <w:numId w:val="71"/>
        </w:numPr>
        <w:spacing w:after="0"/>
        <w:ind w:left="714" w:hanging="357"/>
        <w:jc w:val="both"/>
        <w:rPr>
          <w:sz w:val="24"/>
          <w:szCs w:val="24"/>
        </w:rPr>
      </w:pPr>
      <w:r w:rsidRPr="00C639B7">
        <w:rPr>
          <w:sz w:val="24"/>
          <w:szCs w:val="24"/>
        </w:rPr>
        <w:t>troškov</w:t>
      </w:r>
      <w:r w:rsidR="007B4028" w:rsidRPr="00C639B7">
        <w:rPr>
          <w:sz w:val="24"/>
          <w:szCs w:val="24"/>
        </w:rPr>
        <w:t>e</w:t>
      </w:r>
      <w:r w:rsidRPr="00C639B7">
        <w:rPr>
          <w:sz w:val="24"/>
          <w:szCs w:val="24"/>
        </w:rPr>
        <w:t xml:space="preserve"> zdravstvene zaštite prezaduženih osoba: lijekov</w:t>
      </w:r>
      <w:r w:rsidR="007B4028" w:rsidRPr="00C639B7">
        <w:rPr>
          <w:sz w:val="24"/>
          <w:szCs w:val="24"/>
        </w:rPr>
        <w:t>e</w:t>
      </w:r>
      <w:r w:rsidRPr="00C639B7">
        <w:rPr>
          <w:sz w:val="24"/>
          <w:szCs w:val="24"/>
        </w:rPr>
        <w:t xml:space="preserve">, troškovi dugotrajnog liječenja i rehabilitacija osoba vezanih uz npr. srčane </w:t>
      </w:r>
      <w:r w:rsidR="007B4028" w:rsidRPr="00C639B7">
        <w:rPr>
          <w:sz w:val="24"/>
          <w:szCs w:val="24"/>
        </w:rPr>
        <w:t xml:space="preserve">i druge </w:t>
      </w:r>
      <w:r w:rsidRPr="00C639B7">
        <w:rPr>
          <w:sz w:val="24"/>
          <w:szCs w:val="24"/>
        </w:rPr>
        <w:t xml:space="preserve">bolesti </w:t>
      </w:r>
    </w:p>
    <w:p w:rsidR="00FC70A9" w:rsidRPr="00C639B7" w:rsidRDefault="005772A6" w:rsidP="00596AD0">
      <w:pPr>
        <w:numPr>
          <w:ilvl w:val="0"/>
          <w:numId w:val="71"/>
        </w:numPr>
        <w:spacing w:after="0"/>
        <w:ind w:left="714" w:hanging="357"/>
        <w:jc w:val="both"/>
        <w:rPr>
          <w:sz w:val="24"/>
          <w:szCs w:val="24"/>
        </w:rPr>
      </w:pPr>
      <w:r w:rsidRPr="00C639B7">
        <w:rPr>
          <w:sz w:val="24"/>
          <w:szCs w:val="24"/>
        </w:rPr>
        <w:t xml:space="preserve">prijevremeno umirovljenje te povećana izdvajanja za socijalnu skrb </w:t>
      </w:r>
    </w:p>
    <w:p w:rsidR="007B4028" w:rsidRPr="00C639B7" w:rsidRDefault="005772A6" w:rsidP="00596AD0">
      <w:pPr>
        <w:numPr>
          <w:ilvl w:val="0"/>
          <w:numId w:val="71"/>
        </w:numPr>
        <w:spacing w:after="0"/>
        <w:ind w:left="714" w:hanging="357"/>
        <w:jc w:val="both"/>
        <w:rPr>
          <w:sz w:val="24"/>
          <w:szCs w:val="24"/>
        </w:rPr>
      </w:pPr>
      <w:r w:rsidRPr="00C639B7">
        <w:rPr>
          <w:sz w:val="24"/>
          <w:szCs w:val="24"/>
        </w:rPr>
        <w:t xml:space="preserve">smanjenu zapošljivost </w:t>
      </w:r>
      <w:r w:rsidR="007B4028" w:rsidRPr="00C639B7">
        <w:rPr>
          <w:sz w:val="24"/>
          <w:szCs w:val="24"/>
        </w:rPr>
        <w:t xml:space="preserve">prezaduženih osoba gdje istraživanja dokazuju da značajan broj njih posve napušta rad/ posao  </w:t>
      </w:r>
    </w:p>
    <w:p w:rsidR="00FC70A9" w:rsidRPr="00C639B7" w:rsidRDefault="005772A6" w:rsidP="00596AD0">
      <w:pPr>
        <w:numPr>
          <w:ilvl w:val="0"/>
          <w:numId w:val="71"/>
        </w:numPr>
        <w:spacing w:after="0"/>
        <w:ind w:left="714" w:hanging="357"/>
        <w:jc w:val="both"/>
        <w:rPr>
          <w:sz w:val="24"/>
          <w:szCs w:val="24"/>
        </w:rPr>
      </w:pPr>
      <w:r w:rsidRPr="00C639B7">
        <w:rPr>
          <w:sz w:val="24"/>
          <w:szCs w:val="24"/>
        </w:rPr>
        <w:lastRenderedPageBreak/>
        <w:t>troškovi s aspekta poslodavaca vidljivi u smanjenje produktivnosti prezaduženih osoba kao radnika, njihovom odsustvu s posla zbog bolovanja</w:t>
      </w:r>
    </w:p>
    <w:p w:rsidR="00FC70A9" w:rsidRPr="00C639B7" w:rsidRDefault="005772A6" w:rsidP="00596AD0">
      <w:pPr>
        <w:numPr>
          <w:ilvl w:val="0"/>
          <w:numId w:val="71"/>
        </w:numPr>
        <w:spacing w:after="0"/>
        <w:ind w:left="714" w:hanging="357"/>
        <w:jc w:val="both"/>
        <w:rPr>
          <w:sz w:val="24"/>
          <w:szCs w:val="24"/>
        </w:rPr>
      </w:pPr>
      <w:r w:rsidRPr="00C639B7">
        <w:rPr>
          <w:sz w:val="24"/>
          <w:szCs w:val="24"/>
        </w:rPr>
        <w:t>pojačana vjerojatnost kriminalnog ponašanja</w:t>
      </w:r>
    </w:p>
    <w:p w:rsidR="00FC70A9" w:rsidRPr="00C639B7" w:rsidRDefault="005772A6" w:rsidP="00596AD0">
      <w:pPr>
        <w:numPr>
          <w:ilvl w:val="0"/>
          <w:numId w:val="71"/>
        </w:numPr>
        <w:spacing w:after="0"/>
        <w:ind w:left="714" w:hanging="357"/>
        <w:jc w:val="both"/>
        <w:rPr>
          <w:sz w:val="24"/>
          <w:szCs w:val="24"/>
        </w:rPr>
      </w:pPr>
      <w:r w:rsidRPr="00C639B7">
        <w:rPr>
          <w:sz w:val="24"/>
          <w:szCs w:val="24"/>
        </w:rPr>
        <w:t xml:space="preserve">zaostajanja djece prezaduženih osoba u obrazovanju (čime se stvara opasnost da se prezaduženost, manjkavo obrazovanje i siromaštvo prenose na nove naraštaje) </w:t>
      </w:r>
    </w:p>
    <w:p w:rsidR="00FC70A9" w:rsidRPr="00C639B7" w:rsidRDefault="005772A6" w:rsidP="00596AD0">
      <w:pPr>
        <w:numPr>
          <w:ilvl w:val="0"/>
          <w:numId w:val="71"/>
        </w:numPr>
        <w:spacing w:after="0"/>
        <w:ind w:left="714" w:hanging="357"/>
        <w:jc w:val="both"/>
        <w:rPr>
          <w:sz w:val="24"/>
          <w:szCs w:val="24"/>
        </w:rPr>
      </w:pPr>
      <w:r w:rsidRPr="00C639B7">
        <w:rPr>
          <w:sz w:val="24"/>
          <w:szCs w:val="24"/>
        </w:rPr>
        <w:t>troškovi za sudske postupke prisilne naplate</w:t>
      </w:r>
      <w:r w:rsidR="001B0376" w:rsidRPr="00C639B7">
        <w:rPr>
          <w:sz w:val="24"/>
          <w:szCs w:val="24"/>
        </w:rPr>
        <w:t xml:space="preserve">, </w:t>
      </w:r>
      <w:r w:rsidRPr="00C639B7">
        <w:rPr>
          <w:sz w:val="24"/>
          <w:szCs w:val="24"/>
        </w:rPr>
        <w:t>gubitak poreznih prihoda</w:t>
      </w:r>
      <w:r w:rsidR="007B4028" w:rsidRPr="00C639B7">
        <w:rPr>
          <w:sz w:val="24"/>
          <w:szCs w:val="24"/>
        </w:rPr>
        <w:t xml:space="preserve"> države i druge.</w:t>
      </w:r>
    </w:p>
    <w:p w:rsidR="00FC70A9" w:rsidRPr="00C639B7" w:rsidRDefault="007B4028" w:rsidP="001B0376">
      <w:pPr>
        <w:spacing w:before="240" w:after="120"/>
        <w:jc w:val="both"/>
        <w:rPr>
          <w:sz w:val="24"/>
          <w:szCs w:val="24"/>
        </w:rPr>
      </w:pPr>
      <w:r w:rsidRPr="00C639B7">
        <w:rPr>
          <w:sz w:val="24"/>
          <w:szCs w:val="24"/>
        </w:rPr>
        <w:t xml:space="preserve">Brojne </w:t>
      </w:r>
      <w:r w:rsidR="005772A6" w:rsidRPr="00C639B7">
        <w:rPr>
          <w:sz w:val="24"/>
          <w:szCs w:val="24"/>
        </w:rPr>
        <w:t xml:space="preserve">prezadužene osobe </w:t>
      </w:r>
      <w:r w:rsidRPr="00C639B7">
        <w:rPr>
          <w:sz w:val="24"/>
          <w:szCs w:val="24"/>
        </w:rPr>
        <w:t xml:space="preserve">ne mogu </w:t>
      </w:r>
      <w:r w:rsidR="005772A6" w:rsidRPr="00C639B7">
        <w:rPr>
          <w:sz w:val="24"/>
          <w:szCs w:val="24"/>
        </w:rPr>
        <w:t>same riješiti svoje problema prezaduženosti</w:t>
      </w:r>
      <w:r w:rsidRPr="00C639B7">
        <w:rPr>
          <w:sz w:val="24"/>
          <w:szCs w:val="24"/>
        </w:rPr>
        <w:t xml:space="preserve">, stoga trebaju pomoć i savjete: </w:t>
      </w:r>
      <w:r w:rsidRPr="00C639B7">
        <w:rPr>
          <w:i/>
          <w:sz w:val="24"/>
          <w:szCs w:val="24"/>
        </w:rPr>
        <w:t>„a</w:t>
      </w:r>
      <w:r w:rsidR="005772A6" w:rsidRPr="00C639B7">
        <w:rPr>
          <w:i/>
          <w:sz w:val="24"/>
          <w:szCs w:val="24"/>
        </w:rPr>
        <w:t>ko im se čini da su zarobljeni u be</w:t>
      </w:r>
      <w:r w:rsidRPr="00C639B7">
        <w:rPr>
          <w:i/>
          <w:sz w:val="24"/>
          <w:szCs w:val="24"/>
        </w:rPr>
        <w:t>znađu oni ne znaju odakle početi - s</w:t>
      </w:r>
      <w:r w:rsidR="005772A6" w:rsidRPr="00C639B7">
        <w:rPr>
          <w:i/>
          <w:sz w:val="24"/>
          <w:szCs w:val="24"/>
        </w:rPr>
        <w:t>trah paralizira</w:t>
      </w:r>
      <w:r w:rsidRPr="00C639B7">
        <w:rPr>
          <w:i/>
          <w:sz w:val="24"/>
          <w:szCs w:val="24"/>
        </w:rPr>
        <w:t xml:space="preserve"> čovjeka“. </w:t>
      </w:r>
      <w:r w:rsidRPr="00C639B7">
        <w:rPr>
          <w:sz w:val="24"/>
          <w:szCs w:val="24"/>
        </w:rPr>
        <w:t>Uspjeh pojedinca</w:t>
      </w:r>
      <w:r w:rsidR="005953C0" w:rsidRPr="00C639B7">
        <w:rPr>
          <w:sz w:val="24"/>
          <w:szCs w:val="24"/>
        </w:rPr>
        <w:t xml:space="preserve"> </w:t>
      </w:r>
      <w:r w:rsidRPr="00C639B7">
        <w:rPr>
          <w:sz w:val="24"/>
          <w:szCs w:val="24"/>
        </w:rPr>
        <w:t>dužnika, njegovih vjerovnika, državnih institucija koje pomažu u rješavanju prezaduženosti i društva u cjelini je stoga</w:t>
      </w:r>
      <w:r w:rsidR="001B0376" w:rsidRPr="00C639B7">
        <w:rPr>
          <w:sz w:val="24"/>
          <w:szCs w:val="24"/>
        </w:rPr>
        <w:t xml:space="preserve"> </w:t>
      </w:r>
      <w:r w:rsidRPr="00C639B7">
        <w:rPr>
          <w:color w:val="C00000"/>
          <w:sz w:val="24"/>
          <w:szCs w:val="24"/>
        </w:rPr>
        <w:t>kada dužnik nakon određenog vremena dobije priliku za novi početak</w:t>
      </w:r>
      <w:r w:rsidR="005953C0" w:rsidRPr="00C639B7">
        <w:rPr>
          <w:color w:val="C00000"/>
          <w:sz w:val="24"/>
          <w:szCs w:val="24"/>
        </w:rPr>
        <w:t xml:space="preserve"> te kada je sigurno da se prezaduženost iste osobe više neće ponavljati</w:t>
      </w:r>
      <w:r w:rsidR="005953C0" w:rsidRPr="00C639B7">
        <w:rPr>
          <w:sz w:val="24"/>
          <w:szCs w:val="24"/>
        </w:rPr>
        <w:t>.</w:t>
      </w:r>
    </w:p>
    <w:p w:rsidR="0038347C" w:rsidRPr="00C639B7" w:rsidRDefault="0038347C" w:rsidP="00596AD0">
      <w:pPr>
        <w:jc w:val="both"/>
        <w:rPr>
          <w:sz w:val="24"/>
          <w:szCs w:val="24"/>
        </w:rPr>
      </w:pPr>
      <w:r w:rsidRPr="00C639B7">
        <w:rPr>
          <w:sz w:val="24"/>
          <w:szCs w:val="24"/>
        </w:rPr>
        <w:t>Motiv opisa svih navedenih podataka o broju blokiranih osoba, o ovršnom postupku</w:t>
      </w:r>
      <w:r w:rsidR="00DC0948" w:rsidRPr="00C639B7">
        <w:rPr>
          <w:sz w:val="24"/>
          <w:szCs w:val="24"/>
        </w:rPr>
        <w:t xml:space="preserve"> te emotivnim posljedicama </w:t>
      </w:r>
      <w:r w:rsidRPr="00C639B7">
        <w:rPr>
          <w:sz w:val="24"/>
          <w:szCs w:val="24"/>
        </w:rPr>
        <w:t xml:space="preserve">i razmjeru prezaduženosti </w:t>
      </w:r>
      <w:r w:rsidR="00DC0948" w:rsidRPr="00C639B7">
        <w:rPr>
          <w:sz w:val="24"/>
          <w:szCs w:val="24"/>
        </w:rPr>
        <w:t xml:space="preserve">- </w:t>
      </w:r>
      <w:r w:rsidRPr="00C639B7">
        <w:rPr>
          <w:color w:val="C00000"/>
          <w:sz w:val="24"/>
          <w:szCs w:val="24"/>
        </w:rPr>
        <w:t xml:space="preserve">nipošto nije </w:t>
      </w:r>
      <w:r w:rsidR="00F157D2" w:rsidRPr="00C639B7">
        <w:rPr>
          <w:color w:val="C00000"/>
          <w:sz w:val="24"/>
          <w:szCs w:val="24"/>
        </w:rPr>
        <w:t>stvarati kontrapropagandu korištenju kreditnih proizvoda</w:t>
      </w:r>
      <w:r w:rsidR="00F157D2" w:rsidRPr="00C639B7">
        <w:rPr>
          <w:sz w:val="24"/>
          <w:szCs w:val="24"/>
        </w:rPr>
        <w:t xml:space="preserve">, a posebice </w:t>
      </w:r>
      <w:r w:rsidR="00F157D2" w:rsidRPr="00C639B7">
        <w:rPr>
          <w:color w:val="C00000"/>
          <w:sz w:val="24"/>
          <w:szCs w:val="24"/>
        </w:rPr>
        <w:t xml:space="preserve">nije cilj </w:t>
      </w:r>
      <w:r w:rsidRPr="00C639B7">
        <w:rPr>
          <w:color w:val="C00000"/>
          <w:sz w:val="24"/>
          <w:szCs w:val="24"/>
        </w:rPr>
        <w:t>obeshrabriti potencijalne nove dužnike</w:t>
      </w:r>
      <w:r w:rsidRPr="00C639B7">
        <w:rPr>
          <w:sz w:val="24"/>
          <w:szCs w:val="24"/>
        </w:rPr>
        <w:t>. Međutim, nove generacije dužnika su t</w:t>
      </w:r>
      <w:r w:rsidR="00DC0948" w:rsidRPr="00C639B7">
        <w:rPr>
          <w:sz w:val="24"/>
          <w:szCs w:val="24"/>
        </w:rPr>
        <w:t>e</w:t>
      </w:r>
      <w:r w:rsidRPr="00C639B7">
        <w:rPr>
          <w:sz w:val="24"/>
          <w:szCs w:val="24"/>
        </w:rPr>
        <w:t xml:space="preserve"> od kojih se očekuje da više vode računa o rizicima kojima se izlažu, da aktivno sudjeluju u pravovremenom informiranju, ali i da su spremni preispitivati svoje stavove o novcu i zaduživanju kako bi mogli racionalno preuzimati odgovornost za vlastite postupke i ishode. Posebice zaštititi sami sebe stvarajući 'rezerve za crne dane', trošeći onoliko koliko mogu pokriti iz vlastitih prihoda izbjegavajući prekomjerno zaduživanje te povećavajući  financijsko znanje i iskustvo, npr. naučiti ispravno čitati plan otplate kredita. </w:t>
      </w:r>
    </w:p>
    <w:p w:rsidR="001B0376" w:rsidRDefault="0038347C" w:rsidP="001B0376">
      <w:pPr>
        <w:spacing w:after="0"/>
        <w:jc w:val="both"/>
      </w:pPr>
      <w:r w:rsidRPr="0038347C">
        <w:rPr>
          <w:sz w:val="24"/>
          <w:szCs w:val="24"/>
        </w:rPr>
        <w:t>U nedostatku dovoljnog iznosa vlastitih sredstava, zaduživanje je opravdano kada donosi prihode ili korist veću od rashoda za kamate,</w:t>
      </w:r>
      <w:r>
        <w:rPr>
          <w:sz w:val="24"/>
          <w:szCs w:val="24"/>
        </w:rPr>
        <w:t xml:space="preserve"> </w:t>
      </w:r>
      <w:r w:rsidRPr="0038347C">
        <w:rPr>
          <w:sz w:val="24"/>
          <w:szCs w:val="24"/>
        </w:rPr>
        <w:t xml:space="preserve">ali samo </w:t>
      </w:r>
      <w:r w:rsidRPr="00DC0948">
        <w:rPr>
          <w:color w:val="C00000"/>
          <w:sz w:val="24"/>
          <w:szCs w:val="24"/>
        </w:rPr>
        <w:t>ako kreditni zahtjev potpisuje racionalan, kreditno sposoban i odgovoran dužnik</w:t>
      </w:r>
      <w:r w:rsidR="00DC0948">
        <w:rPr>
          <w:sz w:val="24"/>
          <w:szCs w:val="24"/>
        </w:rPr>
        <w:t xml:space="preserve">, što znači da onaj koji sagledava realne financijske mogućnosti otplate duga i </w:t>
      </w:r>
      <w:r w:rsidR="00DC0948">
        <w:t xml:space="preserve">svjestan je svih makroekonomskih, financijskih i osobnih rizika koji se mogu odraziti na njihove financije. </w:t>
      </w:r>
    </w:p>
    <w:p w:rsidR="005953C0" w:rsidRPr="005953C0" w:rsidRDefault="005953C0" w:rsidP="001B0376">
      <w:pPr>
        <w:spacing w:before="240" w:after="0"/>
        <w:jc w:val="both"/>
        <w:rPr>
          <w:sz w:val="24"/>
          <w:szCs w:val="24"/>
        </w:rPr>
      </w:pPr>
      <w:r w:rsidRPr="005953C0">
        <w:rPr>
          <w:sz w:val="24"/>
          <w:szCs w:val="24"/>
        </w:rPr>
        <w:t xml:space="preserve">U kategoriju </w:t>
      </w:r>
      <w:r w:rsidRPr="005953C0">
        <w:rPr>
          <w:color w:val="C00000"/>
          <w:sz w:val="24"/>
          <w:szCs w:val="24"/>
        </w:rPr>
        <w:t xml:space="preserve">svrha zaduživanja koja se prvenstveno smatraju opravdanima </w:t>
      </w:r>
      <w:r w:rsidRPr="005953C0">
        <w:rPr>
          <w:sz w:val="24"/>
          <w:szCs w:val="24"/>
        </w:rPr>
        <w:t>ulazi:</w:t>
      </w:r>
    </w:p>
    <w:p w:rsidR="005953C0" w:rsidRPr="005953C0" w:rsidRDefault="005953C0" w:rsidP="006F1C04">
      <w:pPr>
        <w:pStyle w:val="Odlomakpopisa"/>
        <w:numPr>
          <w:ilvl w:val="0"/>
          <w:numId w:val="72"/>
        </w:numPr>
        <w:spacing w:before="120" w:after="120" w:line="264" w:lineRule="auto"/>
        <w:ind w:left="714" w:hanging="357"/>
        <w:jc w:val="both"/>
        <w:rPr>
          <w:sz w:val="24"/>
          <w:szCs w:val="24"/>
        </w:rPr>
      </w:pPr>
      <w:r w:rsidRPr="005953C0">
        <w:rPr>
          <w:sz w:val="24"/>
          <w:szCs w:val="24"/>
        </w:rPr>
        <w:t>zaduživanje koje će racionalnim i legalnim ekonomskim aktivnostima doprinijeti povećanu prihoda u većoj mjeri od rashoda za kamate, odnosno zaduživanje za potrebe opravdanih i ekonomski isplativih investicija, npr. pokretanje i proširenje poslovne aktivnosti</w:t>
      </w:r>
    </w:p>
    <w:p w:rsidR="005953C0" w:rsidRPr="005953C0" w:rsidRDefault="005953C0" w:rsidP="006F1C04">
      <w:pPr>
        <w:pStyle w:val="Odlomakpopisa"/>
        <w:numPr>
          <w:ilvl w:val="0"/>
          <w:numId w:val="72"/>
        </w:numPr>
        <w:spacing w:before="120" w:after="120" w:line="264" w:lineRule="auto"/>
        <w:ind w:left="714" w:hanging="357"/>
        <w:jc w:val="both"/>
        <w:rPr>
          <w:sz w:val="24"/>
          <w:szCs w:val="24"/>
        </w:rPr>
      </w:pPr>
      <w:r w:rsidRPr="005953C0">
        <w:rPr>
          <w:sz w:val="24"/>
          <w:szCs w:val="24"/>
        </w:rPr>
        <w:t xml:space="preserve">za školovanje, odnosno obrazovanje kako bi se povećala zapošljivost osobe i stvorili uvjeti za veću buduću zaradu  </w:t>
      </w:r>
    </w:p>
    <w:p w:rsidR="005953C0" w:rsidRPr="005953C0" w:rsidRDefault="005953C0" w:rsidP="006F1C04">
      <w:pPr>
        <w:pStyle w:val="Odlomakpopisa"/>
        <w:numPr>
          <w:ilvl w:val="0"/>
          <w:numId w:val="72"/>
        </w:numPr>
        <w:spacing w:before="120" w:after="120" w:line="264" w:lineRule="auto"/>
        <w:ind w:left="714" w:hanging="357"/>
        <w:jc w:val="both"/>
        <w:rPr>
          <w:sz w:val="24"/>
          <w:szCs w:val="24"/>
        </w:rPr>
      </w:pPr>
      <w:r w:rsidRPr="005953C0">
        <w:rPr>
          <w:sz w:val="24"/>
          <w:szCs w:val="24"/>
        </w:rPr>
        <w:t>za kupnju stana ili kuće jer je riješeno stambeno pitanje preduvjet za zdrav život, dok ulaganje u nekretnine ima dugotrajnu vrijednost</w:t>
      </w:r>
    </w:p>
    <w:p w:rsidR="00596AD0" w:rsidRPr="00342900" w:rsidRDefault="005953C0" w:rsidP="00416359">
      <w:pPr>
        <w:pStyle w:val="Odlomakpopisa"/>
        <w:numPr>
          <w:ilvl w:val="0"/>
          <w:numId w:val="72"/>
        </w:numPr>
        <w:spacing w:before="120" w:after="120" w:line="264" w:lineRule="auto"/>
        <w:ind w:left="714" w:hanging="357"/>
        <w:jc w:val="both"/>
        <w:rPr>
          <w:b/>
          <w:sz w:val="24"/>
          <w:szCs w:val="24"/>
        </w:rPr>
      </w:pPr>
      <w:r w:rsidRPr="00342900">
        <w:rPr>
          <w:sz w:val="24"/>
          <w:szCs w:val="24"/>
        </w:rPr>
        <w:t xml:space="preserve">i za pokriće troškova liječenja, odnosno drugih nužnih medicinskih troškova. </w:t>
      </w:r>
    </w:p>
    <w:p w:rsidR="00596AD0" w:rsidRDefault="00596AD0" w:rsidP="00416359">
      <w:pPr>
        <w:pStyle w:val="Obinitekst"/>
        <w:jc w:val="both"/>
        <w:rPr>
          <w:rFonts w:asciiTheme="minorHAnsi" w:eastAsiaTheme="minorHAnsi" w:hAnsiTheme="minorHAnsi" w:cstheme="minorBidi"/>
          <w:b/>
          <w:sz w:val="24"/>
          <w:szCs w:val="24"/>
          <w:lang w:eastAsia="en-US"/>
        </w:rPr>
      </w:pPr>
    </w:p>
    <w:p w:rsidR="00416359" w:rsidRPr="005E6A29" w:rsidRDefault="00416359" w:rsidP="00416359">
      <w:pPr>
        <w:pStyle w:val="Obinitekst"/>
        <w:jc w:val="both"/>
        <w:rPr>
          <w:rFonts w:asciiTheme="minorHAnsi" w:eastAsiaTheme="minorHAnsi" w:hAnsiTheme="minorHAnsi" w:cstheme="minorBidi"/>
          <w:b/>
          <w:sz w:val="24"/>
          <w:szCs w:val="24"/>
          <w:lang w:eastAsia="en-US"/>
        </w:rPr>
      </w:pPr>
      <w:r w:rsidRPr="005E6A29">
        <w:rPr>
          <w:rFonts w:asciiTheme="minorHAnsi" w:eastAsiaTheme="minorHAnsi" w:hAnsiTheme="minorHAnsi" w:cstheme="minorBidi"/>
          <w:b/>
          <w:sz w:val="24"/>
          <w:szCs w:val="24"/>
          <w:lang w:eastAsia="en-US"/>
        </w:rPr>
        <w:lastRenderedPageBreak/>
        <w:t>5. OSIGURANJE – ZAŠTITA POJEDINCA I OSOBNE IMOVINE</w:t>
      </w:r>
    </w:p>
    <w:p w:rsidR="005E6A29" w:rsidRDefault="00416359" w:rsidP="005E6A29">
      <w:pPr>
        <w:pStyle w:val="Obinitekst"/>
        <w:spacing w:before="240" w:after="200" w:line="276" w:lineRule="auto"/>
        <w:jc w:val="both"/>
        <w:rPr>
          <w:rFonts w:asciiTheme="minorHAnsi" w:eastAsiaTheme="minorHAnsi" w:hAnsiTheme="minorHAnsi" w:cstheme="minorBidi"/>
          <w:sz w:val="24"/>
          <w:szCs w:val="24"/>
          <w:lang w:eastAsia="en-US"/>
        </w:rPr>
      </w:pPr>
      <w:r w:rsidRPr="005E6A29">
        <w:rPr>
          <w:rFonts w:asciiTheme="minorHAnsi" w:eastAsiaTheme="minorHAnsi" w:hAnsiTheme="minorHAnsi" w:cstheme="minorBidi"/>
          <w:sz w:val="24"/>
          <w:szCs w:val="24"/>
          <w:lang w:eastAsia="en-US"/>
        </w:rPr>
        <w:t xml:space="preserve">Posebnu vrstu financijskih institucija predstavljaju </w:t>
      </w:r>
      <w:r w:rsidRPr="005E6A29">
        <w:rPr>
          <w:rFonts w:asciiTheme="minorHAnsi" w:eastAsiaTheme="minorHAnsi" w:hAnsiTheme="minorHAnsi" w:cstheme="minorBidi"/>
          <w:color w:val="C00000"/>
          <w:sz w:val="24"/>
          <w:szCs w:val="24"/>
          <w:lang w:eastAsia="en-US"/>
        </w:rPr>
        <w:t>društva za osiguranje</w:t>
      </w:r>
      <w:r w:rsidRPr="005E6A29">
        <w:rPr>
          <w:rFonts w:asciiTheme="minorHAnsi" w:eastAsiaTheme="minorHAnsi" w:hAnsiTheme="minorHAnsi" w:cstheme="minorBidi"/>
          <w:sz w:val="24"/>
          <w:szCs w:val="24"/>
          <w:lang w:eastAsia="en-US"/>
        </w:rPr>
        <w:t>, kao pravne osobe koje su dobile dozvolu nadzornog tijela za obavljanje poslova osiguranja</w:t>
      </w:r>
      <w:r w:rsidR="005E6A29">
        <w:rPr>
          <w:rFonts w:asciiTheme="minorHAnsi" w:eastAsiaTheme="minorHAnsi" w:hAnsiTheme="minorHAnsi" w:cstheme="minorBidi"/>
          <w:sz w:val="24"/>
          <w:szCs w:val="24"/>
          <w:lang w:eastAsia="en-US"/>
        </w:rPr>
        <w:t xml:space="preserve"> definiranih </w:t>
      </w:r>
      <w:r w:rsidR="005E6A29" w:rsidRPr="00675027">
        <w:rPr>
          <w:rFonts w:asciiTheme="minorHAnsi" w:eastAsiaTheme="minorHAnsi" w:hAnsiTheme="minorHAnsi" w:cstheme="minorBidi"/>
          <w:i/>
          <w:color w:val="C00000"/>
          <w:sz w:val="24"/>
          <w:szCs w:val="24"/>
          <w:lang w:eastAsia="en-US"/>
        </w:rPr>
        <w:t>Zakonom o osiguranju</w:t>
      </w:r>
      <w:r w:rsidRPr="005E6A29">
        <w:rPr>
          <w:rFonts w:asciiTheme="minorHAnsi" w:eastAsiaTheme="minorHAnsi" w:hAnsiTheme="minorHAnsi" w:cstheme="minorBidi"/>
          <w:sz w:val="24"/>
          <w:szCs w:val="24"/>
          <w:lang w:eastAsia="en-US"/>
        </w:rPr>
        <w:t>. Način</w:t>
      </w:r>
      <w:r w:rsidR="005E6A29">
        <w:rPr>
          <w:rFonts w:asciiTheme="minorHAnsi" w:eastAsiaTheme="minorHAnsi" w:hAnsiTheme="minorHAnsi" w:cstheme="minorBidi"/>
          <w:sz w:val="24"/>
          <w:szCs w:val="24"/>
          <w:lang w:eastAsia="en-US"/>
        </w:rPr>
        <w:t>i</w:t>
      </w:r>
      <w:r w:rsidRPr="005E6A29">
        <w:rPr>
          <w:rFonts w:asciiTheme="minorHAnsi" w:eastAsiaTheme="minorHAnsi" w:hAnsiTheme="minorHAnsi" w:cstheme="minorBidi"/>
          <w:sz w:val="24"/>
          <w:szCs w:val="24"/>
          <w:lang w:eastAsia="en-US"/>
        </w:rPr>
        <w:t xml:space="preserve"> na koji </w:t>
      </w:r>
      <w:r w:rsidR="005E6A29">
        <w:rPr>
          <w:rFonts w:asciiTheme="minorHAnsi" w:eastAsiaTheme="minorHAnsi" w:hAnsiTheme="minorHAnsi" w:cstheme="minorBidi"/>
          <w:sz w:val="24"/>
          <w:szCs w:val="24"/>
          <w:lang w:eastAsia="en-US"/>
        </w:rPr>
        <w:t xml:space="preserve">oni </w:t>
      </w:r>
      <w:r w:rsidRPr="005E6A29">
        <w:rPr>
          <w:rFonts w:asciiTheme="minorHAnsi" w:eastAsiaTheme="minorHAnsi" w:hAnsiTheme="minorHAnsi" w:cstheme="minorBidi"/>
          <w:sz w:val="24"/>
          <w:szCs w:val="24"/>
          <w:lang w:eastAsia="en-US"/>
        </w:rPr>
        <w:t>prikupljaju izvore sredstva i plasiraju ih na tržište, bitno su drugačiji nego u slučaju banka, stambenih štedionica i drugih financijskih institucija</w:t>
      </w:r>
      <w:r w:rsidR="005E6A29">
        <w:rPr>
          <w:rFonts w:asciiTheme="minorHAnsi" w:eastAsiaTheme="minorHAnsi" w:hAnsiTheme="minorHAnsi" w:cstheme="minorBidi"/>
          <w:sz w:val="24"/>
          <w:szCs w:val="24"/>
          <w:lang w:eastAsia="en-US"/>
        </w:rPr>
        <w:t>. Stoga je i terminologija koja se koristi u nastavku bitno različita od dosadašnje</w:t>
      </w:r>
      <w:r w:rsidRPr="005E6A29">
        <w:rPr>
          <w:rFonts w:asciiTheme="minorHAnsi" w:eastAsiaTheme="minorHAnsi" w:hAnsiTheme="minorHAnsi" w:cstheme="minorBidi"/>
          <w:sz w:val="24"/>
          <w:szCs w:val="24"/>
          <w:lang w:eastAsia="en-US"/>
        </w:rPr>
        <w:t xml:space="preserve">. </w:t>
      </w:r>
    </w:p>
    <w:p w:rsidR="00416359" w:rsidRPr="005E6A29" w:rsidRDefault="005E6A29" w:rsidP="005E6A29">
      <w:pPr>
        <w:pStyle w:val="Obinitekst"/>
        <w:spacing w:before="240" w:after="200" w:line="276"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Aktivnost društava za osiguranje </w:t>
      </w:r>
      <w:r w:rsidR="00416359" w:rsidRPr="005E6A29">
        <w:rPr>
          <w:rFonts w:asciiTheme="minorHAnsi" w:eastAsiaTheme="minorHAnsi" w:hAnsiTheme="minorHAnsi" w:cstheme="minorBidi"/>
          <w:sz w:val="24"/>
          <w:szCs w:val="24"/>
          <w:lang w:eastAsia="en-US"/>
        </w:rPr>
        <w:t>treba promatrati kroz prizmu pojma osiguranje, karakteristik</w:t>
      </w:r>
      <w:r>
        <w:rPr>
          <w:rFonts w:asciiTheme="minorHAnsi" w:eastAsiaTheme="minorHAnsi" w:hAnsiTheme="minorHAnsi" w:cstheme="minorBidi"/>
          <w:sz w:val="24"/>
          <w:szCs w:val="24"/>
          <w:lang w:eastAsia="en-US"/>
        </w:rPr>
        <w:t>a</w:t>
      </w:r>
      <w:r w:rsidR="00416359" w:rsidRPr="005E6A29">
        <w:rPr>
          <w:rFonts w:asciiTheme="minorHAnsi" w:eastAsiaTheme="minorHAnsi" w:hAnsiTheme="minorHAnsi" w:cstheme="minorBidi"/>
          <w:sz w:val="24"/>
          <w:szCs w:val="24"/>
          <w:lang w:eastAsia="en-US"/>
        </w:rPr>
        <w:t xml:space="preserve"> osiguranja te zakonsku regulativu koja definira vrste poslova osiguranja i strukturu ulaganja prikupljenih sredstava.</w:t>
      </w:r>
      <w:r>
        <w:rPr>
          <w:rFonts w:asciiTheme="minorHAnsi" w:eastAsiaTheme="minorHAnsi" w:hAnsiTheme="minorHAnsi" w:cstheme="minorBidi"/>
          <w:sz w:val="24"/>
          <w:szCs w:val="24"/>
          <w:lang w:eastAsia="en-US"/>
        </w:rPr>
        <w:t xml:space="preserve"> Pri tome je na samom početku važno istaći da se pojam i obilježja osiguranja ne vežu samo uz aktivnosti društava za osiguranje, nego i aktivnosti različitih drugih institucija </w:t>
      </w:r>
      <w:r w:rsidR="00D27083">
        <w:rPr>
          <w:rFonts w:asciiTheme="minorHAnsi" w:eastAsiaTheme="minorHAnsi" w:hAnsiTheme="minorHAnsi" w:cstheme="minorBidi"/>
          <w:sz w:val="24"/>
          <w:szCs w:val="24"/>
          <w:lang w:eastAsia="en-US"/>
        </w:rPr>
        <w:t xml:space="preserve">(društva za upravljanje mirovinskim fondovima, Hrvatskog zavoda za mirovinsko osiguranje, Hrvatskog zavoda za zdravstveno osiguranje itd.) </w:t>
      </w:r>
      <w:r>
        <w:rPr>
          <w:rFonts w:asciiTheme="minorHAnsi" w:eastAsiaTheme="minorHAnsi" w:hAnsiTheme="minorHAnsi" w:cstheme="minorBidi"/>
          <w:sz w:val="24"/>
          <w:szCs w:val="24"/>
          <w:lang w:eastAsia="en-US"/>
        </w:rPr>
        <w:t xml:space="preserve">uključenih u mirovinsko, zdravstveno i </w:t>
      </w:r>
      <w:r w:rsidR="00D27083">
        <w:rPr>
          <w:rFonts w:asciiTheme="minorHAnsi" w:eastAsiaTheme="minorHAnsi" w:hAnsiTheme="minorHAnsi" w:cstheme="minorBidi"/>
          <w:sz w:val="24"/>
          <w:szCs w:val="24"/>
          <w:lang w:eastAsia="en-US"/>
        </w:rPr>
        <w:t xml:space="preserve">ostale </w:t>
      </w:r>
      <w:r>
        <w:rPr>
          <w:rFonts w:asciiTheme="minorHAnsi" w:eastAsiaTheme="minorHAnsi" w:hAnsiTheme="minorHAnsi" w:cstheme="minorBidi"/>
          <w:sz w:val="24"/>
          <w:szCs w:val="24"/>
          <w:lang w:eastAsia="en-US"/>
        </w:rPr>
        <w:t xml:space="preserve">oblike </w:t>
      </w:r>
      <w:r w:rsidRPr="00D27083">
        <w:rPr>
          <w:rFonts w:asciiTheme="minorHAnsi" w:eastAsiaTheme="minorHAnsi" w:hAnsiTheme="minorHAnsi" w:cstheme="minorBidi"/>
          <w:color w:val="C00000"/>
          <w:sz w:val="24"/>
          <w:szCs w:val="24"/>
          <w:lang w:eastAsia="en-US"/>
        </w:rPr>
        <w:t xml:space="preserve">socijalnog osiguranja na koje se ne odnosi </w:t>
      </w:r>
      <w:r w:rsidRPr="00675027">
        <w:rPr>
          <w:rFonts w:asciiTheme="minorHAnsi" w:eastAsiaTheme="minorHAnsi" w:hAnsiTheme="minorHAnsi" w:cstheme="minorBidi"/>
          <w:i/>
          <w:color w:val="C00000"/>
          <w:sz w:val="24"/>
          <w:szCs w:val="24"/>
          <w:lang w:eastAsia="en-US"/>
        </w:rPr>
        <w:t>Zak</w:t>
      </w:r>
      <w:r w:rsidR="00D27083" w:rsidRPr="00675027">
        <w:rPr>
          <w:rFonts w:asciiTheme="minorHAnsi" w:eastAsiaTheme="minorHAnsi" w:hAnsiTheme="minorHAnsi" w:cstheme="minorBidi"/>
          <w:i/>
          <w:color w:val="C00000"/>
          <w:sz w:val="24"/>
          <w:szCs w:val="24"/>
          <w:lang w:eastAsia="en-US"/>
        </w:rPr>
        <w:t>on o osiguranju</w:t>
      </w:r>
      <w:r w:rsidR="00EC2999">
        <w:rPr>
          <w:rFonts w:asciiTheme="minorHAnsi" w:eastAsiaTheme="minorHAnsi" w:hAnsiTheme="minorHAnsi" w:cstheme="minorBidi"/>
          <w:sz w:val="24"/>
          <w:szCs w:val="24"/>
          <w:lang w:eastAsia="en-US"/>
        </w:rPr>
        <w:t xml:space="preserve"> te s njima nije povezan tekst u </w:t>
      </w:r>
      <w:r w:rsidR="000A4D98">
        <w:rPr>
          <w:rFonts w:asciiTheme="minorHAnsi" w:eastAsiaTheme="minorHAnsi" w:hAnsiTheme="minorHAnsi" w:cstheme="minorBidi"/>
          <w:sz w:val="24"/>
          <w:szCs w:val="24"/>
          <w:lang w:eastAsia="en-US"/>
        </w:rPr>
        <w:t xml:space="preserve">prvom dijelu ovog poglavlja </w:t>
      </w:r>
      <w:r w:rsidR="00EC2999">
        <w:rPr>
          <w:rFonts w:asciiTheme="minorHAnsi" w:eastAsiaTheme="minorHAnsi" w:hAnsiTheme="minorHAnsi" w:cstheme="minorBidi"/>
          <w:sz w:val="24"/>
          <w:szCs w:val="24"/>
          <w:lang w:eastAsia="en-US"/>
        </w:rPr>
        <w:t>koji se odnosi isključivo na poslove osiguranja koje obavljaju društva za osiguranje</w:t>
      </w:r>
      <w:r w:rsidR="00D27083">
        <w:rPr>
          <w:rFonts w:asciiTheme="minorHAnsi" w:eastAsiaTheme="minorHAnsi" w:hAnsiTheme="minorHAnsi" w:cstheme="minorBidi"/>
          <w:sz w:val="24"/>
          <w:szCs w:val="24"/>
          <w:lang w:eastAsia="en-US"/>
        </w:rPr>
        <w:t xml:space="preserve">. </w:t>
      </w:r>
    </w:p>
    <w:p w:rsidR="00D27083" w:rsidRPr="00D27083" w:rsidRDefault="00D27083" w:rsidP="005E6A29">
      <w:pPr>
        <w:pStyle w:val="Obinitekst"/>
        <w:spacing w:after="200" w:line="276" w:lineRule="auto"/>
        <w:jc w:val="both"/>
        <w:rPr>
          <w:rFonts w:asciiTheme="minorHAnsi" w:eastAsiaTheme="minorHAnsi" w:hAnsiTheme="minorHAnsi" w:cstheme="minorBidi"/>
          <w:b/>
          <w:sz w:val="24"/>
          <w:szCs w:val="24"/>
          <w:lang w:eastAsia="en-US"/>
        </w:rPr>
      </w:pPr>
      <w:r w:rsidRPr="00D27083">
        <w:rPr>
          <w:rFonts w:asciiTheme="minorHAnsi" w:eastAsiaTheme="minorHAnsi" w:hAnsiTheme="minorHAnsi" w:cstheme="minorBidi"/>
          <w:b/>
          <w:sz w:val="24"/>
          <w:szCs w:val="24"/>
          <w:lang w:eastAsia="en-US"/>
        </w:rPr>
        <w:t xml:space="preserve">5.1. Vrste osigurljivih rizika i izbor osiguranja </w:t>
      </w:r>
    </w:p>
    <w:p w:rsidR="00416359" w:rsidRPr="005E6A29" w:rsidRDefault="00416359" w:rsidP="00D27083">
      <w:pPr>
        <w:pStyle w:val="Obinitekst"/>
        <w:spacing w:after="200" w:line="276" w:lineRule="auto"/>
        <w:jc w:val="both"/>
        <w:rPr>
          <w:rFonts w:asciiTheme="minorHAnsi" w:eastAsiaTheme="minorHAnsi" w:hAnsiTheme="minorHAnsi" w:cstheme="minorBidi"/>
          <w:sz w:val="24"/>
          <w:szCs w:val="24"/>
          <w:lang w:eastAsia="en-US"/>
        </w:rPr>
      </w:pPr>
      <w:r w:rsidRPr="005E6A29">
        <w:rPr>
          <w:rFonts w:asciiTheme="minorHAnsi" w:eastAsiaTheme="minorHAnsi" w:hAnsiTheme="minorHAnsi" w:cstheme="minorBidi"/>
          <w:color w:val="C00000"/>
          <w:sz w:val="24"/>
          <w:szCs w:val="24"/>
          <w:lang w:eastAsia="en-US"/>
        </w:rPr>
        <w:t xml:space="preserve">Osiguranje </w:t>
      </w:r>
      <w:r w:rsidRPr="005E6A29">
        <w:rPr>
          <w:rFonts w:asciiTheme="minorHAnsi" w:eastAsiaTheme="minorHAnsi" w:hAnsiTheme="minorHAnsi" w:cstheme="minorBidi"/>
          <w:sz w:val="24"/>
          <w:szCs w:val="24"/>
          <w:lang w:eastAsia="en-US"/>
        </w:rPr>
        <w:t xml:space="preserve">predstavlja metodu prijenosa rizika sa osiguranika na osiguratelja (odnosno zajednicu rizika), s ciljem da se kroz naknadu slučajne štete onima kod kojih su nastale, raspodjele gubici na sve članove zajednice rizika. </w:t>
      </w:r>
      <w:r w:rsidR="005E6A29" w:rsidRPr="005E6A29">
        <w:rPr>
          <w:rFonts w:asciiTheme="minorHAnsi" w:eastAsiaTheme="minorHAnsi" w:hAnsiTheme="minorHAnsi" w:cstheme="minorBidi"/>
          <w:sz w:val="24"/>
          <w:szCs w:val="24"/>
          <w:lang w:eastAsia="en-US"/>
        </w:rPr>
        <w:t xml:space="preserve">Iz navedenog proizlaze i </w:t>
      </w:r>
      <w:r w:rsidR="005E6A29" w:rsidRPr="00D27083">
        <w:rPr>
          <w:rFonts w:asciiTheme="minorHAnsi" w:eastAsiaTheme="minorHAnsi" w:hAnsiTheme="minorHAnsi" w:cstheme="minorBidi"/>
          <w:color w:val="C00000"/>
          <w:sz w:val="24"/>
          <w:szCs w:val="24"/>
          <w:lang w:eastAsia="en-US"/>
        </w:rPr>
        <w:t>t</w:t>
      </w:r>
      <w:r w:rsidRPr="00D27083">
        <w:rPr>
          <w:rFonts w:asciiTheme="minorHAnsi" w:eastAsiaTheme="minorHAnsi" w:hAnsiTheme="minorHAnsi" w:cstheme="minorBidi"/>
          <w:color w:val="C00000"/>
          <w:sz w:val="24"/>
          <w:szCs w:val="24"/>
          <w:lang w:eastAsia="en-US"/>
        </w:rPr>
        <w:t>emeljne karakteristike osiguranja</w:t>
      </w:r>
      <w:r w:rsidR="00D27083">
        <w:rPr>
          <w:rFonts w:asciiTheme="minorHAnsi" w:eastAsiaTheme="minorHAnsi" w:hAnsiTheme="minorHAnsi" w:cstheme="minorBidi"/>
          <w:sz w:val="24"/>
          <w:szCs w:val="24"/>
          <w:lang w:eastAsia="en-US"/>
        </w:rPr>
        <w:t xml:space="preserve">. </w:t>
      </w:r>
    </w:p>
    <w:p w:rsidR="00D27083" w:rsidRDefault="00D27083" w:rsidP="00C86D78">
      <w:pPr>
        <w:pStyle w:val="Obinitekst"/>
        <w:numPr>
          <w:ilvl w:val="0"/>
          <w:numId w:val="73"/>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Osiguranje se temelji se na načelima uzajamnosti i solidarnosti.</w:t>
      </w:r>
    </w:p>
    <w:p w:rsidR="00416359" w:rsidRPr="005E6A29" w:rsidRDefault="00D27083" w:rsidP="00C86D78">
      <w:pPr>
        <w:pStyle w:val="Obinitekst"/>
        <w:numPr>
          <w:ilvl w:val="0"/>
          <w:numId w:val="73"/>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R</w:t>
      </w:r>
      <w:r w:rsidR="005E6A29" w:rsidRPr="005E6A29">
        <w:rPr>
          <w:rFonts w:asciiTheme="minorHAnsi" w:eastAsiaTheme="minorHAnsi" w:hAnsiTheme="minorHAnsi" w:cstheme="minorBidi"/>
          <w:sz w:val="24"/>
          <w:szCs w:val="24"/>
          <w:lang w:eastAsia="en-US"/>
        </w:rPr>
        <w:t xml:space="preserve">adi se o poslovima </w:t>
      </w:r>
      <w:r w:rsidR="00416359" w:rsidRPr="005E6A29">
        <w:rPr>
          <w:rFonts w:asciiTheme="minorHAnsi" w:eastAsiaTheme="minorHAnsi" w:hAnsiTheme="minorHAnsi" w:cstheme="minorBidi"/>
          <w:sz w:val="24"/>
          <w:szCs w:val="24"/>
          <w:lang w:eastAsia="en-US"/>
        </w:rPr>
        <w:t>objedinjavanje rizika</w:t>
      </w:r>
      <w:r>
        <w:rPr>
          <w:rFonts w:asciiTheme="minorHAnsi" w:eastAsiaTheme="minorHAnsi" w:hAnsiTheme="minorHAnsi" w:cstheme="minorBidi"/>
          <w:sz w:val="24"/>
          <w:szCs w:val="24"/>
          <w:lang w:eastAsia="en-US"/>
        </w:rPr>
        <w:t>.</w:t>
      </w:r>
    </w:p>
    <w:p w:rsidR="00416359" w:rsidRPr="005E6A29" w:rsidRDefault="00D27083" w:rsidP="00C86D78">
      <w:pPr>
        <w:pStyle w:val="Obinitekst"/>
        <w:numPr>
          <w:ilvl w:val="0"/>
          <w:numId w:val="73"/>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R</w:t>
      </w:r>
      <w:r w:rsidR="005E6A29" w:rsidRPr="005E6A29">
        <w:rPr>
          <w:rFonts w:asciiTheme="minorHAnsi" w:eastAsiaTheme="minorHAnsi" w:hAnsiTheme="minorHAnsi" w:cstheme="minorBidi"/>
          <w:sz w:val="24"/>
          <w:szCs w:val="24"/>
          <w:lang w:eastAsia="en-US"/>
        </w:rPr>
        <w:t xml:space="preserve">izici koji su </w:t>
      </w:r>
      <w:r>
        <w:rPr>
          <w:rFonts w:asciiTheme="minorHAnsi" w:eastAsiaTheme="minorHAnsi" w:hAnsiTheme="minorHAnsi" w:cstheme="minorBidi"/>
          <w:sz w:val="24"/>
          <w:szCs w:val="24"/>
          <w:lang w:eastAsia="en-US"/>
        </w:rPr>
        <w:t xml:space="preserve">obuhvaćeni </w:t>
      </w:r>
      <w:r w:rsidR="005E6A29" w:rsidRPr="005E6A29">
        <w:rPr>
          <w:rFonts w:asciiTheme="minorHAnsi" w:eastAsiaTheme="minorHAnsi" w:hAnsiTheme="minorHAnsi" w:cstheme="minorBidi"/>
          <w:sz w:val="24"/>
          <w:szCs w:val="24"/>
          <w:lang w:eastAsia="en-US"/>
        </w:rPr>
        <w:t>osiguranje</w:t>
      </w:r>
      <w:r>
        <w:rPr>
          <w:rFonts w:asciiTheme="minorHAnsi" w:eastAsiaTheme="minorHAnsi" w:hAnsiTheme="minorHAnsi" w:cstheme="minorBidi"/>
          <w:sz w:val="24"/>
          <w:szCs w:val="24"/>
          <w:lang w:eastAsia="en-US"/>
        </w:rPr>
        <w:t>m</w:t>
      </w:r>
      <w:r w:rsidR="005E6A29" w:rsidRPr="005E6A29">
        <w:rPr>
          <w:rFonts w:asciiTheme="minorHAnsi" w:eastAsiaTheme="minorHAnsi" w:hAnsiTheme="minorHAnsi" w:cstheme="minorBidi"/>
          <w:sz w:val="24"/>
          <w:szCs w:val="24"/>
          <w:lang w:eastAsia="en-US"/>
        </w:rPr>
        <w:t xml:space="preserve"> su samo </w:t>
      </w:r>
      <w:r w:rsidR="00416359" w:rsidRPr="005E6A29">
        <w:rPr>
          <w:rFonts w:asciiTheme="minorHAnsi" w:eastAsiaTheme="minorHAnsi" w:hAnsiTheme="minorHAnsi" w:cstheme="minorBidi"/>
          <w:sz w:val="24"/>
          <w:szCs w:val="24"/>
          <w:lang w:eastAsia="en-US"/>
        </w:rPr>
        <w:t>osigurljivi rizici</w:t>
      </w:r>
      <w:r w:rsidR="005E6A29" w:rsidRPr="005E6A29">
        <w:rPr>
          <w:rFonts w:asciiTheme="minorHAnsi" w:eastAsiaTheme="minorHAnsi" w:hAnsiTheme="minorHAnsi" w:cstheme="minorBidi"/>
          <w:sz w:val="24"/>
          <w:szCs w:val="24"/>
          <w:lang w:eastAsia="en-US"/>
        </w:rPr>
        <w:t xml:space="preserve">, odnosno </w:t>
      </w:r>
      <w:r w:rsidR="00416359" w:rsidRPr="005E6A29">
        <w:rPr>
          <w:rFonts w:asciiTheme="minorHAnsi" w:eastAsiaTheme="minorHAnsi" w:hAnsiTheme="minorHAnsi" w:cstheme="minorBidi"/>
          <w:sz w:val="24"/>
          <w:szCs w:val="24"/>
          <w:lang w:eastAsia="en-US"/>
        </w:rPr>
        <w:t>oni kod kojih je moguće utvrditi njihovu veličinu te objektivno izračunati potrebnu premij</w:t>
      </w:r>
      <w:r>
        <w:rPr>
          <w:rFonts w:asciiTheme="minorHAnsi" w:eastAsiaTheme="minorHAnsi" w:hAnsiTheme="minorHAnsi" w:cstheme="minorBidi"/>
          <w:sz w:val="24"/>
          <w:szCs w:val="24"/>
          <w:lang w:eastAsia="en-US"/>
        </w:rPr>
        <w:t>u osiguranja za njihovo pokriće.</w:t>
      </w:r>
    </w:p>
    <w:p w:rsidR="00416359" w:rsidRPr="005E6A29" w:rsidRDefault="00D27083" w:rsidP="00C86D78">
      <w:pPr>
        <w:pStyle w:val="Obinitekst"/>
        <w:numPr>
          <w:ilvl w:val="0"/>
          <w:numId w:val="73"/>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w:t>
      </w:r>
      <w:r w:rsidR="005E6A29" w:rsidRPr="005E6A29">
        <w:rPr>
          <w:rFonts w:asciiTheme="minorHAnsi" w:eastAsiaTheme="minorHAnsi" w:hAnsiTheme="minorHAnsi" w:cstheme="minorBidi"/>
          <w:sz w:val="24"/>
          <w:szCs w:val="24"/>
          <w:lang w:eastAsia="en-US"/>
        </w:rPr>
        <w:t xml:space="preserve">ostoji </w:t>
      </w:r>
      <w:r w:rsidR="00416359" w:rsidRPr="005E6A29">
        <w:rPr>
          <w:rFonts w:asciiTheme="minorHAnsi" w:eastAsiaTheme="minorHAnsi" w:hAnsiTheme="minorHAnsi" w:cstheme="minorBidi"/>
          <w:sz w:val="24"/>
          <w:szCs w:val="24"/>
          <w:lang w:eastAsia="en-US"/>
        </w:rPr>
        <w:t xml:space="preserve">raspodjela šteta na sve članove zajednice </w:t>
      </w:r>
      <w:r w:rsidR="005E6A29" w:rsidRPr="005E6A29">
        <w:rPr>
          <w:rFonts w:asciiTheme="minorHAnsi" w:eastAsiaTheme="minorHAnsi" w:hAnsiTheme="minorHAnsi" w:cstheme="minorBidi"/>
          <w:sz w:val="24"/>
          <w:szCs w:val="24"/>
          <w:lang w:eastAsia="en-US"/>
        </w:rPr>
        <w:t xml:space="preserve">rizika </w:t>
      </w:r>
      <w:r w:rsidR="00416359" w:rsidRPr="005E6A29">
        <w:rPr>
          <w:rFonts w:asciiTheme="minorHAnsi" w:eastAsiaTheme="minorHAnsi" w:hAnsiTheme="minorHAnsi" w:cstheme="minorBidi"/>
          <w:sz w:val="24"/>
          <w:szCs w:val="24"/>
          <w:lang w:eastAsia="en-US"/>
        </w:rPr>
        <w:t>proporcionalno veličini rizika koji je pojedini član unio u zajednicu</w:t>
      </w:r>
      <w:r>
        <w:rPr>
          <w:rFonts w:asciiTheme="minorHAnsi" w:eastAsiaTheme="minorHAnsi" w:hAnsiTheme="minorHAnsi" w:cstheme="minorBidi"/>
          <w:sz w:val="24"/>
          <w:szCs w:val="24"/>
          <w:lang w:eastAsia="en-US"/>
        </w:rPr>
        <w:t>.</w:t>
      </w:r>
      <w:r w:rsidR="00416359" w:rsidRPr="005E6A29">
        <w:rPr>
          <w:rFonts w:asciiTheme="minorHAnsi" w:eastAsiaTheme="minorHAnsi" w:hAnsiTheme="minorHAnsi" w:cstheme="minorBidi"/>
          <w:sz w:val="24"/>
          <w:szCs w:val="24"/>
          <w:lang w:eastAsia="en-US"/>
        </w:rPr>
        <w:t xml:space="preserve"> </w:t>
      </w:r>
    </w:p>
    <w:p w:rsidR="00416359" w:rsidRPr="005E6A29" w:rsidRDefault="00D27083" w:rsidP="00C86D78">
      <w:pPr>
        <w:pStyle w:val="Obinitekst"/>
        <w:numPr>
          <w:ilvl w:val="0"/>
          <w:numId w:val="73"/>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w:t>
      </w:r>
      <w:r w:rsidR="00416359" w:rsidRPr="005E6A29">
        <w:rPr>
          <w:rFonts w:asciiTheme="minorHAnsi" w:eastAsiaTheme="minorHAnsi" w:hAnsiTheme="minorHAnsi" w:cstheme="minorBidi"/>
          <w:sz w:val="24"/>
          <w:szCs w:val="24"/>
          <w:lang w:eastAsia="en-US"/>
        </w:rPr>
        <w:t xml:space="preserve">okriće </w:t>
      </w:r>
      <w:r w:rsidR="005E6A29" w:rsidRPr="005E6A29">
        <w:rPr>
          <w:rFonts w:asciiTheme="minorHAnsi" w:eastAsiaTheme="minorHAnsi" w:hAnsiTheme="minorHAnsi" w:cstheme="minorBidi"/>
          <w:sz w:val="24"/>
          <w:szCs w:val="24"/>
          <w:lang w:eastAsia="en-US"/>
        </w:rPr>
        <w:t xml:space="preserve">je moguće samo kod </w:t>
      </w:r>
      <w:r w:rsidR="00416359" w:rsidRPr="005E6A29">
        <w:rPr>
          <w:rFonts w:asciiTheme="minorHAnsi" w:eastAsiaTheme="minorHAnsi" w:hAnsiTheme="minorHAnsi" w:cstheme="minorBidi"/>
          <w:sz w:val="24"/>
          <w:szCs w:val="24"/>
          <w:lang w:eastAsia="en-US"/>
        </w:rPr>
        <w:t>slučajnih šteta</w:t>
      </w:r>
      <w:r>
        <w:rPr>
          <w:rFonts w:asciiTheme="minorHAnsi" w:eastAsiaTheme="minorHAnsi" w:hAnsiTheme="minorHAnsi" w:cstheme="minorBidi"/>
          <w:sz w:val="24"/>
          <w:szCs w:val="24"/>
          <w:lang w:eastAsia="en-US"/>
        </w:rPr>
        <w:t xml:space="preserve">, odnosno onih </w:t>
      </w:r>
      <w:r w:rsidR="00416359" w:rsidRPr="005E6A29">
        <w:rPr>
          <w:rFonts w:asciiTheme="minorHAnsi" w:eastAsiaTheme="minorHAnsi" w:hAnsiTheme="minorHAnsi" w:cstheme="minorBidi"/>
          <w:sz w:val="24"/>
          <w:szCs w:val="24"/>
          <w:lang w:eastAsia="en-US"/>
        </w:rPr>
        <w:t>koje  su slučajn</w:t>
      </w:r>
      <w:r>
        <w:rPr>
          <w:rFonts w:asciiTheme="minorHAnsi" w:eastAsiaTheme="minorHAnsi" w:hAnsiTheme="minorHAnsi" w:cstheme="minorBidi"/>
          <w:sz w:val="24"/>
          <w:szCs w:val="24"/>
          <w:lang w:eastAsia="en-US"/>
        </w:rPr>
        <w:t>e, nepredvidive, ali vjerojatne.</w:t>
      </w:r>
    </w:p>
    <w:p w:rsidR="00416359" w:rsidRPr="005E6A29" w:rsidRDefault="00D27083" w:rsidP="00C86D78">
      <w:pPr>
        <w:pStyle w:val="Obinitekst"/>
        <w:numPr>
          <w:ilvl w:val="0"/>
          <w:numId w:val="73"/>
        </w:numPr>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w:t>
      </w:r>
      <w:r w:rsidR="00416359" w:rsidRPr="005E6A29">
        <w:rPr>
          <w:rFonts w:asciiTheme="minorHAnsi" w:eastAsiaTheme="minorHAnsi" w:hAnsiTheme="minorHAnsi" w:cstheme="minorBidi"/>
          <w:sz w:val="24"/>
          <w:szCs w:val="24"/>
          <w:lang w:eastAsia="en-US"/>
        </w:rPr>
        <w:t>ostoji transfer rizika s pojedinca na zajednicu rizika, odnosno s osiguranika na osigurat</w:t>
      </w:r>
      <w:r>
        <w:rPr>
          <w:rFonts w:asciiTheme="minorHAnsi" w:eastAsiaTheme="minorHAnsi" w:hAnsiTheme="minorHAnsi" w:cstheme="minorBidi"/>
          <w:sz w:val="24"/>
          <w:szCs w:val="24"/>
          <w:lang w:eastAsia="en-US"/>
        </w:rPr>
        <w:t>elja.</w:t>
      </w:r>
    </w:p>
    <w:p w:rsidR="00416359" w:rsidRDefault="00D27083" w:rsidP="00C86D78">
      <w:pPr>
        <w:pStyle w:val="Obinitekst"/>
        <w:numPr>
          <w:ilvl w:val="0"/>
          <w:numId w:val="73"/>
        </w:numPr>
        <w:spacing w:after="240"/>
        <w:ind w:left="714" w:hanging="357"/>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Postoji naknada štete.</w:t>
      </w:r>
      <w:r w:rsidR="00777872">
        <w:rPr>
          <w:rStyle w:val="Referencafusnote"/>
          <w:rFonts w:asciiTheme="minorHAnsi" w:eastAsiaTheme="minorHAnsi" w:hAnsiTheme="minorHAnsi" w:cstheme="minorBidi"/>
          <w:sz w:val="24"/>
          <w:szCs w:val="24"/>
          <w:lang w:eastAsia="en-US"/>
        </w:rPr>
        <w:footnoteReference w:id="81"/>
      </w:r>
    </w:p>
    <w:tbl>
      <w:tblPr>
        <w:tblStyle w:val="Reetkatablice"/>
        <w:tblW w:w="0" w:type="auto"/>
        <w:tblLook w:val="04A0" w:firstRow="1" w:lastRow="0" w:firstColumn="1" w:lastColumn="0" w:noHBand="0" w:noVBand="1"/>
      </w:tblPr>
      <w:tblGrid>
        <w:gridCol w:w="9288"/>
      </w:tblGrid>
      <w:tr w:rsidR="00675027" w:rsidTr="00675027">
        <w:tc>
          <w:tcPr>
            <w:tcW w:w="9288" w:type="dxa"/>
            <w:shd w:val="clear" w:color="auto" w:fill="F2F2F2" w:themeFill="background1" w:themeFillShade="F2"/>
          </w:tcPr>
          <w:p w:rsidR="00675027" w:rsidRDefault="00675027" w:rsidP="00675027">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U terminologiji osiguranja pojam </w:t>
            </w:r>
            <w:r w:rsidRPr="00675027">
              <w:rPr>
                <w:rFonts w:asciiTheme="minorHAnsi" w:eastAsiaTheme="minorHAnsi" w:hAnsiTheme="minorHAnsi" w:cstheme="minorBidi"/>
                <w:color w:val="C00000"/>
                <w:sz w:val="24"/>
                <w:szCs w:val="24"/>
                <w:lang w:eastAsia="en-US"/>
              </w:rPr>
              <w:t xml:space="preserve">osigurani slučaj </w:t>
            </w:r>
            <w:r w:rsidRPr="00675027">
              <w:rPr>
                <w:rFonts w:asciiTheme="minorHAnsi" w:eastAsiaTheme="minorHAnsi" w:hAnsiTheme="minorHAnsi" w:cstheme="minorBidi"/>
                <w:sz w:val="24"/>
                <w:szCs w:val="24"/>
                <w:lang w:eastAsia="en-US"/>
              </w:rPr>
              <w:t>predstavlja događaj koji može prouzročiti štetu</w:t>
            </w:r>
            <w:r>
              <w:rPr>
                <w:rFonts w:asciiTheme="minorHAnsi" w:eastAsiaTheme="minorHAnsi" w:hAnsiTheme="minorHAnsi" w:cstheme="minorBidi"/>
                <w:sz w:val="24"/>
                <w:szCs w:val="24"/>
                <w:lang w:eastAsia="en-US"/>
              </w:rPr>
              <w:t>,</w:t>
            </w:r>
            <w:r w:rsidRPr="00675027">
              <w:rPr>
                <w:rFonts w:asciiTheme="minorHAnsi" w:eastAsiaTheme="minorHAnsi" w:hAnsiTheme="minorHAnsi" w:cstheme="minorBidi"/>
                <w:sz w:val="24"/>
                <w:szCs w:val="24"/>
                <w:lang w:eastAsia="en-US"/>
              </w:rPr>
              <w:t xml:space="preserve"> a pripada rizicima koje pokriva osiguratelj. </w:t>
            </w:r>
            <w:r w:rsidRPr="00675027">
              <w:rPr>
                <w:rFonts w:asciiTheme="minorHAnsi" w:eastAsiaTheme="minorHAnsi" w:hAnsiTheme="minorHAnsi" w:cstheme="minorBidi"/>
                <w:color w:val="C00000"/>
                <w:sz w:val="24"/>
                <w:szCs w:val="24"/>
                <w:lang w:eastAsia="en-US"/>
              </w:rPr>
              <w:t xml:space="preserve">Šteta </w:t>
            </w:r>
            <w:r w:rsidRPr="00675027">
              <w:rPr>
                <w:rFonts w:asciiTheme="minorHAnsi" w:eastAsiaTheme="minorHAnsi" w:hAnsiTheme="minorHAnsi" w:cstheme="minorBidi"/>
                <w:sz w:val="24"/>
                <w:szCs w:val="24"/>
                <w:lang w:eastAsia="en-US"/>
              </w:rPr>
              <w:t>je posljedica ostvarenja osiguranog slučaja. Obuhvaća „ugovorne štete“ i „one koje nisu isključene“. U slučaju štete osiguravatelj je u obvezi isplatiti naknadu ako je osigurani slučaj nastupio za vrijeme trajanja osiguranja (a u nekim slučajevima i onda ako se šteta pojavila nakon isteka trajanja osiguranja).</w:t>
            </w:r>
          </w:p>
        </w:tc>
      </w:tr>
    </w:tbl>
    <w:p w:rsidR="00D27083" w:rsidRPr="00D27083" w:rsidRDefault="00D27083" w:rsidP="00D27083">
      <w:pPr>
        <w:pStyle w:val="Obinitekst"/>
        <w:spacing w:before="240" w:after="120"/>
        <w:jc w:val="both"/>
        <w:rPr>
          <w:rFonts w:asciiTheme="minorHAnsi" w:eastAsiaTheme="minorHAnsi" w:hAnsiTheme="minorHAnsi" w:cstheme="minorBidi"/>
          <w:sz w:val="24"/>
          <w:szCs w:val="24"/>
          <w:lang w:eastAsia="en-US"/>
        </w:rPr>
      </w:pPr>
      <w:r w:rsidRPr="00D27083">
        <w:rPr>
          <w:rFonts w:asciiTheme="minorHAnsi" w:eastAsiaTheme="minorHAnsi" w:hAnsiTheme="minorHAnsi" w:cstheme="minorBidi"/>
          <w:sz w:val="24"/>
          <w:szCs w:val="24"/>
          <w:lang w:eastAsia="en-US"/>
        </w:rPr>
        <w:lastRenderedPageBreak/>
        <w:t>Rizici koji se pokrivaju iz osiguranja mogu biti:</w:t>
      </w:r>
    </w:p>
    <w:p w:rsidR="00D27083" w:rsidRPr="00D27083" w:rsidRDefault="00D27083" w:rsidP="00C86D78">
      <w:pPr>
        <w:pStyle w:val="Obinitekst"/>
        <w:numPr>
          <w:ilvl w:val="0"/>
          <w:numId w:val="74"/>
        </w:numPr>
        <w:spacing w:after="120"/>
        <w:jc w:val="both"/>
        <w:rPr>
          <w:rFonts w:asciiTheme="minorHAnsi" w:eastAsiaTheme="minorHAnsi" w:hAnsiTheme="minorHAnsi" w:cstheme="minorBidi"/>
          <w:sz w:val="24"/>
          <w:szCs w:val="24"/>
          <w:lang w:eastAsia="en-US"/>
        </w:rPr>
      </w:pPr>
      <w:r w:rsidRPr="00D27083">
        <w:rPr>
          <w:rFonts w:asciiTheme="minorHAnsi" w:eastAsiaTheme="minorHAnsi" w:hAnsiTheme="minorHAnsi" w:cstheme="minorBidi"/>
          <w:color w:val="C00000"/>
          <w:sz w:val="24"/>
          <w:szCs w:val="24"/>
          <w:lang w:eastAsia="en-US"/>
        </w:rPr>
        <w:t xml:space="preserve">imovinski rizici </w:t>
      </w:r>
      <w:r w:rsidRPr="00D27083">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 xml:space="preserve">što uključuje </w:t>
      </w:r>
      <w:r w:rsidRPr="00D27083">
        <w:rPr>
          <w:rFonts w:asciiTheme="minorHAnsi" w:eastAsiaTheme="minorHAnsi" w:hAnsiTheme="minorHAnsi" w:cstheme="minorBidi"/>
          <w:sz w:val="24"/>
          <w:szCs w:val="24"/>
          <w:lang w:eastAsia="en-US"/>
        </w:rPr>
        <w:t>financijske gubitke zbog fizičkog oštećenja ili uništenja imovine, krađe</w:t>
      </w:r>
      <w:r>
        <w:rPr>
          <w:rFonts w:asciiTheme="minorHAnsi" w:eastAsiaTheme="minorHAnsi" w:hAnsiTheme="minorHAnsi" w:cstheme="minorBidi"/>
          <w:sz w:val="24"/>
          <w:szCs w:val="24"/>
          <w:lang w:eastAsia="en-US"/>
        </w:rPr>
        <w:t xml:space="preserve"> i slično, kao i </w:t>
      </w:r>
      <w:r w:rsidRPr="00D27083">
        <w:rPr>
          <w:rFonts w:asciiTheme="minorHAnsi" w:eastAsiaTheme="minorHAnsi" w:hAnsiTheme="minorHAnsi" w:cstheme="minorBidi"/>
          <w:sz w:val="24"/>
          <w:szCs w:val="24"/>
          <w:lang w:eastAsia="en-US"/>
        </w:rPr>
        <w:t>financijske gubitke zbog izostanka zarade i dodatnih troškova kod osiguranika koji je pretrpio štetu</w:t>
      </w:r>
      <w:r>
        <w:rPr>
          <w:rFonts w:asciiTheme="minorHAnsi" w:eastAsiaTheme="minorHAnsi" w:hAnsiTheme="minorHAnsi" w:cstheme="minorBidi"/>
          <w:sz w:val="24"/>
          <w:szCs w:val="24"/>
          <w:lang w:eastAsia="en-US"/>
        </w:rPr>
        <w:t>;</w:t>
      </w:r>
      <w:r w:rsidRPr="00D27083">
        <w:rPr>
          <w:rFonts w:asciiTheme="minorHAnsi" w:eastAsiaTheme="minorHAnsi" w:hAnsiTheme="minorHAnsi" w:cstheme="minorBidi"/>
          <w:sz w:val="24"/>
          <w:szCs w:val="24"/>
          <w:lang w:eastAsia="en-US"/>
        </w:rPr>
        <w:t xml:space="preserve"> </w:t>
      </w:r>
    </w:p>
    <w:p w:rsidR="00D27083" w:rsidRPr="00D27083" w:rsidRDefault="00D27083" w:rsidP="00C86D78">
      <w:pPr>
        <w:pStyle w:val="Obinitekst"/>
        <w:numPr>
          <w:ilvl w:val="0"/>
          <w:numId w:val="74"/>
        </w:numPr>
        <w:spacing w:after="120"/>
        <w:jc w:val="both"/>
        <w:rPr>
          <w:rFonts w:asciiTheme="minorHAnsi" w:eastAsiaTheme="minorHAnsi" w:hAnsiTheme="minorHAnsi" w:cstheme="minorBidi"/>
          <w:sz w:val="24"/>
          <w:szCs w:val="24"/>
          <w:lang w:eastAsia="en-US"/>
        </w:rPr>
      </w:pPr>
      <w:r w:rsidRPr="00D27083">
        <w:rPr>
          <w:rFonts w:asciiTheme="minorHAnsi" w:eastAsiaTheme="minorHAnsi" w:hAnsiTheme="minorHAnsi" w:cstheme="minorBidi"/>
          <w:color w:val="C00000"/>
          <w:sz w:val="24"/>
          <w:szCs w:val="24"/>
          <w:lang w:eastAsia="en-US"/>
        </w:rPr>
        <w:t xml:space="preserve">osobni rizici </w:t>
      </w:r>
      <w:r w:rsidRPr="00D27083">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 xml:space="preserve">što uključuje </w:t>
      </w:r>
      <w:r w:rsidRPr="00D27083">
        <w:rPr>
          <w:rFonts w:asciiTheme="minorHAnsi" w:eastAsiaTheme="minorHAnsi" w:hAnsiTheme="minorHAnsi" w:cstheme="minorBidi"/>
          <w:sz w:val="24"/>
          <w:szCs w:val="24"/>
          <w:lang w:eastAsia="en-US"/>
        </w:rPr>
        <w:t>rizi</w:t>
      </w:r>
      <w:r>
        <w:rPr>
          <w:rFonts w:asciiTheme="minorHAnsi" w:eastAsiaTheme="minorHAnsi" w:hAnsiTheme="minorHAnsi" w:cstheme="minorBidi"/>
          <w:sz w:val="24"/>
          <w:szCs w:val="24"/>
          <w:lang w:eastAsia="en-US"/>
        </w:rPr>
        <w:t>ke</w:t>
      </w:r>
      <w:r w:rsidRPr="00D27083">
        <w:rPr>
          <w:rFonts w:asciiTheme="minorHAnsi" w:eastAsiaTheme="minorHAnsi" w:hAnsiTheme="minorHAnsi" w:cstheme="minorBidi"/>
          <w:sz w:val="24"/>
          <w:szCs w:val="24"/>
          <w:lang w:eastAsia="en-US"/>
        </w:rPr>
        <w:t xml:space="preserve"> koji uzrokuju smanjenje ili gubitak financijske sigurnosti kao posljedice smrti, starosti ili bolesti osiguranika;</w:t>
      </w:r>
    </w:p>
    <w:p w:rsidR="00D27083" w:rsidRPr="00D27083" w:rsidRDefault="00D27083" w:rsidP="00C86D78">
      <w:pPr>
        <w:pStyle w:val="Obinitekst"/>
        <w:numPr>
          <w:ilvl w:val="0"/>
          <w:numId w:val="74"/>
        </w:numPr>
        <w:spacing w:after="120"/>
        <w:jc w:val="both"/>
        <w:rPr>
          <w:rFonts w:asciiTheme="minorHAnsi" w:eastAsiaTheme="minorHAnsi" w:hAnsiTheme="minorHAnsi" w:cstheme="minorBidi"/>
          <w:sz w:val="24"/>
          <w:szCs w:val="24"/>
          <w:lang w:eastAsia="en-US"/>
        </w:rPr>
      </w:pPr>
      <w:r w:rsidRPr="00D27083">
        <w:rPr>
          <w:rFonts w:asciiTheme="minorHAnsi" w:eastAsiaTheme="minorHAnsi" w:hAnsiTheme="minorHAnsi" w:cstheme="minorBidi"/>
          <w:color w:val="C00000"/>
          <w:sz w:val="24"/>
          <w:szCs w:val="24"/>
          <w:lang w:eastAsia="en-US"/>
        </w:rPr>
        <w:t xml:space="preserve">rizici od odgovornosti </w:t>
      </w:r>
      <w:r w:rsidRPr="00D27083">
        <w:rPr>
          <w:rFonts w:asciiTheme="minorHAnsi" w:eastAsiaTheme="minorHAnsi" w:hAnsiTheme="minorHAnsi" w:cstheme="minorBidi"/>
          <w:sz w:val="24"/>
          <w:szCs w:val="24"/>
          <w:lang w:eastAsia="en-US"/>
        </w:rPr>
        <w:t xml:space="preserve">– </w:t>
      </w:r>
      <w:r>
        <w:rPr>
          <w:rFonts w:asciiTheme="minorHAnsi" w:eastAsiaTheme="minorHAnsi" w:hAnsiTheme="minorHAnsi" w:cstheme="minorBidi"/>
          <w:sz w:val="24"/>
          <w:szCs w:val="24"/>
          <w:lang w:eastAsia="en-US"/>
        </w:rPr>
        <w:t>uključujući rizike</w:t>
      </w:r>
      <w:r w:rsidRPr="00D27083">
        <w:rPr>
          <w:rFonts w:asciiTheme="minorHAnsi" w:eastAsiaTheme="minorHAnsi" w:hAnsiTheme="minorHAnsi" w:cstheme="minorBidi"/>
          <w:sz w:val="24"/>
          <w:szCs w:val="24"/>
          <w:lang w:eastAsia="en-US"/>
        </w:rPr>
        <w:t xml:space="preserve"> koji uzrokuju štete na imovini, zdravlju ili životu treće osobe (</w:t>
      </w:r>
      <w:r>
        <w:rPr>
          <w:rFonts w:asciiTheme="minorHAnsi" w:eastAsiaTheme="minorHAnsi" w:hAnsiTheme="minorHAnsi" w:cstheme="minorBidi"/>
          <w:sz w:val="24"/>
          <w:szCs w:val="24"/>
          <w:lang w:eastAsia="en-US"/>
        </w:rPr>
        <w:t xml:space="preserve">npr. </w:t>
      </w:r>
      <w:r w:rsidRPr="00D27083">
        <w:rPr>
          <w:rFonts w:asciiTheme="minorHAnsi" w:eastAsiaTheme="minorHAnsi" w:hAnsiTheme="minorHAnsi" w:cstheme="minorBidi"/>
          <w:sz w:val="24"/>
          <w:szCs w:val="24"/>
          <w:lang w:eastAsia="en-US"/>
        </w:rPr>
        <w:t xml:space="preserve">uzrokovani upotrebom automobila, posjedovanjem imovine, </w:t>
      </w:r>
      <w:r>
        <w:rPr>
          <w:rFonts w:asciiTheme="minorHAnsi" w:eastAsiaTheme="minorHAnsi" w:hAnsiTheme="minorHAnsi" w:cstheme="minorBidi"/>
          <w:sz w:val="24"/>
          <w:szCs w:val="24"/>
          <w:lang w:eastAsia="en-US"/>
        </w:rPr>
        <w:t xml:space="preserve">rukovođenjem ili </w:t>
      </w:r>
      <w:r w:rsidRPr="00D27083">
        <w:rPr>
          <w:rFonts w:asciiTheme="minorHAnsi" w:eastAsiaTheme="minorHAnsi" w:hAnsiTheme="minorHAnsi" w:cstheme="minorBidi"/>
          <w:sz w:val="24"/>
          <w:szCs w:val="24"/>
          <w:lang w:eastAsia="en-US"/>
        </w:rPr>
        <w:t xml:space="preserve">profesijom </w:t>
      </w:r>
      <w:r>
        <w:rPr>
          <w:rFonts w:asciiTheme="minorHAnsi" w:eastAsiaTheme="minorHAnsi" w:hAnsiTheme="minorHAnsi" w:cstheme="minorBidi"/>
          <w:sz w:val="24"/>
          <w:szCs w:val="24"/>
          <w:lang w:eastAsia="en-US"/>
        </w:rPr>
        <w:t xml:space="preserve">kao u slučaju </w:t>
      </w:r>
      <w:r w:rsidRPr="00D27083">
        <w:rPr>
          <w:rFonts w:asciiTheme="minorHAnsi" w:eastAsiaTheme="minorHAnsi" w:hAnsiTheme="minorHAnsi" w:cstheme="minorBidi"/>
          <w:sz w:val="24"/>
          <w:szCs w:val="24"/>
          <w:lang w:eastAsia="en-US"/>
        </w:rPr>
        <w:t>liječni</w:t>
      </w:r>
      <w:r>
        <w:rPr>
          <w:rFonts w:asciiTheme="minorHAnsi" w:eastAsiaTheme="minorHAnsi" w:hAnsiTheme="minorHAnsi" w:cstheme="minorBidi"/>
          <w:sz w:val="24"/>
          <w:szCs w:val="24"/>
          <w:lang w:eastAsia="en-US"/>
        </w:rPr>
        <w:t>ka i</w:t>
      </w:r>
      <w:r w:rsidRPr="00D27083">
        <w:rPr>
          <w:rFonts w:asciiTheme="minorHAnsi" w:eastAsiaTheme="minorHAnsi" w:hAnsiTheme="minorHAnsi" w:cstheme="minorBidi"/>
          <w:sz w:val="24"/>
          <w:szCs w:val="24"/>
          <w:lang w:eastAsia="en-US"/>
        </w:rPr>
        <w:t xml:space="preserve"> stomatolo</w:t>
      </w:r>
      <w:r>
        <w:rPr>
          <w:rFonts w:asciiTheme="minorHAnsi" w:eastAsiaTheme="minorHAnsi" w:hAnsiTheme="minorHAnsi" w:cstheme="minorBidi"/>
          <w:sz w:val="24"/>
          <w:szCs w:val="24"/>
          <w:lang w:eastAsia="en-US"/>
        </w:rPr>
        <w:t>ga i slično)</w:t>
      </w:r>
      <w:r w:rsidRPr="00D27083">
        <w:rPr>
          <w:rFonts w:asciiTheme="minorHAnsi" w:eastAsiaTheme="minorHAnsi" w:hAnsiTheme="minorHAnsi" w:cstheme="minorBidi"/>
          <w:sz w:val="24"/>
          <w:szCs w:val="24"/>
          <w:lang w:eastAsia="en-US"/>
        </w:rPr>
        <w:t xml:space="preserve">. </w:t>
      </w:r>
    </w:p>
    <w:p w:rsidR="00675027" w:rsidRDefault="00FB4A46" w:rsidP="00675027">
      <w:pPr>
        <w:pStyle w:val="Obinitekst"/>
        <w:spacing w:before="240"/>
        <w:jc w:val="both"/>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 xml:space="preserve">S obzirom na </w:t>
      </w:r>
      <w:r w:rsidRPr="00FB4A46">
        <w:rPr>
          <w:rFonts w:asciiTheme="minorHAnsi" w:eastAsiaTheme="minorHAnsi" w:hAnsiTheme="minorHAnsi" w:cstheme="minorBidi"/>
          <w:color w:val="C00000"/>
          <w:sz w:val="24"/>
          <w:szCs w:val="24"/>
          <w:lang w:eastAsia="en-US"/>
        </w:rPr>
        <w:t>predmet osiguranja</w:t>
      </w:r>
      <w:r w:rsidRPr="00FB4A46">
        <w:rPr>
          <w:rFonts w:asciiTheme="minorHAnsi" w:eastAsiaTheme="minorHAnsi" w:hAnsiTheme="minorHAnsi" w:cstheme="minorBidi"/>
          <w:sz w:val="24"/>
          <w:szCs w:val="24"/>
          <w:lang w:eastAsia="en-US"/>
        </w:rPr>
        <w:t xml:space="preserve">, moguće je razlikovati nekoliko vrsta osiguranja, npr.  </w:t>
      </w:r>
      <w:r w:rsidR="00416359" w:rsidRPr="00FB4A46">
        <w:rPr>
          <w:rFonts w:asciiTheme="minorHAnsi" w:eastAsiaTheme="minorHAnsi" w:hAnsiTheme="minorHAnsi" w:cstheme="minorBidi"/>
          <w:sz w:val="24"/>
          <w:szCs w:val="24"/>
          <w:lang w:eastAsia="en-US"/>
        </w:rPr>
        <w:t>osiguranje osoba</w:t>
      </w:r>
      <w:r w:rsidRPr="00FB4A46">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osiguranje transporta</w:t>
      </w:r>
      <w:r w:rsidRPr="00FB4A46">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osiguranje kredita</w:t>
      </w:r>
      <w:r w:rsidRPr="00FB4A46">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osiguranje stvari</w:t>
      </w:r>
      <w:r w:rsidRPr="00FB4A46">
        <w:rPr>
          <w:rFonts w:asciiTheme="minorHAnsi" w:eastAsiaTheme="minorHAnsi" w:hAnsiTheme="minorHAnsi" w:cstheme="minorBidi"/>
          <w:sz w:val="24"/>
          <w:szCs w:val="24"/>
          <w:lang w:eastAsia="en-US"/>
        </w:rPr>
        <w:t>,</w:t>
      </w:r>
      <w:r w:rsidR="00706916">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osiguranje imovine u širem smislu</w:t>
      </w:r>
      <w:r w:rsidRPr="00FB4A46">
        <w:rPr>
          <w:rFonts w:asciiTheme="minorHAnsi" w:eastAsiaTheme="minorHAnsi" w:hAnsiTheme="minorHAnsi" w:cstheme="minorBidi"/>
          <w:sz w:val="24"/>
          <w:szCs w:val="24"/>
          <w:lang w:eastAsia="en-US"/>
        </w:rPr>
        <w:t xml:space="preserve"> i </w:t>
      </w:r>
      <w:r w:rsidR="00416359" w:rsidRPr="00FB4A46">
        <w:rPr>
          <w:rFonts w:asciiTheme="minorHAnsi" w:eastAsiaTheme="minorHAnsi" w:hAnsiTheme="minorHAnsi" w:cstheme="minorBidi"/>
          <w:sz w:val="24"/>
          <w:szCs w:val="24"/>
          <w:lang w:eastAsia="en-US"/>
        </w:rPr>
        <w:t>osiguranje imovinskih interesa.</w:t>
      </w:r>
      <w:r w:rsidR="00675027">
        <w:rPr>
          <w:rFonts w:asciiTheme="minorHAnsi" w:eastAsiaTheme="minorHAnsi" w:hAnsiTheme="minorHAnsi" w:cstheme="minorBidi"/>
          <w:sz w:val="24"/>
          <w:szCs w:val="24"/>
          <w:lang w:eastAsia="en-US"/>
        </w:rPr>
        <w:t xml:space="preserve"> </w:t>
      </w:r>
      <w:r w:rsidR="00416359" w:rsidRPr="00FB4A46">
        <w:rPr>
          <w:rFonts w:asciiTheme="minorHAnsi" w:eastAsiaTheme="minorHAnsi" w:hAnsiTheme="minorHAnsi" w:cstheme="minorBidi"/>
          <w:sz w:val="24"/>
          <w:szCs w:val="24"/>
          <w:lang w:eastAsia="en-US"/>
        </w:rPr>
        <w:t xml:space="preserve">S obzirom na način i razloge sklapanja ugovora o osiguranju </w:t>
      </w:r>
      <w:r w:rsidRPr="00675027">
        <w:rPr>
          <w:rFonts w:asciiTheme="minorHAnsi" w:eastAsiaTheme="minorHAnsi" w:hAnsiTheme="minorHAnsi" w:cstheme="minorBidi"/>
          <w:color w:val="C00000"/>
          <w:sz w:val="24"/>
          <w:szCs w:val="24"/>
          <w:lang w:eastAsia="en-US"/>
        </w:rPr>
        <w:t xml:space="preserve">postoji </w:t>
      </w:r>
      <w:r w:rsidR="00416359" w:rsidRPr="00675027">
        <w:rPr>
          <w:rFonts w:asciiTheme="minorHAnsi" w:eastAsiaTheme="minorHAnsi" w:hAnsiTheme="minorHAnsi" w:cstheme="minorBidi"/>
          <w:color w:val="C00000"/>
          <w:sz w:val="24"/>
          <w:szCs w:val="24"/>
          <w:lang w:eastAsia="en-US"/>
        </w:rPr>
        <w:t>dobrovoljno osiguranje</w:t>
      </w:r>
      <w:r w:rsidRPr="00675027">
        <w:rPr>
          <w:rFonts w:asciiTheme="minorHAnsi" w:eastAsiaTheme="minorHAnsi" w:hAnsiTheme="minorHAnsi" w:cstheme="minorBidi"/>
          <w:color w:val="C00000"/>
          <w:sz w:val="24"/>
          <w:szCs w:val="24"/>
          <w:lang w:eastAsia="en-US"/>
        </w:rPr>
        <w:t xml:space="preserve"> i </w:t>
      </w:r>
      <w:r w:rsidR="00416359" w:rsidRPr="00675027">
        <w:rPr>
          <w:rFonts w:asciiTheme="minorHAnsi" w:eastAsiaTheme="minorHAnsi" w:hAnsiTheme="minorHAnsi" w:cstheme="minorBidi"/>
          <w:color w:val="C00000"/>
          <w:sz w:val="24"/>
          <w:szCs w:val="24"/>
          <w:lang w:eastAsia="en-US"/>
        </w:rPr>
        <w:t>obvezno osiguranje</w:t>
      </w:r>
      <w:r w:rsidR="00416359" w:rsidRPr="00FB4A46">
        <w:rPr>
          <w:rFonts w:asciiTheme="minorHAnsi" w:eastAsiaTheme="minorHAnsi" w:hAnsiTheme="minorHAnsi" w:cstheme="minorBidi"/>
          <w:sz w:val="24"/>
          <w:szCs w:val="24"/>
          <w:lang w:eastAsia="en-US"/>
        </w:rPr>
        <w:t>.</w:t>
      </w:r>
      <w:r w:rsidRPr="00FB4A46">
        <w:rPr>
          <w:rFonts w:asciiTheme="minorHAnsi" w:eastAsiaTheme="minorHAnsi" w:hAnsiTheme="minorHAnsi" w:cstheme="minorBidi"/>
          <w:sz w:val="24"/>
          <w:szCs w:val="24"/>
          <w:lang w:eastAsia="en-US"/>
        </w:rPr>
        <w:t xml:space="preserve"> </w:t>
      </w:r>
    </w:p>
    <w:p w:rsidR="00416359" w:rsidRPr="00FB4A46" w:rsidRDefault="00FB4A46" w:rsidP="00675027">
      <w:pPr>
        <w:pStyle w:val="Obinitekst"/>
        <w:spacing w:before="240"/>
        <w:jc w:val="both"/>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 xml:space="preserve">Nadalje, prema </w:t>
      </w:r>
      <w:r w:rsidR="00416359" w:rsidRPr="00FB4A46">
        <w:rPr>
          <w:rFonts w:asciiTheme="minorHAnsi" w:eastAsiaTheme="minorHAnsi" w:hAnsiTheme="minorHAnsi" w:cstheme="minorBidi"/>
          <w:sz w:val="24"/>
          <w:szCs w:val="24"/>
          <w:lang w:eastAsia="en-US"/>
        </w:rPr>
        <w:t xml:space="preserve">kriteriju bilanciranja poslova osiguranja i utvrđivanja poslovnog rezultata, </w:t>
      </w:r>
      <w:r w:rsidR="00416359" w:rsidRPr="00675027">
        <w:rPr>
          <w:rFonts w:asciiTheme="minorHAnsi" w:eastAsiaTheme="minorHAnsi" w:hAnsiTheme="minorHAnsi" w:cstheme="minorBidi"/>
          <w:sz w:val="24"/>
          <w:szCs w:val="24"/>
          <w:lang w:eastAsia="en-US"/>
        </w:rPr>
        <w:t>oblici o</w:t>
      </w:r>
      <w:r w:rsidRPr="00675027">
        <w:rPr>
          <w:rFonts w:asciiTheme="minorHAnsi" w:eastAsiaTheme="minorHAnsi" w:hAnsiTheme="minorHAnsi" w:cstheme="minorBidi"/>
          <w:sz w:val="24"/>
          <w:szCs w:val="24"/>
          <w:lang w:eastAsia="en-US"/>
        </w:rPr>
        <w:t xml:space="preserve">siguranja mogu se podijeliti na </w:t>
      </w:r>
      <w:r w:rsidR="00416359" w:rsidRPr="00FB4A46">
        <w:rPr>
          <w:rFonts w:asciiTheme="minorHAnsi" w:eastAsiaTheme="minorHAnsi" w:hAnsiTheme="minorHAnsi" w:cstheme="minorBidi"/>
          <w:color w:val="C00000"/>
          <w:sz w:val="24"/>
          <w:szCs w:val="24"/>
          <w:lang w:eastAsia="en-US"/>
        </w:rPr>
        <w:t>neživotna osiguranja</w:t>
      </w:r>
      <w:r w:rsidRPr="00FB4A46">
        <w:rPr>
          <w:rFonts w:asciiTheme="minorHAnsi" w:eastAsiaTheme="minorHAnsi" w:hAnsiTheme="minorHAnsi" w:cstheme="minorBidi"/>
          <w:color w:val="C00000"/>
          <w:sz w:val="24"/>
          <w:szCs w:val="24"/>
          <w:lang w:eastAsia="en-US"/>
        </w:rPr>
        <w:t xml:space="preserve"> i životna osiguranja</w:t>
      </w:r>
      <w:r w:rsidRPr="00FB4A46">
        <w:rPr>
          <w:rFonts w:asciiTheme="minorHAnsi" w:eastAsiaTheme="minorHAnsi" w:hAnsiTheme="minorHAnsi" w:cstheme="minorBidi"/>
          <w:sz w:val="24"/>
          <w:szCs w:val="24"/>
          <w:lang w:eastAsia="en-US"/>
        </w:rPr>
        <w:t xml:space="preserve"> kako ih upravo dijeli hrvatski </w:t>
      </w:r>
      <w:r w:rsidR="00416359" w:rsidRPr="00675027">
        <w:rPr>
          <w:rFonts w:asciiTheme="minorHAnsi" w:eastAsiaTheme="minorHAnsi" w:hAnsiTheme="minorHAnsi" w:cstheme="minorBidi"/>
          <w:i/>
          <w:sz w:val="24"/>
          <w:szCs w:val="24"/>
          <w:lang w:eastAsia="en-US"/>
        </w:rPr>
        <w:t>Zakon o osiguranju</w:t>
      </w:r>
      <w:r w:rsidR="00416359" w:rsidRPr="00FB4A46">
        <w:rPr>
          <w:rFonts w:asciiTheme="minorHAnsi" w:eastAsiaTheme="minorHAnsi" w:hAnsiTheme="minorHAnsi" w:cstheme="minorBidi"/>
          <w:sz w:val="24"/>
          <w:szCs w:val="24"/>
          <w:lang w:eastAsia="en-US"/>
        </w:rPr>
        <w:t xml:space="preserve">. </w:t>
      </w:r>
      <w:r w:rsidRPr="00FB4A46">
        <w:rPr>
          <w:rFonts w:asciiTheme="minorHAnsi" w:eastAsiaTheme="minorHAnsi" w:hAnsiTheme="minorHAnsi" w:cstheme="minorBidi"/>
          <w:sz w:val="24"/>
          <w:szCs w:val="24"/>
          <w:lang w:eastAsia="en-US"/>
        </w:rPr>
        <w:t xml:space="preserve">Pri tome su </w:t>
      </w:r>
      <w:r w:rsidR="00416359" w:rsidRPr="00FB4A46">
        <w:rPr>
          <w:rFonts w:asciiTheme="minorHAnsi" w:eastAsiaTheme="minorHAnsi" w:hAnsiTheme="minorHAnsi" w:cstheme="minorBidi"/>
          <w:sz w:val="24"/>
          <w:szCs w:val="24"/>
          <w:lang w:eastAsia="en-US"/>
        </w:rPr>
        <w:t xml:space="preserve">sredstva osiguranja života posebno zaštićena i vode se odvojeno od sredstava neživotnih osiguranja. </w:t>
      </w:r>
    </w:p>
    <w:p w:rsidR="00416359" w:rsidRPr="00FB4A46" w:rsidRDefault="00416359" w:rsidP="00416359">
      <w:pPr>
        <w:pStyle w:val="Obinitekst"/>
        <w:jc w:val="both"/>
        <w:rPr>
          <w:rFonts w:asciiTheme="minorHAnsi" w:eastAsiaTheme="minorHAnsi" w:hAnsiTheme="minorHAnsi" w:cstheme="minorBidi"/>
          <w:sz w:val="24"/>
          <w:szCs w:val="24"/>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0"/>
        <w:gridCol w:w="4572"/>
      </w:tblGrid>
      <w:tr w:rsidR="00416359" w:rsidRPr="00FB4A46" w:rsidTr="00FB4A46">
        <w:trPr>
          <w:trHeight w:val="3140"/>
        </w:trPr>
        <w:tc>
          <w:tcPr>
            <w:tcW w:w="4500" w:type="dxa"/>
            <w:shd w:val="clear" w:color="auto" w:fill="F2F2F2" w:themeFill="background1" w:themeFillShade="F2"/>
          </w:tcPr>
          <w:p w:rsidR="00416359" w:rsidRPr="00FB4A46" w:rsidRDefault="00416359" w:rsidP="00416359">
            <w:pPr>
              <w:pStyle w:val="Obinitekst"/>
              <w:jc w:val="both"/>
              <w:rPr>
                <w:rFonts w:asciiTheme="minorHAnsi" w:eastAsiaTheme="minorHAnsi" w:hAnsiTheme="minorHAnsi" w:cstheme="minorBidi"/>
                <w:color w:val="C00000"/>
                <w:sz w:val="24"/>
                <w:szCs w:val="24"/>
                <w:lang w:eastAsia="en-US"/>
              </w:rPr>
            </w:pPr>
            <w:r w:rsidRPr="00FB4A46">
              <w:rPr>
                <w:rFonts w:asciiTheme="minorHAnsi" w:eastAsiaTheme="minorHAnsi" w:hAnsiTheme="minorHAnsi" w:cstheme="minorBidi"/>
                <w:color w:val="C00000"/>
                <w:sz w:val="24"/>
                <w:szCs w:val="24"/>
                <w:lang w:eastAsia="en-US"/>
              </w:rPr>
              <w:t>Neživotna osiguranja dijele se na sljedeće vrste osiguranja: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nezgode,</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zdravstveno osiguranje,</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cestovnih vozila,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tračnih vozila,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zračnih letjelica,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plovila,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robe u prijevozu,</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požara i elementarnih šteta,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ostala osiguranja imovine,</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odgovornosti za upotrebu motornih vozila,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odgovornosti za upotrebu zračnih letjelica,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od odgovornosti za upotrebu plovila,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ostala osiguranja od odgovornosti,</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kredita,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jamstava,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raznih financijskih gubitaka,</w:t>
            </w:r>
          </w:p>
          <w:p w:rsidR="00416359" w:rsidRPr="00FB4A46" w:rsidRDefault="00416359" w:rsidP="00C86D78">
            <w:pPr>
              <w:pStyle w:val="Obinitekst"/>
              <w:numPr>
                <w:ilvl w:val="0"/>
                <w:numId w:val="77"/>
              </w:numPr>
              <w:rPr>
                <w:rFonts w:asciiTheme="minorHAnsi" w:eastAsiaTheme="minorHAnsi" w:hAnsiTheme="minorHAnsi" w:cstheme="minorBidi"/>
                <w:sz w:val="24"/>
                <w:szCs w:val="24"/>
                <w:lang w:eastAsia="en-US"/>
              </w:rPr>
            </w:pPr>
            <w:r w:rsidRPr="00FB4A46">
              <w:rPr>
                <w:rFonts w:asciiTheme="minorHAnsi" w:eastAsiaTheme="minorHAnsi" w:hAnsiTheme="minorHAnsi" w:cstheme="minorBidi"/>
                <w:sz w:val="24"/>
                <w:szCs w:val="24"/>
                <w:lang w:eastAsia="en-US"/>
              </w:rPr>
              <w:t>osiguranje troškova pravne zaštite,</w:t>
            </w:r>
          </w:p>
          <w:p w:rsidR="00416359" w:rsidRPr="00FB4A46" w:rsidRDefault="00416359" w:rsidP="00C86D78">
            <w:pPr>
              <w:pStyle w:val="Obinitekst"/>
              <w:numPr>
                <w:ilvl w:val="0"/>
                <w:numId w:val="77"/>
              </w:numPr>
              <w:rPr>
                <w:sz w:val="24"/>
                <w:szCs w:val="24"/>
              </w:rPr>
            </w:pPr>
            <w:r w:rsidRPr="00FB4A46">
              <w:rPr>
                <w:rFonts w:asciiTheme="minorHAnsi" w:eastAsiaTheme="minorHAnsi" w:hAnsiTheme="minorHAnsi" w:cstheme="minorBidi"/>
                <w:sz w:val="24"/>
                <w:szCs w:val="24"/>
                <w:lang w:eastAsia="en-US"/>
              </w:rPr>
              <w:t>putno osiguranje.</w:t>
            </w:r>
          </w:p>
        </w:tc>
        <w:tc>
          <w:tcPr>
            <w:tcW w:w="4572" w:type="dxa"/>
            <w:shd w:val="clear" w:color="auto" w:fill="F2F2F2" w:themeFill="background1" w:themeFillShade="F2"/>
          </w:tcPr>
          <w:p w:rsidR="00416359" w:rsidRPr="00FB4A46" w:rsidRDefault="00416359" w:rsidP="00416359">
            <w:pPr>
              <w:jc w:val="both"/>
              <w:rPr>
                <w:sz w:val="24"/>
                <w:szCs w:val="24"/>
              </w:rPr>
            </w:pPr>
            <w:r w:rsidRPr="00FB4A46">
              <w:rPr>
                <w:color w:val="C00000"/>
                <w:sz w:val="24"/>
                <w:szCs w:val="24"/>
              </w:rPr>
              <w:t>Životna osiguranja dijele se na sljedeće vrste osiguranja:</w:t>
            </w:r>
          </w:p>
          <w:p w:rsidR="00416359" w:rsidRPr="00FB4A46" w:rsidRDefault="00416359" w:rsidP="00C86D78">
            <w:pPr>
              <w:pStyle w:val="Odlomakpopisa"/>
              <w:numPr>
                <w:ilvl w:val="0"/>
                <w:numId w:val="78"/>
              </w:numPr>
              <w:spacing w:after="0" w:line="240" w:lineRule="auto"/>
              <w:rPr>
                <w:sz w:val="24"/>
                <w:szCs w:val="24"/>
              </w:rPr>
            </w:pPr>
            <w:r w:rsidRPr="00FB4A46">
              <w:rPr>
                <w:sz w:val="24"/>
                <w:szCs w:val="24"/>
              </w:rPr>
              <w:t xml:space="preserve">životno osiguranje, </w:t>
            </w:r>
          </w:p>
          <w:p w:rsidR="00416359" w:rsidRPr="00FB4A46" w:rsidRDefault="00416359" w:rsidP="00C86D78">
            <w:pPr>
              <w:pStyle w:val="Odlomakpopisa"/>
              <w:numPr>
                <w:ilvl w:val="0"/>
                <w:numId w:val="78"/>
              </w:numPr>
              <w:spacing w:after="0" w:line="240" w:lineRule="auto"/>
              <w:rPr>
                <w:sz w:val="24"/>
                <w:szCs w:val="24"/>
              </w:rPr>
            </w:pPr>
            <w:r w:rsidRPr="00FB4A46">
              <w:rPr>
                <w:sz w:val="24"/>
                <w:szCs w:val="24"/>
              </w:rPr>
              <w:t xml:space="preserve">rentno osiguranje, </w:t>
            </w:r>
          </w:p>
          <w:p w:rsidR="00416359" w:rsidRPr="00FB4A46" w:rsidRDefault="00416359" w:rsidP="00C86D78">
            <w:pPr>
              <w:pStyle w:val="Odlomakpopisa"/>
              <w:numPr>
                <w:ilvl w:val="0"/>
                <w:numId w:val="78"/>
              </w:numPr>
              <w:spacing w:after="0" w:line="240" w:lineRule="auto"/>
              <w:rPr>
                <w:sz w:val="24"/>
                <w:szCs w:val="24"/>
              </w:rPr>
            </w:pPr>
            <w:r w:rsidRPr="00FB4A46">
              <w:rPr>
                <w:sz w:val="24"/>
                <w:szCs w:val="24"/>
              </w:rPr>
              <w:t xml:space="preserve">dopunska osiguranja uz životna osiguranja, </w:t>
            </w:r>
          </w:p>
          <w:p w:rsidR="00416359" w:rsidRPr="00FB4A46" w:rsidRDefault="00416359" w:rsidP="00C86D78">
            <w:pPr>
              <w:pStyle w:val="Odlomakpopisa"/>
              <w:numPr>
                <w:ilvl w:val="0"/>
                <w:numId w:val="78"/>
              </w:numPr>
              <w:spacing w:after="0" w:line="240" w:lineRule="auto"/>
              <w:rPr>
                <w:sz w:val="24"/>
                <w:szCs w:val="24"/>
              </w:rPr>
            </w:pPr>
            <w:r w:rsidRPr="00FB4A46">
              <w:rPr>
                <w:sz w:val="24"/>
                <w:szCs w:val="24"/>
              </w:rPr>
              <w:t xml:space="preserve">životna i rentna osiguranja vezana uz jedinice investicijskih fondova </w:t>
            </w:r>
          </w:p>
          <w:p w:rsidR="00416359" w:rsidRPr="00FB4A46" w:rsidRDefault="00416359" w:rsidP="00C86D78">
            <w:pPr>
              <w:pStyle w:val="Odlomakpopisa"/>
              <w:numPr>
                <w:ilvl w:val="0"/>
                <w:numId w:val="78"/>
              </w:numPr>
              <w:spacing w:after="0" w:line="240" w:lineRule="auto"/>
              <w:rPr>
                <w:sz w:val="24"/>
                <w:szCs w:val="24"/>
              </w:rPr>
            </w:pPr>
            <w:r w:rsidRPr="00FB4A46">
              <w:rPr>
                <w:sz w:val="24"/>
                <w:szCs w:val="24"/>
              </w:rPr>
              <w:t>i ostala životna osiguranja (na primjer tontine osiguranje, osiguranje s kapitalizacijom, osiguranje u slučaju vjenčanja, osiguranje u slučaju rođenja i drugo)</w:t>
            </w:r>
          </w:p>
        </w:tc>
      </w:tr>
    </w:tbl>
    <w:p w:rsidR="00416359" w:rsidRDefault="00416359" w:rsidP="00416359"/>
    <w:p w:rsidR="005A4C45" w:rsidRDefault="00416359" w:rsidP="005A4C45">
      <w:pPr>
        <w:pStyle w:val="StandardWeb"/>
        <w:spacing w:before="0" w:beforeAutospacing="0" w:after="200" w:afterAutospacing="0" w:line="276" w:lineRule="auto"/>
        <w:jc w:val="both"/>
        <w:rPr>
          <w:rFonts w:asciiTheme="minorHAnsi" w:eastAsiaTheme="minorHAnsi" w:hAnsiTheme="minorHAnsi" w:cstheme="minorBidi"/>
          <w:lang w:eastAsia="en-US"/>
        </w:rPr>
      </w:pPr>
      <w:r w:rsidRPr="008446F3">
        <w:rPr>
          <w:rFonts w:asciiTheme="minorHAnsi" w:eastAsiaTheme="minorHAnsi" w:hAnsiTheme="minorHAnsi" w:cstheme="minorBidi"/>
          <w:color w:val="C00000"/>
          <w:lang w:eastAsia="en-US"/>
        </w:rPr>
        <w:t xml:space="preserve">Ugovor o osiguranju </w:t>
      </w:r>
      <w:r w:rsidRPr="00555473">
        <w:rPr>
          <w:rFonts w:asciiTheme="minorHAnsi" w:eastAsiaTheme="minorHAnsi" w:hAnsiTheme="minorHAnsi" w:cstheme="minorBidi"/>
          <w:lang w:eastAsia="en-US"/>
        </w:rPr>
        <w:t xml:space="preserve">sklapa se između ugovaratelja osiguranja (fizička ili pravna osoba) i osiguratelja (društva za osiguranje). Sastavni dio ugovora o osiguranju su </w:t>
      </w:r>
      <w:r w:rsidRPr="008446F3">
        <w:rPr>
          <w:rFonts w:asciiTheme="minorHAnsi" w:eastAsiaTheme="minorHAnsi" w:hAnsiTheme="minorHAnsi" w:cstheme="minorBidi"/>
          <w:color w:val="C00000"/>
          <w:lang w:eastAsia="en-US"/>
        </w:rPr>
        <w:t>uvjeti osiguranja</w:t>
      </w:r>
      <w:r w:rsidRPr="00555473">
        <w:rPr>
          <w:rFonts w:asciiTheme="minorHAnsi" w:eastAsiaTheme="minorHAnsi" w:hAnsiTheme="minorHAnsi" w:cstheme="minorBidi"/>
          <w:lang w:eastAsia="en-US"/>
        </w:rPr>
        <w:t xml:space="preserve">, kojima se uređuju odnosi iz ugovora o osiguranju. </w:t>
      </w:r>
      <w:r w:rsidR="00675027" w:rsidRPr="00555473">
        <w:rPr>
          <w:rFonts w:asciiTheme="minorHAnsi" w:eastAsiaTheme="minorHAnsi" w:hAnsiTheme="minorHAnsi" w:cstheme="minorBidi"/>
          <w:lang w:eastAsia="en-US"/>
        </w:rPr>
        <w:t xml:space="preserve">Specifično je da </w:t>
      </w:r>
      <w:r w:rsidR="00675027" w:rsidRPr="005A4C45">
        <w:rPr>
          <w:rFonts w:asciiTheme="minorHAnsi" w:eastAsiaTheme="minorHAnsi" w:hAnsiTheme="minorHAnsi" w:cstheme="minorBidi"/>
          <w:color w:val="C00000"/>
          <w:lang w:eastAsia="en-US"/>
        </w:rPr>
        <w:t>u</w:t>
      </w:r>
      <w:r w:rsidRPr="005A4C45">
        <w:rPr>
          <w:rFonts w:asciiTheme="minorHAnsi" w:eastAsiaTheme="minorHAnsi" w:hAnsiTheme="minorHAnsi" w:cstheme="minorBidi"/>
          <w:color w:val="C00000"/>
          <w:lang w:eastAsia="en-US"/>
        </w:rPr>
        <w:t>vjete osiguranja unaprijed definira osiguratelj, a ugovaratelj ih prihvaća</w:t>
      </w:r>
      <w:r w:rsidRPr="00555473">
        <w:rPr>
          <w:rFonts w:asciiTheme="minorHAnsi" w:eastAsiaTheme="minorHAnsi" w:hAnsiTheme="minorHAnsi" w:cstheme="minorBidi"/>
          <w:lang w:eastAsia="en-US"/>
        </w:rPr>
        <w:t xml:space="preserve">. </w:t>
      </w:r>
    </w:p>
    <w:p w:rsidR="008446F3" w:rsidRDefault="00555473" w:rsidP="007D21C3">
      <w:pPr>
        <w:pStyle w:val="StandardWeb"/>
        <w:spacing w:before="0" w:beforeAutospacing="0" w:after="0" w:afterAutospacing="0" w:line="276" w:lineRule="auto"/>
        <w:jc w:val="both"/>
        <w:rPr>
          <w:rFonts w:asciiTheme="minorHAnsi" w:eastAsiaTheme="minorHAnsi" w:hAnsiTheme="minorHAnsi" w:cstheme="minorBidi"/>
          <w:lang w:eastAsia="en-US"/>
        </w:rPr>
      </w:pPr>
      <w:r w:rsidRPr="008446F3">
        <w:rPr>
          <w:rFonts w:asciiTheme="minorHAnsi" w:eastAsiaTheme="minorHAnsi" w:hAnsiTheme="minorHAnsi" w:cstheme="minorBidi"/>
          <w:lang w:eastAsia="en-US"/>
        </w:rPr>
        <w:t>Uvjetima osiguranja definira se širina i vrste pokrića štete, kao i izuzeća iz pokrića</w:t>
      </w:r>
      <w:r w:rsidR="008446F3" w:rsidRPr="008446F3">
        <w:rPr>
          <w:rFonts w:asciiTheme="minorHAnsi" w:eastAsiaTheme="minorHAnsi" w:hAnsiTheme="minorHAnsi" w:cstheme="minorBidi"/>
          <w:lang w:eastAsia="en-US"/>
        </w:rPr>
        <w:t>, odnosno eventualne klauzule koje ograničavaju obveze osiguratelja</w:t>
      </w:r>
      <w:r w:rsidRPr="008446F3">
        <w:rPr>
          <w:rFonts w:asciiTheme="minorHAnsi" w:eastAsiaTheme="minorHAnsi" w:hAnsiTheme="minorHAnsi" w:cstheme="minorBidi"/>
          <w:lang w:eastAsia="en-US"/>
        </w:rPr>
        <w:t xml:space="preserve">. </w:t>
      </w:r>
      <w:r w:rsidR="001C2C52">
        <w:rPr>
          <w:rFonts w:asciiTheme="minorHAnsi" w:eastAsiaTheme="minorHAnsi" w:hAnsiTheme="minorHAnsi" w:cstheme="minorBidi"/>
          <w:lang w:eastAsia="en-US"/>
        </w:rPr>
        <w:t>Iako su uvje</w:t>
      </w:r>
      <w:r w:rsidR="007D21C3">
        <w:rPr>
          <w:rFonts w:asciiTheme="minorHAnsi" w:eastAsiaTheme="minorHAnsi" w:hAnsiTheme="minorHAnsi" w:cstheme="minorBidi"/>
          <w:lang w:eastAsia="en-US"/>
        </w:rPr>
        <w:t>ti osiguranja najčešće monotoni i</w:t>
      </w:r>
      <w:r w:rsidR="001C2C52">
        <w:rPr>
          <w:rFonts w:asciiTheme="minorHAnsi" w:eastAsiaTheme="minorHAnsi" w:hAnsiTheme="minorHAnsi" w:cstheme="minorBidi"/>
          <w:lang w:eastAsia="en-US"/>
        </w:rPr>
        <w:t xml:space="preserve"> pravno formulirani dugačak tekst na osam, deset ili više stranica ispisanih najmanje mogućim fontom slova, a koji većina ugovaratelja osiguranja nikada nije pročita</w:t>
      </w:r>
      <w:r w:rsidR="007D21C3">
        <w:rPr>
          <w:rFonts w:asciiTheme="minorHAnsi" w:eastAsiaTheme="minorHAnsi" w:hAnsiTheme="minorHAnsi" w:cstheme="minorBidi"/>
          <w:lang w:eastAsia="en-US"/>
        </w:rPr>
        <w:t>la (ili je tekst pročitan prekasno tek kada se nisu mogla realizirati određena očekivana prava)</w:t>
      </w:r>
      <w:r w:rsidR="001C2C52">
        <w:rPr>
          <w:rFonts w:asciiTheme="minorHAnsi" w:eastAsiaTheme="minorHAnsi" w:hAnsiTheme="minorHAnsi" w:cstheme="minorBidi"/>
          <w:lang w:eastAsia="en-US"/>
        </w:rPr>
        <w:t>, upravo u njemu su navedene najvažnije odredbe koje definiraju u kojim slučajevima će svo</w:t>
      </w:r>
      <w:r w:rsidR="007D21C3">
        <w:rPr>
          <w:rFonts w:asciiTheme="minorHAnsi" w:eastAsiaTheme="minorHAnsi" w:hAnsiTheme="minorHAnsi" w:cstheme="minorBidi"/>
          <w:lang w:eastAsia="en-US"/>
        </w:rPr>
        <w:t xml:space="preserve">ta iz osiguranja biti isplaćena, odnosno pod kojim uvjetima neće biti isplaćena </w:t>
      </w:r>
      <w:r w:rsidR="001C2C52">
        <w:rPr>
          <w:rFonts w:asciiTheme="minorHAnsi" w:eastAsiaTheme="minorHAnsi" w:hAnsiTheme="minorHAnsi" w:cstheme="minorBidi"/>
          <w:lang w:eastAsia="en-US"/>
        </w:rPr>
        <w:t>– pa takav tekst svakako treba pročitati u cijelosti i razumjeti njegov sadržaj.</w:t>
      </w:r>
      <w:r w:rsidR="007D21C3">
        <w:rPr>
          <w:rFonts w:asciiTheme="minorHAnsi" w:eastAsiaTheme="minorHAnsi" w:hAnsiTheme="minorHAnsi" w:cstheme="minorBidi"/>
          <w:lang w:eastAsia="en-US"/>
        </w:rPr>
        <w:t xml:space="preserve"> Pri tome ne samo u slučaju osiguranja, nego i kod ugovaranja svih drugih financijskih proizvoda i usluga, </w:t>
      </w:r>
      <w:r w:rsidR="007D21C3" w:rsidRPr="007D21C3">
        <w:rPr>
          <w:rFonts w:asciiTheme="minorHAnsi" w:eastAsiaTheme="minorHAnsi" w:hAnsiTheme="minorHAnsi" w:cstheme="minorBidi"/>
          <w:color w:val="C00000"/>
          <w:lang w:eastAsia="en-US"/>
        </w:rPr>
        <w:t>uvjete treba pročitati prije sklapanja ugovora</w:t>
      </w:r>
      <w:r w:rsidR="007D21C3" w:rsidRPr="007D21C3">
        <w:rPr>
          <w:rFonts w:asciiTheme="minorHAnsi" w:eastAsiaTheme="minorHAnsi" w:hAnsiTheme="minorHAnsi" w:cstheme="minorBidi"/>
          <w:lang w:eastAsia="en-US"/>
        </w:rPr>
        <w:t>, a posebno prije obvezivanja na dugoročne uplate čije pravodobno neizvršavanje može dovesti do plaćanja zateznih kamata i ovršnih postupka ili imati druge negativne konsekvence na financije kućanstva.</w:t>
      </w:r>
    </w:p>
    <w:p w:rsidR="00555473" w:rsidRPr="008446F3" w:rsidRDefault="008446F3" w:rsidP="008446F3">
      <w:pPr>
        <w:pStyle w:val="StandardWeb"/>
        <w:spacing w:before="120" w:beforeAutospacing="0" w:after="120" w:afterAutospacing="0" w:line="276" w:lineRule="auto"/>
        <w:jc w:val="both"/>
        <w:rPr>
          <w:rFonts w:asciiTheme="minorHAnsi" w:eastAsiaTheme="minorHAnsi" w:hAnsiTheme="minorHAnsi" w:cstheme="minorBidi"/>
          <w:lang w:eastAsia="en-US"/>
        </w:rPr>
      </w:pPr>
      <w:r w:rsidRPr="008446F3">
        <w:rPr>
          <w:rFonts w:asciiTheme="minorHAnsi" w:eastAsiaTheme="minorHAnsi" w:hAnsiTheme="minorHAnsi" w:cstheme="minorBidi"/>
          <w:lang w:eastAsia="en-US"/>
        </w:rPr>
        <w:t xml:space="preserve">Vezano uz širinu i vrste pokrića, </w:t>
      </w:r>
      <w:r w:rsidR="00555473" w:rsidRPr="008446F3">
        <w:rPr>
          <w:rFonts w:asciiTheme="minorHAnsi" w:eastAsiaTheme="minorHAnsi" w:hAnsiTheme="minorHAnsi" w:cstheme="minorBidi"/>
          <w:lang w:eastAsia="en-US"/>
        </w:rPr>
        <w:t xml:space="preserve">moguće je </w:t>
      </w:r>
      <w:r w:rsidRPr="008446F3">
        <w:rPr>
          <w:rFonts w:asciiTheme="minorHAnsi" w:eastAsiaTheme="minorHAnsi" w:hAnsiTheme="minorHAnsi" w:cstheme="minorBidi"/>
          <w:lang w:eastAsia="en-US"/>
        </w:rPr>
        <w:t xml:space="preserve">npr. </w:t>
      </w:r>
      <w:r w:rsidR="00555473" w:rsidRPr="008446F3">
        <w:rPr>
          <w:rFonts w:asciiTheme="minorHAnsi" w:eastAsiaTheme="minorHAnsi" w:hAnsiTheme="minorHAnsi" w:cstheme="minorBidi"/>
          <w:lang w:eastAsia="en-US"/>
        </w:rPr>
        <w:t>da se</w:t>
      </w:r>
      <w:r w:rsidR="001C2C52">
        <w:rPr>
          <w:rFonts w:asciiTheme="minorHAnsi" w:eastAsiaTheme="minorHAnsi" w:hAnsiTheme="minorHAnsi" w:cstheme="minorBidi"/>
          <w:lang w:eastAsia="en-US"/>
        </w:rPr>
        <w:t xml:space="preserve"> u uvjetima osiguranja </w:t>
      </w:r>
      <w:r w:rsidR="00555473" w:rsidRPr="008446F3">
        <w:rPr>
          <w:rFonts w:asciiTheme="minorHAnsi" w:eastAsiaTheme="minorHAnsi" w:hAnsiTheme="minorHAnsi" w:cstheme="minorBidi"/>
          <w:lang w:eastAsia="en-US"/>
        </w:rPr>
        <w:t xml:space="preserve"> </w:t>
      </w:r>
      <w:r w:rsidR="00555473" w:rsidRPr="008446F3">
        <w:rPr>
          <w:rFonts w:asciiTheme="minorHAnsi" w:eastAsiaTheme="minorHAnsi" w:hAnsiTheme="minorHAnsi" w:cstheme="minorBidi"/>
          <w:color w:val="C00000"/>
          <w:lang w:eastAsia="en-US"/>
        </w:rPr>
        <w:t>navedu rizici koji su pokriveni osiguranjem, a oni koji nisu navedeni nisu pokriveni</w:t>
      </w:r>
      <w:r w:rsidR="00555473" w:rsidRPr="008446F3">
        <w:rPr>
          <w:rFonts w:asciiTheme="minorHAnsi" w:eastAsiaTheme="minorHAnsi" w:hAnsiTheme="minorHAnsi" w:cstheme="minorBidi"/>
          <w:lang w:eastAsia="en-US"/>
        </w:rPr>
        <w:t xml:space="preserve">. Druga mogućnost je da se  navede pokriće od svih rizika („all risks“ coverage), ali se u tom slučaju </w:t>
      </w:r>
      <w:r w:rsidR="00555473" w:rsidRPr="008446F3">
        <w:rPr>
          <w:rFonts w:asciiTheme="minorHAnsi" w:eastAsiaTheme="minorHAnsi" w:hAnsiTheme="minorHAnsi" w:cstheme="minorBidi"/>
          <w:color w:val="C00000"/>
          <w:lang w:eastAsia="en-US"/>
        </w:rPr>
        <w:t xml:space="preserve">rizici koji nisu pokriveni moraju posebno navesti </w:t>
      </w:r>
      <w:r w:rsidR="00555473" w:rsidRPr="008446F3">
        <w:rPr>
          <w:rFonts w:asciiTheme="minorHAnsi" w:eastAsiaTheme="minorHAnsi" w:hAnsiTheme="minorHAnsi" w:cstheme="minorBidi"/>
          <w:lang w:eastAsia="en-US"/>
        </w:rPr>
        <w:t xml:space="preserve">(na primjer rizik rata, štrajka, nuklearne katastrofe – što ulazi u kategoriju neosigurljivih rizika). Također je </w:t>
      </w:r>
      <w:r w:rsidR="001C2C52">
        <w:rPr>
          <w:rFonts w:asciiTheme="minorHAnsi" w:eastAsiaTheme="minorHAnsi" w:hAnsiTheme="minorHAnsi" w:cstheme="minorBidi"/>
          <w:lang w:eastAsia="en-US"/>
        </w:rPr>
        <w:t xml:space="preserve">kod pojedinih kategorija osiguranja </w:t>
      </w:r>
      <w:r w:rsidR="00555473" w:rsidRPr="008446F3">
        <w:rPr>
          <w:rFonts w:asciiTheme="minorHAnsi" w:eastAsiaTheme="minorHAnsi" w:hAnsiTheme="minorHAnsi" w:cstheme="minorBidi"/>
          <w:lang w:eastAsia="en-US"/>
        </w:rPr>
        <w:t xml:space="preserve">moguće da </w:t>
      </w:r>
      <w:r w:rsidR="001C2C52">
        <w:rPr>
          <w:rFonts w:asciiTheme="minorHAnsi" w:eastAsiaTheme="minorHAnsi" w:hAnsiTheme="minorHAnsi" w:cstheme="minorBidi"/>
          <w:lang w:eastAsia="en-US"/>
        </w:rPr>
        <w:t>je</w:t>
      </w:r>
      <w:r w:rsidR="00555473" w:rsidRPr="008446F3">
        <w:rPr>
          <w:rFonts w:asciiTheme="minorHAnsi" w:eastAsiaTheme="minorHAnsi" w:hAnsiTheme="minorHAnsi" w:cstheme="minorBidi"/>
          <w:lang w:eastAsia="en-US"/>
        </w:rPr>
        <w:t xml:space="preserve"> navede</w:t>
      </w:r>
      <w:r w:rsidR="001C2C52">
        <w:rPr>
          <w:rFonts w:asciiTheme="minorHAnsi" w:eastAsiaTheme="minorHAnsi" w:hAnsiTheme="minorHAnsi" w:cstheme="minorBidi"/>
          <w:lang w:eastAsia="en-US"/>
        </w:rPr>
        <w:t>no</w:t>
      </w:r>
      <w:r w:rsidR="00555473" w:rsidRPr="008446F3">
        <w:rPr>
          <w:rFonts w:asciiTheme="minorHAnsi" w:eastAsiaTheme="minorHAnsi" w:hAnsiTheme="minorHAnsi" w:cstheme="minorBidi"/>
          <w:lang w:eastAsia="en-US"/>
        </w:rPr>
        <w:t xml:space="preserve"> </w:t>
      </w:r>
      <w:r w:rsidR="00555473" w:rsidRPr="001C2C52">
        <w:rPr>
          <w:rFonts w:asciiTheme="minorHAnsi" w:eastAsiaTheme="minorHAnsi" w:hAnsiTheme="minorHAnsi" w:cstheme="minorBidi"/>
          <w:lang w:eastAsia="en-US"/>
        </w:rPr>
        <w:t xml:space="preserve">pokriće samo jednog rizika. </w:t>
      </w:r>
      <w:r w:rsidR="00555473" w:rsidRPr="008446F3">
        <w:rPr>
          <w:rFonts w:asciiTheme="minorHAnsi" w:eastAsiaTheme="minorHAnsi" w:hAnsiTheme="minorHAnsi" w:cstheme="minorBidi"/>
          <w:color w:val="C00000"/>
          <w:lang w:eastAsia="en-US"/>
        </w:rPr>
        <w:t xml:space="preserve">Izuzeća iz pokrića </w:t>
      </w:r>
      <w:r w:rsidR="00555473" w:rsidRPr="008446F3">
        <w:rPr>
          <w:rFonts w:asciiTheme="minorHAnsi" w:eastAsiaTheme="minorHAnsi" w:hAnsiTheme="minorHAnsi" w:cstheme="minorBidi"/>
          <w:lang w:eastAsia="en-US"/>
        </w:rPr>
        <w:t>mogu se odnositi na pojedine rizika koji nisu osigurljivi ili ih osiguratelj ne može ili ne želi pokriti osiguranjem. Izuzećem mogu biti obuhvaćene i pojedine štete, pojedina imovina (npr. zlato, obveznice, novac) ili pojedina lokacija (na primjer isključenje zgrada na klizištima, kaska u rizičnim državama)</w:t>
      </w:r>
      <w:r w:rsidR="001C2C52">
        <w:rPr>
          <w:rFonts w:asciiTheme="minorHAnsi" w:eastAsiaTheme="minorHAnsi" w:hAnsiTheme="minorHAnsi" w:cstheme="minorBidi"/>
          <w:lang w:eastAsia="en-US"/>
        </w:rPr>
        <w:t xml:space="preserve"> ili pojedini uzroci smrti kod životnih osiguranja.</w:t>
      </w:r>
    </w:p>
    <w:p w:rsidR="00D73C22" w:rsidRPr="00555473" w:rsidRDefault="00D73C22" w:rsidP="00D73C22">
      <w:pPr>
        <w:autoSpaceDE w:val="0"/>
        <w:autoSpaceDN w:val="0"/>
        <w:adjustRightInd w:val="0"/>
        <w:jc w:val="both"/>
        <w:rPr>
          <w:sz w:val="24"/>
          <w:szCs w:val="24"/>
        </w:rPr>
      </w:pPr>
      <w:r w:rsidRPr="00555473">
        <w:rPr>
          <w:sz w:val="24"/>
          <w:szCs w:val="24"/>
        </w:rPr>
        <w:t>Isprava koja potvrđuje da je između osiguratelja i ugovaratelja osiguranja zaključen ugovor o osiguranju</w:t>
      </w:r>
      <w:r w:rsidR="008446F3">
        <w:rPr>
          <w:sz w:val="24"/>
          <w:szCs w:val="24"/>
        </w:rPr>
        <w:t xml:space="preserve"> (sukladno tarifi određenih uvjeta osiguranja)</w:t>
      </w:r>
      <w:r w:rsidRPr="00555473">
        <w:rPr>
          <w:sz w:val="24"/>
          <w:szCs w:val="24"/>
        </w:rPr>
        <w:t xml:space="preserve"> naziva se </w:t>
      </w:r>
      <w:r w:rsidRPr="00D67648">
        <w:rPr>
          <w:color w:val="C00000"/>
          <w:sz w:val="24"/>
          <w:szCs w:val="24"/>
        </w:rPr>
        <w:t>polica osiguranja</w:t>
      </w:r>
      <w:r w:rsidR="00D67648" w:rsidRPr="00D67648">
        <w:rPr>
          <w:color w:val="C00000"/>
          <w:sz w:val="24"/>
          <w:szCs w:val="24"/>
        </w:rPr>
        <w:t xml:space="preserve"> </w:t>
      </w:r>
      <w:r w:rsidR="00D67648" w:rsidRPr="00D67648">
        <w:rPr>
          <w:sz w:val="24"/>
          <w:szCs w:val="24"/>
        </w:rPr>
        <w:t>te predstavlja sastavni dio ugovoru o osiguranju</w:t>
      </w:r>
      <w:r w:rsidR="00D67648" w:rsidRPr="00555473">
        <w:rPr>
          <w:sz w:val="24"/>
          <w:szCs w:val="24"/>
        </w:rPr>
        <w:t xml:space="preserve"> </w:t>
      </w:r>
      <w:r w:rsidRPr="00555473">
        <w:rPr>
          <w:sz w:val="24"/>
          <w:szCs w:val="24"/>
        </w:rPr>
        <w:t xml:space="preserve">Ona mora sadržavati obvezne elemente propisane </w:t>
      </w:r>
      <w:r w:rsidRPr="005A4C45">
        <w:rPr>
          <w:i/>
          <w:sz w:val="24"/>
          <w:szCs w:val="24"/>
        </w:rPr>
        <w:t>Zakonom o obveznim odnosima</w:t>
      </w:r>
      <w:r w:rsidRPr="00555473">
        <w:rPr>
          <w:sz w:val="24"/>
          <w:szCs w:val="24"/>
        </w:rPr>
        <w:t xml:space="preserve"> a koji uključuju slijedeće: ugovorne strane, osigurani predmet osiguranja, rizik obuhvaćen osiguranjem, trajanje osiguranja i vrijeme pokrića, iznos osiguranja,  premiju, datum izdavanja police i potpisi ugovornih strana. Ukoliko je za izdavanje police potrebno duže vrijeme, privremeno j</w:t>
      </w:r>
      <w:r w:rsidR="00555473" w:rsidRPr="00555473">
        <w:rPr>
          <w:sz w:val="24"/>
          <w:szCs w:val="24"/>
        </w:rPr>
        <w:t xml:space="preserve">e može zamijeniti </w:t>
      </w:r>
      <w:r w:rsidR="00555473" w:rsidRPr="00555473">
        <w:rPr>
          <w:color w:val="C00000"/>
          <w:sz w:val="24"/>
          <w:szCs w:val="24"/>
        </w:rPr>
        <w:t xml:space="preserve">list pokrića </w:t>
      </w:r>
      <w:r w:rsidR="00555473" w:rsidRPr="00555473">
        <w:rPr>
          <w:sz w:val="24"/>
          <w:szCs w:val="24"/>
        </w:rPr>
        <w:t xml:space="preserve">koji vrijedi određeno vrijeme, odnosno do trenutka izdavanja police. </w:t>
      </w:r>
      <w:r w:rsidRPr="00555473">
        <w:rPr>
          <w:color w:val="C00000"/>
          <w:sz w:val="24"/>
          <w:szCs w:val="24"/>
        </w:rPr>
        <w:t>Premija osiguranja</w:t>
      </w:r>
      <w:r w:rsidRPr="00555473">
        <w:rPr>
          <w:sz w:val="24"/>
          <w:szCs w:val="24"/>
        </w:rPr>
        <w:t xml:space="preserve"> predstavlja iznos koji ugovaratelj osiguranja plaća osiguratelju za preuzimanje rizika temeljem ugovora o osiguranju.</w:t>
      </w:r>
      <w:r w:rsidR="00F42D18">
        <w:rPr>
          <w:sz w:val="24"/>
          <w:szCs w:val="24"/>
        </w:rPr>
        <w:t xml:space="preserve"> </w:t>
      </w:r>
    </w:p>
    <w:p w:rsidR="00555473" w:rsidRPr="00555473" w:rsidRDefault="00555473" w:rsidP="00555473">
      <w:pPr>
        <w:autoSpaceDE w:val="0"/>
        <w:autoSpaceDN w:val="0"/>
        <w:adjustRightInd w:val="0"/>
        <w:jc w:val="both"/>
        <w:rPr>
          <w:sz w:val="24"/>
          <w:szCs w:val="24"/>
        </w:rPr>
      </w:pPr>
      <w:r w:rsidRPr="00555473">
        <w:rPr>
          <w:sz w:val="24"/>
          <w:szCs w:val="24"/>
        </w:rPr>
        <w:lastRenderedPageBreak/>
        <w:t xml:space="preserve">Kod brojnih vrsta osiguranja osim osoba ugovaratelj osiguranja i osiguratelj postoji još i osiguranik i korisnik </w:t>
      </w:r>
      <w:r>
        <w:rPr>
          <w:sz w:val="24"/>
          <w:szCs w:val="24"/>
        </w:rPr>
        <w:t>osiguranja</w:t>
      </w:r>
      <w:r w:rsidRPr="00555473">
        <w:rPr>
          <w:sz w:val="24"/>
          <w:szCs w:val="24"/>
        </w:rPr>
        <w:t xml:space="preserve">. </w:t>
      </w:r>
      <w:r w:rsidRPr="00555473">
        <w:rPr>
          <w:color w:val="C00000"/>
          <w:sz w:val="24"/>
          <w:szCs w:val="24"/>
        </w:rPr>
        <w:t>Osiguranik</w:t>
      </w:r>
      <w:r w:rsidRPr="00555473">
        <w:rPr>
          <w:b/>
          <w:sz w:val="24"/>
          <w:szCs w:val="24"/>
        </w:rPr>
        <w:t xml:space="preserve"> </w:t>
      </w:r>
      <w:r w:rsidRPr="00555473">
        <w:rPr>
          <w:sz w:val="24"/>
          <w:szCs w:val="24"/>
        </w:rPr>
        <w:t xml:space="preserve">je osoba čiji je imovinski interes osiguran (osoba koja ima ili očekuje da će imati opravdan interes da na predmetu osiguranja ne nastane osigurani slučaj). </w:t>
      </w:r>
    </w:p>
    <w:p w:rsidR="00416359" w:rsidRPr="00555473" w:rsidRDefault="00675027" w:rsidP="00D73C22">
      <w:pPr>
        <w:autoSpaceDE w:val="0"/>
        <w:autoSpaceDN w:val="0"/>
        <w:adjustRightInd w:val="0"/>
        <w:jc w:val="both"/>
        <w:rPr>
          <w:sz w:val="24"/>
          <w:szCs w:val="24"/>
        </w:rPr>
      </w:pPr>
      <w:r w:rsidRPr="00555473">
        <w:rPr>
          <w:sz w:val="24"/>
          <w:szCs w:val="24"/>
        </w:rPr>
        <w:t xml:space="preserve">Sklapanjem ugovora o osiguranju ugovaratelj osiguranja, kao i osiguratelj preuzimaju određene obveze. </w:t>
      </w:r>
      <w:r w:rsidRPr="00555473">
        <w:rPr>
          <w:color w:val="C00000"/>
          <w:sz w:val="24"/>
          <w:szCs w:val="24"/>
        </w:rPr>
        <w:t xml:space="preserve">Ugovaratelj osiguranja je dužan </w:t>
      </w:r>
      <w:r w:rsidR="00416359" w:rsidRPr="00555473">
        <w:rPr>
          <w:sz w:val="24"/>
          <w:szCs w:val="24"/>
        </w:rPr>
        <w:t xml:space="preserve">prijaviti osiguratelju sve okolnosti koje su značajne za </w:t>
      </w:r>
      <w:r w:rsidRPr="00555473">
        <w:rPr>
          <w:sz w:val="24"/>
          <w:szCs w:val="24"/>
        </w:rPr>
        <w:t xml:space="preserve">procjenu </w:t>
      </w:r>
      <w:r w:rsidR="00416359" w:rsidRPr="00555473">
        <w:rPr>
          <w:sz w:val="24"/>
          <w:szCs w:val="24"/>
        </w:rPr>
        <w:t>rizika</w:t>
      </w:r>
      <w:r w:rsidR="00D73C22" w:rsidRPr="00555473">
        <w:rPr>
          <w:sz w:val="24"/>
          <w:szCs w:val="24"/>
        </w:rPr>
        <w:t xml:space="preserve"> i kasnije ga izvijestiti o svim promjenama koje utječu na povećanje rizika</w:t>
      </w:r>
      <w:r w:rsidRPr="00555473">
        <w:rPr>
          <w:sz w:val="24"/>
          <w:szCs w:val="24"/>
        </w:rPr>
        <w:t>. Dužan je p</w:t>
      </w:r>
      <w:r w:rsidR="00416359" w:rsidRPr="00555473">
        <w:rPr>
          <w:sz w:val="24"/>
          <w:szCs w:val="24"/>
        </w:rPr>
        <w:t>latiti prvu premiju osiguranja</w:t>
      </w:r>
      <w:r w:rsidRPr="00555473">
        <w:rPr>
          <w:sz w:val="24"/>
          <w:szCs w:val="24"/>
        </w:rPr>
        <w:t xml:space="preserve"> i plaćati preostale premije osiguranja, iako je osiguratelj dužan primiti </w:t>
      </w:r>
      <w:r w:rsidR="00416359" w:rsidRPr="00555473">
        <w:rPr>
          <w:sz w:val="24"/>
          <w:szCs w:val="24"/>
        </w:rPr>
        <w:t>premiju od svake</w:t>
      </w:r>
      <w:r w:rsidRPr="00555473">
        <w:rPr>
          <w:sz w:val="24"/>
          <w:szCs w:val="24"/>
        </w:rPr>
        <w:t xml:space="preserve"> </w:t>
      </w:r>
      <w:r w:rsidR="00416359" w:rsidRPr="00555473">
        <w:rPr>
          <w:sz w:val="24"/>
          <w:szCs w:val="24"/>
        </w:rPr>
        <w:t>osobe koja ima pravni interes da ona bude plaćena</w:t>
      </w:r>
      <w:r w:rsidR="00D73C22" w:rsidRPr="00555473">
        <w:rPr>
          <w:sz w:val="24"/>
          <w:szCs w:val="24"/>
        </w:rPr>
        <w:t xml:space="preserve">. Jedna od obveza ugovaratelja osiguranja je </w:t>
      </w:r>
      <w:r w:rsidR="00416359" w:rsidRPr="00555473">
        <w:rPr>
          <w:sz w:val="24"/>
          <w:szCs w:val="24"/>
        </w:rPr>
        <w:t xml:space="preserve">poduzeti mjere spašavanja kako bi negativne posljedice </w:t>
      </w:r>
      <w:r w:rsidR="00D73C22" w:rsidRPr="00555473">
        <w:rPr>
          <w:sz w:val="24"/>
          <w:szCs w:val="24"/>
        </w:rPr>
        <w:t xml:space="preserve">štetnog događaja bile što manje, dok je u slučaju nastupa osiguranog slučaja dužan o tome izvijestiti osiguratelja. </w:t>
      </w:r>
    </w:p>
    <w:p w:rsidR="00416359" w:rsidRPr="00555473" w:rsidRDefault="00D73C22" w:rsidP="00D73C22">
      <w:pPr>
        <w:autoSpaceDE w:val="0"/>
        <w:autoSpaceDN w:val="0"/>
        <w:adjustRightInd w:val="0"/>
        <w:jc w:val="both"/>
        <w:rPr>
          <w:sz w:val="24"/>
          <w:szCs w:val="24"/>
        </w:rPr>
      </w:pPr>
      <w:r w:rsidRPr="00555473">
        <w:rPr>
          <w:color w:val="C00000"/>
          <w:sz w:val="24"/>
          <w:szCs w:val="24"/>
        </w:rPr>
        <w:t xml:space="preserve">Osiguratelj ima obvezu </w:t>
      </w:r>
      <w:r w:rsidR="00416359" w:rsidRPr="00555473">
        <w:rPr>
          <w:sz w:val="24"/>
          <w:szCs w:val="24"/>
        </w:rPr>
        <w:t>izvijestiti ugovaratelja osiguranja o uvjetima osiguranja u trenutku sklapanja ugovora o osiguranju</w:t>
      </w:r>
      <w:r w:rsidRPr="00555473">
        <w:rPr>
          <w:sz w:val="24"/>
          <w:szCs w:val="24"/>
        </w:rPr>
        <w:t xml:space="preserve">, primiti premiju osiguranja, </w:t>
      </w:r>
      <w:r w:rsidR="00416359" w:rsidRPr="00555473">
        <w:rPr>
          <w:sz w:val="24"/>
          <w:szCs w:val="24"/>
        </w:rPr>
        <w:t>predati police osiguranja ili druge isprave o osiguranju</w:t>
      </w:r>
      <w:r w:rsidRPr="00555473">
        <w:rPr>
          <w:sz w:val="24"/>
          <w:szCs w:val="24"/>
        </w:rPr>
        <w:t xml:space="preserve"> ugovaratelju, formirati </w:t>
      </w:r>
      <w:r w:rsidR="00416359" w:rsidRPr="00555473">
        <w:rPr>
          <w:sz w:val="24"/>
          <w:szCs w:val="24"/>
        </w:rPr>
        <w:t>pričuve osiguranja</w:t>
      </w:r>
      <w:r w:rsidRPr="00555473">
        <w:rPr>
          <w:sz w:val="24"/>
          <w:szCs w:val="24"/>
        </w:rPr>
        <w:t xml:space="preserve"> (matematičke i tehničke rezerve), </w:t>
      </w:r>
      <w:r w:rsidR="00416359" w:rsidRPr="00555473">
        <w:rPr>
          <w:sz w:val="24"/>
          <w:szCs w:val="24"/>
        </w:rPr>
        <w:t>isplatiti osigurninu/osiguranu svotu u trenutku i po nastupu osiguranog slučaja</w:t>
      </w:r>
      <w:r w:rsidRPr="00555473">
        <w:rPr>
          <w:sz w:val="24"/>
          <w:szCs w:val="24"/>
        </w:rPr>
        <w:t xml:space="preserve"> te </w:t>
      </w:r>
      <w:r w:rsidR="00416359" w:rsidRPr="00555473">
        <w:rPr>
          <w:sz w:val="24"/>
          <w:szCs w:val="24"/>
        </w:rPr>
        <w:t>isplatiti troškove spašavanja (isplati ono što je ugovoreno - naknade iz osiguranja).</w:t>
      </w:r>
    </w:p>
    <w:p w:rsidR="00416359" w:rsidRPr="00555473" w:rsidRDefault="00D73C22" w:rsidP="00D73C22">
      <w:pPr>
        <w:autoSpaceDE w:val="0"/>
        <w:autoSpaceDN w:val="0"/>
        <w:adjustRightInd w:val="0"/>
        <w:jc w:val="both"/>
        <w:rPr>
          <w:i/>
          <w:sz w:val="24"/>
          <w:szCs w:val="24"/>
        </w:rPr>
      </w:pPr>
      <w:r w:rsidRPr="00555473">
        <w:rPr>
          <w:sz w:val="24"/>
          <w:szCs w:val="24"/>
        </w:rPr>
        <w:t xml:space="preserve">Prilikom sklapanja osiguranja treba se jasno definirati </w:t>
      </w:r>
      <w:r w:rsidRPr="00555473">
        <w:rPr>
          <w:color w:val="C00000"/>
          <w:sz w:val="24"/>
          <w:szCs w:val="24"/>
        </w:rPr>
        <w:t xml:space="preserve">trajanje osiguranja </w:t>
      </w:r>
      <w:r w:rsidRPr="00555473">
        <w:rPr>
          <w:sz w:val="24"/>
          <w:szCs w:val="24"/>
        </w:rPr>
        <w:t xml:space="preserve">(početak i prestanak), kao što na primjer ističe slijedeća rečenica: </w:t>
      </w:r>
      <w:r w:rsidR="00416359" w:rsidRPr="00555473">
        <w:rPr>
          <w:i/>
          <w:sz w:val="24"/>
          <w:szCs w:val="24"/>
        </w:rPr>
        <w:t>„Učinak osiguranja započinje teći od dvadesetčetvrtog sata dana koji je na polici naznačen kao početak osiguranja, a traje do isteka dvadesetčetvrtog sata dana utvrđenog na polici.“</w:t>
      </w:r>
    </w:p>
    <w:p w:rsidR="00D21283" w:rsidRPr="00EC2999" w:rsidRDefault="00D21283" w:rsidP="00D21283">
      <w:pPr>
        <w:jc w:val="both"/>
        <w:rPr>
          <w:sz w:val="24"/>
          <w:szCs w:val="24"/>
        </w:rPr>
      </w:pPr>
      <w:r w:rsidRPr="00EC2999">
        <w:rPr>
          <w:sz w:val="24"/>
          <w:szCs w:val="24"/>
        </w:rPr>
        <w:t xml:space="preserve">Pojmovi koji se vežu uz osiguranje su suosiguranje i reeosiguranje. </w:t>
      </w:r>
      <w:r w:rsidRPr="00EC2999">
        <w:rPr>
          <w:color w:val="C00000"/>
          <w:sz w:val="24"/>
          <w:szCs w:val="24"/>
        </w:rPr>
        <w:t>Suosiguranje</w:t>
      </w:r>
      <w:r w:rsidRPr="00EC2999">
        <w:rPr>
          <w:sz w:val="24"/>
          <w:szCs w:val="24"/>
        </w:rPr>
        <w:t xml:space="preserve"> je zajedničko djelovanje dvaju ili više društava za osiguranje u sklapanju jednog ugovora o osiguranju uz podjelu pokrića ukupnog rizika</w:t>
      </w:r>
      <w:r w:rsidR="00EC2999">
        <w:rPr>
          <w:sz w:val="24"/>
          <w:szCs w:val="24"/>
        </w:rPr>
        <w:t xml:space="preserve">. U tom slučaju radi se o tzv. </w:t>
      </w:r>
      <w:r w:rsidRPr="00EC2999">
        <w:rPr>
          <w:sz w:val="24"/>
          <w:szCs w:val="24"/>
        </w:rPr>
        <w:t>horizontaln</w:t>
      </w:r>
      <w:r w:rsidR="00EC2999">
        <w:rPr>
          <w:sz w:val="24"/>
          <w:szCs w:val="24"/>
        </w:rPr>
        <w:t>oj</w:t>
      </w:r>
      <w:r w:rsidRPr="00EC2999">
        <w:rPr>
          <w:sz w:val="24"/>
          <w:szCs w:val="24"/>
        </w:rPr>
        <w:t xml:space="preserve"> raspodjel</w:t>
      </w:r>
      <w:r w:rsidR="00EC2999">
        <w:rPr>
          <w:sz w:val="24"/>
          <w:szCs w:val="24"/>
        </w:rPr>
        <w:t>i</w:t>
      </w:r>
      <w:r w:rsidRPr="00EC2999">
        <w:rPr>
          <w:sz w:val="24"/>
          <w:szCs w:val="24"/>
        </w:rPr>
        <w:t xml:space="preserve"> rizika. </w:t>
      </w:r>
      <w:r w:rsidRPr="00EC2999">
        <w:rPr>
          <w:color w:val="C00000"/>
          <w:sz w:val="24"/>
          <w:szCs w:val="24"/>
        </w:rPr>
        <w:t>Reosiguranje</w:t>
      </w:r>
      <w:r w:rsidRPr="00EC2999">
        <w:rPr>
          <w:sz w:val="24"/>
          <w:szCs w:val="24"/>
        </w:rPr>
        <w:t xml:space="preserve"> je osiguranje osiguratelja čime se </w:t>
      </w:r>
      <w:r w:rsidR="00EC2999">
        <w:rPr>
          <w:sz w:val="24"/>
          <w:szCs w:val="24"/>
        </w:rPr>
        <w:t xml:space="preserve">rizik (odnosno dio </w:t>
      </w:r>
      <w:r w:rsidRPr="00EC2999">
        <w:rPr>
          <w:sz w:val="24"/>
          <w:szCs w:val="24"/>
        </w:rPr>
        <w:t>rizik</w:t>
      </w:r>
      <w:r w:rsidR="00EC2999">
        <w:rPr>
          <w:sz w:val="24"/>
          <w:szCs w:val="24"/>
        </w:rPr>
        <w:t>a)</w:t>
      </w:r>
      <w:r w:rsidRPr="00EC2999">
        <w:rPr>
          <w:sz w:val="24"/>
          <w:szCs w:val="24"/>
        </w:rPr>
        <w:t xml:space="preserve"> jednog osiguratelja raspodjeljuje na drugog osiguratelja. </w:t>
      </w:r>
    </w:p>
    <w:p w:rsidR="00416359" w:rsidRPr="00EC2999" w:rsidRDefault="00D21283" w:rsidP="00416359">
      <w:pPr>
        <w:autoSpaceDE w:val="0"/>
        <w:autoSpaceDN w:val="0"/>
        <w:adjustRightInd w:val="0"/>
        <w:jc w:val="both"/>
        <w:rPr>
          <w:sz w:val="24"/>
          <w:szCs w:val="24"/>
        </w:rPr>
      </w:pPr>
      <w:r w:rsidRPr="00EC2999">
        <w:rPr>
          <w:sz w:val="24"/>
          <w:szCs w:val="24"/>
        </w:rPr>
        <w:t xml:space="preserve">Nadalje, u slučaju osiguranja materijalne imovine javljaju se pojmovi podosiguranje i nadosiguranje, a vezani su uz različite moguće načine osiguranja materijalne imovine, npr. </w:t>
      </w:r>
    </w:p>
    <w:p w:rsidR="00416359" w:rsidRPr="00EC2999" w:rsidRDefault="00416359" w:rsidP="00C86D78">
      <w:pPr>
        <w:pStyle w:val="StandardWeb"/>
        <w:numPr>
          <w:ilvl w:val="0"/>
          <w:numId w:val="75"/>
        </w:numPr>
        <w:spacing w:before="0" w:beforeAutospacing="0" w:after="0" w:afterAutospacing="0" w:line="276" w:lineRule="auto"/>
        <w:ind w:left="714" w:hanging="357"/>
        <w:rPr>
          <w:rFonts w:asciiTheme="minorHAnsi" w:eastAsiaTheme="minorHAnsi" w:hAnsiTheme="minorHAnsi" w:cstheme="minorBidi"/>
          <w:lang w:eastAsia="en-US"/>
        </w:rPr>
      </w:pPr>
      <w:r w:rsidRPr="00EC2999">
        <w:rPr>
          <w:rFonts w:asciiTheme="minorHAnsi" w:eastAsiaTheme="minorHAnsi" w:hAnsiTheme="minorHAnsi" w:cstheme="minorBidi"/>
          <w:lang w:eastAsia="en-US"/>
        </w:rPr>
        <w:t xml:space="preserve">na svotu osiguranja -  ugovaratelj odabire onu svotu osiguranja koja je isključivo njegov odabir; </w:t>
      </w:r>
    </w:p>
    <w:p w:rsidR="00416359" w:rsidRPr="00EC2999" w:rsidRDefault="00416359" w:rsidP="00C86D78">
      <w:pPr>
        <w:pStyle w:val="StandardWeb"/>
        <w:numPr>
          <w:ilvl w:val="0"/>
          <w:numId w:val="75"/>
        </w:numPr>
        <w:spacing w:before="0" w:beforeAutospacing="0" w:after="0" w:afterAutospacing="0" w:line="276" w:lineRule="auto"/>
        <w:ind w:left="714" w:hanging="357"/>
        <w:rPr>
          <w:rFonts w:asciiTheme="minorHAnsi" w:eastAsiaTheme="minorHAnsi" w:hAnsiTheme="minorHAnsi" w:cstheme="minorBidi"/>
          <w:lang w:eastAsia="en-US"/>
        </w:rPr>
      </w:pPr>
      <w:r w:rsidRPr="00EC2999">
        <w:rPr>
          <w:rFonts w:asciiTheme="minorHAnsi" w:eastAsiaTheme="minorHAnsi" w:hAnsiTheme="minorHAnsi" w:cstheme="minorBidi"/>
          <w:lang w:eastAsia="en-US"/>
        </w:rPr>
        <w:t xml:space="preserve">na stvarnu vrijednost - knjigovodstvena revalorizirana nabavna vrijednost </w:t>
      </w:r>
    </w:p>
    <w:p w:rsidR="00416359" w:rsidRPr="00EC2999" w:rsidRDefault="00416359" w:rsidP="00C86D78">
      <w:pPr>
        <w:pStyle w:val="StandardWeb"/>
        <w:numPr>
          <w:ilvl w:val="0"/>
          <w:numId w:val="75"/>
        </w:numPr>
        <w:spacing w:before="0" w:beforeAutospacing="0" w:after="0" w:afterAutospacing="0" w:line="276" w:lineRule="auto"/>
        <w:ind w:left="714" w:hanging="357"/>
        <w:rPr>
          <w:rFonts w:asciiTheme="minorHAnsi" w:eastAsiaTheme="minorHAnsi" w:hAnsiTheme="minorHAnsi" w:cstheme="minorBidi"/>
          <w:lang w:eastAsia="en-US"/>
        </w:rPr>
      </w:pPr>
      <w:r w:rsidRPr="00EC2999">
        <w:rPr>
          <w:rFonts w:asciiTheme="minorHAnsi" w:eastAsiaTheme="minorHAnsi" w:hAnsiTheme="minorHAnsi" w:cstheme="minorBidi"/>
          <w:lang w:eastAsia="en-US"/>
        </w:rPr>
        <w:t xml:space="preserve">na stvarnu vrijednost ali najviše do limita pokrića </w:t>
      </w:r>
    </w:p>
    <w:p w:rsidR="00416359" w:rsidRPr="00EC2999" w:rsidRDefault="00416359" w:rsidP="00C86D78">
      <w:pPr>
        <w:pStyle w:val="StandardWeb"/>
        <w:numPr>
          <w:ilvl w:val="0"/>
          <w:numId w:val="75"/>
        </w:numPr>
        <w:spacing w:before="0" w:beforeAutospacing="0" w:after="0" w:afterAutospacing="0" w:line="276" w:lineRule="auto"/>
        <w:ind w:left="714" w:hanging="357"/>
        <w:rPr>
          <w:rFonts w:asciiTheme="minorHAnsi" w:eastAsiaTheme="minorHAnsi" w:hAnsiTheme="minorHAnsi" w:cstheme="minorBidi"/>
          <w:lang w:eastAsia="en-US"/>
        </w:rPr>
      </w:pPr>
      <w:r w:rsidRPr="00EC2999">
        <w:rPr>
          <w:rFonts w:asciiTheme="minorHAnsi" w:eastAsiaTheme="minorHAnsi" w:hAnsiTheme="minorHAnsi" w:cstheme="minorBidi"/>
          <w:lang w:eastAsia="en-US"/>
        </w:rPr>
        <w:t>na novu vrijednost - štete po ovim uvjetima nadoknađuju u novoj vrijednosti i ne umanjuju se za odbitak trošnosti.</w:t>
      </w:r>
    </w:p>
    <w:p w:rsidR="00416359" w:rsidRPr="00EC2999" w:rsidRDefault="00416359" w:rsidP="00416359">
      <w:pPr>
        <w:pStyle w:val="StandardWeb"/>
        <w:spacing w:before="0" w:beforeAutospacing="0" w:after="0" w:afterAutospacing="0"/>
        <w:ind w:left="360"/>
        <w:rPr>
          <w:rFonts w:asciiTheme="minorHAnsi" w:eastAsiaTheme="minorHAnsi" w:hAnsiTheme="minorHAnsi" w:cstheme="minorBidi"/>
          <w:lang w:eastAsia="en-US"/>
        </w:rPr>
      </w:pPr>
    </w:p>
    <w:p w:rsidR="00EC2999" w:rsidRDefault="00416359" w:rsidP="005A4C45">
      <w:pPr>
        <w:pStyle w:val="StandardWeb"/>
        <w:spacing w:before="0" w:beforeAutospacing="0" w:after="120" w:afterAutospacing="0" w:line="276" w:lineRule="auto"/>
        <w:jc w:val="both"/>
        <w:rPr>
          <w:rFonts w:asciiTheme="minorHAnsi" w:hAnsiTheme="minorHAnsi"/>
        </w:rPr>
      </w:pPr>
      <w:r w:rsidRPr="005A4C45">
        <w:rPr>
          <w:rFonts w:asciiTheme="minorHAnsi" w:eastAsiaTheme="minorHAnsi" w:hAnsiTheme="minorHAnsi" w:cstheme="minorBidi"/>
          <w:lang w:eastAsia="en-US"/>
        </w:rPr>
        <w:t xml:space="preserve">Ako je svota osiguranja manja od stvarne vrijednosti osiguranog predmeta postoji </w:t>
      </w:r>
      <w:r w:rsidRPr="005A4C45">
        <w:rPr>
          <w:rFonts w:asciiTheme="minorHAnsi" w:eastAsiaTheme="minorHAnsi" w:hAnsiTheme="minorHAnsi" w:cstheme="minorBidi"/>
          <w:color w:val="C00000"/>
          <w:lang w:eastAsia="en-US"/>
        </w:rPr>
        <w:t>podosiguranje</w:t>
      </w:r>
      <w:r w:rsidRPr="005A4C45">
        <w:rPr>
          <w:rFonts w:asciiTheme="minorHAnsi" w:eastAsiaTheme="minorHAnsi" w:hAnsiTheme="minorHAnsi" w:cstheme="minorBidi"/>
          <w:lang w:eastAsia="en-US"/>
        </w:rPr>
        <w:t xml:space="preserve">. Suprotno, ako je osigurana svota veća od stvarne vrijednosti osiguranog </w:t>
      </w:r>
      <w:r w:rsidRPr="005A4C45">
        <w:rPr>
          <w:rFonts w:asciiTheme="minorHAnsi" w:eastAsiaTheme="minorHAnsi" w:hAnsiTheme="minorHAnsi" w:cstheme="minorBidi"/>
          <w:lang w:eastAsia="en-US"/>
        </w:rPr>
        <w:lastRenderedPageBreak/>
        <w:t xml:space="preserve">predmeta postoji </w:t>
      </w:r>
      <w:r w:rsidRPr="005A4C45">
        <w:rPr>
          <w:rFonts w:asciiTheme="minorHAnsi" w:eastAsiaTheme="minorHAnsi" w:hAnsiTheme="minorHAnsi" w:cstheme="minorBidi"/>
          <w:color w:val="C00000"/>
          <w:lang w:eastAsia="en-US"/>
        </w:rPr>
        <w:t>nadosiguranje</w:t>
      </w:r>
      <w:r w:rsidRPr="005A4C45">
        <w:rPr>
          <w:rFonts w:asciiTheme="minorHAnsi" w:eastAsiaTheme="minorHAnsi" w:hAnsiTheme="minorHAnsi" w:cstheme="minorBidi"/>
          <w:lang w:eastAsia="en-US"/>
        </w:rPr>
        <w:t>. U tom slučaju svaka od ugovornih strana ima pravo tražiti odgovarajuće sniženje osiguranog iznosa i premije. Ako se pri sklapanju ugovora jedna strana posluži prijevarom i tako ugovori iznos osiguranja veći od stvarne vrijednosti osigurane stvari, druga strana može zahtijevati poništenje ugovora.</w:t>
      </w:r>
      <w:r w:rsidR="00D21283" w:rsidRPr="005A4C45">
        <w:rPr>
          <w:rFonts w:asciiTheme="minorHAnsi" w:eastAsiaTheme="minorHAnsi" w:hAnsiTheme="minorHAnsi" w:cstheme="minorBidi"/>
          <w:lang w:eastAsia="en-US"/>
        </w:rPr>
        <w:t xml:space="preserve"> </w:t>
      </w:r>
      <w:r w:rsidR="005A4C45" w:rsidRPr="005A4C45">
        <w:rPr>
          <w:rFonts w:asciiTheme="minorHAnsi" w:eastAsiaTheme="minorHAnsi" w:hAnsiTheme="minorHAnsi" w:cstheme="minorBidi"/>
          <w:lang w:eastAsia="en-US"/>
        </w:rPr>
        <w:t xml:space="preserve">Pri tome pojam </w:t>
      </w:r>
      <w:r w:rsidR="005A4C45" w:rsidRPr="005A4C45">
        <w:rPr>
          <w:rFonts w:asciiTheme="minorHAnsi" w:eastAsiaTheme="minorHAnsi" w:hAnsiTheme="minorHAnsi" w:cstheme="minorBidi"/>
          <w:color w:val="C00000"/>
          <w:lang w:eastAsia="en-US"/>
        </w:rPr>
        <w:t>i</w:t>
      </w:r>
      <w:r w:rsidR="005A4C45" w:rsidRPr="005A4C45">
        <w:rPr>
          <w:rFonts w:asciiTheme="minorHAnsi" w:hAnsiTheme="minorHAnsi"/>
          <w:color w:val="C00000"/>
        </w:rPr>
        <w:t>z</w:t>
      </w:r>
      <w:r w:rsidR="00EC2999" w:rsidRPr="005A4C45">
        <w:rPr>
          <w:rFonts w:asciiTheme="minorHAnsi" w:hAnsiTheme="minorHAnsi"/>
          <w:color w:val="C00000"/>
        </w:rPr>
        <w:t xml:space="preserve">nos osiguranja </w:t>
      </w:r>
      <w:r w:rsidR="005A4C45" w:rsidRPr="005A4C45">
        <w:rPr>
          <w:rFonts w:asciiTheme="minorHAnsi" w:hAnsiTheme="minorHAnsi"/>
        </w:rPr>
        <w:t>označava</w:t>
      </w:r>
      <w:r w:rsidR="00EC2999" w:rsidRPr="005A4C45">
        <w:rPr>
          <w:rFonts w:asciiTheme="minorHAnsi" w:hAnsiTheme="minorHAnsi"/>
        </w:rPr>
        <w:t xml:space="preserve"> iznos na koji je predmet osiguranja osiguran. </w:t>
      </w:r>
      <w:r w:rsidR="00EC2999" w:rsidRPr="005A4C45">
        <w:rPr>
          <w:rFonts w:asciiTheme="minorHAnsi" w:hAnsiTheme="minorHAnsi"/>
          <w:color w:val="C00000"/>
        </w:rPr>
        <w:t>Osigurnina</w:t>
      </w:r>
      <w:r w:rsidR="00EC2999" w:rsidRPr="005A4C45">
        <w:rPr>
          <w:rFonts w:asciiTheme="minorHAnsi" w:hAnsiTheme="minorHAnsi"/>
        </w:rPr>
        <w:t xml:space="preserve"> je naknada za štetu koju je osiguratelj obvezan isplatiti (korisniku/ korisnicima osiguranja) temeljem ugovora o osiguranju, a po nastanku osiguranog slučaja. Kod </w:t>
      </w:r>
      <w:hyperlink r:id="rId221" w:history="1">
        <w:r w:rsidR="00EC2999" w:rsidRPr="005A4C45">
          <w:rPr>
            <w:rFonts w:asciiTheme="minorHAnsi" w:hAnsiTheme="minorHAnsi"/>
          </w:rPr>
          <w:t>osiguranja imovine</w:t>
        </w:r>
      </w:hyperlink>
      <w:r w:rsidR="00EC2999" w:rsidRPr="005A4C45">
        <w:rPr>
          <w:rFonts w:asciiTheme="minorHAnsi" w:hAnsiTheme="minorHAnsi"/>
        </w:rPr>
        <w:t xml:space="preserve"> osigurnina je naknada za štetu, a kod </w:t>
      </w:r>
      <w:hyperlink r:id="rId222" w:history="1">
        <w:r w:rsidR="00EC2999" w:rsidRPr="005A4C45">
          <w:rPr>
            <w:rFonts w:asciiTheme="minorHAnsi" w:hAnsiTheme="minorHAnsi"/>
          </w:rPr>
          <w:t>osiguranja života</w:t>
        </w:r>
      </w:hyperlink>
      <w:r w:rsidR="00EC2999" w:rsidRPr="005A4C45">
        <w:rPr>
          <w:rFonts w:asciiTheme="minorHAnsi" w:hAnsiTheme="minorHAnsi"/>
        </w:rPr>
        <w:t xml:space="preserve"> to je ugovorena </w:t>
      </w:r>
      <w:r w:rsidR="00EC2999" w:rsidRPr="005A4C45">
        <w:rPr>
          <w:rFonts w:asciiTheme="minorHAnsi" w:hAnsiTheme="minorHAnsi"/>
          <w:color w:val="C00000"/>
        </w:rPr>
        <w:t>svota osiguranja</w:t>
      </w:r>
      <w:r w:rsidR="00EC2999" w:rsidRPr="005A4C45">
        <w:rPr>
          <w:rFonts w:asciiTheme="minorHAnsi" w:hAnsiTheme="minorHAnsi"/>
        </w:rPr>
        <w:t>.</w:t>
      </w:r>
    </w:p>
    <w:p w:rsidR="005E16CF" w:rsidRPr="005E16CF" w:rsidRDefault="005E16CF" w:rsidP="0010193C">
      <w:pPr>
        <w:spacing w:before="240" w:after="0"/>
        <w:jc w:val="both"/>
        <w:rPr>
          <w:b/>
          <w:sz w:val="24"/>
          <w:szCs w:val="24"/>
        </w:rPr>
      </w:pPr>
      <w:r w:rsidRPr="005E16CF">
        <w:rPr>
          <w:b/>
          <w:sz w:val="24"/>
          <w:szCs w:val="24"/>
        </w:rPr>
        <w:t xml:space="preserve">5.2. Čimbenici osiguranja stambenog prostora, automobila i drugih oblika imovine </w:t>
      </w:r>
    </w:p>
    <w:p w:rsidR="005E16CF" w:rsidRPr="0010193C" w:rsidRDefault="005E16CF" w:rsidP="0011560C">
      <w:pPr>
        <w:pStyle w:val="StandardWeb"/>
        <w:spacing w:before="120" w:beforeAutospacing="0" w:after="200" w:afterAutospacing="0" w:line="276" w:lineRule="auto"/>
        <w:jc w:val="both"/>
        <w:rPr>
          <w:rFonts w:asciiTheme="minorHAnsi" w:eastAsiaTheme="minorHAnsi" w:hAnsiTheme="minorHAnsi" w:cstheme="minorBidi"/>
          <w:lang w:eastAsia="en-US"/>
        </w:rPr>
      </w:pPr>
      <w:r w:rsidRPr="0010193C">
        <w:rPr>
          <w:rFonts w:asciiTheme="minorHAnsi" w:eastAsiaTheme="minorHAnsi" w:hAnsiTheme="minorHAnsi" w:cstheme="minorBidi"/>
          <w:lang w:eastAsia="en-US"/>
        </w:rPr>
        <w:t xml:space="preserve">U ponudi društva za osiguranje dostupni su različiti oblici osiguranja imovine od stana i kuće, do usjeva, radnih strojeva pa sve do osiguranja kućnih ljubimaca. Među njima na prvo mjestu ističe se </w:t>
      </w:r>
      <w:r w:rsidRPr="0010193C">
        <w:rPr>
          <w:rFonts w:asciiTheme="minorHAnsi" w:eastAsiaTheme="minorHAnsi" w:hAnsiTheme="minorHAnsi" w:cstheme="minorBidi"/>
          <w:color w:val="C00000"/>
          <w:lang w:eastAsia="en-US"/>
        </w:rPr>
        <w:t>osiguranje doma</w:t>
      </w:r>
      <w:r w:rsidR="0010193C" w:rsidRPr="0010193C">
        <w:rPr>
          <w:rFonts w:asciiTheme="minorHAnsi" w:eastAsiaTheme="minorHAnsi" w:hAnsiTheme="minorHAnsi" w:cstheme="minorBidi"/>
          <w:lang w:eastAsia="en-US"/>
        </w:rPr>
        <w:t>, odnosno stana, kuće, vikendice ili apartman</w:t>
      </w:r>
      <w:r w:rsidR="0010193C">
        <w:rPr>
          <w:rFonts w:asciiTheme="minorHAnsi" w:eastAsiaTheme="minorHAnsi" w:hAnsiTheme="minorHAnsi" w:cstheme="minorBidi"/>
          <w:lang w:eastAsia="en-US"/>
        </w:rPr>
        <w:t>a</w:t>
      </w:r>
      <w:r w:rsidR="0010193C" w:rsidRPr="0010193C">
        <w:rPr>
          <w:rFonts w:asciiTheme="minorHAnsi" w:eastAsiaTheme="minorHAnsi" w:hAnsiTheme="minorHAnsi" w:cstheme="minorBidi"/>
          <w:lang w:eastAsia="en-US"/>
        </w:rPr>
        <w:t xml:space="preserve">, a ovisno o vrsti proizvoda </w:t>
      </w:r>
      <w:r w:rsidR="0010193C">
        <w:rPr>
          <w:rFonts w:asciiTheme="minorHAnsi" w:eastAsiaTheme="minorHAnsi" w:hAnsiTheme="minorHAnsi" w:cstheme="minorBidi"/>
          <w:lang w:eastAsia="en-US"/>
        </w:rPr>
        <w:t xml:space="preserve">(tarife) </w:t>
      </w:r>
      <w:r w:rsidR="0010193C" w:rsidRPr="0010193C">
        <w:rPr>
          <w:rFonts w:asciiTheme="minorHAnsi" w:eastAsiaTheme="minorHAnsi" w:hAnsiTheme="minorHAnsi" w:cstheme="minorBidi"/>
          <w:lang w:eastAsia="en-US"/>
        </w:rPr>
        <w:t xml:space="preserve">osiguranja to može (ali </w:t>
      </w:r>
      <w:r w:rsidR="0010193C">
        <w:rPr>
          <w:rFonts w:asciiTheme="minorHAnsi" w:eastAsiaTheme="minorHAnsi" w:hAnsiTheme="minorHAnsi" w:cstheme="minorBidi"/>
          <w:lang w:eastAsia="en-US"/>
        </w:rPr>
        <w:t xml:space="preserve">i </w:t>
      </w:r>
      <w:r w:rsidR="0010193C" w:rsidRPr="0010193C">
        <w:rPr>
          <w:rFonts w:asciiTheme="minorHAnsi" w:eastAsiaTheme="minorHAnsi" w:hAnsiTheme="minorHAnsi" w:cstheme="minorBidi"/>
          <w:lang w:eastAsia="en-US"/>
        </w:rPr>
        <w:t>ne mora</w:t>
      </w:r>
      <w:r w:rsidR="0010193C">
        <w:rPr>
          <w:rFonts w:asciiTheme="minorHAnsi" w:eastAsiaTheme="minorHAnsi" w:hAnsiTheme="minorHAnsi" w:cstheme="minorBidi"/>
          <w:lang w:eastAsia="en-US"/>
        </w:rPr>
        <w:t>)</w:t>
      </w:r>
      <w:r w:rsidR="0010193C" w:rsidRPr="0010193C">
        <w:rPr>
          <w:rFonts w:asciiTheme="minorHAnsi" w:eastAsiaTheme="minorHAnsi" w:hAnsiTheme="minorHAnsi" w:cstheme="minorBidi"/>
          <w:lang w:eastAsia="en-US"/>
        </w:rPr>
        <w:t xml:space="preserve"> uključiti namještaj</w:t>
      </w:r>
      <w:r w:rsidR="0010193C">
        <w:rPr>
          <w:rFonts w:asciiTheme="minorHAnsi" w:eastAsiaTheme="minorHAnsi" w:hAnsiTheme="minorHAnsi" w:cstheme="minorBidi"/>
          <w:lang w:eastAsia="en-US"/>
        </w:rPr>
        <w:t xml:space="preserve"> i</w:t>
      </w:r>
      <w:r w:rsidR="0010193C" w:rsidRPr="0010193C">
        <w:rPr>
          <w:rFonts w:asciiTheme="minorHAnsi" w:eastAsiaTheme="minorHAnsi" w:hAnsiTheme="minorHAnsi" w:cstheme="minorBidi"/>
          <w:lang w:eastAsia="en-US"/>
        </w:rPr>
        <w:t xml:space="preserve"> kućanske uređaje. K</w:t>
      </w:r>
      <w:r w:rsidRPr="0010193C">
        <w:rPr>
          <w:rFonts w:asciiTheme="minorHAnsi" w:eastAsiaTheme="minorHAnsi" w:hAnsiTheme="minorHAnsi" w:cstheme="minorBidi"/>
          <w:lang w:eastAsia="en-US"/>
        </w:rPr>
        <w:t xml:space="preserve">ako ističu sami osiguratelji razloga za osiguranje ima više nego dovoljno, npr. </w:t>
      </w:r>
      <w:r w:rsidRPr="001F368D">
        <w:rPr>
          <w:rFonts w:asciiTheme="minorHAnsi" w:eastAsiaTheme="minorHAnsi" w:hAnsiTheme="minorHAnsi" w:cstheme="minorBidi"/>
          <w:i/>
          <w:lang w:eastAsia="en-US"/>
        </w:rPr>
        <w:t xml:space="preserve">„u Hrvatskoj je lani zabilježeno više od 32.000 kaznenih djela protiv imovine, od čega oko 4.000 provala u kuće i stanove. </w:t>
      </w:r>
      <w:r w:rsidR="0010193C" w:rsidRPr="001F368D">
        <w:rPr>
          <w:rFonts w:asciiTheme="minorHAnsi" w:eastAsiaTheme="minorHAnsi" w:hAnsiTheme="minorHAnsi" w:cstheme="minorBidi"/>
          <w:i/>
          <w:lang w:eastAsia="en-US"/>
        </w:rPr>
        <w:t xml:space="preserve">… u glavnom gradu u prosjeku se svakih pet sati dogodi provala u neki dom. …. Najčešća nezgoda u kućanstvu jest puknuće cijevi. </w:t>
      </w:r>
      <w:r w:rsidRPr="001F368D">
        <w:rPr>
          <w:rFonts w:asciiTheme="minorHAnsi" w:eastAsiaTheme="minorHAnsi" w:hAnsiTheme="minorHAnsi" w:cstheme="minorBidi"/>
          <w:i/>
          <w:lang w:eastAsia="en-US"/>
        </w:rPr>
        <w:t>Nemar i tehnički kvarovi na kućanskim aparatima najčešći su uzroci svih požara“ …</w:t>
      </w:r>
      <w:r w:rsidR="0010193C" w:rsidRPr="001F368D">
        <w:rPr>
          <w:rFonts w:asciiTheme="minorHAnsi" w:eastAsiaTheme="minorHAnsi" w:hAnsiTheme="minorHAnsi" w:cstheme="minorBidi"/>
          <w:i/>
          <w:lang w:eastAsia="en-US"/>
        </w:rPr>
        <w:t xml:space="preserve"> u gradu Zagrebu požar dogodi u prosjeku četiri puta dnevno“</w:t>
      </w:r>
      <w:r w:rsidR="001F368D">
        <w:rPr>
          <w:rStyle w:val="Referencafusnote"/>
          <w:rFonts w:asciiTheme="minorHAnsi" w:eastAsiaTheme="minorHAnsi" w:hAnsiTheme="minorHAnsi" w:cstheme="minorBidi"/>
          <w:i/>
          <w:lang w:eastAsia="en-US"/>
        </w:rPr>
        <w:footnoteReference w:id="82"/>
      </w:r>
      <w:r w:rsidR="0010193C" w:rsidRPr="001F368D">
        <w:rPr>
          <w:rFonts w:asciiTheme="minorHAnsi" w:eastAsiaTheme="minorHAnsi" w:hAnsiTheme="minorHAnsi" w:cstheme="minorBidi"/>
          <w:i/>
          <w:lang w:eastAsia="en-US"/>
        </w:rPr>
        <w:t xml:space="preserve"> </w:t>
      </w:r>
      <w:r w:rsidRPr="0010193C">
        <w:rPr>
          <w:rFonts w:asciiTheme="minorHAnsi" w:eastAsiaTheme="minorHAnsi" w:hAnsiTheme="minorHAnsi" w:cstheme="minorBidi"/>
          <w:lang w:eastAsia="en-US"/>
        </w:rPr>
        <w:t xml:space="preserve">Iako se neželjeni događaji često ne mogu spriječiti, osiguranjem se postiže </w:t>
      </w:r>
      <w:r w:rsidR="001F368D">
        <w:rPr>
          <w:rFonts w:asciiTheme="minorHAnsi" w:eastAsiaTheme="minorHAnsi" w:hAnsiTheme="minorHAnsi" w:cstheme="minorBidi"/>
          <w:lang w:eastAsia="en-US"/>
        </w:rPr>
        <w:t xml:space="preserve">određena </w:t>
      </w:r>
      <w:r w:rsidRPr="0010193C">
        <w:rPr>
          <w:rFonts w:asciiTheme="minorHAnsi" w:eastAsiaTheme="minorHAnsi" w:hAnsiTheme="minorHAnsi" w:cstheme="minorBidi"/>
          <w:lang w:eastAsia="en-US"/>
        </w:rPr>
        <w:t>sigurnost od financijskih gubitaka koji su s njima povezani. Osiguranje doma kućanstva stoga se prvenstveno odnosi na osiguranje od provale, požara, popla</w:t>
      </w:r>
      <w:r w:rsidR="0010193C" w:rsidRPr="0010193C">
        <w:rPr>
          <w:rFonts w:asciiTheme="minorHAnsi" w:eastAsiaTheme="minorHAnsi" w:hAnsiTheme="minorHAnsi" w:cstheme="minorBidi"/>
          <w:lang w:eastAsia="en-US"/>
        </w:rPr>
        <w:t xml:space="preserve">ve, oluje, puknuća cijevi i </w:t>
      </w:r>
      <w:r w:rsidRPr="0010193C">
        <w:rPr>
          <w:rFonts w:asciiTheme="minorHAnsi" w:eastAsiaTheme="minorHAnsi" w:hAnsiTheme="minorHAnsi" w:cstheme="minorBidi"/>
          <w:lang w:eastAsia="en-US"/>
        </w:rPr>
        <w:t>drugih rizika</w:t>
      </w:r>
      <w:r w:rsidR="0010193C" w:rsidRPr="0010193C">
        <w:rPr>
          <w:rFonts w:asciiTheme="minorHAnsi" w:eastAsiaTheme="minorHAnsi" w:hAnsiTheme="minorHAnsi" w:cstheme="minorBidi"/>
          <w:lang w:eastAsia="en-US"/>
        </w:rPr>
        <w:t>. Međutim, što je točno pokriveno osiguranjem ovisi o vrsti osiguranja koje se ugovara</w:t>
      </w:r>
      <w:r w:rsidR="001F368D">
        <w:rPr>
          <w:rFonts w:asciiTheme="minorHAnsi" w:eastAsiaTheme="minorHAnsi" w:hAnsiTheme="minorHAnsi" w:cstheme="minorBidi"/>
          <w:lang w:eastAsia="en-US"/>
        </w:rPr>
        <w:t xml:space="preserve"> i uvjetima pojedinačnog društva za osiguranje</w:t>
      </w:r>
      <w:r w:rsidR="008054DC">
        <w:rPr>
          <w:rFonts w:asciiTheme="minorHAnsi" w:eastAsiaTheme="minorHAnsi" w:hAnsiTheme="minorHAnsi" w:cstheme="minorBidi"/>
          <w:lang w:eastAsia="en-US"/>
        </w:rPr>
        <w:t>, a spomenute uvjete treba dobro proučiti</w:t>
      </w:r>
      <w:r w:rsidR="0010193C" w:rsidRPr="0010193C">
        <w:rPr>
          <w:rFonts w:asciiTheme="minorHAnsi" w:eastAsiaTheme="minorHAnsi" w:hAnsiTheme="minorHAnsi" w:cstheme="minorBidi"/>
          <w:lang w:eastAsia="en-US"/>
        </w:rPr>
        <w:t xml:space="preserve">. </w:t>
      </w:r>
    </w:p>
    <w:p w:rsidR="001F368D" w:rsidRDefault="0010193C" w:rsidP="0011560C">
      <w:pPr>
        <w:pStyle w:val="StandardWeb"/>
        <w:spacing w:before="0" w:beforeAutospacing="0" w:after="200" w:afterAutospacing="0" w:line="276" w:lineRule="auto"/>
        <w:jc w:val="both"/>
        <w:rPr>
          <w:rFonts w:asciiTheme="minorHAnsi" w:eastAsiaTheme="minorHAnsi" w:hAnsiTheme="minorHAnsi" w:cstheme="minorBidi"/>
          <w:lang w:eastAsia="en-US"/>
        </w:rPr>
      </w:pPr>
      <w:r w:rsidRPr="001F368D">
        <w:rPr>
          <w:rFonts w:asciiTheme="minorHAnsi" w:eastAsiaTheme="minorHAnsi" w:hAnsiTheme="minorHAnsi" w:cstheme="minorBidi"/>
          <w:color w:val="C00000"/>
          <w:lang w:eastAsia="en-US"/>
        </w:rPr>
        <w:t xml:space="preserve">U slučaju osiguranja doma </w:t>
      </w:r>
      <w:r w:rsidRPr="0010193C">
        <w:rPr>
          <w:rFonts w:asciiTheme="minorHAnsi" w:eastAsiaTheme="minorHAnsi" w:hAnsiTheme="minorHAnsi" w:cstheme="minorBidi"/>
          <w:lang w:eastAsia="en-US"/>
        </w:rPr>
        <w:t>tipično su pokriveni sljedeći rizici: požar, oluja, udar groma, tuča, poplava i bujica, izlijevanje vode iz vodovodnih i kanalizacijskih cijevi, troškovi popravka cijevi i traženja mjesta puknuća cijevi, lom stakla na vratima i prozorima, udar vlastitoga motornog vozila, udar nepoznatoga motornog vozila, eksplozija, pad i udar letjelice te manifestacije i demonstracije.</w:t>
      </w:r>
      <w:r w:rsidR="001F368D">
        <w:rPr>
          <w:rFonts w:asciiTheme="minorHAnsi" w:eastAsiaTheme="minorHAnsi" w:hAnsiTheme="minorHAnsi" w:cstheme="minorBidi"/>
          <w:lang w:eastAsia="en-US"/>
        </w:rPr>
        <w:t xml:space="preserve"> </w:t>
      </w:r>
      <w:r w:rsidR="00A855C4">
        <w:rPr>
          <w:rFonts w:asciiTheme="minorHAnsi" w:eastAsiaTheme="minorHAnsi" w:hAnsiTheme="minorHAnsi" w:cstheme="minorBidi"/>
          <w:lang w:eastAsia="en-US"/>
        </w:rPr>
        <w:t xml:space="preserve">Pri tome postoji i mogućnost osiguranja na svih stvari u stanu, uključivo i građevinski dio stana, odnosno osiguranje na novu vrijednost nekretnine </w:t>
      </w:r>
      <w:r w:rsidR="001F368D">
        <w:rPr>
          <w:rFonts w:asciiTheme="minorHAnsi" w:eastAsiaTheme="minorHAnsi" w:hAnsiTheme="minorHAnsi" w:cstheme="minorBidi"/>
          <w:lang w:eastAsia="en-US"/>
        </w:rPr>
        <w:t xml:space="preserve">No, uvjete osiguranja doma kod svakog pojedinačnog društva treba detaljno proučiti. </w:t>
      </w:r>
    </w:p>
    <w:p w:rsidR="00BF5725" w:rsidRPr="00BF5725" w:rsidRDefault="001F368D" w:rsidP="0011560C">
      <w:pPr>
        <w:pStyle w:val="StandardWeb"/>
        <w:spacing w:before="0" w:beforeAutospacing="0" w:after="200" w:afterAutospacing="0" w:line="276" w:lineRule="auto"/>
        <w:jc w:val="both"/>
        <w:rPr>
          <w:rFonts w:ascii="Helvetica" w:hAnsi="Helvetica"/>
          <w:color w:val="333333"/>
          <w:sz w:val="23"/>
          <w:szCs w:val="23"/>
        </w:rPr>
      </w:pPr>
      <w:r>
        <w:rPr>
          <w:rFonts w:asciiTheme="minorHAnsi" w:eastAsiaTheme="minorHAnsi" w:hAnsiTheme="minorHAnsi" w:cstheme="minorBidi"/>
          <w:lang w:eastAsia="en-US"/>
        </w:rPr>
        <w:t>Na primjer kod druge osiguratelj</w:t>
      </w:r>
      <w:r w:rsidR="00706916">
        <w:rPr>
          <w:rFonts w:asciiTheme="minorHAnsi" w:eastAsiaTheme="minorHAnsi" w:hAnsiTheme="minorHAnsi" w:cstheme="minorBidi"/>
          <w:lang w:eastAsia="en-US"/>
        </w:rPr>
        <w:t>n</w:t>
      </w:r>
      <w:r>
        <w:rPr>
          <w:rFonts w:asciiTheme="minorHAnsi" w:eastAsiaTheme="minorHAnsi" w:hAnsiTheme="minorHAnsi" w:cstheme="minorBidi"/>
          <w:lang w:eastAsia="en-US"/>
        </w:rPr>
        <w:t xml:space="preserve">e kuće zasebno se navodi </w:t>
      </w:r>
      <w:r w:rsidRPr="001F368D">
        <w:rPr>
          <w:rFonts w:asciiTheme="minorHAnsi" w:eastAsiaTheme="minorHAnsi" w:hAnsiTheme="minorHAnsi" w:cstheme="minorBidi"/>
          <w:color w:val="C00000"/>
          <w:lang w:eastAsia="en-US"/>
        </w:rPr>
        <w:t xml:space="preserve">osiguranje od požara i drugih opasnosti </w:t>
      </w:r>
      <w:r>
        <w:rPr>
          <w:rFonts w:asciiTheme="minorHAnsi" w:eastAsiaTheme="minorHAnsi" w:hAnsiTheme="minorHAnsi" w:cstheme="minorBidi"/>
          <w:lang w:eastAsia="en-US"/>
        </w:rPr>
        <w:t xml:space="preserve">kojim su pokriveni </w:t>
      </w:r>
      <w:r w:rsidRPr="001F368D">
        <w:rPr>
          <w:rFonts w:asciiTheme="minorHAnsi" w:eastAsiaTheme="minorHAnsi" w:hAnsiTheme="minorHAnsi" w:cstheme="minorBidi"/>
          <w:lang w:eastAsia="en-US"/>
        </w:rPr>
        <w:t xml:space="preserve">osnovni rizici  koji ugrožavaju materijalnu imovinu (požar, udar groma, eksplozija, oluja, tuča, udar vlastitog motornog vozila u osigurani građevinski objekt, pad i udar zračne letjelice te manifestacije i demonstracije), a postoji mogućnost ugovaranja i </w:t>
      </w:r>
      <w:r w:rsidRPr="001F368D">
        <w:rPr>
          <w:rFonts w:asciiTheme="minorHAnsi" w:eastAsiaTheme="minorHAnsi" w:hAnsiTheme="minorHAnsi" w:cstheme="minorBidi"/>
          <w:color w:val="C00000"/>
          <w:lang w:eastAsia="en-US"/>
        </w:rPr>
        <w:t xml:space="preserve">dopunskih osiguranja </w:t>
      </w:r>
      <w:r w:rsidRPr="001F368D">
        <w:rPr>
          <w:rFonts w:asciiTheme="minorHAnsi" w:eastAsiaTheme="minorHAnsi" w:hAnsiTheme="minorHAnsi" w:cstheme="minorBidi"/>
          <w:lang w:eastAsia="en-US"/>
        </w:rPr>
        <w:t xml:space="preserve">od tzv. dopunskih opasnosti kao što su: izlijevanje vode iz vodovodnih i kanalizacijskih cijevi, poplava i bujica, klizanja tla, snježna lavina i drugo. Dodatno, moguće </w:t>
      </w:r>
      <w:r w:rsidRPr="001F368D">
        <w:rPr>
          <w:rFonts w:asciiTheme="minorHAnsi" w:eastAsiaTheme="minorHAnsi" w:hAnsiTheme="minorHAnsi" w:cstheme="minorBidi"/>
          <w:lang w:eastAsia="en-US"/>
        </w:rPr>
        <w:lastRenderedPageBreak/>
        <w:t xml:space="preserve">je ugovoriti i </w:t>
      </w:r>
      <w:r w:rsidRPr="001F368D">
        <w:rPr>
          <w:rFonts w:asciiTheme="minorHAnsi" w:eastAsiaTheme="minorHAnsi" w:hAnsiTheme="minorHAnsi" w:cstheme="minorBidi"/>
          <w:color w:val="C00000"/>
          <w:lang w:eastAsia="en-US"/>
        </w:rPr>
        <w:t>osiguranje od potres</w:t>
      </w:r>
      <w:r>
        <w:rPr>
          <w:rFonts w:asciiTheme="minorHAnsi" w:eastAsiaTheme="minorHAnsi" w:hAnsiTheme="minorHAnsi" w:cstheme="minorBidi"/>
          <w:color w:val="C00000"/>
          <w:lang w:eastAsia="en-US"/>
        </w:rPr>
        <w:t>a</w:t>
      </w:r>
      <w:r w:rsidRPr="001F368D">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 xml:space="preserve">pri čemu </w:t>
      </w:r>
      <w:r w:rsidRPr="001F368D">
        <w:rPr>
          <w:rFonts w:asciiTheme="minorHAnsi" w:eastAsiaTheme="minorHAnsi" w:hAnsiTheme="minorHAnsi" w:cstheme="minorBidi"/>
          <w:lang w:eastAsia="en-US"/>
        </w:rPr>
        <w:t xml:space="preserve">visina premije osiguranja od potresa ovisi o starosti objekta, svrsi objekta te geografskoj poziciji gdje se objekt (stambeni, industrijski ili komercijalni) nalazi. Naime, s obzirom na izloženost potresu </w:t>
      </w:r>
      <w:r>
        <w:rPr>
          <w:rFonts w:asciiTheme="minorHAnsi" w:eastAsiaTheme="minorHAnsi" w:hAnsiTheme="minorHAnsi" w:cstheme="minorBidi"/>
          <w:lang w:eastAsia="en-US"/>
        </w:rPr>
        <w:t xml:space="preserve">vjerojatnost potresa se razlikuje od regije do regije. Najveća je u </w:t>
      </w:r>
      <w:r w:rsidRPr="001F368D">
        <w:rPr>
          <w:rFonts w:asciiTheme="minorHAnsi" w:eastAsiaTheme="minorHAnsi" w:hAnsiTheme="minorHAnsi" w:cstheme="minorBidi"/>
          <w:lang w:eastAsia="en-US"/>
        </w:rPr>
        <w:t>područje južn</w:t>
      </w:r>
      <w:r>
        <w:rPr>
          <w:rFonts w:asciiTheme="minorHAnsi" w:eastAsiaTheme="minorHAnsi" w:hAnsiTheme="minorHAnsi" w:cstheme="minorBidi"/>
          <w:lang w:eastAsia="en-US"/>
        </w:rPr>
        <w:t>e</w:t>
      </w:r>
      <w:r w:rsidRPr="001F368D">
        <w:rPr>
          <w:rFonts w:asciiTheme="minorHAnsi" w:eastAsiaTheme="minorHAnsi" w:hAnsiTheme="minorHAnsi" w:cstheme="minorBidi"/>
          <w:lang w:eastAsia="en-US"/>
        </w:rPr>
        <w:t xml:space="preserve"> Dalmacij</w:t>
      </w:r>
      <w:r>
        <w:rPr>
          <w:rFonts w:asciiTheme="minorHAnsi" w:eastAsiaTheme="minorHAnsi" w:hAnsiTheme="minorHAnsi" w:cstheme="minorBidi"/>
          <w:lang w:eastAsia="en-US"/>
        </w:rPr>
        <w:t>e</w:t>
      </w:r>
      <w:r w:rsidRPr="001F368D">
        <w:rPr>
          <w:rFonts w:asciiTheme="minorHAnsi" w:eastAsiaTheme="minorHAnsi" w:hAnsiTheme="minorHAnsi" w:cstheme="minorBidi"/>
          <w:lang w:eastAsia="en-US"/>
        </w:rPr>
        <w:t>, potom šire</w:t>
      </w:r>
      <w:r w:rsidR="00A855C4">
        <w:rPr>
          <w:rFonts w:asciiTheme="minorHAnsi" w:eastAsiaTheme="minorHAnsi" w:hAnsiTheme="minorHAnsi" w:cstheme="minorBidi"/>
          <w:lang w:eastAsia="en-US"/>
        </w:rPr>
        <w:t>g</w:t>
      </w:r>
      <w:r w:rsidRPr="001F368D">
        <w:rPr>
          <w:rFonts w:asciiTheme="minorHAnsi" w:eastAsiaTheme="minorHAnsi" w:hAnsiTheme="minorHAnsi" w:cstheme="minorBidi"/>
          <w:lang w:eastAsia="en-US"/>
        </w:rPr>
        <w:t xml:space="preserve"> zagrebačko</w:t>
      </w:r>
      <w:r w:rsidR="00A855C4">
        <w:rPr>
          <w:rFonts w:asciiTheme="minorHAnsi" w:eastAsiaTheme="minorHAnsi" w:hAnsiTheme="minorHAnsi" w:cstheme="minorBidi"/>
          <w:lang w:eastAsia="en-US"/>
        </w:rPr>
        <w:t>g</w:t>
      </w:r>
      <w:r w:rsidRPr="001F368D">
        <w:rPr>
          <w:rFonts w:asciiTheme="minorHAnsi" w:eastAsiaTheme="minorHAnsi" w:hAnsiTheme="minorHAnsi" w:cstheme="minorBidi"/>
          <w:lang w:eastAsia="en-US"/>
        </w:rPr>
        <w:t xml:space="preserve"> područj</w:t>
      </w:r>
      <w:r w:rsidR="00A855C4">
        <w:rPr>
          <w:rFonts w:asciiTheme="minorHAnsi" w:eastAsiaTheme="minorHAnsi" w:hAnsiTheme="minorHAnsi" w:cstheme="minorBidi"/>
          <w:lang w:eastAsia="en-US"/>
        </w:rPr>
        <w:t>a</w:t>
      </w:r>
      <w:r w:rsidRPr="001F368D">
        <w:rPr>
          <w:rFonts w:asciiTheme="minorHAnsi" w:eastAsiaTheme="minorHAnsi" w:hAnsiTheme="minorHAnsi" w:cstheme="minorBidi"/>
          <w:lang w:eastAsia="en-US"/>
        </w:rPr>
        <w:t xml:space="preserve"> te potom područje oko Rijeke, a postoji i nekoliko aktivnijih lokacija u Slavoniji.</w:t>
      </w:r>
      <w:r w:rsidR="00A855C4">
        <w:rPr>
          <w:rFonts w:asciiTheme="minorHAnsi" w:eastAsiaTheme="minorHAnsi" w:hAnsiTheme="minorHAnsi" w:cstheme="minorBidi"/>
          <w:lang w:eastAsia="en-US"/>
        </w:rPr>
        <w:t xml:space="preserve"> </w:t>
      </w:r>
      <w:r w:rsidR="00BF5725">
        <w:rPr>
          <w:rFonts w:asciiTheme="minorHAnsi" w:eastAsiaTheme="minorHAnsi" w:hAnsiTheme="minorHAnsi" w:cstheme="minorBidi"/>
          <w:lang w:eastAsia="en-US"/>
        </w:rPr>
        <w:t xml:space="preserve">S obzirom da se radi o </w:t>
      </w:r>
      <w:r w:rsidR="00BF5725" w:rsidRPr="00BF5725">
        <w:rPr>
          <w:rFonts w:asciiTheme="minorHAnsi" w:eastAsiaTheme="minorHAnsi" w:hAnsiTheme="minorHAnsi" w:cstheme="minorBidi"/>
          <w:color w:val="C00000"/>
          <w:lang w:eastAsia="en-US"/>
        </w:rPr>
        <w:t>dodatnom osiguranju</w:t>
      </w:r>
      <w:r w:rsidR="00BF5725">
        <w:rPr>
          <w:rFonts w:asciiTheme="minorHAnsi" w:eastAsiaTheme="minorHAnsi" w:hAnsiTheme="minorHAnsi" w:cstheme="minorBidi"/>
          <w:lang w:eastAsia="en-US"/>
        </w:rPr>
        <w:t xml:space="preserve">, ugovaranje </w:t>
      </w:r>
      <w:r w:rsidR="00BF5725" w:rsidRPr="00BF5725">
        <w:rPr>
          <w:rFonts w:asciiTheme="minorHAnsi" w:eastAsiaTheme="minorHAnsi" w:hAnsiTheme="minorHAnsi" w:cstheme="minorBidi"/>
          <w:lang w:eastAsia="en-US"/>
        </w:rPr>
        <w:t xml:space="preserve">osiguranja od potresa obično je moguće pod uvjetom da je kod istog društva za osiguranje ugovoreno </w:t>
      </w:r>
      <w:r w:rsidR="00BF5725">
        <w:rPr>
          <w:rFonts w:asciiTheme="minorHAnsi" w:eastAsiaTheme="minorHAnsi" w:hAnsiTheme="minorHAnsi" w:cstheme="minorBidi"/>
          <w:lang w:eastAsia="en-US"/>
        </w:rPr>
        <w:t xml:space="preserve">ili će se ugovoriti </w:t>
      </w:r>
      <w:r w:rsidR="00BF5725" w:rsidRPr="00BF5725">
        <w:rPr>
          <w:rFonts w:asciiTheme="minorHAnsi" w:eastAsiaTheme="minorHAnsi" w:hAnsiTheme="minorHAnsi" w:cstheme="minorBidi"/>
          <w:lang w:eastAsia="en-US"/>
        </w:rPr>
        <w:t>osiguranje od požara i nekih drugih opasnosti ili  osiguranje stambenih zgrada ili osiguranje kućanstva.</w:t>
      </w:r>
    </w:p>
    <w:p w:rsidR="00435583" w:rsidRDefault="001F368D" w:rsidP="0011560C">
      <w:pPr>
        <w:jc w:val="both"/>
        <w:rPr>
          <w:sz w:val="24"/>
          <w:szCs w:val="24"/>
        </w:rPr>
      </w:pPr>
      <w:r w:rsidRPr="00A855C4">
        <w:rPr>
          <w:sz w:val="24"/>
          <w:szCs w:val="24"/>
        </w:rPr>
        <w:t xml:space="preserve">U slučaju </w:t>
      </w:r>
      <w:r w:rsidR="00A855C4" w:rsidRPr="00A855C4">
        <w:rPr>
          <w:color w:val="C00000"/>
          <w:sz w:val="24"/>
          <w:szCs w:val="24"/>
        </w:rPr>
        <w:t xml:space="preserve">osiguranja stvari kućanstva </w:t>
      </w:r>
      <w:r w:rsidR="00A855C4" w:rsidRPr="00A855C4">
        <w:rPr>
          <w:sz w:val="24"/>
          <w:szCs w:val="24"/>
        </w:rPr>
        <w:t xml:space="preserve">osigurane su stvari </w:t>
      </w:r>
      <w:r w:rsidRPr="00A855C4">
        <w:rPr>
          <w:sz w:val="24"/>
          <w:szCs w:val="24"/>
        </w:rPr>
        <w:t xml:space="preserve">koje služe za uređenje stana te za osobnu upotrebu i potrošnju (namještaj, kućanski aparati i uređaji, odjeća, gotov novac, dragocjenosti i drugo) koje se mogu istovremeno zaštiti od većeg broja opasnosti  (požar i udar groma, eksplozija, oluja tuča, pad letjelice, manifestacije i demonstracije, poplave i bujice, klizanje tla i odronjavanje zemljišta, snježne lavine, izlijevanja vode iz vodovodnih i kanalizacijskih cijevi,  provalne krađe,  razbojstva, obične krađe, odgovornosti). </w:t>
      </w:r>
      <w:r w:rsidR="00A855C4">
        <w:rPr>
          <w:sz w:val="24"/>
          <w:szCs w:val="24"/>
        </w:rPr>
        <w:t xml:space="preserve">Moguća su i dodatna </w:t>
      </w:r>
      <w:r w:rsidR="00A855C4" w:rsidRPr="00A855C4">
        <w:rPr>
          <w:sz w:val="24"/>
          <w:szCs w:val="24"/>
        </w:rPr>
        <w:t>osiguranja</w:t>
      </w:r>
      <w:r w:rsidR="00A855C4">
        <w:rPr>
          <w:sz w:val="24"/>
          <w:szCs w:val="24"/>
        </w:rPr>
        <w:t xml:space="preserve">, npr. </w:t>
      </w:r>
      <w:r w:rsidR="00A855C4" w:rsidRPr="00A855C4">
        <w:rPr>
          <w:sz w:val="24"/>
          <w:szCs w:val="24"/>
        </w:rPr>
        <w:t>osiguranje stakla, poda, obloga, kućanskih uređaja od šteta nastalih dje</w:t>
      </w:r>
      <w:r w:rsidR="00A855C4">
        <w:rPr>
          <w:sz w:val="24"/>
          <w:szCs w:val="24"/>
        </w:rPr>
        <w:t>lovanjem električne energije i drugo</w:t>
      </w:r>
      <w:r w:rsidR="00A855C4" w:rsidRPr="00A855C4">
        <w:rPr>
          <w:sz w:val="24"/>
          <w:szCs w:val="24"/>
        </w:rPr>
        <w:t xml:space="preserve">. </w:t>
      </w:r>
    </w:p>
    <w:p w:rsidR="00435583" w:rsidRPr="00BF5725" w:rsidRDefault="00435583" w:rsidP="0011560C">
      <w:pPr>
        <w:jc w:val="both"/>
        <w:rPr>
          <w:sz w:val="24"/>
          <w:szCs w:val="24"/>
        </w:rPr>
      </w:pPr>
      <w:r w:rsidRPr="00435583">
        <w:rPr>
          <w:sz w:val="24"/>
          <w:szCs w:val="24"/>
        </w:rPr>
        <w:t xml:space="preserve">Nadalje, moguće je ugovoriti </w:t>
      </w:r>
      <w:r w:rsidRPr="00BF5725">
        <w:rPr>
          <w:color w:val="C00000"/>
          <w:sz w:val="24"/>
          <w:szCs w:val="24"/>
        </w:rPr>
        <w:t xml:space="preserve">osiguranje od rizika provalne krađe i razbojstva </w:t>
      </w:r>
      <w:r w:rsidRPr="00435583">
        <w:rPr>
          <w:sz w:val="24"/>
          <w:szCs w:val="24"/>
        </w:rPr>
        <w:t xml:space="preserve">koje se može zaključiti na svotu osiguranja (ukupnu vrijednost stvari) ili na prvi rizik (dio od ukupne vrijednosti). Takvim osiguranjem mogu se obuhvatiti pokretne stvari u prostorijama (npr. namještaj i uređaji), novac, dragocjenosti u stanu ili poslovnom prostoru, kao i novac i druge vrijednosti za vrijeme prijevoza i prijenosa. </w:t>
      </w:r>
      <w:r w:rsidRPr="00BF5725">
        <w:rPr>
          <w:sz w:val="24"/>
          <w:szCs w:val="24"/>
        </w:rPr>
        <w:t xml:space="preserve">Moguće je i ugovaranje osiguranja za potrebe hitnih intervencija </w:t>
      </w:r>
      <w:r w:rsidR="00BF5725" w:rsidRPr="00BF5725">
        <w:rPr>
          <w:sz w:val="24"/>
          <w:szCs w:val="24"/>
        </w:rPr>
        <w:t>u stanu, uključujući p</w:t>
      </w:r>
      <w:r w:rsidRPr="00BF5725">
        <w:rPr>
          <w:sz w:val="24"/>
          <w:szCs w:val="24"/>
        </w:rPr>
        <w:t>opravak vodovodnih i kanalizacijskih cijevi</w:t>
      </w:r>
      <w:r w:rsidR="00BF5725" w:rsidRPr="00BF5725">
        <w:rPr>
          <w:sz w:val="24"/>
          <w:szCs w:val="24"/>
        </w:rPr>
        <w:t xml:space="preserve">, </w:t>
      </w:r>
      <w:r w:rsidRPr="00BF5725">
        <w:rPr>
          <w:sz w:val="24"/>
          <w:szCs w:val="24"/>
        </w:rPr>
        <w:t>električnih instalacija</w:t>
      </w:r>
      <w:r w:rsidR="00BF5725" w:rsidRPr="00BF5725">
        <w:rPr>
          <w:sz w:val="24"/>
          <w:szCs w:val="24"/>
        </w:rPr>
        <w:t>, p</w:t>
      </w:r>
      <w:r w:rsidRPr="00BF5725">
        <w:rPr>
          <w:sz w:val="24"/>
          <w:szCs w:val="24"/>
        </w:rPr>
        <w:t>opravak brave ili omogućavanje otvaranja vrata</w:t>
      </w:r>
      <w:r w:rsidR="00BF5725" w:rsidRPr="00BF5725">
        <w:rPr>
          <w:sz w:val="24"/>
          <w:szCs w:val="24"/>
        </w:rPr>
        <w:t>, p</w:t>
      </w:r>
      <w:r w:rsidRPr="00BF5725">
        <w:rPr>
          <w:sz w:val="24"/>
          <w:szCs w:val="24"/>
        </w:rPr>
        <w:t>opravak stakala</w:t>
      </w:r>
      <w:r w:rsidR="00BF5725" w:rsidRPr="00BF5725">
        <w:rPr>
          <w:sz w:val="24"/>
          <w:szCs w:val="24"/>
        </w:rPr>
        <w:t>, s</w:t>
      </w:r>
      <w:r w:rsidRPr="00BF5725">
        <w:rPr>
          <w:sz w:val="24"/>
          <w:szCs w:val="24"/>
        </w:rPr>
        <w:t>tolarski radovi</w:t>
      </w:r>
      <w:r w:rsidR="00BF5725" w:rsidRPr="00BF5725">
        <w:rPr>
          <w:sz w:val="24"/>
          <w:szCs w:val="24"/>
        </w:rPr>
        <w:t>, n</w:t>
      </w:r>
      <w:r w:rsidRPr="00BF5725">
        <w:rPr>
          <w:sz w:val="24"/>
          <w:szCs w:val="24"/>
        </w:rPr>
        <w:t>užne usluge zidara</w:t>
      </w:r>
      <w:r w:rsidR="00BF5725" w:rsidRPr="00BF5725">
        <w:rPr>
          <w:sz w:val="24"/>
          <w:szCs w:val="24"/>
        </w:rPr>
        <w:t xml:space="preserve"> itd. pa sve do osiguranja eventualnog smještaja u hotelu te troškova rada i dolaska izvođača. </w:t>
      </w:r>
    </w:p>
    <w:p w:rsidR="007D21C3" w:rsidRDefault="00A855C4" w:rsidP="007D21C3">
      <w:pPr>
        <w:pStyle w:val="StandardWeb"/>
        <w:spacing w:before="0" w:beforeAutospacing="0" w:after="20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Kako se broj rizika koje pokriva osiguratelj povećava, veća je i premija osiguranja</w:t>
      </w:r>
      <w:r w:rsidR="00435583">
        <w:rPr>
          <w:rFonts w:asciiTheme="minorHAnsi" w:eastAsiaTheme="minorHAnsi" w:hAnsiTheme="minorHAnsi" w:cstheme="minorBidi"/>
          <w:lang w:eastAsia="en-US"/>
        </w:rPr>
        <w:t xml:space="preserve"> vezana uz pojedinačnu policu, odnosno nekoliko različitih polica. Visina </w:t>
      </w:r>
      <w:r>
        <w:rPr>
          <w:rFonts w:asciiTheme="minorHAnsi" w:eastAsiaTheme="minorHAnsi" w:hAnsiTheme="minorHAnsi" w:cstheme="minorBidi"/>
          <w:lang w:eastAsia="en-US"/>
        </w:rPr>
        <w:t xml:space="preserve">premije </w:t>
      </w:r>
      <w:r w:rsidR="00435583">
        <w:rPr>
          <w:rFonts w:asciiTheme="minorHAnsi" w:eastAsiaTheme="minorHAnsi" w:hAnsiTheme="minorHAnsi" w:cstheme="minorBidi"/>
          <w:lang w:eastAsia="en-US"/>
        </w:rPr>
        <w:t xml:space="preserve">osiguranja pri tome </w:t>
      </w:r>
      <w:r>
        <w:rPr>
          <w:rFonts w:asciiTheme="minorHAnsi" w:eastAsiaTheme="minorHAnsi" w:hAnsiTheme="minorHAnsi" w:cstheme="minorBidi"/>
          <w:lang w:eastAsia="en-US"/>
        </w:rPr>
        <w:t xml:space="preserve">ovisi o </w:t>
      </w:r>
      <w:r w:rsidRPr="00435583">
        <w:rPr>
          <w:rFonts w:asciiTheme="minorHAnsi" w:eastAsiaTheme="minorHAnsi" w:hAnsiTheme="minorHAnsi" w:cstheme="minorBidi"/>
          <w:lang w:eastAsia="en-US"/>
        </w:rPr>
        <w:t>kategoriji i veličini stana, opsegu pokrića te trajanju osiguranja. O</w:t>
      </w:r>
      <w:r>
        <w:rPr>
          <w:rFonts w:asciiTheme="minorHAnsi" w:eastAsiaTheme="minorHAnsi" w:hAnsiTheme="minorHAnsi" w:cstheme="minorBidi"/>
          <w:lang w:eastAsia="en-US"/>
        </w:rPr>
        <w:t xml:space="preserve">soba koja ugovara osiguranje treba voditi računa da isti rizik ne pokrije s više </w:t>
      </w:r>
      <w:r w:rsidR="00435583">
        <w:rPr>
          <w:rFonts w:asciiTheme="minorHAnsi" w:eastAsiaTheme="minorHAnsi" w:hAnsiTheme="minorHAnsi" w:cstheme="minorBidi"/>
          <w:lang w:eastAsia="en-US"/>
        </w:rPr>
        <w:t xml:space="preserve">proizvoda i polica osiguranja </w:t>
      </w:r>
      <w:r>
        <w:rPr>
          <w:rFonts w:asciiTheme="minorHAnsi" w:eastAsiaTheme="minorHAnsi" w:hAnsiTheme="minorHAnsi" w:cstheme="minorBidi"/>
          <w:lang w:eastAsia="en-US"/>
        </w:rPr>
        <w:t xml:space="preserve">jer će tako stvoriti troškove </w:t>
      </w:r>
      <w:r w:rsidR="00435583">
        <w:rPr>
          <w:rFonts w:asciiTheme="minorHAnsi" w:eastAsiaTheme="minorHAnsi" w:hAnsiTheme="minorHAnsi" w:cstheme="minorBidi"/>
          <w:lang w:eastAsia="en-US"/>
        </w:rPr>
        <w:t xml:space="preserve">kućanstva veće </w:t>
      </w:r>
      <w:r>
        <w:rPr>
          <w:rFonts w:asciiTheme="minorHAnsi" w:eastAsiaTheme="minorHAnsi" w:hAnsiTheme="minorHAnsi" w:cstheme="minorBidi"/>
          <w:lang w:eastAsia="en-US"/>
        </w:rPr>
        <w:t xml:space="preserve">nego što su potrebni. </w:t>
      </w:r>
      <w:r w:rsidR="00435583">
        <w:rPr>
          <w:rFonts w:asciiTheme="minorHAnsi" w:eastAsiaTheme="minorHAnsi" w:hAnsiTheme="minorHAnsi" w:cstheme="minorBidi"/>
          <w:lang w:eastAsia="en-US"/>
        </w:rPr>
        <w:t xml:space="preserve">Jedan od načina da se izbjegne </w:t>
      </w:r>
      <w:r w:rsidR="00435583" w:rsidRPr="00435583">
        <w:rPr>
          <w:rFonts w:asciiTheme="minorHAnsi" w:eastAsiaTheme="minorHAnsi" w:hAnsiTheme="minorHAnsi" w:cstheme="minorBidi"/>
          <w:lang w:eastAsia="en-US"/>
        </w:rPr>
        <w:t xml:space="preserve">višestruko ugovaranje različitih polica je ugovaranje police </w:t>
      </w:r>
      <w:r w:rsidR="00435583" w:rsidRPr="00BF5725">
        <w:rPr>
          <w:rFonts w:asciiTheme="minorHAnsi" w:eastAsiaTheme="minorHAnsi" w:hAnsiTheme="minorHAnsi" w:cstheme="minorBidi"/>
          <w:color w:val="C00000"/>
          <w:lang w:eastAsia="en-US"/>
        </w:rPr>
        <w:t>obiteljskog paketa osiguranja</w:t>
      </w:r>
      <w:r w:rsidR="00435583" w:rsidRPr="00435583">
        <w:rPr>
          <w:rFonts w:asciiTheme="minorHAnsi" w:eastAsiaTheme="minorHAnsi" w:hAnsiTheme="minorHAnsi" w:cstheme="minorBidi"/>
          <w:lang w:eastAsia="en-US"/>
        </w:rPr>
        <w:t xml:space="preserve">, koja osim osiguranja imovine, može obuhvatiti i osiguranje svih članova obitelji. </w:t>
      </w:r>
      <w:r w:rsidR="00B90CC0">
        <w:rPr>
          <w:rFonts w:asciiTheme="minorHAnsi" w:eastAsiaTheme="minorHAnsi" w:hAnsiTheme="minorHAnsi" w:cstheme="minorBidi"/>
          <w:lang w:eastAsia="en-US"/>
        </w:rPr>
        <w:t xml:space="preserve">Također treba voditi računa o roku trajanja osiguranja koje se ugovara; i to s jedne strane iz razloga kako se ne bi dogodilo da nije ugovoreno novo osiguranje te isto tako kako bi se izbjeglo plaćanje zateznih kamata ili eventualno pokretanje ovršnog postupka u slučaju da nisu plaćene premije za ugovoreno buduće razdoblje. </w:t>
      </w:r>
    </w:p>
    <w:p w:rsidR="00E37E96" w:rsidRDefault="00BF5725" w:rsidP="007D21C3">
      <w:pPr>
        <w:pStyle w:val="StandardWeb"/>
        <w:spacing w:before="0" w:beforeAutospacing="0" w:after="200" w:afterAutospacing="0" w:line="276" w:lineRule="auto"/>
        <w:jc w:val="both"/>
        <w:rPr>
          <w:rFonts w:asciiTheme="minorHAnsi" w:eastAsiaTheme="minorHAnsi" w:hAnsiTheme="minorHAnsi" w:cstheme="minorBidi"/>
          <w:bCs/>
        </w:rPr>
      </w:pPr>
      <w:r w:rsidRPr="007D21C3">
        <w:rPr>
          <w:rFonts w:asciiTheme="minorHAnsi" w:eastAsiaTheme="minorHAnsi" w:hAnsiTheme="minorHAnsi" w:cstheme="minorBidi"/>
          <w:bCs/>
        </w:rPr>
        <w:t xml:space="preserve">Posebnu vrstu osiguranja predstavlja kasko osiguranje. </w:t>
      </w:r>
      <w:r w:rsidR="0011560C" w:rsidRPr="007D21C3">
        <w:rPr>
          <w:rFonts w:asciiTheme="minorHAnsi" w:eastAsiaTheme="minorHAnsi" w:hAnsiTheme="minorHAnsi" w:cstheme="minorBidi"/>
          <w:bCs/>
          <w:color w:val="C00000"/>
        </w:rPr>
        <w:t xml:space="preserve">Kasko osiguranje </w:t>
      </w:r>
      <w:r w:rsidR="0011560C" w:rsidRPr="007D21C3">
        <w:rPr>
          <w:rFonts w:asciiTheme="minorHAnsi" w:eastAsiaTheme="minorHAnsi" w:hAnsiTheme="minorHAnsi" w:cstheme="minorBidi"/>
          <w:bCs/>
        </w:rPr>
        <w:t xml:space="preserve">je vrsta dobrovoljnog osiguranja prijevoznih sredstava (broda, automobila ili aviona). Ono pokriva </w:t>
      </w:r>
      <w:r w:rsidR="00DC2C6C" w:rsidRPr="007D21C3">
        <w:rPr>
          <w:rFonts w:asciiTheme="minorHAnsi" w:eastAsiaTheme="minorHAnsi" w:hAnsiTheme="minorHAnsi" w:cstheme="minorBidi"/>
          <w:bCs/>
        </w:rPr>
        <w:t xml:space="preserve">rizike materijalnih </w:t>
      </w:r>
      <w:r w:rsidR="0011560C" w:rsidRPr="007D21C3">
        <w:rPr>
          <w:rFonts w:asciiTheme="minorHAnsi" w:eastAsiaTheme="minorHAnsi" w:hAnsiTheme="minorHAnsi" w:cstheme="minorBidi"/>
          <w:bCs/>
        </w:rPr>
        <w:t>štet</w:t>
      </w:r>
      <w:r w:rsidR="00DC2C6C" w:rsidRPr="007D21C3">
        <w:rPr>
          <w:rFonts w:asciiTheme="minorHAnsi" w:eastAsiaTheme="minorHAnsi" w:hAnsiTheme="minorHAnsi" w:cstheme="minorBidi"/>
          <w:bCs/>
        </w:rPr>
        <w:t xml:space="preserve">a u slučaju uništenja ili oštećenja vozila </w:t>
      </w:r>
      <w:r w:rsidR="0011560C" w:rsidRPr="007D21C3">
        <w:rPr>
          <w:rFonts w:asciiTheme="minorHAnsi" w:eastAsiaTheme="minorHAnsi" w:hAnsiTheme="minorHAnsi" w:cstheme="minorBidi"/>
          <w:bCs/>
        </w:rPr>
        <w:t xml:space="preserve"> kada je vozač automobila </w:t>
      </w:r>
      <w:r w:rsidR="0011560C" w:rsidRPr="007D21C3">
        <w:rPr>
          <w:rFonts w:asciiTheme="minorHAnsi" w:eastAsiaTheme="minorHAnsi" w:hAnsiTheme="minorHAnsi" w:cstheme="minorBidi"/>
          <w:bCs/>
        </w:rPr>
        <w:lastRenderedPageBreak/>
        <w:t xml:space="preserve">osobno skrivio nezgodu </w:t>
      </w:r>
      <w:r w:rsidR="00DC2C6C" w:rsidRPr="007D21C3">
        <w:rPr>
          <w:rFonts w:asciiTheme="minorHAnsi" w:eastAsiaTheme="minorHAnsi" w:hAnsiTheme="minorHAnsi" w:cstheme="minorBidi"/>
          <w:bCs/>
        </w:rPr>
        <w:t>(ili je za nju suodgovoran</w:t>
      </w:r>
      <w:r w:rsidR="0011560C" w:rsidRPr="007D21C3">
        <w:rPr>
          <w:rFonts w:asciiTheme="minorHAnsi" w:eastAsiaTheme="minorHAnsi" w:hAnsiTheme="minorHAnsi" w:cstheme="minorBidi"/>
          <w:bCs/>
        </w:rPr>
        <w:t xml:space="preserve">) ili kada je vozilo uništeno ili oštećeno bez njegova znanja. U slučaju </w:t>
      </w:r>
      <w:r w:rsidR="0011560C" w:rsidRPr="007D21C3">
        <w:rPr>
          <w:rFonts w:asciiTheme="minorHAnsi" w:eastAsiaTheme="minorHAnsi" w:hAnsiTheme="minorHAnsi" w:cstheme="minorBidi"/>
          <w:bCs/>
          <w:color w:val="C00000"/>
        </w:rPr>
        <w:t xml:space="preserve">potpunog pokrića </w:t>
      </w:r>
      <w:r w:rsidR="007D21C3">
        <w:rPr>
          <w:rFonts w:asciiTheme="minorHAnsi" w:eastAsiaTheme="minorHAnsi" w:hAnsiTheme="minorHAnsi" w:cstheme="minorBidi"/>
          <w:bCs/>
        </w:rPr>
        <w:t xml:space="preserve">uobičajeno </w:t>
      </w:r>
      <w:r w:rsidR="0011560C" w:rsidRPr="007D21C3">
        <w:rPr>
          <w:rFonts w:asciiTheme="minorHAnsi" w:eastAsiaTheme="minorHAnsi" w:hAnsiTheme="minorHAnsi" w:cstheme="minorBidi"/>
          <w:bCs/>
        </w:rPr>
        <w:t>pokriva rizike sudara, u</w:t>
      </w:r>
      <w:r w:rsidR="00DC2C6C" w:rsidRPr="007D21C3">
        <w:rPr>
          <w:rFonts w:asciiTheme="minorHAnsi" w:eastAsiaTheme="minorHAnsi" w:hAnsiTheme="minorHAnsi" w:cstheme="minorBidi"/>
          <w:bCs/>
        </w:rPr>
        <w:t>dara ili prevrnuća vozila, krađe</w:t>
      </w:r>
      <w:r w:rsidR="0011560C" w:rsidRPr="007D21C3">
        <w:rPr>
          <w:rFonts w:asciiTheme="minorHAnsi" w:eastAsiaTheme="minorHAnsi" w:hAnsiTheme="minorHAnsi" w:cstheme="minorBidi"/>
          <w:bCs/>
        </w:rPr>
        <w:t>, udar</w:t>
      </w:r>
      <w:r w:rsidR="00DC2C6C" w:rsidRPr="007D21C3">
        <w:rPr>
          <w:rFonts w:asciiTheme="minorHAnsi" w:eastAsiaTheme="minorHAnsi" w:hAnsiTheme="minorHAnsi" w:cstheme="minorBidi"/>
          <w:bCs/>
        </w:rPr>
        <w:t>a</w:t>
      </w:r>
      <w:r w:rsidR="0011560C" w:rsidRPr="007D21C3">
        <w:rPr>
          <w:rFonts w:asciiTheme="minorHAnsi" w:eastAsiaTheme="minorHAnsi" w:hAnsiTheme="minorHAnsi" w:cstheme="minorBidi"/>
          <w:bCs/>
        </w:rPr>
        <w:t xml:space="preserve"> predmeta, oluju, </w:t>
      </w:r>
      <w:r w:rsidR="00DC2C6C" w:rsidRPr="007D21C3">
        <w:rPr>
          <w:rFonts w:asciiTheme="minorHAnsi" w:eastAsiaTheme="minorHAnsi" w:hAnsiTheme="minorHAnsi" w:cstheme="minorBidi"/>
          <w:bCs/>
        </w:rPr>
        <w:t xml:space="preserve">tuču, udar groma, požar, eksploziju, </w:t>
      </w:r>
      <w:r w:rsidR="0011560C" w:rsidRPr="007D21C3">
        <w:rPr>
          <w:rFonts w:asciiTheme="minorHAnsi" w:eastAsiaTheme="minorHAnsi" w:hAnsiTheme="minorHAnsi" w:cstheme="minorBidi"/>
          <w:bCs/>
        </w:rPr>
        <w:t>poplavu</w:t>
      </w:r>
      <w:r w:rsidR="00DC2C6C" w:rsidRPr="007D21C3">
        <w:rPr>
          <w:rFonts w:asciiTheme="minorHAnsi" w:eastAsiaTheme="minorHAnsi" w:hAnsiTheme="minorHAnsi" w:cstheme="minorBidi"/>
          <w:bCs/>
        </w:rPr>
        <w:t>,</w:t>
      </w:r>
      <w:r w:rsidR="0011560C" w:rsidRPr="007D21C3">
        <w:rPr>
          <w:rFonts w:asciiTheme="minorHAnsi" w:eastAsiaTheme="minorHAnsi" w:hAnsiTheme="minorHAnsi" w:cstheme="minorBidi"/>
          <w:bCs/>
        </w:rPr>
        <w:t xml:space="preserve"> zlonamjerne postupke trećih osoba </w:t>
      </w:r>
      <w:r w:rsidR="00DC2C6C" w:rsidRPr="007D21C3">
        <w:rPr>
          <w:rFonts w:asciiTheme="minorHAnsi" w:eastAsiaTheme="minorHAnsi" w:hAnsiTheme="minorHAnsi" w:cstheme="minorBidi"/>
          <w:bCs/>
        </w:rPr>
        <w:t>te druge ugovorene rizike</w:t>
      </w:r>
      <w:r w:rsidR="0011560C" w:rsidRPr="007D21C3">
        <w:rPr>
          <w:rFonts w:asciiTheme="minorHAnsi" w:eastAsiaTheme="minorHAnsi" w:hAnsiTheme="minorHAnsi" w:cstheme="minorBidi"/>
          <w:bCs/>
        </w:rPr>
        <w:t xml:space="preserve">. </w:t>
      </w:r>
      <w:r w:rsidR="00DC2C6C" w:rsidRPr="007D21C3">
        <w:rPr>
          <w:rFonts w:asciiTheme="minorHAnsi" w:eastAsiaTheme="minorHAnsi" w:hAnsiTheme="minorHAnsi" w:cstheme="minorBidi"/>
          <w:bCs/>
        </w:rPr>
        <w:t xml:space="preserve">Kod pojedinih osiguratelja moguće je </w:t>
      </w:r>
      <w:r w:rsidR="007D21C3">
        <w:rPr>
          <w:rFonts w:asciiTheme="minorHAnsi" w:eastAsiaTheme="minorHAnsi" w:hAnsiTheme="minorHAnsi" w:cstheme="minorBidi"/>
          <w:bCs/>
        </w:rPr>
        <w:t xml:space="preserve">eventualno </w:t>
      </w:r>
      <w:r w:rsidR="00DC2C6C" w:rsidRPr="007D21C3">
        <w:rPr>
          <w:rFonts w:asciiTheme="minorHAnsi" w:eastAsiaTheme="minorHAnsi" w:hAnsiTheme="minorHAnsi" w:cstheme="minorBidi"/>
          <w:bCs/>
        </w:rPr>
        <w:t xml:space="preserve">ugovorit </w:t>
      </w:r>
      <w:r w:rsidR="00DC2C6C" w:rsidRPr="007D21C3">
        <w:rPr>
          <w:rFonts w:asciiTheme="minorHAnsi" w:eastAsiaTheme="minorHAnsi" w:hAnsiTheme="minorHAnsi" w:cstheme="minorBidi"/>
          <w:bCs/>
          <w:color w:val="C00000"/>
        </w:rPr>
        <w:t xml:space="preserve">djelomični kasko </w:t>
      </w:r>
      <w:r w:rsidR="00DC2C6C" w:rsidRPr="007D21C3">
        <w:rPr>
          <w:rFonts w:asciiTheme="minorHAnsi" w:eastAsiaTheme="minorHAnsi" w:hAnsiTheme="minorHAnsi" w:cstheme="minorBidi"/>
          <w:bCs/>
        </w:rPr>
        <w:t xml:space="preserve">koji pokriva samo pojedine rizika. </w:t>
      </w:r>
    </w:p>
    <w:p w:rsidR="0011560C" w:rsidRDefault="0011560C" w:rsidP="007D21C3">
      <w:pPr>
        <w:pStyle w:val="StandardWeb"/>
        <w:spacing w:before="0" w:beforeAutospacing="0" w:after="200" w:afterAutospacing="0" w:line="276" w:lineRule="auto"/>
        <w:jc w:val="both"/>
        <w:rPr>
          <w:rFonts w:asciiTheme="minorHAnsi" w:eastAsiaTheme="minorHAnsi" w:hAnsiTheme="minorHAnsi" w:cstheme="minorBidi"/>
          <w:bCs/>
        </w:rPr>
      </w:pPr>
      <w:r w:rsidRPr="007D21C3">
        <w:rPr>
          <w:rFonts w:asciiTheme="minorHAnsi" w:eastAsiaTheme="minorHAnsi" w:hAnsiTheme="minorHAnsi" w:cstheme="minorBidi"/>
          <w:bCs/>
        </w:rPr>
        <w:t>Visina premija kasko osiguranja najviše ovisi o marki vozila (npr. s obzirom na rizik učestalosti krađe), vrijednosti vozila, snazi motora, starosti vozila, dobi osiguranika te drugim faktorima</w:t>
      </w:r>
      <w:r w:rsidR="00DC2C6C" w:rsidRPr="007D21C3">
        <w:rPr>
          <w:rFonts w:asciiTheme="minorHAnsi" w:eastAsiaTheme="minorHAnsi" w:hAnsiTheme="minorHAnsi" w:cstheme="minorBidi"/>
          <w:bCs/>
        </w:rPr>
        <w:t xml:space="preserve"> uključujući </w:t>
      </w:r>
      <w:r w:rsidRPr="007D21C3">
        <w:rPr>
          <w:rFonts w:asciiTheme="minorHAnsi" w:eastAsiaTheme="minorHAnsi" w:hAnsiTheme="minorHAnsi" w:cstheme="minorBidi"/>
          <w:bCs/>
        </w:rPr>
        <w:t xml:space="preserve">ugovoren broj rata plaćanja premije </w:t>
      </w:r>
      <w:r w:rsidR="00DC2C6C" w:rsidRPr="007D21C3">
        <w:rPr>
          <w:rFonts w:asciiTheme="minorHAnsi" w:eastAsiaTheme="minorHAnsi" w:hAnsiTheme="minorHAnsi" w:cstheme="minorBidi"/>
          <w:bCs/>
        </w:rPr>
        <w:t xml:space="preserve">ovisno o dinamici ugovorenog </w:t>
      </w:r>
      <w:r w:rsidRPr="007D21C3">
        <w:rPr>
          <w:rFonts w:asciiTheme="minorHAnsi" w:eastAsiaTheme="minorHAnsi" w:hAnsiTheme="minorHAnsi" w:cstheme="minorBidi"/>
          <w:bCs/>
        </w:rPr>
        <w:t>mjesečno</w:t>
      </w:r>
      <w:r w:rsidR="00DC2C6C" w:rsidRPr="007D21C3">
        <w:rPr>
          <w:rFonts w:asciiTheme="minorHAnsi" w:eastAsiaTheme="minorHAnsi" w:hAnsiTheme="minorHAnsi" w:cstheme="minorBidi"/>
          <w:bCs/>
        </w:rPr>
        <w:t>g</w:t>
      </w:r>
      <w:r w:rsidRPr="007D21C3">
        <w:rPr>
          <w:rFonts w:asciiTheme="minorHAnsi" w:eastAsiaTheme="minorHAnsi" w:hAnsiTheme="minorHAnsi" w:cstheme="minorBidi"/>
          <w:bCs/>
        </w:rPr>
        <w:t xml:space="preserve"> kvartalno</w:t>
      </w:r>
      <w:r w:rsidR="00DC2C6C" w:rsidRPr="007D21C3">
        <w:rPr>
          <w:rFonts w:asciiTheme="minorHAnsi" w:eastAsiaTheme="minorHAnsi" w:hAnsiTheme="minorHAnsi" w:cstheme="minorBidi"/>
          <w:bCs/>
        </w:rPr>
        <w:t>g ili godišnjeg plaćanja</w:t>
      </w:r>
      <w:r w:rsidRPr="007D21C3">
        <w:rPr>
          <w:rFonts w:asciiTheme="minorHAnsi" w:eastAsiaTheme="minorHAnsi" w:hAnsiTheme="minorHAnsi" w:cstheme="minorBidi"/>
          <w:bCs/>
        </w:rPr>
        <w:t xml:space="preserve">. Pri tome je važno voditi računa da se prava pokrića iz police kasko osiguranja gube se u slučaju </w:t>
      </w:r>
      <w:r w:rsidR="00DC2C6C" w:rsidRPr="007D21C3">
        <w:rPr>
          <w:rFonts w:asciiTheme="minorHAnsi" w:eastAsiaTheme="minorHAnsi" w:hAnsiTheme="minorHAnsi" w:cstheme="minorBidi"/>
          <w:bCs/>
        </w:rPr>
        <w:t xml:space="preserve">ako </w:t>
      </w:r>
      <w:r w:rsidRPr="007D21C3">
        <w:rPr>
          <w:rFonts w:asciiTheme="minorHAnsi" w:eastAsiaTheme="minorHAnsi" w:hAnsiTheme="minorHAnsi" w:cstheme="minorBidi"/>
          <w:bCs/>
        </w:rPr>
        <w:t>je vozilom upravljala osoba bez odgovarajuće vozačke dozvole</w:t>
      </w:r>
      <w:r w:rsidR="00DC2C6C" w:rsidRPr="007D21C3">
        <w:rPr>
          <w:rFonts w:asciiTheme="minorHAnsi" w:eastAsiaTheme="minorHAnsi" w:hAnsiTheme="minorHAnsi" w:cstheme="minorBidi"/>
          <w:bCs/>
        </w:rPr>
        <w:t xml:space="preserve"> ili</w:t>
      </w:r>
      <w:r w:rsidRPr="007D21C3">
        <w:rPr>
          <w:rFonts w:asciiTheme="minorHAnsi" w:eastAsiaTheme="minorHAnsi" w:hAnsiTheme="minorHAnsi" w:cstheme="minorBidi"/>
          <w:bCs/>
        </w:rPr>
        <w:t xml:space="preserve"> pod utjecajem alkohola ili narkotika, </w:t>
      </w:r>
      <w:r w:rsidR="007D21C3">
        <w:rPr>
          <w:rFonts w:asciiTheme="minorHAnsi" w:eastAsiaTheme="minorHAnsi" w:hAnsiTheme="minorHAnsi" w:cstheme="minorBidi"/>
          <w:bCs/>
        </w:rPr>
        <w:t xml:space="preserve">odnosno </w:t>
      </w:r>
      <w:r w:rsidRPr="007D21C3">
        <w:rPr>
          <w:rFonts w:asciiTheme="minorHAnsi" w:eastAsiaTheme="minorHAnsi" w:hAnsiTheme="minorHAnsi" w:cstheme="minorBidi"/>
          <w:bCs/>
        </w:rPr>
        <w:t>ako je nesreća nastala kršenjem nekog drugog zakona o ponašanju u prometu</w:t>
      </w:r>
      <w:r w:rsidR="007D21C3">
        <w:rPr>
          <w:rFonts w:asciiTheme="minorHAnsi" w:eastAsiaTheme="minorHAnsi" w:hAnsiTheme="minorHAnsi" w:cstheme="minorBidi"/>
          <w:bCs/>
        </w:rPr>
        <w:t xml:space="preserve">. Dodatno, treba voditi računa da </w:t>
      </w:r>
      <w:r w:rsidR="00DC2C6C" w:rsidRPr="007D21C3">
        <w:rPr>
          <w:rFonts w:asciiTheme="minorHAnsi" w:eastAsiaTheme="minorHAnsi" w:hAnsiTheme="minorHAnsi" w:cstheme="minorBidi"/>
          <w:bCs/>
        </w:rPr>
        <w:t xml:space="preserve">osigurateljno pokriće </w:t>
      </w:r>
      <w:r w:rsidR="00E37E96">
        <w:rPr>
          <w:rFonts w:asciiTheme="minorHAnsi" w:eastAsiaTheme="minorHAnsi" w:hAnsiTheme="minorHAnsi" w:cstheme="minorBidi"/>
          <w:bCs/>
        </w:rPr>
        <w:t xml:space="preserve">uobičajeno </w:t>
      </w:r>
      <w:r w:rsidR="00DC2C6C" w:rsidRPr="007D21C3">
        <w:rPr>
          <w:rFonts w:asciiTheme="minorHAnsi" w:eastAsiaTheme="minorHAnsi" w:hAnsiTheme="minorHAnsi" w:cstheme="minorBidi"/>
          <w:bCs/>
        </w:rPr>
        <w:t xml:space="preserve">vrijedi na području Republike Hrvatske i zemalja članica Sustava zelene karte, </w:t>
      </w:r>
      <w:r w:rsidR="00E37E96">
        <w:rPr>
          <w:rFonts w:asciiTheme="minorHAnsi" w:eastAsiaTheme="minorHAnsi" w:hAnsiTheme="minorHAnsi" w:cstheme="minorBidi"/>
          <w:bCs/>
        </w:rPr>
        <w:t xml:space="preserve">ali ne i </w:t>
      </w:r>
      <w:r w:rsidR="00DC2C6C" w:rsidRPr="007D21C3">
        <w:rPr>
          <w:rFonts w:asciiTheme="minorHAnsi" w:eastAsiaTheme="minorHAnsi" w:hAnsiTheme="minorHAnsi" w:cstheme="minorBidi"/>
          <w:bCs/>
        </w:rPr>
        <w:t xml:space="preserve">na području Srbije i Crne Gore, što se može posebno ugovoriti. </w:t>
      </w:r>
    </w:p>
    <w:p w:rsidR="00E37E96" w:rsidRPr="007D21C3" w:rsidRDefault="00E37E96" w:rsidP="007D21C3">
      <w:pPr>
        <w:pStyle w:val="StandardWeb"/>
        <w:spacing w:before="0" w:beforeAutospacing="0" w:after="200" w:afterAutospacing="0" w:line="276" w:lineRule="auto"/>
        <w:jc w:val="both"/>
        <w:rPr>
          <w:rFonts w:asciiTheme="minorHAnsi" w:eastAsiaTheme="minorHAnsi" w:hAnsiTheme="minorHAnsi" w:cstheme="minorBidi"/>
          <w:bCs/>
        </w:rPr>
      </w:pPr>
      <w:r>
        <w:rPr>
          <w:rFonts w:asciiTheme="minorHAnsi" w:eastAsiaTheme="minorHAnsi" w:hAnsiTheme="minorHAnsi" w:cstheme="minorBidi"/>
          <w:bCs/>
        </w:rPr>
        <w:t xml:space="preserve">Pojam koji se često spominje vezano uz kasko osiguranje je </w:t>
      </w:r>
      <w:r w:rsidRPr="00E37E96">
        <w:rPr>
          <w:rFonts w:asciiTheme="minorHAnsi" w:eastAsiaTheme="minorHAnsi" w:hAnsiTheme="minorHAnsi" w:cstheme="minorBidi"/>
          <w:bCs/>
          <w:color w:val="C00000"/>
        </w:rPr>
        <w:t>franšiza</w:t>
      </w:r>
      <w:r>
        <w:rPr>
          <w:rFonts w:asciiTheme="minorHAnsi" w:eastAsiaTheme="minorHAnsi" w:hAnsiTheme="minorHAnsi" w:cstheme="minorBidi"/>
          <w:bCs/>
        </w:rPr>
        <w:t>, koja označava udio osiguranika u šteti, odnosno postotak za koji se umanjuje naknada iz osiguranja</w:t>
      </w:r>
      <w:r w:rsidR="004807F2">
        <w:rPr>
          <w:rFonts w:asciiTheme="minorHAnsi" w:eastAsiaTheme="minorHAnsi" w:hAnsiTheme="minorHAnsi" w:cstheme="minorBidi"/>
          <w:bCs/>
        </w:rPr>
        <w:t xml:space="preserve"> (a izražava se kao postotak osigurane svote)</w:t>
      </w:r>
      <w:r>
        <w:rPr>
          <w:rFonts w:asciiTheme="minorHAnsi" w:eastAsiaTheme="minorHAnsi" w:hAnsiTheme="minorHAnsi" w:cstheme="minorBidi"/>
          <w:bCs/>
        </w:rPr>
        <w:t xml:space="preserve">. Na primjer kod potpunog kaska franšiza se ugovara u određenom postotku iznosa novonabavne cijene vozila, što može biti 1, 2, 3, 4 ili 5 posto, iako se kasko može ugovoriti i bez franšize. </w:t>
      </w:r>
      <w:r w:rsidR="004807F2">
        <w:rPr>
          <w:rFonts w:asciiTheme="minorHAnsi" w:eastAsiaTheme="minorHAnsi" w:hAnsiTheme="minorHAnsi" w:cstheme="minorBidi"/>
          <w:bCs/>
        </w:rPr>
        <w:t xml:space="preserve">Između ostalog ima funkciju stimulirati osiguranika na racionalno ponašanje u očuvanju osiguranog predmeta. Osim kod kasko osiguranja može se javiti i kod drugih tipova osiguranja. </w:t>
      </w:r>
    </w:p>
    <w:p w:rsidR="0010193C" w:rsidRPr="00A2186D" w:rsidRDefault="00A2186D" w:rsidP="005E16CF">
      <w:pPr>
        <w:pStyle w:val="StandardWeb"/>
        <w:spacing w:line="338" w:lineRule="atLeast"/>
        <w:jc w:val="both"/>
        <w:rPr>
          <w:rFonts w:asciiTheme="minorHAnsi" w:eastAsiaTheme="minorHAnsi" w:hAnsiTheme="minorHAnsi" w:cstheme="minorBidi"/>
          <w:b/>
          <w:lang w:eastAsia="en-US"/>
        </w:rPr>
      </w:pPr>
      <w:r w:rsidRPr="00A2186D">
        <w:rPr>
          <w:rFonts w:asciiTheme="minorHAnsi" w:eastAsiaTheme="minorHAnsi" w:hAnsiTheme="minorHAnsi" w:cstheme="minorBidi"/>
          <w:b/>
          <w:lang w:eastAsia="en-US"/>
        </w:rPr>
        <w:t>5.3. Osiguranje od odgovornosti prema trećim osobama</w:t>
      </w:r>
    </w:p>
    <w:p w:rsidR="00416359" w:rsidRPr="000867A4" w:rsidRDefault="00A2186D" w:rsidP="008A3CB4">
      <w:pPr>
        <w:jc w:val="both"/>
        <w:rPr>
          <w:sz w:val="24"/>
          <w:szCs w:val="24"/>
        </w:rPr>
      </w:pPr>
      <w:r w:rsidRPr="008A3CB4">
        <w:rPr>
          <w:sz w:val="24"/>
          <w:szCs w:val="24"/>
        </w:rPr>
        <w:t xml:space="preserve">Jedan od najčešće korištenih oblika osiguranja od odgovornosti je </w:t>
      </w:r>
      <w:r w:rsidRPr="008A3CB4">
        <w:rPr>
          <w:color w:val="C00000"/>
          <w:sz w:val="24"/>
          <w:szCs w:val="24"/>
        </w:rPr>
        <w:t>o</w:t>
      </w:r>
      <w:r w:rsidR="00416359" w:rsidRPr="008A3CB4">
        <w:rPr>
          <w:color w:val="C00000"/>
          <w:sz w:val="24"/>
          <w:szCs w:val="24"/>
        </w:rPr>
        <w:t>bavezno osiguran</w:t>
      </w:r>
      <w:r w:rsidRPr="008A3CB4">
        <w:rPr>
          <w:color w:val="C00000"/>
          <w:sz w:val="24"/>
          <w:szCs w:val="24"/>
        </w:rPr>
        <w:t xml:space="preserve">je od automobilske odgovornosti </w:t>
      </w:r>
      <w:r w:rsidR="00416359" w:rsidRPr="008A3CB4">
        <w:rPr>
          <w:color w:val="C00000"/>
          <w:sz w:val="24"/>
          <w:szCs w:val="24"/>
        </w:rPr>
        <w:t>(AO)</w:t>
      </w:r>
      <w:r w:rsidRPr="008A3CB4">
        <w:rPr>
          <w:sz w:val="24"/>
          <w:szCs w:val="24"/>
        </w:rPr>
        <w:t xml:space="preserve">. Radi se o </w:t>
      </w:r>
      <w:r w:rsidR="00416359" w:rsidRPr="008A3CB4">
        <w:rPr>
          <w:sz w:val="24"/>
          <w:szCs w:val="24"/>
        </w:rPr>
        <w:t>osiguranj</w:t>
      </w:r>
      <w:r w:rsidRPr="008A3CB4">
        <w:rPr>
          <w:sz w:val="24"/>
          <w:szCs w:val="24"/>
        </w:rPr>
        <w:t>u</w:t>
      </w:r>
      <w:r w:rsidR="00416359" w:rsidRPr="008A3CB4">
        <w:rPr>
          <w:sz w:val="24"/>
          <w:szCs w:val="24"/>
        </w:rPr>
        <w:t xml:space="preserve"> </w:t>
      </w:r>
      <w:r w:rsidRPr="008A3CB4">
        <w:rPr>
          <w:sz w:val="24"/>
          <w:szCs w:val="24"/>
        </w:rPr>
        <w:t xml:space="preserve">koje su obvezni ugovoriti svi vlasnici ili korisnici vozila prema Zakonu o obveznim osiguranjima, a za </w:t>
      </w:r>
      <w:r w:rsidR="00416359" w:rsidRPr="008A3CB4">
        <w:rPr>
          <w:sz w:val="24"/>
          <w:szCs w:val="24"/>
        </w:rPr>
        <w:t>štet</w:t>
      </w:r>
      <w:r w:rsidRPr="008A3CB4">
        <w:rPr>
          <w:sz w:val="24"/>
          <w:szCs w:val="24"/>
        </w:rPr>
        <w:t>u nastalu upotrebom motornog vozila nanesenu</w:t>
      </w:r>
      <w:r w:rsidR="00416359" w:rsidRPr="008A3CB4">
        <w:rPr>
          <w:sz w:val="24"/>
          <w:szCs w:val="24"/>
        </w:rPr>
        <w:t xml:space="preserve"> trećim osobama</w:t>
      </w:r>
      <w:r w:rsidRPr="008A3CB4">
        <w:rPr>
          <w:sz w:val="24"/>
          <w:szCs w:val="24"/>
        </w:rPr>
        <w:t xml:space="preserve"> zbog smrti, tjelesne ozljede, narušena zdravlja, odnosno  uništenja ili oštećenja stvari</w:t>
      </w:r>
      <w:r w:rsidR="00416359" w:rsidRPr="008A3CB4">
        <w:rPr>
          <w:sz w:val="24"/>
          <w:szCs w:val="24"/>
        </w:rPr>
        <w:t xml:space="preserve">. </w:t>
      </w:r>
      <w:r w:rsidRPr="008A3CB4">
        <w:rPr>
          <w:sz w:val="24"/>
          <w:szCs w:val="24"/>
        </w:rPr>
        <w:t xml:space="preserve">U tom slučaju pravo na naknadu štete imaju osobe koje su se </w:t>
      </w:r>
      <w:r w:rsidRPr="000867A4">
        <w:rPr>
          <w:sz w:val="24"/>
          <w:szCs w:val="24"/>
        </w:rPr>
        <w:t xml:space="preserve">nalazile u drugom vozilu, pješaci </w:t>
      </w:r>
      <w:r w:rsidR="008A3CB4" w:rsidRPr="000867A4">
        <w:rPr>
          <w:sz w:val="24"/>
          <w:szCs w:val="24"/>
        </w:rPr>
        <w:t>te</w:t>
      </w:r>
      <w:r w:rsidRPr="000867A4">
        <w:rPr>
          <w:sz w:val="24"/>
          <w:szCs w:val="24"/>
        </w:rPr>
        <w:t xml:space="preserve"> osobe koje su se nalazile u vozilu koje je prouzročilo štetu, dok pravo na naknadu štete nema vozač vozila kojim je prouzročena šteta, kao niti vlasnik/ suvlasnik i svaki drugi korisnik vozila u slučaju štete na stvarima. </w:t>
      </w:r>
      <w:r w:rsidR="008A3CB4" w:rsidRPr="000867A4">
        <w:rPr>
          <w:sz w:val="24"/>
          <w:szCs w:val="24"/>
        </w:rPr>
        <w:t xml:space="preserve">Pri tome, osigurateljno pokriće vrijedi na području Republike Hrvatske i zemalja članica Sustava zelene karte. </w:t>
      </w:r>
      <w:r w:rsidR="008A3CB4" w:rsidRPr="000867A4">
        <w:rPr>
          <w:color w:val="C00000"/>
          <w:sz w:val="24"/>
          <w:szCs w:val="24"/>
        </w:rPr>
        <w:t>Zelena karta</w:t>
      </w:r>
      <w:r w:rsidR="008A3CB4" w:rsidRPr="000867A4">
        <w:rPr>
          <w:i/>
          <w:color w:val="C00000"/>
          <w:sz w:val="24"/>
          <w:szCs w:val="24"/>
        </w:rPr>
        <w:t xml:space="preserve"> </w:t>
      </w:r>
      <w:r w:rsidR="008A3CB4" w:rsidRPr="000867A4">
        <w:rPr>
          <w:sz w:val="24"/>
          <w:szCs w:val="24"/>
        </w:rPr>
        <w:t>je međunarodna isprava koja dokazuje postojanje osiguranju od automobiske odgovornosti se stoga izdaje zajedno s AO policom osiguranja, a potrebna je za odlazak u inozemstvo.</w:t>
      </w:r>
    </w:p>
    <w:p w:rsidR="008A3CB4" w:rsidRPr="008A3CB4" w:rsidRDefault="008A3CB4" w:rsidP="008A3CB4">
      <w:pPr>
        <w:jc w:val="both"/>
        <w:rPr>
          <w:sz w:val="24"/>
          <w:szCs w:val="24"/>
        </w:rPr>
      </w:pPr>
      <w:r w:rsidRPr="008A3CB4">
        <w:rPr>
          <w:sz w:val="24"/>
          <w:szCs w:val="24"/>
        </w:rPr>
        <w:t xml:space="preserve">Visina premije koju plaća osiguranik ovisi o njegovoj individualnoj  povijesti s obzirom na učestalost šteta, a mjeri se kroz tzv. bonus-malus sustav – BMS. </w:t>
      </w:r>
      <w:r w:rsidRPr="008A3CB4">
        <w:rPr>
          <w:color w:val="C00000"/>
          <w:sz w:val="24"/>
          <w:szCs w:val="24"/>
        </w:rPr>
        <w:t>Bonus</w:t>
      </w:r>
      <w:r w:rsidRPr="008A3CB4">
        <w:rPr>
          <w:sz w:val="24"/>
          <w:szCs w:val="24"/>
        </w:rPr>
        <w:t xml:space="preserve"> označava povrat određenog dijela premije kao nagradu za povoljan omjer između uplaćene premije i </w:t>
      </w:r>
      <w:r w:rsidRPr="008A3CB4">
        <w:rPr>
          <w:sz w:val="24"/>
          <w:szCs w:val="24"/>
        </w:rPr>
        <w:lastRenderedPageBreak/>
        <w:t xml:space="preserve">isplaćenih šteta, dok je </w:t>
      </w:r>
      <w:r w:rsidRPr="008A3CB4">
        <w:rPr>
          <w:color w:val="C00000"/>
          <w:sz w:val="24"/>
          <w:szCs w:val="24"/>
        </w:rPr>
        <w:t>malus</w:t>
      </w:r>
      <w:r w:rsidRPr="008A3CB4">
        <w:rPr>
          <w:sz w:val="24"/>
          <w:szCs w:val="24"/>
        </w:rPr>
        <w:t xml:space="preserve"> doplatak na premiju koji se zaračunava onim osiguranicima ko</w:t>
      </w:r>
      <w:r>
        <w:rPr>
          <w:sz w:val="24"/>
          <w:szCs w:val="24"/>
        </w:rPr>
        <w:t>ji</w:t>
      </w:r>
      <w:r w:rsidRPr="008A3CB4">
        <w:rPr>
          <w:sz w:val="24"/>
          <w:szCs w:val="24"/>
        </w:rPr>
        <w:t xml:space="preserve"> su  u proteklom razdoblju imali nepovoljan odnos uplaćene premije i isplaćenih šteta.                                                                                                                                                                                                         </w:t>
      </w:r>
    </w:p>
    <w:p w:rsidR="00416359" w:rsidRPr="000A4D98" w:rsidRDefault="008A3CB4" w:rsidP="00416359">
      <w:pPr>
        <w:jc w:val="both"/>
        <w:rPr>
          <w:sz w:val="24"/>
          <w:szCs w:val="24"/>
        </w:rPr>
      </w:pPr>
      <w:r w:rsidRPr="000A4D98">
        <w:rPr>
          <w:sz w:val="24"/>
          <w:szCs w:val="24"/>
        </w:rPr>
        <w:t xml:space="preserve">Osiguranje od odgovornosti prema trećim osobama javlja se i u obliku </w:t>
      </w:r>
      <w:r w:rsidRPr="000A4D98">
        <w:rPr>
          <w:color w:val="C00000"/>
          <w:sz w:val="24"/>
          <w:szCs w:val="24"/>
        </w:rPr>
        <w:t>osiguranja od profesionalne odgovornosti</w:t>
      </w:r>
      <w:r w:rsidRPr="000A4D98">
        <w:rPr>
          <w:sz w:val="24"/>
          <w:szCs w:val="24"/>
        </w:rPr>
        <w:t>, a obvezno je za pojedina zanimanja poput odvjetnika, javnih bilježnika, revizora i drug</w:t>
      </w:r>
      <w:r w:rsidR="000A4D98" w:rsidRPr="000A4D98">
        <w:rPr>
          <w:sz w:val="24"/>
          <w:szCs w:val="24"/>
        </w:rPr>
        <w:t>i</w:t>
      </w:r>
      <w:r w:rsidRPr="000A4D98">
        <w:rPr>
          <w:sz w:val="24"/>
          <w:szCs w:val="24"/>
        </w:rPr>
        <w:t xml:space="preserve">h. </w:t>
      </w:r>
      <w:r w:rsidR="00416359" w:rsidRPr="000A4D98">
        <w:rPr>
          <w:sz w:val="24"/>
          <w:szCs w:val="24"/>
        </w:rPr>
        <w:t xml:space="preserve">Ugovorom o osiguranju od odgovornosti, osiguravatelj se obvezuje osiguraniku nadoknaditi iznose koje je osiguranik dužan platiti trećim osobama, u vezi s  odgovornošću pokrivenom osiguranjem. Međutim, osiguravatelj odgovara za štetu jedino ako treća osoba zahtijeva naknadu. </w:t>
      </w:r>
      <w:r w:rsidR="000A4D98" w:rsidRPr="000A4D98">
        <w:rPr>
          <w:sz w:val="24"/>
          <w:szCs w:val="24"/>
        </w:rPr>
        <w:t xml:space="preserve">Može se ugovoriti kao dio poduzetničkog paketa osiguranja. </w:t>
      </w:r>
    </w:p>
    <w:p w:rsidR="00C427BD" w:rsidRPr="00140528" w:rsidRDefault="00C427BD" w:rsidP="000A4D98">
      <w:pPr>
        <w:jc w:val="both"/>
        <w:rPr>
          <w:b/>
          <w:sz w:val="24"/>
          <w:szCs w:val="24"/>
        </w:rPr>
      </w:pPr>
      <w:r w:rsidRPr="00140528">
        <w:rPr>
          <w:b/>
          <w:sz w:val="24"/>
          <w:szCs w:val="24"/>
        </w:rPr>
        <w:t>5.4. Životno osiguranje</w:t>
      </w:r>
    </w:p>
    <w:p w:rsidR="00C427BD" w:rsidRPr="00777872" w:rsidRDefault="00140528" w:rsidP="00A74945">
      <w:pPr>
        <w:spacing w:after="0"/>
        <w:jc w:val="both"/>
        <w:textAlignment w:val="baseline"/>
        <w:rPr>
          <w:sz w:val="24"/>
          <w:szCs w:val="24"/>
        </w:rPr>
      </w:pPr>
      <w:r w:rsidRPr="00777872">
        <w:rPr>
          <w:sz w:val="24"/>
          <w:szCs w:val="24"/>
        </w:rPr>
        <w:t xml:space="preserve">Uloga </w:t>
      </w:r>
      <w:r w:rsidR="00C427BD" w:rsidRPr="00777872">
        <w:rPr>
          <w:sz w:val="24"/>
          <w:szCs w:val="24"/>
        </w:rPr>
        <w:t>životnog osiguranja je povećati financijsku sigurnost</w:t>
      </w:r>
      <w:r w:rsidRPr="00777872">
        <w:rPr>
          <w:sz w:val="24"/>
          <w:szCs w:val="24"/>
        </w:rPr>
        <w:t xml:space="preserve">, a ovisno o konkretnom proizvodu životnog osiguranja on pruža financijsku zaštitu </w:t>
      </w:r>
      <w:r w:rsidR="00C427BD" w:rsidRPr="00777872">
        <w:rPr>
          <w:sz w:val="24"/>
          <w:szCs w:val="24"/>
        </w:rPr>
        <w:t>pojedinc</w:t>
      </w:r>
      <w:r w:rsidRPr="00777872">
        <w:rPr>
          <w:sz w:val="24"/>
          <w:szCs w:val="24"/>
        </w:rPr>
        <w:t>a ili</w:t>
      </w:r>
      <w:r w:rsidR="00C427BD" w:rsidRPr="00777872">
        <w:rPr>
          <w:sz w:val="24"/>
          <w:szCs w:val="24"/>
        </w:rPr>
        <w:t xml:space="preserve"> njegov</w:t>
      </w:r>
      <w:r w:rsidRPr="00777872">
        <w:rPr>
          <w:sz w:val="24"/>
          <w:szCs w:val="24"/>
        </w:rPr>
        <w:t>e</w:t>
      </w:r>
      <w:r w:rsidR="00C427BD" w:rsidRPr="00777872">
        <w:rPr>
          <w:sz w:val="24"/>
          <w:szCs w:val="24"/>
        </w:rPr>
        <w:t xml:space="preserve"> obitelji</w:t>
      </w:r>
      <w:r w:rsidRPr="00777872">
        <w:rPr>
          <w:sz w:val="24"/>
          <w:szCs w:val="24"/>
        </w:rPr>
        <w:t xml:space="preserve"> odnosno osoba čiji se financijski interes želi zaštititi. </w:t>
      </w:r>
      <w:r w:rsidR="00C427BD" w:rsidRPr="00777872">
        <w:rPr>
          <w:sz w:val="24"/>
          <w:szCs w:val="24"/>
        </w:rPr>
        <w:t>Životno osiguranje javlja se u različitim oblicima</w:t>
      </w:r>
      <w:r w:rsidRPr="00777872">
        <w:rPr>
          <w:sz w:val="24"/>
          <w:szCs w:val="24"/>
        </w:rPr>
        <w:t xml:space="preserve"> koji imaju različitu namjenu, uključujući</w:t>
      </w:r>
      <w:r w:rsidR="00C427BD" w:rsidRPr="00777872">
        <w:rPr>
          <w:sz w:val="24"/>
          <w:szCs w:val="24"/>
        </w:rPr>
        <w:t>:</w:t>
      </w:r>
    </w:p>
    <w:p w:rsidR="00C427BD" w:rsidRPr="00777872" w:rsidRDefault="00C427BD" w:rsidP="00C86D78">
      <w:pPr>
        <w:numPr>
          <w:ilvl w:val="0"/>
          <w:numId w:val="76"/>
        </w:numPr>
        <w:spacing w:after="0" w:line="240" w:lineRule="auto"/>
        <w:jc w:val="both"/>
        <w:textAlignment w:val="baseline"/>
        <w:rPr>
          <w:sz w:val="24"/>
          <w:szCs w:val="24"/>
        </w:rPr>
      </w:pPr>
      <w:r w:rsidRPr="00777872">
        <w:rPr>
          <w:sz w:val="24"/>
          <w:szCs w:val="24"/>
        </w:rPr>
        <w:t>osiguranje za slučaj smrti (</w:t>
      </w:r>
      <w:r w:rsidR="00140528" w:rsidRPr="00777872">
        <w:rPr>
          <w:sz w:val="24"/>
          <w:szCs w:val="24"/>
        </w:rPr>
        <w:t xml:space="preserve">tzv. </w:t>
      </w:r>
      <w:r w:rsidRPr="00777872">
        <w:rPr>
          <w:sz w:val="24"/>
          <w:szCs w:val="24"/>
        </w:rPr>
        <w:t>riziko osiguranje)</w:t>
      </w:r>
    </w:p>
    <w:p w:rsidR="00140528" w:rsidRPr="00777872" w:rsidRDefault="00140528" w:rsidP="00C86D78">
      <w:pPr>
        <w:numPr>
          <w:ilvl w:val="0"/>
          <w:numId w:val="76"/>
        </w:numPr>
        <w:spacing w:after="0" w:line="240" w:lineRule="auto"/>
        <w:jc w:val="both"/>
        <w:textAlignment w:val="baseline"/>
        <w:rPr>
          <w:sz w:val="24"/>
          <w:szCs w:val="24"/>
        </w:rPr>
      </w:pPr>
      <w:r w:rsidRPr="00777872">
        <w:rPr>
          <w:sz w:val="24"/>
          <w:szCs w:val="24"/>
        </w:rPr>
        <w:t xml:space="preserve">životno osiguranje za slučaj doživljenja </w:t>
      </w:r>
    </w:p>
    <w:p w:rsidR="00140528" w:rsidRPr="00777872" w:rsidRDefault="00140528" w:rsidP="00C86D78">
      <w:pPr>
        <w:numPr>
          <w:ilvl w:val="0"/>
          <w:numId w:val="76"/>
        </w:numPr>
        <w:spacing w:after="0" w:line="240" w:lineRule="auto"/>
        <w:jc w:val="both"/>
        <w:textAlignment w:val="baseline"/>
        <w:rPr>
          <w:sz w:val="24"/>
          <w:szCs w:val="24"/>
        </w:rPr>
      </w:pPr>
      <w:r w:rsidRPr="00777872">
        <w:rPr>
          <w:sz w:val="24"/>
          <w:szCs w:val="24"/>
        </w:rPr>
        <w:t xml:space="preserve">mješovito životno osiguranje – osiguranje za slučaj smrti i slučaj doživljenja. </w:t>
      </w:r>
    </w:p>
    <w:p w:rsidR="00C427BD" w:rsidRPr="00777872" w:rsidRDefault="0058735A" w:rsidP="00A74945">
      <w:pPr>
        <w:spacing w:before="240"/>
        <w:jc w:val="both"/>
        <w:textAlignment w:val="baseline"/>
        <w:rPr>
          <w:sz w:val="24"/>
          <w:szCs w:val="24"/>
        </w:rPr>
      </w:pPr>
      <w:r w:rsidRPr="00777872">
        <w:rPr>
          <w:color w:val="C00000"/>
          <w:sz w:val="24"/>
          <w:szCs w:val="24"/>
        </w:rPr>
        <w:t xml:space="preserve">Osiguranje za slučaj smrti </w:t>
      </w:r>
      <w:r w:rsidRPr="00777872">
        <w:rPr>
          <w:sz w:val="24"/>
          <w:szCs w:val="24"/>
        </w:rPr>
        <w:t>(riziko oisuganje) predstavlja proizvod životnog osiguranja koji nema štednu komponentu te kod njega ne postoji mogućnost otkupa police osiguranja. U</w:t>
      </w:r>
      <w:r w:rsidR="00140528" w:rsidRPr="00777872">
        <w:rPr>
          <w:sz w:val="24"/>
          <w:szCs w:val="24"/>
        </w:rPr>
        <w:t xml:space="preserve">govorena svota osiguranja isplaćuje se korisniku/korisnicima osiguranja samo u slučaju smrti osiguranika </w:t>
      </w:r>
      <w:r w:rsidRPr="00777872">
        <w:rPr>
          <w:sz w:val="24"/>
          <w:szCs w:val="24"/>
        </w:rPr>
        <w:t xml:space="preserve">ukoliko se ona dogodi </w:t>
      </w:r>
      <w:r w:rsidR="00140528" w:rsidRPr="00777872">
        <w:rPr>
          <w:sz w:val="24"/>
          <w:szCs w:val="24"/>
        </w:rPr>
        <w:t xml:space="preserve">tijekom </w:t>
      </w:r>
      <w:r w:rsidRPr="00777872">
        <w:rPr>
          <w:sz w:val="24"/>
          <w:szCs w:val="24"/>
        </w:rPr>
        <w:t xml:space="preserve">ugovorenog roka </w:t>
      </w:r>
      <w:r w:rsidR="00140528" w:rsidRPr="00777872">
        <w:rPr>
          <w:sz w:val="24"/>
          <w:szCs w:val="24"/>
        </w:rPr>
        <w:t xml:space="preserve">trajanja osiguranja. Ako osiguranik doživi istek ugovora o osiguranju, osiguratelj nema obvezu isplate. </w:t>
      </w:r>
      <w:r w:rsidRPr="00777872">
        <w:rPr>
          <w:sz w:val="24"/>
          <w:szCs w:val="24"/>
        </w:rPr>
        <w:t>S obzirom na rizik koji pokriva iznosi premije osiguranja su relativno niski u odnosu na osiguranu svotu (osim ako je osiguranik izložen povećanom riziku smrti na način da se bavi opasnim zanimanjem ili opasnim sportom). Često se koristi kao instrument osiguranja naplate kredita banaka te se u tom slučaju osiguranje ugovara  na rok trajanja otplate kredita.</w:t>
      </w:r>
    </w:p>
    <w:p w:rsidR="00583E7E" w:rsidRPr="00777872" w:rsidRDefault="0058735A" w:rsidP="00777872">
      <w:pPr>
        <w:jc w:val="both"/>
        <w:rPr>
          <w:sz w:val="24"/>
          <w:szCs w:val="24"/>
        </w:rPr>
      </w:pPr>
      <w:r w:rsidRPr="00777872">
        <w:rPr>
          <w:sz w:val="24"/>
          <w:szCs w:val="24"/>
        </w:rPr>
        <w:t xml:space="preserve">U slučaju </w:t>
      </w:r>
      <w:r w:rsidRPr="00777872">
        <w:rPr>
          <w:color w:val="C00000"/>
          <w:sz w:val="24"/>
          <w:szCs w:val="24"/>
        </w:rPr>
        <w:t>životnog osiguranja za slučaj doživljenja</w:t>
      </w:r>
      <w:r w:rsidRPr="00777872">
        <w:rPr>
          <w:sz w:val="24"/>
          <w:szCs w:val="24"/>
        </w:rPr>
        <w:t xml:space="preserve">, svota osiguranja isplaćuje se samo ako osiguranik doživi istek ugovorenog roka (na primjer određeni datum za </w:t>
      </w:r>
      <w:r w:rsidR="008F121F">
        <w:rPr>
          <w:sz w:val="24"/>
          <w:szCs w:val="24"/>
        </w:rPr>
        <w:t xml:space="preserve">deset </w:t>
      </w:r>
      <w:r w:rsidRPr="00777872">
        <w:rPr>
          <w:sz w:val="24"/>
          <w:szCs w:val="24"/>
        </w:rPr>
        <w:t xml:space="preserve">godina), a u protivnom nema isplate. Međutim, moguće je eventualno ugovoriti kombinaciju s povratom dijela uplaćene premije. Iznosi premija osiguranja su relativno mali pa stoga ovaj oblik životnog osiguranja može predstavljati oblik </w:t>
      </w:r>
      <w:r w:rsidR="00042925">
        <w:rPr>
          <w:sz w:val="24"/>
          <w:szCs w:val="24"/>
        </w:rPr>
        <w:t>štednje s visokim prinosom - jasno</w:t>
      </w:r>
      <w:r w:rsidRPr="00777872">
        <w:rPr>
          <w:sz w:val="24"/>
          <w:szCs w:val="24"/>
        </w:rPr>
        <w:t xml:space="preserve"> pod pretpostavkom da osiguranik doživi ugovoren rok. Specifičan oblik ovog osiguranja predstavlja tzv. </w:t>
      </w:r>
      <w:r w:rsidRPr="00777872">
        <w:rPr>
          <w:color w:val="C00000"/>
          <w:sz w:val="24"/>
          <w:szCs w:val="24"/>
        </w:rPr>
        <w:t>tontine</w:t>
      </w:r>
      <w:r w:rsidR="00583E7E" w:rsidRPr="00777872">
        <w:rPr>
          <w:color w:val="C00000"/>
          <w:sz w:val="24"/>
          <w:szCs w:val="24"/>
        </w:rPr>
        <w:t xml:space="preserve"> osiguranje </w:t>
      </w:r>
      <w:r w:rsidR="00583E7E" w:rsidRPr="00777872">
        <w:rPr>
          <w:sz w:val="24"/>
          <w:szCs w:val="24"/>
        </w:rPr>
        <w:t xml:space="preserve">(koje predviđa i hrvatski Zakon o osiguranju ali ga nema u ponudi domaćih osiguratelja). Radi se o vrsti kolektivnog dugoročnog osiguranja za slučaj doživljenja na ugovoreni rok, kod koje se sredstva formiraju uplatama premija/doprinosa određene grupe ljudi (članova društva, koji se međusobno ne poznaju i nisu u srodstvu) s </w:t>
      </w:r>
      <w:r w:rsidR="00583E7E" w:rsidRPr="00777872">
        <w:rPr>
          <w:sz w:val="24"/>
          <w:szCs w:val="24"/>
        </w:rPr>
        <w:lastRenderedPageBreak/>
        <w:t>istom vjerojatnošću doživljenja (očekivanog životnog vijeka), a istekom ugovorenog roka sredstva se raspoređuju preživjelim članovima društva.</w:t>
      </w:r>
      <w:r w:rsidR="00042925" w:rsidRPr="00042925">
        <w:rPr>
          <w:rStyle w:val="Referencafusnote"/>
          <w:i/>
        </w:rPr>
        <w:t xml:space="preserve"> </w:t>
      </w:r>
      <w:r w:rsidR="00042925" w:rsidRPr="00777872">
        <w:rPr>
          <w:rStyle w:val="Referencafusnote"/>
          <w:i/>
        </w:rPr>
        <w:footnoteReference w:id="83"/>
      </w:r>
    </w:p>
    <w:p w:rsidR="00583E7E" w:rsidRPr="00777872" w:rsidRDefault="00383522" w:rsidP="00E37E96">
      <w:pPr>
        <w:spacing w:after="120"/>
        <w:jc w:val="both"/>
        <w:rPr>
          <w:sz w:val="24"/>
          <w:szCs w:val="24"/>
        </w:rPr>
      </w:pPr>
      <w:r w:rsidRPr="00777872">
        <w:rPr>
          <w:sz w:val="24"/>
          <w:szCs w:val="24"/>
        </w:rPr>
        <w:t xml:space="preserve">Kao kombinacija određenih obilježja prethodna dva tipa osiguranja postoji i </w:t>
      </w:r>
      <w:r w:rsidRPr="00E37E96">
        <w:rPr>
          <w:color w:val="C00000"/>
          <w:sz w:val="24"/>
          <w:szCs w:val="24"/>
        </w:rPr>
        <w:t>m</w:t>
      </w:r>
      <w:r w:rsidR="00583E7E" w:rsidRPr="00E37E96">
        <w:rPr>
          <w:color w:val="C00000"/>
          <w:sz w:val="24"/>
          <w:szCs w:val="24"/>
        </w:rPr>
        <w:t>ješovito životno osiguranje</w:t>
      </w:r>
      <w:r w:rsidR="0095256D" w:rsidRPr="00777872">
        <w:rPr>
          <w:sz w:val="24"/>
          <w:szCs w:val="24"/>
        </w:rPr>
        <w:t xml:space="preserve">. Ono </w:t>
      </w:r>
      <w:r w:rsidR="00583E7E" w:rsidRPr="00777872">
        <w:rPr>
          <w:sz w:val="24"/>
          <w:szCs w:val="24"/>
        </w:rPr>
        <w:t>istodobno predstavlja osiguranje za slučaj doživljen</w:t>
      </w:r>
      <w:r w:rsidRPr="00777872">
        <w:rPr>
          <w:sz w:val="24"/>
          <w:szCs w:val="24"/>
        </w:rPr>
        <w:t xml:space="preserve">ja i osiguranje za slučaj smrti. </w:t>
      </w:r>
      <w:r w:rsidR="00583E7E" w:rsidRPr="00777872">
        <w:rPr>
          <w:sz w:val="24"/>
          <w:szCs w:val="24"/>
        </w:rPr>
        <w:t xml:space="preserve">U tom slučaju postoje </w:t>
      </w:r>
      <w:r w:rsidR="00583E7E" w:rsidRPr="00777872">
        <w:rPr>
          <w:color w:val="C00000"/>
          <w:sz w:val="24"/>
          <w:szCs w:val="24"/>
        </w:rPr>
        <w:t xml:space="preserve">dva </w:t>
      </w:r>
      <w:r w:rsidRPr="00777872">
        <w:rPr>
          <w:color w:val="C00000"/>
          <w:sz w:val="24"/>
          <w:szCs w:val="24"/>
        </w:rPr>
        <w:t xml:space="preserve">iznosa osigurane svote </w:t>
      </w:r>
      <w:r w:rsidRPr="00777872">
        <w:rPr>
          <w:sz w:val="24"/>
          <w:szCs w:val="24"/>
        </w:rPr>
        <w:t>(osiguran</w:t>
      </w:r>
      <w:r w:rsidR="0095256D" w:rsidRPr="00777872">
        <w:rPr>
          <w:sz w:val="24"/>
          <w:szCs w:val="24"/>
        </w:rPr>
        <w:t>a</w:t>
      </w:r>
      <w:r w:rsidRPr="00777872">
        <w:rPr>
          <w:sz w:val="24"/>
          <w:szCs w:val="24"/>
        </w:rPr>
        <w:t xml:space="preserve"> svot</w:t>
      </w:r>
      <w:r w:rsidR="0095256D" w:rsidRPr="00777872">
        <w:rPr>
          <w:sz w:val="24"/>
          <w:szCs w:val="24"/>
        </w:rPr>
        <w:t>a</w:t>
      </w:r>
      <w:r w:rsidRPr="00777872">
        <w:rPr>
          <w:sz w:val="24"/>
          <w:szCs w:val="24"/>
        </w:rPr>
        <w:t xml:space="preserve"> za slučaj doživljenja i osiguran</w:t>
      </w:r>
      <w:r w:rsidR="0095256D" w:rsidRPr="00777872">
        <w:rPr>
          <w:sz w:val="24"/>
          <w:szCs w:val="24"/>
        </w:rPr>
        <w:t>a</w:t>
      </w:r>
      <w:r w:rsidRPr="00777872">
        <w:rPr>
          <w:sz w:val="24"/>
          <w:szCs w:val="24"/>
        </w:rPr>
        <w:t xml:space="preserve"> svot</w:t>
      </w:r>
      <w:r w:rsidR="0095256D" w:rsidRPr="00777872">
        <w:rPr>
          <w:sz w:val="24"/>
          <w:szCs w:val="24"/>
        </w:rPr>
        <w:t>a</w:t>
      </w:r>
      <w:r w:rsidRPr="00777872">
        <w:rPr>
          <w:sz w:val="24"/>
          <w:szCs w:val="24"/>
        </w:rPr>
        <w:t xml:space="preserve"> za slučaj smrti, koje mogu biti u istom ili različitom</w:t>
      </w:r>
      <w:r w:rsidR="0095256D" w:rsidRPr="00777872">
        <w:rPr>
          <w:sz w:val="24"/>
          <w:szCs w:val="24"/>
        </w:rPr>
        <w:t xml:space="preserve"> novčanom</w:t>
      </w:r>
      <w:r w:rsidRPr="00777872">
        <w:rPr>
          <w:sz w:val="24"/>
          <w:szCs w:val="24"/>
        </w:rPr>
        <w:t xml:space="preserve"> iznosu)</w:t>
      </w:r>
      <w:r w:rsidR="00042925">
        <w:rPr>
          <w:sz w:val="24"/>
          <w:szCs w:val="24"/>
        </w:rPr>
        <w:t>. I</w:t>
      </w:r>
      <w:r w:rsidRPr="00777872">
        <w:rPr>
          <w:sz w:val="24"/>
          <w:szCs w:val="24"/>
        </w:rPr>
        <w:t>sto tako postoje dva</w:t>
      </w:r>
      <w:r w:rsidR="0095256D" w:rsidRPr="00777872">
        <w:rPr>
          <w:sz w:val="24"/>
          <w:szCs w:val="24"/>
        </w:rPr>
        <w:t xml:space="preserve"> različita</w:t>
      </w:r>
      <w:r w:rsidRPr="00777872">
        <w:rPr>
          <w:sz w:val="24"/>
          <w:szCs w:val="24"/>
        </w:rPr>
        <w:t xml:space="preserve"> </w:t>
      </w:r>
      <w:r w:rsidR="00583E7E" w:rsidRPr="00777872">
        <w:rPr>
          <w:sz w:val="24"/>
          <w:szCs w:val="24"/>
        </w:rPr>
        <w:t>korisnika osiguranja:</w:t>
      </w:r>
    </w:p>
    <w:p w:rsidR="00583E7E" w:rsidRPr="00777872" w:rsidRDefault="00583E7E" w:rsidP="00C86D78">
      <w:pPr>
        <w:numPr>
          <w:ilvl w:val="0"/>
          <w:numId w:val="79"/>
        </w:numPr>
        <w:spacing w:line="240" w:lineRule="auto"/>
        <w:ind w:left="714" w:hanging="357"/>
        <w:jc w:val="both"/>
        <w:rPr>
          <w:sz w:val="24"/>
          <w:szCs w:val="24"/>
        </w:rPr>
      </w:pPr>
      <w:r w:rsidRPr="00777872">
        <w:rPr>
          <w:color w:val="C00000"/>
          <w:sz w:val="24"/>
          <w:szCs w:val="24"/>
        </w:rPr>
        <w:t xml:space="preserve">korisnik za slučaj doživljenja </w:t>
      </w:r>
      <w:r w:rsidRPr="00777872">
        <w:rPr>
          <w:sz w:val="24"/>
          <w:szCs w:val="24"/>
        </w:rPr>
        <w:t>(</w:t>
      </w:r>
      <w:r w:rsidR="00042925">
        <w:rPr>
          <w:sz w:val="24"/>
          <w:szCs w:val="24"/>
        </w:rPr>
        <w:t xml:space="preserve">npr. kod osiguranja koje samostalno ugovaraju pojedinci </w:t>
      </w:r>
      <w:r w:rsidR="00383522" w:rsidRPr="00777872">
        <w:rPr>
          <w:sz w:val="24"/>
          <w:szCs w:val="24"/>
        </w:rPr>
        <w:t>najčešć</w:t>
      </w:r>
      <w:r w:rsidR="00042925">
        <w:rPr>
          <w:sz w:val="24"/>
          <w:szCs w:val="24"/>
        </w:rPr>
        <w:t>e</w:t>
      </w:r>
      <w:r w:rsidR="00383522" w:rsidRPr="00777872">
        <w:rPr>
          <w:sz w:val="24"/>
          <w:szCs w:val="24"/>
        </w:rPr>
        <w:t xml:space="preserve"> je to </w:t>
      </w:r>
      <w:r w:rsidRPr="00777872">
        <w:rPr>
          <w:sz w:val="24"/>
          <w:szCs w:val="24"/>
        </w:rPr>
        <w:t xml:space="preserve">ista osoba </w:t>
      </w:r>
      <w:r w:rsidR="00383522" w:rsidRPr="00777872">
        <w:rPr>
          <w:sz w:val="24"/>
          <w:szCs w:val="24"/>
        </w:rPr>
        <w:t>koja se ujedno javlja kao ugovaratelj osiguranja i osiguranik</w:t>
      </w:r>
      <w:r w:rsidR="00042925">
        <w:rPr>
          <w:sz w:val="24"/>
          <w:szCs w:val="24"/>
        </w:rPr>
        <w:t xml:space="preserve"> pa stoga životno osiguranje ima obilježja štednje; međutim kod osiguranja koja ugovaraju poslodavci čest je slučaj da je ugovaratelj i korisnik za slučaj doživljenja poslovni subjekt, a zaposlenik se javlja kao osiguranik – što je također najčešće povezano uz štednu funkciju osiguranja iako može imati i drugu svrhu</w:t>
      </w:r>
      <w:r w:rsidR="00383522" w:rsidRPr="00777872">
        <w:rPr>
          <w:sz w:val="24"/>
          <w:szCs w:val="24"/>
        </w:rPr>
        <w:t xml:space="preserve">) </w:t>
      </w:r>
    </w:p>
    <w:p w:rsidR="00583E7E" w:rsidRPr="00777872" w:rsidRDefault="00583E7E" w:rsidP="00C86D78">
      <w:pPr>
        <w:numPr>
          <w:ilvl w:val="0"/>
          <w:numId w:val="79"/>
        </w:numPr>
        <w:spacing w:line="240" w:lineRule="auto"/>
        <w:ind w:left="714" w:hanging="357"/>
        <w:jc w:val="both"/>
        <w:rPr>
          <w:sz w:val="24"/>
          <w:szCs w:val="24"/>
        </w:rPr>
      </w:pPr>
      <w:r w:rsidRPr="00777872">
        <w:rPr>
          <w:color w:val="C00000"/>
          <w:sz w:val="24"/>
          <w:szCs w:val="24"/>
        </w:rPr>
        <w:t xml:space="preserve">korisnik za slučaj smrti </w:t>
      </w:r>
      <w:r w:rsidRPr="00777872">
        <w:rPr>
          <w:sz w:val="24"/>
          <w:szCs w:val="24"/>
        </w:rPr>
        <w:t>(</w:t>
      </w:r>
      <w:r w:rsidR="00383522" w:rsidRPr="00777872">
        <w:rPr>
          <w:sz w:val="24"/>
          <w:szCs w:val="24"/>
        </w:rPr>
        <w:t xml:space="preserve">može uključiti jednu ili više osoba koje odredi ugovaratelj osiguranja, a to po njegovom izboru mogu biti npr. </w:t>
      </w:r>
      <w:r w:rsidRPr="00777872">
        <w:rPr>
          <w:sz w:val="24"/>
          <w:szCs w:val="24"/>
        </w:rPr>
        <w:t xml:space="preserve">zakonski nasljednici ili druga osoba/osobe).  </w:t>
      </w:r>
    </w:p>
    <w:p w:rsidR="0095256D" w:rsidRPr="00777872" w:rsidRDefault="0095256D" w:rsidP="00777872">
      <w:pPr>
        <w:pStyle w:val="Obinitekst"/>
        <w:spacing w:after="200" w:line="276" w:lineRule="auto"/>
        <w:jc w:val="both"/>
        <w:rPr>
          <w:rFonts w:asciiTheme="minorHAnsi" w:eastAsiaTheme="minorHAnsi" w:hAnsiTheme="minorHAnsi" w:cstheme="minorBidi"/>
          <w:color w:val="000000" w:themeColor="text1"/>
          <w:sz w:val="24"/>
          <w:szCs w:val="24"/>
          <w:lang w:eastAsia="en-US"/>
        </w:rPr>
      </w:pPr>
      <w:r w:rsidRPr="00777872">
        <w:rPr>
          <w:rFonts w:asciiTheme="minorHAnsi" w:eastAsiaTheme="minorHAnsi" w:hAnsiTheme="minorHAnsi" w:cstheme="minorBidi"/>
          <w:sz w:val="24"/>
          <w:szCs w:val="24"/>
          <w:lang w:eastAsia="en-US"/>
        </w:rPr>
        <w:t xml:space="preserve">Iako se radi o proizvodu životnog osiguranja s obilježjima štednje (a u tu svrhu se plaća i dio </w:t>
      </w:r>
      <w:r w:rsidR="002758CC">
        <w:rPr>
          <w:rFonts w:asciiTheme="minorHAnsi" w:eastAsiaTheme="minorHAnsi" w:hAnsiTheme="minorHAnsi" w:cstheme="minorBidi"/>
          <w:sz w:val="24"/>
          <w:szCs w:val="24"/>
          <w:lang w:eastAsia="en-US"/>
        </w:rPr>
        <w:t xml:space="preserve">ukupne </w:t>
      </w:r>
      <w:r w:rsidRPr="00777872">
        <w:rPr>
          <w:rFonts w:asciiTheme="minorHAnsi" w:eastAsiaTheme="minorHAnsi" w:hAnsiTheme="minorHAnsi" w:cstheme="minorBidi"/>
          <w:sz w:val="24"/>
          <w:szCs w:val="24"/>
          <w:lang w:eastAsia="en-US"/>
        </w:rPr>
        <w:t xml:space="preserve">premije vezan uz </w:t>
      </w:r>
      <w:r w:rsidR="002758CC">
        <w:rPr>
          <w:rFonts w:asciiTheme="minorHAnsi" w:eastAsiaTheme="minorHAnsi" w:hAnsiTheme="minorHAnsi" w:cstheme="minorBidi"/>
          <w:sz w:val="24"/>
          <w:szCs w:val="24"/>
          <w:lang w:eastAsia="en-US"/>
        </w:rPr>
        <w:t xml:space="preserve">premiju za </w:t>
      </w:r>
      <w:r w:rsidRPr="00777872">
        <w:rPr>
          <w:rFonts w:asciiTheme="minorHAnsi" w:eastAsiaTheme="minorHAnsi" w:hAnsiTheme="minorHAnsi" w:cstheme="minorBidi"/>
          <w:sz w:val="24"/>
          <w:szCs w:val="24"/>
          <w:lang w:eastAsia="en-US"/>
        </w:rPr>
        <w:t xml:space="preserve">slučaj doživljenja), treba voditi računa da je </w:t>
      </w:r>
      <w:r w:rsidRPr="00777872">
        <w:rPr>
          <w:rFonts w:asciiTheme="minorHAnsi" w:eastAsiaTheme="minorHAnsi" w:hAnsiTheme="minorHAnsi" w:cstheme="minorBidi"/>
          <w:color w:val="C00000"/>
          <w:sz w:val="24"/>
          <w:szCs w:val="24"/>
          <w:lang w:eastAsia="en-US"/>
        </w:rPr>
        <w:t xml:space="preserve">štednja </w:t>
      </w:r>
      <w:r w:rsidR="002758CC">
        <w:rPr>
          <w:rFonts w:asciiTheme="minorHAnsi" w:eastAsiaTheme="minorHAnsi" w:hAnsiTheme="minorHAnsi" w:cstheme="minorBidi"/>
          <w:color w:val="C00000"/>
          <w:sz w:val="24"/>
          <w:szCs w:val="24"/>
          <w:lang w:eastAsia="en-US"/>
        </w:rPr>
        <w:t xml:space="preserve">njegova </w:t>
      </w:r>
      <w:r w:rsidRPr="00777872">
        <w:rPr>
          <w:rFonts w:asciiTheme="minorHAnsi" w:eastAsiaTheme="minorHAnsi" w:hAnsiTheme="minorHAnsi" w:cstheme="minorBidi"/>
          <w:color w:val="C00000"/>
          <w:sz w:val="24"/>
          <w:szCs w:val="24"/>
          <w:lang w:eastAsia="en-US"/>
        </w:rPr>
        <w:t>dodatna pogodnost, a ne primarna svrha</w:t>
      </w:r>
      <w:r w:rsidRPr="00777872">
        <w:rPr>
          <w:rFonts w:asciiTheme="minorHAnsi" w:eastAsiaTheme="minorHAnsi" w:hAnsiTheme="minorHAnsi" w:cstheme="minorBidi"/>
          <w:sz w:val="24"/>
          <w:szCs w:val="24"/>
          <w:lang w:eastAsia="en-US"/>
        </w:rPr>
        <w:t>. Primarna svrha je osiguranje i ublažavanje financijskih gubitaka osoba čija se sigurnost želi zaštititi u slučaju smrti osiguranika. Funkcija osiguranja time dolazi do izražaja kroz tzv</w:t>
      </w:r>
      <w:r w:rsidRPr="00777872">
        <w:rPr>
          <w:rFonts w:asciiTheme="minorHAnsi" w:eastAsiaTheme="minorHAnsi" w:hAnsiTheme="minorHAnsi" w:cstheme="minorBidi"/>
          <w:color w:val="C00000"/>
          <w:sz w:val="24"/>
          <w:szCs w:val="24"/>
          <w:lang w:eastAsia="en-US"/>
        </w:rPr>
        <w:t xml:space="preserve">. posrednu ekonomsko-financijsku zaštitu </w:t>
      </w:r>
      <w:r w:rsidRPr="00777872">
        <w:rPr>
          <w:rFonts w:asciiTheme="minorHAnsi" w:eastAsiaTheme="minorHAnsi" w:hAnsiTheme="minorHAnsi" w:cstheme="minorBidi"/>
          <w:sz w:val="24"/>
          <w:szCs w:val="24"/>
          <w:lang w:eastAsia="en-US"/>
        </w:rPr>
        <w:t>u okviru koje ugovaratelj osiguranja preuzima obvezu plaćanja premije osiguranja, kako bi u slučaju nastupa štetnog događaja, osoba u svojstvu korisnika namirila ekonomsko/financijske gubitke predviđene ugovorenim oblikom osiguranja.</w:t>
      </w:r>
      <w:r w:rsidR="00777872" w:rsidRPr="00777872">
        <w:rPr>
          <w:rStyle w:val="Referencafusnote"/>
          <w:rFonts w:asciiTheme="minorHAnsi" w:eastAsiaTheme="minorHAnsi" w:hAnsiTheme="minorHAnsi" w:cstheme="minorBidi"/>
          <w:sz w:val="24"/>
          <w:szCs w:val="24"/>
          <w:lang w:eastAsia="en-US"/>
        </w:rPr>
        <w:footnoteReference w:id="84"/>
      </w:r>
      <w:r w:rsidR="002758CC">
        <w:rPr>
          <w:rFonts w:asciiTheme="minorHAnsi" w:eastAsiaTheme="minorHAnsi" w:hAnsiTheme="minorHAnsi" w:cstheme="minorBidi"/>
          <w:sz w:val="24"/>
          <w:szCs w:val="24"/>
          <w:lang w:eastAsia="en-US"/>
        </w:rPr>
        <w:t>Međutim</w:t>
      </w:r>
      <w:r w:rsidR="00777872" w:rsidRPr="00777872">
        <w:rPr>
          <w:rFonts w:asciiTheme="minorHAnsi" w:eastAsiaTheme="minorHAnsi" w:hAnsiTheme="minorHAnsi" w:cstheme="minorBidi"/>
          <w:sz w:val="24"/>
          <w:szCs w:val="24"/>
          <w:lang w:eastAsia="en-US"/>
        </w:rPr>
        <w:t>, ugovaratelj osiguranja treba dobro proučiti uvjete osiguranja koje</w:t>
      </w:r>
      <w:r w:rsidR="002758CC">
        <w:rPr>
          <w:rFonts w:asciiTheme="minorHAnsi" w:eastAsiaTheme="minorHAnsi" w:hAnsiTheme="minorHAnsi" w:cstheme="minorBidi"/>
          <w:sz w:val="24"/>
          <w:szCs w:val="24"/>
          <w:lang w:eastAsia="en-US"/>
        </w:rPr>
        <w:t xml:space="preserve"> prihvaća</w:t>
      </w:r>
      <w:r w:rsidR="00777872" w:rsidRPr="00777872">
        <w:rPr>
          <w:rFonts w:asciiTheme="minorHAnsi" w:eastAsiaTheme="minorHAnsi" w:hAnsiTheme="minorHAnsi" w:cstheme="minorBidi"/>
          <w:sz w:val="24"/>
          <w:szCs w:val="24"/>
          <w:lang w:eastAsia="en-US"/>
        </w:rPr>
        <w:t xml:space="preserve">, </w:t>
      </w:r>
      <w:r w:rsidR="002758CC">
        <w:rPr>
          <w:rFonts w:asciiTheme="minorHAnsi" w:eastAsiaTheme="minorHAnsi" w:hAnsiTheme="minorHAnsi" w:cstheme="minorBidi"/>
          <w:sz w:val="24"/>
          <w:szCs w:val="24"/>
          <w:lang w:eastAsia="en-US"/>
        </w:rPr>
        <w:t>a posebno proučiti</w:t>
      </w:r>
      <w:r w:rsidR="00777872" w:rsidRPr="00777872">
        <w:rPr>
          <w:rFonts w:asciiTheme="minorHAnsi" w:eastAsiaTheme="minorHAnsi" w:hAnsiTheme="minorHAnsi" w:cstheme="minorBidi"/>
          <w:sz w:val="24"/>
          <w:szCs w:val="24"/>
          <w:lang w:eastAsia="en-US"/>
        </w:rPr>
        <w:t xml:space="preserve"> </w:t>
      </w:r>
      <w:r w:rsidR="00777872" w:rsidRPr="00777872">
        <w:rPr>
          <w:rFonts w:asciiTheme="minorHAnsi" w:eastAsiaTheme="minorHAnsi" w:hAnsiTheme="minorHAnsi" w:cstheme="minorBidi"/>
          <w:color w:val="000000" w:themeColor="text1"/>
          <w:sz w:val="24"/>
          <w:szCs w:val="24"/>
          <w:lang w:eastAsia="en-US"/>
        </w:rPr>
        <w:t xml:space="preserve">rizike koji eventualno nisu pokriveni (npr. moguće je da nisu pokriveni rizici u slučaju smrti od moždanog udara ili drugi), odnosno </w:t>
      </w:r>
      <w:r w:rsidR="00777872">
        <w:rPr>
          <w:rFonts w:asciiTheme="minorHAnsi" w:eastAsiaTheme="minorHAnsi" w:hAnsiTheme="minorHAnsi" w:cstheme="minorBidi"/>
          <w:color w:val="000000" w:themeColor="text1"/>
          <w:sz w:val="24"/>
          <w:szCs w:val="24"/>
          <w:lang w:eastAsia="en-US"/>
        </w:rPr>
        <w:t xml:space="preserve">proučiti </w:t>
      </w:r>
      <w:r w:rsidR="00777872" w:rsidRPr="00777872">
        <w:rPr>
          <w:rFonts w:asciiTheme="minorHAnsi" w:eastAsiaTheme="minorHAnsi" w:hAnsiTheme="minorHAnsi" w:cstheme="minorBidi"/>
          <w:color w:val="000000" w:themeColor="text1"/>
          <w:sz w:val="24"/>
          <w:szCs w:val="24"/>
          <w:lang w:eastAsia="en-US"/>
        </w:rPr>
        <w:t xml:space="preserve">da li je pokriven rizik smrti neovisno o razlozima nastupanja. </w:t>
      </w:r>
    </w:p>
    <w:p w:rsidR="008054DC" w:rsidRDefault="00383522" w:rsidP="00777872">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777872">
        <w:rPr>
          <w:rFonts w:asciiTheme="minorHAnsi" w:eastAsiaTheme="minorHAnsi" w:hAnsiTheme="minorHAnsi" w:cstheme="minorBidi"/>
          <w:lang w:eastAsia="en-US"/>
        </w:rPr>
        <w:t>M</w:t>
      </w:r>
      <w:r w:rsidR="0095256D" w:rsidRPr="00777872">
        <w:rPr>
          <w:rFonts w:asciiTheme="minorHAnsi" w:eastAsiaTheme="minorHAnsi" w:hAnsiTheme="minorHAnsi" w:cstheme="minorBidi"/>
          <w:lang w:eastAsia="en-US"/>
        </w:rPr>
        <w:t>ješovito životno osiguranje m</w:t>
      </w:r>
      <w:r w:rsidRPr="00777872">
        <w:rPr>
          <w:rFonts w:asciiTheme="minorHAnsi" w:eastAsiaTheme="minorHAnsi" w:hAnsiTheme="minorHAnsi" w:cstheme="minorBidi"/>
          <w:lang w:eastAsia="en-US"/>
        </w:rPr>
        <w:t xml:space="preserve">ože se ugovoriti u trajanju od najmanje 5 do najviše 30 godina, što znači da se radi o obliku </w:t>
      </w:r>
      <w:r w:rsidRPr="00D35D37">
        <w:rPr>
          <w:rFonts w:asciiTheme="minorHAnsi" w:eastAsiaTheme="minorHAnsi" w:hAnsiTheme="minorHAnsi" w:cstheme="minorBidi"/>
          <w:lang w:eastAsia="en-US"/>
        </w:rPr>
        <w:t>d</w:t>
      </w:r>
      <w:r w:rsidR="00042925" w:rsidRPr="00D35D37">
        <w:rPr>
          <w:rFonts w:asciiTheme="minorHAnsi" w:eastAsiaTheme="minorHAnsi" w:hAnsiTheme="minorHAnsi" w:cstheme="minorBidi"/>
          <w:lang w:eastAsia="en-US"/>
        </w:rPr>
        <w:t xml:space="preserve">ugoročnog osiguranja, odnosno </w:t>
      </w:r>
      <w:r w:rsidR="00042925">
        <w:rPr>
          <w:rFonts w:asciiTheme="minorHAnsi" w:eastAsiaTheme="minorHAnsi" w:hAnsiTheme="minorHAnsi" w:cstheme="minorBidi"/>
          <w:color w:val="C00000"/>
          <w:lang w:eastAsia="en-US"/>
        </w:rPr>
        <w:t>dugoročne</w:t>
      </w:r>
      <w:r w:rsidRPr="00777872">
        <w:rPr>
          <w:rFonts w:asciiTheme="minorHAnsi" w:eastAsiaTheme="minorHAnsi" w:hAnsiTheme="minorHAnsi" w:cstheme="minorBidi"/>
          <w:color w:val="C00000"/>
          <w:lang w:eastAsia="en-US"/>
        </w:rPr>
        <w:t xml:space="preserve"> </w:t>
      </w:r>
      <w:r w:rsidR="000867A4" w:rsidRPr="00777872">
        <w:rPr>
          <w:rFonts w:asciiTheme="minorHAnsi" w:eastAsiaTheme="minorHAnsi" w:hAnsiTheme="minorHAnsi" w:cstheme="minorBidi"/>
          <w:color w:val="C00000"/>
          <w:lang w:eastAsia="en-US"/>
        </w:rPr>
        <w:t xml:space="preserve">ugovorne </w:t>
      </w:r>
      <w:r w:rsidRPr="00777872">
        <w:rPr>
          <w:rFonts w:asciiTheme="minorHAnsi" w:eastAsiaTheme="minorHAnsi" w:hAnsiTheme="minorHAnsi" w:cstheme="minorBidi"/>
          <w:color w:val="C00000"/>
          <w:lang w:eastAsia="en-US"/>
        </w:rPr>
        <w:t>štednje</w:t>
      </w:r>
      <w:r w:rsidR="00042925" w:rsidRPr="00D35D37">
        <w:rPr>
          <w:rFonts w:asciiTheme="minorHAnsi" w:eastAsiaTheme="minorHAnsi" w:hAnsiTheme="minorHAnsi" w:cstheme="minorBidi"/>
          <w:lang w:eastAsia="en-US"/>
        </w:rPr>
        <w:t xml:space="preserve">. Ujedno je </w:t>
      </w:r>
      <w:r w:rsidR="00042925" w:rsidRPr="008054DC">
        <w:rPr>
          <w:rFonts w:asciiTheme="minorHAnsi" w:eastAsiaTheme="minorHAnsi" w:hAnsiTheme="minorHAnsi" w:cstheme="minorBidi"/>
          <w:color w:val="C00000"/>
          <w:lang w:eastAsia="en-US"/>
        </w:rPr>
        <w:t xml:space="preserve">manje likvidan </w:t>
      </w:r>
      <w:r w:rsidR="00D35D37" w:rsidRPr="008054DC">
        <w:rPr>
          <w:rFonts w:asciiTheme="minorHAnsi" w:eastAsiaTheme="minorHAnsi" w:hAnsiTheme="minorHAnsi" w:cstheme="minorBidi"/>
          <w:color w:val="C00000"/>
          <w:lang w:eastAsia="en-US"/>
        </w:rPr>
        <w:t xml:space="preserve">(pa čak </w:t>
      </w:r>
      <w:r w:rsidR="002758CC" w:rsidRPr="008054DC">
        <w:rPr>
          <w:rFonts w:asciiTheme="minorHAnsi" w:eastAsiaTheme="minorHAnsi" w:hAnsiTheme="minorHAnsi" w:cstheme="minorBidi"/>
          <w:color w:val="C00000"/>
          <w:lang w:eastAsia="en-US"/>
        </w:rPr>
        <w:t xml:space="preserve">ponekad </w:t>
      </w:r>
      <w:r w:rsidR="00D35D37" w:rsidRPr="008054DC">
        <w:rPr>
          <w:rFonts w:asciiTheme="minorHAnsi" w:eastAsiaTheme="minorHAnsi" w:hAnsiTheme="minorHAnsi" w:cstheme="minorBidi"/>
          <w:color w:val="C00000"/>
          <w:lang w:eastAsia="en-US"/>
        </w:rPr>
        <w:t xml:space="preserve">i nelikvidan) </w:t>
      </w:r>
      <w:r w:rsidR="00042925" w:rsidRPr="008054DC">
        <w:rPr>
          <w:rFonts w:asciiTheme="minorHAnsi" w:eastAsiaTheme="minorHAnsi" w:hAnsiTheme="minorHAnsi" w:cstheme="minorBidi"/>
          <w:color w:val="C00000"/>
          <w:lang w:eastAsia="en-US"/>
        </w:rPr>
        <w:t xml:space="preserve">oblik </w:t>
      </w:r>
      <w:r w:rsidRPr="008054DC">
        <w:rPr>
          <w:rFonts w:asciiTheme="minorHAnsi" w:eastAsiaTheme="minorHAnsi" w:hAnsiTheme="minorHAnsi" w:cstheme="minorBidi"/>
          <w:color w:val="C00000"/>
          <w:lang w:eastAsia="en-US"/>
        </w:rPr>
        <w:t xml:space="preserve">imovine </w:t>
      </w:r>
      <w:r w:rsidR="00042925" w:rsidRPr="008054DC">
        <w:rPr>
          <w:rFonts w:asciiTheme="minorHAnsi" w:eastAsiaTheme="minorHAnsi" w:hAnsiTheme="minorHAnsi" w:cstheme="minorBidi"/>
          <w:color w:val="C00000"/>
          <w:lang w:eastAsia="en-US"/>
        </w:rPr>
        <w:t xml:space="preserve">kućanstva </w:t>
      </w:r>
      <w:r w:rsidRPr="00D35D37">
        <w:rPr>
          <w:rFonts w:asciiTheme="minorHAnsi" w:eastAsiaTheme="minorHAnsi" w:hAnsiTheme="minorHAnsi" w:cstheme="minorBidi"/>
          <w:lang w:eastAsia="en-US"/>
        </w:rPr>
        <w:t>u funkciji štednje</w:t>
      </w:r>
      <w:r w:rsidR="00D35D37">
        <w:rPr>
          <w:rFonts w:asciiTheme="minorHAnsi" w:eastAsiaTheme="minorHAnsi" w:hAnsiTheme="minorHAnsi" w:cstheme="minorBidi"/>
          <w:lang w:eastAsia="en-US"/>
        </w:rPr>
        <w:t>, pri</w:t>
      </w:r>
      <w:r w:rsidR="002758CC">
        <w:rPr>
          <w:rFonts w:asciiTheme="minorHAnsi" w:eastAsiaTheme="minorHAnsi" w:hAnsiTheme="minorHAnsi" w:cstheme="minorBidi"/>
          <w:lang w:eastAsia="en-US"/>
        </w:rPr>
        <w:t xml:space="preserve"> </w:t>
      </w:r>
      <w:r w:rsidR="00D35D37">
        <w:rPr>
          <w:rFonts w:asciiTheme="minorHAnsi" w:eastAsiaTheme="minorHAnsi" w:hAnsiTheme="minorHAnsi" w:cstheme="minorBidi"/>
          <w:lang w:eastAsia="en-US"/>
        </w:rPr>
        <w:t>čemu</w:t>
      </w:r>
      <w:r w:rsidR="00042925" w:rsidRPr="00D35D37">
        <w:rPr>
          <w:rFonts w:asciiTheme="minorHAnsi" w:eastAsiaTheme="minorHAnsi" w:hAnsiTheme="minorHAnsi" w:cstheme="minorBidi"/>
          <w:lang w:eastAsia="en-US"/>
        </w:rPr>
        <w:t xml:space="preserve"> likvidnost i vrijednost </w:t>
      </w:r>
      <w:r w:rsidR="00D35D37">
        <w:rPr>
          <w:rFonts w:asciiTheme="minorHAnsi" w:eastAsiaTheme="minorHAnsi" w:hAnsiTheme="minorHAnsi" w:cstheme="minorBidi"/>
          <w:lang w:eastAsia="en-US"/>
        </w:rPr>
        <w:t xml:space="preserve">takve imovine </w:t>
      </w:r>
      <w:r w:rsidR="00042925" w:rsidRPr="00D35D37">
        <w:rPr>
          <w:rFonts w:asciiTheme="minorHAnsi" w:eastAsiaTheme="minorHAnsi" w:hAnsiTheme="minorHAnsi" w:cstheme="minorBidi"/>
          <w:lang w:eastAsia="en-US"/>
        </w:rPr>
        <w:t>u bilanci kućanstva ovisi o dužini izdržanog razdoblja osiguranja u odnosu na ugovoreno</w:t>
      </w:r>
      <w:r w:rsidR="00D35D37">
        <w:rPr>
          <w:rFonts w:asciiTheme="minorHAnsi" w:eastAsiaTheme="minorHAnsi" w:hAnsiTheme="minorHAnsi" w:cstheme="minorBidi"/>
          <w:lang w:eastAsia="en-US"/>
        </w:rPr>
        <w:t xml:space="preserve"> trajanje</w:t>
      </w:r>
      <w:r w:rsidR="00042925" w:rsidRPr="00D35D37">
        <w:rPr>
          <w:rFonts w:asciiTheme="minorHAnsi" w:eastAsiaTheme="minorHAnsi" w:hAnsiTheme="minorHAnsi" w:cstheme="minorBidi"/>
          <w:lang w:eastAsia="en-US"/>
        </w:rPr>
        <w:t xml:space="preserve"> te </w:t>
      </w:r>
      <w:r w:rsidR="00D35D37">
        <w:rPr>
          <w:rFonts w:asciiTheme="minorHAnsi" w:eastAsiaTheme="minorHAnsi" w:hAnsiTheme="minorHAnsi" w:cstheme="minorBidi"/>
          <w:lang w:eastAsia="en-US"/>
        </w:rPr>
        <w:t xml:space="preserve">o </w:t>
      </w:r>
      <w:r w:rsidR="00042925" w:rsidRPr="00D35D37">
        <w:rPr>
          <w:rFonts w:asciiTheme="minorHAnsi" w:eastAsiaTheme="minorHAnsi" w:hAnsiTheme="minorHAnsi" w:cstheme="minorBidi"/>
          <w:lang w:eastAsia="en-US"/>
        </w:rPr>
        <w:t>otkupno</w:t>
      </w:r>
      <w:r w:rsidR="00D35D37">
        <w:rPr>
          <w:rFonts w:asciiTheme="minorHAnsi" w:eastAsiaTheme="minorHAnsi" w:hAnsiTheme="minorHAnsi" w:cstheme="minorBidi"/>
          <w:lang w:eastAsia="en-US"/>
        </w:rPr>
        <w:t>j</w:t>
      </w:r>
      <w:r w:rsidR="00042925" w:rsidRPr="00D35D37">
        <w:rPr>
          <w:rFonts w:asciiTheme="minorHAnsi" w:eastAsiaTheme="minorHAnsi" w:hAnsiTheme="minorHAnsi" w:cstheme="minorBidi"/>
          <w:lang w:eastAsia="en-US"/>
        </w:rPr>
        <w:t xml:space="preserve"> vrijednosti police</w:t>
      </w:r>
      <w:r w:rsidRPr="00D35D37">
        <w:rPr>
          <w:rFonts w:asciiTheme="minorHAnsi" w:eastAsiaTheme="minorHAnsi" w:hAnsiTheme="minorHAnsi" w:cstheme="minorBidi"/>
          <w:lang w:eastAsia="en-US"/>
        </w:rPr>
        <w:t xml:space="preserve">. </w:t>
      </w:r>
      <w:r w:rsidR="008054DC">
        <w:rPr>
          <w:rFonts w:asciiTheme="minorHAnsi" w:eastAsiaTheme="minorHAnsi" w:hAnsiTheme="minorHAnsi" w:cstheme="minorBidi"/>
          <w:lang w:eastAsia="en-US"/>
        </w:rPr>
        <w:t xml:space="preserve">U slučaju dugoročnog mješovitog životnog osiguranja, kako se bliži istek vremena trajanja osiguranja otkupa vrijednost police je veća (pa time i likvidnost u punom značenju pojma), a polica osiguranja je prikladna za korištenje kao </w:t>
      </w:r>
      <w:r w:rsidR="008054DC" w:rsidRPr="008054DC">
        <w:rPr>
          <w:rFonts w:asciiTheme="minorHAnsi" w:eastAsiaTheme="minorHAnsi" w:hAnsiTheme="minorHAnsi" w:cstheme="minorBidi"/>
          <w:color w:val="C00000"/>
          <w:lang w:eastAsia="en-US"/>
        </w:rPr>
        <w:t>kolateral kod lombardnih i drugih kredita banaka</w:t>
      </w:r>
      <w:r w:rsidR="008054DC">
        <w:rPr>
          <w:rFonts w:asciiTheme="minorHAnsi" w:eastAsiaTheme="minorHAnsi" w:hAnsiTheme="minorHAnsi" w:cstheme="minorBidi"/>
          <w:lang w:eastAsia="en-US"/>
        </w:rPr>
        <w:t xml:space="preserve">, a moguće je najčešće realizirati kredit i preko društva za osiguranje. </w:t>
      </w:r>
    </w:p>
    <w:p w:rsidR="00A74945" w:rsidRDefault="008054DC" w:rsidP="00777872">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lastRenderedPageBreak/>
        <w:t xml:space="preserve">Međutim, </w:t>
      </w:r>
      <w:r w:rsidRPr="008054DC">
        <w:rPr>
          <w:rFonts w:asciiTheme="minorHAnsi" w:eastAsiaTheme="minorHAnsi" w:hAnsiTheme="minorHAnsi" w:cstheme="minorBidi"/>
          <w:color w:val="C00000"/>
          <w:lang w:eastAsia="en-US"/>
        </w:rPr>
        <w:t>pr</w:t>
      </w:r>
      <w:r w:rsidR="00383522" w:rsidRPr="008054DC">
        <w:rPr>
          <w:rFonts w:asciiTheme="minorHAnsi" w:eastAsiaTheme="minorHAnsi" w:hAnsiTheme="minorHAnsi" w:cstheme="minorBidi"/>
          <w:color w:val="C00000"/>
          <w:lang w:eastAsia="en-US"/>
        </w:rPr>
        <w:t>ekid plaćanja ugovorenih premija osiguranja nosi niz negativnih konsekvenci</w:t>
      </w:r>
      <w:r w:rsidR="00383522" w:rsidRPr="00777872">
        <w:rPr>
          <w:rFonts w:asciiTheme="minorHAnsi" w:eastAsiaTheme="minorHAnsi" w:hAnsiTheme="minorHAnsi" w:cstheme="minorBidi"/>
          <w:lang w:eastAsia="en-US"/>
        </w:rPr>
        <w:t xml:space="preserve">. U slučaju kada nisu uplaćene </w:t>
      </w:r>
      <w:r>
        <w:rPr>
          <w:rFonts w:asciiTheme="minorHAnsi" w:eastAsiaTheme="minorHAnsi" w:hAnsiTheme="minorHAnsi" w:cstheme="minorBidi"/>
          <w:lang w:eastAsia="en-US"/>
        </w:rPr>
        <w:t xml:space="preserve">npr. </w:t>
      </w:r>
      <w:r w:rsidR="00383522" w:rsidRPr="00777872">
        <w:rPr>
          <w:rFonts w:asciiTheme="minorHAnsi" w:eastAsiaTheme="minorHAnsi" w:hAnsiTheme="minorHAnsi" w:cstheme="minorBidi"/>
          <w:lang w:eastAsia="en-US"/>
        </w:rPr>
        <w:t xml:space="preserve">najmanje tri godišnje premije, prekid plaćanja premija praktično znači gubitak ukupnih </w:t>
      </w:r>
      <w:r w:rsidR="000867A4" w:rsidRPr="00777872">
        <w:rPr>
          <w:rFonts w:asciiTheme="minorHAnsi" w:eastAsiaTheme="minorHAnsi" w:hAnsiTheme="minorHAnsi" w:cstheme="minorBidi"/>
          <w:lang w:eastAsia="en-US"/>
        </w:rPr>
        <w:t>plaćenih sredstava</w:t>
      </w:r>
      <w:r w:rsidR="00777872">
        <w:rPr>
          <w:rFonts w:asciiTheme="minorHAnsi" w:eastAsiaTheme="minorHAnsi" w:hAnsiTheme="minorHAnsi" w:cstheme="minorBidi"/>
          <w:lang w:eastAsia="en-US"/>
        </w:rPr>
        <w:t xml:space="preserve"> te prestanak obveze osiguratelja u isplati osigurane svote</w:t>
      </w:r>
      <w:r w:rsidR="000867A4" w:rsidRPr="00777872">
        <w:rPr>
          <w:rFonts w:asciiTheme="minorHAnsi" w:eastAsiaTheme="minorHAnsi" w:hAnsiTheme="minorHAnsi" w:cstheme="minorBidi"/>
          <w:lang w:eastAsia="en-US"/>
        </w:rPr>
        <w:t>. U slučaju kada su uplaćene najmanje tri godišnje premije, a</w:t>
      </w:r>
      <w:r w:rsidR="00583E7E" w:rsidRPr="00777872">
        <w:rPr>
          <w:rFonts w:asciiTheme="minorHAnsi" w:eastAsiaTheme="minorHAnsi" w:hAnsiTheme="minorHAnsi" w:cstheme="minorBidi"/>
          <w:lang w:eastAsia="en-US"/>
        </w:rPr>
        <w:t xml:space="preserve">ko ugovaratelj osiguranja </w:t>
      </w:r>
      <w:r w:rsidR="000867A4" w:rsidRPr="00777872">
        <w:rPr>
          <w:rFonts w:asciiTheme="minorHAnsi" w:eastAsiaTheme="minorHAnsi" w:hAnsiTheme="minorHAnsi" w:cstheme="minorBidi"/>
          <w:lang w:eastAsia="en-US"/>
        </w:rPr>
        <w:t xml:space="preserve">želi </w:t>
      </w:r>
      <w:r w:rsidR="00583E7E" w:rsidRPr="00777872">
        <w:rPr>
          <w:rFonts w:asciiTheme="minorHAnsi" w:eastAsiaTheme="minorHAnsi" w:hAnsiTheme="minorHAnsi" w:cstheme="minorBidi"/>
          <w:lang w:eastAsia="en-US"/>
        </w:rPr>
        <w:t>raskinuti ugovor o osiguranju</w:t>
      </w:r>
      <w:r w:rsidR="000867A4" w:rsidRPr="00777872">
        <w:rPr>
          <w:rFonts w:asciiTheme="minorHAnsi" w:eastAsiaTheme="minorHAnsi" w:hAnsiTheme="minorHAnsi" w:cstheme="minorBidi"/>
          <w:lang w:eastAsia="en-US"/>
        </w:rPr>
        <w:t xml:space="preserve"> (jer npr. ne može ili ne želi više plaćati premije osiguranja)</w:t>
      </w:r>
      <w:r w:rsidR="00583E7E" w:rsidRPr="00777872">
        <w:rPr>
          <w:rFonts w:asciiTheme="minorHAnsi" w:eastAsiaTheme="minorHAnsi" w:hAnsiTheme="minorHAnsi" w:cstheme="minorBidi"/>
          <w:lang w:eastAsia="en-US"/>
        </w:rPr>
        <w:t xml:space="preserve">, ima pravo na </w:t>
      </w:r>
      <w:r w:rsidR="00583E7E" w:rsidRPr="00777872">
        <w:rPr>
          <w:rFonts w:asciiTheme="minorHAnsi" w:eastAsiaTheme="minorHAnsi" w:hAnsiTheme="minorHAnsi" w:cstheme="minorBidi"/>
          <w:color w:val="C00000"/>
          <w:lang w:eastAsia="en-US"/>
        </w:rPr>
        <w:t xml:space="preserve">otkup police </w:t>
      </w:r>
      <w:r w:rsidR="00583E7E" w:rsidRPr="00777872">
        <w:rPr>
          <w:rFonts w:asciiTheme="minorHAnsi" w:eastAsiaTheme="minorHAnsi" w:hAnsiTheme="minorHAnsi" w:cstheme="minorBidi"/>
          <w:lang w:eastAsia="en-US"/>
        </w:rPr>
        <w:t>(po njenoj otkupnoj vrijednosti u danom trenutku)</w:t>
      </w:r>
      <w:r w:rsidR="00777872">
        <w:rPr>
          <w:rFonts w:asciiTheme="minorHAnsi" w:eastAsiaTheme="minorHAnsi" w:hAnsiTheme="minorHAnsi" w:cstheme="minorBidi"/>
          <w:lang w:eastAsia="en-US"/>
        </w:rPr>
        <w:t>,</w:t>
      </w:r>
      <w:r w:rsidR="00583E7E" w:rsidRPr="00777872">
        <w:rPr>
          <w:rFonts w:asciiTheme="minorHAnsi" w:eastAsiaTheme="minorHAnsi" w:hAnsiTheme="minorHAnsi" w:cstheme="minorBidi"/>
          <w:lang w:eastAsia="en-US"/>
        </w:rPr>
        <w:t xml:space="preserve"> </w:t>
      </w:r>
      <w:r w:rsidR="000867A4" w:rsidRPr="00777872">
        <w:rPr>
          <w:rFonts w:asciiTheme="minorHAnsi" w:eastAsiaTheme="minorHAnsi" w:hAnsiTheme="minorHAnsi" w:cstheme="minorBidi"/>
          <w:lang w:eastAsia="en-US"/>
        </w:rPr>
        <w:t xml:space="preserve">ali će ostvariti povrat tek dio </w:t>
      </w:r>
      <w:r>
        <w:rPr>
          <w:rFonts w:asciiTheme="minorHAnsi" w:eastAsiaTheme="minorHAnsi" w:hAnsiTheme="minorHAnsi" w:cstheme="minorBidi"/>
          <w:lang w:eastAsia="en-US"/>
        </w:rPr>
        <w:t xml:space="preserve">sredstava </w:t>
      </w:r>
      <w:r w:rsidR="000867A4" w:rsidRPr="00777872">
        <w:rPr>
          <w:rFonts w:asciiTheme="minorHAnsi" w:eastAsiaTheme="minorHAnsi" w:hAnsiTheme="minorHAnsi" w:cstheme="minorBidi"/>
          <w:lang w:eastAsia="en-US"/>
        </w:rPr>
        <w:t>uplaćene premije (ovisno o dužini razdoblja ugovorenog trajanju osiguranja te</w:t>
      </w:r>
      <w:r w:rsidR="00583E7E" w:rsidRPr="00777872">
        <w:rPr>
          <w:rFonts w:asciiTheme="minorHAnsi" w:eastAsiaTheme="minorHAnsi" w:hAnsiTheme="minorHAnsi" w:cstheme="minorBidi"/>
          <w:lang w:eastAsia="en-US"/>
        </w:rPr>
        <w:t xml:space="preserve"> proteku vremena od početka osiguranja</w:t>
      </w:r>
      <w:r w:rsidR="000867A4" w:rsidRPr="00777872">
        <w:rPr>
          <w:rFonts w:asciiTheme="minorHAnsi" w:eastAsiaTheme="minorHAnsi" w:hAnsiTheme="minorHAnsi" w:cstheme="minorBidi"/>
          <w:lang w:eastAsia="en-US"/>
        </w:rPr>
        <w:t>)</w:t>
      </w:r>
      <w:r>
        <w:rPr>
          <w:rFonts w:asciiTheme="minorHAnsi" w:eastAsiaTheme="minorHAnsi" w:hAnsiTheme="minorHAnsi" w:cstheme="minorBidi"/>
          <w:lang w:eastAsia="en-US"/>
        </w:rPr>
        <w:t>.</w:t>
      </w:r>
    </w:p>
    <w:p w:rsidR="00583E7E" w:rsidRDefault="00583E7E" w:rsidP="00777872">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777872">
        <w:rPr>
          <w:rFonts w:asciiTheme="minorHAnsi" w:eastAsiaTheme="minorHAnsi" w:hAnsiTheme="minorHAnsi" w:cstheme="minorBidi"/>
          <w:lang w:eastAsia="en-US"/>
        </w:rPr>
        <w:t xml:space="preserve">Ako ugovaratelj osiguranja ne može </w:t>
      </w:r>
      <w:r w:rsidR="000867A4" w:rsidRPr="00777872">
        <w:rPr>
          <w:rFonts w:asciiTheme="minorHAnsi" w:eastAsiaTheme="minorHAnsi" w:hAnsiTheme="minorHAnsi" w:cstheme="minorBidi"/>
          <w:lang w:eastAsia="en-US"/>
        </w:rPr>
        <w:t>(</w:t>
      </w:r>
      <w:r w:rsidRPr="00777872">
        <w:rPr>
          <w:rFonts w:asciiTheme="minorHAnsi" w:eastAsiaTheme="minorHAnsi" w:hAnsiTheme="minorHAnsi" w:cstheme="minorBidi"/>
          <w:lang w:eastAsia="en-US"/>
        </w:rPr>
        <w:t>ili ne želi</w:t>
      </w:r>
      <w:r w:rsidR="000867A4" w:rsidRPr="00777872">
        <w:rPr>
          <w:rFonts w:asciiTheme="minorHAnsi" w:eastAsiaTheme="minorHAnsi" w:hAnsiTheme="minorHAnsi" w:cstheme="minorBidi"/>
          <w:lang w:eastAsia="en-US"/>
        </w:rPr>
        <w:t>)</w:t>
      </w:r>
      <w:r w:rsidRPr="00777872">
        <w:rPr>
          <w:rFonts w:asciiTheme="minorHAnsi" w:eastAsiaTheme="minorHAnsi" w:hAnsiTheme="minorHAnsi" w:cstheme="minorBidi"/>
          <w:lang w:eastAsia="en-US"/>
        </w:rPr>
        <w:t xml:space="preserve"> više plaćati premiju životnog osiguranja, a ne želi prekinuti ugovor o osiguranju može tražiti </w:t>
      </w:r>
      <w:r w:rsidRPr="00777872">
        <w:rPr>
          <w:rFonts w:asciiTheme="minorHAnsi" w:eastAsiaTheme="minorHAnsi" w:hAnsiTheme="minorHAnsi" w:cstheme="minorBidi"/>
          <w:color w:val="C00000"/>
          <w:lang w:eastAsia="en-US"/>
        </w:rPr>
        <w:t xml:space="preserve">kapitalizaciju police </w:t>
      </w:r>
      <w:r w:rsidRPr="00777872">
        <w:rPr>
          <w:rFonts w:asciiTheme="minorHAnsi" w:eastAsiaTheme="minorHAnsi" w:hAnsiTheme="minorHAnsi" w:cstheme="minorBidi"/>
          <w:lang w:eastAsia="en-US"/>
        </w:rPr>
        <w:t>na sniženu svotu</w:t>
      </w:r>
      <w:r w:rsidR="00777872">
        <w:rPr>
          <w:rFonts w:asciiTheme="minorHAnsi" w:eastAsiaTheme="minorHAnsi" w:hAnsiTheme="minorHAnsi" w:cstheme="minorBidi"/>
          <w:lang w:eastAsia="en-US"/>
        </w:rPr>
        <w:t xml:space="preserve"> osiguranja, </w:t>
      </w:r>
      <w:r w:rsidRPr="00777872">
        <w:rPr>
          <w:rFonts w:asciiTheme="minorHAnsi" w:eastAsiaTheme="minorHAnsi" w:hAnsiTheme="minorHAnsi" w:cstheme="minorBidi"/>
          <w:lang w:eastAsia="en-US"/>
        </w:rPr>
        <w:t xml:space="preserve">a osiguranje je i daje na snazi </w:t>
      </w:r>
      <w:r w:rsidR="00777872">
        <w:rPr>
          <w:rFonts w:asciiTheme="minorHAnsi" w:eastAsiaTheme="minorHAnsi" w:hAnsiTheme="minorHAnsi" w:cstheme="minorBidi"/>
          <w:lang w:eastAsia="en-US"/>
        </w:rPr>
        <w:t xml:space="preserve">(uz </w:t>
      </w:r>
      <w:r w:rsidR="00777872" w:rsidRPr="00777872">
        <w:rPr>
          <w:rFonts w:asciiTheme="minorHAnsi" w:eastAsiaTheme="minorHAnsi" w:hAnsiTheme="minorHAnsi" w:cstheme="minorBidi"/>
          <w:lang w:eastAsia="en-US"/>
        </w:rPr>
        <w:t>sniženi iznos osiguranja</w:t>
      </w:r>
      <w:r w:rsidR="00777872">
        <w:rPr>
          <w:rFonts w:asciiTheme="minorHAnsi" w:eastAsiaTheme="minorHAnsi" w:hAnsiTheme="minorHAnsi" w:cstheme="minorBidi"/>
          <w:lang w:eastAsia="en-US"/>
        </w:rPr>
        <w:t>)</w:t>
      </w:r>
      <w:r w:rsidR="00777872" w:rsidRPr="00777872">
        <w:rPr>
          <w:rFonts w:asciiTheme="minorHAnsi" w:eastAsiaTheme="minorHAnsi" w:hAnsiTheme="minorHAnsi" w:cstheme="minorBidi"/>
          <w:lang w:eastAsia="en-US"/>
        </w:rPr>
        <w:t xml:space="preserve">, </w:t>
      </w:r>
      <w:r w:rsidRPr="00777872">
        <w:rPr>
          <w:rFonts w:asciiTheme="minorHAnsi" w:eastAsiaTheme="minorHAnsi" w:hAnsiTheme="minorHAnsi" w:cstheme="minorBidi"/>
          <w:lang w:eastAsia="en-US"/>
        </w:rPr>
        <w:t>do isteka ili može policu staviti u mirovanje.</w:t>
      </w:r>
      <w:r w:rsidR="000867A4" w:rsidRPr="00777872">
        <w:rPr>
          <w:rFonts w:asciiTheme="minorHAnsi" w:eastAsiaTheme="minorHAnsi" w:hAnsiTheme="minorHAnsi" w:cstheme="minorBidi"/>
          <w:lang w:eastAsia="en-US"/>
        </w:rPr>
        <w:t xml:space="preserve"> Slična situacija događa se u uvjetima kada osobe zaborave platiti na vrijeme premiju za naredno razdoblje prema ugovorenoj dinamici plaćanja, zbog čega </w:t>
      </w:r>
      <w:r w:rsidR="000867A4" w:rsidRPr="007E3B47">
        <w:rPr>
          <w:rFonts w:asciiTheme="minorHAnsi" w:eastAsiaTheme="minorHAnsi" w:hAnsiTheme="minorHAnsi" w:cstheme="minorBidi"/>
          <w:lang w:eastAsia="en-US"/>
        </w:rPr>
        <w:t>polica odlazi u stanje tzv. „kapitalizacije“ uz sniženu svotu osiguranja.</w:t>
      </w:r>
      <w:r w:rsidR="008054DC">
        <w:rPr>
          <w:rStyle w:val="Referencafusnote"/>
          <w:rFonts w:asciiTheme="minorHAnsi" w:eastAsiaTheme="minorHAnsi" w:hAnsiTheme="minorHAnsi" w:cstheme="minorBidi"/>
          <w:lang w:eastAsia="en-US"/>
        </w:rPr>
        <w:footnoteReference w:id="85"/>
      </w:r>
      <w:r w:rsidR="000867A4" w:rsidRPr="007E3B47">
        <w:rPr>
          <w:rFonts w:asciiTheme="minorHAnsi" w:eastAsiaTheme="minorHAnsi" w:hAnsiTheme="minorHAnsi" w:cstheme="minorBidi"/>
          <w:lang w:eastAsia="en-US"/>
        </w:rPr>
        <w:t xml:space="preserve">  </w:t>
      </w:r>
    </w:p>
    <w:p w:rsidR="00CE6CF0" w:rsidRDefault="00D67648" w:rsidP="00CE6CF0">
      <w:pPr>
        <w:spacing w:before="240"/>
        <w:jc w:val="both"/>
        <w:rPr>
          <w:sz w:val="24"/>
          <w:szCs w:val="24"/>
        </w:rPr>
      </w:pPr>
      <w:r w:rsidRPr="007E3B47">
        <w:rPr>
          <w:sz w:val="24"/>
          <w:szCs w:val="24"/>
        </w:rPr>
        <w:t xml:space="preserve">Bitni elementi mješovitog životnog osiguranja vidljivi su na </w:t>
      </w:r>
      <w:r w:rsidRPr="007E3B47">
        <w:rPr>
          <w:color w:val="C00000"/>
          <w:sz w:val="24"/>
          <w:szCs w:val="24"/>
        </w:rPr>
        <w:t xml:space="preserve">primjeru police mješovitog životnog osiguranja </w:t>
      </w:r>
      <w:r w:rsidRPr="007E3B47">
        <w:rPr>
          <w:sz w:val="24"/>
          <w:szCs w:val="24"/>
        </w:rPr>
        <w:t xml:space="preserve">u nastavku. </w:t>
      </w:r>
      <w:r w:rsidRPr="00D67648">
        <w:rPr>
          <w:sz w:val="24"/>
          <w:szCs w:val="24"/>
        </w:rPr>
        <w:t>Ugovaratelj osiguranja je osoba koja je odredila visinu osigurane svote koju želi ugovoriti, kao i razdoblje trajanja osiguranja te dinamiku plaćanja (jednom godišnje, kvartalno, mjesečno), iz čega je proizašao i iznos mjesečne premije koji je naveden u primjeru. Ugovaratelj osiguranja ujedno je i osoba koja može promijeniti korisnika za slučaj smrti po vlastitom izboru.</w:t>
      </w:r>
      <w:r w:rsidR="00B90CC0">
        <w:rPr>
          <w:sz w:val="24"/>
          <w:szCs w:val="24"/>
        </w:rPr>
        <w:t xml:space="preserve"> </w:t>
      </w:r>
      <w:r w:rsidR="00B90CC0" w:rsidRPr="007E3B47">
        <w:rPr>
          <w:sz w:val="24"/>
          <w:szCs w:val="24"/>
        </w:rPr>
        <w:t>U</w:t>
      </w:r>
      <w:r w:rsidR="00B90CC0">
        <w:rPr>
          <w:sz w:val="24"/>
          <w:szCs w:val="24"/>
        </w:rPr>
        <w:t xml:space="preserve"> primjeru na polici mješovitog životnog osiguranja, u</w:t>
      </w:r>
      <w:r w:rsidR="00B90CC0" w:rsidRPr="007E3B47">
        <w:rPr>
          <w:sz w:val="24"/>
          <w:szCs w:val="24"/>
        </w:rPr>
        <w:t xml:space="preserve">govaratelj </w:t>
      </w:r>
      <w:r w:rsidR="00B90CC0">
        <w:rPr>
          <w:sz w:val="24"/>
          <w:szCs w:val="24"/>
        </w:rPr>
        <w:t xml:space="preserve">osiguranja </w:t>
      </w:r>
      <w:r w:rsidR="00B90CC0" w:rsidRPr="007E3B47">
        <w:rPr>
          <w:sz w:val="24"/>
          <w:szCs w:val="24"/>
        </w:rPr>
        <w:t xml:space="preserve">je naveo jednog korisnika osiguranja za slučaj smrti, iako ih je moglo biti i više. </w:t>
      </w:r>
      <w:r w:rsidR="00B90CC0">
        <w:rPr>
          <w:sz w:val="24"/>
          <w:szCs w:val="24"/>
        </w:rPr>
        <w:t xml:space="preserve">Alternativno, </w:t>
      </w:r>
      <w:r w:rsidR="00B90CC0" w:rsidRPr="007E3B47">
        <w:rPr>
          <w:sz w:val="24"/>
          <w:szCs w:val="24"/>
        </w:rPr>
        <w:t xml:space="preserve">moglo je pisati </w:t>
      </w:r>
      <w:r w:rsidR="00B90CC0">
        <w:rPr>
          <w:sz w:val="24"/>
          <w:szCs w:val="24"/>
        </w:rPr>
        <w:t>na primjer da su korisnici za</w:t>
      </w:r>
      <w:r w:rsidR="00B90CC0" w:rsidRPr="007E3B47">
        <w:rPr>
          <w:sz w:val="24"/>
          <w:szCs w:val="24"/>
        </w:rPr>
        <w:t xml:space="preserve"> slučaju smrti</w:t>
      </w:r>
      <w:r w:rsidR="00B90CC0">
        <w:rPr>
          <w:sz w:val="24"/>
          <w:szCs w:val="24"/>
        </w:rPr>
        <w:t xml:space="preserve"> zakonski nasljednici.</w:t>
      </w:r>
      <w:r w:rsidR="00CE6CF0">
        <w:rPr>
          <w:sz w:val="24"/>
          <w:szCs w:val="24"/>
        </w:rPr>
        <w:t xml:space="preserve"> </w:t>
      </w:r>
      <w:r>
        <w:rPr>
          <w:sz w:val="24"/>
          <w:szCs w:val="24"/>
        </w:rPr>
        <w:t xml:space="preserve">Pojam </w:t>
      </w:r>
      <w:r w:rsidRPr="00F42D18">
        <w:rPr>
          <w:color w:val="C00000"/>
          <w:sz w:val="24"/>
          <w:szCs w:val="24"/>
        </w:rPr>
        <w:t>osiguranik</w:t>
      </w:r>
      <w:r>
        <w:rPr>
          <w:sz w:val="24"/>
          <w:szCs w:val="24"/>
        </w:rPr>
        <w:t xml:space="preserve"> označava osobu </w:t>
      </w:r>
      <w:r w:rsidRPr="00F42D18">
        <w:rPr>
          <w:sz w:val="24"/>
          <w:szCs w:val="24"/>
        </w:rPr>
        <w:t>čija se smrt ili doživljenje uzima kao odlučujući događaj za obveze ugovornih strana</w:t>
      </w:r>
      <w:r>
        <w:rPr>
          <w:sz w:val="24"/>
          <w:szCs w:val="24"/>
        </w:rPr>
        <w:t xml:space="preserve">, </w:t>
      </w:r>
      <w:r w:rsidR="00CE6CF0">
        <w:rPr>
          <w:sz w:val="24"/>
          <w:szCs w:val="24"/>
        </w:rPr>
        <w:t>pri čemu u</w:t>
      </w:r>
      <w:r w:rsidR="00CE6CF0" w:rsidRPr="003146DB">
        <w:rPr>
          <w:sz w:val="24"/>
          <w:szCs w:val="24"/>
        </w:rPr>
        <w:t xml:space="preserve"> slučaju životnog osiguranja osiguranik ne može bit dijete mlađe od 14 godina.</w:t>
      </w:r>
      <w:r w:rsidR="00CE6CF0">
        <w:rPr>
          <w:sz w:val="24"/>
          <w:szCs w:val="24"/>
        </w:rPr>
        <w:t xml:space="preserve"> P</w:t>
      </w:r>
      <w:r>
        <w:rPr>
          <w:sz w:val="24"/>
          <w:szCs w:val="24"/>
        </w:rPr>
        <w:t xml:space="preserve">ojam </w:t>
      </w:r>
      <w:r w:rsidRPr="00F42D18">
        <w:rPr>
          <w:color w:val="C00000"/>
          <w:sz w:val="24"/>
          <w:szCs w:val="24"/>
        </w:rPr>
        <w:t>korisnik</w:t>
      </w:r>
      <w:r>
        <w:rPr>
          <w:color w:val="C00000"/>
          <w:sz w:val="24"/>
          <w:szCs w:val="24"/>
        </w:rPr>
        <w:t xml:space="preserve"> osiguranja</w:t>
      </w:r>
      <w:r>
        <w:rPr>
          <w:sz w:val="24"/>
          <w:szCs w:val="24"/>
        </w:rPr>
        <w:t xml:space="preserve"> odnosi na </w:t>
      </w:r>
      <w:r w:rsidRPr="00F42D18">
        <w:rPr>
          <w:sz w:val="24"/>
          <w:szCs w:val="24"/>
        </w:rPr>
        <w:t xml:space="preserve"> osoba kojoj pripada pravo na osiguranu svotu, odnosno naknadu štete iz ugovora o osiguranju. </w:t>
      </w:r>
    </w:p>
    <w:p w:rsidR="00D67648" w:rsidRPr="00026B75" w:rsidRDefault="00CE6CF0" w:rsidP="00CE6CF0">
      <w:pPr>
        <w:spacing w:before="240"/>
        <w:jc w:val="both"/>
        <w:rPr>
          <w:sz w:val="24"/>
          <w:szCs w:val="24"/>
        </w:rPr>
      </w:pPr>
      <w:r w:rsidRPr="007E3B47">
        <w:rPr>
          <w:sz w:val="24"/>
          <w:szCs w:val="24"/>
        </w:rPr>
        <w:t xml:space="preserve">U navedenom primjeru ista osoba se javlja kao ugovaratelj osiguranja, osiguranik i korisnik za slučaj doživljenja. </w:t>
      </w:r>
      <w:r w:rsidR="00D67648">
        <w:rPr>
          <w:sz w:val="24"/>
          <w:szCs w:val="24"/>
        </w:rPr>
        <w:t xml:space="preserve">Međutim, u brojnim slučajevima osiguranik, korisnik za slučaj doživljenja i ugovaratelj osiguranja nije ista osoba. Ugovaratelj osiguranja može biti npr. poslodavac zaposlenika koji se javlja kao osiguranik, a poduzeće u kojem je osoba zaposlena može biti korisnik za slučaj doživljenja. Kada ugovaratelj osiguranja i osiguranik nisu iste osobe, ponudu za osiguranje treba potpisati i osiguranik (ili o tome dati pisanu suglasnost). Životna i određena druga osiguranja ugovaraju se na temelju </w:t>
      </w:r>
      <w:r w:rsidR="00D67648" w:rsidRPr="00F42D18">
        <w:rPr>
          <w:color w:val="C00000"/>
          <w:sz w:val="24"/>
          <w:szCs w:val="24"/>
        </w:rPr>
        <w:t xml:space="preserve">ponude osiguranja </w:t>
      </w:r>
      <w:r w:rsidR="00D67648">
        <w:rPr>
          <w:sz w:val="24"/>
          <w:szCs w:val="24"/>
        </w:rPr>
        <w:t xml:space="preserve">kao pisanog podneska ponuditelja (potencijalnog </w:t>
      </w:r>
      <w:r w:rsidR="00D67648" w:rsidRPr="00F42D18">
        <w:rPr>
          <w:sz w:val="24"/>
          <w:szCs w:val="24"/>
        </w:rPr>
        <w:t>ugovaratelj</w:t>
      </w:r>
      <w:r w:rsidR="00D67648">
        <w:rPr>
          <w:sz w:val="24"/>
          <w:szCs w:val="24"/>
        </w:rPr>
        <w:t>a osiguranja</w:t>
      </w:r>
      <w:r w:rsidR="00D67648" w:rsidRPr="00F42D18">
        <w:rPr>
          <w:sz w:val="24"/>
          <w:szCs w:val="24"/>
        </w:rPr>
        <w:t xml:space="preserve">) </w:t>
      </w:r>
      <w:r w:rsidR="00D67648">
        <w:rPr>
          <w:sz w:val="24"/>
          <w:szCs w:val="24"/>
        </w:rPr>
        <w:t xml:space="preserve">kojom on </w:t>
      </w:r>
      <w:r w:rsidR="00D67648" w:rsidRPr="00F42D18">
        <w:rPr>
          <w:sz w:val="24"/>
          <w:szCs w:val="24"/>
        </w:rPr>
        <w:t xml:space="preserve">nudi društvu </w:t>
      </w:r>
      <w:r w:rsidR="00D67648">
        <w:rPr>
          <w:sz w:val="24"/>
          <w:szCs w:val="24"/>
        </w:rPr>
        <w:t xml:space="preserve">za osiguranje </w:t>
      </w:r>
      <w:r w:rsidR="00D67648" w:rsidRPr="00F42D18">
        <w:rPr>
          <w:sz w:val="24"/>
          <w:szCs w:val="24"/>
        </w:rPr>
        <w:t>da kod njega osigura neki svoj interes</w:t>
      </w:r>
      <w:r w:rsidR="00D67648">
        <w:rPr>
          <w:sz w:val="24"/>
          <w:szCs w:val="24"/>
        </w:rPr>
        <w:t xml:space="preserve">, odnosno </w:t>
      </w:r>
      <w:r w:rsidR="00D67648" w:rsidRPr="00026B75">
        <w:rPr>
          <w:sz w:val="24"/>
          <w:szCs w:val="24"/>
        </w:rPr>
        <w:t>iskazuje volju za sklapanje ugovora o osiguranju, a tipično se podnosi na tiskanici osiguratelja.</w:t>
      </w:r>
    </w:p>
    <w:p w:rsidR="00D67648" w:rsidRDefault="00D67648" w:rsidP="00B90CC0">
      <w:pPr>
        <w:jc w:val="both"/>
        <w:rPr>
          <w:sz w:val="24"/>
          <w:szCs w:val="24"/>
        </w:rPr>
      </w:pPr>
      <w:r w:rsidRPr="007E3B47">
        <w:rPr>
          <w:sz w:val="24"/>
          <w:szCs w:val="24"/>
        </w:rPr>
        <w:lastRenderedPageBreak/>
        <w:t>Na</w:t>
      </w:r>
      <w:r>
        <w:rPr>
          <w:sz w:val="24"/>
          <w:szCs w:val="24"/>
        </w:rPr>
        <w:t xml:space="preserve"> polici osiguranja na</w:t>
      </w:r>
      <w:r w:rsidRPr="007E3B47">
        <w:rPr>
          <w:sz w:val="24"/>
          <w:szCs w:val="24"/>
        </w:rPr>
        <w:t>značen je datum početka i isteka osiguranja, dok je u uvjetima osiguranja (zasebnom dokumentu) precizno definirano trajanje osiguranja (od kojeg sata datuma početka do kojeg sa</w:t>
      </w:r>
      <w:r>
        <w:rPr>
          <w:sz w:val="24"/>
          <w:szCs w:val="24"/>
        </w:rPr>
        <w:t>t</w:t>
      </w:r>
      <w:r w:rsidRPr="007E3B47">
        <w:rPr>
          <w:sz w:val="24"/>
          <w:szCs w:val="24"/>
        </w:rPr>
        <w:t xml:space="preserve">a datuma isteka). </w:t>
      </w:r>
      <w:r>
        <w:rPr>
          <w:sz w:val="24"/>
          <w:szCs w:val="24"/>
        </w:rPr>
        <w:t xml:space="preserve">Vidljiva je i visina </w:t>
      </w:r>
      <w:r w:rsidRPr="00D67648">
        <w:rPr>
          <w:sz w:val="24"/>
          <w:szCs w:val="24"/>
        </w:rPr>
        <w:t xml:space="preserve">premije osiguranja </w:t>
      </w:r>
      <w:r>
        <w:rPr>
          <w:sz w:val="24"/>
          <w:szCs w:val="24"/>
        </w:rPr>
        <w:t xml:space="preserve">kao </w:t>
      </w:r>
      <w:r w:rsidRPr="00D67648">
        <w:rPr>
          <w:sz w:val="24"/>
          <w:szCs w:val="24"/>
        </w:rPr>
        <w:t xml:space="preserve">novčanog iznos koji naplaćuje osiguratelj, a dužan ga je plaćati ugovaratelj osiguranja (iako je osiguratelj dužan primiti premiju i od drugih osoba). </w:t>
      </w:r>
    </w:p>
    <w:tbl>
      <w:tblPr>
        <w:tblStyle w:val="Reetkatablic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1092"/>
        <w:gridCol w:w="1208"/>
        <w:gridCol w:w="892"/>
        <w:gridCol w:w="8"/>
        <w:gridCol w:w="400"/>
        <w:gridCol w:w="1400"/>
        <w:gridCol w:w="365"/>
        <w:gridCol w:w="745"/>
        <w:gridCol w:w="290"/>
        <w:gridCol w:w="1300"/>
        <w:gridCol w:w="1355"/>
      </w:tblGrid>
      <w:tr w:rsidR="00A74945" w:rsidTr="00A74945">
        <w:trPr>
          <w:trHeight w:val="1485"/>
        </w:trPr>
        <w:tc>
          <w:tcPr>
            <w:tcW w:w="9055" w:type="dxa"/>
            <w:gridSpan w:val="11"/>
            <w:tcBorders>
              <w:top w:val="single" w:sz="4" w:space="0" w:color="auto"/>
              <w:left w:val="single" w:sz="4" w:space="0" w:color="auto"/>
              <w:right w:val="single" w:sz="4" w:space="0" w:color="auto"/>
            </w:tcBorders>
          </w:tcPr>
          <w:p w:rsidR="00A74945" w:rsidRDefault="00A74945" w:rsidP="00A74945"/>
          <w:p w:rsidR="00A74945" w:rsidRDefault="00A74945" w:rsidP="00A74945">
            <w:r>
              <w:rPr>
                <w:b/>
              </w:rPr>
              <w:t>Društvo za osiguranje</w:t>
            </w:r>
          </w:p>
          <w:p w:rsidR="00A74945" w:rsidRDefault="00A74945" w:rsidP="00A74945">
            <w:pPr>
              <w:rPr>
                <w:b/>
              </w:rPr>
            </w:pPr>
          </w:p>
          <w:p w:rsidR="00A74945" w:rsidRPr="00C043F1" w:rsidRDefault="00A74945" w:rsidP="00A74945">
            <w:pPr>
              <w:rPr>
                <w:b/>
              </w:rPr>
            </w:pPr>
            <w:r w:rsidRPr="00C043F1">
              <w:rPr>
                <w:b/>
              </w:rPr>
              <w:t>POLICA MJEŠOVITOG ŽIVOTNOG OSIGURANJA</w:t>
            </w:r>
          </w:p>
          <w:p w:rsidR="00A74945" w:rsidRDefault="00A74945" w:rsidP="00A74945">
            <w:pPr>
              <w:jc w:val="right"/>
            </w:pPr>
            <w:r>
              <w:t>Broj police: 85x29y729</w:t>
            </w:r>
          </w:p>
          <w:p w:rsidR="00A74945" w:rsidRDefault="00A74945" w:rsidP="00A74945">
            <w:pPr>
              <w:jc w:val="right"/>
            </w:pPr>
            <w:r>
              <w:t>Početak osiguranja: 01.05.2013.</w:t>
            </w:r>
          </w:p>
          <w:p w:rsidR="00A74945" w:rsidRDefault="00A74945" w:rsidP="00A74945">
            <w:pPr>
              <w:jc w:val="right"/>
            </w:pPr>
            <w:r>
              <w:t>Istek osiguranja: 01.05.2018.</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r w:rsidRPr="00523F7A">
              <w:rPr>
                <w:b/>
              </w:rPr>
              <w:t>UGOVARATELJ OSIGURANJA</w:t>
            </w:r>
          </w:p>
        </w:tc>
        <w:tc>
          <w:tcPr>
            <w:tcW w:w="2165" w:type="dxa"/>
            <w:gridSpan w:val="3"/>
            <w:tcBorders>
              <w:left w:val="single" w:sz="4" w:space="0" w:color="auto"/>
              <w:right w:val="single" w:sz="4" w:space="0" w:color="auto"/>
            </w:tcBorders>
          </w:tcPr>
          <w:p w:rsidR="00A74945" w:rsidRPr="00523F7A" w:rsidRDefault="00A74945" w:rsidP="00A74945">
            <w:pPr>
              <w:rPr>
                <w:b/>
              </w:rPr>
            </w:pPr>
          </w:p>
        </w:tc>
        <w:tc>
          <w:tcPr>
            <w:tcW w:w="3690" w:type="dxa"/>
            <w:gridSpan w:val="4"/>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r w:rsidRPr="00523F7A">
              <w:rPr>
                <w:b/>
              </w:rPr>
              <w:t>OSIGURANA OSOBA</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Pr="0038582D" w:rsidRDefault="00A74945" w:rsidP="00A74945">
            <w:r>
              <w:t>LUCIJA LUCIĆ</w:t>
            </w:r>
          </w:p>
          <w:p w:rsidR="00A74945" w:rsidRPr="0038582D" w:rsidRDefault="00A74945" w:rsidP="00A74945">
            <w:r w:rsidRPr="0038582D">
              <w:t>24.11.1954.</w:t>
            </w:r>
          </w:p>
          <w:p w:rsidR="00A74945" w:rsidRDefault="00A74945" w:rsidP="00A74945">
            <w:r>
              <w:t xml:space="preserve">OIB </w:t>
            </w:r>
            <w:r w:rsidRPr="0038582D">
              <w:t>12345678910</w:t>
            </w:r>
          </w:p>
          <w:p w:rsidR="00A74945" w:rsidRDefault="00A74945" w:rsidP="00A74945">
            <w:r>
              <w:t>Vrtače 1906</w:t>
            </w:r>
          </w:p>
          <w:p w:rsidR="00A74945" w:rsidRPr="0038582D" w:rsidRDefault="00A74945" w:rsidP="00A74945">
            <w:r>
              <w:t>51216 Viškovo</w:t>
            </w:r>
          </w:p>
        </w:tc>
        <w:tc>
          <w:tcPr>
            <w:tcW w:w="2165" w:type="dxa"/>
            <w:gridSpan w:val="3"/>
            <w:tcBorders>
              <w:left w:val="single" w:sz="4" w:space="0" w:color="auto"/>
              <w:right w:val="single" w:sz="4" w:space="0" w:color="auto"/>
            </w:tcBorders>
          </w:tcPr>
          <w:p w:rsidR="00A74945" w:rsidRPr="0038582D" w:rsidRDefault="00A74945" w:rsidP="00A74945"/>
        </w:tc>
        <w:tc>
          <w:tcPr>
            <w:tcW w:w="369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t>LUCIJA LUCIĆ</w:t>
            </w:r>
          </w:p>
          <w:p w:rsidR="00A74945" w:rsidRPr="0038582D" w:rsidRDefault="00A74945" w:rsidP="00A74945">
            <w:r w:rsidRPr="0038582D">
              <w:t>24.11.1954.</w:t>
            </w:r>
          </w:p>
          <w:p w:rsidR="00A74945" w:rsidRDefault="00A74945" w:rsidP="00A74945">
            <w:r>
              <w:t xml:space="preserve">OIB </w:t>
            </w:r>
            <w:r w:rsidRPr="0038582D">
              <w:t>12345678910</w:t>
            </w:r>
          </w:p>
          <w:p w:rsidR="00A74945" w:rsidRDefault="00A74945" w:rsidP="00A74945">
            <w:r>
              <w:t>Vrtače 1906</w:t>
            </w:r>
          </w:p>
          <w:p w:rsidR="00A74945" w:rsidRPr="0038582D" w:rsidRDefault="00A74945" w:rsidP="00A74945">
            <w:r>
              <w:t>51216 Viškovo</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tcBorders>
          </w:tcPr>
          <w:p w:rsidR="00A74945" w:rsidRPr="0038582D" w:rsidRDefault="00A74945" w:rsidP="00A74945"/>
        </w:tc>
        <w:tc>
          <w:tcPr>
            <w:tcW w:w="2165" w:type="dxa"/>
            <w:gridSpan w:val="3"/>
          </w:tcPr>
          <w:p w:rsidR="00A74945" w:rsidRPr="0038582D" w:rsidRDefault="00A74945" w:rsidP="00A74945"/>
        </w:tc>
        <w:tc>
          <w:tcPr>
            <w:tcW w:w="3690" w:type="dxa"/>
            <w:gridSpan w:val="4"/>
            <w:tcBorders>
              <w:top w:val="single" w:sz="4" w:space="0" w:color="auto"/>
              <w:right w:val="single" w:sz="4" w:space="0" w:color="auto"/>
            </w:tcBorders>
          </w:tcPr>
          <w:p w:rsidR="00A74945" w:rsidRPr="0038582D" w:rsidRDefault="00A74945" w:rsidP="00A74945"/>
        </w:tc>
      </w:tr>
      <w:tr w:rsidR="00A74945" w:rsidTr="00A74945">
        <w:tblPrEx>
          <w:tblLook w:val="01E0" w:firstRow="1" w:lastRow="1" w:firstColumn="1" w:lastColumn="1" w:noHBand="0" w:noVBand="0"/>
        </w:tblPrEx>
        <w:tc>
          <w:tcPr>
            <w:tcW w:w="3200" w:type="dxa"/>
            <w:gridSpan w:val="4"/>
            <w:tcBorders>
              <w:left w:val="single" w:sz="4" w:space="0" w:color="auto"/>
            </w:tcBorders>
          </w:tcPr>
          <w:p w:rsidR="00A74945" w:rsidRPr="0038582D" w:rsidRDefault="00A74945" w:rsidP="00A74945"/>
        </w:tc>
        <w:tc>
          <w:tcPr>
            <w:tcW w:w="2165" w:type="dxa"/>
            <w:gridSpan w:val="3"/>
          </w:tcPr>
          <w:p w:rsidR="00A74945" w:rsidRPr="0038582D" w:rsidRDefault="00A74945" w:rsidP="00A74945">
            <w:r>
              <w:t>Osigurano pokriće za:</w:t>
            </w:r>
          </w:p>
        </w:tc>
        <w:tc>
          <w:tcPr>
            <w:tcW w:w="3690" w:type="dxa"/>
            <w:gridSpan w:val="4"/>
            <w:tcBorders>
              <w:right w:val="single" w:sz="4" w:space="0" w:color="auto"/>
            </w:tcBorders>
          </w:tcPr>
          <w:p w:rsidR="00A74945" w:rsidRDefault="00A74945" w:rsidP="00C86D78">
            <w:pPr>
              <w:numPr>
                <w:ilvl w:val="0"/>
                <w:numId w:val="80"/>
              </w:numPr>
            </w:pPr>
            <w:r>
              <w:t>doživljenje</w:t>
            </w:r>
          </w:p>
          <w:p w:rsidR="00A74945" w:rsidRDefault="00A74945" w:rsidP="00C86D78">
            <w:pPr>
              <w:numPr>
                <w:ilvl w:val="0"/>
                <w:numId w:val="80"/>
              </w:numPr>
            </w:pPr>
            <w:r>
              <w:t>smrt</w:t>
            </w:r>
          </w:p>
          <w:p w:rsidR="00A74945" w:rsidRPr="0038582D" w:rsidRDefault="00A74945" w:rsidP="00C86D78">
            <w:pPr>
              <w:numPr>
                <w:ilvl w:val="0"/>
                <w:numId w:val="80"/>
              </w:numPr>
            </w:pPr>
            <w:r>
              <w:t>dodatno osiguranje od posljedica nesretnog slučaja (nezgode)</w:t>
            </w:r>
          </w:p>
        </w:tc>
      </w:tr>
      <w:tr w:rsidR="00A74945" w:rsidTr="00A74945">
        <w:tblPrEx>
          <w:tblLook w:val="01E0" w:firstRow="1" w:lastRow="1" w:firstColumn="1" w:lastColumn="1" w:noHBand="0" w:noVBand="0"/>
        </w:tblPrEx>
        <w:tc>
          <w:tcPr>
            <w:tcW w:w="3200" w:type="dxa"/>
            <w:gridSpan w:val="4"/>
            <w:tcBorders>
              <w:left w:val="single" w:sz="4" w:space="0" w:color="auto"/>
            </w:tcBorders>
          </w:tcPr>
          <w:p w:rsidR="00A74945" w:rsidRPr="0094291F" w:rsidRDefault="00A74945" w:rsidP="00A74945">
            <w:pPr>
              <w:rPr>
                <w:b/>
              </w:rPr>
            </w:pPr>
            <w:r w:rsidRPr="0094291F">
              <w:rPr>
                <w:b/>
              </w:rPr>
              <w:t>PREMIJA</w:t>
            </w:r>
          </w:p>
        </w:tc>
        <w:tc>
          <w:tcPr>
            <w:tcW w:w="2165" w:type="dxa"/>
            <w:gridSpan w:val="3"/>
          </w:tcPr>
          <w:p w:rsidR="00A74945" w:rsidRDefault="00A74945" w:rsidP="00A74945"/>
        </w:tc>
        <w:tc>
          <w:tcPr>
            <w:tcW w:w="3690" w:type="dxa"/>
            <w:gridSpan w:val="4"/>
            <w:tcBorders>
              <w:right w:val="single" w:sz="4" w:space="0" w:color="auto"/>
            </w:tcBorders>
          </w:tcPr>
          <w:p w:rsidR="00A74945" w:rsidRDefault="00A74945" w:rsidP="00A74945"/>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jc w:val="both"/>
            </w:pPr>
            <w:r>
              <w:t>Ugovorom o osiguranju ugovorena je mjesečna premija osiguranja, koja iznosi</w:t>
            </w:r>
          </w:p>
        </w:tc>
      </w:tr>
      <w:tr w:rsidR="00A74945" w:rsidTr="00A74945">
        <w:tblPrEx>
          <w:tblLook w:val="01E0" w:firstRow="1" w:lastRow="1" w:firstColumn="1" w:lastColumn="1" w:noHBand="0" w:noVBand="0"/>
        </w:tblPrEx>
        <w:tc>
          <w:tcPr>
            <w:tcW w:w="3200" w:type="dxa"/>
            <w:gridSpan w:val="4"/>
            <w:tcBorders>
              <w:left w:val="single" w:sz="4" w:space="0" w:color="auto"/>
            </w:tcBorders>
          </w:tcPr>
          <w:p w:rsidR="00A74945" w:rsidRDefault="00A74945" w:rsidP="00A74945">
            <w:r>
              <w:t xml:space="preserve">- za osnovno osiguranje </w:t>
            </w:r>
          </w:p>
        </w:tc>
        <w:tc>
          <w:tcPr>
            <w:tcW w:w="1800" w:type="dxa"/>
            <w:gridSpan w:val="2"/>
          </w:tcPr>
          <w:p w:rsidR="00A74945" w:rsidRDefault="00A74945" w:rsidP="00A74945"/>
        </w:tc>
        <w:tc>
          <w:tcPr>
            <w:tcW w:w="4055" w:type="dxa"/>
            <w:gridSpan w:val="5"/>
            <w:tcBorders>
              <w:right w:val="single" w:sz="4" w:space="0" w:color="auto"/>
            </w:tcBorders>
          </w:tcPr>
          <w:p w:rsidR="00A74945" w:rsidRDefault="00A74945" w:rsidP="00A74945">
            <w:pPr>
              <w:ind w:left="360"/>
              <w:jc w:val="right"/>
            </w:pPr>
            <w:r>
              <w:t>22,00 EUR</w:t>
            </w:r>
          </w:p>
        </w:tc>
      </w:tr>
      <w:tr w:rsidR="00A74945" w:rsidTr="00A74945">
        <w:tblPrEx>
          <w:tblLook w:val="01E0" w:firstRow="1" w:lastRow="1" w:firstColumn="1" w:lastColumn="1" w:noHBand="0" w:noVBand="0"/>
        </w:tblPrEx>
        <w:tc>
          <w:tcPr>
            <w:tcW w:w="3200" w:type="dxa"/>
            <w:gridSpan w:val="4"/>
            <w:tcBorders>
              <w:left w:val="single" w:sz="4" w:space="0" w:color="auto"/>
            </w:tcBorders>
          </w:tcPr>
          <w:p w:rsidR="00A74945" w:rsidRDefault="00A74945" w:rsidP="00A74945">
            <w:r>
              <w:t>- za dodatna osiguranja</w:t>
            </w:r>
          </w:p>
        </w:tc>
        <w:tc>
          <w:tcPr>
            <w:tcW w:w="1800" w:type="dxa"/>
            <w:gridSpan w:val="2"/>
          </w:tcPr>
          <w:p w:rsidR="00A74945" w:rsidRDefault="00A74945" w:rsidP="00A74945"/>
        </w:tc>
        <w:tc>
          <w:tcPr>
            <w:tcW w:w="4055" w:type="dxa"/>
            <w:gridSpan w:val="5"/>
            <w:tcBorders>
              <w:right w:val="single" w:sz="4" w:space="0" w:color="auto"/>
            </w:tcBorders>
          </w:tcPr>
          <w:p w:rsidR="00A74945" w:rsidRDefault="00A74945" w:rsidP="00A74945">
            <w:pPr>
              <w:ind w:left="360"/>
              <w:jc w:val="right"/>
            </w:pPr>
            <w:r>
              <w:t>1,42 EUR</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Pr="0094291F" w:rsidRDefault="00A74945" w:rsidP="00A74945">
            <w:pPr>
              <w:rPr>
                <w:b/>
              </w:rPr>
            </w:pPr>
            <w:r w:rsidRPr="0094291F">
              <w:rPr>
                <w:b/>
              </w:rPr>
              <w:t>Ukupna mjesečna premija osiguranja iznosi</w:t>
            </w:r>
          </w:p>
        </w:tc>
        <w:tc>
          <w:tcPr>
            <w:tcW w:w="4055" w:type="dxa"/>
            <w:gridSpan w:val="5"/>
            <w:tcBorders>
              <w:right w:val="single" w:sz="4" w:space="0" w:color="auto"/>
            </w:tcBorders>
          </w:tcPr>
          <w:p w:rsidR="00A74945" w:rsidRPr="0094291F" w:rsidRDefault="00A74945" w:rsidP="00A74945">
            <w:pPr>
              <w:ind w:left="360"/>
              <w:jc w:val="right"/>
              <w:rPr>
                <w:b/>
              </w:rPr>
            </w:pPr>
            <w:r w:rsidRPr="0094291F">
              <w:rPr>
                <w:b/>
              </w:rPr>
              <w:t>23,42 EUR</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r>
              <w:t>Ukupna mjesečna premija osiguranja dospijeva na naplatu svakog prvog u mjesecu za tekući mjesec sve do isteka osiguranja sukladno pripadajućim uvjetima osiguranja. Premija osiguranja uplaćuje se mjesečno</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Pr="0094291F" w:rsidRDefault="00A74945" w:rsidP="00A74945">
            <w:pPr>
              <w:rPr>
                <w:b/>
              </w:rPr>
            </w:pPr>
            <w:r w:rsidRPr="0094291F">
              <w:rPr>
                <w:b/>
              </w:rPr>
              <w:t>OSNOVNO OSIGURANJE</w:t>
            </w:r>
            <w:r w:rsidR="00F004AC">
              <w:rPr>
                <w:b/>
              </w:rPr>
              <w:t xml:space="preserve"> - </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r>
              <w:t>Premijom osnovnog osiguranja pokriveni su sljedeći rizici:</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t xml:space="preserve"> </w:t>
            </w:r>
            <w:r w:rsidRPr="0094291F">
              <w:rPr>
                <w:b/>
              </w:rPr>
              <w:t xml:space="preserve">- Doživljenje </w:t>
            </w:r>
            <w:r>
              <w:t>- prema pripadajućim Općim uvjetima s oznakom XX-X-XX/09-3 na dan 01.05.2018.</w:t>
            </w:r>
          </w:p>
        </w:tc>
      </w:tr>
      <w:tr w:rsidR="00A74945" w:rsidTr="00A74945">
        <w:tblPrEx>
          <w:tblLook w:val="01E0" w:firstRow="1" w:lastRow="1" w:firstColumn="1" w:lastColumn="1" w:noHBand="0" w:noVBand="0"/>
        </w:tblPrEx>
        <w:tc>
          <w:tcPr>
            <w:tcW w:w="5000" w:type="dxa"/>
            <w:gridSpan w:val="6"/>
            <w:tcBorders>
              <w:left w:val="single" w:sz="4" w:space="0" w:color="auto"/>
              <w:bottom w:val="single" w:sz="4" w:space="0" w:color="auto"/>
            </w:tcBorders>
          </w:tcPr>
          <w:p w:rsidR="00A74945" w:rsidRDefault="00A74945" w:rsidP="00A74945"/>
        </w:tc>
        <w:tc>
          <w:tcPr>
            <w:tcW w:w="4055" w:type="dxa"/>
            <w:gridSpan w:val="5"/>
            <w:tcBorders>
              <w:bottom w:val="single" w:sz="4" w:space="0" w:color="auto"/>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r w:rsidRPr="00523F7A">
              <w:rPr>
                <w:b/>
              </w:rPr>
              <w:t xml:space="preserve">Osigurana osoba </w:t>
            </w:r>
          </w:p>
        </w:tc>
        <w:tc>
          <w:tcPr>
            <w:tcW w:w="1808" w:type="dxa"/>
            <w:gridSpan w:val="3"/>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r w:rsidRPr="00523F7A">
              <w:rPr>
                <w:b/>
              </w:rPr>
              <w:t>Osigurani iznos</w:t>
            </w:r>
          </w:p>
        </w:tc>
        <w:tc>
          <w:tcPr>
            <w:tcW w:w="4055" w:type="dxa"/>
            <w:gridSpan w:val="5"/>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ind w:left="360"/>
              <w:rPr>
                <w:b/>
              </w:rPr>
            </w:pPr>
            <w:r w:rsidRPr="00523F7A">
              <w:rPr>
                <w:b/>
              </w:rPr>
              <w:t>Korisnik</w:t>
            </w: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 xml:space="preserve">LUCIJA LUCIĆ, rođ- 24.11.1954. </w:t>
            </w:r>
          </w:p>
        </w:tc>
        <w:tc>
          <w:tcPr>
            <w:tcW w:w="1808"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right"/>
            </w:pPr>
            <w:r>
              <w:t>1.200,74 EUR</w:t>
            </w:r>
          </w:p>
        </w:tc>
        <w:tc>
          <w:tcPr>
            <w:tcW w:w="4055" w:type="dxa"/>
            <w:gridSpan w:val="5"/>
            <w:tcBorders>
              <w:top w:val="single" w:sz="4" w:space="0" w:color="auto"/>
              <w:left w:val="single" w:sz="4" w:space="0" w:color="auto"/>
              <w:bottom w:val="single" w:sz="4" w:space="0" w:color="auto"/>
              <w:right w:val="single" w:sz="4" w:space="0" w:color="auto"/>
            </w:tcBorders>
          </w:tcPr>
          <w:p w:rsidR="00A74945" w:rsidRDefault="00A74945" w:rsidP="00A74945">
            <w:pPr>
              <w:ind w:left="360"/>
            </w:pPr>
            <w:r>
              <w:t>OSIGURANA OSOBA</w:t>
            </w: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right w:val="single" w:sz="4" w:space="0" w:color="auto"/>
            </w:tcBorders>
          </w:tcPr>
          <w:p w:rsidR="00A74945" w:rsidRDefault="00A74945" w:rsidP="00A74945"/>
        </w:tc>
        <w:tc>
          <w:tcPr>
            <w:tcW w:w="1808" w:type="dxa"/>
            <w:gridSpan w:val="3"/>
            <w:tcBorders>
              <w:top w:val="single" w:sz="4" w:space="0" w:color="auto"/>
              <w:left w:val="single" w:sz="4" w:space="0" w:color="auto"/>
            </w:tcBorders>
          </w:tcPr>
          <w:p w:rsidR="00A74945" w:rsidRDefault="00A74945" w:rsidP="00A74945"/>
        </w:tc>
        <w:tc>
          <w:tcPr>
            <w:tcW w:w="4055" w:type="dxa"/>
            <w:gridSpan w:val="5"/>
            <w:tcBorders>
              <w:top w:val="single" w:sz="4" w:space="0" w:color="auto"/>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rsidRPr="0094291F">
              <w:rPr>
                <w:b/>
              </w:rPr>
              <w:t xml:space="preserve">- </w:t>
            </w:r>
            <w:r>
              <w:rPr>
                <w:b/>
              </w:rPr>
              <w:t xml:space="preserve">Osiguranje za slučaj smrti </w:t>
            </w:r>
            <w:r>
              <w:t>prema pripadajućim Općim uvjetima s oznakom XX-X-XX/09-3 za razdoblje od 01.05.2013. do 01.05.2018.</w:t>
            </w:r>
          </w:p>
        </w:tc>
      </w:tr>
      <w:tr w:rsidR="00A74945" w:rsidTr="00A74945">
        <w:tblPrEx>
          <w:tblLook w:val="01E0" w:firstRow="1" w:lastRow="1" w:firstColumn="1" w:lastColumn="1" w:noHBand="0" w:noVBand="0"/>
        </w:tblPrEx>
        <w:tc>
          <w:tcPr>
            <w:tcW w:w="5000" w:type="dxa"/>
            <w:gridSpan w:val="6"/>
            <w:tcBorders>
              <w:left w:val="single" w:sz="4" w:space="0" w:color="auto"/>
              <w:bottom w:val="single" w:sz="4" w:space="0" w:color="auto"/>
            </w:tcBorders>
          </w:tcPr>
          <w:p w:rsidR="00A74945" w:rsidRDefault="00A74945" w:rsidP="00A74945"/>
        </w:tc>
        <w:tc>
          <w:tcPr>
            <w:tcW w:w="4055" w:type="dxa"/>
            <w:gridSpan w:val="5"/>
            <w:tcBorders>
              <w:bottom w:val="single" w:sz="4" w:space="0" w:color="auto"/>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bottom w:val="single" w:sz="4" w:space="0" w:color="auto"/>
              <w:right w:val="single" w:sz="4" w:space="0" w:color="auto"/>
            </w:tcBorders>
            <w:shd w:val="clear" w:color="auto" w:fill="CCFFCC"/>
          </w:tcPr>
          <w:p w:rsidR="00A74945" w:rsidRDefault="00A74945" w:rsidP="00A74945">
            <w:r>
              <w:t xml:space="preserve">Osigurana osoba </w:t>
            </w:r>
          </w:p>
        </w:tc>
        <w:tc>
          <w:tcPr>
            <w:tcW w:w="1808" w:type="dxa"/>
            <w:gridSpan w:val="3"/>
            <w:tcBorders>
              <w:top w:val="single" w:sz="4" w:space="0" w:color="auto"/>
              <w:left w:val="single" w:sz="4" w:space="0" w:color="auto"/>
              <w:bottom w:val="single" w:sz="4" w:space="0" w:color="auto"/>
              <w:right w:val="single" w:sz="4" w:space="0" w:color="auto"/>
            </w:tcBorders>
            <w:shd w:val="clear" w:color="auto" w:fill="CCFFCC"/>
          </w:tcPr>
          <w:p w:rsidR="00A74945" w:rsidRDefault="00A74945" w:rsidP="00A74945">
            <w:r>
              <w:t>Zajamčeni osigurani iznos</w:t>
            </w:r>
          </w:p>
        </w:tc>
        <w:tc>
          <w:tcPr>
            <w:tcW w:w="4055" w:type="dxa"/>
            <w:gridSpan w:val="5"/>
            <w:tcBorders>
              <w:top w:val="single" w:sz="4" w:space="0" w:color="auto"/>
              <w:left w:val="single" w:sz="4" w:space="0" w:color="auto"/>
              <w:bottom w:val="single" w:sz="4" w:space="0" w:color="auto"/>
              <w:right w:val="single" w:sz="4" w:space="0" w:color="auto"/>
            </w:tcBorders>
            <w:shd w:val="clear" w:color="auto" w:fill="CCFFCC"/>
          </w:tcPr>
          <w:p w:rsidR="00A74945" w:rsidRDefault="00A74945" w:rsidP="00A74945">
            <w:pPr>
              <w:ind w:left="360"/>
            </w:pPr>
            <w:r>
              <w:t>Korisnik</w:t>
            </w: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 xml:space="preserve">LUCIJA LUCIĆ, rođ- 24.11.1954. </w:t>
            </w:r>
          </w:p>
        </w:tc>
        <w:tc>
          <w:tcPr>
            <w:tcW w:w="1808"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right"/>
            </w:pPr>
            <w:r>
              <w:t>1.200,74 EUR</w:t>
            </w:r>
          </w:p>
        </w:tc>
        <w:tc>
          <w:tcPr>
            <w:tcW w:w="4055" w:type="dxa"/>
            <w:gridSpan w:val="5"/>
            <w:tcBorders>
              <w:top w:val="single" w:sz="4" w:space="0" w:color="auto"/>
              <w:left w:val="single" w:sz="4" w:space="0" w:color="auto"/>
              <w:bottom w:val="single" w:sz="4" w:space="0" w:color="auto"/>
              <w:right w:val="single" w:sz="4" w:space="0" w:color="auto"/>
            </w:tcBorders>
          </w:tcPr>
          <w:p w:rsidR="00A74945" w:rsidRDefault="00A74945" w:rsidP="00A74945">
            <w:pPr>
              <w:ind w:left="360"/>
            </w:pPr>
            <w:r>
              <w:t>JOSIP LUCIĆ, rođ. 24.10.1951.</w:t>
            </w:r>
          </w:p>
        </w:tc>
      </w:tr>
      <w:tr w:rsidR="00A74945" w:rsidTr="00A74945">
        <w:tblPrEx>
          <w:tblLook w:val="01E0" w:firstRow="1" w:lastRow="1" w:firstColumn="1" w:lastColumn="1" w:noHBand="0" w:noVBand="0"/>
        </w:tblPrEx>
        <w:tc>
          <w:tcPr>
            <w:tcW w:w="3192" w:type="dxa"/>
            <w:gridSpan w:val="3"/>
            <w:tcBorders>
              <w:top w:val="single" w:sz="4" w:space="0" w:color="auto"/>
              <w:left w:val="single" w:sz="4" w:space="0" w:color="auto"/>
            </w:tcBorders>
          </w:tcPr>
          <w:p w:rsidR="00A74945" w:rsidRDefault="00A74945" w:rsidP="00A74945"/>
        </w:tc>
        <w:tc>
          <w:tcPr>
            <w:tcW w:w="1808" w:type="dxa"/>
            <w:gridSpan w:val="3"/>
            <w:tcBorders>
              <w:top w:val="single" w:sz="4" w:space="0" w:color="auto"/>
            </w:tcBorders>
          </w:tcPr>
          <w:p w:rsidR="00A74945" w:rsidRDefault="00A74945" w:rsidP="00A74945"/>
        </w:tc>
        <w:tc>
          <w:tcPr>
            <w:tcW w:w="4055" w:type="dxa"/>
            <w:gridSpan w:val="5"/>
            <w:tcBorders>
              <w:top w:val="single" w:sz="4" w:space="0" w:color="auto"/>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Pr="0094291F" w:rsidRDefault="00A74945" w:rsidP="00A74945">
            <w:pPr>
              <w:rPr>
                <w:b/>
              </w:rPr>
            </w:pPr>
            <w:r>
              <w:rPr>
                <w:b/>
              </w:rPr>
              <w:t>DODATNA OSIGURANJA</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r>
              <w:t>Premijom dodatnog osiguranja pokriveni su sljedeći rizici:</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t xml:space="preserve"> </w:t>
            </w:r>
            <w:r w:rsidRPr="0094291F">
              <w:rPr>
                <w:b/>
              </w:rPr>
              <w:t>- Do</w:t>
            </w:r>
            <w:r>
              <w:rPr>
                <w:b/>
              </w:rPr>
              <w:t>datno osiguranje od posljedica nesretnog slučaja (nezgode)</w:t>
            </w:r>
            <w:r>
              <w:t>.</w:t>
            </w:r>
          </w:p>
        </w:tc>
      </w:tr>
      <w:tr w:rsidR="00A74945" w:rsidTr="00A74945">
        <w:tblPrEx>
          <w:tblLook w:val="01E0" w:firstRow="1" w:lastRow="1" w:firstColumn="1" w:lastColumn="1" w:noHBand="0" w:noVBand="0"/>
        </w:tblPrEx>
        <w:tc>
          <w:tcPr>
            <w:tcW w:w="5000" w:type="dxa"/>
            <w:gridSpan w:val="6"/>
            <w:tcBorders>
              <w:left w:val="single" w:sz="4" w:space="0" w:color="auto"/>
              <w:bottom w:val="single" w:sz="4" w:space="0" w:color="auto"/>
            </w:tcBorders>
          </w:tcPr>
          <w:p w:rsidR="00A74945" w:rsidRDefault="00A74945" w:rsidP="00A74945"/>
        </w:tc>
        <w:tc>
          <w:tcPr>
            <w:tcW w:w="4055" w:type="dxa"/>
            <w:gridSpan w:val="5"/>
            <w:tcBorders>
              <w:bottom w:val="single" w:sz="4" w:space="0" w:color="auto"/>
              <w:right w:val="single" w:sz="4" w:space="0" w:color="auto"/>
            </w:tcBorders>
          </w:tcPr>
          <w:p w:rsidR="00A74945" w:rsidRDefault="00A74945" w:rsidP="00A74945">
            <w:pPr>
              <w:ind w:left="360"/>
            </w:pPr>
          </w:p>
        </w:tc>
      </w:tr>
      <w:tr w:rsidR="00A74945" w:rsidRPr="00523F7A" w:rsidTr="00A74945">
        <w:tblPrEx>
          <w:tblLook w:val="01E0" w:firstRow="1" w:lastRow="1" w:firstColumn="1" w:lastColumn="1" w:noHBand="0" w:noVBand="0"/>
        </w:tblPrEx>
        <w:tc>
          <w:tcPr>
            <w:tcW w:w="9055" w:type="dxa"/>
            <w:gridSpan w:val="11"/>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F004AC">
            <w:pPr>
              <w:rPr>
                <w:b/>
              </w:rPr>
            </w:pPr>
            <w:r>
              <w:t>LUCIJA LUCIĆ, rođ- 24.11.1954. osiguran (a) je prema Dopunskim uvjetima s oznakom YY-Y-YYY/13-01 i Općim uvjetima za osiguranje osoba od posljedica nesretnog slučaja (nezgode) s oznakom ZZ-ZZ/09-5 za razdoblje od 01.05.2013. do 01.05.2018.</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t xml:space="preserve">Vrsta pokrića </w:t>
            </w:r>
          </w:p>
        </w:tc>
        <w:tc>
          <w:tcPr>
            <w:tcW w:w="180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ind w:left="360"/>
            </w:pPr>
            <w:r>
              <w:t xml:space="preserve">Osigurani </w:t>
            </w:r>
            <w:r>
              <w:lastRenderedPageBreak/>
              <w:t>iznos</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r>
              <w:lastRenderedPageBreak/>
              <w:t>Premija</w:t>
            </w:r>
          </w:p>
          <w:p w:rsidR="00A74945" w:rsidRDefault="00A74945" w:rsidP="00A74945"/>
        </w:tc>
        <w:tc>
          <w:tcPr>
            <w:tcW w:w="2945" w:type="dxa"/>
            <w:gridSpan w:val="3"/>
            <w:tcBorders>
              <w:top w:val="single" w:sz="4" w:space="0" w:color="auto"/>
              <w:left w:val="single" w:sz="4" w:space="0" w:color="auto"/>
              <w:bottom w:val="single" w:sz="4" w:space="0" w:color="auto"/>
              <w:right w:val="single" w:sz="4" w:space="0" w:color="auto"/>
            </w:tcBorders>
          </w:tcPr>
          <w:p w:rsidR="00A74945" w:rsidRDefault="00A74945" w:rsidP="00A74945">
            <w:r>
              <w:lastRenderedPageBreak/>
              <w:t>Korisnik</w:t>
            </w:r>
          </w:p>
          <w:p w:rsidR="00A74945" w:rsidRDefault="00A74945" w:rsidP="00A74945"/>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lastRenderedPageBreak/>
              <w:t>naknada za smrt uslijed nezgode</w:t>
            </w:r>
          </w:p>
        </w:tc>
        <w:tc>
          <w:tcPr>
            <w:tcW w:w="180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r>
              <w:t>3.000,00 EUR</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jc w:val="right"/>
            </w:pPr>
            <w:r>
              <w:t>0,12 EUR</w:t>
            </w:r>
          </w:p>
        </w:tc>
        <w:tc>
          <w:tcPr>
            <w:tcW w:w="2945"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JOSIP LUCIĆ, rođ. 24.10.1975.</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t xml:space="preserve">naknada za trajni invaliditet </w:t>
            </w:r>
          </w:p>
        </w:tc>
        <w:tc>
          <w:tcPr>
            <w:tcW w:w="180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r>
              <w:t>6.000,00 EUR</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jc w:val="right"/>
            </w:pPr>
            <w:r>
              <w:t>1,20 EUR</w:t>
            </w:r>
          </w:p>
        </w:tc>
        <w:tc>
          <w:tcPr>
            <w:tcW w:w="2945"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OSIGURANA OSOBA</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bottom w:val="single" w:sz="4" w:space="0" w:color="auto"/>
              <w:right w:val="single" w:sz="4" w:space="0" w:color="auto"/>
            </w:tcBorders>
          </w:tcPr>
          <w:p w:rsidR="00A74945" w:rsidRDefault="00A74945" w:rsidP="00A74945">
            <w:r>
              <w:t xml:space="preserve">renta za invaliditet </w:t>
            </w:r>
          </w:p>
        </w:tc>
        <w:tc>
          <w:tcPr>
            <w:tcW w:w="180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r>
              <w:t>60,00 EUR</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jc w:val="right"/>
            </w:pPr>
            <w:r>
              <w:t>0,10 EUR</w:t>
            </w:r>
          </w:p>
        </w:tc>
        <w:tc>
          <w:tcPr>
            <w:tcW w:w="2945" w:type="dxa"/>
            <w:gridSpan w:val="3"/>
            <w:tcBorders>
              <w:top w:val="single" w:sz="4" w:space="0" w:color="auto"/>
              <w:left w:val="single" w:sz="4" w:space="0" w:color="auto"/>
              <w:bottom w:val="single" w:sz="4" w:space="0" w:color="auto"/>
              <w:right w:val="single" w:sz="4" w:space="0" w:color="auto"/>
            </w:tcBorders>
          </w:tcPr>
          <w:p w:rsidR="00A74945" w:rsidRDefault="00A74945" w:rsidP="00A74945">
            <w:r>
              <w:t>OSIGURANA OSOBA</w:t>
            </w:r>
          </w:p>
        </w:tc>
      </w:tr>
      <w:tr w:rsidR="00A74945" w:rsidTr="00A74945">
        <w:tblPrEx>
          <w:tblLook w:val="01E0" w:firstRow="1" w:lastRow="1" w:firstColumn="1" w:lastColumn="1" w:noHBand="0" w:noVBand="0"/>
        </w:tblPrEx>
        <w:tc>
          <w:tcPr>
            <w:tcW w:w="3200" w:type="dxa"/>
            <w:gridSpan w:val="4"/>
            <w:tcBorders>
              <w:top w:val="single" w:sz="4" w:space="0" w:color="auto"/>
              <w:left w:val="single" w:sz="4" w:space="0" w:color="auto"/>
            </w:tcBorders>
          </w:tcPr>
          <w:p w:rsidR="00A74945" w:rsidRDefault="00A74945" w:rsidP="00A74945">
            <w:pPr>
              <w:jc w:val="center"/>
            </w:pPr>
          </w:p>
        </w:tc>
        <w:tc>
          <w:tcPr>
            <w:tcW w:w="1800" w:type="dxa"/>
            <w:gridSpan w:val="2"/>
            <w:tcBorders>
              <w:top w:val="single" w:sz="4" w:space="0" w:color="auto"/>
              <w:right w:val="single" w:sz="4" w:space="0" w:color="auto"/>
            </w:tcBorders>
          </w:tcPr>
          <w:p w:rsidR="00A74945" w:rsidRDefault="00A74945" w:rsidP="00A74945">
            <w:pPr>
              <w:ind w:left="360"/>
            </w:pPr>
            <w:r>
              <w:t>Ukupno:</w:t>
            </w:r>
          </w:p>
        </w:tc>
        <w:tc>
          <w:tcPr>
            <w:tcW w:w="1110" w:type="dxa"/>
            <w:gridSpan w:val="2"/>
            <w:tcBorders>
              <w:top w:val="single" w:sz="4" w:space="0" w:color="auto"/>
              <w:left w:val="single" w:sz="4" w:space="0" w:color="auto"/>
              <w:bottom w:val="single" w:sz="4" w:space="0" w:color="auto"/>
              <w:right w:val="single" w:sz="4" w:space="0" w:color="auto"/>
            </w:tcBorders>
          </w:tcPr>
          <w:p w:rsidR="00A74945" w:rsidRDefault="00A74945" w:rsidP="00A74945">
            <w:pPr>
              <w:jc w:val="right"/>
            </w:pPr>
            <w:r>
              <w:t>1,42 EUR</w:t>
            </w:r>
          </w:p>
        </w:tc>
        <w:tc>
          <w:tcPr>
            <w:tcW w:w="2945" w:type="dxa"/>
            <w:gridSpan w:val="3"/>
            <w:tcBorders>
              <w:top w:val="single" w:sz="4" w:space="0" w:color="auto"/>
              <w:left w:val="single" w:sz="4" w:space="0" w:color="auto"/>
              <w:right w:val="single" w:sz="4" w:space="0" w:color="auto"/>
            </w:tcBorders>
          </w:tcPr>
          <w:p w:rsidR="00A74945" w:rsidRDefault="00A74945" w:rsidP="00A74945"/>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pPr>
              <w:rPr>
                <w:b/>
              </w:rPr>
            </w:pP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Pr="0094291F" w:rsidRDefault="00A74945" w:rsidP="00A74945">
            <w:pPr>
              <w:rPr>
                <w:b/>
              </w:rPr>
            </w:pPr>
            <w:r>
              <w:rPr>
                <w:b/>
              </w:rPr>
              <w:t>DODACI K POLICI</w:t>
            </w:r>
          </w:p>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Pr="008118F5" w:rsidRDefault="00A74945" w:rsidP="00A74945">
            <w:pPr>
              <w:ind w:left="360"/>
              <w:rPr>
                <w:b/>
              </w:rPr>
            </w:pPr>
            <w:r>
              <w:t xml:space="preserve"> </w:t>
            </w:r>
            <w:r w:rsidRPr="008118F5">
              <w:rPr>
                <w:b/>
              </w:rPr>
              <w:t>TABLICA SNIŽENIH OSIGURANIH IZNOSA</w:t>
            </w:r>
          </w:p>
        </w:tc>
      </w:tr>
      <w:tr w:rsidR="00A74945" w:rsidRPr="00523F7A" w:rsidTr="00A74945">
        <w:tblPrEx>
          <w:tblLook w:val="01E0" w:firstRow="1" w:lastRow="1" w:firstColumn="1" w:lastColumn="1" w:noHBand="0" w:noVBand="0"/>
        </w:tblPrEx>
        <w:tc>
          <w:tcPr>
            <w:tcW w:w="9055" w:type="dxa"/>
            <w:gridSpan w:val="11"/>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r>
              <w:t>Godine</w:t>
            </w:r>
          </w:p>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0</w:t>
            </w:r>
          </w:p>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1</w:t>
            </w:r>
          </w:p>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center"/>
            </w:pPr>
            <w:r>
              <w:t>2</w:t>
            </w: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3</w:t>
            </w: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4</w:t>
            </w:r>
          </w:p>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Doživljenje</w:t>
            </w: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r>
              <w:t>Koeficj.</w:t>
            </w:r>
          </w:p>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w:t>
            </w:r>
          </w:p>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w:t>
            </w:r>
          </w:p>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center"/>
            </w:pPr>
            <w:r>
              <w:t>378</w:t>
            </w: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585</w:t>
            </w: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793</w:t>
            </w:r>
          </w:p>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1000</w:t>
            </w: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right"/>
            </w:pP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rsidRPr="008118F5">
              <w:t xml:space="preserve">Sniženi osigurani iznos </w:t>
            </w:r>
            <w:r>
              <w:t>u skladu s važećim uvjetima osiguranja, računa se na način da se osigurani iznos pojedinog osiguranja pomnoži s odgovarajućim koeficijentom sniženja osiguranja i podijeli s 1.000.</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Pr="008118F5" w:rsidRDefault="00A74945" w:rsidP="00A74945">
            <w:pPr>
              <w:ind w:left="360"/>
              <w:rPr>
                <w:b/>
              </w:rPr>
            </w:pPr>
            <w:r>
              <w:t xml:space="preserve"> </w:t>
            </w:r>
            <w:r w:rsidRPr="008118F5">
              <w:rPr>
                <w:b/>
              </w:rPr>
              <w:t>TABLICA OTKUPNIH KOEFICIJENATA</w:t>
            </w:r>
          </w:p>
        </w:tc>
      </w:tr>
      <w:tr w:rsidR="00A74945" w:rsidRPr="00523F7A" w:rsidTr="00A74945">
        <w:tblPrEx>
          <w:tblLook w:val="01E0" w:firstRow="1" w:lastRow="1" w:firstColumn="1" w:lastColumn="1" w:noHBand="0" w:noVBand="0"/>
        </w:tblPrEx>
        <w:tc>
          <w:tcPr>
            <w:tcW w:w="9055" w:type="dxa"/>
            <w:gridSpan w:val="11"/>
            <w:tcBorders>
              <w:top w:val="single" w:sz="4" w:space="0" w:color="auto"/>
              <w:left w:val="single" w:sz="4" w:space="0" w:color="auto"/>
              <w:bottom w:val="single" w:sz="4" w:space="0" w:color="auto"/>
              <w:right w:val="single" w:sz="4" w:space="0" w:color="auto"/>
            </w:tcBorders>
            <w:shd w:val="clear" w:color="auto" w:fill="CCFFCC"/>
          </w:tcPr>
          <w:p w:rsidR="00A74945" w:rsidRPr="00523F7A" w:rsidRDefault="00A74945" w:rsidP="00A74945">
            <w:pPr>
              <w:rPr>
                <w:b/>
              </w:rPr>
            </w:pP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r>
              <w:t>Godine</w:t>
            </w:r>
          </w:p>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0</w:t>
            </w:r>
          </w:p>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1</w:t>
            </w:r>
          </w:p>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center"/>
            </w:pPr>
            <w:r>
              <w:t>2</w:t>
            </w: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3</w:t>
            </w: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4</w:t>
            </w:r>
          </w:p>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Doživljenje</w:t>
            </w: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r>
              <w:t>Koeficj.</w:t>
            </w:r>
          </w:p>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w:t>
            </w:r>
          </w:p>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w:t>
            </w:r>
          </w:p>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center"/>
            </w:pPr>
            <w:r>
              <w:t>337</w:t>
            </w: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542</w:t>
            </w: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763</w:t>
            </w:r>
          </w:p>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pPr>
              <w:jc w:val="center"/>
            </w:pPr>
            <w:r>
              <w:t>1000</w:t>
            </w:r>
          </w:p>
        </w:tc>
      </w:tr>
      <w:tr w:rsidR="00A74945" w:rsidTr="00A74945">
        <w:tblPrEx>
          <w:tblLook w:val="01E0" w:firstRow="1" w:lastRow="1" w:firstColumn="1" w:lastColumn="1" w:noHBand="0" w:noVBand="0"/>
        </w:tblPrEx>
        <w:tc>
          <w:tcPr>
            <w:tcW w:w="1092"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208"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300" w:type="dxa"/>
            <w:gridSpan w:val="3"/>
            <w:tcBorders>
              <w:top w:val="single" w:sz="4" w:space="0" w:color="auto"/>
              <w:left w:val="single" w:sz="4" w:space="0" w:color="auto"/>
              <w:bottom w:val="single" w:sz="4" w:space="0" w:color="auto"/>
              <w:right w:val="single" w:sz="4" w:space="0" w:color="auto"/>
            </w:tcBorders>
          </w:tcPr>
          <w:p w:rsidR="00A74945" w:rsidRDefault="00A74945" w:rsidP="00A74945"/>
        </w:tc>
        <w:tc>
          <w:tcPr>
            <w:tcW w:w="1400" w:type="dxa"/>
            <w:tcBorders>
              <w:top w:val="single" w:sz="4" w:space="0" w:color="auto"/>
              <w:left w:val="single" w:sz="4" w:space="0" w:color="auto"/>
              <w:bottom w:val="single" w:sz="4" w:space="0" w:color="auto"/>
              <w:right w:val="single" w:sz="4" w:space="0" w:color="auto"/>
            </w:tcBorders>
          </w:tcPr>
          <w:p w:rsidR="00A74945" w:rsidRDefault="00A74945" w:rsidP="00A74945">
            <w:pPr>
              <w:ind w:left="360"/>
              <w:jc w:val="right"/>
            </w:pPr>
          </w:p>
        </w:tc>
        <w:tc>
          <w:tcPr>
            <w:tcW w:w="1400" w:type="dxa"/>
            <w:gridSpan w:val="3"/>
            <w:tcBorders>
              <w:top w:val="single" w:sz="4" w:space="0" w:color="auto"/>
              <w:left w:val="single" w:sz="4" w:space="0" w:color="auto"/>
              <w:bottom w:val="single" w:sz="4" w:space="0" w:color="auto"/>
              <w:right w:val="single" w:sz="4" w:space="0" w:color="auto"/>
            </w:tcBorders>
          </w:tcPr>
          <w:p w:rsidR="00A74945" w:rsidRDefault="00A74945" w:rsidP="00A74945">
            <w:pPr>
              <w:jc w:val="right"/>
            </w:pPr>
          </w:p>
        </w:tc>
        <w:tc>
          <w:tcPr>
            <w:tcW w:w="1300" w:type="dxa"/>
            <w:tcBorders>
              <w:top w:val="single" w:sz="4" w:space="0" w:color="auto"/>
              <w:left w:val="single" w:sz="4" w:space="0" w:color="auto"/>
              <w:bottom w:val="single" w:sz="4" w:space="0" w:color="auto"/>
              <w:right w:val="single" w:sz="4" w:space="0" w:color="auto"/>
            </w:tcBorders>
          </w:tcPr>
          <w:p w:rsidR="00A74945" w:rsidRDefault="00A74945" w:rsidP="00A74945"/>
        </w:tc>
        <w:tc>
          <w:tcPr>
            <w:tcW w:w="1355" w:type="dxa"/>
            <w:tcBorders>
              <w:top w:val="single" w:sz="4" w:space="0" w:color="auto"/>
              <w:left w:val="single" w:sz="4" w:space="0" w:color="auto"/>
              <w:bottom w:val="single" w:sz="4" w:space="0" w:color="auto"/>
              <w:right w:val="single" w:sz="4" w:space="0" w:color="auto"/>
            </w:tcBorders>
          </w:tcPr>
          <w:p w:rsidR="00A74945" w:rsidRDefault="00A74945" w:rsidP="00A74945"/>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A74945">
            <w:pPr>
              <w:ind w:left="360"/>
            </w:pPr>
            <w:r>
              <w:t>Otkupna vrijednost osiguranja u skladu s važećim uvjetima osiguranja,računa se na način da se osigurani iznos pojedinog osiguranja pomnoži s odgovarajućim koeficijentom otkupne vrijednosti i podijeli s 1.000.</w:t>
            </w:r>
          </w:p>
          <w:p w:rsidR="00A74945" w:rsidRDefault="00A74945" w:rsidP="00A74945">
            <w:pPr>
              <w:ind w:left="360"/>
            </w:pPr>
          </w:p>
          <w:p w:rsidR="00A74945" w:rsidRDefault="00A74945" w:rsidP="00A74945">
            <w:pPr>
              <w:ind w:left="360"/>
            </w:pPr>
            <w:r>
              <w:t>Sniženi osigurani iznosi i otkupne vrijednosti za uplaćenu premiju cijelih godina osiguranja određuju se interpolacijom.</w:t>
            </w:r>
          </w:p>
          <w:p w:rsidR="00A74945" w:rsidRDefault="00A74945" w:rsidP="00A74945">
            <w:pPr>
              <w:ind w:left="360"/>
            </w:pPr>
          </w:p>
          <w:p w:rsidR="00A74945" w:rsidRDefault="00A74945" w:rsidP="00A74945">
            <w:pPr>
              <w:ind w:left="360"/>
            </w:pPr>
            <w:r>
              <w:t xml:space="preserve">Tablice sniženih osiguranih iznosa i otkupnih vrijednosti vrijede za ugovorno dogovorene osigurane iznose i premije kod sklapanja osiguranja. U slučaju izmjena, tablice se odgovarajuće prilagođavaju prema načelima aktuarske matematike. </w:t>
            </w:r>
          </w:p>
          <w:p w:rsidR="00A74945" w:rsidRDefault="00A74945" w:rsidP="00A74945">
            <w:pPr>
              <w:ind w:left="360"/>
            </w:pPr>
          </w:p>
          <w:p w:rsidR="00A74945" w:rsidRDefault="00A74945" w:rsidP="00A74945">
            <w:pPr>
              <w:ind w:left="360"/>
            </w:pPr>
            <w:r>
              <w:t>Klauzule su sastavni dio ove police.</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A74945"/>
        </w:tc>
        <w:tc>
          <w:tcPr>
            <w:tcW w:w="4055" w:type="dxa"/>
            <w:gridSpan w:val="5"/>
            <w:tcBorders>
              <w:right w:val="single" w:sz="4" w:space="0" w:color="auto"/>
            </w:tcBorders>
          </w:tcPr>
          <w:p w:rsidR="00A74945" w:rsidRDefault="00A74945" w:rsidP="00A74945">
            <w:pPr>
              <w:ind w:left="360"/>
            </w:pPr>
            <w:r>
              <w:t>PREDSJEDNIK UPRAVE</w:t>
            </w:r>
          </w:p>
        </w:tc>
      </w:tr>
      <w:tr w:rsidR="00A74945" w:rsidTr="00A74945">
        <w:tblPrEx>
          <w:tblLook w:val="01E0" w:firstRow="1" w:lastRow="1" w:firstColumn="1" w:lastColumn="1" w:noHBand="0" w:noVBand="0"/>
        </w:tblPrEx>
        <w:tc>
          <w:tcPr>
            <w:tcW w:w="5000" w:type="dxa"/>
            <w:gridSpan w:val="6"/>
            <w:tcBorders>
              <w:left w:val="single" w:sz="4" w:space="0" w:color="auto"/>
            </w:tcBorders>
          </w:tcPr>
          <w:p w:rsidR="00A74945" w:rsidRDefault="00A74945" w:rsidP="00D67648">
            <w:r>
              <w:t>U portfelju podružnice RIJEKA</w:t>
            </w:r>
          </w:p>
        </w:tc>
        <w:tc>
          <w:tcPr>
            <w:tcW w:w="4055" w:type="dxa"/>
            <w:gridSpan w:val="5"/>
            <w:tcBorders>
              <w:right w:val="single" w:sz="4" w:space="0" w:color="auto"/>
            </w:tcBorders>
          </w:tcPr>
          <w:p w:rsidR="00A74945" w:rsidRDefault="00A74945" w:rsidP="00D67648">
            <w:pPr>
              <w:ind w:left="360"/>
            </w:pPr>
          </w:p>
        </w:tc>
      </w:tr>
      <w:tr w:rsidR="00A74945" w:rsidTr="00A74945">
        <w:tblPrEx>
          <w:tblLook w:val="01E0" w:firstRow="1" w:lastRow="1" w:firstColumn="1" w:lastColumn="1" w:noHBand="0" w:noVBand="0"/>
        </w:tblPrEx>
        <w:tc>
          <w:tcPr>
            <w:tcW w:w="9055" w:type="dxa"/>
            <w:gridSpan w:val="11"/>
            <w:tcBorders>
              <w:left w:val="single" w:sz="4" w:space="0" w:color="auto"/>
              <w:right w:val="single" w:sz="4" w:space="0" w:color="auto"/>
            </w:tcBorders>
          </w:tcPr>
          <w:p w:rsidR="00A74945" w:rsidRDefault="00A74945" w:rsidP="00D67648">
            <w:pPr>
              <w:ind w:left="360"/>
            </w:pPr>
          </w:p>
        </w:tc>
      </w:tr>
      <w:tr w:rsidR="00A74945" w:rsidTr="00A74945">
        <w:tblPrEx>
          <w:tblLook w:val="01E0" w:firstRow="1" w:lastRow="1" w:firstColumn="1" w:lastColumn="1" w:noHBand="0" w:noVBand="0"/>
        </w:tblPrEx>
        <w:tc>
          <w:tcPr>
            <w:tcW w:w="9055" w:type="dxa"/>
            <w:gridSpan w:val="11"/>
            <w:tcBorders>
              <w:left w:val="single" w:sz="4" w:space="0" w:color="auto"/>
              <w:bottom w:val="single" w:sz="4" w:space="0" w:color="auto"/>
              <w:right w:val="single" w:sz="4" w:space="0" w:color="auto"/>
            </w:tcBorders>
          </w:tcPr>
          <w:p w:rsidR="00A74945" w:rsidRDefault="00A74945" w:rsidP="00D67648">
            <w:pPr>
              <w:ind w:left="360"/>
            </w:pPr>
          </w:p>
          <w:p w:rsidR="00A74945" w:rsidRDefault="00A74945" w:rsidP="00D67648">
            <w:pPr>
              <w:ind w:left="360"/>
            </w:pPr>
            <w:r>
              <w:t>_______________________________</w:t>
            </w:r>
          </w:p>
          <w:p w:rsidR="00A74945" w:rsidRDefault="00A74945" w:rsidP="00D67648">
            <w:pPr>
              <w:ind w:left="360"/>
            </w:pPr>
            <w:r>
              <w:t xml:space="preserve">Potpis ugovaratelja osiguranja </w:t>
            </w:r>
          </w:p>
          <w:p w:rsidR="00A74945" w:rsidRDefault="00A74945" w:rsidP="00D67648">
            <w:pPr>
              <w:ind w:left="360"/>
            </w:pPr>
          </w:p>
          <w:p w:rsidR="00A74945" w:rsidRDefault="00A74945" w:rsidP="00D67648">
            <w:pPr>
              <w:ind w:left="360"/>
            </w:pPr>
          </w:p>
        </w:tc>
      </w:tr>
    </w:tbl>
    <w:p w:rsidR="00F004AC" w:rsidRDefault="00F004AC" w:rsidP="00B90CC0">
      <w:pPr>
        <w:spacing w:before="240"/>
        <w:jc w:val="both"/>
        <w:rPr>
          <w:sz w:val="24"/>
          <w:szCs w:val="24"/>
        </w:rPr>
      </w:pPr>
      <w:r w:rsidRPr="00F004AC">
        <w:rPr>
          <w:sz w:val="24"/>
          <w:szCs w:val="24"/>
        </w:rPr>
        <w:t xml:space="preserve">Osigurani slučaj </w:t>
      </w:r>
      <w:r>
        <w:rPr>
          <w:sz w:val="24"/>
          <w:szCs w:val="24"/>
        </w:rPr>
        <w:t>u ovom primjeru odnosi se na</w:t>
      </w:r>
      <w:r w:rsidRPr="00F004AC">
        <w:rPr>
          <w:sz w:val="24"/>
          <w:szCs w:val="24"/>
        </w:rPr>
        <w:t xml:space="preserve"> rizik </w:t>
      </w:r>
      <w:r>
        <w:rPr>
          <w:sz w:val="24"/>
          <w:szCs w:val="24"/>
        </w:rPr>
        <w:t xml:space="preserve">doživljenja i rizik smrti koji su </w:t>
      </w:r>
      <w:r w:rsidRPr="00F004AC">
        <w:rPr>
          <w:sz w:val="24"/>
          <w:szCs w:val="24"/>
        </w:rPr>
        <w:t>pokriven</w:t>
      </w:r>
      <w:r>
        <w:rPr>
          <w:sz w:val="24"/>
          <w:szCs w:val="24"/>
        </w:rPr>
        <w:t>i</w:t>
      </w:r>
      <w:r w:rsidRPr="00F004AC">
        <w:rPr>
          <w:sz w:val="24"/>
          <w:szCs w:val="24"/>
        </w:rPr>
        <w:t xml:space="preserve"> osiguranjem, </w:t>
      </w:r>
      <w:r>
        <w:rPr>
          <w:sz w:val="24"/>
          <w:szCs w:val="24"/>
        </w:rPr>
        <w:t xml:space="preserve">pri čemu osiguratelj </w:t>
      </w:r>
      <w:r w:rsidRPr="00F004AC">
        <w:rPr>
          <w:sz w:val="24"/>
          <w:szCs w:val="24"/>
        </w:rPr>
        <w:t>procjenjuju rizik s obzirom na vjerojatnost nastupa određenog događaja – doživljenje, smrt, smrt uslijed nezgode i drugo</w:t>
      </w:r>
      <w:r>
        <w:rPr>
          <w:sz w:val="24"/>
          <w:szCs w:val="24"/>
        </w:rPr>
        <w:t xml:space="preserve"> te u tu svrhu prikuplja brojne informacije o osiguraniku, uključujući njegovu dob, spol, pušačke ili nepušačke navike, navike konzumiranja alkohola, sklonost opasnim sportovima, rekreativnom sportu itd. </w:t>
      </w:r>
    </w:p>
    <w:p w:rsidR="00B90CC0" w:rsidRDefault="00B90CC0" w:rsidP="00B90CC0">
      <w:pPr>
        <w:spacing w:before="240"/>
        <w:jc w:val="both"/>
        <w:rPr>
          <w:sz w:val="24"/>
          <w:szCs w:val="24"/>
        </w:rPr>
      </w:pPr>
      <w:r w:rsidRPr="00D67648">
        <w:rPr>
          <w:color w:val="C00000"/>
          <w:sz w:val="24"/>
          <w:szCs w:val="24"/>
        </w:rPr>
        <w:t>Visina premije</w:t>
      </w:r>
      <w:r>
        <w:rPr>
          <w:color w:val="C00000"/>
          <w:sz w:val="24"/>
          <w:szCs w:val="24"/>
        </w:rPr>
        <w:t xml:space="preserve"> osiguranja</w:t>
      </w:r>
      <w:r w:rsidRPr="00D67648">
        <w:rPr>
          <w:color w:val="C00000"/>
          <w:sz w:val="24"/>
          <w:szCs w:val="24"/>
        </w:rPr>
        <w:t xml:space="preserve"> ovisi </w:t>
      </w:r>
      <w:r w:rsidRPr="00D67648">
        <w:rPr>
          <w:sz w:val="24"/>
          <w:szCs w:val="24"/>
        </w:rPr>
        <w:t xml:space="preserve">o visini svote osiguranja, vremenu trajanja osiguranja, starosti i zanimanju osiguranika te drugim faktorima koji djeluju na </w:t>
      </w:r>
      <w:r w:rsidR="00F004AC">
        <w:rPr>
          <w:sz w:val="24"/>
          <w:szCs w:val="24"/>
        </w:rPr>
        <w:t xml:space="preserve">rizik koji preuzima osiguratelj, odnosno </w:t>
      </w:r>
      <w:r w:rsidRPr="00D67648">
        <w:rPr>
          <w:sz w:val="24"/>
          <w:szCs w:val="24"/>
        </w:rPr>
        <w:t xml:space="preserve">vjerojatnost nastupa događaja koji je pokriven osiguranjem. Prva premija  osiguranja dospijeva do dana stupanja na snagu ugovora o osiguranju, dok svaka slijedeća premija uobičajeno dospijeva do konca tekućeg razdoblja za naredno razdoblje, npr. na kraju </w:t>
      </w:r>
      <w:r w:rsidRPr="00D67648">
        <w:rPr>
          <w:sz w:val="24"/>
          <w:szCs w:val="24"/>
        </w:rPr>
        <w:lastRenderedPageBreak/>
        <w:t xml:space="preserve">tekuće godine osiguranja za narednu godinu osiguranja, iako je moguće ugovoriti plaćanje premije i u šestomjesečnim, tromjesečnim (kvartalnim) ili mjesečnim obrocima. </w:t>
      </w:r>
    </w:p>
    <w:p w:rsidR="00B90CC0" w:rsidRDefault="00B90CC0" w:rsidP="00B90CC0">
      <w:pPr>
        <w:spacing w:before="240"/>
        <w:jc w:val="both"/>
      </w:pPr>
      <w:r w:rsidRPr="007E3B47">
        <w:rPr>
          <w:sz w:val="24"/>
          <w:szCs w:val="24"/>
        </w:rPr>
        <w:t xml:space="preserve">Pored </w:t>
      </w:r>
      <w:r w:rsidRPr="007E3B47">
        <w:rPr>
          <w:color w:val="C00000"/>
          <w:sz w:val="24"/>
          <w:szCs w:val="24"/>
        </w:rPr>
        <w:t xml:space="preserve">osnovnog osiguranja </w:t>
      </w:r>
      <w:r w:rsidRPr="007E3B47">
        <w:rPr>
          <w:sz w:val="24"/>
          <w:szCs w:val="24"/>
        </w:rPr>
        <w:t>koje se veže uz osigurano pokriće za doživljenje i smrt, u okviru police osiguranja</w:t>
      </w:r>
      <w:r>
        <w:rPr>
          <w:sz w:val="24"/>
          <w:szCs w:val="24"/>
        </w:rPr>
        <w:t xml:space="preserve"> iz primjera</w:t>
      </w:r>
      <w:r w:rsidRPr="007E3B47">
        <w:rPr>
          <w:sz w:val="24"/>
          <w:szCs w:val="24"/>
        </w:rPr>
        <w:t xml:space="preserve"> </w:t>
      </w:r>
      <w:r w:rsidRPr="007E3B47">
        <w:rPr>
          <w:color w:val="C00000"/>
          <w:sz w:val="24"/>
          <w:szCs w:val="24"/>
        </w:rPr>
        <w:t xml:space="preserve">ugovoreno je dodatno osiguranje od posljedica nesretnog slučaja (nezgode) </w:t>
      </w:r>
      <w:r>
        <w:rPr>
          <w:color w:val="C00000"/>
          <w:sz w:val="24"/>
          <w:szCs w:val="24"/>
        </w:rPr>
        <w:t xml:space="preserve">- </w:t>
      </w:r>
      <w:r w:rsidRPr="00BA43EF">
        <w:rPr>
          <w:color w:val="000000" w:themeColor="text1"/>
          <w:sz w:val="24"/>
          <w:szCs w:val="24"/>
        </w:rPr>
        <w:t>koje može ali i ne mora biti dodatak u životnom osiguranju</w:t>
      </w:r>
      <w:r w:rsidRPr="007E3B47">
        <w:rPr>
          <w:sz w:val="24"/>
          <w:szCs w:val="24"/>
        </w:rPr>
        <w:t xml:space="preserve">. </w:t>
      </w:r>
      <w:r>
        <w:rPr>
          <w:sz w:val="24"/>
          <w:szCs w:val="24"/>
        </w:rPr>
        <w:t xml:space="preserve">Uz životno osiguranje dopunsko/ dodatno osiguranje od posljedica nesretnog slučaja može se ugovoriti za slučajeve smrti uslijed nezgode, smrti uslijed prometne nezgode i trajnog invaliditeta kao posljedice nesretnog slučaja, </w:t>
      </w:r>
      <w:r w:rsidRPr="007E3B47">
        <w:rPr>
          <w:sz w:val="24"/>
          <w:szCs w:val="24"/>
        </w:rPr>
        <w:t xml:space="preserve">no </w:t>
      </w:r>
      <w:r>
        <w:rPr>
          <w:sz w:val="24"/>
          <w:szCs w:val="24"/>
        </w:rPr>
        <w:t xml:space="preserve">time se ugovaratelj osiguranja </w:t>
      </w:r>
      <w:r w:rsidRPr="007E3B47">
        <w:rPr>
          <w:sz w:val="24"/>
          <w:szCs w:val="24"/>
        </w:rPr>
        <w:t>obvezuje i na plaćanje dodatn</w:t>
      </w:r>
      <w:r>
        <w:rPr>
          <w:sz w:val="24"/>
          <w:szCs w:val="24"/>
        </w:rPr>
        <w:t xml:space="preserve">e premije vezane uz te rizike. </w:t>
      </w:r>
    </w:p>
    <w:tbl>
      <w:tblPr>
        <w:tblStyle w:val="Reetkatablice"/>
        <w:tblW w:w="0" w:type="auto"/>
        <w:tblInd w:w="108" w:type="dxa"/>
        <w:tblLook w:val="04A0" w:firstRow="1" w:lastRow="0" w:firstColumn="1" w:lastColumn="0" w:noHBand="0" w:noVBand="1"/>
      </w:tblPr>
      <w:tblGrid>
        <w:gridCol w:w="9072"/>
      </w:tblGrid>
      <w:tr w:rsidR="007E3B47" w:rsidTr="007E3B47">
        <w:tc>
          <w:tcPr>
            <w:tcW w:w="9072" w:type="dxa"/>
            <w:shd w:val="clear" w:color="auto" w:fill="F2F2F2" w:themeFill="background1" w:themeFillShade="F2"/>
          </w:tcPr>
          <w:p w:rsidR="007E3B47" w:rsidRPr="007E3B47" w:rsidRDefault="007E3B47" w:rsidP="00D67648">
            <w:pPr>
              <w:autoSpaceDE w:val="0"/>
              <w:autoSpaceDN w:val="0"/>
              <w:adjustRightInd w:val="0"/>
              <w:spacing w:before="120" w:after="120"/>
              <w:rPr>
                <w:rFonts w:asciiTheme="minorHAnsi" w:eastAsiaTheme="minorHAnsi" w:hAnsiTheme="minorHAnsi" w:cstheme="minorBidi"/>
                <w:sz w:val="24"/>
                <w:szCs w:val="24"/>
                <w:lang w:eastAsia="en-US"/>
              </w:rPr>
            </w:pPr>
            <w:r w:rsidRPr="007E3B47">
              <w:rPr>
                <w:rFonts w:asciiTheme="minorHAnsi" w:eastAsiaTheme="minorHAnsi" w:hAnsiTheme="minorHAnsi" w:cstheme="minorBidi"/>
                <w:color w:val="C00000"/>
                <w:sz w:val="24"/>
                <w:szCs w:val="24"/>
                <w:lang w:eastAsia="en-US"/>
              </w:rPr>
              <w:t xml:space="preserve">Osiguranje osoba od posljedica nesretnog slučaja (nezgode) </w:t>
            </w:r>
          </w:p>
          <w:p w:rsidR="005E11BA" w:rsidRDefault="005E11BA" w:rsidP="00D67648">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Osiguranje od posljedica nesretnog slučaja (nezgode) predstavlja oblik neživotnog osiguranja, ali se može javiti kao dodatno osiguranje uz osnovno životno osiguranje. Može se ugovoriti kao zaseban oblik osiguranja, nevezano uz životno osiguranje, a sve češće je slučaj da se ugovara kao sastavni dio police paketa proizvoda različitih financijskih i nefinancijskih poduzeća. </w:t>
            </w:r>
          </w:p>
          <w:p w:rsidR="007E3B47" w:rsidRDefault="007E3B47" w:rsidP="00D67648">
            <w:pPr>
              <w:spacing w:before="120" w:after="120"/>
              <w:jc w:val="both"/>
              <w:rPr>
                <w:b/>
              </w:rPr>
            </w:pPr>
            <w:r w:rsidRPr="007E3B47">
              <w:rPr>
                <w:rFonts w:asciiTheme="minorHAnsi" w:eastAsiaTheme="minorHAnsi" w:hAnsiTheme="minorHAnsi" w:cstheme="minorBidi"/>
                <w:sz w:val="24"/>
                <w:szCs w:val="24"/>
                <w:lang w:eastAsia="en-US"/>
              </w:rPr>
              <w:t xml:space="preserve">Nesretni slučaj je iznenadni i od volje osiguranika nezavisni događaj koji, djelujući uglavnom izvana i naglo na tijelo osiguranika, ima za posljedicu njegovu smrt, potpuni ili djelomični invaliditet, prolaznu nesposobnost za rad ili narušenje zdravlja koje zahtijeva liječničku pomoć. </w:t>
            </w:r>
          </w:p>
        </w:tc>
      </w:tr>
    </w:tbl>
    <w:p w:rsidR="00F85787" w:rsidRDefault="00CD124A" w:rsidP="005E11BA">
      <w:pPr>
        <w:spacing w:before="240"/>
        <w:jc w:val="both"/>
        <w:rPr>
          <w:sz w:val="24"/>
          <w:szCs w:val="24"/>
        </w:rPr>
      </w:pPr>
      <w:r w:rsidRPr="00CD124A">
        <w:rPr>
          <w:sz w:val="24"/>
          <w:szCs w:val="24"/>
        </w:rPr>
        <w:t xml:space="preserve">Posebnu vrstu životnog osiguranja predstavlja </w:t>
      </w:r>
      <w:r w:rsidRPr="00CD124A">
        <w:rPr>
          <w:color w:val="C00000"/>
          <w:sz w:val="24"/>
          <w:szCs w:val="24"/>
        </w:rPr>
        <w:t>r</w:t>
      </w:r>
      <w:r w:rsidR="00A74945" w:rsidRPr="00CD124A">
        <w:rPr>
          <w:color w:val="C00000"/>
          <w:sz w:val="24"/>
          <w:szCs w:val="24"/>
        </w:rPr>
        <w:t xml:space="preserve">entno osiguranje </w:t>
      </w:r>
      <w:r w:rsidR="00026B75" w:rsidRPr="00026B75">
        <w:rPr>
          <w:i/>
          <w:sz w:val="24"/>
          <w:szCs w:val="24"/>
        </w:rPr>
        <w:t>„</w:t>
      </w:r>
      <w:r w:rsidR="00F42D18" w:rsidRPr="00026B75">
        <w:rPr>
          <w:i/>
          <w:sz w:val="24"/>
          <w:szCs w:val="24"/>
        </w:rPr>
        <w:t>kojim se pokrivaju periodične isplate određenih ugovorenih iznosa kroz određeno razdoblje ili do kraja života</w:t>
      </w:r>
      <w:r w:rsidR="00026B75" w:rsidRPr="00026B75">
        <w:rPr>
          <w:i/>
          <w:sz w:val="24"/>
          <w:szCs w:val="24"/>
        </w:rPr>
        <w:t>“</w:t>
      </w:r>
      <w:r w:rsidR="00026B75">
        <w:rPr>
          <w:rStyle w:val="Referencafusnote"/>
          <w:i/>
          <w:sz w:val="24"/>
          <w:szCs w:val="24"/>
        </w:rPr>
        <w:footnoteReference w:id="86"/>
      </w:r>
      <w:r w:rsidR="007D2945">
        <w:rPr>
          <w:i/>
          <w:sz w:val="24"/>
          <w:szCs w:val="24"/>
        </w:rPr>
        <w:t xml:space="preserve">, </w:t>
      </w:r>
      <w:r w:rsidR="007D2945" w:rsidRPr="007D2945">
        <w:rPr>
          <w:sz w:val="24"/>
          <w:szCs w:val="24"/>
        </w:rPr>
        <w:t>a posebno je prikladan oblik osiguranja za osobe starije od 60 godina iako može u pojedinim slučajevima biti prikladan i za mlađe osobe npr. sa navršenih 50 godina života</w:t>
      </w:r>
      <w:r w:rsidR="00F42D18" w:rsidRPr="007D2945">
        <w:rPr>
          <w:sz w:val="24"/>
          <w:szCs w:val="24"/>
        </w:rPr>
        <w:t>.</w:t>
      </w:r>
      <w:r w:rsidR="00026B75">
        <w:rPr>
          <w:sz w:val="24"/>
          <w:szCs w:val="24"/>
        </w:rPr>
        <w:t xml:space="preserve"> </w:t>
      </w:r>
      <w:r w:rsidR="00026B75" w:rsidRPr="00026B75">
        <w:rPr>
          <w:sz w:val="24"/>
          <w:szCs w:val="24"/>
        </w:rPr>
        <w:t>U</w:t>
      </w:r>
      <w:r w:rsidR="00026B75" w:rsidRPr="00CD124A">
        <w:rPr>
          <w:sz w:val="24"/>
          <w:szCs w:val="24"/>
        </w:rPr>
        <w:t xml:space="preserve">govaratelj osiguranja najčešće plaća premiju u jednokratnom </w:t>
      </w:r>
      <w:r w:rsidR="00026B75" w:rsidRPr="00026B75">
        <w:rPr>
          <w:sz w:val="24"/>
          <w:szCs w:val="24"/>
        </w:rPr>
        <w:t xml:space="preserve">iznosu (ili eventualno obročno, kod stipendijskog osiguranja), a osiguratelj isplaćuje mjesečnu rentu. </w:t>
      </w:r>
      <w:r w:rsidR="00A74945" w:rsidRPr="00CD124A">
        <w:rPr>
          <w:sz w:val="24"/>
          <w:szCs w:val="24"/>
        </w:rPr>
        <w:t xml:space="preserve">Može se ugovoriti </w:t>
      </w:r>
      <w:r w:rsidR="00A74945" w:rsidRPr="007D2945">
        <w:rPr>
          <w:color w:val="C00000"/>
          <w:sz w:val="24"/>
          <w:szCs w:val="24"/>
        </w:rPr>
        <w:t>s</w:t>
      </w:r>
      <w:r w:rsidR="00A74945" w:rsidRPr="00CD124A">
        <w:rPr>
          <w:color w:val="C00000"/>
          <w:sz w:val="24"/>
          <w:szCs w:val="24"/>
        </w:rPr>
        <w:t xml:space="preserve">a zajamčenim </w:t>
      </w:r>
      <w:r w:rsidR="00F85787">
        <w:rPr>
          <w:color w:val="C00000"/>
          <w:sz w:val="24"/>
          <w:szCs w:val="24"/>
        </w:rPr>
        <w:t xml:space="preserve">npr. </w:t>
      </w:r>
      <w:r w:rsidR="00A74945" w:rsidRPr="00CD124A">
        <w:rPr>
          <w:color w:val="C00000"/>
          <w:sz w:val="24"/>
          <w:szCs w:val="24"/>
        </w:rPr>
        <w:t xml:space="preserve">desetogodišnjim isplaćivanjem rente </w:t>
      </w:r>
      <w:r w:rsidR="00A74945" w:rsidRPr="00CD124A">
        <w:rPr>
          <w:sz w:val="24"/>
          <w:szCs w:val="24"/>
        </w:rPr>
        <w:t xml:space="preserve">koja se korisnicima navedenim u polici isplaćuje </w:t>
      </w:r>
      <w:r w:rsidR="005E11BA">
        <w:rPr>
          <w:sz w:val="24"/>
          <w:szCs w:val="24"/>
        </w:rPr>
        <w:t xml:space="preserve">npr. </w:t>
      </w:r>
      <w:r w:rsidR="00A74945" w:rsidRPr="00CD124A">
        <w:rPr>
          <w:sz w:val="24"/>
          <w:szCs w:val="24"/>
        </w:rPr>
        <w:t xml:space="preserve">najmanje deset godina neovisno da li je osigurana osoba živa, što znači i nakon smrti osiguranika. Alternativno se može ugovoriti </w:t>
      </w:r>
      <w:r w:rsidR="00A74945" w:rsidRPr="00CD124A">
        <w:rPr>
          <w:color w:val="C00000"/>
          <w:sz w:val="24"/>
          <w:szCs w:val="24"/>
        </w:rPr>
        <w:t xml:space="preserve">bez  zajamčenog roka isplate </w:t>
      </w:r>
      <w:r w:rsidR="00A74945" w:rsidRPr="00CD124A">
        <w:rPr>
          <w:sz w:val="24"/>
          <w:szCs w:val="24"/>
        </w:rPr>
        <w:t xml:space="preserve">te se u tom slučaju  </w:t>
      </w:r>
      <w:r w:rsidR="00F85787">
        <w:rPr>
          <w:sz w:val="24"/>
          <w:szCs w:val="24"/>
        </w:rPr>
        <w:t xml:space="preserve">renta </w:t>
      </w:r>
      <w:r w:rsidR="00A74945" w:rsidRPr="00CD124A">
        <w:rPr>
          <w:sz w:val="24"/>
          <w:szCs w:val="24"/>
        </w:rPr>
        <w:t>isplaćuje do smrti osigurane osobe.</w:t>
      </w:r>
      <w:r w:rsidR="00CB56FB">
        <w:rPr>
          <w:sz w:val="24"/>
          <w:szCs w:val="24"/>
        </w:rPr>
        <w:t xml:space="preserve"> </w:t>
      </w:r>
    </w:p>
    <w:p w:rsidR="00541346" w:rsidRDefault="00F85787" w:rsidP="00541346">
      <w:pPr>
        <w:spacing w:before="240"/>
        <w:jc w:val="both"/>
        <w:rPr>
          <w:sz w:val="24"/>
          <w:szCs w:val="24"/>
        </w:rPr>
      </w:pPr>
      <w:r>
        <w:rPr>
          <w:sz w:val="24"/>
          <w:szCs w:val="24"/>
        </w:rPr>
        <w:t xml:space="preserve">Rentno osiguranje </w:t>
      </w:r>
      <w:r w:rsidRPr="00810759">
        <w:rPr>
          <w:color w:val="C00000"/>
          <w:sz w:val="24"/>
          <w:szCs w:val="24"/>
        </w:rPr>
        <w:t>u</w:t>
      </w:r>
      <w:r w:rsidR="004F37FD" w:rsidRPr="00810759">
        <w:rPr>
          <w:color w:val="C00000"/>
          <w:sz w:val="24"/>
          <w:szCs w:val="24"/>
        </w:rPr>
        <w:t xml:space="preserve">glavnom se ugovara s ciljem osiguranja </w:t>
      </w:r>
      <w:r w:rsidR="00CB56FB" w:rsidRPr="00810759">
        <w:rPr>
          <w:color w:val="C00000"/>
          <w:sz w:val="24"/>
          <w:szCs w:val="24"/>
        </w:rPr>
        <w:t>izvor</w:t>
      </w:r>
      <w:r w:rsidR="004F37FD" w:rsidRPr="00810759">
        <w:rPr>
          <w:color w:val="C00000"/>
          <w:sz w:val="24"/>
          <w:szCs w:val="24"/>
        </w:rPr>
        <w:t>a</w:t>
      </w:r>
      <w:r w:rsidR="00CB56FB" w:rsidRPr="00810759">
        <w:rPr>
          <w:color w:val="C00000"/>
          <w:sz w:val="24"/>
          <w:szCs w:val="24"/>
        </w:rPr>
        <w:t xml:space="preserve"> dodatnih primitaka kućanstva u godinama</w:t>
      </w:r>
      <w:r w:rsidR="004F37FD" w:rsidRPr="00810759">
        <w:rPr>
          <w:color w:val="C00000"/>
          <w:sz w:val="24"/>
          <w:szCs w:val="24"/>
        </w:rPr>
        <w:t xml:space="preserve"> umirovljenja, odnosno starosti</w:t>
      </w:r>
      <w:r w:rsidR="004F37FD">
        <w:rPr>
          <w:sz w:val="24"/>
          <w:szCs w:val="24"/>
        </w:rPr>
        <w:t>, a cilj može biti poboljšanje socijalno-financijske pozicije kućanstva u financiranju redovitih mjesečnih izdataka</w:t>
      </w:r>
      <w:r w:rsidR="007D2945">
        <w:rPr>
          <w:sz w:val="24"/>
          <w:szCs w:val="24"/>
        </w:rPr>
        <w:t xml:space="preserve"> ili</w:t>
      </w:r>
      <w:r w:rsidR="004F37FD">
        <w:rPr>
          <w:sz w:val="24"/>
          <w:szCs w:val="24"/>
        </w:rPr>
        <w:t xml:space="preserve"> nabavk</w:t>
      </w:r>
      <w:r w:rsidR="007D2945">
        <w:rPr>
          <w:sz w:val="24"/>
          <w:szCs w:val="24"/>
        </w:rPr>
        <w:t>e</w:t>
      </w:r>
      <w:r w:rsidR="004F37FD">
        <w:rPr>
          <w:sz w:val="24"/>
          <w:szCs w:val="24"/>
        </w:rPr>
        <w:t xml:space="preserve"> lijekova</w:t>
      </w:r>
      <w:r w:rsidR="007D2945">
        <w:rPr>
          <w:sz w:val="24"/>
          <w:szCs w:val="24"/>
        </w:rPr>
        <w:t>,</w:t>
      </w:r>
      <w:r w:rsidR="004F37FD">
        <w:rPr>
          <w:sz w:val="24"/>
          <w:szCs w:val="24"/>
        </w:rPr>
        <w:t xml:space="preserve"> </w:t>
      </w:r>
      <w:r w:rsidR="007D2945">
        <w:rPr>
          <w:sz w:val="24"/>
          <w:szCs w:val="24"/>
        </w:rPr>
        <w:t xml:space="preserve">troškova </w:t>
      </w:r>
      <w:r w:rsidR="004F37FD">
        <w:rPr>
          <w:sz w:val="24"/>
          <w:szCs w:val="24"/>
        </w:rPr>
        <w:t>liječenje i slično</w:t>
      </w:r>
      <w:r w:rsidR="007D2945">
        <w:rPr>
          <w:sz w:val="24"/>
          <w:szCs w:val="24"/>
        </w:rPr>
        <w:t>.</w:t>
      </w:r>
      <w:r>
        <w:rPr>
          <w:sz w:val="24"/>
          <w:szCs w:val="24"/>
        </w:rPr>
        <w:t xml:space="preserve"> </w:t>
      </w:r>
      <w:r w:rsidR="00541346">
        <w:rPr>
          <w:sz w:val="24"/>
          <w:szCs w:val="24"/>
        </w:rPr>
        <w:t>Iako se rentno osiguranje uglavnom propagira kao dodatni izvor prihoda kućanstva u godinama starosti, p</w:t>
      </w:r>
      <w:r>
        <w:rPr>
          <w:sz w:val="24"/>
          <w:szCs w:val="24"/>
        </w:rPr>
        <w:t xml:space="preserve">raktično </w:t>
      </w:r>
      <w:r w:rsidR="008D0294">
        <w:rPr>
          <w:sz w:val="24"/>
          <w:szCs w:val="24"/>
        </w:rPr>
        <w:t xml:space="preserve">se </w:t>
      </w:r>
      <w:r>
        <w:rPr>
          <w:sz w:val="24"/>
          <w:szCs w:val="24"/>
        </w:rPr>
        <w:t xml:space="preserve">radi o </w:t>
      </w:r>
      <w:r w:rsidR="00310FB1">
        <w:rPr>
          <w:sz w:val="24"/>
          <w:szCs w:val="24"/>
        </w:rPr>
        <w:t xml:space="preserve">jednokratnoj </w:t>
      </w:r>
      <w:r>
        <w:rPr>
          <w:sz w:val="24"/>
          <w:szCs w:val="24"/>
        </w:rPr>
        <w:t xml:space="preserve">uplati vlastitih sredstava koja </w:t>
      </w:r>
      <w:r w:rsidR="008D0294">
        <w:rPr>
          <w:sz w:val="24"/>
          <w:szCs w:val="24"/>
        </w:rPr>
        <w:t>društvo za osiguranje p</w:t>
      </w:r>
      <w:r>
        <w:rPr>
          <w:sz w:val="24"/>
          <w:szCs w:val="24"/>
        </w:rPr>
        <w:t xml:space="preserve">otom </w:t>
      </w:r>
      <w:r w:rsidR="00310FB1">
        <w:rPr>
          <w:sz w:val="24"/>
          <w:szCs w:val="24"/>
        </w:rPr>
        <w:t xml:space="preserve">kroz duža vremenska razdoblja </w:t>
      </w:r>
      <w:r>
        <w:rPr>
          <w:sz w:val="24"/>
          <w:szCs w:val="24"/>
        </w:rPr>
        <w:t>korist</w:t>
      </w:r>
      <w:r w:rsidR="008D0294">
        <w:rPr>
          <w:sz w:val="24"/>
          <w:szCs w:val="24"/>
        </w:rPr>
        <w:t>i</w:t>
      </w:r>
      <w:r>
        <w:rPr>
          <w:sz w:val="24"/>
          <w:szCs w:val="24"/>
        </w:rPr>
        <w:t xml:space="preserve"> za periodičke mjesečne isplate osiguranicima </w:t>
      </w:r>
      <w:r w:rsidR="008D0294">
        <w:rPr>
          <w:sz w:val="24"/>
          <w:szCs w:val="24"/>
        </w:rPr>
        <w:t>pa</w:t>
      </w:r>
      <w:r w:rsidR="00541346">
        <w:rPr>
          <w:sz w:val="24"/>
          <w:szCs w:val="24"/>
        </w:rPr>
        <w:t>,</w:t>
      </w:r>
      <w:r w:rsidR="008D0294">
        <w:rPr>
          <w:sz w:val="24"/>
          <w:szCs w:val="24"/>
        </w:rPr>
        <w:t xml:space="preserve"> </w:t>
      </w:r>
      <w:r w:rsidR="00541346">
        <w:rPr>
          <w:sz w:val="24"/>
          <w:szCs w:val="24"/>
        </w:rPr>
        <w:t xml:space="preserve">u kućnom budžetu i novčanom toku </w:t>
      </w:r>
      <w:r w:rsidR="00541346">
        <w:rPr>
          <w:sz w:val="24"/>
          <w:szCs w:val="24"/>
        </w:rPr>
        <w:lastRenderedPageBreak/>
        <w:t xml:space="preserve">kućanstva, renta </w:t>
      </w:r>
      <w:r w:rsidR="008D0294">
        <w:rPr>
          <w:sz w:val="24"/>
          <w:szCs w:val="24"/>
        </w:rPr>
        <w:t>predstavlja očekivani redoviti</w:t>
      </w:r>
      <w:r w:rsidR="00310FB1">
        <w:rPr>
          <w:sz w:val="24"/>
          <w:szCs w:val="24"/>
        </w:rPr>
        <w:t xml:space="preserve"> </w:t>
      </w:r>
      <w:r w:rsidR="00541346">
        <w:rPr>
          <w:sz w:val="24"/>
          <w:szCs w:val="24"/>
        </w:rPr>
        <w:t>novčani priljev</w:t>
      </w:r>
      <w:r w:rsidR="00310FB1">
        <w:rPr>
          <w:sz w:val="24"/>
          <w:szCs w:val="24"/>
        </w:rPr>
        <w:t>.</w:t>
      </w:r>
      <w:r w:rsidR="00541346">
        <w:rPr>
          <w:sz w:val="24"/>
          <w:szCs w:val="24"/>
        </w:rPr>
        <w:t xml:space="preserve"> </w:t>
      </w:r>
      <w:r w:rsidR="009B14A4">
        <w:rPr>
          <w:sz w:val="24"/>
          <w:szCs w:val="24"/>
        </w:rPr>
        <w:t>Pri tome u nominalnim terminima iznos ukupnih renti koje će biti isplaćene može biti i već</w:t>
      </w:r>
      <w:r w:rsidR="00E315DB">
        <w:rPr>
          <w:sz w:val="24"/>
          <w:szCs w:val="24"/>
        </w:rPr>
        <w:t xml:space="preserve">i od iznosa jednokratne uplate, dok je </w:t>
      </w:r>
      <w:r w:rsidR="00E315DB" w:rsidRPr="00E51733">
        <w:rPr>
          <w:color w:val="C00000"/>
          <w:sz w:val="24"/>
          <w:szCs w:val="24"/>
        </w:rPr>
        <w:t>dodatna pogodnost što svaka štednja koja je pojedincu nedostupna praktično ga sprječava da novac prijevremeno potroši</w:t>
      </w:r>
      <w:r w:rsidR="00E315DB">
        <w:rPr>
          <w:sz w:val="24"/>
          <w:szCs w:val="24"/>
        </w:rPr>
        <w:t xml:space="preserve">, odnosno </w:t>
      </w:r>
      <w:r w:rsidR="00952EF0">
        <w:rPr>
          <w:sz w:val="24"/>
          <w:szCs w:val="24"/>
        </w:rPr>
        <w:t xml:space="preserve">ima učinak </w:t>
      </w:r>
      <w:r w:rsidR="00E315DB">
        <w:rPr>
          <w:sz w:val="24"/>
          <w:szCs w:val="24"/>
        </w:rPr>
        <w:t>disciplinirano</w:t>
      </w:r>
      <w:r w:rsidR="00952EF0">
        <w:rPr>
          <w:sz w:val="24"/>
          <w:szCs w:val="24"/>
        </w:rPr>
        <w:t>g</w:t>
      </w:r>
      <w:r w:rsidR="00E315DB">
        <w:rPr>
          <w:sz w:val="24"/>
          <w:szCs w:val="24"/>
        </w:rPr>
        <w:t xml:space="preserve"> korištenje štednje kako bi što veći iznos sredstava ostao za budućnost.</w:t>
      </w:r>
    </w:p>
    <w:p w:rsidR="00A74945" w:rsidRDefault="00E315DB" w:rsidP="00541346">
      <w:pPr>
        <w:spacing w:before="240"/>
        <w:jc w:val="both"/>
        <w:rPr>
          <w:sz w:val="24"/>
          <w:szCs w:val="24"/>
        </w:rPr>
      </w:pPr>
      <w:r>
        <w:rPr>
          <w:sz w:val="24"/>
          <w:szCs w:val="24"/>
        </w:rPr>
        <w:t xml:space="preserve">Međutim, </w:t>
      </w:r>
      <w:r w:rsidR="00541346">
        <w:rPr>
          <w:sz w:val="24"/>
          <w:szCs w:val="24"/>
        </w:rPr>
        <w:t>kao i kod svakog</w:t>
      </w:r>
      <w:r w:rsidR="003E2F67">
        <w:rPr>
          <w:sz w:val="24"/>
          <w:szCs w:val="24"/>
        </w:rPr>
        <w:t xml:space="preserve"> drugog </w:t>
      </w:r>
      <w:r w:rsidR="00541346">
        <w:rPr>
          <w:sz w:val="24"/>
          <w:szCs w:val="24"/>
        </w:rPr>
        <w:t xml:space="preserve">štedno-ulagačkog oblika imovine treba voditi računa o </w:t>
      </w:r>
      <w:r w:rsidR="00310FB1">
        <w:rPr>
          <w:sz w:val="24"/>
          <w:szCs w:val="24"/>
        </w:rPr>
        <w:t xml:space="preserve"> </w:t>
      </w:r>
      <w:r w:rsidR="00810759" w:rsidRPr="00810759">
        <w:rPr>
          <w:color w:val="C00000"/>
          <w:sz w:val="24"/>
          <w:szCs w:val="24"/>
        </w:rPr>
        <w:t xml:space="preserve">vremenskoj vrijednosti novca </w:t>
      </w:r>
      <w:r w:rsidR="00810759">
        <w:rPr>
          <w:sz w:val="24"/>
          <w:szCs w:val="24"/>
        </w:rPr>
        <w:t xml:space="preserve">i činjenici da inflacija smanjuje realnu kupovnu moć novca tijekom vremena pa </w:t>
      </w:r>
      <w:r w:rsidR="00810759" w:rsidRPr="00810759">
        <w:rPr>
          <w:color w:val="C00000"/>
          <w:sz w:val="24"/>
          <w:szCs w:val="24"/>
        </w:rPr>
        <w:t xml:space="preserve">osoba ne bi trebala biti žrtva novčane iluzije </w:t>
      </w:r>
      <w:r w:rsidR="00810759">
        <w:rPr>
          <w:sz w:val="24"/>
          <w:szCs w:val="24"/>
        </w:rPr>
        <w:t>– razmišljanja u nominalnim terminima umjesto u realnim terminima, odnosno u izboru proizvoda štednje treba voditi računa o važnosti kapitalizacije uz pozitivnu vrijednost realne stope prinosa.</w:t>
      </w:r>
    </w:p>
    <w:tbl>
      <w:tblPr>
        <w:tblStyle w:val="Reetkatablice"/>
        <w:tblW w:w="0" w:type="auto"/>
        <w:tblInd w:w="108" w:type="dxa"/>
        <w:tblLook w:val="04A0" w:firstRow="1" w:lastRow="0" w:firstColumn="1" w:lastColumn="0" w:noHBand="0" w:noVBand="1"/>
      </w:tblPr>
      <w:tblGrid>
        <w:gridCol w:w="9072"/>
      </w:tblGrid>
      <w:tr w:rsidR="00CD5209" w:rsidTr="00CD5209">
        <w:tc>
          <w:tcPr>
            <w:tcW w:w="9072" w:type="dxa"/>
          </w:tcPr>
          <w:p w:rsidR="00CD5209" w:rsidRDefault="00CD5209" w:rsidP="00CD5209">
            <w:pPr>
              <w:spacing w:before="240" w:after="120"/>
              <w:jc w:val="both"/>
              <w:rPr>
                <w:rFonts w:asciiTheme="minorHAnsi" w:hAnsiTheme="minorHAnsi"/>
                <w:sz w:val="24"/>
                <w:szCs w:val="24"/>
              </w:rPr>
            </w:pPr>
            <w:r w:rsidRPr="00CD5209">
              <w:rPr>
                <w:rFonts w:asciiTheme="minorHAnsi" w:hAnsiTheme="minorHAnsi"/>
                <w:color w:val="C00000"/>
                <w:sz w:val="24"/>
                <w:szCs w:val="24"/>
              </w:rPr>
              <w:t xml:space="preserve">Primjer: </w:t>
            </w:r>
            <w:r w:rsidRPr="00CD5209">
              <w:rPr>
                <w:rFonts w:asciiTheme="minorHAnsi" w:hAnsiTheme="minorHAnsi"/>
                <w:sz w:val="24"/>
                <w:szCs w:val="24"/>
              </w:rPr>
              <w:t xml:space="preserve">Osoba ima 65 godina i jednokratno uplaćuje rentno osiguranje u visini iznosa 10.000 eura uz zajamčeno razdoblje 15 godina do 80 godine života tijekom kojeg ostvaruje pravo na 150% iznos mjesečne rente, a potom do doživljenja 100% iznos mjesečne rente. </w:t>
            </w:r>
            <w:r w:rsidR="00850F28">
              <w:rPr>
                <w:rFonts w:asciiTheme="minorHAnsi" w:hAnsiTheme="minorHAnsi"/>
                <w:sz w:val="24"/>
                <w:szCs w:val="24"/>
              </w:rPr>
              <w:t>(Prema uvjetima osiguratelja, ovaj oblik rentnog osiguranja dostupan je osiguranicima u dobi od 60 do 80 godina života.)</w:t>
            </w:r>
          </w:p>
          <w:p w:rsidR="00CD5209" w:rsidRPr="00CD5209" w:rsidRDefault="003E2F67" w:rsidP="00CD5209">
            <w:pPr>
              <w:spacing w:before="240" w:after="120"/>
              <w:jc w:val="both"/>
              <w:rPr>
                <w:rFonts w:asciiTheme="minorHAnsi" w:hAnsiTheme="minorHAnsi"/>
                <w:sz w:val="24"/>
                <w:szCs w:val="24"/>
              </w:rPr>
            </w:pPr>
            <w:r>
              <w:rPr>
                <w:rFonts w:asciiTheme="minorHAnsi" w:hAnsiTheme="minorHAnsi"/>
                <w:sz w:val="24"/>
                <w:szCs w:val="24"/>
              </w:rPr>
              <w:t xml:space="preserve">S obzirom da je osoba pristupila rentnom osiguranju u 65. </w:t>
            </w:r>
            <w:r w:rsidR="00952EF0">
              <w:rPr>
                <w:rFonts w:asciiTheme="minorHAnsi" w:hAnsiTheme="minorHAnsi"/>
                <w:sz w:val="24"/>
                <w:szCs w:val="24"/>
              </w:rPr>
              <w:t>g</w:t>
            </w:r>
            <w:r>
              <w:rPr>
                <w:rFonts w:asciiTheme="minorHAnsi" w:hAnsiTheme="minorHAnsi"/>
                <w:sz w:val="24"/>
                <w:szCs w:val="24"/>
              </w:rPr>
              <w:t>odini života, u</w:t>
            </w:r>
            <w:r w:rsidR="00CD5209" w:rsidRPr="00CD5209">
              <w:rPr>
                <w:rFonts w:asciiTheme="minorHAnsi" w:hAnsiTheme="minorHAnsi"/>
                <w:sz w:val="24"/>
                <w:szCs w:val="24"/>
              </w:rPr>
              <w:t xml:space="preserve"> prvih 15 godina ostvaruje pravo na mjesečnu rentu u iznosu 48,54 eura, a potom nakon 80 godine života doživotnu rentu u iznosu 32,36 eura mjesečno. Tijekom zajamčenog razdoblja ostvarit će rente u ukupnom iznosu 8</w:t>
            </w:r>
            <w:r>
              <w:rPr>
                <w:rFonts w:asciiTheme="minorHAnsi" w:hAnsiTheme="minorHAnsi"/>
                <w:sz w:val="24"/>
                <w:szCs w:val="24"/>
              </w:rPr>
              <w:t>.</w:t>
            </w:r>
            <w:r w:rsidR="00CD5209" w:rsidRPr="00CD5209">
              <w:rPr>
                <w:rFonts w:asciiTheme="minorHAnsi" w:hAnsiTheme="minorHAnsi"/>
                <w:sz w:val="24"/>
                <w:szCs w:val="24"/>
              </w:rPr>
              <w:t>737,20 eura, a pod pretpostavkom da doživi 85 sve zajedno će ukupne isplaće</w:t>
            </w:r>
            <w:r>
              <w:rPr>
                <w:rFonts w:asciiTheme="minorHAnsi" w:hAnsiTheme="minorHAnsi"/>
                <w:sz w:val="24"/>
                <w:szCs w:val="24"/>
              </w:rPr>
              <w:t xml:space="preserve">ne rente iznositi 10.679 eura. </w:t>
            </w:r>
          </w:p>
          <w:p w:rsidR="00952EF0" w:rsidRDefault="00CD5209" w:rsidP="00CD5209">
            <w:pPr>
              <w:spacing w:after="120"/>
              <w:jc w:val="both"/>
              <w:rPr>
                <w:rFonts w:asciiTheme="minorHAnsi" w:eastAsiaTheme="minorHAnsi" w:hAnsiTheme="minorHAnsi" w:cstheme="minorBidi"/>
                <w:sz w:val="24"/>
                <w:szCs w:val="24"/>
                <w:lang w:eastAsia="en-US"/>
              </w:rPr>
            </w:pPr>
            <w:r w:rsidRPr="00CD5209">
              <w:rPr>
                <w:rFonts w:asciiTheme="minorHAnsi" w:hAnsiTheme="minorHAnsi"/>
                <w:sz w:val="24"/>
                <w:szCs w:val="24"/>
              </w:rPr>
              <w:t xml:space="preserve">U nominalnim terminima sve zvuči relativno dobro. Međutim nakon 25 godina uz prosječnu stopu inflacije 2% godišnje, iznos od 10.679 eura realno vrijedi tek </w:t>
            </w:r>
            <w:r w:rsidRPr="00CD5209">
              <w:rPr>
                <w:rFonts w:asciiTheme="minorHAnsi" w:hAnsiTheme="minorHAnsi"/>
                <w:color w:val="000000"/>
                <w:sz w:val="24"/>
                <w:szCs w:val="24"/>
              </w:rPr>
              <w:t xml:space="preserve">6.509,18 eura. Na sličan način mjesečna renta u iznosu 48,54 eura na početku petnaeste godini isplate vrijedi tek 36,79 eura, dok mjesečna renta u iznosu 32,36 na početku sedamnaeste godine isplate realno vrijedi tek 23,57 eura, a u 23. godini isplate svega 20,93 eura. </w:t>
            </w:r>
            <w:r w:rsidRPr="00CD5209">
              <w:rPr>
                <w:rFonts w:asciiTheme="minorHAnsi" w:hAnsiTheme="minorHAnsi"/>
                <w:color w:val="C00000"/>
                <w:sz w:val="24"/>
                <w:szCs w:val="24"/>
              </w:rPr>
              <w:t xml:space="preserve">U dugom roku, realni prinos na opisanu štednju je stoga </w:t>
            </w:r>
            <w:r w:rsidRPr="00CD5209">
              <w:rPr>
                <w:rFonts w:asciiTheme="minorHAnsi" w:eastAsiaTheme="minorHAnsi" w:hAnsiTheme="minorHAnsi" w:cstheme="minorBidi"/>
                <w:color w:val="C00000"/>
                <w:sz w:val="24"/>
                <w:szCs w:val="24"/>
                <w:lang w:eastAsia="en-US"/>
              </w:rPr>
              <w:t>negativan</w:t>
            </w:r>
            <w:r w:rsidR="009B14A4" w:rsidRPr="009B14A4">
              <w:rPr>
                <w:rFonts w:asciiTheme="minorHAnsi" w:eastAsiaTheme="minorHAnsi" w:hAnsiTheme="minorHAnsi" w:cstheme="minorBidi"/>
                <w:sz w:val="24"/>
                <w:szCs w:val="24"/>
                <w:lang w:eastAsia="en-US"/>
              </w:rPr>
              <w:t xml:space="preserve">, no </w:t>
            </w:r>
            <w:r w:rsidR="009B14A4">
              <w:rPr>
                <w:rFonts w:asciiTheme="minorHAnsi" w:eastAsiaTheme="minorHAnsi" w:hAnsiTheme="minorHAnsi" w:cstheme="minorBidi"/>
                <w:sz w:val="24"/>
                <w:szCs w:val="24"/>
                <w:lang w:eastAsia="en-US"/>
              </w:rPr>
              <w:t xml:space="preserve">brojni osiguranici izabrat će ovaj proizvod </w:t>
            </w:r>
            <w:r w:rsidR="009B14A4" w:rsidRPr="009B14A4">
              <w:rPr>
                <w:rFonts w:asciiTheme="minorHAnsi" w:eastAsiaTheme="minorHAnsi" w:hAnsiTheme="minorHAnsi" w:cstheme="minorBidi"/>
                <w:sz w:val="24"/>
                <w:szCs w:val="24"/>
                <w:lang w:eastAsia="en-US"/>
              </w:rPr>
              <w:t xml:space="preserve">prvenstveno </w:t>
            </w:r>
            <w:r w:rsidR="009B14A4">
              <w:rPr>
                <w:rFonts w:asciiTheme="minorHAnsi" w:eastAsiaTheme="minorHAnsi" w:hAnsiTheme="minorHAnsi" w:cstheme="minorBidi"/>
                <w:sz w:val="24"/>
                <w:szCs w:val="24"/>
                <w:lang w:eastAsia="en-US"/>
              </w:rPr>
              <w:t xml:space="preserve">zbog pogodnosti </w:t>
            </w:r>
            <w:r w:rsidR="009B14A4" w:rsidRPr="009B14A4">
              <w:rPr>
                <w:rFonts w:asciiTheme="minorHAnsi" w:eastAsiaTheme="minorHAnsi" w:hAnsiTheme="minorHAnsi" w:cstheme="minorBidi"/>
                <w:sz w:val="24"/>
                <w:szCs w:val="24"/>
                <w:lang w:eastAsia="en-US"/>
              </w:rPr>
              <w:t>doživotne isplate rente. Tko zna možda naš pojedinac doživi i 100 godina</w:t>
            </w:r>
            <w:r w:rsidR="00E315DB">
              <w:rPr>
                <w:rFonts w:asciiTheme="minorHAnsi" w:eastAsiaTheme="minorHAnsi" w:hAnsiTheme="minorHAnsi" w:cstheme="minorBidi"/>
                <w:sz w:val="24"/>
                <w:szCs w:val="24"/>
                <w:lang w:eastAsia="en-US"/>
              </w:rPr>
              <w:t xml:space="preserve"> te će u tom slučaju kroz isplate rente (u narednih 20 godina, tj. između 80. I 100.) ostvariti primitke u dodatnom iznosu </w:t>
            </w:r>
            <w:r w:rsidR="009F7AD8">
              <w:rPr>
                <w:rFonts w:asciiTheme="minorHAnsi" w:eastAsiaTheme="minorHAnsi" w:hAnsiTheme="minorHAnsi" w:cstheme="minorBidi"/>
                <w:sz w:val="24"/>
                <w:szCs w:val="24"/>
                <w:lang w:eastAsia="en-US"/>
              </w:rPr>
              <w:t xml:space="preserve">ukupno </w:t>
            </w:r>
            <w:r w:rsidR="00E315DB" w:rsidRPr="00E315DB">
              <w:rPr>
                <w:rFonts w:asciiTheme="minorHAnsi" w:eastAsiaTheme="minorHAnsi" w:hAnsiTheme="minorHAnsi" w:cstheme="minorBidi"/>
                <w:sz w:val="24"/>
                <w:szCs w:val="24"/>
                <w:lang w:eastAsia="en-US"/>
              </w:rPr>
              <w:t>7</w:t>
            </w:r>
            <w:r w:rsidR="00E315DB">
              <w:rPr>
                <w:rFonts w:asciiTheme="minorHAnsi" w:eastAsiaTheme="minorHAnsi" w:hAnsiTheme="minorHAnsi" w:cstheme="minorBidi"/>
                <w:sz w:val="24"/>
                <w:szCs w:val="24"/>
                <w:lang w:eastAsia="en-US"/>
              </w:rPr>
              <w:t>.</w:t>
            </w:r>
            <w:r w:rsidR="00E315DB" w:rsidRPr="00E315DB">
              <w:rPr>
                <w:rFonts w:asciiTheme="minorHAnsi" w:eastAsiaTheme="minorHAnsi" w:hAnsiTheme="minorHAnsi" w:cstheme="minorBidi"/>
                <w:sz w:val="24"/>
                <w:szCs w:val="24"/>
                <w:lang w:eastAsia="en-US"/>
              </w:rPr>
              <w:t>766,4</w:t>
            </w:r>
            <w:r w:rsidR="00E315DB">
              <w:rPr>
                <w:rFonts w:asciiTheme="minorHAnsi" w:eastAsiaTheme="minorHAnsi" w:hAnsiTheme="minorHAnsi" w:cstheme="minorBidi"/>
                <w:sz w:val="24"/>
                <w:szCs w:val="24"/>
                <w:lang w:eastAsia="en-US"/>
              </w:rPr>
              <w:t xml:space="preserve">0 eura. </w:t>
            </w:r>
          </w:p>
          <w:p w:rsidR="00952EF0" w:rsidRDefault="00952EF0" w:rsidP="00CD5209">
            <w:pPr>
              <w:spacing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S obzirom da </w:t>
            </w:r>
            <w:r w:rsidRPr="00952EF0">
              <w:rPr>
                <w:rFonts w:asciiTheme="minorHAnsi" w:eastAsiaTheme="minorHAnsi" w:hAnsiTheme="minorHAnsi" w:cstheme="minorBidi"/>
                <w:color w:val="C00000"/>
                <w:sz w:val="24"/>
                <w:szCs w:val="24"/>
                <w:lang w:eastAsia="en-US"/>
              </w:rPr>
              <w:t xml:space="preserve">svaku štedno-ulagačku odluku treba </w:t>
            </w:r>
            <w:r>
              <w:rPr>
                <w:rFonts w:asciiTheme="minorHAnsi" w:eastAsiaTheme="minorHAnsi" w:hAnsiTheme="minorHAnsi" w:cstheme="minorBidi"/>
                <w:color w:val="C00000"/>
                <w:sz w:val="24"/>
                <w:szCs w:val="24"/>
                <w:lang w:eastAsia="en-US"/>
              </w:rPr>
              <w:t xml:space="preserve">analizirati i vrednovati </w:t>
            </w:r>
            <w:r w:rsidRPr="00952EF0">
              <w:rPr>
                <w:rFonts w:asciiTheme="minorHAnsi" w:eastAsiaTheme="minorHAnsi" w:hAnsiTheme="minorHAnsi" w:cstheme="minorBidi"/>
                <w:color w:val="C00000"/>
                <w:sz w:val="24"/>
                <w:szCs w:val="24"/>
                <w:lang w:eastAsia="en-US"/>
              </w:rPr>
              <w:t xml:space="preserve">kroz moguće alternative </w:t>
            </w:r>
            <w:r>
              <w:rPr>
                <w:rFonts w:asciiTheme="minorHAnsi" w:eastAsiaTheme="minorHAnsi" w:hAnsiTheme="minorHAnsi" w:cstheme="minorBidi"/>
                <w:sz w:val="24"/>
                <w:szCs w:val="24"/>
                <w:lang w:eastAsia="en-US"/>
              </w:rPr>
              <w:t xml:space="preserve">u nastavku je dana usporedba mogućnostima koje pruža klasična oročena štednja u banci. </w:t>
            </w:r>
          </w:p>
          <w:p w:rsidR="00CD5209" w:rsidRPr="00CD5209" w:rsidRDefault="00CD5209" w:rsidP="00CD5209">
            <w:pPr>
              <w:spacing w:after="120"/>
              <w:jc w:val="both"/>
              <w:rPr>
                <w:rFonts w:asciiTheme="minorHAnsi" w:hAnsiTheme="minorHAnsi"/>
                <w:sz w:val="24"/>
                <w:szCs w:val="24"/>
              </w:rPr>
            </w:pPr>
            <w:r w:rsidRPr="00CD5209">
              <w:rPr>
                <w:rFonts w:asciiTheme="minorHAnsi" w:eastAsiaTheme="minorHAnsi" w:hAnsiTheme="minorHAnsi" w:cstheme="minorBidi"/>
                <w:sz w:val="24"/>
                <w:szCs w:val="24"/>
                <w:lang w:eastAsia="en-US"/>
              </w:rPr>
              <w:t>Da je u opisanom primjeru pojedinac u prvoj godini oročio 9.417,52 eura (kao razliku 10.000 eura ranije formirane štednje i 582,48 eura koje će se koristiti kao dodatni izvor financiranja tijekom prvih godinu dana</w:t>
            </w:r>
            <w:r w:rsidR="00952EF0">
              <w:rPr>
                <w:rFonts w:asciiTheme="minorHAnsi" w:eastAsiaTheme="minorHAnsi" w:hAnsiTheme="minorHAnsi" w:cstheme="minorBidi"/>
                <w:sz w:val="24"/>
                <w:szCs w:val="24"/>
                <w:lang w:eastAsia="en-US"/>
              </w:rPr>
              <w:t xml:space="preserve"> kao alternativa mjesečnim rentama</w:t>
            </w:r>
            <w:r w:rsidRPr="00CD5209">
              <w:rPr>
                <w:rFonts w:asciiTheme="minorHAnsi" w:eastAsiaTheme="minorHAnsi" w:hAnsiTheme="minorHAnsi" w:cstheme="minorBidi"/>
                <w:sz w:val="24"/>
                <w:szCs w:val="24"/>
                <w:lang w:eastAsia="en-US"/>
              </w:rPr>
              <w:t xml:space="preserve">), uz kamatnu stopu samo 1% godišnje, na kraju prve godine raspolagao bi s </w:t>
            </w:r>
            <w:r w:rsidRPr="00CD5209">
              <w:rPr>
                <w:rFonts w:asciiTheme="minorHAnsi" w:hAnsiTheme="minorHAnsi" w:cstheme="minorBidi"/>
                <w:sz w:val="24"/>
                <w:szCs w:val="24"/>
              </w:rPr>
              <w:t>9.511,70 eura štednje, odnosno ostvario bi bruto prihode od kamata u visini 94,18 eura. Međutim, da je kamatna stopa na oročenu štednju bilježila razin</w:t>
            </w:r>
            <w:r w:rsidRPr="00CD5209">
              <w:rPr>
                <w:rFonts w:asciiTheme="minorHAnsi" w:hAnsiTheme="minorHAnsi"/>
                <w:sz w:val="24"/>
                <w:szCs w:val="24"/>
              </w:rPr>
              <w:t>u</w:t>
            </w:r>
            <w:r w:rsidRPr="00CD5209">
              <w:rPr>
                <w:rFonts w:asciiTheme="minorHAnsi" w:hAnsiTheme="minorHAnsi" w:cstheme="minorBidi"/>
                <w:sz w:val="24"/>
                <w:szCs w:val="24"/>
              </w:rPr>
              <w:t xml:space="preserve"> 2% godišnje </w:t>
            </w:r>
            <w:r w:rsidRPr="00CD5209">
              <w:rPr>
                <w:rFonts w:asciiTheme="minorHAnsi" w:hAnsiTheme="minorHAnsi"/>
                <w:sz w:val="24"/>
                <w:szCs w:val="24"/>
              </w:rPr>
              <w:t xml:space="preserve">(koliko obično iznosi stopa inflacije) </w:t>
            </w:r>
            <w:r w:rsidRPr="00CD5209">
              <w:rPr>
                <w:rFonts w:asciiTheme="minorHAnsi" w:hAnsiTheme="minorHAnsi" w:cstheme="minorBidi"/>
                <w:sz w:val="24"/>
                <w:szCs w:val="24"/>
              </w:rPr>
              <w:t xml:space="preserve">ostvario bi kamate u visini 188,35 eura, dok bi kapitalizirana štednja imala konačnu vrijednost 9.605,87 eura od kojih bi se značajan iznos mogao dalje oročavati u narednim </w:t>
            </w:r>
            <w:r w:rsidRPr="00CD5209">
              <w:rPr>
                <w:rFonts w:asciiTheme="minorHAnsi" w:hAnsiTheme="minorHAnsi" w:cstheme="minorBidi"/>
                <w:sz w:val="24"/>
                <w:szCs w:val="24"/>
              </w:rPr>
              <w:lastRenderedPageBreak/>
              <w:t>godinama</w:t>
            </w:r>
            <w:r w:rsidR="00956FF2">
              <w:rPr>
                <w:rFonts w:asciiTheme="minorHAnsi" w:hAnsiTheme="minorHAnsi" w:cstheme="minorBidi"/>
                <w:sz w:val="24"/>
                <w:szCs w:val="24"/>
              </w:rPr>
              <w:t>. (P</w:t>
            </w:r>
            <w:r w:rsidRPr="00CD5209">
              <w:rPr>
                <w:rFonts w:asciiTheme="minorHAnsi" w:hAnsiTheme="minorHAnsi" w:cstheme="minorBidi"/>
                <w:sz w:val="24"/>
                <w:szCs w:val="24"/>
              </w:rPr>
              <w:t xml:space="preserve">ojedinac bi </w:t>
            </w:r>
            <w:r w:rsidRPr="00CD5209">
              <w:rPr>
                <w:rFonts w:asciiTheme="minorHAnsi" w:hAnsiTheme="minorHAnsi"/>
                <w:sz w:val="24"/>
                <w:szCs w:val="24"/>
              </w:rPr>
              <w:t xml:space="preserve">u nastavku </w:t>
            </w:r>
            <w:r w:rsidR="00956FF2">
              <w:rPr>
                <w:rFonts w:asciiTheme="minorHAnsi" w:hAnsiTheme="minorHAnsi" w:cstheme="minorBidi"/>
                <w:sz w:val="24"/>
                <w:szCs w:val="24"/>
              </w:rPr>
              <w:t>mogao jednom godišnje periodično izdvajati</w:t>
            </w:r>
            <w:r w:rsidRPr="00CD5209">
              <w:rPr>
                <w:rFonts w:asciiTheme="minorHAnsi" w:hAnsiTheme="minorHAnsi" w:cstheme="minorBidi"/>
                <w:sz w:val="24"/>
                <w:szCs w:val="24"/>
              </w:rPr>
              <w:t xml:space="preserve"> npr. 582,48 eura kao dodatne </w:t>
            </w:r>
            <w:r w:rsidR="00956FF2">
              <w:rPr>
                <w:rFonts w:asciiTheme="minorHAnsi" w:hAnsiTheme="minorHAnsi" w:cstheme="minorBidi"/>
                <w:sz w:val="24"/>
                <w:szCs w:val="24"/>
              </w:rPr>
              <w:t xml:space="preserve">godišnje </w:t>
            </w:r>
            <w:r w:rsidRPr="00CD5209">
              <w:rPr>
                <w:rFonts w:asciiTheme="minorHAnsi" w:hAnsiTheme="minorHAnsi" w:cstheme="minorBidi"/>
                <w:sz w:val="24"/>
                <w:szCs w:val="24"/>
              </w:rPr>
              <w:t xml:space="preserve">primitke kućnog budžeta </w:t>
            </w:r>
            <w:r w:rsidR="00956FF2">
              <w:rPr>
                <w:rFonts w:asciiTheme="minorHAnsi" w:hAnsiTheme="minorHAnsi" w:cstheme="minorBidi"/>
                <w:sz w:val="24"/>
                <w:szCs w:val="24"/>
              </w:rPr>
              <w:t xml:space="preserve">u narednim </w:t>
            </w:r>
            <w:r w:rsidR="006D151C">
              <w:rPr>
                <w:rFonts w:asciiTheme="minorHAnsi" w:hAnsiTheme="minorHAnsi" w:cstheme="minorBidi"/>
                <w:sz w:val="24"/>
                <w:szCs w:val="24"/>
              </w:rPr>
              <w:t>godinama</w:t>
            </w:r>
            <w:r w:rsidR="00956FF2">
              <w:rPr>
                <w:rFonts w:asciiTheme="minorHAnsi" w:hAnsiTheme="minorHAnsi" w:cstheme="minorBidi"/>
                <w:sz w:val="24"/>
                <w:szCs w:val="24"/>
              </w:rPr>
              <w:t>, a umjesto godišnje dinamike izdvajanja moguća je i mjesečna dinamika izdvajanja</w:t>
            </w:r>
            <w:r w:rsidRPr="00CD5209">
              <w:rPr>
                <w:rFonts w:asciiTheme="minorHAnsi" w:hAnsiTheme="minorHAnsi" w:cstheme="minorBidi"/>
                <w:sz w:val="24"/>
                <w:szCs w:val="24"/>
              </w:rPr>
              <w:t xml:space="preserve">). </w:t>
            </w:r>
          </w:p>
          <w:p w:rsidR="006D151C" w:rsidRDefault="00CD5209" w:rsidP="00CD5209">
            <w:pPr>
              <w:spacing w:after="120"/>
              <w:jc w:val="both"/>
              <w:rPr>
                <w:rFonts w:asciiTheme="minorHAnsi" w:hAnsiTheme="minorHAnsi"/>
                <w:sz w:val="24"/>
                <w:szCs w:val="24"/>
              </w:rPr>
            </w:pPr>
            <w:r w:rsidRPr="00CD5209">
              <w:rPr>
                <w:rFonts w:asciiTheme="minorHAnsi" w:hAnsiTheme="minorHAnsi"/>
                <w:sz w:val="24"/>
                <w:szCs w:val="24"/>
              </w:rPr>
              <w:t xml:space="preserve">Međutim, </w:t>
            </w:r>
            <w:r w:rsidR="00952EF0">
              <w:rPr>
                <w:rFonts w:asciiTheme="minorHAnsi" w:hAnsiTheme="minorHAnsi"/>
                <w:sz w:val="24"/>
                <w:szCs w:val="24"/>
              </w:rPr>
              <w:t xml:space="preserve">pitanje koje svakako treba postaviti je </w:t>
            </w:r>
            <w:r w:rsidR="00952EF0" w:rsidRPr="00952EF0">
              <w:rPr>
                <w:rFonts w:asciiTheme="minorHAnsi" w:hAnsiTheme="minorHAnsi"/>
                <w:color w:val="C00000"/>
                <w:sz w:val="24"/>
                <w:szCs w:val="24"/>
              </w:rPr>
              <w:t>do koje godine života pojedinac može adekvatno upravljati osobnim financijama, odnosno restrukturirati svoju imovinu kako bi mu ona donosila što veći prinos</w:t>
            </w:r>
            <w:r w:rsidR="006D151C">
              <w:rPr>
                <w:rFonts w:asciiTheme="minorHAnsi" w:hAnsiTheme="minorHAnsi"/>
                <w:color w:val="C00000"/>
                <w:sz w:val="24"/>
                <w:szCs w:val="24"/>
              </w:rPr>
              <w:t xml:space="preserve"> (kao u slučaju prethodnog primjera oročene štednje)</w:t>
            </w:r>
            <w:r w:rsidR="00952EF0">
              <w:rPr>
                <w:rFonts w:asciiTheme="minorHAnsi" w:hAnsiTheme="minorHAnsi"/>
                <w:sz w:val="24"/>
                <w:szCs w:val="24"/>
              </w:rPr>
              <w:t>. Činjenica je da se i fizičke i psihičke sposobnosti smanjuju u kasnoj životnoj dobi (iako je to vrlo individualno i uopće ne mora bitno doći do izražaja</w:t>
            </w:r>
            <w:r w:rsidR="006F263E">
              <w:rPr>
                <w:rFonts w:asciiTheme="minorHAnsi" w:hAnsiTheme="minorHAnsi"/>
                <w:sz w:val="24"/>
                <w:szCs w:val="24"/>
              </w:rPr>
              <w:t>, npr. velik je broj planirana koji svakodnevno odlaze na dnevne šetnje prirodom i planinama u 80 godini života i imaju kondiciju bolju od mladih s 25 godina starosti</w:t>
            </w:r>
            <w:r w:rsidR="00952EF0">
              <w:rPr>
                <w:rFonts w:asciiTheme="minorHAnsi" w:hAnsiTheme="minorHAnsi"/>
                <w:sz w:val="24"/>
                <w:szCs w:val="24"/>
              </w:rPr>
              <w:t xml:space="preserve">). U kontekstu navedenog </w:t>
            </w:r>
            <w:r w:rsidR="00952EF0" w:rsidRPr="004E66AD">
              <w:rPr>
                <w:rFonts w:asciiTheme="minorHAnsi" w:hAnsiTheme="minorHAnsi"/>
                <w:color w:val="C00000"/>
                <w:sz w:val="24"/>
                <w:szCs w:val="24"/>
              </w:rPr>
              <w:t>svi oblici periodičkih isplata rentno</w:t>
            </w:r>
            <w:r w:rsidR="006F263E" w:rsidRPr="004E66AD">
              <w:rPr>
                <w:rFonts w:asciiTheme="minorHAnsi" w:hAnsiTheme="minorHAnsi"/>
                <w:color w:val="C00000"/>
                <w:sz w:val="24"/>
                <w:szCs w:val="24"/>
              </w:rPr>
              <w:t>g</w:t>
            </w:r>
            <w:r w:rsidR="00952EF0" w:rsidRPr="004E66AD">
              <w:rPr>
                <w:rFonts w:asciiTheme="minorHAnsi" w:hAnsiTheme="minorHAnsi"/>
                <w:color w:val="C00000"/>
                <w:sz w:val="24"/>
                <w:szCs w:val="24"/>
              </w:rPr>
              <w:t xml:space="preserve"> i/ ili mirovinskog osiguranja </w:t>
            </w:r>
            <w:r w:rsidR="006F263E" w:rsidRPr="004E66AD">
              <w:rPr>
                <w:rFonts w:asciiTheme="minorHAnsi" w:hAnsiTheme="minorHAnsi"/>
                <w:color w:val="C00000"/>
                <w:sz w:val="24"/>
                <w:szCs w:val="24"/>
              </w:rPr>
              <w:t xml:space="preserve">su </w:t>
            </w:r>
            <w:r w:rsidR="00952EF0" w:rsidRPr="004E66AD">
              <w:rPr>
                <w:rFonts w:asciiTheme="minorHAnsi" w:hAnsiTheme="minorHAnsi"/>
                <w:color w:val="C00000"/>
                <w:sz w:val="24"/>
                <w:szCs w:val="24"/>
              </w:rPr>
              <w:t>više pogodni i praktični za osobe starije dobi</w:t>
            </w:r>
            <w:r w:rsidR="00952EF0">
              <w:rPr>
                <w:rFonts w:asciiTheme="minorHAnsi" w:hAnsiTheme="minorHAnsi"/>
                <w:sz w:val="24"/>
                <w:szCs w:val="24"/>
              </w:rPr>
              <w:t xml:space="preserve">, a </w:t>
            </w:r>
            <w:r w:rsidR="006F263E">
              <w:rPr>
                <w:rFonts w:asciiTheme="minorHAnsi" w:hAnsiTheme="minorHAnsi"/>
                <w:sz w:val="24"/>
                <w:szCs w:val="24"/>
              </w:rPr>
              <w:t>posebice za samačka kućanstva koja u upravljanju financijama ne mogu računati na pomoć mlađih generacija</w:t>
            </w:r>
            <w:r w:rsidR="009F7AD8">
              <w:rPr>
                <w:rFonts w:asciiTheme="minorHAnsi" w:hAnsiTheme="minorHAnsi"/>
                <w:sz w:val="24"/>
                <w:szCs w:val="24"/>
              </w:rPr>
              <w:t>,</w:t>
            </w:r>
            <w:r w:rsidR="006F263E">
              <w:rPr>
                <w:rFonts w:asciiTheme="minorHAnsi" w:hAnsiTheme="minorHAnsi"/>
                <w:sz w:val="24"/>
                <w:szCs w:val="24"/>
              </w:rPr>
              <w:t xml:space="preserve"> ili je moguće da se boje zlouporaba </w:t>
            </w:r>
            <w:r w:rsidR="009F7AD8">
              <w:rPr>
                <w:rFonts w:asciiTheme="minorHAnsi" w:hAnsiTheme="minorHAnsi"/>
                <w:sz w:val="24"/>
                <w:szCs w:val="24"/>
              </w:rPr>
              <w:t xml:space="preserve">članova obitelji </w:t>
            </w:r>
            <w:r w:rsidR="006F263E">
              <w:rPr>
                <w:rFonts w:asciiTheme="minorHAnsi" w:hAnsiTheme="minorHAnsi"/>
                <w:sz w:val="24"/>
                <w:szCs w:val="24"/>
              </w:rPr>
              <w:t xml:space="preserve">pa pristup ranije kumuliranoj štednji svjesno ograničavaju </w:t>
            </w:r>
            <w:r w:rsidR="009F7AD8">
              <w:rPr>
                <w:rFonts w:asciiTheme="minorHAnsi" w:hAnsiTheme="minorHAnsi"/>
                <w:sz w:val="24"/>
                <w:szCs w:val="24"/>
              </w:rPr>
              <w:t>svojim p</w:t>
            </w:r>
            <w:r w:rsidR="006F263E">
              <w:rPr>
                <w:rFonts w:asciiTheme="minorHAnsi" w:hAnsiTheme="minorHAnsi"/>
                <w:sz w:val="24"/>
                <w:szCs w:val="24"/>
              </w:rPr>
              <w:t xml:space="preserve">otomcima. Dodatno, kako su izvori ranije kumulirane štednje uvijek ograničeni, svakom pojedincu je osobno važno što je duže moguće osigurati redovite doživotne izvore primitaka. Stoga </w:t>
            </w:r>
            <w:r w:rsidR="006F263E" w:rsidRPr="006F263E">
              <w:rPr>
                <w:rFonts w:asciiTheme="minorHAnsi" w:hAnsiTheme="minorHAnsi"/>
                <w:color w:val="C00000"/>
                <w:sz w:val="24"/>
                <w:szCs w:val="24"/>
              </w:rPr>
              <w:t>vrijedi pravilo da svaki štedno-ulagački proizvod ima svog „kupca“, odnosno odgovara potrebama pojedinih osoba</w:t>
            </w:r>
            <w:r w:rsidR="006F263E">
              <w:rPr>
                <w:rFonts w:asciiTheme="minorHAnsi" w:hAnsiTheme="minorHAnsi"/>
                <w:sz w:val="24"/>
                <w:szCs w:val="24"/>
              </w:rPr>
              <w:t xml:space="preserve">. </w:t>
            </w:r>
          </w:p>
          <w:p w:rsidR="00E51733" w:rsidRPr="00E51733" w:rsidRDefault="004E66AD" w:rsidP="009F7AD8">
            <w:pPr>
              <w:spacing w:after="120"/>
              <w:jc w:val="both"/>
              <w:rPr>
                <w:color w:val="C00000"/>
              </w:rPr>
            </w:pPr>
            <w:r>
              <w:rPr>
                <w:rFonts w:asciiTheme="minorHAnsi" w:hAnsiTheme="minorHAnsi"/>
                <w:sz w:val="24"/>
                <w:szCs w:val="24"/>
              </w:rPr>
              <w:t>Nadalje,</w:t>
            </w:r>
            <w:r w:rsidR="006D151C">
              <w:rPr>
                <w:rFonts w:asciiTheme="minorHAnsi" w:hAnsiTheme="minorHAnsi"/>
                <w:sz w:val="24"/>
                <w:szCs w:val="24"/>
              </w:rPr>
              <w:t xml:space="preserve"> u prethodnu računicu </w:t>
            </w:r>
            <w:r>
              <w:rPr>
                <w:rFonts w:asciiTheme="minorHAnsi" w:hAnsiTheme="minorHAnsi"/>
                <w:sz w:val="24"/>
                <w:szCs w:val="24"/>
              </w:rPr>
              <w:t xml:space="preserve">kamatnih prihoda na oročenu štednju u banci </w:t>
            </w:r>
            <w:r w:rsidR="00CD5209" w:rsidRPr="00CD5209">
              <w:rPr>
                <w:rFonts w:asciiTheme="minorHAnsi" w:hAnsiTheme="minorHAnsi"/>
                <w:sz w:val="24"/>
                <w:szCs w:val="24"/>
              </w:rPr>
              <w:t xml:space="preserve">treba svakako uključiti i učinke oporezivanja kamata na štednju koji dolaze do izražaja u Hrvatskoj od 2015. </w:t>
            </w:r>
            <w:r w:rsidR="00952EF0">
              <w:rPr>
                <w:rFonts w:asciiTheme="minorHAnsi" w:hAnsiTheme="minorHAnsi"/>
                <w:sz w:val="24"/>
                <w:szCs w:val="24"/>
              </w:rPr>
              <w:t>g</w:t>
            </w:r>
            <w:r w:rsidR="00CD5209" w:rsidRPr="00CD5209">
              <w:rPr>
                <w:rFonts w:asciiTheme="minorHAnsi" w:hAnsiTheme="minorHAnsi"/>
                <w:sz w:val="24"/>
                <w:szCs w:val="24"/>
              </w:rPr>
              <w:t>odine</w:t>
            </w:r>
            <w:r w:rsidR="00952EF0">
              <w:rPr>
                <w:rFonts w:asciiTheme="minorHAnsi" w:hAnsiTheme="minorHAnsi"/>
                <w:sz w:val="24"/>
                <w:szCs w:val="24"/>
              </w:rPr>
              <w:t xml:space="preserve">, </w:t>
            </w:r>
            <w:r w:rsidR="00952EF0" w:rsidRPr="00952EF0">
              <w:rPr>
                <w:rFonts w:asciiTheme="minorHAnsi" w:hAnsiTheme="minorHAnsi"/>
                <w:color w:val="C00000"/>
                <w:sz w:val="24"/>
                <w:szCs w:val="24"/>
              </w:rPr>
              <w:t xml:space="preserve">a gdje sustavom oporezivanja dohotka </w:t>
            </w:r>
            <w:r w:rsidR="009F7AD8">
              <w:rPr>
                <w:rFonts w:asciiTheme="minorHAnsi" w:hAnsiTheme="minorHAnsi"/>
                <w:color w:val="C00000"/>
                <w:sz w:val="24"/>
                <w:szCs w:val="24"/>
              </w:rPr>
              <w:t xml:space="preserve">nije </w:t>
            </w:r>
            <w:r w:rsidR="00952EF0">
              <w:rPr>
                <w:rFonts w:asciiTheme="minorHAnsi" w:hAnsiTheme="minorHAnsi"/>
                <w:color w:val="C00000"/>
                <w:sz w:val="24"/>
                <w:szCs w:val="24"/>
              </w:rPr>
              <w:t>(ili barem</w:t>
            </w:r>
            <w:r w:rsidR="009F7AD8">
              <w:rPr>
                <w:rFonts w:asciiTheme="minorHAnsi" w:hAnsiTheme="minorHAnsi"/>
                <w:color w:val="C00000"/>
                <w:sz w:val="24"/>
                <w:szCs w:val="24"/>
              </w:rPr>
              <w:t xml:space="preserve"> nije </w:t>
            </w:r>
            <w:r w:rsidR="00952EF0">
              <w:rPr>
                <w:rFonts w:asciiTheme="minorHAnsi" w:hAnsiTheme="minorHAnsi"/>
                <w:color w:val="C00000"/>
                <w:sz w:val="24"/>
                <w:szCs w:val="24"/>
              </w:rPr>
              <w:t xml:space="preserve">još uvijek) </w:t>
            </w:r>
            <w:r w:rsidR="00952EF0" w:rsidRPr="00952EF0">
              <w:rPr>
                <w:rFonts w:asciiTheme="minorHAnsi" w:hAnsiTheme="minorHAnsi"/>
                <w:color w:val="C00000"/>
                <w:sz w:val="24"/>
                <w:szCs w:val="24"/>
              </w:rPr>
              <w:t>zahvaćena pripisana dobit kod životnog i rentno osiguranja</w:t>
            </w:r>
            <w:r w:rsidR="00CD5209" w:rsidRPr="00CD5209">
              <w:rPr>
                <w:rFonts w:asciiTheme="minorHAnsi" w:hAnsiTheme="minorHAnsi"/>
                <w:sz w:val="24"/>
                <w:szCs w:val="24"/>
              </w:rPr>
              <w:t>. Na iznos kamata 94,18 eura u prvoj godini oročene štednje porez na dohodak iznosi 11,30 eura, a u slučaju stope prireza 18% (koliko iznosi u Zagrebu) to znači dodatne obveze prireza u visini 2,03 eura. Ukupna obveza poreza i prireza iznosila bi 13,33 eura i bila bi plaćena u iznosu kunske protuvrijednosti, dok bi neto prihod pojedinca od kamata iznosi</w:t>
            </w:r>
            <w:r w:rsidR="00952EF0">
              <w:rPr>
                <w:rFonts w:asciiTheme="minorHAnsi" w:hAnsiTheme="minorHAnsi"/>
                <w:sz w:val="24"/>
                <w:szCs w:val="24"/>
              </w:rPr>
              <w:t>o</w:t>
            </w:r>
            <w:r w:rsidR="00CD5209" w:rsidRPr="00CD5209">
              <w:rPr>
                <w:rFonts w:asciiTheme="minorHAnsi" w:hAnsiTheme="minorHAnsi"/>
                <w:sz w:val="24"/>
                <w:szCs w:val="24"/>
              </w:rPr>
              <w:t xml:space="preserve"> 80,85 eura, što znači stopu neto nominalnog prinosa </w:t>
            </w:r>
            <w:r w:rsidR="00952EF0">
              <w:rPr>
                <w:rFonts w:asciiTheme="minorHAnsi" w:hAnsiTheme="minorHAnsi"/>
                <w:sz w:val="24"/>
                <w:szCs w:val="24"/>
              </w:rPr>
              <w:t xml:space="preserve">svega </w:t>
            </w:r>
            <w:r w:rsidR="00CD5209" w:rsidRPr="00CD5209">
              <w:rPr>
                <w:rFonts w:asciiTheme="minorHAnsi" w:hAnsiTheme="minorHAnsi"/>
                <w:sz w:val="24"/>
                <w:szCs w:val="24"/>
              </w:rPr>
              <w:t xml:space="preserve">0,85% godišnje u prvog godini oročene štednje. </w:t>
            </w:r>
            <w:r w:rsidR="00CD5209" w:rsidRPr="00CD5209">
              <w:rPr>
                <w:rFonts w:asciiTheme="minorHAnsi" w:hAnsiTheme="minorHAnsi"/>
                <w:color w:val="000000"/>
                <w:sz w:val="24"/>
                <w:szCs w:val="24"/>
              </w:rPr>
              <w:t xml:space="preserve"> Ako je istodobno stopa inflacije veća od stope neto nominalnog prinosa realni neto prinos bio bi negativan, dok ako je tekuća stopa inflacije negativna kao u trenutku pisanja ovog teksta i iznosi -0,4% godišnje, realna neto stopa prinosa bila bi 1,25% godišnje.</w:t>
            </w:r>
            <w:r w:rsidR="00E51733">
              <w:rPr>
                <w:rFonts w:asciiTheme="minorHAnsi" w:hAnsiTheme="minorHAnsi"/>
                <w:color w:val="000000"/>
                <w:sz w:val="24"/>
                <w:szCs w:val="24"/>
              </w:rPr>
              <w:t xml:space="preserve"> </w:t>
            </w:r>
          </w:p>
        </w:tc>
      </w:tr>
      <w:tr w:rsidR="004E66AD" w:rsidTr="00CD5209">
        <w:tc>
          <w:tcPr>
            <w:tcW w:w="9072" w:type="dxa"/>
          </w:tcPr>
          <w:p w:rsidR="004E66AD" w:rsidRDefault="004E66AD" w:rsidP="004E66AD">
            <w:pPr>
              <w:spacing w:before="240" w:after="120"/>
              <w:jc w:val="both"/>
              <w:rPr>
                <w:rFonts w:asciiTheme="minorHAnsi" w:hAnsiTheme="minorHAnsi"/>
                <w:color w:val="000000"/>
                <w:sz w:val="24"/>
                <w:szCs w:val="24"/>
              </w:rPr>
            </w:pPr>
            <w:r w:rsidRPr="003E2F67">
              <w:rPr>
                <w:rFonts w:asciiTheme="minorHAnsi" w:hAnsiTheme="minorHAnsi"/>
                <w:color w:val="C00000"/>
                <w:sz w:val="24"/>
                <w:szCs w:val="24"/>
              </w:rPr>
              <w:lastRenderedPageBreak/>
              <w:t xml:space="preserve">Primjer: </w:t>
            </w:r>
            <w:r>
              <w:rPr>
                <w:rFonts w:asciiTheme="minorHAnsi" w:hAnsiTheme="minorHAnsi"/>
                <w:color w:val="000000"/>
                <w:sz w:val="24"/>
                <w:szCs w:val="24"/>
              </w:rPr>
              <w:t xml:space="preserve">Osoba ima 55 godina života i raspolaže s 10.000 eura štednje koje je voljan jednokratno uplatiti u korist rentnog osiguranja uz zajamčeni rok isplate rente narednih 10 godina. Pri tome prema uvjetima osiguratelja, u slučaju smrti pojedinca tijekom trajanja zajamčenog razdoblja isplate osiguratelj se obvezuje da će isplati iznos i do 50% veći nego što je do tada uplaćeno. </w:t>
            </w:r>
            <w:r>
              <w:rPr>
                <w:rFonts w:asciiTheme="minorHAnsi" w:hAnsiTheme="minorHAnsi"/>
                <w:sz w:val="24"/>
                <w:szCs w:val="24"/>
              </w:rPr>
              <w:t>(Prema uvjetima osiguratelja, ovaj oblik rentnog osiguranja dostupan je osiguranicima u dobi od 50 do 70 godina života.)</w:t>
            </w:r>
          </w:p>
          <w:p w:rsidR="004E66AD" w:rsidRPr="00CD5209" w:rsidRDefault="004E66AD" w:rsidP="004E66AD">
            <w:pPr>
              <w:spacing w:before="240" w:after="120"/>
              <w:jc w:val="both"/>
              <w:rPr>
                <w:color w:val="C00000"/>
                <w:sz w:val="24"/>
                <w:szCs w:val="24"/>
              </w:rPr>
            </w:pPr>
            <w:r>
              <w:rPr>
                <w:rFonts w:asciiTheme="minorHAnsi" w:hAnsiTheme="minorHAnsi"/>
                <w:color w:val="000000"/>
                <w:sz w:val="24"/>
                <w:szCs w:val="24"/>
              </w:rPr>
              <w:t>S obzirom na pristupnu dob 55 godina života pojedinca iz primjera te zajamčeni rok isplate, mjesečna renta iznosit će 84,93 eura, a tijekom desetogodišnjeg razdoblja u slučaju doživljenja bit će mu isplaćene rente u ukupnom iznosu 10.192 eura. S druge strane, u slučaju ranije smrti pojedinca ukupna isplata bit će od 10.234 eura do 15.245 eura ovisno o trenutnu nastupa smrti.</w:t>
            </w:r>
          </w:p>
        </w:tc>
      </w:tr>
      <w:tr w:rsidR="00E51733" w:rsidTr="00CD5209">
        <w:tc>
          <w:tcPr>
            <w:tcW w:w="9072" w:type="dxa"/>
          </w:tcPr>
          <w:p w:rsidR="00E51733" w:rsidRDefault="00E51733" w:rsidP="00CD5209">
            <w:pPr>
              <w:spacing w:before="240" w:after="120"/>
              <w:jc w:val="both"/>
              <w:rPr>
                <w:rFonts w:asciiTheme="minorHAnsi" w:hAnsiTheme="minorHAnsi"/>
                <w:color w:val="000000"/>
              </w:rPr>
            </w:pPr>
            <w:r w:rsidRPr="00E51733">
              <w:rPr>
                <w:rFonts w:asciiTheme="minorHAnsi" w:hAnsiTheme="minorHAnsi"/>
                <w:color w:val="000000"/>
                <w:sz w:val="24"/>
                <w:szCs w:val="24"/>
              </w:rPr>
              <w:t xml:space="preserve">S obzirom da je rentno osiguranje </w:t>
            </w:r>
            <w:r w:rsidRPr="00E51733">
              <w:rPr>
                <w:rFonts w:asciiTheme="minorHAnsi" w:hAnsiTheme="minorHAnsi"/>
                <w:color w:val="C00000"/>
                <w:sz w:val="24"/>
                <w:szCs w:val="24"/>
              </w:rPr>
              <w:t>oblik manje likvidne štednje</w:t>
            </w:r>
            <w:r w:rsidRPr="00E51733">
              <w:rPr>
                <w:rFonts w:asciiTheme="minorHAnsi" w:hAnsiTheme="minorHAnsi"/>
                <w:color w:val="000000"/>
                <w:sz w:val="24"/>
                <w:szCs w:val="24"/>
              </w:rPr>
              <w:t xml:space="preserve">, kako bi se takva štednja učinila više likvidnom, osiguratelj čiji su izračuni korišteni u ovim primjerima omogućava </w:t>
            </w:r>
            <w:r w:rsidRPr="00E51733">
              <w:rPr>
                <w:rFonts w:asciiTheme="minorHAnsi" w:hAnsiTheme="minorHAnsi"/>
                <w:color w:val="C00000"/>
                <w:sz w:val="24"/>
                <w:szCs w:val="24"/>
              </w:rPr>
              <w:lastRenderedPageBreak/>
              <w:t xml:space="preserve">pogodnost da jednom tijekom trajanja osiguranja </w:t>
            </w:r>
            <w:r w:rsidR="004E66AD">
              <w:rPr>
                <w:rFonts w:asciiTheme="minorHAnsi" w:hAnsiTheme="minorHAnsi"/>
                <w:color w:val="C00000"/>
                <w:sz w:val="24"/>
                <w:szCs w:val="24"/>
              </w:rPr>
              <w:t xml:space="preserve">osiguranici </w:t>
            </w:r>
            <w:r w:rsidRPr="00E51733">
              <w:rPr>
                <w:rFonts w:asciiTheme="minorHAnsi" w:hAnsiTheme="minorHAnsi"/>
                <w:color w:val="C00000"/>
                <w:sz w:val="24"/>
                <w:szCs w:val="24"/>
              </w:rPr>
              <w:t>mogu jednokratno zatražiti isplatu rente za 12 mjeseci unaprijed</w:t>
            </w:r>
            <w:r w:rsidRPr="00E51733">
              <w:rPr>
                <w:rFonts w:asciiTheme="minorHAnsi" w:hAnsiTheme="minorHAnsi"/>
                <w:color w:val="000000"/>
                <w:sz w:val="24"/>
                <w:szCs w:val="24"/>
              </w:rPr>
              <w:t>, a sljedeći mjesec nastaviti primati rentu prema ugovorenim uvjetima.</w:t>
            </w:r>
            <w:r>
              <w:rPr>
                <w:rFonts w:asciiTheme="minorHAnsi" w:hAnsiTheme="minorHAnsi"/>
                <w:color w:val="000000"/>
                <w:sz w:val="24"/>
                <w:szCs w:val="24"/>
              </w:rPr>
              <w:t xml:space="preserve"> Dodatno postoji i mogućnost otkupa osiguranja uz isplatu dijela uplaćenog novca.</w:t>
            </w:r>
          </w:p>
          <w:p w:rsidR="00E51733" w:rsidRPr="00CD5209" w:rsidRDefault="00E51733" w:rsidP="000800E8">
            <w:pPr>
              <w:spacing w:before="240" w:after="120"/>
              <w:jc w:val="both"/>
              <w:rPr>
                <w:color w:val="C00000"/>
                <w:sz w:val="24"/>
                <w:szCs w:val="24"/>
              </w:rPr>
            </w:pPr>
            <w:r w:rsidRPr="00E51733">
              <w:rPr>
                <w:rFonts w:asciiTheme="minorHAnsi" w:hAnsiTheme="minorHAnsi"/>
                <w:color w:val="000000"/>
              </w:rPr>
              <w:t xml:space="preserve">* U izradi </w:t>
            </w:r>
            <w:r>
              <w:rPr>
                <w:rFonts w:asciiTheme="minorHAnsi" w:hAnsiTheme="minorHAnsi"/>
                <w:color w:val="000000"/>
              </w:rPr>
              <w:t xml:space="preserve">oba </w:t>
            </w:r>
            <w:r w:rsidRPr="00E51733">
              <w:rPr>
                <w:rFonts w:asciiTheme="minorHAnsi" w:hAnsiTheme="minorHAnsi"/>
                <w:color w:val="000000"/>
              </w:rPr>
              <w:t>primjera korišteni su izračuni dostupni u reklamnoj brošuri jednog od najpoznatijih društava za osiguranje u Hrvatskoj</w:t>
            </w:r>
            <w:r w:rsidR="00FC6BB5">
              <w:rPr>
                <w:rFonts w:asciiTheme="minorHAnsi" w:hAnsiTheme="minorHAnsi"/>
                <w:color w:val="000000"/>
              </w:rPr>
              <w:t>.</w:t>
            </w:r>
            <w:r w:rsidR="000800E8">
              <w:rPr>
                <w:rFonts w:asciiTheme="minorHAnsi" w:hAnsiTheme="minorHAnsi"/>
                <w:color w:val="000000"/>
              </w:rPr>
              <w:t xml:space="preserve"> Izračuni su informativni i u druge svrhe se ne mogu koristiti.</w:t>
            </w:r>
          </w:p>
        </w:tc>
      </w:tr>
    </w:tbl>
    <w:p w:rsidR="00FB405D" w:rsidRDefault="00CD124A" w:rsidP="009541F5">
      <w:pPr>
        <w:spacing w:before="240"/>
        <w:jc w:val="both"/>
        <w:rPr>
          <w:sz w:val="24"/>
          <w:szCs w:val="24"/>
        </w:rPr>
      </w:pPr>
      <w:r w:rsidRPr="00CD124A">
        <w:rPr>
          <w:sz w:val="24"/>
          <w:szCs w:val="24"/>
        </w:rPr>
        <w:lastRenderedPageBreak/>
        <w:t xml:space="preserve">Mješovito životno osiguranje i rentno osiguranje mogu se kombinirati s ulaganjima u investicijske fondove, čime osiguranik na sebe preuzima investicijski rizik. U tom slučaju radi se o tzv. </w:t>
      </w:r>
      <w:r w:rsidRPr="00CD124A">
        <w:rPr>
          <w:color w:val="C00000"/>
          <w:sz w:val="24"/>
          <w:szCs w:val="24"/>
        </w:rPr>
        <w:t>ž</w:t>
      </w:r>
      <w:r w:rsidR="00A74945" w:rsidRPr="00CD124A">
        <w:rPr>
          <w:color w:val="C00000"/>
          <w:sz w:val="24"/>
          <w:szCs w:val="24"/>
        </w:rPr>
        <w:t>ivotno</w:t>
      </w:r>
      <w:r w:rsidRPr="00CD124A">
        <w:rPr>
          <w:color w:val="C00000"/>
          <w:sz w:val="24"/>
          <w:szCs w:val="24"/>
        </w:rPr>
        <w:t>m</w:t>
      </w:r>
      <w:r w:rsidR="00A74945" w:rsidRPr="00CD124A">
        <w:rPr>
          <w:color w:val="C00000"/>
          <w:sz w:val="24"/>
          <w:szCs w:val="24"/>
        </w:rPr>
        <w:t xml:space="preserve"> osiguranj</w:t>
      </w:r>
      <w:r w:rsidRPr="00CD124A">
        <w:rPr>
          <w:color w:val="C00000"/>
          <w:sz w:val="24"/>
          <w:szCs w:val="24"/>
        </w:rPr>
        <w:t>u</w:t>
      </w:r>
      <w:r w:rsidR="00A74945" w:rsidRPr="00CD124A">
        <w:rPr>
          <w:color w:val="C00000"/>
          <w:sz w:val="24"/>
          <w:szCs w:val="24"/>
        </w:rPr>
        <w:t xml:space="preserve"> vezano</w:t>
      </w:r>
      <w:r w:rsidRPr="00CD124A">
        <w:rPr>
          <w:color w:val="C00000"/>
          <w:sz w:val="24"/>
          <w:szCs w:val="24"/>
        </w:rPr>
        <w:t>m</w:t>
      </w:r>
      <w:r w:rsidR="00A74945" w:rsidRPr="00CD124A">
        <w:rPr>
          <w:color w:val="C00000"/>
          <w:sz w:val="24"/>
          <w:szCs w:val="24"/>
        </w:rPr>
        <w:t xml:space="preserve"> uz jedinice investicijskih fondova</w:t>
      </w:r>
      <w:r w:rsidR="00FB405D">
        <w:rPr>
          <w:color w:val="C00000"/>
          <w:sz w:val="24"/>
          <w:szCs w:val="24"/>
        </w:rPr>
        <w:t xml:space="preserve"> </w:t>
      </w:r>
      <w:r w:rsidR="00FB405D" w:rsidRPr="00FB405D">
        <w:rPr>
          <w:sz w:val="24"/>
          <w:szCs w:val="24"/>
        </w:rPr>
        <w:t>(ili tzv. investicijsko</w:t>
      </w:r>
      <w:r w:rsidR="00FB405D">
        <w:rPr>
          <w:sz w:val="24"/>
          <w:szCs w:val="24"/>
        </w:rPr>
        <w:t>m</w:t>
      </w:r>
      <w:r w:rsidR="00FB405D" w:rsidRPr="00FB405D">
        <w:rPr>
          <w:sz w:val="24"/>
          <w:szCs w:val="24"/>
        </w:rPr>
        <w:t xml:space="preserve"> osiguranj</w:t>
      </w:r>
      <w:r w:rsidR="00FB405D">
        <w:rPr>
          <w:sz w:val="24"/>
          <w:szCs w:val="24"/>
        </w:rPr>
        <w:t>u</w:t>
      </w:r>
      <w:r w:rsidR="00FB405D" w:rsidRPr="00FB405D">
        <w:rPr>
          <w:sz w:val="24"/>
          <w:szCs w:val="24"/>
        </w:rPr>
        <w:t xml:space="preserve"> života)</w:t>
      </w:r>
      <w:r w:rsidRPr="00CD124A">
        <w:rPr>
          <w:sz w:val="24"/>
          <w:szCs w:val="24"/>
        </w:rPr>
        <w:t xml:space="preserve">, koje </w:t>
      </w:r>
      <w:r w:rsidR="005E11BA">
        <w:rPr>
          <w:sz w:val="24"/>
          <w:szCs w:val="24"/>
        </w:rPr>
        <w:t>s</w:t>
      </w:r>
      <w:r w:rsidRPr="00CD124A">
        <w:rPr>
          <w:sz w:val="24"/>
          <w:szCs w:val="24"/>
        </w:rPr>
        <w:t>e uglavnom ugovara na kraće rokove od 5 do 15 godina</w:t>
      </w:r>
      <w:r w:rsidR="00A74945" w:rsidRPr="00CD124A">
        <w:rPr>
          <w:sz w:val="24"/>
          <w:szCs w:val="24"/>
        </w:rPr>
        <w:t>. Premija se uplaćuje u jednokratnom iznosu ili s obročnim uplatama premija, a iznos (umanjen za troškove prodaje i osigurateljno pokriće za slučaj smrti), koristi se za kupovinu udjela u odabranom</w:t>
      </w:r>
      <w:r w:rsidR="005E11BA">
        <w:rPr>
          <w:sz w:val="24"/>
          <w:szCs w:val="24"/>
        </w:rPr>
        <w:t xml:space="preserve"> ili određenom</w:t>
      </w:r>
      <w:r w:rsidR="00A74945" w:rsidRPr="00CD124A">
        <w:rPr>
          <w:sz w:val="24"/>
          <w:szCs w:val="24"/>
        </w:rPr>
        <w:t xml:space="preserve"> investicijskom fondu</w:t>
      </w:r>
      <w:r>
        <w:rPr>
          <w:sz w:val="24"/>
          <w:szCs w:val="24"/>
        </w:rPr>
        <w:t xml:space="preserve"> (dioničkom, obezničkom ili mješovitom). </w:t>
      </w:r>
      <w:r w:rsidR="00FB405D">
        <w:rPr>
          <w:sz w:val="24"/>
          <w:szCs w:val="24"/>
        </w:rPr>
        <w:t xml:space="preserve">Po svojim obilježjima predstavlja </w:t>
      </w:r>
      <w:r w:rsidR="00FB405D" w:rsidRPr="00FB405D">
        <w:rPr>
          <w:color w:val="C00000"/>
          <w:sz w:val="24"/>
          <w:szCs w:val="24"/>
        </w:rPr>
        <w:t>kombinaciju klasičnog životnog osiguranja i različitih formi investiranja premija osiguranja</w:t>
      </w:r>
      <w:r w:rsidR="00FB405D">
        <w:rPr>
          <w:sz w:val="24"/>
          <w:szCs w:val="24"/>
        </w:rPr>
        <w:t>, a namjena mu je omogućiti veće prinose nego što je slučaj kod klasičnog životnog osiguranja (a posebno u razdoblju kada na tržištu prevladavaju niže kamatne stope).</w:t>
      </w:r>
    </w:p>
    <w:p w:rsidR="00A74945" w:rsidRDefault="00FB405D" w:rsidP="009541F5">
      <w:pPr>
        <w:spacing w:before="240"/>
        <w:jc w:val="both"/>
        <w:rPr>
          <w:sz w:val="24"/>
          <w:szCs w:val="24"/>
        </w:rPr>
      </w:pPr>
      <w:r>
        <w:rPr>
          <w:sz w:val="24"/>
          <w:szCs w:val="24"/>
        </w:rPr>
        <w:t xml:space="preserve">Za razliku od zemalja zapadne Europe, ovaj proizvod je u Hrvatsku praksu ušao znatno kasnije jer mu nije bila prilagođena ranija zakonska regulativa. Specifičan je po tome što </w:t>
      </w:r>
      <w:r w:rsidRPr="00B46139">
        <w:rPr>
          <w:i/>
          <w:sz w:val="24"/>
          <w:szCs w:val="24"/>
        </w:rPr>
        <w:t>„obveza osiguratelja na isplatu osigurane svote nakon nastanka osiguranog slučaja nije određena u egzaktnom iznosu u trenutku sklapanja ugovora, već ovisi o referentnoj vrijednosti jedinica investicijskoga fonda odabranog od strane osiguranika, podložnoj promjenama u vremenu od uplate premije osiguranja pa do</w:t>
      </w:r>
      <w:r w:rsidR="00B46139" w:rsidRPr="00B46139">
        <w:rPr>
          <w:i/>
          <w:sz w:val="24"/>
          <w:szCs w:val="24"/>
        </w:rPr>
        <w:t xml:space="preserve"> isplate naknade</w:t>
      </w:r>
      <w:r w:rsidR="00B46139">
        <w:rPr>
          <w:i/>
          <w:sz w:val="24"/>
          <w:szCs w:val="24"/>
        </w:rPr>
        <w:t xml:space="preserve"> </w:t>
      </w:r>
      <w:r w:rsidR="00B46139" w:rsidRPr="00B46139">
        <w:rPr>
          <w:i/>
          <w:sz w:val="24"/>
          <w:szCs w:val="24"/>
        </w:rPr>
        <w:t xml:space="preserve">…. </w:t>
      </w:r>
      <w:r w:rsidR="00B46139">
        <w:rPr>
          <w:i/>
          <w:sz w:val="24"/>
          <w:szCs w:val="24"/>
        </w:rPr>
        <w:t xml:space="preserve">- </w:t>
      </w:r>
      <w:r w:rsidR="00B46139" w:rsidRPr="00B46139">
        <w:rPr>
          <w:i/>
          <w:sz w:val="24"/>
          <w:szCs w:val="24"/>
        </w:rPr>
        <w:t xml:space="preserve">osigurateljeva </w:t>
      </w:r>
      <w:r w:rsidR="00B46139">
        <w:rPr>
          <w:i/>
          <w:sz w:val="24"/>
          <w:szCs w:val="24"/>
        </w:rPr>
        <w:t xml:space="preserve">je </w:t>
      </w:r>
      <w:r w:rsidR="00B46139" w:rsidRPr="00B46139">
        <w:rPr>
          <w:i/>
          <w:sz w:val="24"/>
          <w:szCs w:val="24"/>
        </w:rPr>
        <w:t>obveza isplata svote osiguranja koja odgovara novčanom iznosu vrijednosti jedinica investicijskoga fonda u koji je premija uložena u vrijeme nastupa osiguranoga slučaja (doživljenja ili smrti osiguranika).“</w:t>
      </w:r>
      <w:r w:rsidR="00B46139">
        <w:rPr>
          <w:rStyle w:val="Referencafusnote"/>
          <w:i/>
          <w:sz w:val="24"/>
          <w:szCs w:val="24"/>
        </w:rPr>
        <w:footnoteReference w:id="87"/>
      </w:r>
    </w:p>
    <w:p w:rsidR="00D67648" w:rsidRPr="00C93D7E" w:rsidRDefault="00D67648" w:rsidP="00C93D7E">
      <w:pPr>
        <w:spacing w:after="0"/>
        <w:jc w:val="both"/>
        <w:rPr>
          <w:sz w:val="24"/>
          <w:szCs w:val="24"/>
        </w:rPr>
      </w:pPr>
      <w:r w:rsidRPr="00C93D7E">
        <w:rPr>
          <w:sz w:val="24"/>
          <w:szCs w:val="24"/>
        </w:rPr>
        <w:t xml:space="preserve">Iz prethodnog teksta vidljivo je da društva za osiguranje nude različite proizvode životnog osiguranja, od kojih </w:t>
      </w:r>
      <w:r w:rsidRPr="00B46139">
        <w:rPr>
          <w:color w:val="C00000"/>
          <w:sz w:val="24"/>
          <w:szCs w:val="24"/>
        </w:rPr>
        <w:t xml:space="preserve">samo </w:t>
      </w:r>
      <w:r w:rsidRPr="00C93D7E">
        <w:rPr>
          <w:color w:val="C00000"/>
          <w:sz w:val="24"/>
          <w:szCs w:val="24"/>
        </w:rPr>
        <w:t>pojedini proizvodi životnog osiguranja imaju štednu komponentu</w:t>
      </w:r>
      <w:r w:rsidRPr="00C93D7E">
        <w:rPr>
          <w:sz w:val="24"/>
          <w:szCs w:val="24"/>
        </w:rPr>
        <w:t xml:space="preserve">. Konkretno to su: </w:t>
      </w:r>
    </w:p>
    <w:p w:rsidR="00D67648" w:rsidRPr="00C93D7E" w:rsidRDefault="00D67648" w:rsidP="00C86D78">
      <w:pPr>
        <w:numPr>
          <w:ilvl w:val="0"/>
          <w:numId w:val="81"/>
        </w:numPr>
        <w:spacing w:after="0" w:line="240" w:lineRule="auto"/>
        <w:jc w:val="both"/>
        <w:rPr>
          <w:sz w:val="24"/>
          <w:szCs w:val="24"/>
        </w:rPr>
      </w:pPr>
      <w:r w:rsidRPr="00C93D7E">
        <w:rPr>
          <w:sz w:val="24"/>
          <w:szCs w:val="24"/>
        </w:rPr>
        <w:t xml:space="preserve">životno osiguranje za slučaj doživljenja </w:t>
      </w:r>
    </w:p>
    <w:p w:rsidR="00D67648" w:rsidRPr="00C93D7E" w:rsidRDefault="00D67648" w:rsidP="00C86D78">
      <w:pPr>
        <w:numPr>
          <w:ilvl w:val="0"/>
          <w:numId w:val="81"/>
        </w:numPr>
        <w:spacing w:after="0" w:line="240" w:lineRule="auto"/>
        <w:jc w:val="both"/>
        <w:rPr>
          <w:sz w:val="24"/>
          <w:szCs w:val="24"/>
        </w:rPr>
      </w:pPr>
      <w:r w:rsidRPr="00C93D7E">
        <w:rPr>
          <w:sz w:val="24"/>
          <w:szCs w:val="24"/>
        </w:rPr>
        <w:t>mješovito životno osiguranje (koje istodobno predstavlja osiguranje za slučaj doživljenja i slučaj smrti)</w:t>
      </w:r>
    </w:p>
    <w:p w:rsidR="00D67648" w:rsidRPr="00C93D7E" w:rsidRDefault="00D67648" w:rsidP="00C86D78">
      <w:pPr>
        <w:numPr>
          <w:ilvl w:val="0"/>
          <w:numId w:val="81"/>
        </w:numPr>
        <w:spacing w:after="0" w:line="240" w:lineRule="auto"/>
        <w:jc w:val="both"/>
        <w:rPr>
          <w:sz w:val="24"/>
          <w:szCs w:val="24"/>
        </w:rPr>
      </w:pPr>
      <w:r w:rsidRPr="00C93D7E">
        <w:rPr>
          <w:sz w:val="24"/>
          <w:szCs w:val="24"/>
        </w:rPr>
        <w:t>rentno osiguranje</w:t>
      </w:r>
    </w:p>
    <w:p w:rsidR="00D67648" w:rsidRPr="00C93D7E" w:rsidRDefault="00D67648" w:rsidP="00C86D78">
      <w:pPr>
        <w:numPr>
          <w:ilvl w:val="0"/>
          <w:numId w:val="81"/>
        </w:numPr>
        <w:spacing w:after="0" w:line="240" w:lineRule="auto"/>
        <w:jc w:val="both"/>
        <w:rPr>
          <w:sz w:val="24"/>
          <w:szCs w:val="24"/>
        </w:rPr>
      </w:pPr>
      <w:r w:rsidRPr="00C93D7E">
        <w:rPr>
          <w:sz w:val="24"/>
          <w:szCs w:val="24"/>
        </w:rPr>
        <w:t>i životno osiguranje vezano uz jedinice investicijskih fondova (životno osiguranje kod kojeg osiguranik na sebe preuzima investicijski rizik).</w:t>
      </w:r>
    </w:p>
    <w:p w:rsidR="00D67648" w:rsidRPr="00C93D7E" w:rsidRDefault="00D67648" w:rsidP="00C93D7E">
      <w:pPr>
        <w:spacing w:before="240"/>
        <w:jc w:val="both"/>
        <w:rPr>
          <w:sz w:val="24"/>
          <w:szCs w:val="24"/>
        </w:rPr>
      </w:pPr>
      <w:r w:rsidRPr="00C93D7E">
        <w:rPr>
          <w:color w:val="C00000"/>
          <w:sz w:val="24"/>
          <w:szCs w:val="24"/>
        </w:rPr>
        <w:t xml:space="preserve">Štedna komponenta premije osiguranja „oplođuju“ se </w:t>
      </w:r>
      <w:r w:rsidRPr="00C93D7E">
        <w:rPr>
          <w:sz w:val="24"/>
          <w:szCs w:val="24"/>
        </w:rPr>
        <w:t>na način da društvo za osiguranje ulaže prikupljena sredstva u različite oblike imovine (d</w:t>
      </w:r>
      <w:r w:rsidR="003A0AD2">
        <w:rPr>
          <w:sz w:val="24"/>
          <w:szCs w:val="24"/>
        </w:rPr>
        <w:t xml:space="preserve">ržavne obveznice i druge prvenstveno </w:t>
      </w:r>
      <w:r w:rsidR="003A0AD2">
        <w:rPr>
          <w:sz w:val="24"/>
          <w:szCs w:val="24"/>
        </w:rPr>
        <w:lastRenderedPageBreak/>
        <w:t>nisko-rizične plasmane</w:t>
      </w:r>
      <w:r w:rsidRPr="00C93D7E">
        <w:rPr>
          <w:sz w:val="24"/>
          <w:szCs w:val="24"/>
        </w:rPr>
        <w:t xml:space="preserve">) te tako ostvaruje prihode od ulaganja koji se (nakon odbitka troškova poslovanja osiguratelja) kao </w:t>
      </w:r>
      <w:r w:rsidRPr="00C93D7E">
        <w:rPr>
          <w:color w:val="C00000"/>
          <w:sz w:val="24"/>
          <w:szCs w:val="24"/>
        </w:rPr>
        <w:t xml:space="preserve">pripisana dobit </w:t>
      </w:r>
      <w:r w:rsidRPr="00C93D7E">
        <w:rPr>
          <w:sz w:val="24"/>
          <w:szCs w:val="24"/>
        </w:rPr>
        <w:t xml:space="preserve">pridružuju iznosu svote osiguranja, a korisnik ih stječe danom isteka osiguranja, odnosno nastupom osiguranog slučaja. </w:t>
      </w:r>
      <w:r w:rsidR="003146DB">
        <w:rPr>
          <w:sz w:val="24"/>
          <w:szCs w:val="24"/>
        </w:rPr>
        <w:t xml:space="preserve">Konkretno </w:t>
      </w:r>
      <w:r w:rsidR="003146DB" w:rsidRPr="003146DB">
        <w:rPr>
          <w:color w:val="C00000"/>
          <w:sz w:val="24"/>
          <w:szCs w:val="24"/>
        </w:rPr>
        <w:t xml:space="preserve">osiguratelji najviše ulažu u </w:t>
      </w:r>
      <w:r w:rsidR="003146DB" w:rsidRPr="003146DB">
        <w:rPr>
          <w:sz w:val="24"/>
          <w:szCs w:val="24"/>
        </w:rPr>
        <w:t xml:space="preserve">obveznice države (zbog sigurnosti i likvidnosti), u obveznice gradova i lokalnih organa vlasti, u korporacijske obveznice, dionice poduzeća, drže depozite kod banaka, ulažu u fondove zajedničkog investiranja te druge nisko rizične plasmane na tržištu kapitala (posebice </w:t>
      </w:r>
      <w:r w:rsidR="003146DB">
        <w:rPr>
          <w:sz w:val="24"/>
          <w:szCs w:val="24"/>
        </w:rPr>
        <w:t xml:space="preserve">u slučaju prikupljenih </w:t>
      </w:r>
      <w:r w:rsidR="003146DB" w:rsidRPr="003146DB">
        <w:rPr>
          <w:sz w:val="24"/>
          <w:szCs w:val="24"/>
        </w:rPr>
        <w:t>sredstava koja se odnose na dugoročne ugovore o osiguranju) kao i tržištu novca</w:t>
      </w:r>
      <w:r w:rsidR="003146DB">
        <w:rPr>
          <w:rStyle w:val="Referencafusnote"/>
          <w:sz w:val="24"/>
          <w:szCs w:val="24"/>
        </w:rPr>
        <w:footnoteReference w:id="88"/>
      </w:r>
      <w:r w:rsidR="003146DB">
        <w:rPr>
          <w:sz w:val="24"/>
          <w:szCs w:val="24"/>
        </w:rPr>
        <w:t>, a regulativa detaljno određuje u koje oblike imovine se mogu ulagati matematičke pričuve osiguratelja formirane kroz životno osiguranje, odnosno tehničke pričuve formirane kroz neživotno osiguranje.</w:t>
      </w:r>
      <w:r w:rsidR="003146DB" w:rsidRPr="003146DB">
        <w:rPr>
          <w:sz w:val="24"/>
          <w:szCs w:val="24"/>
        </w:rPr>
        <w:t xml:space="preserve"> </w:t>
      </w:r>
    </w:p>
    <w:p w:rsidR="00506F17" w:rsidRDefault="00026B75" w:rsidP="00506F17">
      <w:pPr>
        <w:jc w:val="both"/>
        <w:rPr>
          <w:sz w:val="24"/>
          <w:szCs w:val="24"/>
        </w:rPr>
      </w:pPr>
      <w:r w:rsidRPr="00C93D7E">
        <w:rPr>
          <w:sz w:val="24"/>
          <w:szCs w:val="24"/>
        </w:rPr>
        <w:t xml:space="preserve">Životno osiguranje </w:t>
      </w:r>
      <w:r w:rsidR="003146DB">
        <w:rPr>
          <w:sz w:val="24"/>
          <w:szCs w:val="24"/>
        </w:rPr>
        <w:t xml:space="preserve">za pojedinca i kućanstvo </w:t>
      </w:r>
      <w:r w:rsidR="008F121F">
        <w:rPr>
          <w:sz w:val="24"/>
          <w:szCs w:val="24"/>
        </w:rPr>
        <w:t xml:space="preserve">može </w:t>
      </w:r>
      <w:r w:rsidR="00C93D7E">
        <w:rPr>
          <w:sz w:val="24"/>
          <w:szCs w:val="24"/>
        </w:rPr>
        <w:t>predstavlja</w:t>
      </w:r>
      <w:r w:rsidR="008F121F">
        <w:rPr>
          <w:sz w:val="24"/>
          <w:szCs w:val="24"/>
        </w:rPr>
        <w:t>ti</w:t>
      </w:r>
      <w:r w:rsidR="00C93D7E">
        <w:rPr>
          <w:sz w:val="24"/>
          <w:szCs w:val="24"/>
        </w:rPr>
        <w:t xml:space="preserve"> </w:t>
      </w:r>
      <w:r w:rsidR="00C93D7E" w:rsidRPr="00EF4F3F">
        <w:rPr>
          <w:color w:val="C00000"/>
          <w:sz w:val="24"/>
          <w:szCs w:val="24"/>
        </w:rPr>
        <w:t>dugoročn</w:t>
      </w:r>
      <w:r w:rsidR="00B90CC0" w:rsidRPr="00EF4F3F">
        <w:rPr>
          <w:color w:val="C00000"/>
          <w:sz w:val="24"/>
          <w:szCs w:val="24"/>
        </w:rPr>
        <w:t>i</w:t>
      </w:r>
      <w:r w:rsidR="00C93D7E" w:rsidRPr="00EF4F3F">
        <w:rPr>
          <w:color w:val="C00000"/>
          <w:sz w:val="24"/>
          <w:szCs w:val="24"/>
        </w:rPr>
        <w:t xml:space="preserve"> </w:t>
      </w:r>
      <w:r w:rsidR="00EF4F3F">
        <w:rPr>
          <w:color w:val="C00000"/>
          <w:sz w:val="24"/>
          <w:szCs w:val="24"/>
        </w:rPr>
        <w:t xml:space="preserve">ugovorni </w:t>
      </w:r>
      <w:r w:rsidR="00C93D7E" w:rsidRPr="00EF4F3F">
        <w:rPr>
          <w:color w:val="C00000"/>
          <w:sz w:val="24"/>
          <w:szCs w:val="24"/>
        </w:rPr>
        <w:t>oblik štednje</w:t>
      </w:r>
      <w:r w:rsidR="00C93D7E">
        <w:rPr>
          <w:sz w:val="24"/>
          <w:szCs w:val="24"/>
        </w:rPr>
        <w:t xml:space="preserve"> te je </w:t>
      </w:r>
      <w:r w:rsidRPr="00C93D7E">
        <w:rPr>
          <w:sz w:val="24"/>
          <w:szCs w:val="24"/>
        </w:rPr>
        <w:t>t</w:t>
      </w:r>
      <w:r w:rsidR="008F121F">
        <w:rPr>
          <w:sz w:val="24"/>
          <w:szCs w:val="24"/>
        </w:rPr>
        <w:t>ada t</w:t>
      </w:r>
      <w:r w:rsidRPr="00C93D7E">
        <w:rPr>
          <w:sz w:val="24"/>
          <w:szCs w:val="24"/>
        </w:rPr>
        <w:t xml:space="preserve">ipično vezano uz </w:t>
      </w:r>
      <w:r w:rsidRPr="00C93D7E">
        <w:rPr>
          <w:color w:val="C00000"/>
          <w:sz w:val="24"/>
          <w:szCs w:val="24"/>
        </w:rPr>
        <w:t>formiranje štednje za starost</w:t>
      </w:r>
      <w:r w:rsidRPr="00C93D7E">
        <w:rPr>
          <w:sz w:val="24"/>
          <w:szCs w:val="24"/>
        </w:rPr>
        <w:t xml:space="preserve">, odnosno </w:t>
      </w:r>
      <w:r w:rsidR="00C93D7E">
        <w:rPr>
          <w:sz w:val="24"/>
          <w:szCs w:val="24"/>
        </w:rPr>
        <w:t xml:space="preserve">štednju za </w:t>
      </w:r>
      <w:r w:rsidRPr="00C93D7E">
        <w:rPr>
          <w:sz w:val="24"/>
          <w:szCs w:val="24"/>
        </w:rPr>
        <w:t xml:space="preserve">godine umirovljenja kada su tekući prihodi daleko </w:t>
      </w:r>
      <w:r w:rsidR="004F37FD">
        <w:rPr>
          <w:sz w:val="24"/>
          <w:szCs w:val="24"/>
        </w:rPr>
        <w:t xml:space="preserve">niži </w:t>
      </w:r>
      <w:r w:rsidR="00C93D7E">
        <w:rPr>
          <w:sz w:val="24"/>
          <w:szCs w:val="24"/>
        </w:rPr>
        <w:t>nego u godinama radnog odnosa</w:t>
      </w:r>
      <w:r w:rsidR="00B90CC0">
        <w:rPr>
          <w:sz w:val="24"/>
          <w:szCs w:val="24"/>
        </w:rPr>
        <w:t xml:space="preserve">. </w:t>
      </w:r>
      <w:r w:rsidR="00506F17">
        <w:rPr>
          <w:sz w:val="24"/>
          <w:szCs w:val="24"/>
        </w:rPr>
        <w:t xml:space="preserve">Dodatno, dugoročna </w:t>
      </w:r>
      <w:r w:rsidR="003A0AD2">
        <w:rPr>
          <w:sz w:val="24"/>
          <w:szCs w:val="24"/>
        </w:rPr>
        <w:t>ugovorn</w:t>
      </w:r>
      <w:r w:rsidR="00506F17">
        <w:rPr>
          <w:sz w:val="24"/>
          <w:szCs w:val="24"/>
        </w:rPr>
        <w:t>a</w:t>
      </w:r>
      <w:r w:rsidR="003A0AD2">
        <w:rPr>
          <w:sz w:val="24"/>
          <w:szCs w:val="24"/>
        </w:rPr>
        <w:t xml:space="preserve"> obvez</w:t>
      </w:r>
      <w:r w:rsidR="00506F17">
        <w:rPr>
          <w:sz w:val="24"/>
          <w:szCs w:val="24"/>
        </w:rPr>
        <w:t>a</w:t>
      </w:r>
      <w:r w:rsidR="003A0AD2">
        <w:rPr>
          <w:sz w:val="24"/>
          <w:szCs w:val="24"/>
        </w:rPr>
        <w:t xml:space="preserve"> p</w:t>
      </w:r>
      <w:r w:rsidR="00506F17">
        <w:rPr>
          <w:sz w:val="24"/>
          <w:szCs w:val="24"/>
        </w:rPr>
        <w:t>laćanja premija životnog osiguranja p</w:t>
      </w:r>
      <w:r w:rsidR="003A0AD2">
        <w:rPr>
          <w:sz w:val="24"/>
          <w:szCs w:val="24"/>
        </w:rPr>
        <w:t>raktično sprječava pojedinca da u</w:t>
      </w:r>
      <w:r w:rsidR="004C1D43">
        <w:rPr>
          <w:sz w:val="24"/>
          <w:szCs w:val="24"/>
        </w:rPr>
        <w:t>kupni raspoloživ dohodak potroši</w:t>
      </w:r>
      <w:r w:rsidR="00506F17">
        <w:rPr>
          <w:sz w:val="24"/>
          <w:szCs w:val="24"/>
        </w:rPr>
        <w:t xml:space="preserve"> u tekućem razdoblju (tijekom radnog vijeka kada je dohodak veći i primjereno je ugovoriti životno osiguranje)</w:t>
      </w:r>
      <w:r w:rsidR="004C1D43">
        <w:rPr>
          <w:sz w:val="24"/>
          <w:szCs w:val="24"/>
        </w:rPr>
        <w:t xml:space="preserve">, odnosno stimulira </w:t>
      </w:r>
      <w:r w:rsidR="00506F17">
        <w:rPr>
          <w:sz w:val="24"/>
          <w:szCs w:val="24"/>
        </w:rPr>
        <w:t>pojedinca</w:t>
      </w:r>
      <w:r w:rsidR="004C1D43">
        <w:rPr>
          <w:sz w:val="24"/>
          <w:szCs w:val="24"/>
        </w:rPr>
        <w:t xml:space="preserve"> da planira i formira štednju za budućnost. </w:t>
      </w:r>
      <w:r w:rsidR="003A0AD2">
        <w:rPr>
          <w:sz w:val="24"/>
          <w:szCs w:val="24"/>
        </w:rPr>
        <w:t>Važnost štednje kroz životno i rentno osiguranje tim</w:t>
      </w:r>
      <w:r w:rsidR="00C93D7E">
        <w:rPr>
          <w:sz w:val="24"/>
          <w:szCs w:val="24"/>
        </w:rPr>
        <w:t xml:space="preserve"> više</w:t>
      </w:r>
      <w:r w:rsidR="003A0AD2">
        <w:rPr>
          <w:sz w:val="24"/>
          <w:szCs w:val="24"/>
        </w:rPr>
        <w:t xml:space="preserve"> dobiva na važnosti u okolnostima kada </w:t>
      </w:r>
      <w:r w:rsidR="00C93D7E">
        <w:rPr>
          <w:sz w:val="24"/>
          <w:szCs w:val="24"/>
        </w:rPr>
        <w:t xml:space="preserve">mirovinski sustav osiguranja koji organizira država za mnoge današnje zaposlenike znači relativno niske mirovine u budućnosti pa je </w:t>
      </w:r>
      <w:r w:rsidR="00E157DC">
        <w:rPr>
          <w:sz w:val="24"/>
          <w:szCs w:val="24"/>
        </w:rPr>
        <w:t>tijekom radnog vijeka potrebno formirati r</w:t>
      </w:r>
      <w:r w:rsidR="00C93D7E">
        <w:rPr>
          <w:sz w:val="24"/>
          <w:szCs w:val="24"/>
        </w:rPr>
        <w:t>ezerve štednje</w:t>
      </w:r>
      <w:r w:rsidR="00E157DC">
        <w:rPr>
          <w:sz w:val="24"/>
          <w:szCs w:val="24"/>
        </w:rPr>
        <w:t xml:space="preserve"> koje će se koristiti kao dodatni primitak kućanstva u starijoj životnoj dobi. </w:t>
      </w:r>
    </w:p>
    <w:p w:rsidR="002C6001" w:rsidRDefault="004F37FD" w:rsidP="00506F17">
      <w:pPr>
        <w:jc w:val="both"/>
        <w:rPr>
          <w:sz w:val="24"/>
          <w:szCs w:val="24"/>
        </w:rPr>
      </w:pPr>
      <w:r>
        <w:rPr>
          <w:sz w:val="24"/>
          <w:szCs w:val="24"/>
        </w:rPr>
        <w:t xml:space="preserve">O </w:t>
      </w:r>
      <w:r w:rsidR="00E157DC">
        <w:rPr>
          <w:sz w:val="24"/>
          <w:szCs w:val="24"/>
        </w:rPr>
        <w:t xml:space="preserve">važnosti formiranja osobne štednje, </w:t>
      </w:r>
      <w:r>
        <w:rPr>
          <w:sz w:val="24"/>
          <w:szCs w:val="24"/>
        </w:rPr>
        <w:t xml:space="preserve">govore i podaci o relativno niskim mirovinama brojnih današnjih umirovljenika u Hrvatskoj </w:t>
      </w:r>
      <w:r w:rsidR="00E157DC">
        <w:rPr>
          <w:sz w:val="24"/>
          <w:szCs w:val="24"/>
        </w:rPr>
        <w:t>t</w:t>
      </w:r>
      <w:r>
        <w:rPr>
          <w:sz w:val="24"/>
          <w:szCs w:val="24"/>
        </w:rPr>
        <w:t xml:space="preserve">e rastućoj stopi rizika siromaštva upravo kod te kategorije osoba. </w:t>
      </w:r>
      <w:r w:rsidR="00506F17">
        <w:rPr>
          <w:sz w:val="24"/>
          <w:szCs w:val="24"/>
        </w:rPr>
        <w:t xml:space="preserve">Na primjer u Hrvatskoj prosječna mirovina ne pokriva niti polovicu prosječne neto plaće, a u budućnosti bi taj omjer mogao biti i nepovoljniji pa se (uz pretpostavku nastavka postojećih demografskih i ekonomskih trendova kao u dosadašnjem razdoblju) predviđa da će do 2050. prosječna mirovina iznositi svega 38% prosječne neto plaće iz radnog odnosa. </w:t>
      </w:r>
      <w:r>
        <w:rPr>
          <w:sz w:val="24"/>
          <w:szCs w:val="24"/>
        </w:rPr>
        <w:t xml:space="preserve">O </w:t>
      </w:r>
      <w:r w:rsidR="00506F17">
        <w:rPr>
          <w:sz w:val="24"/>
          <w:szCs w:val="24"/>
        </w:rPr>
        <w:t>značaj</w:t>
      </w:r>
      <w:r w:rsidR="008F121F">
        <w:rPr>
          <w:sz w:val="24"/>
          <w:szCs w:val="24"/>
        </w:rPr>
        <w:t>u</w:t>
      </w:r>
      <w:r w:rsidR="00506F17">
        <w:rPr>
          <w:sz w:val="24"/>
          <w:szCs w:val="24"/>
        </w:rPr>
        <w:t xml:space="preserve"> problema </w:t>
      </w:r>
      <w:r>
        <w:rPr>
          <w:sz w:val="24"/>
          <w:szCs w:val="24"/>
        </w:rPr>
        <w:t xml:space="preserve">govori i aktualno </w:t>
      </w:r>
      <w:r w:rsidRPr="002C6001">
        <w:rPr>
          <w:color w:val="C00000"/>
          <w:sz w:val="24"/>
          <w:szCs w:val="24"/>
        </w:rPr>
        <w:t xml:space="preserve">stanje neodrživosti prvog stupa mirovinskog sustava </w:t>
      </w:r>
      <w:r w:rsidR="00E157DC" w:rsidRPr="002C6001">
        <w:rPr>
          <w:color w:val="C00000"/>
          <w:sz w:val="24"/>
          <w:szCs w:val="24"/>
        </w:rPr>
        <w:t xml:space="preserve">RH </w:t>
      </w:r>
      <w:r w:rsidRPr="002C6001">
        <w:rPr>
          <w:color w:val="C00000"/>
          <w:sz w:val="24"/>
          <w:szCs w:val="24"/>
        </w:rPr>
        <w:t>zbog činjenice da na jednog umirovljenika dolazi tek nešto više od jedne zaposlene osobe</w:t>
      </w:r>
      <w:r>
        <w:rPr>
          <w:sz w:val="24"/>
          <w:szCs w:val="24"/>
        </w:rPr>
        <w:t xml:space="preserve"> </w:t>
      </w:r>
      <w:r w:rsidR="008F121F">
        <w:rPr>
          <w:sz w:val="24"/>
          <w:szCs w:val="24"/>
        </w:rPr>
        <w:t xml:space="preserve">- </w:t>
      </w:r>
      <w:r w:rsidR="00E157DC">
        <w:rPr>
          <w:sz w:val="24"/>
          <w:szCs w:val="24"/>
        </w:rPr>
        <w:t>o</w:t>
      </w:r>
      <w:r>
        <w:rPr>
          <w:sz w:val="24"/>
          <w:szCs w:val="24"/>
        </w:rPr>
        <w:t xml:space="preserve"> čij</w:t>
      </w:r>
      <w:r w:rsidR="00E157DC">
        <w:rPr>
          <w:sz w:val="24"/>
          <w:szCs w:val="24"/>
        </w:rPr>
        <w:t>em</w:t>
      </w:r>
      <w:r>
        <w:rPr>
          <w:sz w:val="24"/>
          <w:szCs w:val="24"/>
        </w:rPr>
        <w:t xml:space="preserve"> rad</w:t>
      </w:r>
      <w:r w:rsidR="00E157DC">
        <w:rPr>
          <w:sz w:val="24"/>
          <w:szCs w:val="24"/>
        </w:rPr>
        <w:t xml:space="preserve">u (zaposlenosti) </w:t>
      </w:r>
      <w:r>
        <w:rPr>
          <w:sz w:val="24"/>
          <w:szCs w:val="24"/>
        </w:rPr>
        <w:t>i visin</w:t>
      </w:r>
      <w:r w:rsidR="00506F17">
        <w:rPr>
          <w:sz w:val="24"/>
          <w:szCs w:val="24"/>
        </w:rPr>
        <w:t>i</w:t>
      </w:r>
      <w:r>
        <w:rPr>
          <w:sz w:val="24"/>
          <w:szCs w:val="24"/>
        </w:rPr>
        <w:t xml:space="preserve"> bruto plaće </w:t>
      </w:r>
      <w:r w:rsidR="00E157DC">
        <w:rPr>
          <w:sz w:val="24"/>
          <w:szCs w:val="24"/>
        </w:rPr>
        <w:t xml:space="preserve">ovisi visina </w:t>
      </w:r>
      <w:r w:rsidR="004C1D43">
        <w:rPr>
          <w:sz w:val="24"/>
          <w:szCs w:val="24"/>
        </w:rPr>
        <w:t xml:space="preserve">ukupno prikupljenih mirovinskih </w:t>
      </w:r>
      <w:r>
        <w:rPr>
          <w:sz w:val="24"/>
          <w:szCs w:val="24"/>
        </w:rPr>
        <w:t xml:space="preserve">doprinosa </w:t>
      </w:r>
      <w:r w:rsidR="00E157DC">
        <w:rPr>
          <w:sz w:val="24"/>
          <w:szCs w:val="24"/>
        </w:rPr>
        <w:t xml:space="preserve">iz plaće </w:t>
      </w:r>
      <w:r w:rsidR="004C1D43">
        <w:rPr>
          <w:sz w:val="24"/>
          <w:szCs w:val="24"/>
        </w:rPr>
        <w:t>(a konkretno prvi stup tzv. međugeneracijske solidarnosti)</w:t>
      </w:r>
      <w:r w:rsidR="00E157DC">
        <w:rPr>
          <w:sz w:val="24"/>
          <w:szCs w:val="24"/>
        </w:rPr>
        <w:t>.</w:t>
      </w:r>
      <w:r w:rsidR="00506F17">
        <w:rPr>
          <w:sz w:val="24"/>
          <w:szCs w:val="24"/>
        </w:rPr>
        <w:t xml:space="preserve"> </w:t>
      </w:r>
      <w:r w:rsidR="000F65C3">
        <w:rPr>
          <w:sz w:val="24"/>
          <w:szCs w:val="24"/>
        </w:rPr>
        <w:t xml:space="preserve">Pri tome kako je tijekom kriznog razdoblja istodobno došlo do značajnog rasta broja umirovljenika, uz istodobno višestruko veći pad broja zaposlenih, tekući javnih prihodi prikupljeni iz mirovinskih doprinosa (prvi stup) nisu dovoljni za pokriće izdataka države za isplatu mirovina pa se ona značajnim dijelom financiraju na teret ostalih prihoda državnog proračuna, a kako kontinuirano postoji budžetski deficit, isplate mirovina se  jednim dijelom financiraju iz </w:t>
      </w:r>
      <w:r w:rsidR="008F121F">
        <w:rPr>
          <w:sz w:val="24"/>
          <w:szCs w:val="24"/>
        </w:rPr>
        <w:t>(</w:t>
      </w:r>
      <w:r w:rsidR="000F65C3">
        <w:rPr>
          <w:sz w:val="24"/>
          <w:szCs w:val="24"/>
        </w:rPr>
        <w:t>kontinuiranog</w:t>
      </w:r>
      <w:r w:rsidR="008F121F">
        <w:rPr>
          <w:sz w:val="24"/>
          <w:szCs w:val="24"/>
        </w:rPr>
        <w:t>)</w:t>
      </w:r>
      <w:r w:rsidR="000F65C3">
        <w:rPr>
          <w:sz w:val="24"/>
          <w:szCs w:val="24"/>
        </w:rPr>
        <w:t xml:space="preserve"> zaduživanja države. </w:t>
      </w:r>
    </w:p>
    <w:p w:rsidR="00506F17" w:rsidRDefault="002C6001" w:rsidP="00506F17">
      <w:pPr>
        <w:jc w:val="both"/>
        <w:rPr>
          <w:sz w:val="24"/>
          <w:szCs w:val="24"/>
        </w:rPr>
      </w:pPr>
      <w:r>
        <w:rPr>
          <w:color w:val="C00000"/>
          <w:sz w:val="24"/>
          <w:szCs w:val="24"/>
        </w:rPr>
        <w:lastRenderedPageBreak/>
        <w:t>O</w:t>
      </w:r>
      <w:r w:rsidRPr="002C6001">
        <w:rPr>
          <w:color w:val="C00000"/>
          <w:sz w:val="24"/>
          <w:szCs w:val="24"/>
        </w:rPr>
        <w:t>sobni</w:t>
      </w:r>
      <w:r>
        <w:rPr>
          <w:sz w:val="24"/>
          <w:szCs w:val="24"/>
        </w:rPr>
        <w:t xml:space="preserve"> </w:t>
      </w:r>
      <w:r w:rsidR="000F65C3" w:rsidRPr="00506F17">
        <w:rPr>
          <w:color w:val="C00000"/>
          <w:sz w:val="24"/>
          <w:szCs w:val="24"/>
        </w:rPr>
        <w:t xml:space="preserve">rizik </w:t>
      </w:r>
      <w:r w:rsidR="000F65C3">
        <w:rPr>
          <w:color w:val="C00000"/>
          <w:sz w:val="24"/>
          <w:szCs w:val="24"/>
        </w:rPr>
        <w:t>dugovječnosti</w:t>
      </w:r>
      <w:r w:rsidR="000F65C3" w:rsidRPr="002C6001">
        <w:rPr>
          <w:sz w:val="24"/>
          <w:szCs w:val="24"/>
        </w:rPr>
        <w:t>, odnosno rizik dohotka u starijoj životnoj dobi</w:t>
      </w:r>
      <w:r w:rsidR="007011A3">
        <w:rPr>
          <w:sz w:val="24"/>
          <w:szCs w:val="24"/>
        </w:rPr>
        <w:t xml:space="preserve"> tako se</w:t>
      </w:r>
      <w:r w:rsidR="000F65C3" w:rsidRPr="002C6001">
        <w:rPr>
          <w:sz w:val="24"/>
          <w:szCs w:val="24"/>
        </w:rPr>
        <w:t xml:space="preserve"> </w:t>
      </w:r>
      <w:r w:rsidR="000F65C3" w:rsidRPr="00506F17">
        <w:rPr>
          <w:color w:val="C00000"/>
          <w:sz w:val="24"/>
          <w:szCs w:val="24"/>
        </w:rPr>
        <w:t xml:space="preserve">sve više </w:t>
      </w:r>
      <w:r w:rsidR="000F65C3">
        <w:rPr>
          <w:color w:val="C00000"/>
          <w:sz w:val="24"/>
          <w:szCs w:val="24"/>
        </w:rPr>
        <w:t xml:space="preserve"> </w:t>
      </w:r>
      <w:r w:rsidR="000F65C3" w:rsidRPr="00506F17">
        <w:rPr>
          <w:color w:val="C00000"/>
          <w:sz w:val="24"/>
          <w:szCs w:val="24"/>
        </w:rPr>
        <w:t>individualizira</w:t>
      </w:r>
      <w:r w:rsidR="000F65C3" w:rsidRPr="002C6001">
        <w:rPr>
          <w:sz w:val="24"/>
          <w:szCs w:val="24"/>
        </w:rPr>
        <w:t xml:space="preserve">, a pojedinac ima </w:t>
      </w:r>
      <w:r w:rsidR="000F65C3" w:rsidRPr="00506F17">
        <w:rPr>
          <w:color w:val="C00000"/>
          <w:sz w:val="24"/>
          <w:szCs w:val="24"/>
        </w:rPr>
        <w:t xml:space="preserve">osobnu odgovornost formirati štednju za starost (i </w:t>
      </w:r>
      <w:r w:rsidR="008F121F">
        <w:rPr>
          <w:color w:val="C00000"/>
          <w:sz w:val="24"/>
          <w:szCs w:val="24"/>
        </w:rPr>
        <w:t xml:space="preserve">eventualnu </w:t>
      </w:r>
      <w:r w:rsidR="000F65C3" w:rsidRPr="00506F17">
        <w:rPr>
          <w:color w:val="C00000"/>
          <w:sz w:val="24"/>
          <w:szCs w:val="24"/>
        </w:rPr>
        <w:t>bolest) kojom će se od njih zaštititi</w:t>
      </w:r>
      <w:r w:rsidR="000F65C3">
        <w:rPr>
          <w:sz w:val="24"/>
          <w:szCs w:val="24"/>
        </w:rPr>
        <w:t xml:space="preserve">. </w:t>
      </w:r>
      <w:r>
        <w:rPr>
          <w:sz w:val="24"/>
          <w:szCs w:val="24"/>
        </w:rPr>
        <w:t>Dodatno, n</w:t>
      </w:r>
      <w:r w:rsidR="00506F17">
        <w:rPr>
          <w:sz w:val="24"/>
          <w:szCs w:val="24"/>
        </w:rPr>
        <w:t>a ukupnu sliku neodrživosti postojećeg mirovinskog sustava ukazuje i trend demografskog starenja</w:t>
      </w:r>
      <w:r w:rsidR="000F65C3">
        <w:rPr>
          <w:sz w:val="24"/>
          <w:szCs w:val="24"/>
        </w:rPr>
        <w:t>, odnosno nepovoljna dobna struktura stanovništva</w:t>
      </w:r>
      <w:r>
        <w:rPr>
          <w:sz w:val="24"/>
          <w:szCs w:val="24"/>
        </w:rPr>
        <w:t xml:space="preserve"> zabilježena već danas uz još izraženije pogoršanje do 2050. stanovništva (vidjeti sliku 38)</w:t>
      </w:r>
      <w:r w:rsidR="000F65C3">
        <w:rPr>
          <w:sz w:val="24"/>
          <w:szCs w:val="24"/>
        </w:rPr>
        <w:t xml:space="preserve">. </w:t>
      </w:r>
    </w:p>
    <w:p w:rsidR="002C6001" w:rsidRPr="002C6001" w:rsidRDefault="002C6001" w:rsidP="003146DB">
      <w:pPr>
        <w:jc w:val="both"/>
        <w:rPr>
          <w:b/>
          <w:sz w:val="24"/>
          <w:szCs w:val="24"/>
        </w:rPr>
      </w:pPr>
      <w:r w:rsidRPr="002C6001">
        <w:rPr>
          <w:b/>
          <w:sz w:val="24"/>
          <w:szCs w:val="24"/>
        </w:rPr>
        <w:t>Slika 38: Stanovništvo Hrvatske prema starosti i spolu</w:t>
      </w:r>
    </w:p>
    <w:p w:rsidR="002C6001" w:rsidRDefault="002C6001" w:rsidP="00585C42">
      <w:pPr>
        <w:spacing w:after="0"/>
        <w:jc w:val="both"/>
        <w:rPr>
          <w:sz w:val="24"/>
          <w:szCs w:val="24"/>
        </w:rPr>
      </w:pPr>
      <w:r>
        <w:rPr>
          <w:noProof/>
          <w:sz w:val="24"/>
          <w:szCs w:val="24"/>
          <w:lang w:eastAsia="hr-HR"/>
        </w:rPr>
        <w:drawing>
          <wp:inline distT="0" distB="0" distL="0" distR="0" wp14:anchorId="7297EB5A" wp14:editId="492CC784">
            <wp:extent cx="5360387" cy="6400800"/>
            <wp:effectExtent l="0" t="0" r="0" b="0"/>
            <wp:docPr id="1146" name="Slika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60387" cy="6400800"/>
                    </a:xfrm>
                    <a:prstGeom prst="rect">
                      <a:avLst/>
                    </a:prstGeom>
                    <a:noFill/>
                    <a:ln>
                      <a:noFill/>
                    </a:ln>
                  </pic:spPr>
                </pic:pic>
              </a:graphicData>
            </a:graphic>
          </wp:inline>
        </w:drawing>
      </w:r>
    </w:p>
    <w:p w:rsidR="00585C42" w:rsidRPr="00893C4C" w:rsidRDefault="00585C42" w:rsidP="00585C42">
      <w:pPr>
        <w:jc w:val="both"/>
        <w:rPr>
          <w:sz w:val="20"/>
          <w:szCs w:val="20"/>
        </w:rPr>
      </w:pPr>
      <w:r w:rsidRPr="00893C4C">
        <w:rPr>
          <w:sz w:val="20"/>
          <w:szCs w:val="20"/>
        </w:rPr>
        <w:t>Izvor: preuzeto iz: DZS (2012.): „Žene i muškarci u Hrvatskoj 2012.“, dostupno na: http://www.dzs.hr/Hrv_Eng/menandwomen/men_and_women_2012.pdf</w:t>
      </w:r>
    </w:p>
    <w:p w:rsidR="00CE6CF0" w:rsidRDefault="00E157DC" w:rsidP="003146DB">
      <w:pPr>
        <w:jc w:val="both"/>
        <w:rPr>
          <w:sz w:val="24"/>
          <w:szCs w:val="24"/>
        </w:rPr>
      </w:pPr>
      <w:r>
        <w:rPr>
          <w:sz w:val="24"/>
          <w:szCs w:val="24"/>
        </w:rPr>
        <w:lastRenderedPageBreak/>
        <w:t xml:space="preserve">Kako bi se </w:t>
      </w:r>
      <w:r w:rsidR="004C1D43">
        <w:rPr>
          <w:sz w:val="24"/>
          <w:szCs w:val="24"/>
        </w:rPr>
        <w:t xml:space="preserve">budući </w:t>
      </w:r>
      <w:r w:rsidR="009F7AD8">
        <w:rPr>
          <w:sz w:val="24"/>
          <w:szCs w:val="24"/>
        </w:rPr>
        <w:t>rizici starosti (dugovječnost),</w:t>
      </w:r>
      <w:r>
        <w:rPr>
          <w:sz w:val="24"/>
          <w:szCs w:val="24"/>
        </w:rPr>
        <w:t xml:space="preserve"> dohotka i siromaštva sve</w:t>
      </w:r>
      <w:r w:rsidR="009F7AD8">
        <w:rPr>
          <w:sz w:val="24"/>
          <w:szCs w:val="24"/>
        </w:rPr>
        <w:t xml:space="preserve">li </w:t>
      </w:r>
      <w:r>
        <w:rPr>
          <w:sz w:val="24"/>
          <w:szCs w:val="24"/>
        </w:rPr>
        <w:t>na najmanju moguću mjeru</w:t>
      </w:r>
      <w:r w:rsidR="004C1D43">
        <w:rPr>
          <w:sz w:val="24"/>
          <w:szCs w:val="24"/>
        </w:rPr>
        <w:t xml:space="preserve">, naglasak je </w:t>
      </w:r>
      <w:r w:rsidR="009F7AD8">
        <w:rPr>
          <w:sz w:val="24"/>
          <w:szCs w:val="24"/>
        </w:rPr>
        <w:t xml:space="preserve">na </w:t>
      </w:r>
      <w:r w:rsidR="004C1D43">
        <w:rPr>
          <w:sz w:val="24"/>
          <w:szCs w:val="24"/>
        </w:rPr>
        <w:t xml:space="preserve">izboru adekvatnog štedno-ulagačkog proizvoda koji kroz periodičke uplate duže vremensko razdoblje </w:t>
      </w:r>
      <w:r w:rsidR="009F7AD8">
        <w:rPr>
          <w:sz w:val="24"/>
          <w:szCs w:val="24"/>
        </w:rPr>
        <w:t xml:space="preserve">omogućava </w:t>
      </w:r>
      <w:r w:rsidR="004C1D43">
        <w:rPr>
          <w:sz w:val="24"/>
          <w:szCs w:val="24"/>
        </w:rPr>
        <w:t>postupno kumulira</w:t>
      </w:r>
      <w:r w:rsidR="009F7AD8">
        <w:rPr>
          <w:sz w:val="24"/>
          <w:szCs w:val="24"/>
        </w:rPr>
        <w:t>nje</w:t>
      </w:r>
      <w:r w:rsidR="004C1D43">
        <w:rPr>
          <w:sz w:val="24"/>
          <w:szCs w:val="24"/>
        </w:rPr>
        <w:t xml:space="preserve"> štednja, a čime se ujedno pretjerano ne opterećuje raspoloživi dohodak kućanstva. To može biti oročena štednja u bankama, stambena štednja, dobrovoljno mirovinsko osiguranje, ulaganje u otvorene investicijske fondove s javnom ponudom i drugo, uključujući svakako i </w:t>
      </w:r>
      <w:r w:rsidR="004C1D43" w:rsidRPr="00421476">
        <w:rPr>
          <w:color w:val="C00000"/>
          <w:sz w:val="24"/>
          <w:szCs w:val="24"/>
        </w:rPr>
        <w:t>živ</w:t>
      </w:r>
      <w:r w:rsidR="00421476" w:rsidRPr="00421476">
        <w:rPr>
          <w:color w:val="C00000"/>
          <w:sz w:val="24"/>
          <w:szCs w:val="24"/>
        </w:rPr>
        <w:t xml:space="preserve">otno i rentno osiguranje kao oblike štednje </w:t>
      </w:r>
      <w:r w:rsidR="00506F17">
        <w:rPr>
          <w:color w:val="C00000"/>
          <w:sz w:val="24"/>
          <w:szCs w:val="24"/>
        </w:rPr>
        <w:t>kod kojeg</w:t>
      </w:r>
      <w:r w:rsidR="00421476" w:rsidRPr="00421476">
        <w:rPr>
          <w:color w:val="C00000"/>
          <w:sz w:val="24"/>
          <w:szCs w:val="24"/>
        </w:rPr>
        <w:t xml:space="preserve"> </w:t>
      </w:r>
      <w:r w:rsidR="00421476" w:rsidRPr="003226A2">
        <w:rPr>
          <w:sz w:val="24"/>
          <w:szCs w:val="24"/>
        </w:rPr>
        <w:t xml:space="preserve">prema regulativi u 2015. </w:t>
      </w:r>
      <w:r w:rsidR="003226A2">
        <w:rPr>
          <w:color w:val="C00000"/>
          <w:sz w:val="24"/>
          <w:szCs w:val="24"/>
        </w:rPr>
        <w:t>ostvareni dohodak od pripisane dobiti nije</w:t>
      </w:r>
      <w:r w:rsidR="00421476" w:rsidRPr="00421476">
        <w:rPr>
          <w:color w:val="C00000"/>
          <w:sz w:val="24"/>
          <w:szCs w:val="24"/>
        </w:rPr>
        <w:t xml:space="preserve"> obuhvaćeni </w:t>
      </w:r>
      <w:r w:rsidR="003226A2">
        <w:rPr>
          <w:color w:val="C00000"/>
          <w:sz w:val="24"/>
          <w:szCs w:val="24"/>
        </w:rPr>
        <w:t>sustavom oporezivanjem dohotka</w:t>
      </w:r>
      <w:r w:rsidR="004E66AD">
        <w:rPr>
          <w:color w:val="C00000"/>
          <w:sz w:val="24"/>
          <w:szCs w:val="24"/>
        </w:rPr>
        <w:t xml:space="preserve"> </w:t>
      </w:r>
      <w:r w:rsidR="004E66AD" w:rsidRPr="004E66AD">
        <w:rPr>
          <w:sz w:val="24"/>
          <w:szCs w:val="24"/>
        </w:rPr>
        <w:t>(k</w:t>
      </w:r>
      <w:r w:rsidR="00421476">
        <w:rPr>
          <w:sz w:val="24"/>
          <w:szCs w:val="24"/>
        </w:rPr>
        <w:t>ao što je slučaj kod kamata na oročene depozite, odnosno kao što će biti slučaj od 2016. kod oporezivanja kapitalnih dobitaka</w:t>
      </w:r>
      <w:r w:rsidR="004E66AD">
        <w:rPr>
          <w:sz w:val="24"/>
          <w:szCs w:val="24"/>
        </w:rPr>
        <w:t>)</w:t>
      </w:r>
      <w:r w:rsidR="00421476">
        <w:rPr>
          <w:sz w:val="24"/>
          <w:szCs w:val="24"/>
        </w:rPr>
        <w:t xml:space="preserve">. </w:t>
      </w:r>
      <w:r w:rsidR="00C93D7E">
        <w:rPr>
          <w:sz w:val="24"/>
          <w:szCs w:val="24"/>
        </w:rPr>
        <w:t>Međutim</w:t>
      </w:r>
      <w:r w:rsidR="00CE6CF0">
        <w:rPr>
          <w:sz w:val="24"/>
          <w:szCs w:val="24"/>
        </w:rPr>
        <w:t>, p</w:t>
      </w:r>
      <w:r w:rsidR="00C93D7E" w:rsidRPr="003146DB">
        <w:rPr>
          <w:sz w:val="24"/>
          <w:szCs w:val="24"/>
        </w:rPr>
        <w:t xml:space="preserve">rinosi koje pojedinac može ostvariti </w:t>
      </w:r>
      <w:r w:rsidR="004C1D43" w:rsidRPr="003146DB">
        <w:rPr>
          <w:sz w:val="24"/>
          <w:szCs w:val="24"/>
        </w:rPr>
        <w:t xml:space="preserve">kroz mješovito životno osiguranje u slučaju doživljenja su </w:t>
      </w:r>
      <w:r w:rsidR="00CE6CF0">
        <w:rPr>
          <w:sz w:val="24"/>
          <w:szCs w:val="24"/>
        </w:rPr>
        <w:t xml:space="preserve">najčešće </w:t>
      </w:r>
      <w:r w:rsidR="00C93D7E" w:rsidRPr="003146DB">
        <w:rPr>
          <w:sz w:val="24"/>
          <w:szCs w:val="24"/>
        </w:rPr>
        <w:t xml:space="preserve">vrlo niski, a čest </w:t>
      </w:r>
      <w:r w:rsidR="004C1D43" w:rsidRPr="003146DB">
        <w:rPr>
          <w:sz w:val="24"/>
          <w:szCs w:val="24"/>
        </w:rPr>
        <w:t xml:space="preserve">je </w:t>
      </w:r>
      <w:r w:rsidR="00C93D7E" w:rsidRPr="003146DB">
        <w:rPr>
          <w:sz w:val="24"/>
          <w:szCs w:val="24"/>
        </w:rPr>
        <w:t xml:space="preserve">slučaj </w:t>
      </w:r>
      <w:r w:rsidR="003226A2" w:rsidRPr="003146DB">
        <w:rPr>
          <w:sz w:val="24"/>
          <w:szCs w:val="24"/>
        </w:rPr>
        <w:t>ugovaranje takvih uvjeta osiguranja kod kojih</w:t>
      </w:r>
      <w:r w:rsidR="00C93D7E" w:rsidRPr="003146DB">
        <w:rPr>
          <w:sz w:val="24"/>
          <w:szCs w:val="24"/>
        </w:rPr>
        <w:t xml:space="preserve"> osigurana svota </w:t>
      </w:r>
      <w:r w:rsidR="00CE6CF0">
        <w:rPr>
          <w:sz w:val="24"/>
          <w:szCs w:val="24"/>
        </w:rPr>
        <w:t xml:space="preserve">(u jednakom iznosu za slučaj doživljenja i slučaj smrti) </w:t>
      </w:r>
      <w:r w:rsidR="00C93D7E" w:rsidRPr="003146DB">
        <w:rPr>
          <w:sz w:val="24"/>
          <w:szCs w:val="24"/>
        </w:rPr>
        <w:t>nakon 20 ili 30 godi</w:t>
      </w:r>
      <w:r w:rsidR="003226A2" w:rsidRPr="003146DB">
        <w:rPr>
          <w:sz w:val="24"/>
          <w:szCs w:val="24"/>
        </w:rPr>
        <w:t>na plaćanja premije jedva pokriva</w:t>
      </w:r>
      <w:r w:rsidR="00C93D7E" w:rsidRPr="003146DB">
        <w:rPr>
          <w:sz w:val="24"/>
          <w:szCs w:val="24"/>
        </w:rPr>
        <w:t xml:space="preserve"> </w:t>
      </w:r>
      <w:r w:rsidR="00CE6CF0">
        <w:rPr>
          <w:sz w:val="24"/>
          <w:szCs w:val="24"/>
        </w:rPr>
        <w:t xml:space="preserve">nominalni </w:t>
      </w:r>
      <w:r w:rsidR="00C93D7E" w:rsidRPr="003146DB">
        <w:rPr>
          <w:sz w:val="24"/>
          <w:szCs w:val="24"/>
        </w:rPr>
        <w:t xml:space="preserve">iznos </w:t>
      </w:r>
      <w:r w:rsidR="00CE6CF0">
        <w:rPr>
          <w:sz w:val="24"/>
          <w:szCs w:val="24"/>
        </w:rPr>
        <w:t>uplaćenih</w:t>
      </w:r>
      <w:r w:rsidR="003226A2" w:rsidRPr="003146DB">
        <w:rPr>
          <w:sz w:val="24"/>
          <w:szCs w:val="24"/>
        </w:rPr>
        <w:t xml:space="preserve"> premija</w:t>
      </w:r>
      <w:r w:rsidR="007F3483" w:rsidRPr="003146DB">
        <w:rPr>
          <w:sz w:val="24"/>
          <w:szCs w:val="24"/>
        </w:rPr>
        <w:t xml:space="preserve"> osiguranja, dok je u realnim terminima vrijednost znatno niža, jer kroz 20 ili 30 godina inflacija značajno obezvrjeđuje realnu kupovnu moć novca. Navedeno vrijedi unatoč činjenici da se većina životnih osiguranja u Hrvatskoj sklapa uz valutnu klauzulu (ali i euro prati uobičajena stopa inflacije 2% godišnje</w:t>
      </w:r>
      <w:r w:rsidR="009F7AD8">
        <w:rPr>
          <w:sz w:val="24"/>
          <w:szCs w:val="24"/>
        </w:rPr>
        <w:t>)</w:t>
      </w:r>
      <w:r w:rsidR="004E66AD">
        <w:rPr>
          <w:sz w:val="24"/>
          <w:szCs w:val="24"/>
        </w:rPr>
        <w:t xml:space="preserve">. </w:t>
      </w:r>
    </w:p>
    <w:p w:rsidR="00706916" w:rsidRDefault="00706916" w:rsidP="00706916">
      <w:pPr>
        <w:jc w:val="both"/>
        <w:rPr>
          <w:sz w:val="24"/>
          <w:szCs w:val="24"/>
        </w:rPr>
      </w:pPr>
      <w:r>
        <w:rPr>
          <w:color w:val="C00000"/>
          <w:sz w:val="24"/>
          <w:szCs w:val="24"/>
        </w:rPr>
        <w:t>T</w:t>
      </w:r>
      <w:r w:rsidRPr="00F004AC">
        <w:rPr>
          <w:color w:val="C00000"/>
          <w:sz w:val="24"/>
          <w:szCs w:val="24"/>
        </w:rPr>
        <w:t xml:space="preserve">emeljna svrha </w:t>
      </w:r>
      <w:r>
        <w:rPr>
          <w:color w:val="C00000"/>
          <w:sz w:val="24"/>
          <w:szCs w:val="24"/>
        </w:rPr>
        <w:t xml:space="preserve">mješovitog životnog osiguranja je </w:t>
      </w:r>
      <w:r w:rsidRPr="00F004AC">
        <w:rPr>
          <w:color w:val="C00000"/>
          <w:sz w:val="24"/>
          <w:szCs w:val="24"/>
        </w:rPr>
        <w:t>osigurati financijske stabilnosti osiguranika i članova njegove obitelji</w:t>
      </w:r>
      <w:r w:rsidRPr="003146DB">
        <w:rPr>
          <w:sz w:val="24"/>
          <w:szCs w:val="24"/>
        </w:rPr>
        <w:t>, odnosno osoba koje su financijski ovisne o osiguraniku</w:t>
      </w:r>
      <w:r>
        <w:rPr>
          <w:sz w:val="24"/>
          <w:szCs w:val="24"/>
        </w:rPr>
        <w:t>, a dodatno u slučaju smrti osigur</w:t>
      </w:r>
      <w:r w:rsidR="00950AA6">
        <w:rPr>
          <w:sz w:val="24"/>
          <w:szCs w:val="24"/>
        </w:rPr>
        <w:t>anika - za nasljednike i članove</w:t>
      </w:r>
      <w:r>
        <w:rPr>
          <w:sz w:val="24"/>
          <w:szCs w:val="24"/>
        </w:rPr>
        <w:t xml:space="preserve"> obitelji može predstavljati značajan izvor sredstava za financiranje troškova pogreba, nasljedno-pravnih sporova, školovanje djece i slično</w:t>
      </w:r>
      <w:r w:rsidRPr="003146DB">
        <w:rPr>
          <w:sz w:val="24"/>
          <w:szCs w:val="24"/>
        </w:rPr>
        <w:t xml:space="preserve">. Stoga je proizvod koji </w:t>
      </w:r>
      <w:r w:rsidRPr="00F004AC">
        <w:rPr>
          <w:color w:val="C00000"/>
          <w:sz w:val="24"/>
          <w:szCs w:val="24"/>
        </w:rPr>
        <w:t xml:space="preserve">često ugovaraju osobe s djecom </w:t>
      </w:r>
      <w:r w:rsidRPr="003146DB">
        <w:rPr>
          <w:sz w:val="24"/>
          <w:szCs w:val="24"/>
        </w:rPr>
        <w:t>(iako maloljetnu djecu nije preporučljivo imenovati za korisnike osiguranja u slučaju smrti)</w:t>
      </w:r>
      <w:r>
        <w:rPr>
          <w:sz w:val="24"/>
          <w:szCs w:val="24"/>
        </w:rPr>
        <w:t xml:space="preserve">, osobe u dobi oko 30 godina života (ali i mlađi i stariji), kao i osobe koje žele u slučaju svoje smrti zaštititi financijsku sigurnost roditelja ili drugih osoba do kojih im je stalo. U novijoj povijesti pojedini oblici mješovitog životnog osiguranja promoviraju se kao oblik </w:t>
      </w:r>
      <w:r w:rsidRPr="00F004AC">
        <w:rPr>
          <w:color w:val="C00000"/>
          <w:sz w:val="24"/>
          <w:szCs w:val="24"/>
        </w:rPr>
        <w:t xml:space="preserve">dječje štednje </w:t>
      </w:r>
      <w:r>
        <w:rPr>
          <w:sz w:val="24"/>
          <w:szCs w:val="24"/>
        </w:rPr>
        <w:t xml:space="preserve">kod kojeg se </w:t>
      </w:r>
      <w:r w:rsidRPr="003146DB">
        <w:rPr>
          <w:sz w:val="24"/>
          <w:szCs w:val="24"/>
        </w:rPr>
        <w:t>roditelj javlja u svojstvu osiguranika, a malodobno dijete kao korisnik za slučaj doživlj</w:t>
      </w:r>
      <w:r>
        <w:rPr>
          <w:sz w:val="24"/>
          <w:szCs w:val="24"/>
        </w:rPr>
        <w:t xml:space="preserve">enja i korisnik za slučaj smrti pa tako </w:t>
      </w:r>
      <w:r w:rsidRPr="00893C4C">
        <w:rPr>
          <w:color w:val="C00000"/>
          <w:sz w:val="24"/>
          <w:szCs w:val="24"/>
        </w:rPr>
        <w:t>kumulirana štednja može u budućnosti biti izvor financiranja školovanja djece ili im omogućiti lakše financijsko osamostaljenje od roditelja</w:t>
      </w:r>
      <w:r>
        <w:rPr>
          <w:sz w:val="24"/>
          <w:szCs w:val="24"/>
        </w:rPr>
        <w:t>.</w:t>
      </w:r>
      <w:r w:rsidRPr="003146DB">
        <w:rPr>
          <w:sz w:val="24"/>
          <w:szCs w:val="24"/>
        </w:rPr>
        <w:t xml:space="preserve"> </w:t>
      </w:r>
    </w:p>
    <w:p w:rsidR="00706916" w:rsidRDefault="00706916" w:rsidP="00706916">
      <w:pPr>
        <w:jc w:val="both"/>
        <w:rPr>
          <w:sz w:val="24"/>
          <w:szCs w:val="24"/>
        </w:rPr>
      </w:pPr>
      <w:r>
        <w:rPr>
          <w:sz w:val="24"/>
          <w:szCs w:val="24"/>
        </w:rPr>
        <w:t xml:space="preserve">Iako se statistički može utvrditi očekivano trajanje života pri rođenju (slika 39), </w:t>
      </w:r>
      <w:r w:rsidRPr="003146DB">
        <w:rPr>
          <w:sz w:val="24"/>
          <w:szCs w:val="24"/>
        </w:rPr>
        <w:t>nitko od nas ne zna stvara</w:t>
      </w:r>
      <w:r>
        <w:rPr>
          <w:sz w:val="24"/>
          <w:szCs w:val="24"/>
        </w:rPr>
        <w:t xml:space="preserve">n vijek osobnog doživljenja. Stoga </w:t>
      </w:r>
      <w:r w:rsidR="00950AA6">
        <w:rPr>
          <w:sz w:val="24"/>
          <w:szCs w:val="24"/>
        </w:rPr>
        <w:t xml:space="preserve">važnost ugovaranja </w:t>
      </w:r>
      <w:r w:rsidRPr="005B795E">
        <w:rPr>
          <w:color w:val="C00000"/>
          <w:sz w:val="24"/>
          <w:szCs w:val="24"/>
        </w:rPr>
        <w:t xml:space="preserve">mješovitog životnog osiguranja </w:t>
      </w:r>
      <w:r>
        <w:rPr>
          <w:color w:val="C00000"/>
          <w:sz w:val="24"/>
          <w:szCs w:val="24"/>
        </w:rPr>
        <w:t xml:space="preserve">posebno </w:t>
      </w:r>
      <w:r w:rsidRPr="005B795E">
        <w:rPr>
          <w:color w:val="C00000"/>
          <w:sz w:val="24"/>
          <w:szCs w:val="24"/>
        </w:rPr>
        <w:t>dolaze do izražaja u slučaju prijevremene smrti osiguranika</w:t>
      </w:r>
      <w:r w:rsidRPr="003146DB">
        <w:rPr>
          <w:sz w:val="24"/>
          <w:szCs w:val="24"/>
        </w:rPr>
        <w:t xml:space="preserve">, odnosno njegove smrti u prvim godinama plaćanja premija osiguranja kada je iznos osigurane svote uobičajeno znatno veći od iznosa plaćenih premija. </w:t>
      </w:r>
      <w:r>
        <w:rPr>
          <w:sz w:val="24"/>
          <w:szCs w:val="24"/>
        </w:rPr>
        <w:t xml:space="preserve">Dodatno, s obzirom da se radi o dugoročnom štednom proizvodu vezanom uz štednju za starost, ugovaranje životnog ili rentnog osiguranja pridonosi određenoj </w:t>
      </w:r>
      <w:r w:rsidRPr="00893C4C">
        <w:rPr>
          <w:color w:val="C00000"/>
          <w:sz w:val="24"/>
          <w:szCs w:val="24"/>
        </w:rPr>
        <w:t>zaštiti od rizika dugovječnosti</w:t>
      </w:r>
      <w:r>
        <w:rPr>
          <w:sz w:val="24"/>
          <w:szCs w:val="24"/>
        </w:rPr>
        <w:t xml:space="preserve"> i niskog dohotka u godinama umirovljenja, a tim više se očekivano trajanje života pojedinca sve više produžuje pa je štednja za starost itekako važna.</w:t>
      </w:r>
    </w:p>
    <w:p w:rsidR="00706916" w:rsidRDefault="00706916" w:rsidP="003146DB">
      <w:pPr>
        <w:jc w:val="both"/>
        <w:rPr>
          <w:b/>
          <w:sz w:val="24"/>
          <w:szCs w:val="24"/>
        </w:rPr>
      </w:pPr>
    </w:p>
    <w:p w:rsidR="002C6001" w:rsidRPr="002C6001" w:rsidRDefault="002C6001" w:rsidP="003146DB">
      <w:pPr>
        <w:jc w:val="both"/>
        <w:rPr>
          <w:b/>
          <w:sz w:val="24"/>
          <w:szCs w:val="24"/>
        </w:rPr>
      </w:pPr>
      <w:r w:rsidRPr="002C6001">
        <w:rPr>
          <w:b/>
          <w:sz w:val="24"/>
          <w:szCs w:val="24"/>
        </w:rPr>
        <w:lastRenderedPageBreak/>
        <w:t>Slika 3</w:t>
      </w:r>
      <w:r w:rsidR="00585C42">
        <w:rPr>
          <w:b/>
          <w:sz w:val="24"/>
          <w:szCs w:val="24"/>
        </w:rPr>
        <w:t>9</w:t>
      </w:r>
      <w:r w:rsidRPr="002C6001">
        <w:rPr>
          <w:b/>
          <w:sz w:val="24"/>
          <w:szCs w:val="24"/>
        </w:rPr>
        <w:t>: Očekivano trajanje života pri rođenju</w:t>
      </w:r>
    </w:p>
    <w:p w:rsidR="002C6001" w:rsidRDefault="002C6001" w:rsidP="00893C4C">
      <w:pPr>
        <w:spacing w:after="0"/>
        <w:jc w:val="both"/>
        <w:rPr>
          <w:sz w:val="24"/>
          <w:szCs w:val="24"/>
        </w:rPr>
      </w:pPr>
      <w:r>
        <w:rPr>
          <w:noProof/>
          <w:sz w:val="24"/>
          <w:szCs w:val="24"/>
          <w:lang w:eastAsia="hr-HR"/>
        </w:rPr>
        <w:drawing>
          <wp:inline distT="0" distB="0" distL="0" distR="0" wp14:anchorId="55EEFB7A" wp14:editId="4C326012">
            <wp:extent cx="5581650" cy="3035935"/>
            <wp:effectExtent l="0" t="0" r="0" b="0"/>
            <wp:docPr id="1150" name="Slika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81650" cy="3035935"/>
                    </a:xfrm>
                    <a:prstGeom prst="rect">
                      <a:avLst/>
                    </a:prstGeom>
                    <a:noFill/>
                    <a:ln>
                      <a:noFill/>
                    </a:ln>
                  </pic:spPr>
                </pic:pic>
              </a:graphicData>
            </a:graphic>
          </wp:inline>
        </w:drawing>
      </w:r>
    </w:p>
    <w:p w:rsidR="00893C4C" w:rsidRPr="00893C4C" w:rsidRDefault="00893C4C" w:rsidP="00893C4C">
      <w:pPr>
        <w:jc w:val="both"/>
        <w:rPr>
          <w:sz w:val="20"/>
          <w:szCs w:val="20"/>
        </w:rPr>
      </w:pPr>
      <w:r w:rsidRPr="00893C4C">
        <w:rPr>
          <w:sz w:val="20"/>
          <w:szCs w:val="20"/>
        </w:rPr>
        <w:t>Izvor: preuzeto iz: DZS (2012.): „Žene i muškarci u Hrvatskoj 2012.“, dostupno na: http://www.dzs.hr/Hrv_Eng/menandwomen/men_and_women_2012.pdf</w:t>
      </w:r>
    </w:p>
    <w:p w:rsidR="00585C42" w:rsidRDefault="00893C4C" w:rsidP="005E11BA">
      <w:pPr>
        <w:jc w:val="both"/>
        <w:rPr>
          <w:sz w:val="24"/>
          <w:szCs w:val="24"/>
        </w:rPr>
      </w:pPr>
      <w:r>
        <w:rPr>
          <w:sz w:val="24"/>
          <w:szCs w:val="24"/>
        </w:rPr>
        <w:t>Međutim, jedan od</w:t>
      </w:r>
      <w:r w:rsidR="003226A2">
        <w:rPr>
          <w:sz w:val="24"/>
          <w:szCs w:val="24"/>
        </w:rPr>
        <w:t xml:space="preserve"> faktora koji demotivira dio građana za </w:t>
      </w:r>
      <w:r w:rsidR="00F004AC">
        <w:rPr>
          <w:sz w:val="24"/>
          <w:szCs w:val="24"/>
        </w:rPr>
        <w:t xml:space="preserve">češće </w:t>
      </w:r>
      <w:r w:rsidR="003226A2">
        <w:rPr>
          <w:sz w:val="24"/>
          <w:szCs w:val="24"/>
        </w:rPr>
        <w:t xml:space="preserve">ugovaranje mješovitog životnog osiguranja su relativno visoki iznosi </w:t>
      </w:r>
      <w:r w:rsidR="005B795E">
        <w:rPr>
          <w:sz w:val="24"/>
          <w:szCs w:val="24"/>
        </w:rPr>
        <w:t>ukupne premije (</w:t>
      </w:r>
      <w:r>
        <w:rPr>
          <w:sz w:val="24"/>
          <w:szCs w:val="24"/>
        </w:rPr>
        <w:t>koja se odnosi na rizik z</w:t>
      </w:r>
      <w:r w:rsidR="005B795E">
        <w:rPr>
          <w:sz w:val="24"/>
          <w:szCs w:val="24"/>
        </w:rPr>
        <w:t>a slučaj smrti i za slučaj doživljenja)</w:t>
      </w:r>
      <w:r w:rsidR="003226A2">
        <w:rPr>
          <w:sz w:val="24"/>
          <w:szCs w:val="24"/>
        </w:rPr>
        <w:t xml:space="preserve"> u odnosu na osiguranu svotu za slučaj doživljenja</w:t>
      </w:r>
      <w:r w:rsidR="000A3D03">
        <w:rPr>
          <w:sz w:val="24"/>
          <w:szCs w:val="24"/>
        </w:rPr>
        <w:t>. Stoga</w:t>
      </w:r>
      <w:r w:rsidR="003226A2">
        <w:rPr>
          <w:sz w:val="24"/>
          <w:szCs w:val="24"/>
        </w:rPr>
        <w:t xml:space="preserve"> </w:t>
      </w:r>
      <w:r>
        <w:rPr>
          <w:sz w:val="24"/>
          <w:szCs w:val="24"/>
        </w:rPr>
        <w:t xml:space="preserve">ako se životno osiguranje ugovara s primarnom svrhom štednje </w:t>
      </w:r>
      <w:r w:rsidR="003226A2">
        <w:rPr>
          <w:sz w:val="24"/>
          <w:szCs w:val="24"/>
        </w:rPr>
        <w:t>treba razmisliti koliko je oportuno ugovarati osiguranje uz isti iznos osigurane svote za doživljenje kao osigurane svote za smrt</w:t>
      </w:r>
      <w:r>
        <w:rPr>
          <w:sz w:val="24"/>
          <w:szCs w:val="24"/>
        </w:rPr>
        <w:t xml:space="preserve">, odnosno </w:t>
      </w:r>
      <w:r w:rsidRPr="00607C62">
        <w:rPr>
          <w:color w:val="C00000"/>
          <w:sz w:val="24"/>
          <w:szCs w:val="24"/>
        </w:rPr>
        <w:t>razmisliti o prednostima ugovaranja viših svota za doživljenje i nižih svota za slučaj smrti</w:t>
      </w:r>
      <w:r w:rsidRPr="00607C62">
        <w:rPr>
          <w:sz w:val="24"/>
          <w:szCs w:val="24"/>
        </w:rPr>
        <w:t>.</w:t>
      </w:r>
      <w:r w:rsidR="003226A2">
        <w:rPr>
          <w:sz w:val="24"/>
          <w:szCs w:val="24"/>
        </w:rPr>
        <w:t xml:space="preserve"> Kako bi se </w:t>
      </w:r>
      <w:r w:rsidR="000A3D03">
        <w:rPr>
          <w:sz w:val="24"/>
          <w:szCs w:val="24"/>
        </w:rPr>
        <w:t xml:space="preserve">razumjeli </w:t>
      </w:r>
      <w:r w:rsidR="003226A2">
        <w:rPr>
          <w:sz w:val="24"/>
          <w:szCs w:val="24"/>
        </w:rPr>
        <w:t>razl</w:t>
      </w:r>
      <w:r w:rsidR="000A3D03">
        <w:rPr>
          <w:sz w:val="24"/>
          <w:szCs w:val="24"/>
        </w:rPr>
        <w:t>ozi zbog kojih</w:t>
      </w:r>
      <w:r w:rsidR="003226A2">
        <w:rPr>
          <w:sz w:val="24"/>
          <w:szCs w:val="24"/>
        </w:rPr>
        <w:t xml:space="preserve"> su ukupne premije na mješovito životno osiguranje </w:t>
      </w:r>
      <w:r w:rsidR="005B795E">
        <w:rPr>
          <w:sz w:val="24"/>
          <w:szCs w:val="24"/>
        </w:rPr>
        <w:t>„</w:t>
      </w:r>
      <w:r w:rsidR="003226A2">
        <w:rPr>
          <w:sz w:val="24"/>
          <w:szCs w:val="24"/>
        </w:rPr>
        <w:t>visoke</w:t>
      </w:r>
      <w:r w:rsidR="005B795E">
        <w:rPr>
          <w:sz w:val="24"/>
          <w:szCs w:val="24"/>
        </w:rPr>
        <w:t>“</w:t>
      </w:r>
      <w:r w:rsidR="003226A2">
        <w:rPr>
          <w:sz w:val="24"/>
          <w:szCs w:val="24"/>
        </w:rPr>
        <w:t>, treba uzeti u obzir rizike kojima je izloženo društvo za osiguranje koje za osiguranika istodobno pokriva rizik smrti i rizik doživljenja te eventualno i neke druge rizike koji su manje ili više vjerojatni</w:t>
      </w:r>
      <w:r>
        <w:rPr>
          <w:sz w:val="24"/>
          <w:szCs w:val="24"/>
        </w:rPr>
        <w:t xml:space="preserve"> (smrt u prvoj godini trajanja osiguranja, smrt u slučaju nezgode itd.)</w:t>
      </w:r>
      <w:r w:rsidR="003226A2">
        <w:rPr>
          <w:sz w:val="24"/>
          <w:szCs w:val="24"/>
        </w:rPr>
        <w:t>.</w:t>
      </w:r>
      <w:r w:rsidR="005B795E">
        <w:rPr>
          <w:sz w:val="24"/>
          <w:szCs w:val="24"/>
        </w:rPr>
        <w:t xml:space="preserve"> Kada se ti faktori detaljno sagledaju dojam o „visokim“ premijama</w:t>
      </w:r>
      <w:r w:rsidR="00607C62">
        <w:rPr>
          <w:sz w:val="24"/>
          <w:szCs w:val="24"/>
        </w:rPr>
        <w:t xml:space="preserve"> djelomično</w:t>
      </w:r>
      <w:r w:rsidR="005B795E">
        <w:rPr>
          <w:sz w:val="24"/>
          <w:szCs w:val="24"/>
        </w:rPr>
        <w:t xml:space="preserve"> se mijenja</w:t>
      </w:r>
      <w:r w:rsidR="00607C62">
        <w:rPr>
          <w:sz w:val="24"/>
          <w:szCs w:val="24"/>
        </w:rPr>
        <w:t xml:space="preserve"> pa su p</w:t>
      </w:r>
      <w:r w:rsidR="005B795E">
        <w:rPr>
          <w:sz w:val="24"/>
          <w:szCs w:val="24"/>
        </w:rPr>
        <w:t xml:space="preserve">remije </w:t>
      </w:r>
      <w:r w:rsidR="00607C62">
        <w:rPr>
          <w:sz w:val="24"/>
          <w:szCs w:val="24"/>
        </w:rPr>
        <w:t>uglavnom</w:t>
      </w:r>
      <w:r w:rsidR="005B795E">
        <w:rPr>
          <w:sz w:val="24"/>
          <w:szCs w:val="24"/>
        </w:rPr>
        <w:t xml:space="preserve"> onolike koliko rizika društvo </w:t>
      </w:r>
      <w:r>
        <w:rPr>
          <w:sz w:val="24"/>
          <w:szCs w:val="24"/>
        </w:rPr>
        <w:t xml:space="preserve">za osiguranje </w:t>
      </w:r>
      <w:r w:rsidR="005B795E">
        <w:rPr>
          <w:sz w:val="24"/>
          <w:szCs w:val="24"/>
        </w:rPr>
        <w:t>preuzima na sebe</w:t>
      </w:r>
      <w:r w:rsidR="000A3D03">
        <w:rPr>
          <w:sz w:val="24"/>
          <w:szCs w:val="24"/>
        </w:rPr>
        <w:t>.</w:t>
      </w:r>
      <w:r w:rsidR="00607C62">
        <w:rPr>
          <w:sz w:val="24"/>
          <w:szCs w:val="24"/>
        </w:rPr>
        <w:t xml:space="preserve"> (</w:t>
      </w:r>
      <w:r w:rsidR="000A3D03">
        <w:rPr>
          <w:sz w:val="24"/>
          <w:szCs w:val="24"/>
        </w:rPr>
        <w:t xml:space="preserve">Pri čemu zbog promjene faktora rizičnosti </w:t>
      </w:r>
      <w:r w:rsidR="00607C62">
        <w:rPr>
          <w:sz w:val="24"/>
          <w:szCs w:val="24"/>
        </w:rPr>
        <w:t>kod novih ugovora osigurana svota može biti znatno niža uz iste iznose godišnjih premija kakve su ranije ugovarane</w:t>
      </w:r>
      <w:r w:rsidR="000A3D03">
        <w:rPr>
          <w:sz w:val="24"/>
          <w:szCs w:val="24"/>
        </w:rPr>
        <w:t>.</w:t>
      </w:r>
      <w:r w:rsidR="00607C62">
        <w:rPr>
          <w:sz w:val="24"/>
          <w:szCs w:val="24"/>
        </w:rPr>
        <w:t>)</w:t>
      </w:r>
      <w:r w:rsidR="005B795E">
        <w:rPr>
          <w:sz w:val="24"/>
          <w:szCs w:val="24"/>
        </w:rPr>
        <w:t xml:space="preserve"> Međutim, </w:t>
      </w:r>
      <w:r w:rsidR="00607C62">
        <w:rPr>
          <w:sz w:val="24"/>
          <w:szCs w:val="24"/>
        </w:rPr>
        <w:t xml:space="preserve">prosječni odnos visine premija i osiguranih svota </w:t>
      </w:r>
      <w:r w:rsidR="005B795E">
        <w:rPr>
          <w:sz w:val="24"/>
          <w:szCs w:val="24"/>
        </w:rPr>
        <w:t>mog</w:t>
      </w:r>
      <w:r w:rsidR="00607C62">
        <w:rPr>
          <w:sz w:val="24"/>
          <w:szCs w:val="24"/>
        </w:rPr>
        <w:t xml:space="preserve">ao bi za građane biti povoljniji </w:t>
      </w:r>
      <w:r w:rsidR="000F65C3">
        <w:rPr>
          <w:sz w:val="24"/>
          <w:szCs w:val="24"/>
        </w:rPr>
        <w:t xml:space="preserve">kada bi u Hrvatskoj veći broj osoba sudjelovao u takvom osiguranu, kao što je to slučaj u </w:t>
      </w:r>
      <w:r w:rsidR="000F65C3" w:rsidRPr="00607C62">
        <w:rPr>
          <w:color w:val="C00000"/>
          <w:sz w:val="24"/>
          <w:szCs w:val="24"/>
        </w:rPr>
        <w:t>zemljama srednje Europe kod kojih je daleko više naglašena tradicija ugovaranja životnog osiguranja</w:t>
      </w:r>
      <w:r w:rsidR="000F65C3">
        <w:rPr>
          <w:sz w:val="24"/>
          <w:szCs w:val="24"/>
        </w:rPr>
        <w:t xml:space="preserve">. </w:t>
      </w:r>
    </w:p>
    <w:p w:rsidR="003226A2" w:rsidRDefault="00585C42" w:rsidP="005E11BA">
      <w:pPr>
        <w:jc w:val="both"/>
        <w:rPr>
          <w:sz w:val="24"/>
          <w:szCs w:val="24"/>
        </w:rPr>
      </w:pPr>
      <w:r>
        <w:rPr>
          <w:sz w:val="24"/>
          <w:szCs w:val="24"/>
        </w:rPr>
        <w:t>U</w:t>
      </w:r>
      <w:r w:rsidR="00893C4C">
        <w:rPr>
          <w:sz w:val="24"/>
          <w:szCs w:val="24"/>
        </w:rPr>
        <w:t xml:space="preserve"> brojnim zemljama životno osiguranje donosi osiguranicima/ugovarateljima osiguranja različite porezne olakšice ili druge beneficije čime država motivira građane da </w:t>
      </w:r>
      <w:r>
        <w:rPr>
          <w:sz w:val="24"/>
          <w:szCs w:val="24"/>
        </w:rPr>
        <w:t xml:space="preserve">se kroz osobno osiguranje i štednju za starost zaštite od rizika dugovječnosti, odnosno osiguraju buduću osobnu financijsko-socijalnu </w:t>
      </w:r>
      <w:r w:rsidR="005B795E">
        <w:rPr>
          <w:sz w:val="24"/>
          <w:szCs w:val="24"/>
        </w:rPr>
        <w:t xml:space="preserve"> </w:t>
      </w:r>
      <w:r>
        <w:rPr>
          <w:sz w:val="24"/>
          <w:szCs w:val="24"/>
        </w:rPr>
        <w:t xml:space="preserve">poziciju i poziciju članova obitelji. Navedeno je bilo i osnovni </w:t>
      </w:r>
      <w:r>
        <w:rPr>
          <w:sz w:val="24"/>
          <w:szCs w:val="24"/>
        </w:rPr>
        <w:lastRenderedPageBreak/>
        <w:t xml:space="preserve">razlog zbog čega je ranije </w:t>
      </w:r>
      <w:r w:rsidR="00950AA6">
        <w:rPr>
          <w:sz w:val="24"/>
          <w:szCs w:val="24"/>
        </w:rPr>
        <w:t xml:space="preserve">(prije nekoliko godina) </w:t>
      </w:r>
      <w:r>
        <w:rPr>
          <w:sz w:val="24"/>
          <w:szCs w:val="24"/>
        </w:rPr>
        <w:t>životno osiguranje u Hrvatskoj tretirano kao dodatni osobni odbitak pri oporezivanju dohotka.</w:t>
      </w:r>
    </w:p>
    <w:p w:rsidR="00026B75" w:rsidRDefault="00C93D7E" w:rsidP="005E11BA">
      <w:pPr>
        <w:jc w:val="both"/>
        <w:rPr>
          <w:sz w:val="24"/>
          <w:szCs w:val="24"/>
        </w:rPr>
      </w:pPr>
      <w:r>
        <w:rPr>
          <w:sz w:val="24"/>
          <w:szCs w:val="24"/>
        </w:rPr>
        <w:t xml:space="preserve">Kao oblik imovine u funkciji štednje </w:t>
      </w:r>
      <w:r w:rsidR="007F3483">
        <w:rPr>
          <w:sz w:val="24"/>
          <w:szCs w:val="24"/>
        </w:rPr>
        <w:t xml:space="preserve">životno osiguranje </w:t>
      </w:r>
      <w:r>
        <w:rPr>
          <w:sz w:val="24"/>
          <w:szCs w:val="24"/>
        </w:rPr>
        <w:t xml:space="preserve">ima </w:t>
      </w:r>
      <w:r w:rsidRPr="005B795E">
        <w:rPr>
          <w:color w:val="C00000"/>
          <w:sz w:val="24"/>
          <w:szCs w:val="24"/>
        </w:rPr>
        <w:t>nisku likvidnost</w:t>
      </w:r>
      <w:r w:rsidR="003226A2">
        <w:rPr>
          <w:sz w:val="24"/>
          <w:szCs w:val="24"/>
        </w:rPr>
        <w:t>. O</w:t>
      </w:r>
      <w:r w:rsidR="007F3483">
        <w:rPr>
          <w:sz w:val="24"/>
          <w:szCs w:val="24"/>
        </w:rPr>
        <w:t xml:space="preserve">tkupna vrijednost polica je relativno niska u prvom razdoblju osiguranja, </w:t>
      </w:r>
      <w:r>
        <w:rPr>
          <w:sz w:val="24"/>
          <w:szCs w:val="24"/>
        </w:rPr>
        <w:t>dok prekid plaćanja premija</w:t>
      </w:r>
      <w:r w:rsidR="007F3483">
        <w:rPr>
          <w:sz w:val="24"/>
          <w:szCs w:val="24"/>
        </w:rPr>
        <w:t xml:space="preserve"> osiguranja</w:t>
      </w:r>
      <w:r>
        <w:rPr>
          <w:sz w:val="24"/>
          <w:szCs w:val="24"/>
        </w:rPr>
        <w:t xml:space="preserve"> nosi negativne konsekvence </w:t>
      </w:r>
      <w:r w:rsidR="007F3483">
        <w:rPr>
          <w:sz w:val="24"/>
          <w:szCs w:val="24"/>
        </w:rPr>
        <w:t xml:space="preserve">gubitka </w:t>
      </w:r>
      <w:r w:rsidR="00950AA6">
        <w:rPr>
          <w:sz w:val="24"/>
          <w:szCs w:val="24"/>
        </w:rPr>
        <w:t xml:space="preserve">(dijela ili ukupnih) </w:t>
      </w:r>
      <w:r w:rsidR="007F3483">
        <w:rPr>
          <w:sz w:val="24"/>
          <w:szCs w:val="24"/>
        </w:rPr>
        <w:t xml:space="preserve">„uloženih sredstava“ </w:t>
      </w:r>
      <w:r>
        <w:rPr>
          <w:sz w:val="24"/>
          <w:szCs w:val="24"/>
        </w:rPr>
        <w:t>za pojedinca</w:t>
      </w:r>
      <w:r w:rsidR="00950AA6">
        <w:rPr>
          <w:sz w:val="24"/>
          <w:szCs w:val="24"/>
        </w:rPr>
        <w:t xml:space="preserve"> (ovisno o broju godina plaćanja premija)</w:t>
      </w:r>
      <w:r>
        <w:rPr>
          <w:sz w:val="24"/>
          <w:szCs w:val="24"/>
        </w:rPr>
        <w:t xml:space="preserve">. Pri donošenju odluke o životnom osiguranju s obilježjima štednje stoga je važno </w:t>
      </w:r>
      <w:r w:rsidRPr="003226A2">
        <w:rPr>
          <w:color w:val="C00000"/>
          <w:sz w:val="24"/>
          <w:szCs w:val="24"/>
        </w:rPr>
        <w:t>adekvatno ocijeniti mogućnosti plaćanja premija u narednom razdoblju, npr. 10, 20, ili 30</w:t>
      </w:r>
      <w:r>
        <w:rPr>
          <w:sz w:val="24"/>
          <w:szCs w:val="24"/>
        </w:rPr>
        <w:t xml:space="preserve"> </w:t>
      </w:r>
      <w:r w:rsidRPr="003226A2">
        <w:rPr>
          <w:color w:val="C00000"/>
          <w:sz w:val="24"/>
          <w:szCs w:val="24"/>
        </w:rPr>
        <w:t>godina</w:t>
      </w:r>
      <w:r>
        <w:rPr>
          <w:sz w:val="24"/>
          <w:szCs w:val="24"/>
        </w:rPr>
        <w:t xml:space="preserve"> na koje je sklopljen</w:t>
      </w:r>
      <w:r w:rsidR="007F3483">
        <w:rPr>
          <w:sz w:val="24"/>
          <w:szCs w:val="24"/>
        </w:rPr>
        <w:t xml:space="preserve"> ugovor o osiguranju te </w:t>
      </w:r>
      <w:r w:rsidR="00A4611A">
        <w:rPr>
          <w:sz w:val="24"/>
          <w:szCs w:val="24"/>
        </w:rPr>
        <w:t xml:space="preserve">je isto tako važno </w:t>
      </w:r>
      <w:r w:rsidR="007F3483">
        <w:rPr>
          <w:sz w:val="24"/>
          <w:szCs w:val="24"/>
        </w:rPr>
        <w:t>obveze plaćanja premija pravovremeno izvršavati.</w:t>
      </w:r>
      <w:r w:rsidR="00A4611A">
        <w:rPr>
          <w:sz w:val="24"/>
          <w:szCs w:val="24"/>
        </w:rPr>
        <w:t xml:space="preserve"> Nadalje, </w:t>
      </w:r>
      <w:r w:rsidR="00A4611A" w:rsidRPr="00A4611A">
        <w:rPr>
          <w:color w:val="C00000"/>
          <w:sz w:val="24"/>
          <w:szCs w:val="24"/>
        </w:rPr>
        <w:t xml:space="preserve">odluku o ugovaranju </w:t>
      </w:r>
      <w:r w:rsidR="00A4611A">
        <w:rPr>
          <w:sz w:val="24"/>
          <w:szCs w:val="24"/>
        </w:rPr>
        <w:t xml:space="preserve">životnog osiguranja, osiguranja od posljedica nesretnog slučaja (nezgode) kao i drugih </w:t>
      </w:r>
      <w:r w:rsidR="00950AA6">
        <w:rPr>
          <w:sz w:val="24"/>
          <w:szCs w:val="24"/>
        </w:rPr>
        <w:t xml:space="preserve">vrsta </w:t>
      </w:r>
      <w:r w:rsidR="00A4611A">
        <w:rPr>
          <w:sz w:val="24"/>
          <w:szCs w:val="24"/>
        </w:rPr>
        <w:t xml:space="preserve">osiguranja </w:t>
      </w:r>
      <w:r w:rsidR="00A4611A" w:rsidRPr="00A4611A">
        <w:rPr>
          <w:color w:val="C00000"/>
          <w:sz w:val="24"/>
          <w:szCs w:val="24"/>
        </w:rPr>
        <w:t xml:space="preserve">treba donijeti racionalno </w:t>
      </w:r>
      <w:r w:rsidR="00A4611A">
        <w:rPr>
          <w:sz w:val="24"/>
          <w:szCs w:val="24"/>
        </w:rPr>
        <w:t>vodeći računa o prednostima navedenog proizvoda</w:t>
      </w:r>
      <w:r w:rsidR="00F85787">
        <w:rPr>
          <w:sz w:val="24"/>
          <w:szCs w:val="24"/>
        </w:rPr>
        <w:t xml:space="preserve"> </w:t>
      </w:r>
      <w:r w:rsidR="00A4611A">
        <w:rPr>
          <w:sz w:val="24"/>
          <w:szCs w:val="24"/>
        </w:rPr>
        <w:t>i izdacima koje kućanstvo može podnijeti</w:t>
      </w:r>
      <w:r w:rsidR="00F85787">
        <w:rPr>
          <w:sz w:val="24"/>
          <w:szCs w:val="24"/>
        </w:rPr>
        <w:t>.</w:t>
      </w:r>
      <w:r w:rsidR="00585C42">
        <w:rPr>
          <w:sz w:val="24"/>
          <w:szCs w:val="24"/>
        </w:rPr>
        <w:t xml:space="preserve"> Pri tome</w:t>
      </w:r>
      <w:r w:rsidR="00F85787">
        <w:rPr>
          <w:sz w:val="24"/>
          <w:szCs w:val="24"/>
        </w:rPr>
        <w:t xml:space="preserve">, odluku </w:t>
      </w:r>
      <w:r w:rsidR="000A3D03">
        <w:rPr>
          <w:sz w:val="24"/>
          <w:szCs w:val="24"/>
        </w:rPr>
        <w:t xml:space="preserve">o ugovaranju osiguranja </w:t>
      </w:r>
      <w:r w:rsidR="00A4611A" w:rsidRPr="00A4611A">
        <w:rPr>
          <w:color w:val="C00000"/>
          <w:sz w:val="24"/>
          <w:szCs w:val="24"/>
        </w:rPr>
        <w:t xml:space="preserve">ne treba donositi pod utjecajem </w:t>
      </w:r>
      <w:r w:rsidR="00F85787">
        <w:rPr>
          <w:color w:val="C00000"/>
          <w:sz w:val="24"/>
          <w:szCs w:val="24"/>
        </w:rPr>
        <w:t xml:space="preserve">nagovora drugih osoba </w:t>
      </w:r>
      <w:r w:rsidR="00F85787" w:rsidRPr="00F85787">
        <w:rPr>
          <w:sz w:val="24"/>
          <w:szCs w:val="24"/>
        </w:rPr>
        <w:t xml:space="preserve">(npr. prijatelja koji honorarno rade kao agenti prodaje osiguranja) </w:t>
      </w:r>
      <w:r w:rsidR="00F85787">
        <w:rPr>
          <w:color w:val="C00000"/>
          <w:sz w:val="24"/>
          <w:szCs w:val="24"/>
        </w:rPr>
        <w:t xml:space="preserve">te isto tako niti pod utjecajem </w:t>
      </w:r>
      <w:r w:rsidR="00A4611A" w:rsidRPr="00A4611A">
        <w:rPr>
          <w:color w:val="C00000"/>
          <w:sz w:val="24"/>
          <w:szCs w:val="24"/>
        </w:rPr>
        <w:t>emocija (straha</w:t>
      </w:r>
      <w:r w:rsidR="00A4611A" w:rsidRPr="00585C42">
        <w:rPr>
          <w:sz w:val="24"/>
          <w:szCs w:val="24"/>
        </w:rPr>
        <w:t xml:space="preserve">, osjećaja </w:t>
      </w:r>
      <w:r w:rsidR="00585C42" w:rsidRPr="00585C42">
        <w:rPr>
          <w:sz w:val="24"/>
          <w:szCs w:val="24"/>
        </w:rPr>
        <w:t xml:space="preserve">prekomjerne </w:t>
      </w:r>
      <w:r w:rsidR="00F85787" w:rsidRPr="00585C42">
        <w:rPr>
          <w:sz w:val="24"/>
          <w:szCs w:val="24"/>
        </w:rPr>
        <w:t xml:space="preserve">zabrinutosti za vlastitu djecu, </w:t>
      </w:r>
      <w:r w:rsidR="00A4611A">
        <w:rPr>
          <w:color w:val="C00000"/>
          <w:sz w:val="24"/>
          <w:szCs w:val="24"/>
        </w:rPr>
        <w:t xml:space="preserve">grižnje savjesti </w:t>
      </w:r>
      <w:r w:rsidR="00A4611A" w:rsidRPr="00A4611A">
        <w:rPr>
          <w:sz w:val="24"/>
          <w:szCs w:val="24"/>
        </w:rPr>
        <w:t xml:space="preserve">i </w:t>
      </w:r>
      <w:r w:rsidR="00F85787">
        <w:rPr>
          <w:sz w:val="24"/>
          <w:szCs w:val="24"/>
        </w:rPr>
        <w:t xml:space="preserve">osjećaja </w:t>
      </w:r>
      <w:r w:rsidR="00A4611A" w:rsidRPr="00A4611A">
        <w:rPr>
          <w:sz w:val="24"/>
          <w:szCs w:val="24"/>
        </w:rPr>
        <w:t xml:space="preserve">osobne krivnje ukoliko se proizvod ne ugovori) </w:t>
      </w:r>
      <w:r w:rsidR="00A4611A">
        <w:rPr>
          <w:sz w:val="24"/>
          <w:szCs w:val="24"/>
        </w:rPr>
        <w:t>- iako je „igranje na kartu emocija</w:t>
      </w:r>
      <w:r w:rsidR="00585C42">
        <w:rPr>
          <w:sz w:val="24"/>
          <w:szCs w:val="24"/>
        </w:rPr>
        <w:t>“</w:t>
      </w:r>
      <w:r w:rsidR="00A4611A">
        <w:rPr>
          <w:sz w:val="24"/>
          <w:szCs w:val="24"/>
        </w:rPr>
        <w:t xml:space="preserve"> vrlo prisutno u nagovoru agenata za „kupnju proizvoda“</w:t>
      </w:r>
      <w:r w:rsidR="000A3D03">
        <w:rPr>
          <w:sz w:val="24"/>
          <w:szCs w:val="24"/>
        </w:rPr>
        <w:t xml:space="preserve"> osiguranja</w:t>
      </w:r>
      <w:r w:rsidR="00A4611A">
        <w:rPr>
          <w:sz w:val="24"/>
          <w:szCs w:val="24"/>
        </w:rPr>
        <w:t>.</w:t>
      </w:r>
    </w:p>
    <w:p w:rsidR="000A4D98" w:rsidRPr="000A4D98" w:rsidRDefault="000A4D98" w:rsidP="000A4D98">
      <w:pPr>
        <w:jc w:val="both"/>
        <w:rPr>
          <w:b/>
          <w:sz w:val="24"/>
          <w:szCs w:val="24"/>
        </w:rPr>
      </w:pPr>
      <w:r w:rsidRPr="000A4D98">
        <w:rPr>
          <w:b/>
          <w:sz w:val="24"/>
          <w:szCs w:val="24"/>
        </w:rPr>
        <w:t>5.</w:t>
      </w:r>
      <w:r w:rsidR="00C427BD">
        <w:rPr>
          <w:b/>
          <w:sz w:val="24"/>
          <w:szCs w:val="24"/>
        </w:rPr>
        <w:t>5</w:t>
      </w:r>
      <w:r w:rsidRPr="000A4D98">
        <w:rPr>
          <w:b/>
          <w:sz w:val="24"/>
          <w:szCs w:val="24"/>
        </w:rPr>
        <w:t>. Zdravstveno osiguranje</w:t>
      </w:r>
    </w:p>
    <w:p w:rsidR="000A4D98" w:rsidRPr="000A4D98" w:rsidRDefault="000A4D98" w:rsidP="000A4D98">
      <w:pPr>
        <w:jc w:val="both"/>
        <w:rPr>
          <w:i/>
          <w:sz w:val="24"/>
          <w:szCs w:val="24"/>
        </w:rPr>
      </w:pPr>
      <w:r w:rsidRPr="000A4D98">
        <w:rPr>
          <w:i/>
          <w:sz w:val="24"/>
          <w:szCs w:val="24"/>
        </w:rPr>
        <w:t xml:space="preserve">„Zdravstveno osiguranje u Hrvatskoj ostvaruje se na različitim razinama, koje se između ostalog razlikuju s obzirom na načine financiranja. </w:t>
      </w:r>
    </w:p>
    <w:p w:rsidR="000A4D98" w:rsidRPr="000A4D98" w:rsidRDefault="000A4D98" w:rsidP="000A4D98">
      <w:pPr>
        <w:jc w:val="both"/>
        <w:rPr>
          <w:i/>
          <w:sz w:val="24"/>
          <w:szCs w:val="24"/>
        </w:rPr>
      </w:pPr>
      <w:r w:rsidRPr="000A4D98">
        <w:rPr>
          <w:i/>
          <w:color w:val="C00000"/>
          <w:sz w:val="24"/>
          <w:szCs w:val="24"/>
        </w:rPr>
        <w:t xml:space="preserve">Obvezno zdravstveno osiguranje </w:t>
      </w:r>
      <w:r w:rsidRPr="000A4D98">
        <w:rPr>
          <w:i/>
          <w:sz w:val="24"/>
          <w:szCs w:val="24"/>
        </w:rPr>
        <w:t xml:space="preserve">provodi Hrvatski zavod za zdravstveno osiguranje (HZZO), a sredstva se formiraju uplatama obveznih doprinosa koje uplaćuju poslodavci za zaposlenike (odnosno uplatama doprinosa samozaposlenih osoba). Kroz obvezno zdravstveno osiguranje osiguravaju se svim osiguranim osobama prava i obveze iz obveznoga zdravstvenog osiguranja na načelima uzajamnosti, solidarnosti i jednakosti, na način i pod uvjetima utvrđenim Zakonom o obveznom zdravstvenom osiguranju.  </w:t>
      </w:r>
    </w:p>
    <w:p w:rsidR="003555CB" w:rsidRDefault="000A4D98" w:rsidP="0015075F">
      <w:pPr>
        <w:pStyle w:val="StandardWeb"/>
        <w:shd w:val="clear" w:color="auto" w:fill="FFFFFF"/>
        <w:spacing w:before="0" w:beforeAutospacing="0" w:after="200" w:afterAutospacing="0" w:line="276" w:lineRule="auto"/>
        <w:jc w:val="both"/>
        <w:textAlignment w:val="baseline"/>
        <w:rPr>
          <w:rFonts w:asciiTheme="minorHAnsi" w:eastAsiaTheme="minorHAnsi" w:hAnsiTheme="minorHAnsi" w:cstheme="minorBidi"/>
          <w:i/>
          <w:lang w:eastAsia="en-US"/>
        </w:rPr>
      </w:pPr>
      <w:r w:rsidRPr="0015075F">
        <w:rPr>
          <w:rFonts w:asciiTheme="minorHAnsi" w:eastAsiaTheme="minorHAnsi" w:hAnsiTheme="minorHAnsi" w:cstheme="minorBidi"/>
          <w:i/>
          <w:lang w:eastAsia="en-US"/>
        </w:rPr>
        <w:t>Dobrovoljno zdravstveno osiguranje uključuje: dopunsko zdravstveno osiguranje, dodatno zdravstveno osiguranje i privatno zdravstveno osiguranje. Putem dopunskog zdravstvenog osiguranja osigurava se pokriće određenih troškova zdravstvene zaštite iz obveznog zdravstvenog osiguranja. Dopunsko zdravstveno osiguranje provode Hrvatski zavod za zdravstveno osiguranje te društva za osiguranje (osiguravatelji) registrirana za obavljanje djelatnosti osiguranja u Republici Hrvatskoj (predstavlja oblik neživotnog osiguranja).</w:t>
      </w:r>
      <w:r w:rsidR="0015075F" w:rsidRPr="0015075F">
        <w:rPr>
          <w:rFonts w:asciiTheme="minorHAnsi" w:eastAsiaTheme="minorHAnsi" w:hAnsiTheme="minorHAnsi" w:cstheme="minorBidi"/>
          <w:i/>
          <w:lang w:eastAsia="en-US"/>
        </w:rPr>
        <w:t>“</w:t>
      </w:r>
      <w:r w:rsidR="0015075F">
        <w:rPr>
          <w:rStyle w:val="Referencafusnote"/>
          <w:i/>
        </w:rPr>
        <w:footnoteReference w:id="89"/>
      </w:r>
      <w:r w:rsidRPr="0015075F">
        <w:rPr>
          <w:rFonts w:asciiTheme="minorHAnsi" w:eastAsiaTheme="minorHAnsi" w:hAnsiTheme="minorHAnsi" w:cstheme="minorBidi"/>
          <w:i/>
          <w:lang w:eastAsia="en-US"/>
        </w:rPr>
        <w:t xml:space="preserve"> </w:t>
      </w:r>
    </w:p>
    <w:p w:rsidR="0015075F" w:rsidRPr="0015075F" w:rsidRDefault="0015075F" w:rsidP="0015075F">
      <w:pPr>
        <w:pStyle w:val="StandardWeb"/>
        <w:shd w:val="clear" w:color="auto" w:fill="FFFFFF"/>
        <w:spacing w:before="0" w:beforeAutospacing="0" w:after="200" w:afterAutospacing="0" w:line="276" w:lineRule="auto"/>
        <w:jc w:val="both"/>
        <w:textAlignment w:val="baseline"/>
        <w:rPr>
          <w:rFonts w:asciiTheme="minorHAnsi" w:eastAsiaTheme="minorHAnsi" w:hAnsiTheme="minorHAnsi" w:cstheme="minorBidi"/>
          <w:lang w:eastAsia="en-US"/>
        </w:rPr>
      </w:pPr>
      <w:r w:rsidRPr="0015075F">
        <w:rPr>
          <w:rFonts w:asciiTheme="minorHAnsi" w:eastAsiaTheme="minorHAnsi" w:hAnsiTheme="minorHAnsi" w:cstheme="minorBidi"/>
          <w:lang w:eastAsia="en-US"/>
        </w:rPr>
        <w:t xml:space="preserve">Prema podacima u 2015. HZZO omogućuje ugovaranje dopunskog zdravstvenog osiguranja po jedinstvenoj cijeni 70,00 kuna čime je moguće  osigurati pokriće doplata prilikom korištenja zdravstvene zaštite iz obveznog zdravstvenog osiguranja, odnosno izbjeći (ili </w:t>
      </w:r>
      <w:r w:rsidRPr="0015075F">
        <w:rPr>
          <w:rFonts w:asciiTheme="minorHAnsi" w:eastAsiaTheme="minorHAnsi" w:hAnsiTheme="minorHAnsi" w:cstheme="minorBidi"/>
          <w:lang w:eastAsia="en-US"/>
        </w:rPr>
        <w:lastRenderedPageBreak/>
        <w:t>smanjiti) troškove plaćanje zdravstvenih usluga u primarnoj zdravstvenoj zaštiti, za specijalističke preglede, dijagnostiku, fizikalnu terapiju, stomatološke usluge, bolničko liječenje, za izdavanje lijeka u ljekarnama i dr.</w:t>
      </w:r>
      <w:r>
        <w:rPr>
          <w:rFonts w:asciiTheme="minorHAnsi" w:eastAsiaTheme="minorHAnsi" w:hAnsiTheme="minorHAnsi" w:cstheme="minorBidi"/>
          <w:lang w:eastAsia="en-US"/>
        </w:rPr>
        <w:t xml:space="preserve"> Osiguranje se ugovara po ponudi, pri čemu ukoliko su osiguranik (u ovom slučaju osoba koja sklapa osiguranje) i ugovaratelj (u ovom slučaju osoba koja preuzima obvezu plaćanja premije) različite osobe, ponudu trebaju potpisati i osiguranik i „ugovaratelj“. </w:t>
      </w:r>
      <w:r w:rsidR="003555CB">
        <w:rPr>
          <w:rFonts w:asciiTheme="minorHAnsi" w:eastAsiaTheme="minorHAnsi" w:hAnsiTheme="minorHAnsi" w:cstheme="minorBidi"/>
          <w:lang w:eastAsia="en-US"/>
        </w:rPr>
        <w:t>Na sličan način funkcionira i dopunsko zdravstveno osiguranje koje se ugovara preko društava za osiguranje, iako je moguće da ono pokriva širi obuhvat mogućih troškova doplata u obveznom zdravstvenom osiguranju. Pri tome prilikom ugovaranja treba provjeriti da li se iskaznica dopunskog zdravstvenog osiguranja može koristiti kao dokaz da troškovi direktno terete policu dopunskog zdravstvenog osiguranja (odnosno da osiguranik na licu mjesta nema dodatne troškove, odnosno da nije u pitanju slučaj kod kojega osiguranik sam podmiruje troškove a potom iznos refundira kod osiguratelja).</w:t>
      </w:r>
    </w:p>
    <w:p w:rsidR="000A4D98" w:rsidRPr="003555CB" w:rsidRDefault="0015075F" w:rsidP="000A4D98">
      <w:pPr>
        <w:autoSpaceDE w:val="0"/>
        <w:autoSpaceDN w:val="0"/>
        <w:adjustRightInd w:val="0"/>
        <w:jc w:val="both"/>
        <w:rPr>
          <w:sz w:val="24"/>
          <w:szCs w:val="24"/>
        </w:rPr>
      </w:pPr>
      <w:r>
        <w:rPr>
          <w:i/>
          <w:sz w:val="24"/>
          <w:szCs w:val="24"/>
        </w:rPr>
        <w:t>„</w:t>
      </w:r>
      <w:r w:rsidR="000A4D98" w:rsidRPr="000A4D98">
        <w:rPr>
          <w:i/>
          <w:sz w:val="24"/>
          <w:szCs w:val="24"/>
        </w:rPr>
        <w:t xml:space="preserve">Pored dopunskog zdravstvenog osiguranja, društva za osiguranje mogu provoditi i dodatno i privatno zdravstveno osiguranje. (Sva tri oblika dobrovoljnog zdravstvenog osiguranja kada ih provode društva za osiguranje ulaze u kategoriju neživotnih osiguranja.) </w:t>
      </w:r>
      <w:r w:rsidR="000A4D98" w:rsidRPr="00B27484">
        <w:rPr>
          <w:i/>
          <w:color w:val="C00000"/>
          <w:sz w:val="24"/>
          <w:szCs w:val="24"/>
        </w:rPr>
        <w:t>Dodatnim zdravstvenim osiguranjem</w:t>
      </w:r>
      <w:r w:rsidR="000A4D98" w:rsidRPr="000A4D98">
        <w:rPr>
          <w:i/>
          <w:sz w:val="24"/>
          <w:szCs w:val="24"/>
        </w:rPr>
        <w:t xml:space="preserve"> osigurava se viši standard zdravstvene zaštite u odnosu na standard zdravstvene zaštite iz obveznoga zdravstvenog osiguranja te veći opseg prava u odnosu na prava iz obveznoga zdravstvenog osiguranja.</w:t>
      </w:r>
      <w:r w:rsidR="003555CB">
        <w:rPr>
          <w:i/>
          <w:sz w:val="24"/>
          <w:szCs w:val="24"/>
        </w:rPr>
        <w:t>“</w:t>
      </w:r>
      <w:r w:rsidR="003555CB" w:rsidRPr="003555CB">
        <w:rPr>
          <w:rStyle w:val="Referencafusnote"/>
          <w:i/>
          <w:sz w:val="24"/>
          <w:szCs w:val="24"/>
        </w:rPr>
        <w:t xml:space="preserve"> </w:t>
      </w:r>
      <w:r w:rsidR="003555CB">
        <w:rPr>
          <w:rStyle w:val="Referencafusnote"/>
          <w:i/>
          <w:sz w:val="24"/>
          <w:szCs w:val="24"/>
        </w:rPr>
        <w:footnoteReference w:id="90"/>
      </w:r>
      <w:r w:rsidR="003555CB">
        <w:rPr>
          <w:i/>
          <w:sz w:val="24"/>
          <w:szCs w:val="24"/>
        </w:rPr>
        <w:t xml:space="preserve"> </w:t>
      </w:r>
      <w:r w:rsidR="003555CB" w:rsidRPr="003555CB">
        <w:rPr>
          <w:sz w:val="24"/>
          <w:szCs w:val="24"/>
        </w:rPr>
        <w:t xml:space="preserve">Konkretno </w:t>
      </w:r>
      <w:r w:rsidR="003555CB">
        <w:rPr>
          <w:sz w:val="24"/>
          <w:szCs w:val="24"/>
        </w:rPr>
        <w:t>kako ističu jedan osiguratelj omogućava preglede u ugovornim ustanovama bez čekanja i uputnica, uključujući mogućnost sistematskih pregleda, pregleda specijalista, laboratorijske i dijagnostičke preglede i slično. Uobičajeno se ugovara na rok tri godine (uz obvezu plaćanja premije za isto razdoblje), ne može se ugovoriti retrogradno te je dostupno za osobe starije od 18 godina koje istodobno imaju obvezno zdravstveno osiguranje</w:t>
      </w:r>
    </w:p>
    <w:p w:rsidR="00FC6BB5" w:rsidRDefault="00B46139" w:rsidP="00FC6BB5">
      <w:pPr>
        <w:autoSpaceDE w:val="0"/>
        <w:autoSpaceDN w:val="0"/>
        <w:adjustRightInd w:val="0"/>
        <w:jc w:val="both"/>
        <w:rPr>
          <w:i/>
          <w:sz w:val="24"/>
          <w:szCs w:val="24"/>
        </w:rPr>
      </w:pPr>
      <w:r>
        <w:rPr>
          <w:i/>
          <w:sz w:val="24"/>
          <w:szCs w:val="24"/>
        </w:rPr>
        <w:t>„</w:t>
      </w:r>
      <w:r w:rsidR="000A4D98" w:rsidRPr="000A4D98">
        <w:rPr>
          <w:i/>
          <w:sz w:val="24"/>
          <w:szCs w:val="24"/>
        </w:rPr>
        <w:t xml:space="preserve">Sukladno Zakonu o dobrovoljnom zdravstvenom osiguranju, </w:t>
      </w:r>
      <w:r w:rsidR="000A4D98" w:rsidRPr="00B27484">
        <w:rPr>
          <w:i/>
          <w:color w:val="C00000"/>
          <w:sz w:val="24"/>
          <w:szCs w:val="24"/>
        </w:rPr>
        <w:t>privatnim zdravstvenim osiguranjem</w:t>
      </w:r>
      <w:r w:rsidR="000A4D98" w:rsidRPr="000A4D98">
        <w:rPr>
          <w:i/>
          <w:sz w:val="24"/>
          <w:szCs w:val="24"/>
        </w:rPr>
        <w:t xml:space="preserve"> osigurava se zdravstvena zaštita fizičkim osobama koje borave u Republici Hrvatskoj, a koje se nisu obvezne osigurati sukladno Zakonu o obveznom zdravstvenom osiguranju i Zakonu o zdravstvenoj zaštiti stranaca u Republici Hrvatskoj.“</w:t>
      </w:r>
      <w:r w:rsidR="00B27484">
        <w:rPr>
          <w:rStyle w:val="Referencafusnote"/>
          <w:i/>
          <w:sz w:val="24"/>
          <w:szCs w:val="24"/>
        </w:rPr>
        <w:footnoteReference w:id="91"/>
      </w:r>
    </w:p>
    <w:tbl>
      <w:tblPr>
        <w:tblStyle w:val="Reetkatablice"/>
        <w:tblW w:w="0" w:type="auto"/>
        <w:tblInd w:w="108" w:type="dxa"/>
        <w:tblLook w:val="04A0" w:firstRow="1" w:lastRow="0" w:firstColumn="1" w:lastColumn="0" w:noHBand="0" w:noVBand="1"/>
      </w:tblPr>
      <w:tblGrid>
        <w:gridCol w:w="9072"/>
      </w:tblGrid>
      <w:tr w:rsidR="00FC6BB5" w:rsidTr="00576C97">
        <w:tc>
          <w:tcPr>
            <w:tcW w:w="9072" w:type="dxa"/>
            <w:shd w:val="clear" w:color="auto" w:fill="auto"/>
          </w:tcPr>
          <w:p w:rsidR="00FC6BB5" w:rsidRPr="007011A3" w:rsidRDefault="00FC6BB5" w:rsidP="00706916">
            <w:pPr>
              <w:pStyle w:val="StandardWeb"/>
              <w:spacing w:before="0" w:beforeAutospacing="0" w:after="0" w:afterAutospacing="0"/>
              <w:jc w:val="both"/>
              <w:rPr>
                <w:rFonts w:asciiTheme="minorHAnsi" w:eastAsiaTheme="minorHAnsi" w:hAnsiTheme="minorHAnsi" w:cstheme="minorBidi"/>
                <w:sz w:val="23"/>
                <w:szCs w:val="23"/>
                <w:lang w:eastAsia="en-US"/>
              </w:rPr>
            </w:pPr>
            <w:r w:rsidRPr="007011A3">
              <w:rPr>
                <w:rFonts w:asciiTheme="minorHAnsi" w:eastAsiaTheme="minorHAnsi" w:hAnsiTheme="minorHAnsi" w:cstheme="minorBidi"/>
                <w:sz w:val="23"/>
                <w:szCs w:val="23"/>
                <w:lang w:eastAsia="en-US"/>
              </w:rPr>
              <w:t xml:space="preserve">Pored </w:t>
            </w:r>
            <w:r w:rsidR="000A3D03">
              <w:rPr>
                <w:rFonts w:asciiTheme="minorHAnsi" w:eastAsiaTheme="minorHAnsi" w:hAnsiTheme="minorHAnsi" w:cstheme="minorBidi"/>
                <w:sz w:val="23"/>
                <w:szCs w:val="23"/>
                <w:lang w:eastAsia="en-US"/>
              </w:rPr>
              <w:t xml:space="preserve">sveg </w:t>
            </w:r>
            <w:r w:rsidRPr="007011A3">
              <w:rPr>
                <w:rFonts w:asciiTheme="minorHAnsi" w:eastAsiaTheme="minorHAnsi" w:hAnsiTheme="minorHAnsi" w:cstheme="minorBidi"/>
                <w:sz w:val="23"/>
                <w:szCs w:val="23"/>
                <w:lang w:eastAsia="en-US"/>
              </w:rPr>
              <w:t>navedenog</w:t>
            </w:r>
            <w:r w:rsidR="000A3D03">
              <w:rPr>
                <w:rFonts w:asciiTheme="minorHAnsi" w:eastAsiaTheme="minorHAnsi" w:hAnsiTheme="minorHAnsi" w:cstheme="minorBidi"/>
                <w:sz w:val="23"/>
                <w:szCs w:val="23"/>
                <w:lang w:eastAsia="en-US"/>
              </w:rPr>
              <w:t>,</w:t>
            </w:r>
            <w:r w:rsidRPr="007011A3">
              <w:rPr>
                <w:rFonts w:asciiTheme="minorHAnsi" w:eastAsiaTheme="minorHAnsi" w:hAnsiTheme="minorHAnsi" w:cstheme="minorBidi"/>
                <w:sz w:val="23"/>
                <w:szCs w:val="23"/>
                <w:lang w:eastAsia="en-US"/>
              </w:rPr>
              <w:t xml:space="preserve"> putem društva za osiguranje moguće je ugovoriti </w:t>
            </w:r>
            <w:r w:rsidRPr="007011A3">
              <w:rPr>
                <w:rFonts w:asciiTheme="minorHAnsi" w:eastAsiaTheme="minorHAnsi" w:hAnsiTheme="minorHAnsi" w:cstheme="minorBidi"/>
                <w:color w:val="C00000"/>
                <w:sz w:val="23"/>
                <w:szCs w:val="23"/>
                <w:lang w:eastAsia="en-US"/>
              </w:rPr>
              <w:t>putno zdravstveno osiguranje</w:t>
            </w:r>
            <w:r w:rsidRPr="007011A3">
              <w:rPr>
                <w:rFonts w:asciiTheme="minorHAnsi" w:eastAsiaTheme="minorHAnsi" w:hAnsiTheme="minorHAnsi" w:cstheme="minorBidi"/>
                <w:sz w:val="23"/>
                <w:szCs w:val="23"/>
                <w:lang w:eastAsia="en-US"/>
              </w:rPr>
              <w:t xml:space="preserve"> koje služi osiguranju osoba tijekom  putovanja i boravka u inozemstvu</w:t>
            </w:r>
            <w:r w:rsidRPr="007011A3">
              <w:rPr>
                <w:rFonts w:asciiTheme="minorHAnsi" w:eastAsiaTheme="minorHAnsi" w:hAnsiTheme="minorHAnsi" w:cstheme="minorBidi"/>
                <w:bCs/>
                <w:sz w:val="23"/>
                <w:szCs w:val="23"/>
                <w:lang w:eastAsia="en-US"/>
              </w:rPr>
              <w:t xml:space="preserve">. </w:t>
            </w:r>
          </w:p>
        </w:tc>
      </w:tr>
      <w:tr w:rsidR="00FC6BB5" w:rsidTr="000A3D03">
        <w:tc>
          <w:tcPr>
            <w:tcW w:w="9072" w:type="dxa"/>
            <w:shd w:val="clear" w:color="auto" w:fill="FFFFFF" w:themeFill="background1"/>
          </w:tcPr>
          <w:p w:rsidR="00FC6BB5" w:rsidRPr="007011A3" w:rsidRDefault="00FC6BB5" w:rsidP="000A3D03">
            <w:pPr>
              <w:shd w:val="clear" w:color="auto" w:fill="F2F2F2" w:themeFill="background1" w:themeFillShade="F2"/>
              <w:spacing w:before="120" w:after="120"/>
              <w:jc w:val="both"/>
              <w:textAlignment w:val="baseline"/>
              <w:rPr>
                <w:rFonts w:asciiTheme="minorHAnsi" w:eastAsiaTheme="minorHAnsi" w:hAnsiTheme="minorHAnsi" w:cstheme="minorBidi"/>
                <w:sz w:val="23"/>
                <w:szCs w:val="23"/>
                <w:lang w:eastAsia="en-US"/>
              </w:rPr>
            </w:pPr>
            <w:r w:rsidRPr="007011A3">
              <w:rPr>
                <w:rFonts w:asciiTheme="minorHAnsi" w:eastAsiaTheme="minorHAnsi" w:hAnsiTheme="minorHAnsi" w:cstheme="minorBidi"/>
                <w:sz w:val="23"/>
                <w:szCs w:val="23"/>
                <w:lang w:eastAsia="en-US"/>
              </w:rPr>
              <w:t xml:space="preserve">S obzirom na članstvo Hrvatske u Europskoj uniji, osigurane osobe kroz obvezno zdravstveno osiguranje koje provodi HZZO-a imaju pravo na </w:t>
            </w:r>
            <w:r w:rsidRPr="007011A3">
              <w:rPr>
                <w:rFonts w:asciiTheme="minorHAnsi" w:eastAsiaTheme="minorHAnsi" w:hAnsiTheme="minorHAnsi" w:cstheme="minorBidi"/>
                <w:color w:val="C00000"/>
                <w:sz w:val="23"/>
                <w:szCs w:val="23"/>
                <w:lang w:eastAsia="en-US"/>
              </w:rPr>
              <w:t xml:space="preserve">Europsku karticu zdravstvenog osiguranja </w:t>
            </w:r>
            <w:r w:rsidRPr="007011A3">
              <w:rPr>
                <w:rFonts w:asciiTheme="minorHAnsi" w:eastAsiaTheme="minorHAnsi" w:hAnsiTheme="minorHAnsi" w:cstheme="minorBidi"/>
                <w:sz w:val="23"/>
                <w:szCs w:val="23"/>
                <w:lang w:eastAsia="en-US"/>
              </w:rPr>
              <w:t xml:space="preserve"> -EKZO (European Health Insurance Card -</w:t>
            </w:r>
            <w:r w:rsidR="000A3D03">
              <w:rPr>
                <w:rFonts w:asciiTheme="minorHAnsi" w:eastAsiaTheme="minorHAnsi" w:hAnsiTheme="minorHAnsi" w:cstheme="minorBidi"/>
                <w:sz w:val="23"/>
                <w:szCs w:val="23"/>
                <w:lang w:eastAsia="en-US"/>
              </w:rPr>
              <w:t xml:space="preserve"> </w:t>
            </w:r>
            <w:r w:rsidRPr="007011A3">
              <w:rPr>
                <w:rFonts w:asciiTheme="minorHAnsi" w:eastAsiaTheme="minorHAnsi" w:hAnsiTheme="minorHAnsi" w:cstheme="minorBidi"/>
                <w:sz w:val="23"/>
                <w:szCs w:val="23"/>
                <w:lang w:eastAsia="en-US"/>
              </w:rPr>
              <w:t xml:space="preserve">EHIC) temeljem koje osigurana osoba za vrijeme privremenog boravka na području druge države članice EU ima pravo koristiti nužnu zdravstvenu zaštitu i koristit nužne zdravstvene usluge koje se ne mogu odgoditi do planiranog povratka u Hrvatsku (a na teret sredstava HZZO-a). Međutim, </w:t>
            </w:r>
            <w:r w:rsidRPr="007011A3">
              <w:rPr>
                <w:rFonts w:asciiTheme="minorHAnsi" w:eastAsiaTheme="minorHAnsi" w:hAnsiTheme="minorHAnsi" w:cstheme="minorBidi"/>
                <w:color w:val="C00000"/>
                <w:sz w:val="23"/>
                <w:szCs w:val="23"/>
                <w:lang w:eastAsia="en-US"/>
              </w:rPr>
              <w:t>EKZO nij</w:t>
            </w:r>
            <w:r w:rsidR="00706916">
              <w:rPr>
                <w:rFonts w:asciiTheme="minorHAnsi" w:eastAsiaTheme="minorHAnsi" w:hAnsiTheme="minorHAnsi" w:cstheme="minorBidi"/>
                <w:color w:val="C00000"/>
                <w:sz w:val="23"/>
                <w:szCs w:val="23"/>
                <w:lang w:eastAsia="en-US"/>
              </w:rPr>
              <w:t xml:space="preserve">e alternativa putnom osiguranju </w:t>
            </w:r>
            <w:r w:rsidR="00706916" w:rsidRPr="00706916">
              <w:rPr>
                <w:rFonts w:asciiTheme="minorHAnsi" w:eastAsiaTheme="minorHAnsi" w:hAnsiTheme="minorHAnsi" w:cstheme="minorBidi"/>
                <w:sz w:val="23"/>
                <w:szCs w:val="23"/>
                <w:lang w:eastAsia="en-US"/>
              </w:rPr>
              <w:t>(</w:t>
            </w:r>
            <w:r w:rsidR="00706916">
              <w:rPr>
                <w:rFonts w:asciiTheme="minorHAnsi" w:eastAsiaTheme="minorHAnsi" w:hAnsiTheme="minorHAnsi" w:cstheme="minorBidi"/>
                <w:sz w:val="23"/>
                <w:szCs w:val="23"/>
                <w:lang w:eastAsia="en-US"/>
              </w:rPr>
              <w:t xml:space="preserve">jer </w:t>
            </w:r>
            <w:r w:rsidR="00706916" w:rsidRPr="00706916">
              <w:rPr>
                <w:rFonts w:asciiTheme="minorHAnsi" w:eastAsiaTheme="minorHAnsi" w:hAnsiTheme="minorHAnsi" w:cstheme="minorBidi"/>
                <w:sz w:val="23"/>
                <w:szCs w:val="23"/>
                <w:lang w:eastAsia="en-US"/>
              </w:rPr>
              <w:t>ne pokriva brojne troškove</w:t>
            </w:r>
            <w:r w:rsidR="00706916">
              <w:rPr>
                <w:rFonts w:asciiTheme="minorHAnsi" w:eastAsiaTheme="minorHAnsi" w:hAnsiTheme="minorHAnsi" w:cstheme="minorBidi"/>
                <w:sz w:val="23"/>
                <w:szCs w:val="23"/>
                <w:lang w:eastAsia="en-US"/>
              </w:rPr>
              <w:t xml:space="preserve"> koji su uobičajeno uključeni u putno osiguranje</w:t>
            </w:r>
            <w:r w:rsidR="00706916" w:rsidRPr="00706916">
              <w:rPr>
                <w:rFonts w:asciiTheme="minorHAnsi" w:eastAsiaTheme="minorHAnsi" w:hAnsiTheme="minorHAnsi" w:cstheme="minorBidi"/>
                <w:sz w:val="23"/>
                <w:szCs w:val="23"/>
                <w:lang w:eastAsia="en-US"/>
              </w:rPr>
              <w:t xml:space="preserve">) pa </w:t>
            </w:r>
            <w:r w:rsidR="00706916">
              <w:rPr>
                <w:rFonts w:asciiTheme="minorHAnsi" w:eastAsiaTheme="minorHAnsi" w:hAnsiTheme="minorHAnsi" w:cstheme="minorBidi"/>
                <w:sz w:val="23"/>
                <w:szCs w:val="23"/>
                <w:lang w:eastAsia="en-US"/>
              </w:rPr>
              <w:t xml:space="preserve">i HZZO preporučuje da se uz </w:t>
            </w:r>
            <w:r w:rsidRPr="007011A3">
              <w:rPr>
                <w:rFonts w:asciiTheme="minorHAnsi" w:eastAsiaTheme="minorHAnsi" w:hAnsiTheme="minorHAnsi" w:cstheme="minorBidi"/>
                <w:sz w:val="23"/>
                <w:szCs w:val="23"/>
                <w:lang w:eastAsia="en-US"/>
              </w:rPr>
              <w:t xml:space="preserve">EKZO </w:t>
            </w:r>
            <w:r w:rsidR="000A3D03">
              <w:rPr>
                <w:rFonts w:asciiTheme="minorHAnsi" w:eastAsiaTheme="minorHAnsi" w:hAnsiTheme="minorHAnsi" w:cstheme="minorBidi"/>
                <w:sz w:val="23"/>
                <w:szCs w:val="23"/>
                <w:lang w:eastAsia="en-US"/>
              </w:rPr>
              <w:t>ugovori</w:t>
            </w:r>
            <w:r w:rsidR="00706916">
              <w:rPr>
                <w:rFonts w:asciiTheme="minorHAnsi" w:eastAsiaTheme="minorHAnsi" w:hAnsiTheme="minorHAnsi" w:cstheme="minorBidi"/>
                <w:sz w:val="23"/>
                <w:szCs w:val="23"/>
                <w:lang w:eastAsia="en-US"/>
              </w:rPr>
              <w:t xml:space="preserve"> po osobnom izboru i </w:t>
            </w:r>
            <w:r w:rsidRPr="007011A3">
              <w:rPr>
                <w:rFonts w:asciiTheme="minorHAnsi" w:eastAsiaTheme="minorHAnsi" w:hAnsiTheme="minorHAnsi" w:cstheme="minorBidi"/>
                <w:sz w:val="23"/>
                <w:szCs w:val="23"/>
                <w:lang w:eastAsia="en-US"/>
              </w:rPr>
              <w:t>odgovarajuće putno osiguranje</w:t>
            </w:r>
            <w:r w:rsidR="00576C97">
              <w:rPr>
                <w:rFonts w:asciiTheme="minorHAnsi" w:eastAsiaTheme="minorHAnsi" w:hAnsiTheme="minorHAnsi" w:cstheme="minorBidi"/>
                <w:sz w:val="23"/>
                <w:szCs w:val="23"/>
                <w:lang w:eastAsia="en-US"/>
              </w:rPr>
              <w:t>.</w:t>
            </w:r>
          </w:p>
        </w:tc>
      </w:tr>
    </w:tbl>
    <w:p w:rsidR="00FC6BB5" w:rsidRPr="00B46139" w:rsidRDefault="00CE02D5" w:rsidP="00FC6BB5">
      <w:pPr>
        <w:autoSpaceDE w:val="0"/>
        <w:autoSpaceDN w:val="0"/>
        <w:adjustRightInd w:val="0"/>
        <w:jc w:val="both"/>
        <w:rPr>
          <w:b/>
          <w:sz w:val="24"/>
          <w:szCs w:val="24"/>
        </w:rPr>
      </w:pPr>
      <w:r>
        <w:rPr>
          <w:b/>
          <w:sz w:val="24"/>
          <w:szCs w:val="24"/>
        </w:rPr>
        <w:lastRenderedPageBreak/>
        <w:t>6</w:t>
      </w:r>
      <w:r w:rsidR="00FC6BB5" w:rsidRPr="00B46139">
        <w:rPr>
          <w:b/>
          <w:sz w:val="24"/>
          <w:szCs w:val="24"/>
        </w:rPr>
        <w:t>. INVESTIRANJE OSOBNIH FINANCIJSKIH SREDSTAVA</w:t>
      </w:r>
    </w:p>
    <w:p w:rsidR="00430AAF" w:rsidRPr="00EF7F81" w:rsidRDefault="00FC6BB5" w:rsidP="00FC6BB5">
      <w:pPr>
        <w:autoSpaceDE w:val="0"/>
        <w:autoSpaceDN w:val="0"/>
        <w:adjustRightInd w:val="0"/>
        <w:jc w:val="both"/>
        <w:rPr>
          <w:sz w:val="24"/>
          <w:szCs w:val="24"/>
        </w:rPr>
      </w:pPr>
      <w:r w:rsidRPr="00EF7F81">
        <w:rPr>
          <w:sz w:val="24"/>
          <w:szCs w:val="24"/>
        </w:rPr>
        <w:t>U dosadašnjem tekstu i primjerima obrađeni su oblici štedno-ulagačkih proizvoda koji su dostupni putem banaka, stambenih štedionica i društava za osiguranje (životno osiguranje s obilježjima štednje i rentno osiguranje)</w:t>
      </w:r>
      <w:r w:rsidR="004D786F">
        <w:rPr>
          <w:sz w:val="24"/>
          <w:szCs w:val="24"/>
        </w:rPr>
        <w:t>, a namijenjeni su štedišama</w:t>
      </w:r>
      <w:r w:rsidRPr="00EF7F81">
        <w:rPr>
          <w:sz w:val="24"/>
          <w:szCs w:val="24"/>
        </w:rPr>
        <w:t xml:space="preserve">. Dodatan oblik štedno ulagačkog proizvoda o kojem do sada nije bilo riječi su ulaganja u otvorene investicijske fondove s javnom ponudom koji su predmet ovog poglavlja, dok </w:t>
      </w:r>
      <w:r w:rsidR="007B0C05">
        <w:rPr>
          <w:sz w:val="24"/>
          <w:szCs w:val="24"/>
        </w:rPr>
        <w:t>se</w:t>
      </w:r>
      <w:r w:rsidRPr="00EF7F81">
        <w:rPr>
          <w:sz w:val="24"/>
          <w:szCs w:val="24"/>
        </w:rPr>
        <w:t xml:space="preserve"> u narednom poglavlju </w:t>
      </w:r>
      <w:r w:rsidR="007B0C05">
        <w:rPr>
          <w:sz w:val="24"/>
          <w:szCs w:val="24"/>
        </w:rPr>
        <w:t xml:space="preserve">analizira mirovinska štednja kroz ulaganje u </w:t>
      </w:r>
      <w:r w:rsidRPr="00EF7F81">
        <w:rPr>
          <w:sz w:val="24"/>
          <w:szCs w:val="24"/>
        </w:rPr>
        <w:t xml:space="preserve"> dobrovoljne mirovinske fondove. Svi </w:t>
      </w:r>
      <w:r w:rsidRPr="00C4205B">
        <w:rPr>
          <w:color w:val="C00000"/>
          <w:sz w:val="24"/>
          <w:szCs w:val="24"/>
        </w:rPr>
        <w:t xml:space="preserve">navedeni oblici štedno-ulagačkih proizvoda vezani su uz </w:t>
      </w:r>
      <w:r w:rsidR="007B0C05">
        <w:rPr>
          <w:color w:val="C00000"/>
          <w:sz w:val="24"/>
          <w:szCs w:val="24"/>
        </w:rPr>
        <w:t xml:space="preserve">držanje </w:t>
      </w:r>
      <w:r w:rsidR="00EF7F81" w:rsidRPr="00C4205B">
        <w:rPr>
          <w:color w:val="C00000"/>
          <w:sz w:val="24"/>
          <w:szCs w:val="24"/>
        </w:rPr>
        <w:t xml:space="preserve">niže-rizične </w:t>
      </w:r>
      <w:r w:rsidR="007B0C05">
        <w:rPr>
          <w:color w:val="C00000"/>
          <w:sz w:val="24"/>
          <w:szCs w:val="24"/>
        </w:rPr>
        <w:t>imovine</w:t>
      </w:r>
      <w:r w:rsidR="00FB405D" w:rsidRPr="00C4205B">
        <w:rPr>
          <w:color w:val="C00000"/>
          <w:sz w:val="24"/>
          <w:szCs w:val="24"/>
        </w:rPr>
        <w:t xml:space="preserve">, </w:t>
      </w:r>
      <w:r w:rsidR="00FB405D" w:rsidRPr="00EF7F81">
        <w:rPr>
          <w:sz w:val="24"/>
          <w:szCs w:val="24"/>
        </w:rPr>
        <w:t>a svaki ima specifična obilježja</w:t>
      </w:r>
      <w:r w:rsidR="007B0C05">
        <w:rPr>
          <w:sz w:val="24"/>
          <w:szCs w:val="24"/>
        </w:rPr>
        <w:t>,</w:t>
      </w:r>
      <w:r w:rsidR="00FB405D" w:rsidRPr="00EF7F81">
        <w:rPr>
          <w:sz w:val="24"/>
          <w:szCs w:val="24"/>
        </w:rPr>
        <w:t xml:space="preserve"> konkretnu namjenu </w:t>
      </w:r>
      <w:r w:rsidR="007B0C05">
        <w:rPr>
          <w:sz w:val="24"/>
          <w:szCs w:val="24"/>
        </w:rPr>
        <w:t xml:space="preserve">i vremenski horizont štednje </w:t>
      </w:r>
      <w:r w:rsidR="00FB405D" w:rsidRPr="00EF7F81">
        <w:rPr>
          <w:sz w:val="24"/>
          <w:szCs w:val="24"/>
        </w:rPr>
        <w:t xml:space="preserve">pa se stoga razlikuje s obzirom na likvidnost i mogući prinos. </w:t>
      </w:r>
    </w:p>
    <w:p w:rsidR="00DF407A" w:rsidRDefault="00B46139" w:rsidP="00FC6BB5">
      <w:pPr>
        <w:autoSpaceDE w:val="0"/>
        <w:autoSpaceDN w:val="0"/>
        <w:adjustRightInd w:val="0"/>
        <w:jc w:val="both"/>
        <w:rPr>
          <w:sz w:val="24"/>
          <w:szCs w:val="24"/>
        </w:rPr>
      </w:pPr>
      <w:r w:rsidRPr="00EF7F81">
        <w:rPr>
          <w:sz w:val="24"/>
          <w:szCs w:val="24"/>
        </w:rPr>
        <w:t xml:space="preserve">U ovom poglavlju obrađuju </w:t>
      </w:r>
      <w:r w:rsidR="004D786F">
        <w:rPr>
          <w:sz w:val="24"/>
          <w:szCs w:val="24"/>
        </w:rPr>
        <w:t xml:space="preserve">se </w:t>
      </w:r>
      <w:r w:rsidRPr="00EF7F81">
        <w:rPr>
          <w:sz w:val="24"/>
          <w:szCs w:val="24"/>
        </w:rPr>
        <w:t>drugi aspekti</w:t>
      </w:r>
      <w:r w:rsidR="00FB405D" w:rsidRPr="00EF7F81">
        <w:rPr>
          <w:sz w:val="24"/>
          <w:szCs w:val="24"/>
        </w:rPr>
        <w:t xml:space="preserve"> </w:t>
      </w:r>
      <w:r w:rsidRPr="00EF7F81">
        <w:rPr>
          <w:sz w:val="24"/>
          <w:szCs w:val="24"/>
        </w:rPr>
        <w:t>moguć</w:t>
      </w:r>
      <w:r w:rsidR="004D786F">
        <w:rPr>
          <w:sz w:val="24"/>
          <w:szCs w:val="24"/>
        </w:rPr>
        <w:t>e alokacije viškova rezervi štednje</w:t>
      </w:r>
      <w:r w:rsidRPr="00EF7F81">
        <w:rPr>
          <w:sz w:val="24"/>
          <w:szCs w:val="24"/>
        </w:rPr>
        <w:t>, uključujući ulaganja na tržištu dionica kao</w:t>
      </w:r>
      <w:r w:rsidR="00106768" w:rsidRPr="00EF7F81">
        <w:rPr>
          <w:sz w:val="24"/>
          <w:szCs w:val="24"/>
        </w:rPr>
        <w:t xml:space="preserve"> oblik </w:t>
      </w:r>
      <w:r w:rsidR="00106768" w:rsidRPr="007B0C05">
        <w:rPr>
          <w:color w:val="C00000"/>
          <w:sz w:val="24"/>
          <w:szCs w:val="24"/>
        </w:rPr>
        <w:t>financijsk</w:t>
      </w:r>
      <w:r w:rsidR="003852EC" w:rsidRPr="007B0C05">
        <w:rPr>
          <w:color w:val="C00000"/>
          <w:sz w:val="24"/>
          <w:szCs w:val="24"/>
        </w:rPr>
        <w:t>ih</w:t>
      </w:r>
      <w:r w:rsidR="00106768" w:rsidRPr="007B0C05">
        <w:rPr>
          <w:color w:val="C00000"/>
          <w:sz w:val="24"/>
          <w:szCs w:val="24"/>
        </w:rPr>
        <w:t xml:space="preserve"> investicij</w:t>
      </w:r>
      <w:r w:rsidR="003852EC" w:rsidRPr="007B0C05">
        <w:rPr>
          <w:color w:val="C00000"/>
          <w:sz w:val="24"/>
          <w:szCs w:val="24"/>
        </w:rPr>
        <w:t>a</w:t>
      </w:r>
      <w:r w:rsidR="007B0C05">
        <w:rPr>
          <w:color w:val="C00000"/>
          <w:sz w:val="24"/>
          <w:szCs w:val="24"/>
        </w:rPr>
        <w:t xml:space="preserve"> </w:t>
      </w:r>
      <w:r w:rsidR="007B0C05" w:rsidRPr="007B0C05">
        <w:rPr>
          <w:sz w:val="24"/>
          <w:szCs w:val="24"/>
        </w:rPr>
        <w:t>te</w:t>
      </w:r>
      <w:r w:rsidR="003852EC" w:rsidRPr="00EF7F81">
        <w:rPr>
          <w:sz w:val="24"/>
          <w:szCs w:val="24"/>
        </w:rPr>
        <w:t xml:space="preserve"> drug</w:t>
      </w:r>
      <w:r w:rsidR="007B0C05">
        <w:rPr>
          <w:sz w:val="24"/>
          <w:szCs w:val="24"/>
        </w:rPr>
        <w:t>e</w:t>
      </w:r>
      <w:r w:rsidR="00EF7F81">
        <w:rPr>
          <w:sz w:val="24"/>
          <w:szCs w:val="24"/>
        </w:rPr>
        <w:t xml:space="preserve"> dostupn</w:t>
      </w:r>
      <w:r w:rsidR="007B0C05">
        <w:rPr>
          <w:sz w:val="24"/>
          <w:szCs w:val="24"/>
        </w:rPr>
        <w:t>e</w:t>
      </w:r>
      <w:r w:rsidR="00EF7F81">
        <w:rPr>
          <w:sz w:val="24"/>
          <w:szCs w:val="24"/>
        </w:rPr>
        <w:t xml:space="preserve"> obli</w:t>
      </w:r>
      <w:r w:rsidR="007B0C05">
        <w:rPr>
          <w:sz w:val="24"/>
          <w:szCs w:val="24"/>
        </w:rPr>
        <w:t>ke</w:t>
      </w:r>
      <w:r w:rsidR="00EF7F81">
        <w:rPr>
          <w:sz w:val="24"/>
          <w:szCs w:val="24"/>
        </w:rPr>
        <w:t xml:space="preserve"> </w:t>
      </w:r>
      <w:r w:rsidR="003852EC" w:rsidRPr="000401A5">
        <w:rPr>
          <w:color w:val="C00000"/>
          <w:sz w:val="24"/>
          <w:szCs w:val="24"/>
        </w:rPr>
        <w:t>više ili manje rizičnih ulaganja</w:t>
      </w:r>
      <w:r w:rsidR="00106768" w:rsidRPr="00EF7F81">
        <w:rPr>
          <w:sz w:val="24"/>
          <w:szCs w:val="24"/>
        </w:rPr>
        <w:t>.</w:t>
      </w:r>
      <w:r w:rsidR="003852EC" w:rsidRPr="00EF7F81">
        <w:rPr>
          <w:sz w:val="24"/>
          <w:szCs w:val="24"/>
        </w:rPr>
        <w:t xml:space="preserve"> </w:t>
      </w:r>
      <w:r w:rsidR="007B0C05">
        <w:rPr>
          <w:sz w:val="24"/>
          <w:szCs w:val="24"/>
        </w:rPr>
        <w:t>Time se i kroz podjelu poglavlja</w:t>
      </w:r>
      <w:r w:rsidR="004D786F">
        <w:rPr>
          <w:sz w:val="24"/>
          <w:szCs w:val="24"/>
        </w:rPr>
        <w:t xml:space="preserve"> pravi bitna razlika između financijskih instrumenata u funkciji štednje </w:t>
      </w:r>
      <w:r w:rsidR="00135A50">
        <w:rPr>
          <w:sz w:val="24"/>
          <w:szCs w:val="24"/>
        </w:rPr>
        <w:t xml:space="preserve">(štedno ulagačkih proizvoda) </w:t>
      </w:r>
      <w:r w:rsidR="004D786F">
        <w:rPr>
          <w:sz w:val="24"/>
          <w:szCs w:val="24"/>
        </w:rPr>
        <w:t xml:space="preserve">i financijskih instrumenata u funkciji investicija. Dok su štedni instrumenti namijenjeni svima, običnim građanima potrošačima i korisnicima financijskih proizvoda i usluga, nastavak teksta postupno prelazi s teme štedno-ulagačkih proizvoda na </w:t>
      </w:r>
      <w:r w:rsidR="004D786F" w:rsidRPr="000401A5">
        <w:rPr>
          <w:color w:val="C00000"/>
          <w:sz w:val="24"/>
          <w:szCs w:val="24"/>
        </w:rPr>
        <w:t>financijske instrumente u funkciji investicija koji su namijenjeni prvenstveno osobama</w:t>
      </w:r>
      <w:r w:rsidR="004D786F">
        <w:rPr>
          <w:sz w:val="24"/>
          <w:szCs w:val="24"/>
        </w:rPr>
        <w:t xml:space="preserve"> koje raspolažu visokim iznosima </w:t>
      </w:r>
      <w:r w:rsidR="007B0C05">
        <w:rPr>
          <w:sz w:val="24"/>
          <w:szCs w:val="24"/>
        </w:rPr>
        <w:t xml:space="preserve">„viška </w:t>
      </w:r>
      <w:r w:rsidR="004D786F">
        <w:rPr>
          <w:sz w:val="24"/>
          <w:szCs w:val="24"/>
        </w:rPr>
        <w:t>rezervi</w:t>
      </w:r>
      <w:r w:rsidR="007B0C05">
        <w:rPr>
          <w:sz w:val="24"/>
          <w:szCs w:val="24"/>
        </w:rPr>
        <w:t>“</w:t>
      </w:r>
      <w:r w:rsidR="004D786F">
        <w:rPr>
          <w:sz w:val="24"/>
          <w:szCs w:val="24"/>
        </w:rPr>
        <w:t xml:space="preserve"> (viška sredstava) koji im duže vremensko razdoblje neće biti potrebni, koji </w:t>
      </w:r>
      <w:r w:rsidR="000401A5">
        <w:rPr>
          <w:sz w:val="24"/>
          <w:szCs w:val="24"/>
        </w:rPr>
        <w:t xml:space="preserve">zbog visokog oportunitetnog troška </w:t>
      </w:r>
      <w:r w:rsidR="004D786F">
        <w:rPr>
          <w:sz w:val="24"/>
          <w:szCs w:val="24"/>
        </w:rPr>
        <w:t>nadil</w:t>
      </w:r>
      <w:r w:rsidR="000401A5">
        <w:rPr>
          <w:sz w:val="24"/>
          <w:szCs w:val="24"/>
        </w:rPr>
        <w:t>az</w:t>
      </w:r>
      <w:r w:rsidR="004D786F">
        <w:rPr>
          <w:sz w:val="24"/>
          <w:szCs w:val="24"/>
        </w:rPr>
        <w:t xml:space="preserve">e preferencije držanja likvidne imovine i traže </w:t>
      </w:r>
      <w:r w:rsidR="004D786F" w:rsidRPr="000401A5">
        <w:rPr>
          <w:color w:val="C00000"/>
          <w:sz w:val="24"/>
          <w:szCs w:val="24"/>
        </w:rPr>
        <w:t>priliku za ulaganja s veći mogućim povratom, ali i uz preuzimanje većeg rizika</w:t>
      </w:r>
      <w:r w:rsidR="004D786F">
        <w:rPr>
          <w:sz w:val="24"/>
          <w:szCs w:val="24"/>
        </w:rPr>
        <w:t xml:space="preserve">. </w:t>
      </w:r>
      <w:r w:rsidR="00C4205B">
        <w:rPr>
          <w:sz w:val="24"/>
          <w:szCs w:val="24"/>
        </w:rPr>
        <w:t>Cilj kapitalizacije uloženih sredstava stoga nije samo zaštita od inflacije i ostvarivanje određenih prihoda kao nagrade za odricanje od mogućnosti tekuće potrošnje</w:t>
      </w:r>
      <w:r w:rsidR="000401A5">
        <w:rPr>
          <w:sz w:val="24"/>
          <w:szCs w:val="24"/>
        </w:rPr>
        <w:t xml:space="preserve"> (kao u slučaju štednje)</w:t>
      </w:r>
      <w:r w:rsidR="00120D88">
        <w:rPr>
          <w:sz w:val="24"/>
          <w:szCs w:val="24"/>
        </w:rPr>
        <w:t>, nego</w:t>
      </w:r>
      <w:r w:rsidR="000401A5">
        <w:rPr>
          <w:sz w:val="24"/>
          <w:szCs w:val="24"/>
        </w:rPr>
        <w:t xml:space="preserve"> </w:t>
      </w:r>
      <w:r w:rsidR="00120D88">
        <w:rPr>
          <w:sz w:val="24"/>
          <w:szCs w:val="24"/>
        </w:rPr>
        <w:t xml:space="preserve">oplođivanje imovine uz </w:t>
      </w:r>
      <w:r w:rsidR="007B0C05">
        <w:rPr>
          <w:sz w:val="24"/>
          <w:szCs w:val="24"/>
        </w:rPr>
        <w:t xml:space="preserve">veće moguće </w:t>
      </w:r>
      <w:r w:rsidR="00C4205B">
        <w:rPr>
          <w:sz w:val="24"/>
          <w:szCs w:val="24"/>
        </w:rPr>
        <w:t>stope povrata</w:t>
      </w:r>
      <w:r w:rsidR="007B0C05">
        <w:rPr>
          <w:sz w:val="24"/>
          <w:szCs w:val="24"/>
        </w:rPr>
        <w:t xml:space="preserve"> (ali i rizik mogućih većih gubitaka)</w:t>
      </w:r>
      <w:r w:rsidR="00C4205B">
        <w:rPr>
          <w:sz w:val="24"/>
          <w:szCs w:val="24"/>
        </w:rPr>
        <w:t>.</w:t>
      </w:r>
      <w:r w:rsidR="000401A5">
        <w:rPr>
          <w:sz w:val="24"/>
          <w:szCs w:val="24"/>
        </w:rPr>
        <w:t xml:space="preserve"> </w:t>
      </w:r>
    </w:p>
    <w:p w:rsidR="00DF407A" w:rsidRPr="00F7613E" w:rsidRDefault="00DF407A" w:rsidP="00DF407A">
      <w:pPr>
        <w:autoSpaceDE w:val="0"/>
        <w:autoSpaceDN w:val="0"/>
        <w:adjustRightInd w:val="0"/>
        <w:jc w:val="both"/>
        <w:rPr>
          <w:sz w:val="24"/>
          <w:szCs w:val="24"/>
        </w:rPr>
      </w:pPr>
      <w:r>
        <w:rPr>
          <w:color w:val="C00000"/>
          <w:sz w:val="24"/>
          <w:szCs w:val="24"/>
        </w:rPr>
        <w:t>I</w:t>
      </w:r>
      <w:r w:rsidRPr="00DF407A">
        <w:rPr>
          <w:color w:val="C00000"/>
          <w:sz w:val="24"/>
          <w:szCs w:val="24"/>
        </w:rPr>
        <w:t xml:space="preserve">nvesticije mogu biti </w:t>
      </w:r>
      <w:r>
        <w:rPr>
          <w:sz w:val="24"/>
          <w:szCs w:val="24"/>
        </w:rPr>
        <w:t xml:space="preserve">vezane uz ulaganja osobnih sredstava </w:t>
      </w:r>
      <w:r w:rsidRPr="00DF407A">
        <w:rPr>
          <w:color w:val="C00000"/>
          <w:sz w:val="24"/>
          <w:szCs w:val="24"/>
        </w:rPr>
        <w:t xml:space="preserve">u financijsku imovinu </w:t>
      </w:r>
      <w:r>
        <w:rPr>
          <w:sz w:val="24"/>
          <w:szCs w:val="24"/>
        </w:rPr>
        <w:t xml:space="preserve">(financijske instrumente) ili ulaganja </w:t>
      </w:r>
      <w:r w:rsidRPr="00DF407A">
        <w:rPr>
          <w:color w:val="C00000"/>
          <w:sz w:val="24"/>
          <w:szCs w:val="24"/>
        </w:rPr>
        <w:t xml:space="preserve">u realnu imovinu </w:t>
      </w:r>
      <w:r>
        <w:rPr>
          <w:sz w:val="24"/>
          <w:szCs w:val="24"/>
        </w:rPr>
        <w:t>poput kupnje nekretnina ili poluga zlata, ulaganja u proizvodno postrojenje odnosno poduzetničku aktivnosti i</w:t>
      </w:r>
      <w:r w:rsidR="007B0C05">
        <w:rPr>
          <w:sz w:val="24"/>
          <w:szCs w:val="24"/>
        </w:rPr>
        <w:t xml:space="preserve"> drugo</w:t>
      </w:r>
      <w:r>
        <w:rPr>
          <w:sz w:val="24"/>
          <w:szCs w:val="24"/>
        </w:rPr>
        <w:t xml:space="preserve">. Osim što mogu biti financirane iz vlastitih sredstava mogu biti financirane i zaduživanjem </w:t>
      </w:r>
      <w:r w:rsidR="007B0C05">
        <w:rPr>
          <w:sz w:val="24"/>
          <w:szCs w:val="24"/>
        </w:rPr>
        <w:t xml:space="preserve">- </w:t>
      </w:r>
      <w:r>
        <w:rPr>
          <w:sz w:val="24"/>
          <w:szCs w:val="24"/>
        </w:rPr>
        <w:t xml:space="preserve">korištenjem prednosti </w:t>
      </w:r>
      <w:r w:rsidRPr="00F7613E">
        <w:rPr>
          <w:color w:val="C00000"/>
          <w:sz w:val="24"/>
          <w:szCs w:val="24"/>
        </w:rPr>
        <w:t xml:space="preserve">šanse financijske poluge </w:t>
      </w:r>
      <w:r w:rsidRPr="00F7613E">
        <w:rPr>
          <w:sz w:val="24"/>
          <w:szCs w:val="24"/>
        </w:rPr>
        <w:t xml:space="preserve">i izbjegavanjem rizika financijske poluge, uvažavajući pravilo da </w:t>
      </w:r>
      <w:r w:rsidR="007B0C05" w:rsidRPr="00F7613E">
        <w:rPr>
          <w:sz w:val="24"/>
          <w:szCs w:val="24"/>
        </w:rPr>
        <w:t xml:space="preserve">se </w:t>
      </w:r>
      <w:r w:rsidR="007B0C05" w:rsidRPr="00F7613E">
        <w:rPr>
          <w:i/>
          <w:sz w:val="24"/>
          <w:szCs w:val="24"/>
        </w:rPr>
        <w:t>„</w:t>
      </w:r>
      <w:r w:rsidRPr="00F7613E">
        <w:rPr>
          <w:i/>
          <w:sz w:val="24"/>
          <w:szCs w:val="24"/>
        </w:rPr>
        <w:t>isplati korištenje tuđih izvora financiranja sve dok se poslovanjem/ ulaganjem  ostvaruje stopa profitabilnosti</w:t>
      </w:r>
      <w:r w:rsidR="007B0C05" w:rsidRPr="00F7613E">
        <w:rPr>
          <w:i/>
          <w:sz w:val="24"/>
          <w:szCs w:val="24"/>
        </w:rPr>
        <w:t xml:space="preserve"> </w:t>
      </w:r>
      <w:r w:rsidRPr="00F7613E">
        <w:rPr>
          <w:i/>
          <w:sz w:val="24"/>
          <w:szCs w:val="24"/>
        </w:rPr>
        <w:t>veća od ponderirane kamatne stope po kojoj se plaćaju kamate na pozajmljene izvore</w:t>
      </w:r>
      <w:r w:rsidR="007B0C05" w:rsidRPr="00F7613E">
        <w:rPr>
          <w:i/>
          <w:sz w:val="24"/>
          <w:szCs w:val="24"/>
        </w:rPr>
        <w:t>“</w:t>
      </w:r>
      <w:r w:rsidRPr="00F7613E">
        <w:rPr>
          <w:sz w:val="24"/>
          <w:szCs w:val="24"/>
        </w:rPr>
        <w:t xml:space="preserve">. </w:t>
      </w:r>
    </w:p>
    <w:p w:rsidR="00C4205B" w:rsidRDefault="00DF407A" w:rsidP="00FC6BB5">
      <w:pPr>
        <w:autoSpaceDE w:val="0"/>
        <w:autoSpaceDN w:val="0"/>
        <w:adjustRightInd w:val="0"/>
        <w:jc w:val="both"/>
        <w:rPr>
          <w:sz w:val="24"/>
          <w:szCs w:val="24"/>
        </w:rPr>
      </w:pPr>
      <w:r>
        <w:rPr>
          <w:sz w:val="24"/>
          <w:szCs w:val="24"/>
        </w:rPr>
        <w:t xml:space="preserve">Vezano uz ulagačke oblike financijske imovine, </w:t>
      </w:r>
      <w:r w:rsidR="003852EC" w:rsidRPr="00EF7F81">
        <w:rPr>
          <w:sz w:val="24"/>
          <w:szCs w:val="24"/>
        </w:rPr>
        <w:t>na samom početku treba objasniti dva pojma koja su s time povezana, pojam rizika i pojam diver</w:t>
      </w:r>
      <w:r w:rsidR="00C42ACD">
        <w:rPr>
          <w:sz w:val="24"/>
          <w:szCs w:val="24"/>
        </w:rPr>
        <w:t>z</w:t>
      </w:r>
      <w:r w:rsidR="003852EC" w:rsidRPr="00EF7F81">
        <w:rPr>
          <w:sz w:val="24"/>
          <w:szCs w:val="24"/>
        </w:rPr>
        <w:t xml:space="preserve">ifikacije. </w:t>
      </w:r>
      <w:r w:rsidR="003852EC" w:rsidRPr="00EF7F81">
        <w:rPr>
          <w:color w:val="C00000"/>
          <w:sz w:val="24"/>
          <w:szCs w:val="24"/>
        </w:rPr>
        <w:t xml:space="preserve">Rizik </w:t>
      </w:r>
      <w:r w:rsidR="003852EC" w:rsidRPr="00EF7F81">
        <w:rPr>
          <w:sz w:val="24"/>
          <w:szCs w:val="24"/>
        </w:rPr>
        <w:t xml:space="preserve">označava vjerojatnost nastupa događaja s nepovoljnim posljedicama, odnosno u slučaju </w:t>
      </w:r>
      <w:r w:rsidR="00EF7F81" w:rsidRPr="00EF7F81">
        <w:rPr>
          <w:sz w:val="24"/>
          <w:szCs w:val="24"/>
        </w:rPr>
        <w:t xml:space="preserve">financijskih i drugih ulaganja </w:t>
      </w:r>
      <w:r w:rsidR="00C4205B">
        <w:rPr>
          <w:sz w:val="24"/>
          <w:szCs w:val="24"/>
        </w:rPr>
        <w:t xml:space="preserve">u upravljanju osobnim financijama </w:t>
      </w:r>
      <w:r w:rsidR="00EF7F81" w:rsidRPr="00EF7F81">
        <w:rPr>
          <w:sz w:val="24"/>
          <w:szCs w:val="24"/>
        </w:rPr>
        <w:t xml:space="preserve">označava vjerojatnost nastupa </w:t>
      </w:r>
      <w:r w:rsidR="003852EC" w:rsidRPr="00EF7F81">
        <w:rPr>
          <w:sz w:val="24"/>
          <w:szCs w:val="24"/>
        </w:rPr>
        <w:t>događaja koji može imati potencijalne negativne učinke na vrijednost imovine</w:t>
      </w:r>
      <w:r w:rsidR="00C4205B">
        <w:rPr>
          <w:sz w:val="24"/>
          <w:szCs w:val="24"/>
        </w:rPr>
        <w:t xml:space="preserve"> i financijsku poziciju pojedinca</w:t>
      </w:r>
      <w:r w:rsidR="003852EC" w:rsidRPr="00EF7F81">
        <w:rPr>
          <w:sz w:val="24"/>
          <w:szCs w:val="24"/>
        </w:rPr>
        <w:t xml:space="preserve">. Ulaganje u više rizičnu </w:t>
      </w:r>
      <w:r w:rsidR="00120D88">
        <w:rPr>
          <w:sz w:val="24"/>
          <w:szCs w:val="24"/>
        </w:rPr>
        <w:t xml:space="preserve">financijsku </w:t>
      </w:r>
      <w:r w:rsidR="003852EC" w:rsidRPr="00EF7F81">
        <w:rPr>
          <w:sz w:val="24"/>
          <w:szCs w:val="24"/>
        </w:rPr>
        <w:t xml:space="preserve">imovinu </w:t>
      </w:r>
      <w:r w:rsidR="00120D88">
        <w:rPr>
          <w:sz w:val="24"/>
          <w:szCs w:val="24"/>
        </w:rPr>
        <w:t xml:space="preserve">u funkciji investicija </w:t>
      </w:r>
      <w:r w:rsidR="003852EC" w:rsidRPr="00EF7F81">
        <w:rPr>
          <w:sz w:val="24"/>
          <w:szCs w:val="24"/>
        </w:rPr>
        <w:t xml:space="preserve">može rezultirati većom zaradom, ali i nosi opasnost </w:t>
      </w:r>
      <w:r w:rsidR="003852EC" w:rsidRPr="00EF7F81">
        <w:rPr>
          <w:color w:val="C00000"/>
          <w:sz w:val="24"/>
          <w:szCs w:val="24"/>
        </w:rPr>
        <w:t>veće mogućnosti gubitka uloženih sredstava</w:t>
      </w:r>
      <w:r w:rsidR="003852EC" w:rsidRPr="00EF7F81">
        <w:rPr>
          <w:sz w:val="24"/>
          <w:szCs w:val="24"/>
        </w:rPr>
        <w:t>.</w:t>
      </w:r>
      <w:r w:rsidR="00EF7F81" w:rsidRPr="00EF7F81">
        <w:rPr>
          <w:sz w:val="24"/>
          <w:szCs w:val="24"/>
        </w:rPr>
        <w:t xml:space="preserve"> Kako je </w:t>
      </w:r>
      <w:r w:rsidR="00EF7F81" w:rsidRPr="00EF7F81">
        <w:rPr>
          <w:sz w:val="24"/>
          <w:szCs w:val="24"/>
        </w:rPr>
        <w:lastRenderedPageBreak/>
        <w:t xml:space="preserve">budućnost neizvjesna, rizik je potrebno ograničiti što se postiže </w:t>
      </w:r>
      <w:r w:rsidR="00EF7F81">
        <w:rPr>
          <w:color w:val="C00000"/>
          <w:sz w:val="24"/>
          <w:szCs w:val="24"/>
        </w:rPr>
        <w:t>diverz</w:t>
      </w:r>
      <w:r w:rsidR="00EF7F81" w:rsidRPr="00EF7F81">
        <w:rPr>
          <w:color w:val="C00000"/>
          <w:sz w:val="24"/>
          <w:szCs w:val="24"/>
        </w:rPr>
        <w:t xml:space="preserve">ifikacijom ulaganja </w:t>
      </w:r>
      <w:r w:rsidR="00EF7F81" w:rsidRPr="00EF7F81">
        <w:rPr>
          <w:sz w:val="24"/>
          <w:szCs w:val="24"/>
        </w:rPr>
        <w:t xml:space="preserve">vodeći se načelom </w:t>
      </w:r>
      <w:r w:rsidR="003852EC" w:rsidRPr="00EF7F81">
        <w:rPr>
          <w:i/>
          <w:sz w:val="24"/>
          <w:szCs w:val="24"/>
        </w:rPr>
        <w:t>„Ne stavljat</w:t>
      </w:r>
      <w:r w:rsidR="00C42ACD">
        <w:rPr>
          <w:i/>
          <w:sz w:val="24"/>
          <w:szCs w:val="24"/>
        </w:rPr>
        <w:t>i</w:t>
      </w:r>
      <w:r w:rsidR="003852EC" w:rsidRPr="00EF7F81">
        <w:rPr>
          <w:i/>
          <w:sz w:val="24"/>
          <w:szCs w:val="24"/>
        </w:rPr>
        <w:t xml:space="preserve"> sva jaja u istu košaru“</w:t>
      </w:r>
      <w:r w:rsidR="00EF7F81" w:rsidRPr="00EF7F81">
        <w:rPr>
          <w:i/>
          <w:sz w:val="24"/>
          <w:szCs w:val="24"/>
        </w:rPr>
        <w:t>,</w:t>
      </w:r>
      <w:r w:rsidR="00EF7F81" w:rsidRPr="00EF7F81">
        <w:rPr>
          <w:sz w:val="24"/>
          <w:szCs w:val="24"/>
        </w:rPr>
        <w:t xml:space="preserve"> npr. ulaganjem u različite vrste financijskih instrumenata istodobno, ili ako se npr. radi isključivo o ulaganju u dionice, diverzifikacija se postiže ulaganjem u dionice iz </w:t>
      </w:r>
      <w:r w:rsidR="003852EC" w:rsidRPr="00EF7F81">
        <w:rPr>
          <w:sz w:val="24"/>
          <w:szCs w:val="24"/>
        </w:rPr>
        <w:t xml:space="preserve"> različitih zemljopisnih regija, gospodarskih sektora, različitih </w:t>
      </w:r>
      <w:r w:rsidR="00F7613E">
        <w:rPr>
          <w:sz w:val="24"/>
          <w:szCs w:val="24"/>
        </w:rPr>
        <w:t xml:space="preserve">tvrtki, različitih veličina tvrtki </w:t>
      </w:r>
      <w:r w:rsidR="003852EC" w:rsidRPr="00EF7F81">
        <w:rPr>
          <w:sz w:val="24"/>
          <w:szCs w:val="24"/>
        </w:rPr>
        <w:t>i</w:t>
      </w:r>
      <w:r w:rsidR="00EF7F81">
        <w:rPr>
          <w:sz w:val="24"/>
          <w:szCs w:val="24"/>
        </w:rPr>
        <w:t xml:space="preserve"> slično</w:t>
      </w:r>
      <w:r w:rsidR="003852EC" w:rsidRPr="00EF7F81">
        <w:rPr>
          <w:sz w:val="24"/>
          <w:szCs w:val="24"/>
        </w:rPr>
        <w:t>.</w:t>
      </w:r>
      <w:r w:rsidR="00C4205B">
        <w:rPr>
          <w:sz w:val="24"/>
          <w:szCs w:val="24"/>
        </w:rPr>
        <w:t xml:space="preserve"> </w:t>
      </w:r>
    </w:p>
    <w:p w:rsidR="00B3333D" w:rsidRPr="00B3333D" w:rsidRDefault="00CE02D5" w:rsidP="00FC6BB5">
      <w:pPr>
        <w:autoSpaceDE w:val="0"/>
        <w:autoSpaceDN w:val="0"/>
        <w:adjustRightInd w:val="0"/>
        <w:jc w:val="both"/>
        <w:rPr>
          <w:b/>
          <w:sz w:val="24"/>
          <w:szCs w:val="24"/>
        </w:rPr>
      </w:pPr>
      <w:r>
        <w:rPr>
          <w:b/>
          <w:sz w:val="24"/>
          <w:szCs w:val="24"/>
        </w:rPr>
        <w:t>6</w:t>
      </w:r>
      <w:r w:rsidR="005B795E">
        <w:rPr>
          <w:b/>
          <w:sz w:val="24"/>
          <w:szCs w:val="24"/>
        </w:rPr>
        <w:t xml:space="preserve">.1. </w:t>
      </w:r>
      <w:r w:rsidR="00B3333D" w:rsidRPr="00B3333D">
        <w:rPr>
          <w:b/>
          <w:sz w:val="24"/>
          <w:szCs w:val="24"/>
        </w:rPr>
        <w:t>Vrste financijskih instrumenata i tržišta</w:t>
      </w:r>
    </w:p>
    <w:p w:rsidR="004B7B62" w:rsidRPr="005B795E" w:rsidRDefault="00120D88" w:rsidP="004B7B62">
      <w:pPr>
        <w:autoSpaceDE w:val="0"/>
        <w:autoSpaceDN w:val="0"/>
        <w:adjustRightInd w:val="0"/>
        <w:jc w:val="both"/>
        <w:rPr>
          <w:sz w:val="24"/>
          <w:szCs w:val="24"/>
        </w:rPr>
      </w:pPr>
      <w:r>
        <w:rPr>
          <w:sz w:val="24"/>
          <w:szCs w:val="24"/>
        </w:rPr>
        <w:t xml:space="preserve">Radi lakšeg razumijevanja teksta u nastavku, u ovom dijelu se iznose osnovne informacije o financijskim tržištima te </w:t>
      </w:r>
      <w:r w:rsidRPr="00F7613E">
        <w:rPr>
          <w:color w:val="C00000"/>
          <w:sz w:val="24"/>
          <w:szCs w:val="24"/>
        </w:rPr>
        <w:t xml:space="preserve">obilježjima </w:t>
      </w:r>
      <w:r w:rsidR="00DF407A" w:rsidRPr="00F7613E">
        <w:rPr>
          <w:color w:val="C00000"/>
          <w:sz w:val="24"/>
          <w:szCs w:val="24"/>
        </w:rPr>
        <w:t xml:space="preserve">financijskih </w:t>
      </w:r>
      <w:r w:rsidRPr="00F7613E">
        <w:rPr>
          <w:color w:val="C00000"/>
          <w:sz w:val="24"/>
          <w:szCs w:val="24"/>
        </w:rPr>
        <w:t>instrum</w:t>
      </w:r>
      <w:r w:rsidR="00DF407A" w:rsidRPr="00F7613E">
        <w:rPr>
          <w:color w:val="C00000"/>
          <w:sz w:val="24"/>
          <w:szCs w:val="24"/>
        </w:rPr>
        <w:t xml:space="preserve">enata </w:t>
      </w:r>
      <w:r w:rsidR="00DF407A">
        <w:rPr>
          <w:sz w:val="24"/>
          <w:szCs w:val="24"/>
        </w:rPr>
        <w:t>koji se na njima javljaju, a koji se međusobno razlikuju po ročnosti, likvidnosti i rizičnosti.</w:t>
      </w:r>
      <w:r w:rsidR="004B7B62">
        <w:rPr>
          <w:sz w:val="24"/>
          <w:szCs w:val="24"/>
        </w:rPr>
        <w:t xml:space="preserve"> </w:t>
      </w:r>
      <w:r w:rsidR="004B7B62" w:rsidRPr="00F7613E">
        <w:rPr>
          <w:color w:val="C00000"/>
          <w:sz w:val="24"/>
          <w:szCs w:val="24"/>
        </w:rPr>
        <w:t>Likvidnost</w:t>
      </w:r>
      <w:r w:rsidR="004B7B62" w:rsidRPr="005B795E">
        <w:rPr>
          <w:sz w:val="24"/>
          <w:szCs w:val="24"/>
        </w:rPr>
        <w:t xml:space="preserve"> financijskog instrumenta, odnosno likvidnost imovine predstavlja sposobnost njene brze i lake prodaje (unovčenja) bez gubitaka i troškova. Rizičnost financijskih instrumenata ovisi o njihovim obilježjima, uz dionice se tipično veže tržišni rizik koji proizlazi iz promjene tržišne vrijednosti dionice u odnosu na cijenu po kojoj je kupljena, kod obveznica je tržišni rizik ujedno povezan s kamatnim rizikom; kod svih financijskih instrumenata postoji rizik tržišne likvidnosti itd.</w:t>
      </w:r>
    </w:p>
    <w:p w:rsidR="004B7B62" w:rsidRDefault="004B7B62" w:rsidP="004B7B62">
      <w:pPr>
        <w:autoSpaceDE w:val="0"/>
        <w:autoSpaceDN w:val="0"/>
        <w:adjustRightInd w:val="0"/>
        <w:jc w:val="both"/>
        <w:rPr>
          <w:sz w:val="24"/>
          <w:szCs w:val="24"/>
        </w:rPr>
      </w:pPr>
      <w:r w:rsidRPr="005B795E">
        <w:rPr>
          <w:sz w:val="24"/>
          <w:szCs w:val="24"/>
        </w:rPr>
        <w:t xml:space="preserve">Uobičajeno se smatra da su depoziti u bankama i dužnički financijski instrumenti koje izdaje država najmanjeg stupnja rizičnosti ulaganja, </w:t>
      </w:r>
      <w:r>
        <w:rPr>
          <w:sz w:val="24"/>
          <w:szCs w:val="24"/>
        </w:rPr>
        <w:t xml:space="preserve">pa </w:t>
      </w:r>
      <w:r w:rsidRPr="005B795E">
        <w:rPr>
          <w:sz w:val="24"/>
          <w:szCs w:val="24"/>
        </w:rPr>
        <w:t xml:space="preserve">zbog toga predstavljaju svojevrsne referentne instrumente u odnosu na koje se promatraju svi ostali financijski instrumenti – a u smislu očekivanog višeg prinosa od ulaganja ali i višeg stupnja rizičnosti te </w:t>
      </w:r>
      <w:r>
        <w:rPr>
          <w:sz w:val="24"/>
          <w:szCs w:val="24"/>
        </w:rPr>
        <w:t xml:space="preserve">moguće </w:t>
      </w:r>
      <w:r w:rsidRPr="005B795E">
        <w:rPr>
          <w:sz w:val="24"/>
          <w:szCs w:val="24"/>
        </w:rPr>
        <w:t>manjeg stupnja likvidnosti.</w:t>
      </w:r>
    </w:p>
    <w:p w:rsidR="00B3333D" w:rsidRDefault="00B3333D" w:rsidP="00310A22">
      <w:pPr>
        <w:autoSpaceDE w:val="0"/>
        <w:autoSpaceDN w:val="0"/>
        <w:adjustRightInd w:val="0"/>
        <w:spacing w:after="0"/>
        <w:jc w:val="both"/>
        <w:rPr>
          <w:sz w:val="24"/>
          <w:szCs w:val="24"/>
        </w:rPr>
      </w:pPr>
      <w:r>
        <w:rPr>
          <w:sz w:val="24"/>
          <w:szCs w:val="24"/>
        </w:rPr>
        <w:t>Financijski instrumenti dostupni na financijskom tržištu dijele</w:t>
      </w:r>
      <w:r w:rsidR="005B795E">
        <w:rPr>
          <w:sz w:val="24"/>
          <w:szCs w:val="24"/>
        </w:rPr>
        <w:t xml:space="preserve"> se </w:t>
      </w:r>
      <w:r w:rsidR="005B795E" w:rsidRPr="005B795E">
        <w:rPr>
          <w:color w:val="C00000"/>
          <w:sz w:val="24"/>
          <w:szCs w:val="24"/>
        </w:rPr>
        <w:t>prema ročnosti</w:t>
      </w:r>
      <w:r w:rsidRPr="005B795E">
        <w:rPr>
          <w:color w:val="C00000"/>
          <w:sz w:val="24"/>
          <w:szCs w:val="24"/>
        </w:rPr>
        <w:t xml:space="preserve"> </w:t>
      </w:r>
      <w:r>
        <w:rPr>
          <w:sz w:val="24"/>
          <w:szCs w:val="24"/>
        </w:rPr>
        <w:t xml:space="preserve">na instrumente tržišta novca i instrumente tržišta kapitala. </w:t>
      </w:r>
    </w:p>
    <w:p w:rsidR="00B3333D" w:rsidRPr="00B3333D" w:rsidRDefault="00B3333D" w:rsidP="00C86D78">
      <w:pPr>
        <w:numPr>
          <w:ilvl w:val="0"/>
          <w:numId w:val="84"/>
        </w:numPr>
        <w:autoSpaceDE w:val="0"/>
        <w:autoSpaceDN w:val="0"/>
        <w:adjustRightInd w:val="0"/>
        <w:spacing w:after="0"/>
        <w:ind w:left="714" w:hanging="357"/>
        <w:jc w:val="both"/>
        <w:rPr>
          <w:sz w:val="24"/>
          <w:szCs w:val="24"/>
        </w:rPr>
      </w:pPr>
      <w:r w:rsidRPr="00B3333D">
        <w:rPr>
          <w:color w:val="C00000"/>
          <w:sz w:val="24"/>
          <w:szCs w:val="24"/>
        </w:rPr>
        <w:t xml:space="preserve">Novčano tržište </w:t>
      </w:r>
      <w:r w:rsidRPr="00B3333D">
        <w:rPr>
          <w:sz w:val="24"/>
          <w:szCs w:val="24"/>
        </w:rPr>
        <w:t xml:space="preserve">uključuje tržište novca i kratkoročnih vrijednosnica, što sve zajedno obuhvaća financijske instrumente čija je ročnost kraća od jedne godine. </w:t>
      </w:r>
    </w:p>
    <w:p w:rsidR="00B3333D" w:rsidRPr="00B3333D" w:rsidRDefault="00B3333D" w:rsidP="00C86D78">
      <w:pPr>
        <w:pStyle w:val="Odlomakpopisa"/>
        <w:numPr>
          <w:ilvl w:val="0"/>
          <w:numId w:val="84"/>
        </w:numPr>
        <w:autoSpaceDE w:val="0"/>
        <w:autoSpaceDN w:val="0"/>
        <w:adjustRightInd w:val="0"/>
        <w:jc w:val="both"/>
        <w:rPr>
          <w:sz w:val="24"/>
          <w:szCs w:val="24"/>
        </w:rPr>
      </w:pPr>
      <w:r w:rsidRPr="00B3333D">
        <w:rPr>
          <w:color w:val="C00000"/>
          <w:sz w:val="24"/>
          <w:szCs w:val="24"/>
        </w:rPr>
        <w:t xml:space="preserve">Tržište kapitala  </w:t>
      </w:r>
      <w:r w:rsidRPr="00B3333D">
        <w:rPr>
          <w:sz w:val="24"/>
          <w:szCs w:val="24"/>
        </w:rPr>
        <w:t>teoretski uključuje sve financijske instrumente čija je ročnost duža od jedne godine, npr. dogovorno tržište dugoročnih kredita i tržište dugoročnih vrijednosnica poput obveznica i dionica, ali u praksi se prvenstveno veže uz tržište dionica i obveznica</w:t>
      </w:r>
      <w:r w:rsidR="00F7613E">
        <w:rPr>
          <w:sz w:val="24"/>
          <w:szCs w:val="24"/>
        </w:rPr>
        <w:t>. K</w:t>
      </w:r>
      <w:r w:rsidRPr="00B3333D">
        <w:rPr>
          <w:sz w:val="24"/>
          <w:szCs w:val="24"/>
        </w:rPr>
        <w:t xml:space="preserve">atkada se pod time misli samo na tržište dionica, a ujedno je i pojam kojim često imenuje burza kao organizirano tržište vrijednosnicama. </w:t>
      </w:r>
    </w:p>
    <w:p w:rsidR="00B3333D" w:rsidRPr="005B795E" w:rsidRDefault="00B3333D" w:rsidP="00B3333D">
      <w:pPr>
        <w:autoSpaceDE w:val="0"/>
        <w:autoSpaceDN w:val="0"/>
        <w:adjustRightInd w:val="0"/>
        <w:jc w:val="both"/>
        <w:rPr>
          <w:sz w:val="24"/>
          <w:szCs w:val="24"/>
        </w:rPr>
      </w:pPr>
      <w:r w:rsidRPr="007011A3">
        <w:rPr>
          <w:color w:val="C00000"/>
          <w:sz w:val="24"/>
          <w:szCs w:val="24"/>
        </w:rPr>
        <w:t xml:space="preserve">Financijski instrumenti </w:t>
      </w:r>
      <w:r w:rsidRPr="005B795E">
        <w:rPr>
          <w:sz w:val="24"/>
          <w:szCs w:val="24"/>
        </w:rPr>
        <w:t xml:space="preserve">predstavljaju ugovore u kojima su sadržana prava i obveze iz određenog financijskog odnosa. U kategoriju financijskih instrumenata ulaze krediti, depoziti, vrijednosnice (vrijednosni papiri, poput obveznica i dionica), financijske izvedenice, gotovina (gotov novac u novčanicama i kovanicama), depozitni novac itd. </w:t>
      </w:r>
      <w:r w:rsidR="007011A3">
        <w:rPr>
          <w:sz w:val="24"/>
          <w:szCs w:val="24"/>
        </w:rPr>
        <w:t>M</w:t>
      </w:r>
      <w:r w:rsidRPr="005B795E">
        <w:rPr>
          <w:sz w:val="24"/>
          <w:szCs w:val="24"/>
        </w:rPr>
        <w:t>ože se odnositi na različite kategorije financijske imovine u aktivi bilance ili različite oblike financijskih obveza u pasivi</w:t>
      </w:r>
      <w:r w:rsidR="007011A3">
        <w:rPr>
          <w:sz w:val="24"/>
          <w:szCs w:val="24"/>
        </w:rPr>
        <w:t xml:space="preserve"> bilance ekonomskog subjekta</w:t>
      </w:r>
      <w:r w:rsidRPr="005B795E">
        <w:rPr>
          <w:sz w:val="24"/>
          <w:szCs w:val="24"/>
        </w:rPr>
        <w:t xml:space="preserve">. Međutim, u osobnim financijama </w:t>
      </w:r>
      <w:r w:rsidR="007C2363" w:rsidRPr="005B795E">
        <w:rPr>
          <w:sz w:val="24"/>
          <w:szCs w:val="24"/>
        </w:rPr>
        <w:t xml:space="preserve">financijski instrumenti prvenstveno se promatraju s aspekta aktive bilance pojedinca ili kućanstva pa uključuju različite oblike ulaganja u financijsku imovinu u funkciji štednje ili u funkciji investicija. </w:t>
      </w:r>
    </w:p>
    <w:p w:rsidR="007C2363" w:rsidRPr="005B795E" w:rsidRDefault="001C181F" w:rsidP="00310A22">
      <w:pPr>
        <w:autoSpaceDE w:val="0"/>
        <w:autoSpaceDN w:val="0"/>
        <w:adjustRightInd w:val="0"/>
        <w:spacing w:after="0"/>
        <w:jc w:val="both"/>
        <w:rPr>
          <w:sz w:val="24"/>
          <w:szCs w:val="24"/>
        </w:rPr>
      </w:pPr>
      <w:r>
        <w:rPr>
          <w:sz w:val="24"/>
          <w:szCs w:val="24"/>
        </w:rPr>
        <w:lastRenderedPageBreak/>
        <w:t xml:space="preserve">S obzirom </w:t>
      </w:r>
      <w:r w:rsidRPr="001C181F">
        <w:rPr>
          <w:color w:val="C00000"/>
          <w:sz w:val="24"/>
          <w:szCs w:val="24"/>
        </w:rPr>
        <w:t>na vrstu prava</w:t>
      </w:r>
      <w:r>
        <w:rPr>
          <w:sz w:val="24"/>
          <w:szCs w:val="24"/>
        </w:rPr>
        <w:t>, f</w:t>
      </w:r>
      <w:r w:rsidR="007C2363" w:rsidRPr="005B795E">
        <w:rPr>
          <w:sz w:val="24"/>
          <w:szCs w:val="24"/>
        </w:rPr>
        <w:t>inancijski instrumenti mogu biti:</w:t>
      </w:r>
    </w:p>
    <w:p w:rsidR="007C2363" w:rsidRPr="005B795E" w:rsidRDefault="007C2363" w:rsidP="00C86D78">
      <w:pPr>
        <w:numPr>
          <w:ilvl w:val="0"/>
          <w:numId w:val="85"/>
        </w:numPr>
        <w:autoSpaceDE w:val="0"/>
        <w:autoSpaceDN w:val="0"/>
        <w:adjustRightInd w:val="0"/>
        <w:spacing w:after="0" w:line="240" w:lineRule="auto"/>
        <w:jc w:val="both"/>
        <w:rPr>
          <w:sz w:val="24"/>
          <w:szCs w:val="24"/>
        </w:rPr>
      </w:pPr>
      <w:r w:rsidRPr="007011A3">
        <w:rPr>
          <w:color w:val="C00000"/>
          <w:sz w:val="24"/>
          <w:szCs w:val="24"/>
        </w:rPr>
        <w:t xml:space="preserve">dužnički </w:t>
      </w:r>
      <w:r w:rsidRPr="005B795E">
        <w:rPr>
          <w:sz w:val="24"/>
          <w:szCs w:val="24"/>
        </w:rPr>
        <w:t>–</w:t>
      </w:r>
      <w:r w:rsidR="007011A3">
        <w:rPr>
          <w:sz w:val="24"/>
          <w:szCs w:val="24"/>
        </w:rPr>
        <w:t xml:space="preserve"> npr. krediti, obveznice, trezorski zapisi i slično, koji </w:t>
      </w:r>
      <w:r w:rsidRPr="005B795E">
        <w:rPr>
          <w:sz w:val="24"/>
          <w:szCs w:val="24"/>
        </w:rPr>
        <w:t xml:space="preserve">za </w:t>
      </w:r>
      <w:r w:rsidR="007011A3">
        <w:rPr>
          <w:sz w:val="24"/>
          <w:szCs w:val="24"/>
        </w:rPr>
        <w:t xml:space="preserve">dužnike predstavljaju obvezu, a za </w:t>
      </w:r>
      <w:r w:rsidRPr="005B795E">
        <w:rPr>
          <w:sz w:val="24"/>
          <w:szCs w:val="24"/>
        </w:rPr>
        <w:t>kreditore (vjerovnike</w:t>
      </w:r>
      <w:r w:rsidR="007011A3">
        <w:rPr>
          <w:sz w:val="24"/>
          <w:szCs w:val="24"/>
        </w:rPr>
        <w:t>),</w:t>
      </w:r>
      <w:r w:rsidRPr="005B795E">
        <w:rPr>
          <w:sz w:val="24"/>
          <w:szCs w:val="24"/>
        </w:rPr>
        <w:t xml:space="preserve"> odnosno kupce dužničkih vrijednosnica predstavljaju oblik plasmana koji im donosi prihode od kamata</w:t>
      </w:r>
      <w:r w:rsidR="007011A3">
        <w:rPr>
          <w:sz w:val="24"/>
          <w:szCs w:val="24"/>
        </w:rPr>
        <w:t xml:space="preserve"> - </w:t>
      </w:r>
      <w:r w:rsidRPr="005B795E">
        <w:rPr>
          <w:sz w:val="24"/>
          <w:szCs w:val="24"/>
        </w:rPr>
        <w:t xml:space="preserve"> </w:t>
      </w:r>
      <w:r w:rsidR="007011A3">
        <w:rPr>
          <w:sz w:val="24"/>
          <w:szCs w:val="24"/>
        </w:rPr>
        <w:t xml:space="preserve">a </w:t>
      </w:r>
      <w:r w:rsidRPr="005B795E">
        <w:rPr>
          <w:sz w:val="24"/>
          <w:szCs w:val="24"/>
        </w:rPr>
        <w:t xml:space="preserve">dodatno prodajom </w:t>
      </w:r>
      <w:r w:rsidR="007011A3">
        <w:rPr>
          <w:sz w:val="24"/>
          <w:szCs w:val="24"/>
        </w:rPr>
        <w:t xml:space="preserve">npr. </w:t>
      </w:r>
      <w:r w:rsidRPr="005B795E">
        <w:rPr>
          <w:sz w:val="24"/>
          <w:szCs w:val="24"/>
        </w:rPr>
        <w:t xml:space="preserve">obveznica uz veću cijenu od </w:t>
      </w:r>
      <w:r w:rsidR="007011A3">
        <w:rPr>
          <w:sz w:val="24"/>
          <w:szCs w:val="24"/>
        </w:rPr>
        <w:t xml:space="preserve">nabavne </w:t>
      </w:r>
      <w:r w:rsidRPr="005B795E">
        <w:rPr>
          <w:sz w:val="24"/>
          <w:szCs w:val="24"/>
        </w:rPr>
        <w:t xml:space="preserve">mogu ostvariti </w:t>
      </w:r>
      <w:r w:rsidRPr="00F7613E">
        <w:rPr>
          <w:color w:val="C00000"/>
          <w:sz w:val="24"/>
          <w:szCs w:val="24"/>
        </w:rPr>
        <w:t>kapitalni dobitak</w:t>
      </w:r>
      <w:r w:rsidR="007011A3" w:rsidRPr="00F7613E">
        <w:rPr>
          <w:color w:val="C00000"/>
          <w:sz w:val="24"/>
          <w:szCs w:val="24"/>
        </w:rPr>
        <w:t xml:space="preserve"> </w:t>
      </w:r>
      <w:r w:rsidR="007011A3">
        <w:rPr>
          <w:sz w:val="24"/>
          <w:szCs w:val="24"/>
        </w:rPr>
        <w:t xml:space="preserve">(suprotno u slučaju </w:t>
      </w:r>
      <w:r w:rsidRPr="005B795E">
        <w:rPr>
          <w:sz w:val="24"/>
          <w:szCs w:val="24"/>
        </w:rPr>
        <w:t xml:space="preserve">prodaja po nižoj cijeni od nabavne/kupovne </w:t>
      </w:r>
      <w:r w:rsidR="007011A3">
        <w:rPr>
          <w:sz w:val="24"/>
          <w:szCs w:val="24"/>
        </w:rPr>
        <w:t xml:space="preserve">javlja se </w:t>
      </w:r>
      <w:r w:rsidRPr="00F7613E">
        <w:rPr>
          <w:color w:val="C00000"/>
          <w:sz w:val="24"/>
          <w:szCs w:val="24"/>
        </w:rPr>
        <w:t>kapitalni gubitak</w:t>
      </w:r>
      <w:r w:rsidR="007011A3">
        <w:rPr>
          <w:sz w:val="24"/>
          <w:szCs w:val="24"/>
        </w:rPr>
        <w:t>)</w:t>
      </w:r>
      <w:r w:rsidRPr="005B795E">
        <w:rPr>
          <w:sz w:val="24"/>
          <w:szCs w:val="24"/>
        </w:rPr>
        <w:t>;</w:t>
      </w:r>
    </w:p>
    <w:p w:rsidR="007C2363" w:rsidRPr="005B795E" w:rsidRDefault="007C2363" w:rsidP="00C86D78">
      <w:pPr>
        <w:numPr>
          <w:ilvl w:val="0"/>
          <w:numId w:val="85"/>
        </w:numPr>
        <w:autoSpaceDE w:val="0"/>
        <w:autoSpaceDN w:val="0"/>
        <w:adjustRightInd w:val="0"/>
        <w:spacing w:after="0" w:line="240" w:lineRule="auto"/>
        <w:jc w:val="both"/>
        <w:rPr>
          <w:sz w:val="24"/>
          <w:szCs w:val="24"/>
        </w:rPr>
      </w:pPr>
      <w:r w:rsidRPr="00C42ACD">
        <w:rPr>
          <w:sz w:val="24"/>
          <w:szCs w:val="24"/>
        </w:rPr>
        <w:t xml:space="preserve">i </w:t>
      </w:r>
      <w:r w:rsidRPr="001C181F">
        <w:rPr>
          <w:color w:val="C00000"/>
          <w:sz w:val="24"/>
          <w:szCs w:val="24"/>
        </w:rPr>
        <w:t>vlasnički</w:t>
      </w:r>
      <w:r w:rsidRPr="005B795E">
        <w:rPr>
          <w:sz w:val="24"/>
          <w:szCs w:val="24"/>
        </w:rPr>
        <w:t xml:space="preserve"> npr. dionice i udjeli u vlasni</w:t>
      </w:r>
      <w:r w:rsidR="001C181F">
        <w:rPr>
          <w:sz w:val="24"/>
          <w:szCs w:val="24"/>
        </w:rPr>
        <w:t xml:space="preserve">štvu određenog pravnog subjekta, koji </w:t>
      </w:r>
      <w:r w:rsidRPr="005B795E">
        <w:rPr>
          <w:sz w:val="24"/>
          <w:szCs w:val="24"/>
        </w:rPr>
        <w:t xml:space="preserve">vlasnicima eventualno donose određeni prihod na ime prava sudjelovanja u raspodjeli dobiti koju je ostvarilo određeno dioničko društvo – dividende, </w:t>
      </w:r>
      <w:r w:rsidR="001C181F">
        <w:rPr>
          <w:sz w:val="24"/>
          <w:szCs w:val="24"/>
        </w:rPr>
        <w:t xml:space="preserve">a dodatno </w:t>
      </w:r>
      <w:r w:rsidRPr="005B795E">
        <w:rPr>
          <w:sz w:val="24"/>
          <w:szCs w:val="24"/>
        </w:rPr>
        <w:t>donose mogućnost zarade na ime kapitalnih dobitaka (</w:t>
      </w:r>
      <w:r w:rsidR="001C181F">
        <w:rPr>
          <w:sz w:val="24"/>
          <w:szCs w:val="24"/>
        </w:rPr>
        <w:t xml:space="preserve">ali i mogućnost kapitalnih gubitaka u slučaju </w:t>
      </w:r>
      <w:r w:rsidRPr="005B795E">
        <w:rPr>
          <w:sz w:val="24"/>
          <w:szCs w:val="24"/>
        </w:rPr>
        <w:t>prodaj</w:t>
      </w:r>
      <w:r w:rsidR="001C181F">
        <w:rPr>
          <w:sz w:val="24"/>
          <w:szCs w:val="24"/>
        </w:rPr>
        <w:t>e</w:t>
      </w:r>
      <w:r w:rsidRPr="005B795E">
        <w:rPr>
          <w:sz w:val="24"/>
          <w:szCs w:val="24"/>
        </w:rPr>
        <w:t xml:space="preserve"> po nižoj cijeni od kupovne/</w:t>
      </w:r>
      <w:r w:rsidR="001C181F">
        <w:rPr>
          <w:sz w:val="24"/>
          <w:szCs w:val="24"/>
        </w:rPr>
        <w:t xml:space="preserve"> nabavne</w:t>
      </w:r>
      <w:r w:rsidRPr="005B795E">
        <w:rPr>
          <w:sz w:val="24"/>
          <w:szCs w:val="24"/>
        </w:rPr>
        <w:t>).</w:t>
      </w:r>
    </w:p>
    <w:p w:rsidR="001C181F" w:rsidRDefault="007C2363" w:rsidP="00310A22">
      <w:pPr>
        <w:autoSpaceDE w:val="0"/>
        <w:autoSpaceDN w:val="0"/>
        <w:adjustRightInd w:val="0"/>
        <w:spacing w:before="240" w:after="0"/>
        <w:jc w:val="both"/>
        <w:rPr>
          <w:sz w:val="24"/>
          <w:szCs w:val="24"/>
        </w:rPr>
      </w:pPr>
      <w:r w:rsidRPr="005B795E">
        <w:rPr>
          <w:sz w:val="24"/>
          <w:szCs w:val="24"/>
        </w:rPr>
        <w:t xml:space="preserve">Treća podjela </w:t>
      </w:r>
      <w:r w:rsidR="001C181F">
        <w:rPr>
          <w:sz w:val="24"/>
          <w:szCs w:val="24"/>
        </w:rPr>
        <w:t xml:space="preserve">financijskih instrumenata </w:t>
      </w:r>
      <w:r w:rsidR="00F7613E">
        <w:rPr>
          <w:sz w:val="24"/>
          <w:szCs w:val="24"/>
        </w:rPr>
        <w:t>je</w:t>
      </w:r>
      <w:r w:rsidRPr="005B795E">
        <w:rPr>
          <w:sz w:val="24"/>
          <w:szCs w:val="24"/>
        </w:rPr>
        <w:t xml:space="preserve"> s aspekta valute, uključujući</w:t>
      </w:r>
      <w:r w:rsidR="001C181F">
        <w:rPr>
          <w:sz w:val="24"/>
          <w:szCs w:val="24"/>
        </w:rPr>
        <w:t>:</w:t>
      </w:r>
    </w:p>
    <w:p w:rsidR="001C181F" w:rsidRPr="001C181F" w:rsidRDefault="007C2363" w:rsidP="00C86D78">
      <w:pPr>
        <w:pStyle w:val="Odlomakpopisa"/>
        <w:numPr>
          <w:ilvl w:val="0"/>
          <w:numId w:val="87"/>
        </w:numPr>
        <w:autoSpaceDE w:val="0"/>
        <w:autoSpaceDN w:val="0"/>
        <w:adjustRightInd w:val="0"/>
        <w:jc w:val="both"/>
        <w:rPr>
          <w:sz w:val="24"/>
          <w:szCs w:val="24"/>
        </w:rPr>
      </w:pPr>
      <w:r w:rsidRPr="001C181F">
        <w:rPr>
          <w:sz w:val="24"/>
          <w:szCs w:val="24"/>
        </w:rPr>
        <w:t xml:space="preserve">financijske instrumente </w:t>
      </w:r>
      <w:r w:rsidRPr="00FA5A61">
        <w:rPr>
          <w:color w:val="C00000"/>
          <w:sz w:val="24"/>
          <w:szCs w:val="24"/>
        </w:rPr>
        <w:t xml:space="preserve">denominirane u domaćoj valuti </w:t>
      </w:r>
      <w:r w:rsidRPr="001C181F">
        <w:rPr>
          <w:sz w:val="24"/>
          <w:szCs w:val="24"/>
        </w:rPr>
        <w:t xml:space="preserve">(glase na određeni iznos glavnice izražene u kunama); </w:t>
      </w:r>
    </w:p>
    <w:p w:rsidR="001C181F" w:rsidRPr="001C181F" w:rsidRDefault="007C2363" w:rsidP="00C86D78">
      <w:pPr>
        <w:pStyle w:val="Odlomakpopisa"/>
        <w:numPr>
          <w:ilvl w:val="0"/>
          <w:numId w:val="87"/>
        </w:numPr>
        <w:autoSpaceDE w:val="0"/>
        <w:autoSpaceDN w:val="0"/>
        <w:adjustRightInd w:val="0"/>
        <w:jc w:val="both"/>
        <w:rPr>
          <w:sz w:val="24"/>
          <w:szCs w:val="24"/>
        </w:rPr>
      </w:pPr>
      <w:r w:rsidRPr="00FA5A61">
        <w:rPr>
          <w:color w:val="C00000"/>
          <w:sz w:val="24"/>
          <w:szCs w:val="24"/>
        </w:rPr>
        <w:t xml:space="preserve">denominirane u stranim valutama </w:t>
      </w:r>
      <w:r w:rsidRPr="001C181F">
        <w:rPr>
          <w:sz w:val="24"/>
          <w:szCs w:val="24"/>
        </w:rPr>
        <w:t xml:space="preserve">(uključujući vrijednosnice denominirane u eurima, dolarima ili drugoj stranoj valuti, kao i </w:t>
      </w:r>
      <w:r w:rsidRPr="00F7613E">
        <w:rPr>
          <w:color w:val="C00000"/>
          <w:sz w:val="24"/>
          <w:szCs w:val="24"/>
        </w:rPr>
        <w:t xml:space="preserve">devize </w:t>
      </w:r>
      <w:r w:rsidRPr="001C181F">
        <w:rPr>
          <w:sz w:val="24"/>
          <w:szCs w:val="24"/>
        </w:rPr>
        <w:t>što kao pojam praktično predstavlja svako potraživanje koje glasi na stranu valutu, npr. devizni depozit u banci);</w:t>
      </w:r>
    </w:p>
    <w:p w:rsidR="007C2363" w:rsidRPr="001C181F" w:rsidRDefault="007C2363" w:rsidP="00C86D78">
      <w:pPr>
        <w:pStyle w:val="Odlomakpopisa"/>
        <w:numPr>
          <w:ilvl w:val="0"/>
          <w:numId w:val="87"/>
        </w:numPr>
        <w:autoSpaceDE w:val="0"/>
        <w:autoSpaceDN w:val="0"/>
        <w:adjustRightInd w:val="0"/>
        <w:jc w:val="both"/>
        <w:rPr>
          <w:sz w:val="24"/>
          <w:szCs w:val="24"/>
        </w:rPr>
      </w:pPr>
      <w:r w:rsidRPr="00FA5A61">
        <w:rPr>
          <w:color w:val="C00000"/>
          <w:sz w:val="24"/>
          <w:szCs w:val="24"/>
        </w:rPr>
        <w:t xml:space="preserve">indeksirane valutnom klauzulom </w:t>
      </w:r>
      <w:r w:rsidR="00F7613E">
        <w:rPr>
          <w:sz w:val="24"/>
          <w:szCs w:val="24"/>
        </w:rPr>
        <w:t xml:space="preserve">– kod kojih se plaćanje novčanih obveza dospjele </w:t>
      </w:r>
      <w:r w:rsidRPr="001C181F">
        <w:rPr>
          <w:sz w:val="24"/>
          <w:szCs w:val="24"/>
        </w:rPr>
        <w:t xml:space="preserve">glavnice duga i pripadajućih kamata vrednuje se s obzirom na devizni tečaj određene strane valute u odnosu na domaću valutu </w:t>
      </w:r>
      <w:r w:rsidR="00F7613E">
        <w:rPr>
          <w:sz w:val="24"/>
          <w:szCs w:val="24"/>
        </w:rPr>
        <w:t xml:space="preserve">(npr. srednji tečaj HNB-a i slično); praktično to znači da je vrijednost duga definirana u stranoj valuti </w:t>
      </w:r>
      <w:r w:rsidRPr="001C181F">
        <w:rPr>
          <w:sz w:val="24"/>
          <w:szCs w:val="24"/>
        </w:rPr>
        <w:t>ali se sva novčana plaćanja (npr. isplata kredita, otplata mjesečnih anuiteta/rata otplate kredita, plaćanje kamata u okviru mjesečnih anuiteta/rata) obavljaju u domaćoj valuti.</w:t>
      </w:r>
    </w:p>
    <w:p w:rsidR="007C2363" w:rsidRPr="005B795E" w:rsidRDefault="007C2363" w:rsidP="007C2363">
      <w:pPr>
        <w:autoSpaceDE w:val="0"/>
        <w:autoSpaceDN w:val="0"/>
        <w:adjustRightInd w:val="0"/>
        <w:jc w:val="both"/>
        <w:rPr>
          <w:sz w:val="24"/>
          <w:szCs w:val="24"/>
        </w:rPr>
      </w:pPr>
      <w:r w:rsidRPr="005B795E">
        <w:rPr>
          <w:sz w:val="24"/>
          <w:szCs w:val="24"/>
        </w:rPr>
        <w:t xml:space="preserve">Postoje i druge podjele financijskih instrumenta pa </w:t>
      </w:r>
      <w:r w:rsidR="001C181F">
        <w:rPr>
          <w:sz w:val="24"/>
          <w:szCs w:val="24"/>
        </w:rPr>
        <w:t xml:space="preserve">se </w:t>
      </w:r>
      <w:r w:rsidRPr="005B795E">
        <w:rPr>
          <w:sz w:val="24"/>
          <w:szCs w:val="24"/>
        </w:rPr>
        <w:t>mo</w:t>
      </w:r>
      <w:r w:rsidR="001C181F">
        <w:rPr>
          <w:sz w:val="24"/>
          <w:szCs w:val="24"/>
        </w:rPr>
        <w:t>gu</w:t>
      </w:r>
      <w:r w:rsidRPr="005B795E">
        <w:rPr>
          <w:sz w:val="24"/>
          <w:szCs w:val="24"/>
        </w:rPr>
        <w:t xml:space="preserve"> razlikovati npr. financijsk</w:t>
      </w:r>
      <w:r w:rsidR="001C181F">
        <w:rPr>
          <w:sz w:val="24"/>
          <w:szCs w:val="24"/>
        </w:rPr>
        <w:t>i</w:t>
      </w:r>
      <w:r w:rsidRPr="005B795E">
        <w:rPr>
          <w:sz w:val="24"/>
          <w:szCs w:val="24"/>
        </w:rPr>
        <w:t xml:space="preserve"> instrument</w:t>
      </w:r>
      <w:r w:rsidR="001C181F">
        <w:rPr>
          <w:sz w:val="24"/>
          <w:szCs w:val="24"/>
        </w:rPr>
        <w:t>i</w:t>
      </w:r>
      <w:r w:rsidRPr="005B795E">
        <w:rPr>
          <w:sz w:val="24"/>
          <w:szCs w:val="24"/>
        </w:rPr>
        <w:t xml:space="preserve"> s fiksnim prihodom (donose uvijek iste nepromjenjive iznose kamata – npr. obveznice s fiksnom kuponskom stopom) ili s varijabilnim ili tržišno indeksiranim prihodom (ovise o promjenama kamatnjaka na tržištu, o promjenama stope inflacije itd.)</w:t>
      </w:r>
      <w:r w:rsidR="00B347A8">
        <w:rPr>
          <w:sz w:val="24"/>
          <w:szCs w:val="24"/>
        </w:rPr>
        <w:t>.</w:t>
      </w:r>
      <w:r w:rsidRPr="005B795E">
        <w:rPr>
          <w:sz w:val="24"/>
          <w:szCs w:val="24"/>
        </w:rPr>
        <w:t xml:space="preserve"> </w:t>
      </w:r>
    </w:p>
    <w:p w:rsidR="006C452C" w:rsidRPr="006C452C" w:rsidRDefault="006C452C" w:rsidP="006C452C">
      <w:pPr>
        <w:autoSpaceDE w:val="0"/>
        <w:autoSpaceDN w:val="0"/>
        <w:adjustRightInd w:val="0"/>
        <w:spacing w:after="0"/>
        <w:jc w:val="both"/>
        <w:rPr>
          <w:b/>
          <w:sz w:val="24"/>
          <w:szCs w:val="24"/>
        </w:rPr>
      </w:pPr>
      <w:r w:rsidRPr="006C452C">
        <w:rPr>
          <w:b/>
          <w:sz w:val="24"/>
          <w:szCs w:val="24"/>
        </w:rPr>
        <w:t>Slika 40: Podjela financijskih tržišta</w:t>
      </w:r>
    </w:p>
    <w:p w:rsidR="007C2363" w:rsidRDefault="007C2363" w:rsidP="008C2AA1">
      <w:pPr>
        <w:autoSpaceDE w:val="0"/>
        <w:autoSpaceDN w:val="0"/>
        <w:adjustRightInd w:val="0"/>
        <w:spacing w:after="0"/>
        <w:jc w:val="both"/>
        <w:rPr>
          <w:sz w:val="24"/>
          <w:szCs w:val="24"/>
        </w:rPr>
      </w:pPr>
      <w:r w:rsidRPr="005B795E">
        <w:rPr>
          <w:noProof/>
          <w:sz w:val="24"/>
          <w:szCs w:val="24"/>
          <w:lang w:eastAsia="hr-HR"/>
        </w:rPr>
        <w:drawing>
          <wp:inline distT="0" distB="0" distL="0" distR="0" wp14:anchorId="223B8406" wp14:editId="60449166">
            <wp:extent cx="5838825" cy="2352675"/>
            <wp:effectExtent l="0" t="0" r="9525" b="952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38825" cy="2352675"/>
                    </a:xfrm>
                    <a:prstGeom prst="rect">
                      <a:avLst/>
                    </a:prstGeom>
                    <a:noFill/>
                    <a:ln>
                      <a:noFill/>
                    </a:ln>
                  </pic:spPr>
                </pic:pic>
              </a:graphicData>
            </a:graphic>
          </wp:inline>
        </w:drawing>
      </w:r>
    </w:p>
    <w:p w:rsidR="000A3D03" w:rsidRPr="008C2AA1" w:rsidRDefault="000A3D03" w:rsidP="007C2363">
      <w:pPr>
        <w:autoSpaceDE w:val="0"/>
        <w:autoSpaceDN w:val="0"/>
        <w:adjustRightInd w:val="0"/>
        <w:jc w:val="both"/>
        <w:rPr>
          <w:sz w:val="20"/>
          <w:szCs w:val="20"/>
        </w:rPr>
      </w:pPr>
      <w:r w:rsidRPr="008C2AA1">
        <w:rPr>
          <w:sz w:val="20"/>
          <w:szCs w:val="20"/>
        </w:rPr>
        <w:t>Izvor:</w:t>
      </w:r>
      <w:r w:rsidR="008C2AA1">
        <w:rPr>
          <w:sz w:val="20"/>
          <w:szCs w:val="20"/>
        </w:rPr>
        <w:t xml:space="preserve"> preuzeto iz:</w:t>
      </w:r>
      <w:r w:rsidRPr="008C2AA1">
        <w:rPr>
          <w:sz w:val="20"/>
          <w:szCs w:val="20"/>
        </w:rPr>
        <w:t xml:space="preserve"> </w:t>
      </w:r>
      <w:r w:rsidR="008C2AA1" w:rsidRPr="008C2AA1">
        <w:rPr>
          <w:sz w:val="20"/>
          <w:szCs w:val="20"/>
        </w:rPr>
        <w:t>Orsag, S.; Dedi, L. (2014.): „Tržište kapitala“, Alka Script</w:t>
      </w:r>
    </w:p>
    <w:p w:rsidR="00CE4C3C" w:rsidRDefault="001C181F" w:rsidP="00CE4C3C">
      <w:pPr>
        <w:pStyle w:val="StandardWeb"/>
        <w:spacing w:before="0" w:beforeAutospacing="0" w:after="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lastRenderedPageBreak/>
        <w:t>S obzirom na tržišta na kojima se trguje financijskim instrumentima ona mogu biti organizirana ili spontana; primarna i sekundarna; odnosno uključuju tržište novca i tržište kapitala</w:t>
      </w:r>
      <w:r w:rsidR="00310A22">
        <w:rPr>
          <w:rFonts w:asciiTheme="minorHAnsi" w:eastAsiaTheme="minorHAnsi" w:hAnsiTheme="minorHAnsi" w:cstheme="minorBidi"/>
          <w:lang w:eastAsia="en-US"/>
        </w:rPr>
        <w:t xml:space="preserve">, dok se kao zasebno može izdvojiti valutno tržište koje čini elektronički sustav trgovanja stranim valutama (uključujući spot tržišta sa trenutnim tečajem i terminska tržišta kod kojih se radi o </w:t>
      </w:r>
      <w:r w:rsidR="00310A22" w:rsidRPr="00310A22">
        <w:rPr>
          <w:rFonts w:asciiTheme="minorHAnsi" w:eastAsiaTheme="minorHAnsi" w:hAnsiTheme="minorHAnsi" w:cstheme="minorBidi"/>
          <w:lang w:eastAsia="en-US"/>
        </w:rPr>
        <w:t>kupnji ili prodaj određenog iznosa strane valute s isporukom u nekom budućem vremenu</w:t>
      </w:r>
      <w:r w:rsidR="00310A22">
        <w:rPr>
          <w:rFonts w:asciiTheme="minorHAnsi" w:eastAsiaTheme="minorHAnsi" w:hAnsiTheme="minorHAnsi" w:cstheme="minorBidi"/>
          <w:lang w:eastAsia="en-US"/>
        </w:rPr>
        <w:t>.</w:t>
      </w:r>
      <w:r>
        <w:rPr>
          <w:rFonts w:asciiTheme="minorHAnsi" w:eastAsiaTheme="minorHAnsi" w:hAnsiTheme="minorHAnsi" w:cstheme="minorBidi"/>
          <w:lang w:eastAsia="en-US"/>
        </w:rPr>
        <w:t xml:space="preserve"> </w:t>
      </w:r>
    </w:p>
    <w:p w:rsidR="004E08F2" w:rsidRDefault="00CE4C3C" w:rsidP="00CE4C3C">
      <w:pPr>
        <w:pStyle w:val="StandardWeb"/>
        <w:spacing w:before="60" w:beforeAutospacing="0" w:after="120" w:afterAutospacing="0" w:line="276" w:lineRule="auto"/>
        <w:jc w:val="both"/>
        <w:rPr>
          <w:rFonts w:asciiTheme="minorHAnsi" w:eastAsiaTheme="minorHAnsi" w:hAnsiTheme="minorHAnsi" w:cstheme="minorBidi"/>
          <w:lang w:eastAsia="en-US"/>
        </w:rPr>
      </w:pPr>
      <w:r w:rsidRPr="00F7613E">
        <w:rPr>
          <w:rFonts w:asciiTheme="minorHAnsi" w:eastAsiaTheme="minorHAnsi" w:hAnsiTheme="minorHAnsi" w:cstheme="minorBidi"/>
          <w:color w:val="C00000"/>
          <w:lang w:eastAsia="en-US"/>
        </w:rPr>
        <w:t xml:space="preserve">Burza </w:t>
      </w:r>
      <w:r>
        <w:rPr>
          <w:rFonts w:asciiTheme="minorHAnsi" w:eastAsiaTheme="minorHAnsi" w:hAnsiTheme="minorHAnsi" w:cstheme="minorBidi"/>
          <w:lang w:eastAsia="en-US"/>
        </w:rPr>
        <w:t xml:space="preserve">predstavlja </w:t>
      </w:r>
      <w:r w:rsidRPr="005B795E">
        <w:rPr>
          <w:rFonts w:asciiTheme="minorHAnsi" w:eastAsiaTheme="minorHAnsi" w:hAnsiTheme="minorHAnsi" w:cstheme="minorBidi"/>
          <w:lang w:eastAsia="en-US"/>
        </w:rPr>
        <w:t>organizirano tržišt</w:t>
      </w:r>
      <w:r>
        <w:rPr>
          <w:rFonts w:asciiTheme="minorHAnsi" w:eastAsiaTheme="minorHAnsi" w:hAnsiTheme="minorHAnsi" w:cstheme="minorBidi"/>
          <w:lang w:eastAsia="en-US"/>
        </w:rPr>
        <w:t>e</w:t>
      </w:r>
      <w:r w:rsidRPr="005B795E">
        <w:rPr>
          <w:rFonts w:asciiTheme="minorHAnsi" w:eastAsiaTheme="minorHAnsi" w:hAnsiTheme="minorHAnsi" w:cstheme="minorBidi"/>
          <w:lang w:eastAsia="en-US"/>
        </w:rPr>
        <w:t xml:space="preserve"> na kojem se trguje određenom robom (kavom, ribom ....) ili određenim standardiziranim financijskim instrumentima (vrijednosnicama), a u skladu s uređenim pravilima uvrštenja na burzu te pravilima koja se tiču obilježja financijskih instrumenta.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78"/>
      </w:tblGrid>
      <w:tr w:rsidR="007C2363" w:rsidRPr="005B795E" w:rsidTr="00C751E7">
        <w:tc>
          <w:tcPr>
            <w:tcW w:w="9178" w:type="dxa"/>
            <w:shd w:val="clear" w:color="auto" w:fill="F2F2F2" w:themeFill="background1" w:themeFillShade="F2"/>
          </w:tcPr>
          <w:p w:rsidR="007C2363" w:rsidRPr="005B795E" w:rsidRDefault="007C2363" w:rsidP="00C751E7">
            <w:pPr>
              <w:spacing w:before="120" w:after="120" w:line="240" w:lineRule="auto"/>
              <w:jc w:val="both"/>
              <w:rPr>
                <w:sz w:val="24"/>
                <w:szCs w:val="24"/>
              </w:rPr>
            </w:pPr>
            <w:r w:rsidRPr="005B795E">
              <w:rPr>
                <w:sz w:val="24"/>
                <w:szCs w:val="24"/>
              </w:rPr>
              <w:t>Za vrijednosnice s rokovima dospijeća izmirenja tražbine (potraživanja) kraćim od godinu dana kaže se da su predmet trgovanja na tržištu novca. To su npr. trezorski zapisi (izdaje ih Ministarstvo financija), blagajnički zapisi (izdaje ih HNB) i komercijalni zapisi (izdaju ih poduzeća). U SAD-u su također posebno popularni certifikati o depozitu.</w:t>
            </w:r>
          </w:p>
          <w:p w:rsidR="007C2363" w:rsidRPr="00C751E7" w:rsidRDefault="007C2363" w:rsidP="00C86D78">
            <w:pPr>
              <w:pStyle w:val="Odlomakpopisa"/>
              <w:numPr>
                <w:ilvl w:val="0"/>
                <w:numId w:val="88"/>
              </w:numPr>
              <w:autoSpaceDE w:val="0"/>
              <w:autoSpaceDN w:val="0"/>
              <w:adjustRightInd w:val="0"/>
              <w:spacing w:before="120" w:after="120" w:line="240" w:lineRule="auto"/>
              <w:jc w:val="both"/>
              <w:rPr>
                <w:sz w:val="24"/>
                <w:szCs w:val="24"/>
              </w:rPr>
            </w:pPr>
            <w:r w:rsidRPr="00C751E7">
              <w:rPr>
                <w:color w:val="C00000"/>
                <w:sz w:val="24"/>
                <w:szCs w:val="24"/>
              </w:rPr>
              <w:t xml:space="preserve">Komercijalni zapis </w:t>
            </w:r>
            <w:r w:rsidRPr="00C751E7">
              <w:rPr>
                <w:sz w:val="24"/>
                <w:szCs w:val="24"/>
              </w:rPr>
              <w:t>je kratkoročni utrživi vrijednosni papir s izvornim dospijećem do</w:t>
            </w:r>
            <w:r w:rsidR="00C751E7" w:rsidRPr="00C751E7">
              <w:rPr>
                <w:sz w:val="24"/>
                <w:szCs w:val="24"/>
              </w:rPr>
              <w:t xml:space="preserve"> </w:t>
            </w:r>
            <w:r w:rsidRPr="00C751E7">
              <w:rPr>
                <w:sz w:val="24"/>
                <w:szCs w:val="24"/>
              </w:rPr>
              <w:t>jedne godine. Izdavatelj komercijalnog zapisa može biti svaka pravna osoba (osim države ili središnje banke), odnosno tipično ih izdaju pojedinačna poduzeća.</w:t>
            </w:r>
          </w:p>
          <w:p w:rsidR="007C2363" w:rsidRPr="00C751E7" w:rsidRDefault="007C2363" w:rsidP="00C86D78">
            <w:pPr>
              <w:pStyle w:val="Odlomakpopisa"/>
              <w:numPr>
                <w:ilvl w:val="0"/>
                <w:numId w:val="88"/>
              </w:numPr>
              <w:autoSpaceDE w:val="0"/>
              <w:autoSpaceDN w:val="0"/>
              <w:adjustRightInd w:val="0"/>
              <w:spacing w:before="120" w:after="120" w:line="240" w:lineRule="auto"/>
              <w:jc w:val="both"/>
              <w:rPr>
                <w:sz w:val="24"/>
                <w:szCs w:val="24"/>
              </w:rPr>
            </w:pPr>
            <w:r w:rsidRPr="00C751E7">
              <w:rPr>
                <w:color w:val="C00000"/>
                <w:sz w:val="24"/>
                <w:szCs w:val="24"/>
              </w:rPr>
              <w:t xml:space="preserve">Blagajnički i trezorski zapisi </w:t>
            </w:r>
            <w:r w:rsidRPr="00C751E7">
              <w:rPr>
                <w:sz w:val="24"/>
                <w:szCs w:val="24"/>
              </w:rPr>
              <w:t>su kratkoročni utrživi vrijednosni papiri s izvornim</w:t>
            </w:r>
            <w:r w:rsidR="00C751E7" w:rsidRPr="00C751E7">
              <w:rPr>
                <w:sz w:val="24"/>
                <w:szCs w:val="24"/>
              </w:rPr>
              <w:t xml:space="preserve"> </w:t>
            </w:r>
            <w:r w:rsidRPr="00C751E7">
              <w:rPr>
                <w:sz w:val="24"/>
                <w:szCs w:val="24"/>
              </w:rPr>
              <w:t>dospijećem do jedne godine. U Republici Hrvatskoj blagajničke zapise izdaje</w:t>
            </w:r>
            <w:r w:rsidR="00C751E7" w:rsidRPr="00C751E7">
              <w:rPr>
                <w:sz w:val="24"/>
                <w:szCs w:val="24"/>
              </w:rPr>
              <w:t xml:space="preserve"> </w:t>
            </w:r>
            <w:r w:rsidRPr="00C751E7">
              <w:rPr>
                <w:sz w:val="24"/>
                <w:szCs w:val="24"/>
              </w:rPr>
              <w:t>HNB, a trezorske zapise Ministarstvo financija.</w:t>
            </w:r>
          </w:p>
          <w:p w:rsidR="007C2363" w:rsidRPr="00C751E7" w:rsidRDefault="007C2363" w:rsidP="00C86D78">
            <w:pPr>
              <w:pStyle w:val="Odlomakpopisa"/>
              <w:numPr>
                <w:ilvl w:val="0"/>
                <w:numId w:val="88"/>
              </w:numPr>
              <w:autoSpaceDE w:val="0"/>
              <w:autoSpaceDN w:val="0"/>
              <w:adjustRightInd w:val="0"/>
              <w:spacing w:before="120" w:after="120" w:line="240" w:lineRule="auto"/>
              <w:jc w:val="both"/>
              <w:rPr>
                <w:sz w:val="24"/>
                <w:szCs w:val="24"/>
              </w:rPr>
            </w:pPr>
            <w:r w:rsidRPr="00C751E7">
              <w:rPr>
                <w:color w:val="C00000"/>
                <w:sz w:val="24"/>
                <w:szCs w:val="24"/>
              </w:rPr>
              <w:t xml:space="preserve">Certifikat o depozitu </w:t>
            </w:r>
            <w:r w:rsidRPr="00C751E7">
              <w:rPr>
                <w:sz w:val="24"/>
                <w:szCs w:val="24"/>
              </w:rPr>
              <w:t xml:space="preserve">je prenosivi vrijednosni papir kojim određena kreditna institucija pribavlja novčana sredstva emitirajući izdanja certifikata o depozitu u velikim iznosima ili ih izdaje na temelju depozita. Iako formalno postoje kao izvor </w:t>
            </w:r>
            <w:r w:rsidR="00C751E7">
              <w:rPr>
                <w:sz w:val="24"/>
                <w:szCs w:val="24"/>
              </w:rPr>
              <w:t xml:space="preserve">pribave </w:t>
            </w:r>
            <w:r w:rsidRPr="00C751E7">
              <w:rPr>
                <w:sz w:val="24"/>
                <w:szCs w:val="24"/>
              </w:rPr>
              <w:t xml:space="preserve">sredstava za kreditne institucije, u Hrvatskoj se uglavnom ne koristi. </w:t>
            </w:r>
          </w:p>
          <w:p w:rsidR="007C2363" w:rsidRPr="005B795E" w:rsidRDefault="007C2363" w:rsidP="00C751E7">
            <w:pPr>
              <w:spacing w:before="120" w:after="120" w:line="240" w:lineRule="auto"/>
              <w:jc w:val="both"/>
              <w:rPr>
                <w:sz w:val="24"/>
                <w:szCs w:val="24"/>
              </w:rPr>
            </w:pPr>
            <w:r w:rsidRPr="005B795E">
              <w:rPr>
                <w:sz w:val="24"/>
                <w:szCs w:val="24"/>
              </w:rPr>
              <w:t>Za vrijednosnice s rokovima dospijeća dužim od jedne godine kaže se da su predmet trgovanja na tržištu kapitala. To su dionice i obveznice. Njima se tipično trguje na burzama vrijednosnica, a njihova cijena (tržišna vrijednost) podložna  je relativno većim fluktuacijama.</w:t>
            </w:r>
          </w:p>
          <w:p w:rsidR="00076133" w:rsidRPr="00190CF6" w:rsidRDefault="007C2363" w:rsidP="00C86D78">
            <w:pPr>
              <w:numPr>
                <w:ilvl w:val="0"/>
                <w:numId w:val="86"/>
              </w:numPr>
              <w:spacing w:before="120" w:after="120" w:line="240" w:lineRule="auto"/>
              <w:jc w:val="both"/>
              <w:rPr>
                <w:sz w:val="24"/>
                <w:szCs w:val="24"/>
              </w:rPr>
            </w:pPr>
            <w:r w:rsidRPr="00190CF6">
              <w:rPr>
                <w:color w:val="C00000"/>
                <w:sz w:val="24"/>
                <w:szCs w:val="24"/>
              </w:rPr>
              <w:t>Dionice</w:t>
            </w:r>
            <w:r w:rsidRPr="00190CF6">
              <w:rPr>
                <w:sz w:val="24"/>
                <w:szCs w:val="24"/>
              </w:rPr>
              <w:t xml:space="preserve"> ulaze u kategoriju vlasničkih vrijednosnica</w:t>
            </w:r>
            <w:r w:rsidR="00190CF6" w:rsidRPr="00190CF6">
              <w:rPr>
                <w:sz w:val="24"/>
                <w:szCs w:val="24"/>
              </w:rPr>
              <w:t xml:space="preserve"> te</w:t>
            </w:r>
            <w:r w:rsidRPr="00190CF6">
              <w:rPr>
                <w:sz w:val="24"/>
                <w:szCs w:val="24"/>
              </w:rPr>
              <w:t xml:space="preserve"> </w:t>
            </w:r>
            <w:r w:rsidR="00190CF6" w:rsidRPr="00190CF6">
              <w:rPr>
                <w:sz w:val="24"/>
                <w:szCs w:val="24"/>
              </w:rPr>
              <w:t xml:space="preserve">dokazuju </w:t>
            </w:r>
            <w:r w:rsidR="00574678">
              <w:rPr>
                <w:sz w:val="24"/>
                <w:szCs w:val="24"/>
              </w:rPr>
              <w:t xml:space="preserve">prava i </w:t>
            </w:r>
            <w:r w:rsidR="00190CF6" w:rsidRPr="00190CF6">
              <w:rPr>
                <w:sz w:val="24"/>
                <w:szCs w:val="24"/>
              </w:rPr>
              <w:t>udio</w:t>
            </w:r>
            <w:r w:rsidRPr="00190CF6">
              <w:rPr>
                <w:sz w:val="24"/>
                <w:szCs w:val="24"/>
              </w:rPr>
              <w:t xml:space="preserve"> </w:t>
            </w:r>
            <w:r w:rsidR="00190CF6" w:rsidRPr="00190CF6">
              <w:rPr>
                <w:sz w:val="24"/>
                <w:szCs w:val="24"/>
              </w:rPr>
              <w:t xml:space="preserve">njihovih vlasnika </w:t>
            </w:r>
            <w:r w:rsidRPr="00190CF6">
              <w:rPr>
                <w:sz w:val="24"/>
                <w:szCs w:val="24"/>
              </w:rPr>
              <w:t>u kapitalu</w:t>
            </w:r>
            <w:r w:rsidR="00190CF6" w:rsidRPr="00190CF6">
              <w:rPr>
                <w:sz w:val="24"/>
                <w:szCs w:val="24"/>
              </w:rPr>
              <w:t xml:space="preserve"> (glavnici ili neto imovini) dioničkih društava. </w:t>
            </w:r>
            <w:r w:rsidRPr="00190CF6">
              <w:rPr>
                <w:sz w:val="24"/>
                <w:szCs w:val="24"/>
              </w:rPr>
              <w:t>Praktično nemaju rok dospijeća</w:t>
            </w:r>
            <w:r w:rsidR="00190CF6">
              <w:rPr>
                <w:sz w:val="24"/>
                <w:szCs w:val="24"/>
              </w:rPr>
              <w:t xml:space="preserve"> jer poduzeće njihovim izdavanjem dolazi do trajnih izvora sredstava</w:t>
            </w:r>
            <w:r w:rsidRPr="00190CF6">
              <w:rPr>
                <w:sz w:val="24"/>
                <w:szCs w:val="24"/>
              </w:rPr>
              <w:t>, ali s</w:t>
            </w:r>
            <w:r w:rsidR="00190CF6">
              <w:rPr>
                <w:sz w:val="24"/>
                <w:szCs w:val="24"/>
              </w:rPr>
              <w:t>e</w:t>
            </w:r>
            <w:r w:rsidRPr="00190CF6">
              <w:rPr>
                <w:sz w:val="24"/>
                <w:szCs w:val="24"/>
              </w:rPr>
              <w:t xml:space="preserve"> </w:t>
            </w:r>
            <w:r w:rsidR="00190CF6">
              <w:rPr>
                <w:sz w:val="24"/>
                <w:szCs w:val="24"/>
              </w:rPr>
              <w:t xml:space="preserve">svrstavaju u </w:t>
            </w:r>
            <w:r w:rsidRPr="00190CF6">
              <w:rPr>
                <w:sz w:val="24"/>
                <w:szCs w:val="24"/>
              </w:rPr>
              <w:t>dugoročn</w:t>
            </w:r>
            <w:r w:rsidR="00190CF6">
              <w:rPr>
                <w:sz w:val="24"/>
                <w:szCs w:val="24"/>
              </w:rPr>
              <w:t>e</w:t>
            </w:r>
            <w:r w:rsidRPr="00190CF6">
              <w:rPr>
                <w:sz w:val="24"/>
                <w:szCs w:val="24"/>
              </w:rPr>
              <w:t xml:space="preserve"> financijsk</w:t>
            </w:r>
            <w:r w:rsidR="00190CF6">
              <w:rPr>
                <w:sz w:val="24"/>
                <w:szCs w:val="24"/>
              </w:rPr>
              <w:t>e</w:t>
            </w:r>
            <w:r w:rsidRPr="00190CF6">
              <w:rPr>
                <w:sz w:val="24"/>
                <w:szCs w:val="24"/>
              </w:rPr>
              <w:t xml:space="preserve"> instrument</w:t>
            </w:r>
            <w:r w:rsidR="00076133">
              <w:rPr>
                <w:sz w:val="24"/>
                <w:szCs w:val="24"/>
              </w:rPr>
              <w:t>e</w:t>
            </w:r>
            <w:r w:rsidRPr="00190CF6">
              <w:rPr>
                <w:sz w:val="24"/>
                <w:szCs w:val="24"/>
              </w:rPr>
              <w:t>.</w:t>
            </w:r>
            <w:r w:rsidR="00190CF6" w:rsidRPr="00190CF6">
              <w:rPr>
                <w:sz w:val="24"/>
                <w:szCs w:val="24"/>
              </w:rPr>
              <w:t xml:space="preserve"> </w:t>
            </w:r>
            <w:r w:rsidR="00076133" w:rsidRPr="00190CF6">
              <w:rPr>
                <w:sz w:val="24"/>
                <w:szCs w:val="24"/>
              </w:rPr>
              <w:t xml:space="preserve">Ako dioničko društvo ostvaruje (bruto) dobit (kao pozitivnu razliku između prihoda i rashoda), nakon plaćanja poreza na dobit, preostala razlika (neto dobit) pripada dioničarima i </w:t>
            </w:r>
            <w:r w:rsidR="00190CF6">
              <w:rPr>
                <w:sz w:val="24"/>
                <w:szCs w:val="24"/>
              </w:rPr>
              <w:t>može se raspodijeliti u o</w:t>
            </w:r>
            <w:r w:rsidR="00076133" w:rsidRPr="00190CF6">
              <w:rPr>
                <w:sz w:val="24"/>
                <w:szCs w:val="24"/>
              </w:rPr>
              <w:t xml:space="preserve">bliku </w:t>
            </w:r>
            <w:r w:rsidR="00076133" w:rsidRPr="00574678">
              <w:rPr>
                <w:color w:val="C00000"/>
                <w:sz w:val="24"/>
                <w:szCs w:val="24"/>
              </w:rPr>
              <w:t>dividende</w:t>
            </w:r>
            <w:r w:rsidR="00190CF6">
              <w:rPr>
                <w:sz w:val="24"/>
                <w:szCs w:val="24"/>
              </w:rPr>
              <w:t xml:space="preserve"> kao vrste prihoda od kapitala (ali ne </w:t>
            </w:r>
            <w:r w:rsidR="00190CF6" w:rsidRPr="00190CF6">
              <w:rPr>
                <w:sz w:val="24"/>
                <w:szCs w:val="24"/>
              </w:rPr>
              <w:t>postoji obveza isplate dividend</w:t>
            </w:r>
            <w:r w:rsidR="00076133">
              <w:rPr>
                <w:sz w:val="24"/>
                <w:szCs w:val="24"/>
              </w:rPr>
              <w:t>e</w:t>
            </w:r>
            <w:r w:rsidR="00190CF6">
              <w:rPr>
                <w:sz w:val="24"/>
                <w:szCs w:val="24"/>
              </w:rPr>
              <w:t>)</w:t>
            </w:r>
            <w:r w:rsidR="00076133">
              <w:rPr>
                <w:sz w:val="24"/>
                <w:szCs w:val="24"/>
              </w:rPr>
              <w:t xml:space="preserve"> ili se neto dobit može dalje investirati s ciljem da u budućnosti vlasnicima donese veće mogućnosti zarade, odnosno poveća buduću tržišnu vrijednost dionica</w:t>
            </w:r>
            <w:r w:rsidR="00190CF6" w:rsidRPr="00190CF6">
              <w:rPr>
                <w:sz w:val="24"/>
                <w:szCs w:val="24"/>
              </w:rPr>
              <w:t xml:space="preserve">. </w:t>
            </w:r>
            <w:r w:rsidR="00076133" w:rsidRPr="00190CF6">
              <w:rPr>
                <w:sz w:val="24"/>
                <w:szCs w:val="24"/>
              </w:rPr>
              <w:t>Dividenda se obično izražava kao određeni iznos po dionici.</w:t>
            </w:r>
            <w:r w:rsidR="00076133">
              <w:rPr>
                <w:sz w:val="24"/>
                <w:szCs w:val="24"/>
              </w:rPr>
              <w:t xml:space="preserve"> Dionice se smatraju više rizičnim financijskim instrumentom iz razloga što ovise o performansama poslovanja poduzeća </w:t>
            </w:r>
            <w:r w:rsidR="00574678">
              <w:rPr>
                <w:sz w:val="24"/>
                <w:szCs w:val="24"/>
              </w:rPr>
              <w:t xml:space="preserve">koje ih izdaje </w:t>
            </w:r>
            <w:r w:rsidR="00076133">
              <w:rPr>
                <w:sz w:val="24"/>
                <w:szCs w:val="24"/>
              </w:rPr>
              <w:t>pa im je cijena na tržištu prilično volatilna</w:t>
            </w:r>
            <w:r w:rsidR="00574678">
              <w:rPr>
                <w:sz w:val="24"/>
                <w:szCs w:val="24"/>
              </w:rPr>
              <w:t>,</w:t>
            </w:r>
            <w:r w:rsidR="00076133">
              <w:rPr>
                <w:sz w:val="24"/>
                <w:szCs w:val="24"/>
              </w:rPr>
              <w:t xml:space="preserve"> a osim što ovisi o pokazateljima poslovanja poduzeća, ovisi i o budućim očekivanjima faktora koji bi se mogli odraziti na poslovanje poduzeća, dok su tržišna kretanja cijena dionica dodatno i pod značajnim utjecajem psihologije </w:t>
            </w:r>
            <w:r w:rsidR="00076133">
              <w:rPr>
                <w:sz w:val="24"/>
                <w:szCs w:val="24"/>
              </w:rPr>
              <w:lastRenderedPageBreak/>
              <w:t xml:space="preserve">ponašanja sudionika dioničkog tržišta, uključujući njihovu sklonost špekulativnom </w:t>
            </w:r>
            <w:r w:rsidR="00574678">
              <w:rPr>
                <w:sz w:val="24"/>
                <w:szCs w:val="24"/>
              </w:rPr>
              <w:t xml:space="preserve">i iracionalnom </w:t>
            </w:r>
            <w:r w:rsidR="00076133">
              <w:rPr>
                <w:sz w:val="24"/>
                <w:szCs w:val="24"/>
              </w:rPr>
              <w:t>ponašanju. Kako je poslovanje poduzeća izloženo nizu faktora rizika poduzetničke aktivnosti i promjenama na tržištu za plasman roba i usluga, loše poslovanje poduzeća rezultira gubicima pa u tom slučaju ne postoji mogućnost isplate dividende, dok veći poremećaji koji prijete stečajem poduzeća vlasnike dionica izlažu riziku gubitka značajnog iznosa uloženog novca, a pri tome im pripadaju tek rezidualna prava odnosno pravo na isplatu tek iz likvidacijske mase nakon što se prodajom imovine podmire sve obveze prema vjerovnicima.</w:t>
            </w:r>
          </w:p>
          <w:p w:rsidR="007C2363" w:rsidRPr="005B795E" w:rsidRDefault="007C2363" w:rsidP="00C86D78">
            <w:pPr>
              <w:numPr>
                <w:ilvl w:val="0"/>
                <w:numId w:val="86"/>
              </w:numPr>
              <w:spacing w:before="120" w:after="120" w:line="240" w:lineRule="auto"/>
              <w:jc w:val="both"/>
              <w:rPr>
                <w:sz w:val="24"/>
                <w:szCs w:val="24"/>
              </w:rPr>
            </w:pPr>
            <w:r w:rsidRPr="00C751E7">
              <w:rPr>
                <w:color w:val="C00000"/>
                <w:sz w:val="24"/>
                <w:szCs w:val="24"/>
              </w:rPr>
              <w:t>Obveznice</w:t>
            </w:r>
            <w:r w:rsidRPr="005B795E">
              <w:rPr>
                <w:sz w:val="24"/>
                <w:szCs w:val="24"/>
              </w:rPr>
              <w:t xml:space="preserve"> predstavljaju dugoročni dužnički vrijednosni papir (s izvornim dospijećem dužim od jedne godine) koji izdavaoca obvezuje na povrat pozajmljenih sredstava u određenom roku s određenim kamatama (kamate se isplaćuju periodično</w:t>
            </w:r>
            <w:r w:rsidR="00C751E7">
              <w:rPr>
                <w:sz w:val="24"/>
                <w:szCs w:val="24"/>
              </w:rPr>
              <w:t xml:space="preserve"> - kuponi</w:t>
            </w:r>
            <w:r w:rsidRPr="005B795E">
              <w:rPr>
                <w:sz w:val="24"/>
                <w:szCs w:val="24"/>
              </w:rPr>
              <w:t xml:space="preserve"> ili se pribrajaju glavnici duga i isplaćuju o dospijeću vrijednosnice). Primjerice, kupac </w:t>
            </w:r>
            <w:r w:rsidR="00C751E7">
              <w:rPr>
                <w:sz w:val="24"/>
                <w:szCs w:val="24"/>
              </w:rPr>
              <w:t xml:space="preserve">kuponske </w:t>
            </w:r>
            <w:r w:rsidRPr="005B795E">
              <w:rPr>
                <w:sz w:val="24"/>
                <w:szCs w:val="24"/>
              </w:rPr>
              <w:t xml:space="preserve">obveznice pozajmljuje iznos na koji obveznica glasi njezinu izdavatelju, a izdavatelj obveznice jamči da će tijekom utvrđenog razdoblja imatelju obveznice plaćati utvrđeni iznos kamata </w:t>
            </w:r>
            <w:r w:rsidR="00C751E7">
              <w:rPr>
                <w:sz w:val="24"/>
                <w:szCs w:val="24"/>
              </w:rPr>
              <w:t xml:space="preserve">(kupon) </w:t>
            </w:r>
            <w:r w:rsidRPr="005B795E">
              <w:rPr>
                <w:sz w:val="24"/>
                <w:szCs w:val="24"/>
              </w:rPr>
              <w:t>te o dospijeću obveznice isplatiti iznos na koji ona glasi (nominalnu vrijednost obveznice).</w:t>
            </w:r>
            <w:r w:rsidR="00C751E7">
              <w:rPr>
                <w:sz w:val="24"/>
                <w:szCs w:val="24"/>
              </w:rPr>
              <w:t xml:space="preserve"> </w:t>
            </w:r>
            <w:r w:rsidRPr="005B795E">
              <w:rPr>
                <w:sz w:val="24"/>
                <w:szCs w:val="24"/>
              </w:rPr>
              <w:t xml:space="preserve">Izdaju ih države (državne obveznice), poduzeća (korporativne obveznice) i drugi emitenti (kao alternativu kreditnom zaduživanju kod banaka). </w:t>
            </w:r>
          </w:p>
        </w:tc>
      </w:tr>
    </w:tbl>
    <w:p w:rsidR="007C2363" w:rsidRPr="005B795E" w:rsidRDefault="007C2363" w:rsidP="00A20BC9">
      <w:pPr>
        <w:pStyle w:val="StandardWeb"/>
        <w:spacing w:before="240" w:beforeAutospacing="0" w:after="0" w:afterAutospacing="0"/>
        <w:jc w:val="both"/>
        <w:rPr>
          <w:rFonts w:asciiTheme="minorHAnsi" w:eastAsiaTheme="minorHAnsi" w:hAnsiTheme="minorHAnsi" w:cstheme="minorBidi"/>
          <w:lang w:eastAsia="en-US"/>
        </w:rPr>
      </w:pPr>
      <w:r w:rsidRPr="005B795E">
        <w:rPr>
          <w:rFonts w:asciiTheme="minorHAnsi" w:eastAsiaTheme="minorHAnsi" w:hAnsiTheme="minorHAnsi" w:cstheme="minorBidi"/>
          <w:lang w:eastAsia="en-US"/>
        </w:rPr>
        <w:lastRenderedPageBreak/>
        <w:t>Vrijednosni papiri pojavljuju se na primarnom i na sekundarnom tržištu</w:t>
      </w:r>
      <w:r w:rsidR="001A42F8">
        <w:rPr>
          <w:rStyle w:val="Referencafusnote"/>
          <w:rFonts w:asciiTheme="minorHAnsi" w:eastAsiaTheme="minorHAnsi" w:hAnsiTheme="minorHAnsi" w:cstheme="minorBidi"/>
          <w:lang w:eastAsia="en-US"/>
        </w:rPr>
        <w:footnoteReference w:id="92"/>
      </w:r>
      <w:r w:rsidRPr="005B795E">
        <w:rPr>
          <w:rFonts w:asciiTheme="minorHAnsi" w:eastAsiaTheme="minorHAnsi" w:hAnsiTheme="minorHAnsi" w:cstheme="minorBidi"/>
          <w:lang w:eastAsia="en-US"/>
        </w:rPr>
        <w:t xml:space="preserve">. </w:t>
      </w:r>
    </w:p>
    <w:p w:rsidR="007C2363" w:rsidRPr="005B795E" w:rsidRDefault="007C2363" w:rsidP="00C86D78">
      <w:pPr>
        <w:pStyle w:val="StandardWeb"/>
        <w:numPr>
          <w:ilvl w:val="0"/>
          <w:numId w:val="89"/>
        </w:numPr>
        <w:shd w:val="clear" w:color="auto" w:fill="FFFFFF" w:themeFill="background1"/>
        <w:spacing w:before="120" w:beforeAutospacing="0" w:after="0" w:afterAutospacing="0"/>
        <w:jc w:val="both"/>
        <w:rPr>
          <w:rFonts w:asciiTheme="minorHAnsi" w:eastAsiaTheme="minorHAnsi" w:hAnsiTheme="minorHAnsi" w:cstheme="minorBidi"/>
          <w:lang w:eastAsia="en-US"/>
        </w:rPr>
      </w:pPr>
      <w:r w:rsidRPr="00A20BC9">
        <w:rPr>
          <w:rFonts w:asciiTheme="minorHAnsi" w:eastAsiaTheme="minorHAnsi" w:hAnsiTheme="minorHAnsi" w:cstheme="minorBidi"/>
          <w:color w:val="C00000"/>
          <w:lang w:eastAsia="en-US"/>
        </w:rPr>
        <w:t xml:space="preserve">Primarno tržište </w:t>
      </w:r>
      <w:r w:rsidRPr="005B795E">
        <w:rPr>
          <w:rFonts w:asciiTheme="minorHAnsi" w:eastAsiaTheme="minorHAnsi" w:hAnsiTheme="minorHAnsi" w:cstheme="minorBidi"/>
          <w:lang w:eastAsia="en-US"/>
        </w:rPr>
        <w:t>je tržište novih izdanja vrijednosnih papira, čime izdavatelji vrijednosnica prikupljaju nove („svježe“) izvore sredstava</w:t>
      </w:r>
      <w:r w:rsidR="00C751E7">
        <w:rPr>
          <w:rFonts w:asciiTheme="minorHAnsi" w:eastAsiaTheme="minorHAnsi" w:hAnsiTheme="minorHAnsi" w:cstheme="minorBidi"/>
          <w:lang w:eastAsia="en-US"/>
        </w:rPr>
        <w:t xml:space="preserve">. U tom procesu pomoć poduzećima i drugim izdavateljima vrijednosnica pružaju </w:t>
      </w:r>
      <w:r w:rsidRPr="005B795E">
        <w:rPr>
          <w:rFonts w:asciiTheme="minorHAnsi" w:eastAsiaTheme="minorHAnsi" w:hAnsiTheme="minorHAnsi" w:cstheme="minorBidi"/>
          <w:lang w:eastAsia="en-US"/>
        </w:rPr>
        <w:t xml:space="preserve">investicijske banke, odnosno odjeli </w:t>
      </w:r>
      <w:r w:rsidRPr="00574678">
        <w:rPr>
          <w:rFonts w:asciiTheme="minorHAnsi" w:eastAsiaTheme="minorHAnsi" w:hAnsiTheme="minorHAnsi" w:cstheme="minorBidi"/>
          <w:color w:val="C00000"/>
          <w:lang w:eastAsia="en-US"/>
        </w:rPr>
        <w:t xml:space="preserve">investicijskog bankarstva </w:t>
      </w:r>
      <w:r w:rsidRPr="005B795E">
        <w:rPr>
          <w:rFonts w:asciiTheme="minorHAnsi" w:eastAsiaTheme="minorHAnsi" w:hAnsiTheme="minorHAnsi" w:cstheme="minorBidi"/>
          <w:lang w:eastAsia="en-US"/>
        </w:rPr>
        <w:t>univerzalnih poslovnih banaka (</w:t>
      </w:r>
      <w:r w:rsidR="00C751E7">
        <w:rPr>
          <w:rFonts w:asciiTheme="minorHAnsi" w:eastAsiaTheme="minorHAnsi" w:hAnsiTheme="minorHAnsi" w:cstheme="minorBidi"/>
          <w:lang w:eastAsia="en-US"/>
        </w:rPr>
        <w:t xml:space="preserve">u zemlji i/ili inozemstvu). U sklopu aktivnosti </w:t>
      </w:r>
      <w:r w:rsidRPr="005B795E">
        <w:rPr>
          <w:rFonts w:asciiTheme="minorHAnsi" w:eastAsiaTheme="minorHAnsi" w:hAnsiTheme="minorHAnsi" w:cstheme="minorBidi"/>
          <w:lang w:eastAsia="en-US"/>
        </w:rPr>
        <w:t>inv</w:t>
      </w:r>
      <w:r w:rsidR="000E615D">
        <w:rPr>
          <w:rFonts w:asciiTheme="minorHAnsi" w:eastAsiaTheme="minorHAnsi" w:hAnsiTheme="minorHAnsi" w:cstheme="minorBidi"/>
          <w:lang w:eastAsia="en-US"/>
        </w:rPr>
        <w:t xml:space="preserve">esticijskog bankarstva analiziraju se potencijalna tržišta za plasman vrijednosnice, </w:t>
      </w:r>
      <w:r w:rsidRPr="005B795E">
        <w:rPr>
          <w:rFonts w:asciiTheme="minorHAnsi" w:eastAsiaTheme="minorHAnsi" w:hAnsiTheme="minorHAnsi" w:cstheme="minorBidi"/>
          <w:lang w:eastAsia="en-US"/>
        </w:rPr>
        <w:t xml:space="preserve">predviđaju </w:t>
      </w:r>
      <w:r w:rsidR="000E615D">
        <w:rPr>
          <w:rFonts w:asciiTheme="minorHAnsi" w:eastAsiaTheme="minorHAnsi" w:hAnsiTheme="minorHAnsi" w:cstheme="minorBidi"/>
          <w:lang w:eastAsia="en-US"/>
        </w:rPr>
        <w:t xml:space="preserve">se </w:t>
      </w:r>
      <w:r w:rsidRPr="005B795E">
        <w:rPr>
          <w:rFonts w:asciiTheme="minorHAnsi" w:eastAsiaTheme="minorHAnsi" w:hAnsiTheme="minorHAnsi" w:cstheme="minorBidi"/>
          <w:lang w:eastAsia="en-US"/>
        </w:rPr>
        <w:t>mogućnost</w:t>
      </w:r>
      <w:r w:rsidR="000E615D">
        <w:rPr>
          <w:rFonts w:asciiTheme="minorHAnsi" w:eastAsiaTheme="minorHAnsi" w:hAnsiTheme="minorHAnsi" w:cstheme="minorBidi"/>
          <w:lang w:eastAsia="en-US"/>
        </w:rPr>
        <w:t>i</w:t>
      </w:r>
      <w:r w:rsidRPr="005B795E">
        <w:rPr>
          <w:rFonts w:asciiTheme="minorHAnsi" w:eastAsiaTheme="minorHAnsi" w:hAnsiTheme="minorHAnsi" w:cstheme="minorBidi"/>
          <w:lang w:eastAsia="en-US"/>
        </w:rPr>
        <w:t xml:space="preserve"> uspjeha određene emisije</w:t>
      </w:r>
      <w:r w:rsidR="000E615D">
        <w:rPr>
          <w:rFonts w:asciiTheme="minorHAnsi" w:eastAsiaTheme="minorHAnsi" w:hAnsiTheme="minorHAnsi" w:cstheme="minorBidi"/>
          <w:lang w:eastAsia="en-US"/>
        </w:rPr>
        <w:t xml:space="preserve"> te</w:t>
      </w:r>
      <w:r w:rsidRPr="005B795E">
        <w:rPr>
          <w:rFonts w:asciiTheme="minorHAnsi" w:eastAsiaTheme="minorHAnsi" w:hAnsiTheme="minorHAnsi" w:cstheme="minorBidi"/>
          <w:lang w:eastAsia="en-US"/>
        </w:rPr>
        <w:t xml:space="preserve"> cijene primarnog izdanja</w:t>
      </w:r>
      <w:r w:rsidR="000E615D">
        <w:rPr>
          <w:rFonts w:asciiTheme="minorHAnsi" w:eastAsiaTheme="minorHAnsi" w:hAnsiTheme="minorHAnsi" w:cstheme="minorBidi"/>
          <w:lang w:eastAsia="en-US"/>
        </w:rPr>
        <w:t>, izvršavaju se registracije prodaje (</w:t>
      </w:r>
      <w:r w:rsidRPr="005B795E">
        <w:rPr>
          <w:rFonts w:asciiTheme="minorHAnsi" w:eastAsiaTheme="minorHAnsi" w:hAnsiTheme="minorHAnsi" w:cstheme="minorBidi"/>
          <w:lang w:eastAsia="en-US"/>
        </w:rPr>
        <w:t>kod Središnjeg klirinškog depozitarnog društva</w:t>
      </w:r>
      <w:r w:rsidR="000E615D">
        <w:rPr>
          <w:rFonts w:asciiTheme="minorHAnsi" w:eastAsiaTheme="minorHAnsi" w:hAnsiTheme="minorHAnsi" w:cstheme="minorBidi"/>
          <w:lang w:eastAsia="en-US"/>
        </w:rPr>
        <w:t>), r</w:t>
      </w:r>
      <w:r w:rsidRPr="005B795E">
        <w:rPr>
          <w:rFonts w:asciiTheme="minorHAnsi" w:eastAsiaTheme="minorHAnsi" w:hAnsiTheme="minorHAnsi" w:cstheme="minorBidi"/>
          <w:lang w:eastAsia="en-US"/>
        </w:rPr>
        <w:t>aspisuj</w:t>
      </w:r>
      <w:r w:rsidR="000E615D">
        <w:rPr>
          <w:rFonts w:asciiTheme="minorHAnsi" w:eastAsiaTheme="minorHAnsi" w:hAnsiTheme="minorHAnsi" w:cstheme="minorBidi"/>
          <w:lang w:eastAsia="en-US"/>
        </w:rPr>
        <w:t>e</w:t>
      </w:r>
      <w:r w:rsidRPr="005B795E">
        <w:rPr>
          <w:rFonts w:asciiTheme="minorHAnsi" w:eastAsiaTheme="minorHAnsi" w:hAnsiTheme="minorHAnsi" w:cstheme="minorBidi"/>
          <w:lang w:eastAsia="en-US"/>
        </w:rPr>
        <w:t xml:space="preserve"> poziv na upis (</w:t>
      </w:r>
      <w:r w:rsidR="000E615D">
        <w:rPr>
          <w:rFonts w:asciiTheme="minorHAnsi" w:eastAsiaTheme="minorHAnsi" w:hAnsiTheme="minorHAnsi" w:cstheme="minorBidi"/>
          <w:lang w:eastAsia="en-US"/>
        </w:rPr>
        <w:t>u svrhu animacije p</w:t>
      </w:r>
      <w:r w:rsidRPr="005B795E">
        <w:rPr>
          <w:rFonts w:asciiTheme="minorHAnsi" w:eastAsiaTheme="minorHAnsi" w:hAnsiTheme="minorHAnsi" w:cstheme="minorBidi"/>
          <w:lang w:eastAsia="en-US"/>
        </w:rPr>
        <w:t>otencijaln</w:t>
      </w:r>
      <w:r w:rsidR="000E615D">
        <w:rPr>
          <w:rFonts w:asciiTheme="minorHAnsi" w:eastAsiaTheme="minorHAnsi" w:hAnsiTheme="minorHAnsi" w:cstheme="minorBidi"/>
          <w:lang w:eastAsia="en-US"/>
        </w:rPr>
        <w:t>ih investitora</w:t>
      </w:r>
      <w:r w:rsidRPr="005B795E">
        <w:rPr>
          <w:rFonts w:asciiTheme="minorHAnsi" w:eastAsiaTheme="minorHAnsi" w:hAnsiTheme="minorHAnsi" w:cstheme="minorBidi"/>
          <w:lang w:eastAsia="en-US"/>
        </w:rPr>
        <w:t>) te prodaju i distribuiraju prava iz vrijednosnica investitorima. Izdavanjem  i prodajom dionica (obveznica) prvim kupcima  završava njihov „život“ na primarnom tržištu.</w:t>
      </w:r>
    </w:p>
    <w:p w:rsidR="007C2363" w:rsidRPr="005B795E" w:rsidRDefault="007C2363" w:rsidP="00C86D78">
      <w:pPr>
        <w:pStyle w:val="StandardWeb"/>
        <w:numPr>
          <w:ilvl w:val="0"/>
          <w:numId w:val="89"/>
        </w:numPr>
        <w:spacing w:before="120" w:beforeAutospacing="0" w:after="0" w:afterAutospacing="0"/>
        <w:jc w:val="both"/>
        <w:rPr>
          <w:rFonts w:asciiTheme="minorHAnsi" w:eastAsiaTheme="minorHAnsi" w:hAnsiTheme="minorHAnsi" w:cstheme="minorBidi"/>
          <w:lang w:eastAsia="en-US"/>
        </w:rPr>
      </w:pPr>
      <w:r w:rsidRPr="00A20BC9">
        <w:rPr>
          <w:rFonts w:asciiTheme="minorHAnsi" w:eastAsiaTheme="minorHAnsi" w:hAnsiTheme="minorHAnsi" w:cstheme="minorBidi"/>
          <w:color w:val="C00000"/>
          <w:lang w:eastAsia="en-US"/>
        </w:rPr>
        <w:t xml:space="preserve">Sekundarno tržište </w:t>
      </w:r>
      <w:r w:rsidRPr="005B795E">
        <w:rPr>
          <w:rFonts w:asciiTheme="minorHAnsi" w:eastAsiaTheme="minorHAnsi" w:hAnsiTheme="minorHAnsi" w:cstheme="minorBidi"/>
          <w:lang w:eastAsia="en-US"/>
        </w:rPr>
        <w:t>je tržište na kojem se obavlja daljnja kupoprodaja vrijednosnih papira, odnosno trguje se već postojećim vrijednosnicama. Na njemu se ne prikupljaju nova novčana sredstva, nego se samo mijenja vlasnik vrijednosnog papira, tj. vrijednosnicama se trguje između različitih sudionika (uz posredovanje brokera</w:t>
      </w:r>
      <w:r w:rsidR="0078572B">
        <w:rPr>
          <w:rFonts w:asciiTheme="minorHAnsi" w:eastAsiaTheme="minorHAnsi" w:hAnsiTheme="minorHAnsi" w:cstheme="minorBidi"/>
          <w:lang w:eastAsia="en-US"/>
        </w:rPr>
        <w:t xml:space="preserve"> i drugih posrednika). </w:t>
      </w:r>
      <w:r w:rsidRPr="005B795E">
        <w:rPr>
          <w:rFonts w:asciiTheme="minorHAnsi" w:eastAsiaTheme="minorHAnsi" w:hAnsiTheme="minorHAnsi" w:cstheme="minorBidi"/>
          <w:lang w:eastAsia="en-US"/>
        </w:rPr>
        <w:t xml:space="preserve"> </w:t>
      </w:r>
    </w:p>
    <w:p w:rsidR="00CE11F4" w:rsidRDefault="00CE11F4" w:rsidP="00CE11F4">
      <w:pPr>
        <w:spacing w:after="0" w:line="240" w:lineRule="auto"/>
        <w:jc w:val="both"/>
        <w:rPr>
          <w:rFonts w:ascii="Times New Roman" w:eastAsia="Times New Roman" w:hAnsi="Times New Roman"/>
          <w:sz w:val="24"/>
          <w:szCs w:val="24"/>
          <w:lang w:eastAsia="hr-HR"/>
        </w:rPr>
      </w:pPr>
    </w:p>
    <w:tbl>
      <w:tblPr>
        <w:tblStyle w:val="Reetkatablice"/>
        <w:tblW w:w="0" w:type="auto"/>
        <w:tblInd w:w="108" w:type="dxa"/>
        <w:tblLook w:val="01E0" w:firstRow="1" w:lastRow="1" w:firstColumn="1" w:lastColumn="1" w:noHBand="0" w:noVBand="0"/>
      </w:tblPr>
      <w:tblGrid>
        <w:gridCol w:w="9180"/>
      </w:tblGrid>
      <w:tr w:rsidR="00CE11F4" w:rsidRPr="00B66D18" w:rsidTr="00CE11F4">
        <w:tc>
          <w:tcPr>
            <w:tcW w:w="9180" w:type="dxa"/>
            <w:shd w:val="clear" w:color="auto" w:fill="F2F2F2" w:themeFill="background1" w:themeFillShade="F2"/>
          </w:tcPr>
          <w:p w:rsidR="00CE11F4" w:rsidRDefault="0078572B" w:rsidP="0078572B">
            <w:pPr>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U</w:t>
            </w:r>
            <w:r w:rsidR="00CE11F4" w:rsidRPr="0078572B">
              <w:rPr>
                <w:rFonts w:asciiTheme="minorHAnsi" w:eastAsiaTheme="minorHAnsi" w:hAnsiTheme="minorHAnsi" w:cstheme="minorBidi"/>
                <w:sz w:val="24"/>
                <w:szCs w:val="24"/>
                <w:lang w:eastAsia="en-US"/>
              </w:rPr>
              <w:t xml:space="preserve"> slučaju </w:t>
            </w:r>
            <w:r w:rsidR="00CE11F4" w:rsidRPr="0078572B">
              <w:rPr>
                <w:rFonts w:asciiTheme="minorHAnsi" w:eastAsiaTheme="minorHAnsi" w:hAnsiTheme="minorHAnsi" w:cstheme="minorBidi"/>
                <w:color w:val="C00000"/>
                <w:sz w:val="24"/>
                <w:szCs w:val="24"/>
                <w:lang w:eastAsia="en-US"/>
              </w:rPr>
              <w:t xml:space="preserve">inicijalne javne ponude </w:t>
            </w:r>
            <w:r w:rsidR="00CE11F4" w:rsidRPr="0078572B">
              <w:rPr>
                <w:rFonts w:asciiTheme="minorHAnsi" w:eastAsiaTheme="minorHAnsi" w:hAnsiTheme="minorHAnsi" w:cstheme="minorBidi"/>
                <w:sz w:val="24"/>
                <w:szCs w:val="24"/>
                <w:lang w:eastAsia="en-US"/>
              </w:rPr>
              <w:t>(IPO - Initial Public Offering)  dionice poduzeća se prvi put uvrštavaju na burzu</w:t>
            </w:r>
            <w:r>
              <w:rPr>
                <w:rFonts w:asciiTheme="minorHAnsi" w:eastAsiaTheme="minorHAnsi" w:hAnsiTheme="minorHAnsi" w:cstheme="minorBidi"/>
                <w:sz w:val="24"/>
                <w:szCs w:val="24"/>
                <w:lang w:eastAsia="en-US"/>
              </w:rPr>
              <w:t xml:space="preserve">. </w:t>
            </w:r>
            <w:r w:rsidR="00CE11F4" w:rsidRPr="0078572B">
              <w:rPr>
                <w:rFonts w:asciiTheme="minorHAnsi" w:eastAsiaTheme="minorHAnsi" w:hAnsiTheme="minorHAnsi" w:cstheme="minorBidi"/>
                <w:sz w:val="24"/>
                <w:szCs w:val="24"/>
                <w:lang w:eastAsia="en-US"/>
              </w:rPr>
              <w:t xml:space="preserve">Kod </w:t>
            </w:r>
            <w:r w:rsidR="00CE11F4" w:rsidRPr="0078572B">
              <w:rPr>
                <w:rFonts w:asciiTheme="minorHAnsi" w:eastAsiaTheme="minorHAnsi" w:hAnsiTheme="minorHAnsi" w:cstheme="minorBidi"/>
                <w:color w:val="C00000"/>
                <w:sz w:val="24"/>
                <w:szCs w:val="24"/>
                <w:lang w:eastAsia="en-US"/>
              </w:rPr>
              <w:t>sekundarne javne ponude</w:t>
            </w:r>
            <w:r w:rsidR="00CE11F4" w:rsidRPr="0078572B">
              <w:rPr>
                <w:rFonts w:asciiTheme="minorHAnsi" w:eastAsiaTheme="minorHAnsi" w:hAnsiTheme="minorHAnsi" w:cstheme="minorBidi"/>
                <w:sz w:val="24"/>
                <w:szCs w:val="24"/>
                <w:lang w:eastAsia="en-US"/>
              </w:rPr>
              <w:t xml:space="preserve"> (SPO - Secondary Public Offering) izdaju se nove dionice poduzeća čije dionice već kotiraju na burzi. U pravom smislu riječi podrazumijevaju slučaj izdanja novih dionica </w:t>
            </w:r>
            <w:r>
              <w:rPr>
                <w:rFonts w:asciiTheme="minorHAnsi" w:eastAsiaTheme="minorHAnsi" w:hAnsiTheme="minorHAnsi" w:cstheme="minorBidi"/>
                <w:sz w:val="24"/>
                <w:szCs w:val="24"/>
                <w:lang w:eastAsia="en-US"/>
              </w:rPr>
              <w:t xml:space="preserve">u svrhu </w:t>
            </w:r>
            <w:r w:rsidR="00CE11F4" w:rsidRPr="0078572B">
              <w:rPr>
                <w:rFonts w:asciiTheme="minorHAnsi" w:eastAsiaTheme="minorHAnsi" w:hAnsiTheme="minorHAnsi" w:cstheme="minorBidi"/>
                <w:sz w:val="24"/>
                <w:szCs w:val="24"/>
                <w:lang w:eastAsia="en-US"/>
              </w:rPr>
              <w:t xml:space="preserve">povećanja temeljnog kapitala poduzeća. </w:t>
            </w:r>
          </w:p>
          <w:p w:rsidR="00CE11F4" w:rsidRPr="00B66D18" w:rsidRDefault="0078572B" w:rsidP="0078572B">
            <w:pPr>
              <w:spacing w:before="120" w:after="120"/>
              <w:jc w:val="both"/>
            </w:pPr>
            <w:r>
              <w:rPr>
                <w:rFonts w:asciiTheme="minorHAnsi" w:eastAsiaTheme="minorHAnsi" w:hAnsiTheme="minorHAnsi" w:cstheme="minorBidi"/>
                <w:sz w:val="24"/>
                <w:szCs w:val="24"/>
                <w:lang w:eastAsia="en-US"/>
              </w:rPr>
              <w:t xml:space="preserve">Ponude dionica na tržište, kao i ponude za upis udjela u investicijskim fondovima mogu se </w:t>
            </w:r>
            <w:r>
              <w:rPr>
                <w:rFonts w:asciiTheme="minorHAnsi" w:eastAsiaTheme="minorHAnsi" w:hAnsiTheme="minorHAnsi" w:cstheme="minorBidi"/>
                <w:sz w:val="24"/>
                <w:szCs w:val="24"/>
                <w:lang w:eastAsia="en-US"/>
              </w:rPr>
              <w:lastRenderedPageBreak/>
              <w:t xml:space="preserve">provoditi kao privatne ponude ili ako javne ponude. </w:t>
            </w:r>
            <w:r w:rsidRPr="0078572B">
              <w:rPr>
                <w:rFonts w:asciiTheme="minorHAnsi" w:eastAsiaTheme="minorHAnsi" w:hAnsiTheme="minorHAnsi" w:cstheme="minorBidi"/>
                <w:color w:val="C00000"/>
                <w:sz w:val="24"/>
                <w:szCs w:val="24"/>
                <w:lang w:eastAsia="en-US"/>
              </w:rPr>
              <w:t xml:space="preserve">Privatnu ponudu </w:t>
            </w:r>
            <w:r>
              <w:rPr>
                <w:rFonts w:asciiTheme="minorHAnsi" w:eastAsiaTheme="minorHAnsi" w:hAnsiTheme="minorHAnsi" w:cstheme="minorBidi"/>
                <w:sz w:val="24"/>
                <w:szCs w:val="24"/>
                <w:lang w:eastAsia="en-US"/>
              </w:rPr>
              <w:t xml:space="preserve">karakterizira dostupnost instrumenta ograničenom broju ulagatelja ili ulagačima koji zadovoljavaju zakonske ili druge posebno definirane kriterije kako bi mogli pristupiti takvom ulaganju (npr. profesionalnim i kvalificiranim ulagateljima). U slučaju </w:t>
            </w:r>
            <w:r w:rsidRPr="0078572B">
              <w:rPr>
                <w:rFonts w:asciiTheme="minorHAnsi" w:eastAsiaTheme="minorHAnsi" w:hAnsiTheme="minorHAnsi" w:cstheme="minorBidi"/>
                <w:color w:val="C00000"/>
                <w:sz w:val="24"/>
                <w:szCs w:val="24"/>
                <w:lang w:eastAsia="en-US"/>
              </w:rPr>
              <w:t xml:space="preserve">javne ponude </w:t>
            </w:r>
            <w:r>
              <w:rPr>
                <w:rFonts w:asciiTheme="minorHAnsi" w:eastAsiaTheme="minorHAnsi" w:hAnsiTheme="minorHAnsi" w:cstheme="minorBidi"/>
                <w:sz w:val="24"/>
                <w:szCs w:val="24"/>
                <w:lang w:eastAsia="en-US"/>
              </w:rPr>
              <w:t>poziv na upis, odnosno kupnju odnosi se na velik i neograničen broj potencijalnih ulagatelja (uključujući i male ulagače).</w:t>
            </w:r>
            <w:r w:rsidRPr="00B66D18">
              <w:t xml:space="preserve"> </w:t>
            </w:r>
          </w:p>
        </w:tc>
      </w:tr>
    </w:tbl>
    <w:p w:rsidR="00E26D80" w:rsidRPr="004B7B62" w:rsidRDefault="00CE02D5" w:rsidP="001A42F8">
      <w:pPr>
        <w:spacing w:before="240"/>
        <w:rPr>
          <w:b/>
          <w:sz w:val="24"/>
          <w:szCs w:val="24"/>
        </w:rPr>
      </w:pPr>
      <w:r>
        <w:rPr>
          <w:b/>
          <w:sz w:val="24"/>
          <w:szCs w:val="24"/>
        </w:rPr>
        <w:lastRenderedPageBreak/>
        <w:t>6</w:t>
      </w:r>
      <w:r w:rsidR="00E26D80" w:rsidRPr="004B7B62">
        <w:rPr>
          <w:b/>
          <w:sz w:val="24"/>
          <w:szCs w:val="24"/>
        </w:rPr>
        <w:t>.</w:t>
      </w:r>
      <w:r>
        <w:rPr>
          <w:b/>
          <w:sz w:val="24"/>
          <w:szCs w:val="24"/>
        </w:rPr>
        <w:t>2</w:t>
      </w:r>
      <w:r w:rsidR="00E26D80" w:rsidRPr="004B7B62">
        <w:rPr>
          <w:b/>
          <w:sz w:val="24"/>
          <w:szCs w:val="24"/>
        </w:rPr>
        <w:t>. Alternative štednje i ulaganja – osvrt na otvorene investicijske fondove s javnom ponudom</w:t>
      </w:r>
    </w:p>
    <w:p w:rsidR="008F4E5A" w:rsidRDefault="00262718" w:rsidP="00CD1880">
      <w:pPr>
        <w:jc w:val="both"/>
        <w:rPr>
          <w:sz w:val="24"/>
          <w:szCs w:val="24"/>
        </w:rPr>
      </w:pPr>
      <w:r>
        <w:rPr>
          <w:sz w:val="24"/>
          <w:szCs w:val="24"/>
        </w:rPr>
        <w:t>Naj</w:t>
      </w:r>
      <w:r w:rsidR="00574678">
        <w:rPr>
          <w:sz w:val="24"/>
          <w:szCs w:val="24"/>
        </w:rPr>
        <w:t xml:space="preserve">bliža alternativa tipičnim štednim financijskim instrumentima poput </w:t>
      </w:r>
      <w:r w:rsidR="00A95DBE">
        <w:rPr>
          <w:sz w:val="24"/>
          <w:szCs w:val="24"/>
        </w:rPr>
        <w:t xml:space="preserve">a vista i </w:t>
      </w:r>
      <w:r w:rsidR="00574678">
        <w:rPr>
          <w:sz w:val="24"/>
          <w:szCs w:val="24"/>
        </w:rPr>
        <w:t>oročenih depozita u bankama su ulaganja u otvorene investicijske fondove s javnom ponudom (tzv. UCITS fondov</w:t>
      </w:r>
      <w:r w:rsidR="00CC556B">
        <w:rPr>
          <w:sz w:val="24"/>
          <w:szCs w:val="24"/>
        </w:rPr>
        <w:t>e</w:t>
      </w:r>
      <w:r w:rsidR="00574678">
        <w:rPr>
          <w:sz w:val="24"/>
          <w:szCs w:val="24"/>
        </w:rPr>
        <w:t xml:space="preserve">). Pojam </w:t>
      </w:r>
      <w:r w:rsidR="00574678" w:rsidRPr="00574678">
        <w:rPr>
          <w:color w:val="C00000"/>
          <w:sz w:val="24"/>
          <w:szCs w:val="24"/>
        </w:rPr>
        <w:t xml:space="preserve">otvoreni investicijski fond </w:t>
      </w:r>
      <w:r w:rsidR="00CC556B">
        <w:rPr>
          <w:color w:val="C00000"/>
          <w:sz w:val="24"/>
          <w:szCs w:val="24"/>
        </w:rPr>
        <w:t xml:space="preserve">s javnom ponudom (UCITS fond) </w:t>
      </w:r>
      <w:r w:rsidR="00574678">
        <w:rPr>
          <w:sz w:val="24"/>
          <w:szCs w:val="24"/>
        </w:rPr>
        <w:t xml:space="preserve">označava </w:t>
      </w:r>
      <w:r w:rsidR="00E26D80" w:rsidRPr="004B7B62">
        <w:rPr>
          <w:sz w:val="24"/>
          <w:szCs w:val="24"/>
        </w:rPr>
        <w:t>zasebn</w:t>
      </w:r>
      <w:r w:rsidR="00574678">
        <w:rPr>
          <w:sz w:val="24"/>
          <w:szCs w:val="24"/>
        </w:rPr>
        <w:t>u</w:t>
      </w:r>
      <w:r w:rsidR="00E26D80" w:rsidRPr="004B7B62">
        <w:rPr>
          <w:sz w:val="24"/>
          <w:szCs w:val="24"/>
        </w:rPr>
        <w:t xml:space="preserve"> imovin</w:t>
      </w:r>
      <w:r w:rsidR="00574678">
        <w:rPr>
          <w:sz w:val="24"/>
          <w:szCs w:val="24"/>
        </w:rPr>
        <w:t>u</w:t>
      </w:r>
      <w:r w:rsidR="00E26D80" w:rsidRPr="004B7B62">
        <w:rPr>
          <w:sz w:val="24"/>
          <w:szCs w:val="24"/>
        </w:rPr>
        <w:t xml:space="preserve"> bez pravne osobnosti </w:t>
      </w:r>
      <w:r w:rsidR="00A95DBE">
        <w:rPr>
          <w:sz w:val="24"/>
          <w:szCs w:val="24"/>
        </w:rPr>
        <w:t>u zajedničkom vlasništvu</w:t>
      </w:r>
      <w:r w:rsidR="00A95DBE" w:rsidRPr="004B7B62">
        <w:rPr>
          <w:sz w:val="24"/>
          <w:szCs w:val="24"/>
        </w:rPr>
        <w:t xml:space="preserve"> </w:t>
      </w:r>
      <w:r w:rsidR="003A3829">
        <w:rPr>
          <w:sz w:val="24"/>
          <w:szCs w:val="24"/>
        </w:rPr>
        <w:t xml:space="preserve">svih imatelja udjela u fondu. </w:t>
      </w:r>
      <w:r w:rsidR="00CD1880">
        <w:rPr>
          <w:sz w:val="24"/>
          <w:szCs w:val="24"/>
        </w:rPr>
        <w:t>O</w:t>
      </w:r>
      <w:r w:rsidR="00CC556B">
        <w:rPr>
          <w:sz w:val="24"/>
          <w:szCs w:val="24"/>
        </w:rPr>
        <w:t xml:space="preserve">sniva </w:t>
      </w:r>
      <w:r w:rsidR="00CD1880">
        <w:rPr>
          <w:sz w:val="24"/>
          <w:szCs w:val="24"/>
        </w:rPr>
        <w:t xml:space="preserve">ga </w:t>
      </w:r>
      <w:r w:rsidR="00CC556B" w:rsidRPr="006C7C10">
        <w:rPr>
          <w:color w:val="C00000"/>
          <w:sz w:val="24"/>
          <w:szCs w:val="24"/>
        </w:rPr>
        <w:t xml:space="preserve">društvo za upravljanje </w:t>
      </w:r>
      <w:r w:rsidR="00CD1880">
        <w:rPr>
          <w:sz w:val="24"/>
          <w:szCs w:val="24"/>
        </w:rPr>
        <w:t xml:space="preserve">kao pravna osoba koja odobrenje za rad u Hrvatskoj dobiva od Hrvatske agencije za nadzor financijskih usluga (Hanfa). Sredstva fonda prikupljaju se javnom ponudom što znači da je ulaganje u fond omogućeno neograničenom broju osoba i svim tipovima ulagatelja (uključujući male, </w:t>
      </w:r>
      <w:r>
        <w:rPr>
          <w:sz w:val="24"/>
          <w:szCs w:val="24"/>
        </w:rPr>
        <w:t>kvalificirane i profesionalne), a pojam „otvorenosti“ fonda označava da je imovina fonda podijeljena na neograničeni broj udjela</w:t>
      </w:r>
      <w:r w:rsidRPr="008F4E5A">
        <w:rPr>
          <w:sz w:val="24"/>
          <w:szCs w:val="24"/>
        </w:rPr>
        <w:t xml:space="preserve"> </w:t>
      </w:r>
      <w:r w:rsidR="008F4E5A" w:rsidRPr="008F4E5A">
        <w:rPr>
          <w:sz w:val="24"/>
          <w:szCs w:val="24"/>
        </w:rPr>
        <w:t xml:space="preserve">pa se tako za nova ulaganja kreiraju novi udjeli koji se potom ulažu u prenosive vrijednosnice ili duge likvidne financijske instrumente. </w:t>
      </w:r>
      <w:r w:rsidR="00030F56" w:rsidRPr="003A3829">
        <w:rPr>
          <w:color w:val="C00000"/>
          <w:sz w:val="24"/>
          <w:szCs w:val="24"/>
        </w:rPr>
        <w:t xml:space="preserve">Cijena udjela u fondu </w:t>
      </w:r>
      <w:r w:rsidR="00030F56" w:rsidRPr="00030F56">
        <w:rPr>
          <w:sz w:val="24"/>
          <w:szCs w:val="24"/>
        </w:rPr>
        <w:t>računa se za svaki dan idućeg radnog dana na temelju izračuna neto vrijednosti imovine fonda (neto vrijednost imovine fonda dijeli se s brojem udjela od zadnjeg dana za koji je izračunata cijena udjela fonda).</w:t>
      </w:r>
    </w:p>
    <w:p w:rsidR="00FD4A61" w:rsidRDefault="00014187" w:rsidP="00FD4A61">
      <w:pPr>
        <w:jc w:val="both"/>
        <w:rPr>
          <w:sz w:val="24"/>
          <w:szCs w:val="24"/>
        </w:rPr>
      </w:pPr>
      <w:r>
        <w:rPr>
          <w:sz w:val="24"/>
          <w:szCs w:val="24"/>
        </w:rPr>
        <w:t xml:space="preserve">U slučaju ulaganja u fond, odnosno kupnje udjela zainteresirani ulagatelj treba popuniti </w:t>
      </w:r>
      <w:r w:rsidRPr="00D1631B">
        <w:rPr>
          <w:color w:val="C00000"/>
          <w:sz w:val="24"/>
          <w:szCs w:val="24"/>
        </w:rPr>
        <w:t>zahtjev za izdavanje udjela</w:t>
      </w:r>
      <w:r>
        <w:rPr>
          <w:sz w:val="24"/>
          <w:szCs w:val="24"/>
        </w:rPr>
        <w:t xml:space="preserve">. </w:t>
      </w:r>
      <w:r w:rsidR="00D1631B">
        <w:rPr>
          <w:sz w:val="24"/>
          <w:szCs w:val="24"/>
        </w:rPr>
        <w:t xml:space="preserve">Suprotno u slučaju povlačenja sredstava iz fonda, odnosno prodaje udjela potrebno je popuniti </w:t>
      </w:r>
      <w:r w:rsidR="00D1631B" w:rsidRPr="00D1631B">
        <w:rPr>
          <w:color w:val="C00000"/>
          <w:sz w:val="24"/>
          <w:szCs w:val="24"/>
        </w:rPr>
        <w:t>zahtjev za otkup udjela u fondu</w:t>
      </w:r>
      <w:r w:rsidR="00D1631B">
        <w:rPr>
          <w:sz w:val="24"/>
          <w:szCs w:val="24"/>
        </w:rPr>
        <w:t xml:space="preserve">. Također su moguće zamjene udjela u fondu kojim upravlja isto društvo za upravljanje ili drugo društvo za upravljanje. Razlozi za zamjenu udjela u fondovima mogu biti vezani uz činjenicu da drugi fond ostvaruje bolje rezultate ili uz promjene preferencija ulagatelja npr. u slučajevima kada dionička tržišta bilježe veću volatilnost pa je primjeren „skloniti se“ („parkirati novac“ u novčane ili obvezničke fondove. </w:t>
      </w:r>
    </w:p>
    <w:p w:rsidR="00CA50AF" w:rsidRPr="00FD4A61" w:rsidRDefault="00CD1880" w:rsidP="00FD4A61">
      <w:pPr>
        <w:jc w:val="both"/>
        <w:rPr>
          <w:sz w:val="24"/>
          <w:szCs w:val="24"/>
        </w:rPr>
      </w:pPr>
      <w:r w:rsidRPr="00FD4A61">
        <w:rPr>
          <w:bCs/>
          <w:sz w:val="24"/>
          <w:szCs w:val="24"/>
        </w:rPr>
        <w:t xml:space="preserve">Društvo za upravljanje upravlja fondom </w:t>
      </w:r>
      <w:r w:rsidR="00CC556B" w:rsidRPr="00FD4A61">
        <w:rPr>
          <w:bCs/>
          <w:sz w:val="24"/>
          <w:szCs w:val="24"/>
        </w:rPr>
        <w:t>u svoje ime</w:t>
      </w:r>
      <w:r w:rsidRPr="00FD4A61">
        <w:rPr>
          <w:bCs/>
          <w:sz w:val="24"/>
          <w:szCs w:val="24"/>
        </w:rPr>
        <w:t xml:space="preserve">, ali za </w:t>
      </w:r>
      <w:r w:rsidR="00CC556B" w:rsidRPr="00FD4A61">
        <w:rPr>
          <w:bCs/>
          <w:color w:val="C00000"/>
          <w:sz w:val="24"/>
          <w:szCs w:val="24"/>
        </w:rPr>
        <w:t>zajednički račun (zajedničku korist) imatelj udjela u toj imovini</w:t>
      </w:r>
      <w:r w:rsidR="00A95DBE" w:rsidRPr="00FD4A61">
        <w:rPr>
          <w:bCs/>
          <w:sz w:val="24"/>
          <w:szCs w:val="24"/>
        </w:rPr>
        <w:t xml:space="preserve">. </w:t>
      </w:r>
      <w:r w:rsidR="00CA50AF" w:rsidRPr="00FD4A61">
        <w:rPr>
          <w:bCs/>
          <w:sz w:val="24"/>
          <w:szCs w:val="24"/>
        </w:rPr>
        <w:t xml:space="preserve">Za svoj rad društvo za upravljanje naplaćuje </w:t>
      </w:r>
      <w:r w:rsidR="00CA50AF" w:rsidRPr="00FD4A61">
        <w:rPr>
          <w:bCs/>
          <w:color w:val="C00000"/>
          <w:sz w:val="24"/>
          <w:szCs w:val="24"/>
        </w:rPr>
        <w:t>naknadu za upravljanje</w:t>
      </w:r>
      <w:r w:rsidR="00FD4A61" w:rsidRPr="00FD4A61">
        <w:rPr>
          <w:bCs/>
          <w:sz w:val="24"/>
          <w:szCs w:val="24"/>
        </w:rPr>
        <w:t xml:space="preserve"> (obračunava se od ukupne imovine fonda pri svakom izračunu vrijednosti imovine fonda, a kao određeni postotak na godišnjoj razini uzimajući u obzir broj dana kada je pojedinačni ulagatelj bio vlasnik udjela u fondu, što znači da je investitor ne plaća posebno). </w:t>
      </w:r>
      <w:r w:rsidR="00CA50AF" w:rsidRPr="00FD4A61">
        <w:rPr>
          <w:bCs/>
          <w:sz w:val="24"/>
          <w:szCs w:val="24"/>
        </w:rPr>
        <w:t xml:space="preserve">Dodatno može </w:t>
      </w:r>
      <w:r w:rsidR="00E15EC8">
        <w:rPr>
          <w:bCs/>
          <w:sz w:val="24"/>
          <w:szCs w:val="24"/>
        </w:rPr>
        <w:t xml:space="preserve">(ali i ne mora) </w:t>
      </w:r>
      <w:r w:rsidR="00CA50AF" w:rsidRPr="00FD4A61">
        <w:rPr>
          <w:bCs/>
          <w:sz w:val="24"/>
          <w:szCs w:val="24"/>
        </w:rPr>
        <w:t xml:space="preserve">postojati </w:t>
      </w:r>
      <w:r w:rsidR="00CA50AF" w:rsidRPr="00FD4A61">
        <w:rPr>
          <w:bCs/>
          <w:color w:val="C00000"/>
          <w:sz w:val="24"/>
          <w:szCs w:val="24"/>
        </w:rPr>
        <w:t xml:space="preserve">ulazna naknada </w:t>
      </w:r>
      <w:r w:rsidR="00CA50AF" w:rsidRPr="00FD4A61">
        <w:rPr>
          <w:bCs/>
          <w:sz w:val="24"/>
          <w:szCs w:val="24"/>
        </w:rPr>
        <w:t>(</w:t>
      </w:r>
      <w:r w:rsidR="00E15EC8">
        <w:rPr>
          <w:bCs/>
          <w:sz w:val="24"/>
          <w:szCs w:val="24"/>
        </w:rPr>
        <w:t xml:space="preserve">ako postoji </w:t>
      </w:r>
      <w:r w:rsidR="00CA50AF" w:rsidRPr="00FD4A61">
        <w:rPr>
          <w:bCs/>
          <w:sz w:val="24"/>
          <w:szCs w:val="24"/>
        </w:rPr>
        <w:t>naplaćuje se prilikom uplate u fond</w:t>
      </w:r>
      <w:r w:rsidR="00FD4A61" w:rsidRPr="00FD4A61">
        <w:rPr>
          <w:bCs/>
          <w:sz w:val="24"/>
          <w:szCs w:val="24"/>
        </w:rPr>
        <w:t xml:space="preserve"> kao postotak uplaćenog iznosa, odnosno vezana je za cijenu udjela na dan kupnje</w:t>
      </w:r>
      <w:r w:rsidR="00CA50AF" w:rsidRPr="00FD4A61">
        <w:rPr>
          <w:bCs/>
          <w:sz w:val="24"/>
          <w:szCs w:val="24"/>
        </w:rPr>
        <w:t>)</w:t>
      </w:r>
      <w:r w:rsidR="00FD4A61" w:rsidRPr="00FD4A61">
        <w:rPr>
          <w:bCs/>
          <w:sz w:val="24"/>
          <w:szCs w:val="24"/>
        </w:rPr>
        <w:t xml:space="preserve">. Nadalje najčešće postoji </w:t>
      </w:r>
      <w:r w:rsidR="00CA50AF" w:rsidRPr="00FD4A61">
        <w:rPr>
          <w:bCs/>
          <w:sz w:val="24"/>
          <w:szCs w:val="24"/>
        </w:rPr>
        <w:t xml:space="preserve">i </w:t>
      </w:r>
      <w:r w:rsidR="00FD4A61" w:rsidRPr="00FD4A61">
        <w:rPr>
          <w:bCs/>
          <w:color w:val="C00000"/>
          <w:sz w:val="24"/>
          <w:szCs w:val="24"/>
        </w:rPr>
        <w:t>izlazna naknada</w:t>
      </w:r>
      <w:r w:rsidR="00CA50AF" w:rsidRPr="00FD4A61">
        <w:rPr>
          <w:bCs/>
          <w:color w:val="C00000"/>
          <w:sz w:val="24"/>
          <w:szCs w:val="24"/>
        </w:rPr>
        <w:t xml:space="preserve"> </w:t>
      </w:r>
      <w:r w:rsidR="00CA50AF" w:rsidRPr="00FD4A61">
        <w:rPr>
          <w:bCs/>
          <w:sz w:val="24"/>
          <w:szCs w:val="24"/>
        </w:rPr>
        <w:t>(naplaćuje se prilikom isplate iz fonda</w:t>
      </w:r>
      <w:r w:rsidR="00FD4A61" w:rsidRPr="00FD4A61">
        <w:rPr>
          <w:bCs/>
          <w:sz w:val="24"/>
          <w:szCs w:val="24"/>
        </w:rPr>
        <w:t xml:space="preserve"> s obzirom na cijenu udjela na dan prodaje</w:t>
      </w:r>
      <w:r w:rsidR="00CA50AF" w:rsidRPr="00FD4A61">
        <w:rPr>
          <w:bCs/>
          <w:sz w:val="24"/>
          <w:szCs w:val="24"/>
        </w:rPr>
        <w:t>)</w:t>
      </w:r>
      <w:r w:rsidR="003A3829" w:rsidRPr="00FD4A61">
        <w:rPr>
          <w:bCs/>
          <w:sz w:val="24"/>
          <w:szCs w:val="24"/>
        </w:rPr>
        <w:t xml:space="preserve">, </w:t>
      </w:r>
      <w:r w:rsidR="00FD4A61" w:rsidRPr="00FD4A61">
        <w:rPr>
          <w:bCs/>
          <w:sz w:val="24"/>
          <w:szCs w:val="24"/>
        </w:rPr>
        <w:t xml:space="preserve">Posebnu vrstu naknade predstavlja </w:t>
      </w:r>
      <w:r w:rsidR="003A3829" w:rsidRPr="00FD4A61">
        <w:rPr>
          <w:bCs/>
          <w:color w:val="C00000"/>
          <w:sz w:val="24"/>
          <w:szCs w:val="24"/>
        </w:rPr>
        <w:t xml:space="preserve">naknada depozitaru </w:t>
      </w:r>
      <w:r w:rsidR="003A3829" w:rsidRPr="00FD4A61">
        <w:rPr>
          <w:bCs/>
          <w:sz w:val="24"/>
          <w:szCs w:val="24"/>
        </w:rPr>
        <w:t>(depozitnoj banci</w:t>
      </w:r>
      <w:r w:rsidR="00FD4A61" w:rsidRPr="00FD4A61">
        <w:rPr>
          <w:bCs/>
          <w:sz w:val="24"/>
          <w:szCs w:val="24"/>
        </w:rPr>
        <w:t xml:space="preserve">, obračunava se po istom principu kao u slučaju naknade za </w:t>
      </w:r>
      <w:r w:rsidR="00FD4A61" w:rsidRPr="00FD4A61">
        <w:rPr>
          <w:bCs/>
          <w:sz w:val="24"/>
          <w:szCs w:val="24"/>
        </w:rPr>
        <w:lastRenderedPageBreak/>
        <w:t>upravljanje</w:t>
      </w:r>
      <w:r w:rsidR="003A3829" w:rsidRPr="00FD4A61">
        <w:rPr>
          <w:bCs/>
          <w:sz w:val="24"/>
          <w:szCs w:val="24"/>
        </w:rPr>
        <w:t>)</w:t>
      </w:r>
      <w:r w:rsidR="00CA50AF" w:rsidRPr="00FD4A61">
        <w:rPr>
          <w:bCs/>
          <w:sz w:val="24"/>
          <w:szCs w:val="24"/>
        </w:rPr>
        <w:t xml:space="preserve">. </w:t>
      </w:r>
      <w:r w:rsidR="00FD4A61" w:rsidRPr="00FD4A61">
        <w:rPr>
          <w:bCs/>
          <w:sz w:val="24"/>
          <w:szCs w:val="24"/>
        </w:rPr>
        <w:t xml:space="preserve">Sve navedene naknade </w:t>
      </w:r>
      <w:r w:rsidR="00CA50AF" w:rsidRPr="00FD4A61">
        <w:rPr>
          <w:bCs/>
          <w:sz w:val="24"/>
          <w:szCs w:val="24"/>
        </w:rPr>
        <w:t xml:space="preserve">naplaćuju </w:t>
      </w:r>
      <w:r w:rsidR="00FD4A61" w:rsidRPr="00FD4A61">
        <w:rPr>
          <w:bCs/>
          <w:sz w:val="24"/>
          <w:szCs w:val="24"/>
        </w:rPr>
        <w:t xml:space="preserve">se </w:t>
      </w:r>
      <w:r w:rsidR="00CA50AF" w:rsidRPr="00FD4A61">
        <w:rPr>
          <w:bCs/>
          <w:sz w:val="24"/>
          <w:szCs w:val="24"/>
        </w:rPr>
        <w:t>ako je to predviđeno prospektom fonda i ako društvo za upravljanje ne donese odluku da ih neće naplaćivati.</w:t>
      </w:r>
      <w:r w:rsidR="00CA50AF" w:rsidRPr="00FD4A61">
        <w:rPr>
          <w:sz w:val="24"/>
          <w:szCs w:val="24"/>
        </w:rPr>
        <w:t xml:space="preserve"> </w:t>
      </w:r>
    </w:p>
    <w:p w:rsidR="00E6157A" w:rsidRDefault="00D23389" w:rsidP="00CD1880">
      <w:pPr>
        <w:jc w:val="both"/>
        <w:rPr>
          <w:sz w:val="24"/>
          <w:szCs w:val="24"/>
        </w:rPr>
      </w:pPr>
      <w:r w:rsidRPr="004B7B62">
        <w:rPr>
          <w:sz w:val="24"/>
          <w:szCs w:val="24"/>
        </w:rPr>
        <w:t>U okviru upravljanja imovinom fonda</w:t>
      </w:r>
      <w:r w:rsidR="005B2CC9">
        <w:rPr>
          <w:sz w:val="24"/>
          <w:szCs w:val="24"/>
        </w:rPr>
        <w:t>,</w:t>
      </w:r>
      <w:r w:rsidRPr="004B7B62">
        <w:rPr>
          <w:sz w:val="24"/>
          <w:szCs w:val="24"/>
        </w:rPr>
        <w:t xml:space="preserve"> društvo za upravljanje ulaže u </w:t>
      </w:r>
      <w:r>
        <w:rPr>
          <w:sz w:val="24"/>
          <w:szCs w:val="24"/>
        </w:rPr>
        <w:t xml:space="preserve">financijske instrumente </w:t>
      </w:r>
      <w:r w:rsidRPr="004B7B62">
        <w:rPr>
          <w:sz w:val="24"/>
          <w:szCs w:val="24"/>
        </w:rPr>
        <w:t>koji su predviđe</w:t>
      </w:r>
      <w:r>
        <w:rPr>
          <w:sz w:val="24"/>
          <w:szCs w:val="24"/>
        </w:rPr>
        <w:t xml:space="preserve">ni </w:t>
      </w:r>
      <w:r w:rsidRPr="006C7C10">
        <w:rPr>
          <w:sz w:val="24"/>
          <w:szCs w:val="24"/>
        </w:rPr>
        <w:t>prospektom</w:t>
      </w:r>
      <w:r>
        <w:rPr>
          <w:sz w:val="24"/>
          <w:szCs w:val="24"/>
        </w:rPr>
        <w:t xml:space="preserve"> </w:t>
      </w:r>
      <w:r w:rsidR="00A95DBE">
        <w:rPr>
          <w:sz w:val="24"/>
          <w:szCs w:val="24"/>
        </w:rPr>
        <w:t xml:space="preserve">određenog </w:t>
      </w:r>
      <w:r>
        <w:rPr>
          <w:sz w:val="24"/>
          <w:szCs w:val="24"/>
        </w:rPr>
        <w:t>fonda te po istom kriteriju po potrebi provodi restrukturiranje portfelja tražeći na tržištu prilike za većom zaradom uz dani rizik.</w:t>
      </w:r>
      <w:r w:rsidR="005B2CC9">
        <w:rPr>
          <w:sz w:val="24"/>
          <w:szCs w:val="24"/>
        </w:rPr>
        <w:t xml:space="preserve"> </w:t>
      </w:r>
      <w:r w:rsidR="006C7C10" w:rsidRPr="0000236D">
        <w:rPr>
          <w:color w:val="C00000"/>
          <w:sz w:val="24"/>
          <w:szCs w:val="24"/>
        </w:rPr>
        <w:t>Prospek</w:t>
      </w:r>
      <w:r w:rsidR="006C7C10" w:rsidRPr="0016181A">
        <w:rPr>
          <w:color w:val="C00000"/>
          <w:sz w:val="24"/>
          <w:szCs w:val="24"/>
        </w:rPr>
        <w:t xml:space="preserve">t </w:t>
      </w:r>
      <w:r w:rsidR="006C7C10" w:rsidRPr="008F4E5A">
        <w:rPr>
          <w:sz w:val="24"/>
          <w:szCs w:val="24"/>
        </w:rPr>
        <w:t xml:space="preserve">fonda </w:t>
      </w:r>
      <w:r w:rsidR="006C7C10">
        <w:rPr>
          <w:sz w:val="24"/>
          <w:szCs w:val="24"/>
        </w:rPr>
        <w:t>praktično predstavlja poziv na upis te ga svaki potencijalni ulagatelj treba pročitati, a u</w:t>
      </w:r>
      <w:r w:rsidR="006C7C10" w:rsidRPr="008F4E5A">
        <w:rPr>
          <w:sz w:val="24"/>
          <w:szCs w:val="24"/>
        </w:rPr>
        <w:t xml:space="preserve"> njemu su navedene bitne karakteristike fonda (naziv fonda, vrste imovine u fondu, geografske regije i sektori uz koje se vežu ulaganja, rizici ulaganja, naknade koje se naplaćuju, podaci o društvu za upravljanje, depozitaru i revizoru fonda i d</w:t>
      </w:r>
      <w:r w:rsidR="0000236D">
        <w:rPr>
          <w:sz w:val="24"/>
          <w:szCs w:val="24"/>
        </w:rPr>
        <w:t>r</w:t>
      </w:r>
      <w:r w:rsidR="006C7C10" w:rsidRPr="008F4E5A">
        <w:rPr>
          <w:sz w:val="24"/>
          <w:szCs w:val="24"/>
        </w:rPr>
        <w:t>ugo</w:t>
      </w:r>
      <w:r w:rsidR="0000236D">
        <w:rPr>
          <w:sz w:val="24"/>
          <w:szCs w:val="24"/>
        </w:rPr>
        <w:t xml:space="preserve">, uključujući eventualne porezne obveze  na ime dohotka od kapitala stečenog kao kapitalni dobitak – što bi u Hrvatskoj trebalo postati aktualno od 2016. godine, ali nije </w:t>
      </w:r>
      <w:r w:rsidR="0016181A">
        <w:rPr>
          <w:sz w:val="24"/>
          <w:szCs w:val="24"/>
        </w:rPr>
        <w:t>u primjeni</w:t>
      </w:r>
      <w:r w:rsidR="0000236D">
        <w:rPr>
          <w:sz w:val="24"/>
          <w:szCs w:val="24"/>
        </w:rPr>
        <w:t xml:space="preserve"> u trenutku pisanja ovog teksta</w:t>
      </w:r>
      <w:r w:rsidR="006C7C10" w:rsidRPr="008F4E5A">
        <w:rPr>
          <w:sz w:val="24"/>
          <w:szCs w:val="24"/>
        </w:rPr>
        <w:t xml:space="preserve">). Prije nego što se prospekt objavi </w:t>
      </w:r>
      <w:r w:rsidR="00CA50AF" w:rsidRPr="008F4E5A">
        <w:rPr>
          <w:sz w:val="24"/>
          <w:szCs w:val="24"/>
        </w:rPr>
        <w:t xml:space="preserve">za javnu ponudu, </w:t>
      </w:r>
      <w:r w:rsidR="006C7C10" w:rsidRPr="008F4E5A">
        <w:rPr>
          <w:sz w:val="24"/>
          <w:szCs w:val="24"/>
        </w:rPr>
        <w:t xml:space="preserve">društvo za upravljanje treba ishoditi suglasnost Hanfa-e, odnosno odobrenje za osnivanje fonda. </w:t>
      </w:r>
      <w:r w:rsidR="00CA50AF" w:rsidRPr="008F4E5A">
        <w:rPr>
          <w:sz w:val="24"/>
          <w:szCs w:val="24"/>
        </w:rPr>
        <w:t>Pored prospekta</w:t>
      </w:r>
      <w:r w:rsidR="0000236D">
        <w:rPr>
          <w:sz w:val="24"/>
          <w:szCs w:val="24"/>
        </w:rPr>
        <w:t>,</w:t>
      </w:r>
      <w:r w:rsidR="00CA50AF" w:rsidRPr="008F4E5A">
        <w:rPr>
          <w:sz w:val="24"/>
          <w:szCs w:val="24"/>
        </w:rPr>
        <w:t xml:space="preserve"> društvo za upravljanje dužno je objaviti i druge dokumente vezane uz ulaganja u fond. To su tzv. </w:t>
      </w:r>
      <w:r w:rsidR="00CA50AF" w:rsidRPr="0000236D">
        <w:rPr>
          <w:color w:val="C00000"/>
          <w:sz w:val="24"/>
          <w:szCs w:val="24"/>
        </w:rPr>
        <w:t xml:space="preserve">ključni podaci za ulagatelje </w:t>
      </w:r>
      <w:r w:rsidR="00CA50AF" w:rsidRPr="008F4E5A">
        <w:rPr>
          <w:sz w:val="24"/>
          <w:szCs w:val="24"/>
        </w:rPr>
        <w:t xml:space="preserve">(KIID fonda, u kojem su sažeto prikazani svi bitni podaci o fondu) te </w:t>
      </w:r>
      <w:r w:rsidR="00CA50AF" w:rsidRPr="0000236D">
        <w:rPr>
          <w:color w:val="C00000"/>
          <w:sz w:val="24"/>
          <w:szCs w:val="24"/>
        </w:rPr>
        <w:t xml:space="preserve">pravila fonda </w:t>
      </w:r>
      <w:r w:rsidR="00CA50AF" w:rsidRPr="008F4E5A">
        <w:rPr>
          <w:sz w:val="24"/>
          <w:szCs w:val="24"/>
        </w:rPr>
        <w:t xml:space="preserve">(kao dokument kojim se uređuju odnosi između ulagatelja i društva za upravljanje). </w:t>
      </w:r>
    </w:p>
    <w:p w:rsidR="00576C97" w:rsidRPr="00292C0E" w:rsidRDefault="00576C97" w:rsidP="001A42F8">
      <w:pPr>
        <w:spacing w:before="240"/>
        <w:jc w:val="both"/>
        <w:rPr>
          <w:sz w:val="24"/>
          <w:szCs w:val="24"/>
        </w:rPr>
      </w:pPr>
      <w:r w:rsidRPr="004B7B62">
        <w:rPr>
          <w:sz w:val="24"/>
          <w:szCs w:val="24"/>
        </w:rPr>
        <w:t xml:space="preserve">Isto društvo </w:t>
      </w:r>
      <w:r>
        <w:rPr>
          <w:sz w:val="24"/>
          <w:szCs w:val="24"/>
        </w:rPr>
        <w:t xml:space="preserve">za upravljanje </w:t>
      </w:r>
      <w:r w:rsidRPr="004B7B62">
        <w:rPr>
          <w:sz w:val="24"/>
          <w:szCs w:val="24"/>
        </w:rPr>
        <w:t xml:space="preserve">može upravljati većim brojem otvorenih investicijskih fondova različitih obilježja (novčani, dionički ...). Novčana sredstva fonda prikupljaju </w:t>
      </w:r>
      <w:r>
        <w:rPr>
          <w:sz w:val="24"/>
          <w:szCs w:val="24"/>
        </w:rPr>
        <w:t xml:space="preserve">se </w:t>
      </w:r>
      <w:r w:rsidRPr="004B7B62">
        <w:rPr>
          <w:sz w:val="24"/>
          <w:szCs w:val="24"/>
        </w:rPr>
        <w:t>od ulagatelja koji kupuju udjele u fondu</w:t>
      </w:r>
      <w:r>
        <w:rPr>
          <w:sz w:val="24"/>
          <w:szCs w:val="24"/>
        </w:rPr>
        <w:t xml:space="preserve"> te imaju </w:t>
      </w:r>
      <w:r w:rsidRPr="00292C0E">
        <w:rPr>
          <w:sz w:val="24"/>
          <w:szCs w:val="24"/>
        </w:rPr>
        <w:t xml:space="preserve">pravo na udio u dobiti fonda razmjerno veličini njihova udjela u cjelokupnoj imovini fonda. </w:t>
      </w:r>
      <w:r>
        <w:rPr>
          <w:sz w:val="24"/>
          <w:szCs w:val="24"/>
        </w:rPr>
        <w:t xml:space="preserve">Pri tome je često definiran </w:t>
      </w:r>
      <w:r w:rsidRPr="007D01A9">
        <w:rPr>
          <w:color w:val="C00000"/>
          <w:sz w:val="24"/>
          <w:szCs w:val="24"/>
        </w:rPr>
        <w:t>m</w:t>
      </w:r>
      <w:r w:rsidRPr="0016181A">
        <w:rPr>
          <w:color w:val="C00000"/>
          <w:sz w:val="24"/>
          <w:szCs w:val="24"/>
        </w:rPr>
        <w:t>inimalni iznos ulaganja u određeni fond</w:t>
      </w:r>
      <w:r>
        <w:rPr>
          <w:sz w:val="24"/>
          <w:szCs w:val="24"/>
        </w:rPr>
        <w:t xml:space="preserve">, a oni se kreću od npr. 100 kuna ili 15 eura do većih minimalnih iznosa ovisno o vrstama fonda. Uobičajeno su minimalni iznosi veći su kod dioničkih fondova nego kod novčanih fondova, iako to nije pravilo. </w:t>
      </w:r>
      <w:r w:rsidRPr="004B7B62">
        <w:rPr>
          <w:sz w:val="24"/>
          <w:szCs w:val="24"/>
        </w:rPr>
        <w:t xml:space="preserve">Ostvareni pozitivni prinosi i dobici od ulaganja u različite oblike imovine </w:t>
      </w:r>
      <w:r>
        <w:rPr>
          <w:sz w:val="24"/>
          <w:szCs w:val="24"/>
        </w:rPr>
        <w:t>pridonose rastu vrijednosti ukupnog portfelja pa time i</w:t>
      </w:r>
      <w:r w:rsidRPr="004B7B62">
        <w:rPr>
          <w:sz w:val="24"/>
          <w:szCs w:val="24"/>
        </w:rPr>
        <w:t xml:space="preserve"> rastu vrijednosti udjela fonda</w:t>
      </w:r>
      <w:r>
        <w:rPr>
          <w:sz w:val="24"/>
          <w:szCs w:val="24"/>
        </w:rPr>
        <w:t xml:space="preserve">. Međutim,, tržišna vrijednost portfelja imovine fonda podložna je i negativnim promjenama te se u tom slučaju vrijednost udjela smanjuje. Tako npr. dok su prinosi na dioničke fondove u Hrvatskoj dostizali ekstremno visoku razinu tijekom 2006. i 2007. privlačeći sve većih broj novih ulagatelja i ulaganja u sve većim iznosima, situacija se bitno promijenila tijekom 2008. Tada su zabilježeni i šokovi na globalnom i domaćem financijskom tržištu koji su se odrazili na značajan pad tržišne vrijednosti dionica i različitih drugih oblika imovine u portfelju fondova, a pad povjerenja investitora doveo je i do masovnih prodaja udjela fondova </w:t>
      </w:r>
      <w:r w:rsidR="000B5BDC">
        <w:rPr>
          <w:sz w:val="24"/>
          <w:szCs w:val="24"/>
        </w:rPr>
        <w:t>–</w:t>
      </w:r>
      <w:r>
        <w:rPr>
          <w:sz w:val="24"/>
          <w:szCs w:val="24"/>
        </w:rPr>
        <w:t xml:space="preserve"> </w:t>
      </w:r>
      <w:r w:rsidR="000B5BDC">
        <w:rPr>
          <w:sz w:val="24"/>
          <w:szCs w:val="24"/>
        </w:rPr>
        <w:t xml:space="preserve">praktično </w:t>
      </w:r>
      <w:r>
        <w:rPr>
          <w:sz w:val="24"/>
          <w:szCs w:val="24"/>
        </w:rPr>
        <w:t xml:space="preserve">primoravajući društva za upravljanje na rasprodaju imovine kako bi mogli isplatiti dotadašnje ulagatelje, a što je ujedno stimuliralo još veći pad cijena dionica na domaćem tržištu. </w:t>
      </w:r>
    </w:p>
    <w:p w:rsidR="00576C97" w:rsidRPr="004B7B62" w:rsidRDefault="00576C97" w:rsidP="00576C97">
      <w:pPr>
        <w:jc w:val="both"/>
        <w:rPr>
          <w:sz w:val="24"/>
          <w:szCs w:val="24"/>
        </w:rPr>
      </w:pPr>
      <w:r w:rsidRPr="00292C0E">
        <w:rPr>
          <w:sz w:val="24"/>
          <w:szCs w:val="24"/>
        </w:rPr>
        <w:t xml:space="preserve">Osnovna karakteristika </w:t>
      </w:r>
      <w:r>
        <w:rPr>
          <w:sz w:val="24"/>
          <w:szCs w:val="24"/>
        </w:rPr>
        <w:t>otvorenog fonda j</w:t>
      </w:r>
      <w:r w:rsidRPr="00292C0E">
        <w:rPr>
          <w:sz w:val="24"/>
          <w:szCs w:val="24"/>
        </w:rPr>
        <w:t>e mogućnost brzog ulaska (putem kupovine udjela otvorenog fonda od društva) i izlaska (prodajom udjela društvu) vlasnika udjela iz fonda</w:t>
      </w:r>
      <w:r>
        <w:rPr>
          <w:sz w:val="24"/>
          <w:szCs w:val="24"/>
        </w:rPr>
        <w:t>, a d</w:t>
      </w:r>
      <w:r w:rsidRPr="004B7B62">
        <w:rPr>
          <w:sz w:val="24"/>
          <w:szCs w:val="24"/>
        </w:rPr>
        <w:t xml:space="preserve">ruštva </w:t>
      </w:r>
      <w:r>
        <w:rPr>
          <w:sz w:val="24"/>
          <w:szCs w:val="24"/>
        </w:rPr>
        <w:t xml:space="preserve">za upravljanje </w:t>
      </w:r>
      <w:r w:rsidRPr="004B7B62">
        <w:rPr>
          <w:sz w:val="24"/>
          <w:szCs w:val="24"/>
        </w:rPr>
        <w:t>su dužna u svakom trenutku iskupiti udjele svojih članova (udjelničara) što osigurava likvidnost takvih ulaganja</w:t>
      </w:r>
      <w:r>
        <w:rPr>
          <w:sz w:val="24"/>
          <w:szCs w:val="24"/>
        </w:rPr>
        <w:t xml:space="preserve"> i čini ih dostupnim za male ulagatelje</w:t>
      </w:r>
      <w:r w:rsidRPr="004B7B62">
        <w:rPr>
          <w:sz w:val="24"/>
          <w:szCs w:val="24"/>
        </w:rPr>
        <w:t>.</w:t>
      </w:r>
      <w:r>
        <w:rPr>
          <w:sz w:val="24"/>
          <w:szCs w:val="24"/>
        </w:rPr>
        <w:t xml:space="preserve"> </w:t>
      </w:r>
      <w:r w:rsidR="000B5BDC">
        <w:rPr>
          <w:sz w:val="24"/>
          <w:szCs w:val="24"/>
        </w:rPr>
        <w:t>U</w:t>
      </w:r>
      <w:r>
        <w:rPr>
          <w:sz w:val="24"/>
          <w:szCs w:val="24"/>
        </w:rPr>
        <w:t xml:space="preserve">jedno </w:t>
      </w:r>
      <w:r w:rsidR="000B5BDC">
        <w:rPr>
          <w:sz w:val="24"/>
          <w:szCs w:val="24"/>
        </w:rPr>
        <w:t xml:space="preserve">to je </w:t>
      </w:r>
      <w:r>
        <w:rPr>
          <w:sz w:val="24"/>
          <w:szCs w:val="24"/>
        </w:rPr>
        <w:t xml:space="preserve">i </w:t>
      </w:r>
      <w:r>
        <w:rPr>
          <w:sz w:val="24"/>
          <w:szCs w:val="24"/>
        </w:rPr>
        <w:lastRenderedPageBreak/>
        <w:t xml:space="preserve">razlog zbog kojeg je potrebna i </w:t>
      </w:r>
      <w:r w:rsidRPr="00292C0E">
        <w:rPr>
          <w:sz w:val="24"/>
          <w:szCs w:val="24"/>
        </w:rPr>
        <w:t>visoka l</w:t>
      </w:r>
      <w:r>
        <w:rPr>
          <w:sz w:val="24"/>
          <w:szCs w:val="24"/>
        </w:rPr>
        <w:t xml:space="preserve">ikvidnost imovine fonda, što može djelovati na </w:t>
      </w:r>
      <w:r w:rsidR="000B5BDC">
        <w:rPr>
          <w:sz w:val="24"/>
          <w:szCs w:val="24"/>
        </w:rPr>
        <w:t xml:space="preserve">niže </w:t>
      </w:r>
      <w:r>
        <w:rPr>
          <w:sz w:val="24"/>
          <w:szCs w:val="24"/>
        </w:rPr>
        <w:t xml:space="preserve">prinose koje fond ostvaruje. </w:t>
      </w:r>
      <w:r w:rsidRPr="004B7B62">
        <w:rPr>
          <w:sz w:val="24"/>
          <w:szCs w:val="24"/>
        </w:rPr>
        <w:t xml:space="preserve">S aspekta ulagatelja, </w:t>
      </w:r>
      <w:r>
        <w:rPr>
          <w:sz w:val="24"/>
          <w:szCs w:val="24"/>
        </w:rPr>
        <w:t xml:space="preserve">kapitalni </w:t>
      </w:r>
      <w:r w:rsidRPr="004B7B62">
        <w:rPr>
          <w:sz w:val="24"/>
          <w:szCs w:val="24"/>
        </w:rPr>
        <w:t>dobitak od ulaganja predstavlja razlika između prodajne cijene udjela (cijena na dan izlaska iz</w:t>
      </w:r>
      <w:r>
        <w:rPr>
          <w:sz w:val="24"/>
          <w:szCs w:val="24"/>
        </w:rPr>
        <w:t xml:space="preserve"> fonda) i kupovne cijene udjela.</w:t>
      </w:r>
    </w:p>
    <w:tbl>
      <w:tblPr>
        <w:tblStyle w:val="Reetkatablice"/>
        <w:tblW w:w="0" w:type="auto"/>
        <w:tblInd w:w="108" w:type="dxa"/>
        <w:tblLook w:val="04A0" w:firstRow="1" w:lastRow="0" w:firstColumn="1" w:lastColumn="0" w:noHBand="0" w:noVBand="1"/>
      </w:tblPr>
      <w:tblGrid>
        <w:gridCol w:w="9180"/>
      </w:tblGrid>
      <w:tr w:rsidR="00D1631B" w:rsidTr="00D1631B">
        <w:tc>
          <w:tcPr>
            <w:tcW w:w="9180" w:type="dxa"/>
          </w:tcPr>
          <w:p w:rsidR="0016181A" w:rsidRDefault="00D1631B" w:rsidP="00576C97">
            <w:pPr>
              <w:spacing w:before="120"/>
              <w:jc w:val="both"/>
              <w:rPr>
                <w:rFonts w:asciiTheme="minorHAnsi" w:hAnsiTheme="minorHAnsi"/>
                <w:sz w:val="24"/>
                <w:szCs w:val="24"/>
              </w:rPr>
            </w:pPr>
            <w:r w:rsidRPr="00D41D44">
              <w:rPr>
                <w:rFonts w:asciiTheme="minorHAnsi" w:hAnsiTheme="minorHAnsi"/>
                <w:color w:val="C00000"/>
                <w:sz w:val="24"/>
                <w:szCs w:val="24"/>
              </w:rPr>
              <w:t xml:space="preserve">Primjer: </w:t>
            </w:r>
            <w:r w:rsidRPr="00D41D44">
              <w:rPr>
                <w:rFonts w:asciiTheme="minorHAnsi" w:hAnsiTheme="minorHAnsi"/>
                <w:sz w:val="24"/>
                <w:szCs w:val="24"/>
              </w:rPr>
              <w:t xml:space="preserve">Podaci vezani uz jedan od </w:t>
            </w:r>
            <w:r>
              <w:rPr>
                <w:rFonts w:asciiTheme="minorHAnsi" w:hAnsiTheme="minorHAnsi"/>
                <w:sz w:val="24"/>
                <w:szCs w:val="24"/>
              </w:rPr>
              <w:t xml:space="preserve">dioničkih </w:t>
            </w:r>
            <w:r w:rsidRPr="00D41D44">
              <w:rPr>
                <w:rFonts w:asciiTheme="minorHAnsi" w:hAnsiTheme="minorHAnsi"/>
                <w:sz w:val="24"/>
                <w:szCs w:val="24"/>
              </w:rPr>
              <w:t>fondova u RH</w:t>
            </w:r>
          </w:p>
          <w:p w:rsidR="00D1631B" w:rsidRPr="0016181A" w:rsidRDefault="0016181A" w:rsidP="0016181A">
            <w:pPr>
              <w:jc w:val="both"/>
              <w:rPr>
                <w:rFonts w:asciiTheme="minorHAnsi" w:hAnsiTheme="minorHAnsi"/>
                <w:sz w:val="24"/>
                <w:szCs w:val="24"/>
              </w:rPr>
            </w:pPr>
            <w:r>
              <w:rPr>
                <w:rFonts w:asciiTheme="minorHAnsi" w:hAnsiTheme="minorHAnsi"/>
                <w:sz w:val="24"/>
                <w:szCs w:val="24"/>
              </w:rPr>
              <w:t xml:space="preserve">               </w:t>
            </w:r>
            <w:r w:rsidR="00D1631B">
              <w:rPr>
                <w:rFonts w:asciiTheme="minorHAnsi" w:eastAsiaTheme="minorHAnsi" w:hAnsiTheme="minorHAnsi" w:cstheme="minorBidi"/>
                <w:sz w:val="22"/>
                <w:szCs w:val="22"/>
                <w:lang w:eastAsia="en-US"/>
              </w:rPr>
              <w:object w:dxaOrig="8310" w:dyaOrig="7635">
                <v:shape id="_x0000_i1077" type="#_x0000_t75" style="width:415.5pt;height:381.75pt" o:ole="">
                  <v:imagedata r:id="rId226" o:title=""/>
                </v:shape>
                <o:OLEObject Type="Embed" ProgID="PBrush" ShapeID="_x0000_i1077" DrawAspect="Content" ObjectID="_1505681405" r:id="rId227"/>
              </w:object>
            </w:r>
          </w:p>
        </w:tc>
      </w:tr>
    </w:tbl>
    <w:p w:rsidR="007D01A9" w:rsidRDefault="007D01A9" w:rsidP="007D01A9">
      <w:pPr>
        <w:spacing w:before="240"/>
        <w:jc w:val="both"/>
        <w:rPr>
          <w:sz w:val="24"/>
          <w:szCs w:val="24"/>
        </w:rPr>
      </w:pPr>
      <w:r w:rsidRPr="007D01A9">
        <w:rPr>
          <w:sz w:val="24"/>
          <w:szCs w:val="24"/>
        </w:rPr>
        <w:t>Od 2016. godine kapitalni dobici ostvareni od ulaganja u investicijske fondove postaju oporezivi.</w:t>
      </w:r>
      <w:r>
        <w:rPr>
          <w:i/>
          <w:sz w:val="24"/>
          <w:szCs w:val="24"/>
        </w:rPr>
        <w:t xml:space="preserve"> </w:t>
      </w:r>
      <w:r w:rsidRPr="006D21FD">
        <w:rPr>
          <w:i/>
          <w:sz w:val="24"/>
          <w:szCs w:val="24"/>
        </w:rPr>
        <w:t>„Dohodak od kapitala po osnovi primitaka ostvarenih od jedinica u subjektima za zajednička ulaganja utvrđuje se u visini ostvarenih, odnosno realiziranih prinosa umanjenih za troškove upravljanja investicijama, odnosno troškove upravljanja imovinom investicijskog fonda (netoprinos). … Dohodak od kapitala po osnovi kapitalnih dobitaka ostvarenih od ulaganja financijske imovine u portfelje, sukladno propisu koji uređuje tržište kapitala, utvrđuje se u trenutku realizacije prinosa iz portfelja umanjenog za troškove upravljanja portfeljem (neto prinos).“</w:t>
      </w:r>
      <w:r w:rsidRPr="006D21FD">
        <w:rPr>
          <w:sz w:val="24"/>
          <w:szCs w:val="24"/>
          <w:vertAlign w:val="superscript"/>
        </w:rPr>
        <w:t xml:space="preserve"> </w:t>
      </w:r>
      <w:r w:rsidRPr="00086C6D">
        <w:rPr>
          <w:sz w:val="24"/>
          <w:szCs w:val="24"/>
          <w:vertAlign w:val="superscript"/>
        </w:rPr>
        <w:footnoteReference w:id="93"/>
      </w:r>
    </w:p>
    <w:p w:rsidR="00FD4A61" w:rsidRDefault="007D01A9" w:rsidP="00FD4A61">
      <w:pPr>
        <w:spacing w:before="240"/>
        <w:jc w:val="both"/>
        <w:rPr>
          <w:sz w:val="24"/>
          <w:szCs w:val="24"/>
        </w:rPr>
      </w:pPr>
      <w:r w:rsidRPr="007D01A9">
        <w:rPr>
          <w:sz w:val="24"/>
          <w:szCs w:val="24"/>
        </w:rPr>
        <w:lastRenderedPageBreak/>
        <w:t xml:space="preserve">Pri tome se </w:t>
      </w:r>
      <w:r w:rsidRPr="0016181A">
        <w:rPr>
          <w:color w:val="C00000"/>
          <w:sz w:val="24"/>
          <w:szCs w:val="24"/>
        </w:rPr>
        <w:t xml:space="preserve">dohodak od kapitala </w:t>
      </w:r>
      <w:r>
        <w:rPr>
          <w:color w:val="C00000"/>
          <w:sz w:val="24"/>
          <w:szCs w:val="24"/>
        </w:rPr>
        <w:t xml:space="preserve">(kapitalni dobici) </w:t>
      </w:r>
      <w:r w:rsidRPr="0016181A">
        <w:rPr>
          <w:color w:val="C00000"/>
          <w:sz w:val="24"/>
          <w:szCs w:val="24"/>
        </w:rPr>
        <w:t>se ne oporezuje</w:t>
      </w:r>
      <w:r>
        <w:rPr>
          <w:sz w:val="24"/>
          <w:szCs w:val="24"/>
        </w:rPr>
        <w:t xml:space="preserve"> ukoliko se radi o otuđenju imovine izvršenom između bračnih drugova i srodnika u prvoj liniji i drugih članova uže obitelji te između razvedenih bračnih drugova ako je otuđenje u neposrednoj vezi s razvodom braka, nasljeđivanjem financijske imovine, kao i </w:t>
      </w:r>
      <w:r w:rsidRPr="0016181A">
        <w:rPr>
          <w:color w:val="C00000"/>
          <w:sz w:val="24"/>
          <w:szCs w:val="24"/>
        </w:rPr>
        <w:t>u slučaju ako je financijska imovina otuđena nakon tri godine od dana nabave odnosno stjecanja</w:t>
      </w:r>
      <w:r>
        <w:rPr>
          <w:sz w:val="24"/>
          <w:szCs w:val="24"/>
        </w:rPr>
        <w:t xml:space="preserve">. Također je predviđena mogućnost </w:t>
      </w:r>
      <w:r w:rsidRPr="00224569">
        <w:rPr>
          <w:color w:val="C00000"/>
          <w:sz w:val="24"/>
          <w:szCs w:val="24"/>
        </w:rPr>
        <w:t>odbitka kapitalnih gubitaka</w:t>
      </w:r>
      <w:r w:rsidRPr="007D01A9">
        <w:rPr>
          <w:sz w:val="24"/>
          <w:szCs w:val="24"/>
        </w:rPr>
        <w:t xml:space="preserve">, ali se oni </w:t>
      </w:r>
      <w:r>
        <w:rPr>
          <w:sz w:val="24"/>
          <w:szCs w:val="24"/>
        </w:rPr>
        <w:t>mogu odbiti samo od dohotka od kapitalnih dobitaka koji je porezni obveznik ostvario u istoj kalendarskoj godini i najviše do visine porezne osnovice.</w:t>
      </w:r>
    </w:p>
    <w:p w:rsidR="00E26D80" w:rsidRPr="004B7B62" w:rsidRDefault="00FD4A61" w:rsidP="00FD4A61">
      <w:pPr>
        <w:spacing w:after="0"/>
        <w:jc w:val="both"/>
        <w:rPr>
          <w:sz w:val="24"/>
          <w:szCs w:val="24"/>
        </w:rPr>
      </w:pPr>
      <w:r w:rsidRPr="004B7B62">
        <w:rPr>
          <w:sz w:val="24"/>
          <w:szCs w:val="24"/>
        </w:rPr>
        <w:t xml:space="preserve"> </w:t>
      </w:r>
      <w:r w:rsidR="00E26D80" w:rsidRPr="004B7B62">
        <w:rPr>
          <w:sz w:val="24"/>
          <w:szCs w:val="24"/>
        </w:rPr>
        <w:t>S obzirom na vrstu imovine koja dominira u ukupnom portfelju fonda otvoreni investicijskih fondov</w:t>
      </w:r>
      <w:r w:rsidR="00CA50AF">
        <w:rPr>
          <w:sz w:val="24"/>
          <w:szCs w:val="24"/>
        </w:rPr>
        <w:t>i</w:t>
      </w:r>
      <w:r w:rsidR="00E26D80" w:rsidRPr="004B7B62">
        <w:rPr>
          <w:sz w:val="24"/>
          <w:szCs w:val="24"/>
        </w:rPr>
        <w:t xml:space="preserve"> s javnom ponudom </w:t>
      </w:r>
      <w:r w:rsidR="002C45D4">
        <w:rPr>
          <w:sz w:val="24"/>
          <w:szCs w:val="24"/>
        </w:rPr>
        <w:t xml:space="preserve">(UCITS fondovi) </w:t>
      </w:r>
      <w:r w:rsidR="00CA50AF">
        <w:rPr>
          <w:sz w:val="24"/>
          <w:szCs w:val="24"/>
        </w:rPr>
        <w:t>mogu imati obilježja</w:t>
      </w:r>
      <w:r w:rsidR="00E26D80" w:rsidRPr="004B7B62">
        <w:rPr>
          <w:sz w:val="24"/>
          <w:szCs w:val="24"/>
        </w:rPr>
        <w:t>:</w:t>
      </w:r>
    </w:p>
    <w:p w:rsidR="00E26D80" w:rsidRPr="004B7B62" w:rsidRDefault="00CA50AF" w:rsidP="00C86D78">
      <w:pPr>
        <w:numPr>
          <w:ilvl w:val="0"/>
          <w:numId w:val="90"/>
        </w:numPr>
        <w:tabs>
          <w:tab w:val="clear" w:pos="820"/>
          <w:tab w:val="num" w:pos="567"/>
        </w:tabs>
        <w:spacing w:after="0" w:line="240" w:lineRule="auto"/>
        <w:ind w:left="567" w:hanging="283"/>
        <w:jc w:val="both"/>
        <w:rPr>
          <w:sz w:val="24"/>
          <w:szCs w:val="24"/>
        </w:rPr>
      </w:pPr>
      <w:r w:rsidRPr="006C0945">
        <w:rPr>
          <w:color w:val="C00000"/>
          <w:sz w:val="24"/>
          <w:szCs w:val="24"/>
        </w:rPr>
        <w:t xml:space="preserve">novčanog </w:t>
      </w:r>
      <w:r w:rsidR="00E26D80" w:rsidRPr="006C0945">
        <w:rPr>
          <w:color w:val="C00000"/>
          <w:sz w:val="24"/>
          <w:szCs w:val="24"/>
        </w:rPr>
        <w:t xml:space="preserve"> fond</w:t>
      </w:r>
      <w:r w:rsidRPr="006C0945">
        <w:rPr>
          <w:color w:val="C00000"/>
          <w:sz w:val="24"/>
          <w:szCs w:val="24"/>
        </w:rPr>
        <w:t>a</w:t>
      </w:r>
      <w:r w:rsidR="00E26D80" w:rsidRPr="006C0945">
        <w:rPr>
          <w:color w:val="C00000"/>
          <w:sz w:val="24"/>
          <w:szCs w:val="24"/>
        </w:rPr>
        <w:t xml:space="preserve"> </w:t>
      </w:r>
      <w:r>
        <w:rPr>
          <w:sz w:val="24"/>
          <w:szCs w:val="24"/>
        </w:rPr>
        <w:t>–</w:t>
      </w:r>
      <w:r w:rsidR="00E26D80" w:rsidRPr="004B7B62">
        <w:rPr>
          <w:sz w:val="24"/>
          <w:szCs w:val="24"/>
        </w:rPr>
        <w:t xml:space="preserve"> </w:t>
      </w:r>
      <w:r>
        <w:rPr>
          <w:sz w:val="24"/>
          <w:szCs w:val="24"/>
        </w:rPr>
        <w:t xml:space="preserve">ako </w:t>
      </w:r>
      <w:r w:rsidR="00E26D80" w:rsidRPr="004B7B62">
        <w:rPr>
          <w:sz w:val="24"/>
          <w:szCs w:val="24"/>
        </w:rPr>
        <w:t xml:space="preserve">u strukturi imovine dominiraju depoziti kod banaka, kratkoročne vrijednosnice (poput trezorskih zapisa kojima se kratkoročno zadužuje država i komercijalnih zapisa poduzeća); državne obveznice (kao dugoročne dužničke vrijednosnice koje emitira država); </w:t>
      </w:r>
    </w:p>
    <w:p w:rsidR="00E26D80" w:rsidRPr="004B7B62" w:rsidRDefault="00E26D80" w:rsidP="00C86D78">
      <w:pPr>
        <w:numPr>
          <w:ilvl w:val="0"/>
          <w:numId w:val="90"/>
        </w:numPr>
        <w:tabs>
          <w:tab w:val="clear" w:pos="820"/>
          <w:tab w:val="num" w:pos="567"/>
        </w:tabs>
        <w:spacing w:after="0" w:line="240" w:lineRule="auto"/>
        <w:ind w:left="567" w:hanging="283"/>
        <w:jc w:val="both"/>
        <w:rPr>
          <w:sz w:val="24"/>
          <w:szCs w:val="24"/>
        </w:rPr>
      </w:pPr>
      <w:r w:rsidRPr="006C0945">
        <w:rPr>
          <w:color w:val="C00000"/>
          <w:sz w:val="24"/>
          <w:szCs w:val="24"/>
        </w:rPr>
        <w:t>dioničk</w:t>
      </w:r>
      <w:r w:rsidR="00CA50AF" w:rsidRPr="006C0945">
        <w:rPr>
          <w:color w:val="C00000"/>
          <w:sz w:val="24"/>
          <w:szCs w:val="24"/>
        </w:rPr>
        <w:t>og fonda</w:t>
      </w:r>
      <w:r w:rsidRPr="006C0945">
        <w:rPr>
          <w:color w:val="C00000"/>
          <w:sz w:val="24"/>
          <w:szCs w:val="24"/>
        </w:rPr>
        <w:t xml:space="preserve"> </w:t>
      </w:r>
      <w:r w:rsidR="00CA50AF">
        <w:rPr>
          <w:sz w:val="24"/>
          <w:szCs w:val="24"/>
        </w:rPr>
        <w:t>–</w:t>
      </w:r>
      <w:r w:rsidRPr="004B7B62">
        <w:rPr>
          <w:sz w:val="24"/>
          <w:szCs w:val="24"/>
        </w:rPr>
        <w:t xml:space="preserve"> </w:t>
      </w:r>
      <w:r w:rsidR="00CA50AF">
        <w:rPr>
          <w:sz w:val="24"/>
          <w:szCs w:val="24"/>
        </w:rPr>
        <w:t xml:space="preserve">ako </w:t>
      </w:r>
      <w:r w:rsidRPr="004B7B62">
        <w:rPr>
          <w:sz w:val="24"/>
          <w:szCs w:val="24"/>
        </w:rPr>
        <w:t xml:space="preserve">u strukturi imovine dominiraju dionice domaćih poduzeća, banaka i drugih emitenata te dionice inozemnih izdavatelja; </w:t>
      </w:r>
    </w:p>
    <w:p w:rsidR="00E26D80" w:rsidRPr="004B7B62" w:rsidRDefault="00CA50AF" w:rsidP="00C86D78">
      <w:pPr>
        <w:numPr>
          <w:ilvl w:val="0"/>
          <w:numId w:val="90"/>
        </w:numPr>
        <w:tabs>
          <w:tab w:val="clear" w:pos="820"/>
          <w:tab w:val="num" w:pos="567"/>
        </w:tabs>
        <w:spacing w:after="0" w:line="240" w:lineRule="auto"/>
        <w:ind w:left="567" w:hanging="283"/>
        <w:jc w:val="both"/>
        <w:rPr>
          <w:sz w:val="24"/>
          <w:szCs w:val="24"/>
        </w:rPr>
      </w:pPr>
      <w:r w:rsidRPr="006C0945">
        <w:rPr>
          <w:color w:val="C00000"/>
          <w:sz w:val="24"/>
          <w:szCs w:val="24"/>
        </w:rPr>
        <w:t>obvezničkog fonda</w:t>
      </w:r>
      <w:r w:rsidR="00E26D80" w:rsidRPr="006C0945">
        <w:rPr>
          <w:color w:val="C00000"/>
          <w:sz w:val="24"/>
          <w:szCs w:val="24"/>
        </w:rPr>
        <w:t xml:space="preserve"> </w:t>
      </w:r>
      <w:r>
        <w:rPr>
          <w:sz w:val="24"/>
          <w:szCs w:val="24"/>
        </w:rPr>
        <w:t>–</w:t>
      </w:r>
      <w:r w:rsidR="00E26D80" w:rsidRPr="004B7B62">
        <w:rPr>
          <w:sz w:val="24"/>
          <w:szCs w:val="24"/>
        </w:rPr>
        <w:t xml:space="preserve"> </w:t>
      </w:r>
      <w:r>
        <w:rPr>
          <w:sz w:val="24"/>
          <w:szCs w:val="24"/>
        </w:rPr>
        <w:t xml:space="preserve">ako </w:t>
      </w:r>
      <w:r w:rsidR="00E26D80" w:rsidRPr="004B7B62">
        <w:rPr>
          <w:sz w:val="24"/>
          <w:szCs w:val="24"/>
        </w:rPr>
        <w:t>u strukturi imovine dominiraju obveznice koje izdaju država, poduzeća, gradovi i drugi emitenti;</w:t>
      </w:r>
    </w:p>
    <w:p w:rsidR="006C0945" w:rsidRDefault="00CA50AF" w:rsidP="00C86D78">
      <w:pPr>
        <w:numPr>
          <w:ilvl w:val="0"/>
          <w:numId w:val="90"/>
        </w:numPr>
        <w:tabs>
          <w:tab w:val="clear" w:pos="820"/>
          <w:tab w:val="num" w:pos="567"/>
        </w:tabs>
        <w:spacing w:after="0" w:line="240" w:lineRule="auto"/>
        <w:ind w:left="567" w:hanging="283"/>
        <w:jc w:val="both"/>
        <w:rPr>
          <w:sz w:val="24"/>
          <w:szCs w:val="24"/>
        </w:rPr>
      </w:pPr>
      <w:r w:rsidRPr="006C0945">
        <w:rPr>
          <w:color w:val="C00000"/>
          <w:sz w:val="24"/>
          <w:szCs w:val="24"/>
        </w:rPr>
        <w:t xml:space="preserve">mješovitog fonda </w:t>
      </w:r>
      <w:r>
        <w:rPr>
          <w:sz w:val="24"/>
          <w:szCs w:val="24"/>
        </w:rPr>
        <w:t>–</w:t>
      </w:r>
      <w:r w:rsidR="00E26D80" w:rsidRPr="004B7B62">
        <w:rPr>
          <w:sz w:val="24"/>
          <w:szCs w:val="24"/>
        </w:rPr>
        <w:t xml:space="preserve"> </w:t>
      </w:r>
      <w:r>
        <w:rPr>
          <w:sz w:val="24"/>
          <w:szCs w:val="24"/>
        </w:rPr>
        <w:t xml:space="preserve">ako </w:t>
      </w:r>
      <w:r w:rsidR="00E26D80" w:rsidRPr="004B7B62">
        <w:rPr>
          <w:sz w:val="24"/>
          <w:szCs w:val="24"/>
        </w:rPr>
        <w:t>u strukturi imovine podjednako su značajno zastupljene dionice i obveznice domaćih i inozemnih izdavatelja</w:t>
      </w:r>
      <w:r w:rsidR="00C4132B">
        <w:rPr>
          <w:sz w:val="24"/>
          <w:szCs w:val="24"/>
        </w:rPr>
        <w:t>; obično se promatraju kao oblik ulaganja koji donosi uravnotežen prinos uz uravnotežen rizik</w:t>
      </w:r>
      <w:r w:rsidR="007D01A9">
        <w:rPr>
          <w:sz w:val="24"/>
          <w:szCs w:val="24"/>
        </w:rPr>
        <w:t>;</w:t>
      </w:r>
    </w:p>
    <w:p w:rsidR="00E26D80" w:rsidRPr="004B7B62" w:rsidRDefault="006C0945" w:rsidP="00C86D78">
      <w:pPr>
        <w:numPr>
          <w:ilvl w:val="0"/>
          <w:numId w:val="90"/>
        </w:numPr>
        <w:tabs>
          <w:tab w:val="clear" w:pos="820"/>
          <w:tab w:val="num" w:pos="567"/>
        </w:tabs>
        <w:spacing w:after="0" w:line="240" w:lineRule="auto"/>
        <w:ind w:left="567" w:hanging="283"/>
        <w:jc w:val="both"/>
        <w:rPr>
          <w:sz w:val="24"/>
          <w:szCs w:val="24"/>
        </w:rPr>
      </w:pPr>
      <w:r>
        <w:rPr>
          <w:sz w:val="24"/>
          <w:szCs w:val="24"/>
        </w:rPr>
        <w:t xml:space="preserve">a u novije vrijeme su se na hrvatskom tržištu javili i </w:t>
      </w:r>
      <w:r w:rsidRPr="006C0945">
        <w:rPr>
          <w:color w:val="C00000"/>
          <w:sz w:val="24"/>
          <w:szCs w:val="24"/>
        </w:rPr>
        <w:t xml:space="preserve">fondovi s dospijećem </w:t>
      </w:r>
      <w:r>
        <w:rPr>
          <w:sz w:val="24"/>
          <w:szCs w:val="24"/>
        </w:rPr>
        <w:t>kod kojih se strategija ulaganja mijenja protekom vremena pa tako npr. u prvom dijelu definiranog razdoblja (na pet, deset, petnaest ili više godina) je veći dio imovine uložen u dionice, a potom u drugom dijelu razdoblja u obveznice i instrumente tržišta novca.</w:t>
      </w:r>
      <w:r w:rsidR="00C4132B">
        <w:rPr>
          <w:sz w:val="24"/>
          <w:szCs w:val="24"/>
        </w:rPr>
        <w:t xml:space="preserve"> </w:t>
      </w:r>
    </w:p>
    <w:p w:rsidR="008F4E5A" w:rsidRDefault="008F4E5A" w:rsidP="008F4E5A">
      <w:pPr>
        <w:spacing w:before="240"/>
        <w:jc w:val="both"/>
        <w:rPr>
          <w:sz w:val="24"/>
          <w:szCs w:val="24"/>
        </w:rPr>
      </w:pPr>
      <w:r>
        <w:rPr>
          <w:sz w:val="24"/>
          <w:szCs w:val="24"/>
        </w:rPr>
        <w:t xml:space="preserve">Na tržištu se </w:t>
      </w:r>
      <w:r w:rsidR="006C0945">
        <w:rPr>
          <w:sz w:val="24"/>
          <w:szCs w:val="24"/>
        </w:rPr>
        <w:t xml:space="preserve">UCITS fondovi </w:t>
      </w:r>
      <w:r>
        <w:rPr>
          <w:sz w:val="24"/>
          <w:szCs w:val="24"/>
        </w:rPr>
        <w:t>javljaju pod različitim nazivima iz kojih je najčešće moguće naslutiti vrstu imovine u koju fond ulaže, valutu u kojoj su denominirana ulaganja</w:t>
      </w:r>
      <w:r w:rsidR="003B467A">
        <w:rPr>
          <w:sz w:val="24"/>
          <w:szCs w:val="24"/>
        </w:rPr>
        <w:t>, njegovu geografsku ili sektorsku orientaciju</w:t>
      </w:r>
      <w:r>
        <w:rPr>
          <w:sz w:val="24"/>
          <w:szCs w:val="24"/>
        </w:rPr>
        <w:t xml:space="preserve">, npr. X novčani fond, X euro novčani fond, X dolar fond, X bond fond, X global fond, </w:t>
      </w:r>
      <w:r w:rsidR="00C4132B">
        <w:rPr>
          <w:sz w:val="24"/>
          <w:szCs w:val="24"/>
        </w:rPr>
        <w:t xml:space="preserve">X balance, </w:t>
      </w:r>
      <w:r>
        <w:rPr>
          <w:sz w:val="24"/>
          <w:szCs w:val="24"/>
        </w:rPr>
        <w:t xml:space="preserve">X equity fond, </w:t>
      </w:r>
      <w:r w:rsidR="006C0945">
        <w:rPr>
          <w:sz w:val="24"/>
          <w:szCs w:val="24"/>
        </w:rPr>
        <w:t xml:space="preserve">X BRIC, X euroaktiv, </w:t>
      </w:r>
      <w:r>
        <w:rPr>
          <w:sz w:val="24"/>
          <w:szCs w:val="24"/>
        </w:rPr>
        <w:t>X conservative fond, X short-term</w:t>
      </w:r>
      <w:r w:rsidR="006C0945">
        <w:rPr>
          <w:sz w:val="24"/>
          <w:szCs w:val="24"/>
        </w:rPr>
        <w:t xml:space="preserve"> fond itd. Odabir vrste fonda ovisi o preferencijama ulagatelja, vremenskom horizontu na koji ulažu (npr. dionički i drugi više rizični fondovi preporučuju se za ulaganja na dugi rok)</w:t>
      </w:r>
      <w:r w:rsidR="00300B58">
        <w:rPr>
          <w:sz w:val="24"/>
          <w:szCs w:val="24"/>
        </w:rPr>
        <w:t xml:space="preserve"> te osobnim sklonostima riziku (toleranciji prema riziku). </w:t>
      </w:r>
    </w:p>
    <w:p w:rsidR="00EB2EA2" w:rsidRDefault="00014187" w:rsidP="00EB2EA2">
      <w:pPr>
        <w:jc w:val="both"/>
        <w:rPr>
          <w:sz w:val="24"/>
          <w:szCs w:val="24"/>
        </w:rPr>
      </w:pPr>
      <w:r w:rsidRPr="00D77764">
        <w:rPr>
          <w:sz w:val="24"/>
          <w:szCs w:val="24"/>
        </w:rPr>
        <w:t xml:space="preserve">Budući da većina </w:t>
      </w:r>
      <w:r w:rsidR="00D77764">
        <w:rPr>
          <w:sz w:val="24"/>
          <w:szCs w:val="24"/>
        </w:rPr>
        <w:t xml:space="preserve">građana (malih ulagatelja) </w:t>
      </w:r>
      <w:r w:rsidRPr="00D77764">
        <w:rPr>
          <w:sz w:val="24"/>
          <w:szCs w:val="24"/>
        </w:rPr>
        <w:t xml:space="preserve">nema specijalizirano znanje i vještine za direktno ulaganje na tržištu dionica, odluka o ulaganju u dioničke fondove ili druge oblike </w:t>
      </w:r>
      <w:r w:rsidR="00D77764">
        <w:rPr>
          <w:sz w:val="24"/>
          <w:szCs w:val="24"/>
        </w:rPr>
        <w:t xml:space="preserve">UCITS fondova </w:t>
      </w:r>
      <w:r w:rsidRPr="00D77764">
        <w:rPr>
          <w:sz w:val="24"/>
          <w:szCs w:val="24"/>
        </w:rPr>
        <w:t xml:space="preserve">može biti dobra strategija </w:t>
      </w:r>
      <w:r w:rsidRPr="008F47B5">
        <w:rPr>
          <w:color w:val="C00000"/>
          <w:sz w:val="24"/>
          <w:szCs w:val="24"/>
        </w:rPr>
        <w:t>izbjegavanju tipičnih pogreška koje su svojstvene „neiskusnim individualnim ulagačima“</w:t>
      </w:r>
      <w:r w:rsidR="00225BE1">
        <w:rPr>
          <w:color w:val="C00000"/>
          <w:sz w:val="24"/>
          <w:szCs w:val="24"/>
        </w:rPr>
        <w:t xml:space="preserve"> </w:t>
      </w:r>
      <w:r w:rsidR="00225BE1" w:rsidRPr="00225BE1">
        <w:rPr>
          <w:sz w:val="24"/>
          <w:szCs w:val="24"/>
        </w:rPr>
        <w:t>pri samostalnom ulaganju na tržištu kapitala</w:t>
      </w:r>
      <w:r w:rsidRPr="00225BE1">
        <w:rPr>
          <w:sz w:val="24"/>
          <w:szCs w:val="24"/>
        </w:rPr>
        <w:t xml:space="preserve">. </w:t>
      </w:r>
      <w:r w:rsidR="00D77764">
        <w:rPr>
          <w:sz w:val="24"/>
          <w:szCs w:val="24"/>
        </w:rPr>
        <w:t xml:space="preserve">Dodatno, </w:t>
      </w:r>
      <w:r w:rsidRPr="00D77764">
        <w:rPr>
          <w:sz w:val="24"/>
          <w:szCs w:val="24"/>
        </w:rPr>
        <w:t>u komparaciji s direktnim ulaganjem u dionice,</w:t>
      </w:r>
      <w:r w:rsidRPr="008F47B5">
        <w:rPr>
          <w:sz w:val="24"/>
          <w:szCs w:val="24"/>
        </w:rPr>
        <w:t xml:space="preserve"> diversifikacija rizika</w:t>
      </w:r>
      <w:r w:rsidRPr="00D77764">
        <w:rPr>
          <w:sz w:val="24"/>
          <w:szCs w:val="24"/>
        </w:rPr>
        <w:t xml:space="preserve"> je znatno je </w:t>
      </w:r>
      <w:r w:rsidRPr="008F47B5">
        <w:rPr>
          <w:sz w:val="24"/>
          <w:szCs w:val="24"/>
        </w:rPr>
        <w:t xml:space="preserve">veća u slučaju ulaganja </w:t>
      </w:r>
      <w:r w:rsidR="003B467A">
        <w:rPr>
          <w:sz w:val="24"/>
          <w:szCs w:val="24"/>
        </w:rPr>
        <w:t xml:space="preserve">npr. </w:t>
      </w:r>
      <w:r w:rsidRPr="008F47B5">
        <w:rPr>
          <w:sz w:val="24"/>
          <w:szCs w:val="24"/>
        </w:rPr>
        <w:t>u dioničke fondove</w:t>
      </w:r>
      <w:r w:rsidRPr="00D77764">
        <w:rPr>
          <w:sz w:val="24"/>
          <w:szCs w:val="24"/>
        </w:rPr>
        <w:t xml:space="preserve"> nego u slučaju ulaganja u neko</w:t>
      </w:r>
      <w:r w:rsidR="00D77764">
        <w:rPr>
          <w:sz w:val="24"/>
          <w:szCs w:val="24"/>
        </w:rPr>
        <w:t xml:space="preserve">liko dionica izabranih poduzeća, a smanjenju rizičnosti ulaganja pridonosi i činjenica da portfeljem imovine fonda upravljaju profesionalci – fond menadžeri, što je sve zajedno razlog zbog čega se </w:t>
      </w:r>
      <w:r w:rsidR="00D77764" w:rsidRPr="008F47B5">
        <w:rPr>
          <w:color w:val="C00000"/>
          <w:sz w:val="24"/>
          <w:szCs w:val="24"/>
        </w:rPr>
        <w:t>ulaganje u UCITS fondove veže uz štedno-ulagačke aktivnosti</w:t>
      </w:r>
      <w:r w:rsidR="00D77764">
        <w:rPr>
          <w:sz w:val="24"/>
          <w:szCs w:val="24"/>
        </w:rPr>
        <w:t xml:space="preserve">, a pristup ulaganju dostupan </w:t>
      </w:r>
      <w:r w:rsidR="00D77764">
        <w:rPr>
          <w:sz w:val="24"/>
          <w:szCs w:val="24"/>
        </w:rPr>
        <w:lastRenderedPageBreak/>
        <w:t xml:space="preserve">je </w:t>
      </w:r>
      <w:r w:rsidR="00225BE1">
        <w:rPr>
          <w:sz w:val="24"/>
          <w:szCs w:val="24"/>
        </w:rPr>
        <w:t xml:space="preserve">zainteresiranim ulagateljima </w:t>
      </w:r>
      <w:r w:rsidR="003B467A">
        <w:rPr>
          <w:sz w:val="24"/>
          <w:szCs w:val="24"/>
        </w:rPr>
        <w:t xml:space="preserve">i </w:t>
      </w:r>
      <w:r w:rsidR="00D77764">
        <w:rPr>
          <w:sz w:val="24"/>
          <w:szCs w:val="24"/>
        </w:rPr>
        <w:t xml:space="preserve">u poslovnicama banaka </w:t>
      </w:r>
      <w:r w:rsidR="00225BE1">
        <w:rPr>
          <w:sz w:val="24"/>
          <w:szCs w:val="24"/>
        </w:rPr>
        <w:t>te</w:t>
      </w:r>
      <w:r w:rsidR="00D77764">
        <w:rPr>
          <w:sz w:val="24"/>
          <w:szCs w:val="24"/>
        </w:rPr>
        <w:t xml:space="preserve"> na drugi način bez posebn</w:t>
      </w:r>
      <w:r w:rsidR="00225BE1">
        <w:rPr>
          <w:sz w:val="24"/>
          <w:szCs w:val="24"/>
        </w:rPr>
        <w:t xml:space="preserve">o zahtjevne </w:t>
      </w:r>
      <w:r w:rsidR="00D77764">
        <w:rPr>
          <w:sz w:val="24"/>
          <w:szCs w:val="24"/>
        </w:rPr>
        <w:t>administrativne procedure kao u slučaju investicijskih ul</w:t>
      </w:r>
      <w:r w:rsidR="008F47B5">
        <w:rPr>
          <w:sz w:val="24"/>
          <w:szCs w:val="24"/>
        </w:rPr>
        <w:t>a</w:t>
      </w:r>
      <w:r w:rsidR="00D77764">
        <w:rPr>
          <w:sz w:val="24"/>
          <w:szCs w:val="24"/>
        </w:rPr>
        <w:t xml:space="preserve">ganja. </w:t>
      </w:r>
    </w:p>
    <w:p w:rsidR="00D77764" w:rsidRDefault="00D77764" w:rsidP="00EB2EA2">
      <w:pPr>
        <w:spacing w:after="0"/>
        <w:jc w:val="both"/>
        <w:rPr>
          <w:sz w:val="24"/>
          <w:szCs w:val="24"/>
        </w:rPr>
      </w:pPr>
      <w:r>
        <w:rPr>
          <w:sz w:val="24"/>
          <w:szCs w:val="24"/>
        </w:rPr>
        <w:t xml:space="preserve">Kao posebna pogodnost ulaganja u UCITS fondove ističe se da </w:t>
      </w:r>
      <w:r w:rsidR="008F47B5">
        <w:rPr>
          <w:sz w:val="24"/>
          <w:szCs w:val="24"/>
        </w:rPr>
        <w:t xml:space="preserve">oni </w:t>
      </w:r>
      <w:r>
        <w:rPr>
          <w:sz w:val="24"/>
          <w:szCs w:val="24"/>
        </w:rPr>
        <w:t xml:space="preserve">omogućavaju sudjelovanje u dobicima od </w:t>
      </w:r>
      <w:r w:rsidRPr="008F47B5">
        <w:rPr>
          <w:sz w:val="24"/>
          <w:szCs w:val="24"/>
        </w:rPr>
        <w:t xml:space="preserve">ulaganja na tržištima kapitala i/ili novca bez da </w:t>
      </w:r>
      <w:r w:rsidR="008F47B5">
        <w:rPr>
          <w:sz w:val="24"/>
          <w:szCs w:val="24"/>
        </w:rPr>
        <w:t>građani/ mali ulagatelji</w:t>
      </w:r>
      <w:r w:rsidRPr="008F47B5">
        <w:rPr>
          <w:sz w:val="24"/>
          <w:szCs w:val="24"/>
        </w:rPr>
        <w:t xml:space="preserve"> samostalno donose pojedinačne odluke o investiranju.</w:t>
      </w:r>
      <w:r w:rsidRPr="004B7B62">
        <w:rPr>
          <w:sz w:val="24"/>
          <w:szCs w:val="24"/>
        </w:rPr>
        <w:t xml:space="preserve"> </w:t>
      </w:r>
      <w:r>
        <w:rPr>
          <w:sz w:val="24"/>
          <w:szCs w:val="24"/>
        </w:rPr>
        <w:t xml:space="preserve">Međutim, sve navedeno </w:t>
      </w:r>
      <w:r w:rsidRPr="008F47B5">
        <w:rPr>
          <w:color w:val="C00000"/>
          <w:sz w:val="24"/>
          <w:szCs w:val="24"/>
        </w:rPr>
        <w:t>nipošto ne znači da se rizici vezani uz ulaganja u UCITS fondove smiju ignorirati</w:t>
      </w:r>
      <w:r>
        <w:rPr>
          <w:sz w:val="24"/>
          <w:szCs w:val="24"/>
        </w:rPr>
        <w:t xml:space="preserve">. </w:t>
      </w:r>
      <w:r w:rsidR="008F47B5">
        <w:rPr>
          <w:sz w:val="24"/>
          <w:szCs w:val="24"/>
        </w:rPr>
        <w:t>Dapače kao što se ističe u prospektima fondova, imovina fonda može biti izložena različitim rizicima:</w:t>
      </w:r>
    </w:p>
    <w:p w:rsidR="00014187" w:rsidRPr="008F47B5" w:rsidRDefault="00014187" w:rsidP="00C86D78">
      <w:pPr>
        <w:numPr>
          <w:ilvl w:val="0"/>
          <w:numId w:val="91"/>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w:t>
      </w:r>
      <w:r w:rsidR="008F47B5">
        <w:rPr>
          <w:sz w:val="24"/>
          <w:szCs w:val="24"/>
        </w:rPr>
        <w:t xml:space="preserve">promjene </w:t>
      </w:r>
      <w:r w:rsidRPr="008F47B5">
        <w:rPr>
          <w:sz w:val="24"/>
          <w:szCs w:val="24"/>
        </w:rPr>
        <w:t xml:space="preserve">cijena vrijednosnih papira u </w:t>
      </w:r>
      <w:r w:rsidR="008F47B5">
        <w:rPr>
          <w:sz w:val="24"/>
          <w:szCs w:val="24"/>
        </w:rPr>
        <w:t>koje su sredstva uložena</w:t>
      </w:r>
      <w:r w:rsidRPr="008F47B5">
        <w:rPr>
          <w:sz w:val="24"/>
          <w:szCs w:val="24"/>
        </w:rPr>
        <w:t xml:space="preserve"> </w:t>
      </w:r>
    </w:p>
    <w:p w:rsidR="00014187" w:rsidRPr="008F47B5" w:rsidRDefault="00014187" w:rsidP="00C86D78">
      <w:pPr>
        <w:numPr>
          <w:ilvl w:val="0"/>
          <w:numId w:val="91"/>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promjene tečaja valuta u kojima su vrijednosni papiri denominirani </w:t>
      </w:r>
    </w:p>
    <w:p w:rsidR="00014187" w:rsidRPr="008F47B5" w:rsidRDefault="00014187" w:rsidP="00C86D78">
      <w:pPr>
        <w:numPr>
          <w:ilvl w:val="0"/>
          <w:numId w:val="91"/>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promjena kamatnih stopa </w:t>
      </w:r>
    </w:p>
    <w:p w:rsidR="00014187" w:rsidRPr="008F47B5" w:rsidRDefault="00014187" w:rsidP="00C86D78">
      <w:pPr>
        <w:numPr>
          <w:ilvl w:val="0"/>
          <w:numId w:val="91"/>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likvidnosti </w:t>
      </w:r>
    </w:p>
    <w:p w:rsidR="00014187" w:rsidRDefault="00014187" w:rsidP="00C86D78">
      <w:pPr>
        <w:numPr>
          <w:ilvl w:val="0"/>
          <w:numId w:val="91"/>
        </w:numPr>
        <w:spacing w:after="0" w:line="240" w:lineRule="auto"/>
        <w:ind w:left="714" w:hanging="357"/>
        <w:jc w:val="both"/>
        <w:rPr>
          <w:sz w:val="24"/>
          <w:szCs w:val="24"/>
        </w:rPr>
      </w:pPr>
      <w:r w:rsidRPr="008F47B5">
        <w:rPr>
          <w:sz w:val="24"/>
          <w:szCs w:val="24"/>
        </w:rPr>
        <w:t>kreditn</w:t>
      </w:r>
      <w:r w:rsidR="008F47B5">
        <w:rPr>
          <w:sz w:val="24"/>
          <w:szCs w:val="24"/>
        </w:rPr>
        <w:t>om riziku</w:t>
      </w:r>
    </w:p>
    <w:p w:rsidR="00C4132B" w:rsidRDefault="00C4132B" w:rsidP="00C86D78">
      <w:pPr>
        <w:numPr>
          <w:ilvl w:val="0"/>
          <w:numId w:val="91"/>
        </w:numPr>
        <w:spacing w:after="0" w:line="240" w:lineRule="auto"/>
        <w:ind w:left="714" w:hanging="357"/>
        <w:jc w:val="both"/>
        <w:rPr>
          <w:sz w:val="24"/>
          <w:szCs w:val="24"/>
        </w:rPr>
      </w:pPr>
      <w:r>
        <w:rPr>
          <w:sz w:val="24"/>
          <w:szCs w:val="24"/>
        </w:rPr>
        <w:t>riziku koncentracije imovine</w:t>
      </w:r>
    </w:p>
    <w:p w:rsidR="00C4132B" w:rsidRDefault="00C4132B" w:rsidP="00C86D78">
      <w:pPr>
        <w:numPr>
          <w:ilvl w:val="0"/>
          <w:numId w:val="91"/>
        </w:numPr>
        <w:spacing w:after="0" w:line="240" w:lineRule="auto"/>
        <w:ind w:left="714" w:hanging="357"/>
        <w:jc w:val="both"/>
        <w:rPr>
          <w:sz w:val="24"/>
          <w:szCs w:val="24"/>
        </w:rPr>
      </w:pPr>
      <w:r>
        <w:rPr>
          <w:sz w:val="24"/>
          <w:szCs w:val="24"/>
        </w:rPr>
        <w:t>riziku financijske poluge</w:t>
      </w:r>
    </w:p>
    <w:p w:rsidR="00C4132B" w:rsidRPr="00C4132B" w:rsidRDefault="00C4132B" w:rsidP="00C86D78">
      <w:pPr>
        <w:numPr>
          <w:ilvl w:val="0"/>
          <w:numId w:val="91"/>
        </w:numPr>
        <w:spacing w:after="0" w:line="240" w:lineRule="auto"/>
        <w:ind w:left="714" w:hanging="357"/>
        <w:jc w:val="both"/>
        <w:rPr>
          <w:sz w:val="24"/>
          <w:szCs w:val="24"/>
        </w:rPr>
      </w:pPr>
      <w:r>
        <w:rPr>
          <w:sz w:val="24"/>
          <w:szCs w:val="24"/>
        </w:rPr>
        <w:t>riziku zemlje</w:t>
      </w:r>
    </w:p>
    <w:p w:rsidR="00014187" w:rsidRPr="008F47B5" w:rsidRDefault="00014187" w:rsidP="00C86D78">
      <w:pPr>
        <w:numPr>
          <w:ilvl w:val="0"/>
          <w:numId w:val="91"/>
        </w:numPr>
        <w:spacing w:after="0" w:line="240" w:lineRule="auto"/>
        <w:ind w:left="714" w:hanging="357"/>
        <w:jc w:val="both"/>
        <w:rPr>
          <w:sz w:val="24"/>
          <w:szCs w:val="24"/>
        </w:rPr>
      </w:pPr>
      <w:r w:rsidRPr="008F47B5">
        <w:rPr>
          <w:sz w:val="24"/>
          <w:szCs w:val="24"/>
        </w:rPr>
        <w:t>rizik</w:t>
      </w:r>
      <w:r w:rsidR="008F47B5">
        <w:rPr>
          <w:sz w:val="24"/>
          <w:szCs w:val="24"/>
        </w:rPr>
        <w:t>u</w:t>
      </w:r>
      <w:r w:rsidRPr="008F47B5">
        <w:rPr>
          <w:sz w:val="24"/>
          <w:szCs w:val="24"/>
        </w:rPr>
        <w:t xml:space="preserve"> promjena poreznih propisa </w:t>
      </w:r>
    </w:p>
    <w:p w:rsidR="00014187" w:rsidRPr="008F47B5" w:rsidRDefault="00014187" w:rsidP="00C86D78">
      <w:pPr>
        <w:numPr>
          <w:ilvl w:val="0"/>
          <w:numId w:val="91"/>
        </w:numPr>
        <w:spacing w:after="0" w:line="240" w:lineRule="auto"/>
        <w:ind w:left="714" w:hanging="357"/>
        <w:jc w:val="both"/>
        <w:rPr>
          <w:sz w:val="24"/>
          <w:szCs w:val="24"/>
        </w:rPr>
      </w:pPr>
      <w:r w:rsidRPr="008F47B5">
        <w:rPr>
          <w:sz w:val="24"/>
          <w:szCs w:val="24"/>
        </w:rPr>
        <w:t>rizici</w:t>
      </w:r>
      <w:r w:rsidR="008F47B5">
        <w:rPr>
          <w:sz w:val="24"/>
          <w:szCs w:val="24"/>
        </w:rPr>
        <w:t>ma</w:t>
      </w:r>
      <w:r w:rsidRPr="008F47B5">
        <w:rPr>
          <w:sz w:val="24"/>
          <w:szCs w:val="24"/>
        </w:rPr>
        <w:t xml:space="preserve"> specifični</w:t>
      </w:r>
      <w:r w:rsidR="008F47B5">
        <w:rPr>
          <w:sz w:val="24"/>
          <w:szCs w:val="24"/>
        </w:rPr>
        <w:t>m za</w:t>
      </w:r>
      <w:r w:rsidRPr="008F47B5">
        <w:rPr>
          <w:sz w:val="24"/>
          <w:szCs w:val="24"/>
        </w:rPr>
        <w:t xml:space="preserve"> pojedin</w:t>
      </w:r>
      <w:r w:rsidR="008F47B5">
        <w:rPr>
          <w:sz w:val="24"/>
          <w:szCs w:val="24"/>
        </w:rPr>
        <w:t>e</w:t>
      </w:r>
      <w:r w:rsidRPr="008F47B5">
        <w:rPr>
          <w:sz w:val="24"/>
          <w:szCs w:val="24"/>
        </w:rPr>
        <w:t xml:space="preserve"> vrst</w:t>
      </w:r>
      <w:r w:rsidR="008F47B5">
        <w:rPr>
          <w:sz w:val="24"/>
          <w:szCs w:val="24"/>
        </w:rPr>
        <w:t>e</w:t>
      </w:r>
      <w:r w:rsidRPr="008F47B5">
        <w:rPr>
          <w:sz w:val="24"/>
          <w:szCs w:val="24"/>
        </w:rPr>
        <w:t xml:space="preserve"> fonda (novčani, dionički, i ….) </w:t>
      </w:r>
    </w:p>
    <w:p w:rsidR="00C4132B" w:rsidRDefault="00014187" w:rsidP="00C86D78">
      <w:pPr>
        <w:numPr>
          <w:ilvl w:val="0"/>
          <w:numId w:val="91"/>
        </w:numPr>
        <w:spacing w:after="0" w:line="240" w:lineRule="auto"/>
        <w:ind w:left="714" w:hanging="357"/>
        <w:jc w:val="both"/>
        <w:rPr>
          <w:sz w:val="24"/>
          <w:szCs w:val="24"/>
        </w:rPr>
      </w:pPr>
      <w:r w:rsidRPr="008F47B5">
        <w:rPr>
          <w:sz w:val="24"/>
          <w:szCs w:val="24"/>
        </w:rPr>
        <w:t>rizici</w:t>
      </w:r>
      <w:r w:rsidR="008F47B5">
        <w:rPr>
          <w:sz w:val="24"/>
          <w:szCs w:val="24"/>
        </w:rPr>
        <w:t>ma</w:t>
      </w:r>
      <w:r w:rsidRPr="008F47B5">
        <w:rPr>
          <w:sz w:val="24"/>
          <w:szCs w:val="24"/>
        </w:rPr>
        <w:t xml:space="preserve"> specifični</w:t>
      </w:r>
      <w:r w:rsidR="008F47B5">
        <w:rPr>
          <w:sz w:val="24"/>
          <w:szCs w:val="24"/>
        </w:rPr>
        <w:t>m</w:t>
      </w:r>
      <w:r w:rsidRPr="008F47B5">
        <w:rPr>
          <w:sz w:val="24"/>
          <w:szCs w:val="24"/>
        </w:rPr>
        <w:t xml:space="preserve"> za pojedinačni investicijski fond (u odnosu na slične fondove kojima upravlja jedno društvo za osnivanje i upravljanje investicijskim fondovima, odnosno u odnosu na druge fondove kojima upravljaju druga društva za osnivanje i upravljanje investicijskim fondovima</w:t>
      </w:r>
      <w:r w:rsidR="008F47B5">
        <w:rPr>
          <w:sz w:val="24"/>
          <w:szCs w:val="24"/>
        </w:rPr>
        <w:t>), a koji mogu biti vezani uz geografske regije ili sektore uz koja se veže imovina u fondu</w:t>
      </w:r>
    </w:p>
    <w:p w:rsidR="00014187" w:rsidRPr="008F47B5" w:rsidRDefault="00C4132B" w:rsidP="00C86D78">
      <w:pPr>
        <w:numPr>
          <w:ilvl w:val="0"/>
          <w:numId w:val="91"/>
        </w:numPr>
        <w:spacing w:after="0" w:line="240" w:lineRule="auto"/>
        <w:ind w:left="714" w:hanging="357"/>
        <w:jc w:val="both"/>
        <w:rPr>
          <w:sz w:val="24"/>
          <w:szCs w:val="24"/>
        </w:rPr>
      </w:pPr>
      <w:r>
        <w:rPr>
          <w:sz w:val="24"/>
          <w:szCs w:val="24"/>
        </w:rPr>
        <w:t>operativnom riziku i drugim</w:t>
      </w:r>
      <w:r w:rsidR="008F47B5">
        <w:rPr>
          <w:sz w:val="24"/>
          <w:szCs w:val="24"/>
        </w:rPr>
        <w:t>.</w:t>
      </w:r>
    </w:p>
    <w:p w:rsidR="00030F56" w:rsidRDefault="00262718" w:rsidP="008F47B5">
      <w:pPr>
        <w:spacing w:before="240"/>
        <w:jc w:val="both"/>
        <w:rPr>
          <w:sz w:val="24"/>
          <w:szCs w:val="24"/>
        </w:rPr>
      </w:pPr>
      <w:r>
        <w:rPr>
          <w:color w:val="C00000"/>
          <w:sz w:val="24"/>
          <w:szCs w:val="24"/>
        </w:rPr>
        <w:t xml:space="preserve">Omjer rizika i potencijalne zarade od ulaganja </w:t>
      </w:r>
      <w:r w:rsidR="00E26D80" w:rsidRPr="004B7B62">
        <w:rPr>
          <w:sz w:val="24"/>
          <w:szCs w:val="24"/>
        </w:rPr>
        <w:t xml:space="preserve">determiniran je </w:t>
      </w:r>
      <w:r w:rsidR="008F47B5">
        <w:rPr>
          <w:sz w:val="24"/>
          <w:szCs w:val="24"/>
        </w:rPr>
        <w:t xml:space="preserve">prvenstveno </w:t>
      </w:r>
      <w:r w:rsidR="00E26D80" w:rsidRPr="00A24D33">
        <w:rPr>
          <w:color w:val="C00000"/>
          <w:sz w:val="24"/>
          <w:szCs w:val="24"/>
        </w:rPr>
        <w:t>vrstom imovine koja dominira u portfelju fonda</w:t>
      </w:r>
      <w:r w:rsidR="00E26D80" w:rsidRPr="004B7B62">
        <w:rPr>
          <w:sz w:val="24"/>
          <w:szCs w:val="24"/>
        </w:rPr>
        <w:t xml:space="preserve">, odnosno promjenjivošću njene vrijednosti na tržištu (prinosi od ulaganja mogu biti pozitivni i negativni). Stupanj rizičnosti obično je najniži kod novčanih fondova te najveći kod dioničkih fondova (cijene dionica su vrlo promjenjive, kako u smislu rasta tako i u smislu pada cijena na tržištu). </w:t>
      </w:r>
    </w:p>
    <w:p w:rsidR="007D01A9" w:rsidRDefault="008F47B5" w:rsidP="007D01A9">
      <w:pPr>
        <w:jc w:val="both"/>
        <w:rPr>
          <w:sz w:val="24"/>
          <w:szCs w:val="24"/>
        </w:rPr>
      </w:pPr>
      <w:r>
        <w:rPr>
          <w:sz w:val="24"/>
          <w:szCs w:val="24"/>
        </w:rPr>
        <w:t>S druge strane u</w:t>
      </w:r>
      <w:r w:rsidRPr="00A24D33">
        <w:rPr>
          <w:sz w:val="24"/>
          <w:szCs w:val="24"/>
        </w:rPr>
        <w:t>spješnost ulaganja</w:t>
      </w:r>
      <w:r w:rsidR="00A24D33">
        <w:rPr>
          <w:sz w:val="24"/>
          <w:szCs w:val="24"/>
        </w:rPr>
        <w:t xml:space="preserve"> koja se vežu uz određeni fond </w:t>
      </w:r>
      <w:r w:rsidRPr="00A24D33">
        <w:rPr>
          <w:sz w:val="24"/>
          <w:szCs w:val="24"/>
        </w:rPr>
        <w:t xml:space="preserve">determinirana </w:t>
      </w:r>
      <w:r w:rsidR="00A24D33">
        <w:rPr>
          <w:sz w:val="24"/>
          <w:szCs w:val="24"/>
        </w:rPr>
        <w:t xml:space="preserve">su i </w:t>
      </w:r>
      <w:r w:rsidRPr="00C4132B">
        <w:rPr>
          <w:color w:val="C00000"/>
          <w:sz w:val="24"/>
          <w:szCs w:val="24"/>
        </w:rPr>
        <w:t xml:space="preserve">pravovremenom reakcijom i sposobnošću njihovih fond managera </w:t>
      </w:r>
      <w:r w:rsidRPr="00A24D33">
        <w:rPr>
          <w:sz w:val="24"/>
          <w:szCs w:val="24"/>
        </w:rPr>
        <w:t xml:space="preserve">da primljeni novac oplode uz što veću zaradu i pri tome postignu optimalnu razinu profitabilnosti, sigurnosti i likvidnosti. Uspješnost ulagatelja tako se svodi na </w:t>
      </w:r>
      <w:r w:rsidRPr="00A24D33">
        <w:rPr>
          <w:color w:val="C00000"/>
          <w:sz w:val="24"/>
          <w:szCs w:val="24"/>
        </w:rPr>
        <w:t>izbor pravog fonda</w:t>
      </w:r>
      <w:r w:rsidRPr="00A24D33">
        <w:rPr>
          <w:sz w:val="24"/>
          <w:szCs w:val="24"/>
        </w:rPr>
        <w:t xml:space="preserve">, odnosno onog koji će na duži vremenski rok osigurati veću zaradu. Pri tome </w:t>
      </w:r>
      <w:r w:rsidRPr="00C4132B">
        <w:rPr>
          <w:sz w:val="24"/>
          <w:szCs w:val="24"/>
        </w:rPr>
        <w:t xml:space="preserve">ostvareni </w:t>
      </w:r>
      <w:r w:rsidRPr="00A24D33">
        <w:rPr>
          <w:color w:val="C00000"/>
          <w:sz w:val="24"/>
          <w:szCs w:val="24"/>
        </w:rPr>
        <w:t xml:space="preserve">prinosi </w:t>
      </w:r>
      <w:r w:rsidRPr="00C4132B">
        <w:rPr>
          <w:sz w:val="24"/>
          <w:szCs w:val="24"/>
        </w:rPr>
        <w:t xml:space="preserve">određenog fonda ili fondova određenog društva </w:t>
      </w:r>
      <w:r w:rsidRPr="00A24D33">
        <w:rPr>
          <w:color w:val="C00000"/>
          <w:sz w:val="24"/>
          <w:szCs w:val="24"/>
        </w:rPr>
        <w:t>zabilježeni u prošlosti nisu garancija da će se takvi prinosi ostvarivati u budućnosti</w:t>
      </w:r>
      <w:r w:rsidR="00A24D33" w:rsidRPr="00A24D33">
        <w:rPr>
          <w:sz w:val="24"/>
          <w:szCs w:val="24"/>
        </w:rPr>
        <w:t>.</w:t>
      </w:r>
      <w:r w:rsidR="00262718">
        <w:rPr>
          <w:sz w:val="24"/>
          <w:szCs w:val="24"/>
        </w:rPr>
        <w:t xml:space="preserve"> </w:t>
      </w:r>
    </w:p>
    <w:p w:rsidR="00D41D44" w:rsidRPr="00A24D33" w:rsidRDefault="00D41D44" w:rsidP="007D01A9">
      <w:pPr>
        <w:jc w:val="both"/>
        <w:rPr>
          <w:sz w:val="24"/>
          <w:szCs w:val="24"/>
        </w:rPr>
      </w:pPr>
      <w:r>
        <w:rPr>
          <w:sz w:val="24"/>
          <w:szCs w:val="24"/>
        </w:rPr>
        <w:t xml:space="preserve">Dodatno omjer rizika i potencijalne zarade ovisi i o </w:t>
      </w:r>
      <w:r w:rsidRPr="00262718">
        <w:rPr>
          <w:color w:val="C00000"/>
          <w:sz w:val="24"/>
          <w:szCs w:val="24"/>
        </w:rPr>
        <w:t>trajanju ulaganja</w:t>
      </w:r>
      <w:r>
        <w:rPr>
          <w:color w:val="C00000"/>
          <w:sz w:val="24"/>
          <w:szCs w:val="24"/>
        </w:rPr>
        <w:t xml:space="preserve"> (vremenskom horizontu)</w:t>
      </w:r>
      <w:r w:rsidRPr="00262718">
        <w:rPr>
          <w:color w:val="C00000"/>
          <w:sz w:val="24"/>
          <w:szCs w:val="24"/>
        </w:rPr>
        <w:t>,</w:t>
      </w:r>
      <w:r>
        <w:rPr>
          <w:sz w:val="24"/>
          <w:szCs w:val="24"/>
        </w:rPr>
        <w:t xml:space="preserve"> pa </w:t>
      </w:r>
      <w:r w:rsidR="00225BE1">
        <w:rPr>
          <w:sz w:val="24"/>
          <w:szCs w:val="24"/>
        </w:rPr>
        <w:t xml:space="preserve">se </w:t>
      </w:r>
      <w:r>
        <w:rPr>
          <w:sz w:val="24"/>
          <w:szCs w:val="24"/>
        </w:rPr>
        <w:t xml:space="preserve">stoga </w:t>
      </w:r>
      <w:r w:rsidR="00225BE1">
        <w:rPr>
          <w:sz w:val="24"/>
          <w:szCs w:val="24"/>
        </w:rPr>
        <w:t xml:space="preserve">uglavnom ističe da bi </w:t>
      </w:r>
      <w:r w:rsidRPr="00262718">
        <w:rPr>
          <w:sz w:val="24"/>
          <w:szCs w:val="24"/>
        </w:rPr>
        <w:t xml:space="preserve">ulaganja pojedinca na kratak rok (do godine dana) trebala biti više usmjerena  na izbor fondova s manjom volatilnošću tržišne vrijednosti imovine u fondu (npr. </w:t>
      </w:r>
      <w:r w:rsidR="00225BE1">
        <w:rPr>
          <w:sz w:val="24"/>
          <w:szCs w:val="24"/>
        </w:rPr>
        <w:t xml:space="preserve">u slučaju </w:t>
      </w:r>
      <w:r w:rsidRPr="00262718">
        <w:rPr>
          <w:sz w:val="24"/>
          <w:szCs w:val="24"/>
        </w:rPr>
        <w:t>novčanih fondova), a ulaganja na dugi rok usmjerena u investicijske fondove većeg rizika (dioničke, obvezničke i</w:t>
      </w:r>
      <w:r w:rsidR="00225BE1">
        <w:rPr>
          <w:sz w:val="24"/>
          <w:szCs w:val="24"/>
        </w:rPr>
        <w:t xml:space="preserve"> </w:t>
      </w:r>
      <w:r w:rsidRPr="00262718">
        <w:rPr>
          <w:sz w:val="24"/>
          <w:szCs w:val="24"/>
        </w:rPr>
        <w:t xml:space="preserve">mješovite). </w:t>
      </w:r>
      <w:r w:rsidR="00225BE1">
        <w:rPr>
          <w:sz w:val="24"/>
          <w:szCs w:val="24"/>
        </w:rPr>
        <w:t xml:space="preserve">Međutim, kao i u slučaju svih drugih preporuka o ulaganjima i </w:t>
      </w:r>
      <w:r w:rsidR="00225BE1" w:rsidRPr="00225BE1">
        <w:rPr>
          <w:color w:val="C00000"/>
          <w:sz w:val="24"/>
          <w:szCs w:val="24"/>
        </w:rPr>
        <w:t>prethodnu rečenicu treba shvatiti uvjetno</w:t>
      </w:r>
      <w:r w:rsidR="00EB2EA2">
        <w:rPr>
          <w:color w:val="C00000"/>
          <w:sz w:val="24"/>
          <w:szCs w:val="24"/>
        </w:rPr>
        <w:t xml:space="preserve">. </w:t>
      </w:r>
      <w:r w:rsidR="00EB2EA2" w:rsidRPr="00EB2EA2">
        <w:rPr>
          <w:i/>
          <w:sz w:val="24"/>
          <w:szCs w:val="24"/>
        </w:rPr>
        <w:t>„J</w:t>
      </w:r>
      <w:r w:rsidR="00225BE1" w:rsidRPr="00EB2EA2">
        <w:rPr>
          <w:i/>
          <w:sz w:val="24"/>
          <w:szCs w:val="24"/>
        </w:rPr>
        <w:t xml:space="preserve">edino </w:t>
      </w:r>
      <w:r w:rsidR="00225BE1" w:rsidRPr="00EB2EA2">
        <w:rPr>
          <w:i/>
          <w:sz w:val="24"/>
          <w:szCs w:val="24"/>
        </w:rPr>
        <w:lastRenderedPageBreak/>
        <w:t>pravilo koje vrijedi je da pravila nema</w:t>
      </w:r>
      <w:r w:rsidR="00EB2EA2" w:rsidRPr="00EB2EA2">
        <w:rPr>
          <w:i/>
          <w:sz w:val="24"/>
          <w:szCs w:val="24"/>
        </w:rPr>
        <w:t>“</w:t>
      </w:r>
      <w:r w:rsidR="00225BE1" w:rsidRPr="00EB2EA2">
        <w:rPr>
          <w:i/>
          <w:sz w:val="24"/>
          <w:szCs w:val="24"/>
        </w:rPr>
        <w:t>,</w:t>
      </w:r>
      <w:r w:rsidR="00225BE1" w:rsidRPr="00EB2EA2">
        <w:rPr>
          <w:sz w:val="24"/>
          <w:szCs w:val="24"/>
        </w:rPr>
        <w:t xml:space="preserve"> </w:t>
      </w:r>
      <w:r w:rsidR="00225BE1">
        <w:rPr>
          <w:sz w:val="24"/>
          <w:szCs w:val="24"/>
        </w:rPr>
        <w:t xml:space="preserve">a okolnosti zabilježene u jednom razdoblju ne znače da će se one nastaviti i u budućnosti. </w:t>
      </w:r>
    </w:p>
    <w:tbl>
      <w:tblPr>
        <w:tblStyle w:val="Reetkatablice"/>
        <w:tblW w:w="0" w:type="auto"/>
        <w:tblInd w:w="108" w:type="dxa"/>
        <w:tblLook w:val="04A0" w:firstRow="1" w:lastRow="0" w:firstColumn="1" w:lastColumn="0" w:noHBand="0" w:noVBand="1"/>
      </w:tblPr>
      <w:tblGrid>
        <w:gridCol w:w="9180"/>
      </w:tblGrid>
      <w:tr w:rsidR="00EB2EA2" w:rsidTr="003B65C0">
        <w:tc>
          <w:tcPr>
            <w:tcW w:w="9180" w:type="dxa"/>
          </w:tcPr>
          <w:p w:rsidR="00EB2EA2" w:rsidRPr="00D41D44" w:rsidRDefault="00EB2EA2" w:rsidP="003B65C0">
            <w:pPr>
              <w:spacing w:before="120"/>
              <w:jc w:val="both"/>
              <w:rPr>
                <w:rFonts w:asciiTheme="minorHAnsi" w:hAnsiTheme="minorHAnsi"/>
                <w:sz w:val="24"/>
                <w:szCs w:val="24"/>
              </w:rPr>
            </w:pPr>
            <w:r w:rsidRPr="00D41D44">
              <w:rPr>
                <w:rFonts w:asciiTheme="minorHAnsi" w:hAnsiTheme="minorHAnsi"/>
                <w:color w:val="C00000"/>
                <w:sz w:val="24"/>
                <w:szCs w:val="24"/>
              </w:rPr>
              <w:t xml:space="preserve">Primjer: </w:t>
            </w:r>
            <w:r w:rsidRPr="00D41D44">
              <w:rPr>
                <w:rFonts w:asciiTheme="minorHAnsi" w:hAnsiTheme="minorHAnsi"/>
                <w:sz w:val="24"/>
                <w:szCs w:val="24"/>
              </w:rPr>
              <w:t>Podaci vezani uz jedan od novčanih fondova u RH</w:t>
            </w:r>
          </w:p>
          <w:p w:rsidR="00EB2EA2" w:rsidRDefault="00EB2EA2" w:rsidP="003B65C0">
            <w:pPr>
              <w:spacing w:before="240"/>
              <w:jc w:val="both"/>
              <w:rPr>
                <w:sz w:val="24"/>
                <w:szCs w:val="24"/>
              </w:rPr>
            </w:pPr>
            <w:r>
              <w:rPr>
                <w:rFonts w:asciiTheme="minorHAnsi" w:eastAsiaTheme="minorHAnsi" w:hAnsiTheme="minorHAnsi" w:cstheme="minorBidi"/>
                <w:sz w:val="22"/>
                <w:szCs w:val="22"/>
                <w:lang w:eastAsia="en-US"/>
              </w:rPr>
              <w:object w:dxaOrig="7995" w:dyaOrig="7575">
                <v:shape id="_x0000_i1078" type="#_x0000_t75" style="width:399.75pt;height:378.75pt" o:ole="">
                  <v:imagedata r:id="rId228" o:title=""/>
                </v:shape>
                <o:OLEObject Type="Embed" ProgID="PBrush" ShapeID="_x0000_i1078" DrawAspect="Content" ObjectID="_1505681406" r:id="rId229"/>
              </w:object>
            </w:r>
          </w:p>
        </w:tc>
      </w:tr>
    </w:tbl>
    <w:p w:rsidR="00D41D44" w:rsidRDefault="00D41D44" w:rsidP="00EB2EA2">
      <w:pPr>
        <w:spacing w:before="240"/>
        <w:jc w:val="both"/>
        <w:rPr>
          <w:sz w:val="24"/>
          <w:szCs w:val="24"/>
        </w:rPr>
      </w:pPr>
      <w:r>
        <w:rPr>
          <w:sz w:val="24"/>
          <w:szCs w:val="24"/>
        </w:rPr>
        <w:t xml:space="preserve">Fondovi kojima upravlja isto društvo za upravljanje međusobno se bitno razlikuju s obzirom na prinos, ali općenito gledajući </w:t>
      </w:r>
      <w:r w:rsidRPr="00030F56">
        <w:rPr>
          <w:color w:val="C00000"/>
          <w:sz w:val="24"/>
          <w:szCs w:val="24"/>
        </w:rPr>
        <w:t xml:space="preserve">prinos je </w:t>
      </w:r>
      <w:r>
        <w:rPr>
          <w:color w:val="C00000"/>
          <w:sz w:val="24"/>
          <w:szCs w:val="24"/>
        </w:rPr>
        <w:t xml:space="preserve">u normalnim uvjetima </w:t>
      </w:r>
      <w:r w:rsidRPr="00030F56">
        <w:rPr>
          <w:color w:val="C00000"/>
          <w:sz w:val="24"/>
          <w:szCs w:val="24"/>
        </w:rPr>
        <w:t>najčešće veći od kamatnih stopa na oročenu štednju u bankama</w:t>
      </w:r>
      <w:r>
        <w:rPr>
          <w:sz w:val="24"/>
          <w:szCs w:val="24"/>
        </w:rPr>
        <w:t xml:space="preserve">. No, u usporedbi s klasičnom štednjom, temeljna je razlika što vrijednost udjela u fondu ovisi o tržišnim kretanjima te su moguće situacije da izlazak iz fonda rezultira znatno većim isplatama od uloženih sredstava, ali isto tako i isplatama u manjem iznosu od uloženih sredstava. S druge strane u slučaju štednje u bankama bitan je nominalan iznos položenog depozita i visina ugovorene nominalne kamatne stope na određeni rok oročenja. Nadalje, za razliku od štednje u bankama i stambenim štedionicama koja je osigurana do iznosa 100.000 eura u kunskoj protuvrijednosti po jednom deponentu u jednoj kreditnoj instituciji, </w:t>
      </w:r>
      <w:r w:rsidRPr="00030F56">
        <w:rPr>
          <w:color w:val="C00000"/>
          <w:sz w:val="24"/>
          <w:szCs w:val="24"/>
        </w:rPr>
        <w:t>ulaganja u otvorene investicijske fondove s javnom ponudom (kao i druge oblike investicijskih fondova) nisu osigurana</w:t>
      </w:r>
      <w:r>
        <w:rPr>
          <w:sz w:val="24"/>
          <w:szCs w:val="24"/>
        </w:rPr>
        <w:t xml:space="preserve">. </w:t>
      </w:r>
    </w:p>
    <w:p w:rsidR="00D1631B" w:rsidRDefault="00D41D44" w:rsidP="00D1631B">
      <w:pPr>
        <w:jc w:val="both"/>
        <w:rPr>
          <w:sz w:val="24"/>
          <w:szCs w:val="24"/>
        </w:rPr>
      </w:pPr>
      <w:r>
        <w:rPr>
          <w:sz w:val="24"/>
          <w:szCs w:val="24"/>
        </w:rPr>
        <w:lastRenderedPageBreak/>
        <w:t xml:space="preserve">U usporedbi sa samostalnim ulaganjem u dionice pojedinačnih poduzeća ili drugu imovinu, ulaganjem u fondove </w:t>
      </w:r>
      <w:r w:rsidRPr="004B37D5">
        <w:rPr>
          <w:color w:val="C00000"/>
          <w:sz w:val="24"/>
          <w:szCs w:val="24"/>
        </w:rPr>
        <w:t xml:space="preserve">izbjegavaju se transakcijski troškovi brokerskih usluga </w:t>
      </w:r>
      <w:r>
        <w:rPr>
          <w:sz w:val="24"/>
          <w:szCs w:val="24"/>
        </w:rPr>
        <w:t xml:space="preserve">vezani uz učestalu kupovinu i prodaju vrijednosnica kao i troškovi usluga investicijskog savjetovanja. Međutim, izbor između samostalnog ulaganja i ulaganja u fondove određen je i troškovima ulaznih i/ili izlaznih naknada fonda, </w:t>
      </w:r>
      <w:r w:rsidR="00225BE1">
        <w:rPr>
          <w:sz w:val="24"/>
          <w:szCs w:val="24"/>
        </w:rPr>
        <w:t xml:space="preserve">visinom naknade za upravljanje fondom, </w:t>
      </w:r>
      <w:r>
        <w:rPr>
          <w:sz w:val="24"/>
          <w:szCs w:val="24"/>
        </w:rPr>
        <w:t xml:space="preserve">reputacijom društva za upravljanje, uspješnošću optimalnog upravljanja imovinom fonda itd.  </w:t>
      </w:r>
      <w:r w:rsidR="00EB2EA2">
        <w:rPr>
          <w:sz w:val="24"/>
          <w:szCs w:val="24"/>
        </w:rPr>
        <w:t>K</w:t>
      </w:r>
      <w:r w:rsidR="00225BE1">
        <w:rPr>
          <w:sz w:val="24"/>
          <w:szCs w:val="24"/>
        </w:rPr>
        <w:t>oristi od ulaganja u pojedini fond stoga svakako treba analizirati s aspekta troškova različitih naknada, eventualnih poreznih obveza te realnog prinosa (a ne nominalnog koji se uobičajeno objavljuje</w:t>
      </w:r>
      <w:r w:rsidR="004B37D5">
        <w:rPr>
          <w:sz w:val="24"/>
          <w:szCs w:val="24"/>
        </w:rPr>
        <w:t xml:space="preserve"> i na koji se javnost fokusira</w:t>
      </w:r>
      <w:r w:rsidR="00225BE1">
        <w:rPr>
          <w:sz w:val="24"/>
          <w:szCs w:val="24"/>
        </w:rPr>
        <w:t xml:space="preserve">). </w:t>
      </w:r>
    </w:p>
    <w:p w:rsidR="00EB0967" w:rsidRPr="00EB0967" w:rsidRDefault="00EB0967" w:rsidP="00EB0967">
      <w:pPr>
        <w:spacing w:after="120" w:line="240" w:lineRule="auto"/>
        <w:jc w:val="both"/>
        <w:rPr>
          <w:b/>
          <w:sz w:val="24"/>
          <w:szCs w:val="24"/>
        </w:rPr>
      </w:pPr>
      <w:r>
        <w:rPr>
          <w:b/>
          <w:sz w:val="24"/>
          <w:szCs w:val="24"/>
        </w:rPr>
        <w:t xml:space="preserve">6.3. Statistika </w:t>
      </w:r>
      <w:r w:rsidRPr="00EB0967">
        <w:rPr>
          <w:b/>
          <w:sz w:val="24"/>
          <w:szCs w:val="24"/>
        </w:rPr>
        <w:t>inve</w:t>
      </w:r>
      <w:r>
        <w:rPr>
          <w:b/>
          <w:sz w:val="24"/>
          <w:szCs w:val="24"/>
        </w:rPr>
        <w:t xml:space="preserve">sticijskih fondova u Hrvatskoj uz osvrt na </w:t>
      </w:r>
      <w:r w:rsidRPr="00EB0967">
        <w:rPr>
          <w:b/>
          <w:sz w:val="24"/>
          <w:szCs w:val="24"/>
        </w:rPr>
        <w:t>a</w:t>
      </w:r>
      <w:r w:rsidR="00CE02D5" w:rsidRPr="00EB0967">
        <w:rPr>
          <w:b/>
          <w:sz w:val="24"/>
          <w:szCs w:val="24"/>
        </w:rPr>
        <w:t>lternativn</w:t>
      </w:r>
      <w:r>
        <w:rPr>
          <w:b/>
          <w:sz w:val="24"/>
          <w:szCs w:val="24"/>
        </w:rPr>
        <w:t>e</w:t>
      </w:r>
      <w:r w:rsidR="00CE02D5" w:rsidRPr="00EB0967">
        <w:rPr>
          <w:b/>
          <w:sz w:val="24"/>
          <w:szCs w:val="24"/>
        </w:rPr>
        <w:t xml:space="preserve"> investicijsk</w:t>
      </w:r>
      <w:r>
        <w:rPr>
          <w:b/>
          <w:sz w:val="24"/>
          <w:szCs w:val="24"/>
        </w:rPr>
        <w:t>e</w:t>
      </w:r>
      <w:r w:rsidR="00CE02D5" w:rsidRPr="00EB0967">
        <w:rPr>
          <w:b/>
          <w:sz w:val="24"/>
          <w:szCs w:val="24"/>
        </w:rPr>
        <w:t xml:space="preserve"> fondov</w:t>
      </w:r>
      <w:r>
        <w:rPr>
          <w:b/>
          <w:sz w:val="24"/>
          <w:szCs w:val="24"/>
        </w:rPr>
        <w:t>e</w:t>
      </w:r>
      <w:r w:rsidR="00CE02D5" w:rsidRPr="00EB0967">
        <w:rPr>
          <w:b/>
          <w:sz w:val="24"/>
          <w:szCs w:val="24"/>
        </w:rPr>
        <w:t xml:space="preserve"> </w:t>
      </w:r>
    </w:p>
    <w:p w:rsidR="00CF0C51" w:rsidRPr="00EB0967" w:rsidRDefault="002C45D4" w:rsidP="00EB0967">
      <w:pPr>
        <w:jc w:val="both"/>
        <w:rPr>
          <w:sz w:val="24"/>
          <w:szCs w:val="24"/>
        </w:rPr>
      </w:pPr>
      <w:r w:rsidRPr="00EB0967">
        <w:rPr>
          <w:sz w:val="24"/>
          <w:szCs w:val="24"/>
        </w:rPr>
        <w:t xml:space="preserve">Pored UCITS fondova (otvorenih investicijskih fondova s javnom ponudom) u Hrvatskoj postoje i </w:t>
      </w:r>
      <w:r w:rsidRPr="00EB0967">
        <w:rPr>
          <w:color w:val="C00000"/>
          <w:sz w:val="24"/>
          <w:szCs w:val="24"/>
        </w:rPr>
        <w:t>alternativni investicijski fondovi – AIF</w:t>
      </w:r>
      <w:r w:rsidRPr="00EB0967">
        <w:rPr>
          <w:sz w:val="24"/>
          <w:szCs w:val="24"/>
        </w:rPr>
        <w:t>. Za razliku od UCITS fondova koji predstavljaju oblik štedno-ulagačkog proizvoda</w:t>
      </w:r>
      <w:r w:rsidR="00CF0C51" w:rsidRPr="00EB0967">
        <w:rPr>
          <w:sz w:val="24"/>
          <w:szCs w:val="24"/>
        </w:rPr>
        <w:t xml:space="preserve"> te su namijenjeni širokom krugu ulagatelja</w:t>
      </w:r>
      <w:r w:rsidRPr="00EB0967">
        <w:rPr>
          <w:sz w:val="24"/>
          <w:szCs w:val="24"/>
        </w:rPr>
        <w:t xml:space="preserve">, </w:t>
      </w:r>
      <w:r w:rsidRPr="00EB0967">
        <w:rPr>
          <w:color w:val="C00000"/>
          <w:sz w:val="24"/>
          <w:szCs w:val="24"/>
        </w:rPr>
        <w:t>ulaganje u AIF predstavlja oblik investicije</w:t>
      </w:r>
      <w:r w:rsidR="00CF0C51" w:rsidRPr="00EB0967">
        <w:rPr>
          <w:color w:val="C00000"/>
          <w:sz w:val="24"/>
          <w:szCs w:val="24"/>
        </w:rPr>
        <w:t xml:space="preserve">, </w:t>
      </w:r>
      <w:r w:rsidRPr="00EB0967">
        <w:rPr>
          <w:color w:val="C00000"/>
          <w:sz w:val="24"/>
          <w:szCs w:val="24"/>
        </w:rPr>
        <w:t xml:space="preserve">veže </w:t>
      </w:r>
      <w:r w:rsidR="00CF0C51" w:rsidRPr="00EB0967">
        <w:rPr>
          <w:color w:val="C00000"/>
          <w:sz w:val="24"/>
          <w:szCs w:val="24"/>
        </w:rPr>
        <w:t xml:space="preserve">se </w:t>
      </w:r>
      <w:r w:rsidRPr="00EB0967">
        <w:rPr>
          <w:color w:val="C00000"/>
          <w:sz w:val="24"/>
          <w:szCs w:val="24"/>
        </w:rPr>
        <w:t>uz više rizična ulaganja</w:t>
      </w:r>
      <w:r w:rsidR="00CF0C51" w:rsidRPr="00EB0967">
        <w:rPr>
          <w:color w:val="C00000"/>
          <w:sz w:val="24"/>
          <w:szCs w:val="24"/>
        </w:rPr>
        <w:t xml:space="preserve"> </w:t>
      </w:r>
      <w:r w:rsidR="00CF0C51" w:rsidRPr="00EB0967">
        <w:rPr>
          <w:sz w:val="24"/>
          <w:szCs w:val="24"/>
        </w:rPr>
        <w:t xml:space="preserve">(u </w:t>
      </w:r>
      <w:r w:rsidR="00CF0C51">
        <w:t xml:space="preserve">rizičnije vrste financijske imovine, robe, nekretnine, poslovne udjele itd.) </w:t>
      </w:r>
      <w:r w:rsidR="00CF0C51" w:rsidRPr="00EB0967">
        <w:rPr>
          <w:sz w:val="24"/>
          <w:szCs w:val="24"/>
        </w:rPr>
        <w:t xml:space="preserve">i namijenjeno je ulagateljima </w:t>
      </w:r>
      <w:r w:rsidR="00CF0C51">
        <w:t>s više iskustva i znanja u području ulaganja (profesionalnim i kvalificiranim ulagateljima)</w:t>
      </w:r>
      <w:r w:rsidRPr="00EB0967">
        <w:rPr>
          <w:sz w:val="24"/>
          <w:szCs w:val="24"/>
        </w:rPr>
        <w:t xml:space="preserve">. </w:t>
      </w:r>
    </w:p>
    <w:p w:rsidR="00CE02D5" w:rsidRPr="002C45D4" w:rsidRDefault="00CE02D5" w:rsidP="00CE02D5">
      <w:pPr>
        <w:jc w:val="both"/>
        <w:rPr>
          <w:b/>
          <w:sz w:val="24"/>
          <w:szCs w:val="24"/>
        </w:rPr>
      </w:pPr>
      <w:r w:rsidRPr="002C45D4">
        <w:rPr>
          <w:b/>
          <w:sz w:val="24"/>
          <w:szCs w:val="24"/>
        </w:rPr>
        <w:t>Tablica 20. Vrste i broj investicijskih fondova u Hrvatskoj prema podacima za srpanj 2015.</w:t>
      </w:r>
    </w:p>
    <w:tbl>
      <w:tblPr>
        <w:tblW w:w="8946" w:type="dxa"/>
        <w:tblInd w:w="93" w:type="dxa"/>
        <w:tblLook w:val="04A0" w:firstRow="1" w:lastRow="0" w:firstColumn="1" w:lastColumn="0" w:noHBand="0" w:noVBand="1"/>
      </w:tblPr>
      <w:tblGrid>
        <w:gridCol w:w="7528"/>
        <w:gridCol w:w="1418"/>
      </w:tblGrid>
      <w:tr w:rsidR="00CE02D5" w:rsidRPr="00486281" w:rsidTr="00576C97">
        <w:trPr>
          <w:trHeight w:val="300"/>
        </w:trPr>
        <w:tc>
          <w:tcPr>
            <w:tcW w:w="7528" w:type="dxa"/>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center"/>
            <w:hideMark/>
          </w:tcPr>
          <w:p w:rsidR="00CE02D5" w:rsidRPr="002C45D4" w:rsidRDefault="00CE02D5" w:rsidP="00D22DE8">
            <w:pPr>
              <w:spacing w:after="0" w:line="240" w:lineRule="auto"/>
              <w:rPr>
                <w:rFonts w:ascii="Arial" w:eastAsia="Times New Roman" w:hAnsi="Arial" w:cs="Arial"/>
                <w:b/>
                <w:bCs/>
                <w:color w:val="FFFFFF" w:themeColor="background1"/>
                <w:sz w:val="20"/>
                <w:szCs w:val="20"/>
                <w:lang w:eastAsia="hr-HR"/>
              </w:rPr>
            </w:pPr>
            <w:r w:rsidRPr="002C45D4">
              <w:rPr>
                <w:rFonts w:ascii="Arial" w:eastAsia="Times New Roman" w:hAnsi="Arial" w:cs="Arial"/>
                <w:b/>
                <w:bCs/>
                <w:color w:val="FFFFFF" w:themeColor="background1"/>
                <w:sz w:val="20"/>
                <w:szCs w:val="20"/>
                <w:lang w:eastAsia="hr-HR"/>
              </w:rPr>
              <w:t>UCITS fondovi</w:t>
            </w:r>
          </w:p>
        </w:tc>
        <w:tc>
          <w:tcPr>
            <w:tcW w:w="1418" w:type="dxa"/>
            <w:tcBorders>
              <w:top w:val="single" w:sz="4" w:space="0" w:color="auto"/>
              <w:left w:val="nil"/>
              <w:bottom w:val="single" w:sz="4" w:space="0" w:color="auto"/>
              <w:right w:val="single" w:sz="4" w:space="0" w:color="auto"/>
            </w:tcBorders>
            <w:shd w:val="clear" w:color="auto" w:fill="365F91" w:themeFill="accent1" w:themeFillShade="BF"/>
            <w:noWrap/>
            <w:vAlign w:val="center"/>
            <w:hideMark/>
          </w:tcPr>
          <w:p w:rsidR="00CE02D5" w:rsidRPr="002C45D4" w:rsidRDefault="00CE02D5" w:rsidP="00576C97">
            <w:pPr>
              <w:spacing w:after="0" w:line="240" w:lineRule="auto"/>
              <w:jc w:val="center"/>
              <w:rPr>
                <w:rFonts w:ascii="Arial" w:eastAsia="Times New Roman" w:hAnsi="Arial" w:cs="Arial"/>
                <w:b/>
                <w:bCs/>
                <w:color w:val="FFFFFF" w:themeColor="background1"/>
                <w:sz w:val="20"/>
                <w:szCs w:val="20"/>
                <w:lang w:eastAsia="hr-HR"/>
              </w:rPr>
            </w:pPr>
            <w:r w:rsidRPr="002C45D4">
              <w:rPr>
                <w:rFonts w:ascii="Arial" w:eastAsia="Times New Roman" w:hAnsi="Arial" w:cs="Arial"/>
                <w:b/>
                <w:bCs/>
                <w:color w:val="FFFFFF" w:themeColor="background1"/>
                <w:sz w:val="20"/>
                <w:szCs w:val="20"/>
                <w:lang w:eastAsia="hr-HR"/>
              </w:rPr>
              <w:t>84</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Novčani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21</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Obveznički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12</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Mješoviti</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9</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Dionički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27</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Ostali</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15</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365F91" w:themeFill="accent1" w:themeFillShade="BF"/>
            <w:noWrap/>
            <w:vAlign w:val="center"/>
            <w:hideMark/>
          </w:tcPr>
          <w:p w:rsidR="00CE02D5" w:rsidRPr="002C45D4" w:rsidRDefault="00CE02D5" w:rsidP="00D22DE8">
            <w:pPr>
              <w:spacing w:after="0" w:line="240" w:lineRule="auto"/>
              <w:rPr>
                <w:rFonts w:ascii="Arial" w:eastAsia="Times New Roman" w:hAnsi="Arial" w:cs="Arial"/>
                <w:b/>
                <w:bCs/>
                <w:color w:val="FFFFFF" w:themeColor="background1"/>
                <w:sz w:val="20"/>
                <w:szCs w:val="20"/>
                <w:lang w:eastAsia="hr-HR"/>
              </w:rPr>
            </w:pPr>
            <w:r w:rsidRPr="002C45D4">
              <w:rPr>
                <w:rFonts w:ascii="Arial" w:eastAsia="Times New Roman" w:hAnsi="Arial" w:cs="Arial"/>
                <w:b/>
                <w:bCs/>
                <w:color w:val="FFFFFF" w:themeColor="background1"/>
                <w:sz w:val="20"/>
                <w:szCs w:val="20"/>
                <w:lang w:eastAsia="hr-HR"/>
              </w:rPr>
              <w:t xml:space="preserve">ALTERNATIVNI INVESTICIJSKI FONDOVI </w:t>
            </w:r>
          </w:p>
        </w:tc>
        <w:tc>
          <w:tcPr>
            <w:tcW w:w="1418" w:type="dxa"/>
            <w:tcBorders>
              <w:top w:val="nil"/>
              <w:left w:val="nil"/>
              <w:bottom w:val="single" w:sz="4" w:space="0" w:color="auto"/>
              <w:right w:val="single" w:sz="4" w:space="0" w:color="auto"/>
            </w:tcBorders>
            <w:shd w:val="clear" w:color="auto" w:fill="365F91" w:themeFill="accent1" w:themeFillShade="BF"/>
            <w:noWrap/>
            <w:vAlign w:val="center"/>
            <w:hideMark/>
          </w:tcPr>
          <w:p w:rsidR="00CE02D5" w:rsidRPr="002C45D4" w:rsidRDefault="00CE02D5" w:rsidP="00576C97">
            <w:pPr>
              <w:spacing w:after="0" w:line="240" w:lineRule="auto"/>
              <w:jc w:val="center"/>
              <w:rPr>
                <w:rFonts w:ascii="Arial" w:eastAsia="Times New Roman" w:hAnsi="Arial" w:cs="Arial"/>
                <w:b/>
                <w:bCs/>
                <w:color w:val="FFFFFF" w:themeColor="background1"/>
                <w:sz w:val="20"/>
                <w:szCs w:val="20"/>
                <w:lang w:eastAsia="hr-HR"/>
              </w:rPr>
            </w:pPr>
            <w:r w:rsidRPr="002C45D4">
              <w:rPr>
                <w:rFonts w:ascii="Arial" w:eastAsia="Times New Roman" w:hAnsi="Arial" w:cs="Arial"/>
                <w:b/>
                <w:bCs/>
                <w:color w:val="FFFFFF" w:themeColor="background1"/>
                <w:sz w:val="20"/>
                <w:szCs w:val="20"/>
                <w:lang w:eastAsia="hr-HR"/>
              </w:rPr>
              <w:t>29</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 - S javnom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6</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300" w:firstLine="6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Otvoreni s javnom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2</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w:t>
            </w:r>
            <w:r>
              <w:rPr>
                <w:rFonts w:ascii="Arial" w:eastAsia="Times New Roman" w:hAnsi="Arial" w:cs="Arial"/>
                <w:sz w:val="20"/>
                <w:szCs w:val="20"/>
                <w:lang w:eastAsia="hr-HR"/>
              </w:rPr>
              <w:t xml:space="preserve">  </w:t>
            </w:r>
            <w:r w:rsidRPr="00486281">
              <w:rPr>
                <w:rFonts w:ascii="Arial" w:eastAsia="Times New Roman" w:hAnsi="Arial" w:cs="Arial"/>
                <w:sz w:val="20"/>
                <w:szCs w:val="20"/>
                <w:lang w:eastAsia="hr-HR"/>
              </w:rPr>
              <w:t xml:space="preserve">Zatvoreni s javnom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3</w:t>
            </w:r>
          </w:p>
        </w:tc>
      </w:tr>
      <w:tr w:rsidR="00CE02D5" w:rsidRPr="00486281" w:rsidTr="00576C97">
        <w:trPr>
          <w:trHeight w:val="510"/>
        </w:trPr>
        <w:tc>
          <w:tcPr>
            <w:tcW w:w="7528" w:type="dxa"/>
            <w:tcBorders>
              <w:top w:val="nil"/>
              <w:left w:val="single" w:sz="4" w:space="0" w:color="auto"/>
              <w:bottom w:val="single" w:sz="4" w:space="0" w:color="auto"/>
              <w:right w:val="single" w:sz="4" w:space="0" w:color="auto"/>
            </w:tcBorders>
            <w:shd w:val="clear" w:color="auto" w:fill="auto"/>
            <w:vAlign w:val="center"/>
            <w:hideMark/>
          </w:tcPr>
          <w:p w:rsidR="00CE02D5" w:rsidRDefault="00CE02D5" w:rsidP="00D22DE8">
            <w:pPr>
              <w:spacing w:after="0" w:line="240" w:lineRule="auto"/>
              <w:ind w:firstLineChars="100" w:firstLine="2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w:t>
            </w:r>
            <w:r>
              <w:rPr>
                <w:rFonts w:ascii="Arial" w:eastAsia="Times New Roman" w:hAnsi="Arial" w:cs="Arial"/>
                <w:sz w:val="20"/>
                <w:szCs w:val="20"/>
                <w:lang w:eastAsia="hr-HR"/>
              </w:rPr>
              <w:t xml:space="preserve">  </w:t>
            </w:r>
            <w:r w:rsidRPr="00486281">
              <w:rPr>
                <w:rFonts w:ascii="Arial" w:eastAsia="Times New Roman" w:hAnsi="Arial" w:cs="Arial"/>
                <w:sz w:val="20"/>
                <w:szCs w:val="20"/>
                <w:lang w:eastAsia="hr-HR"/>
              </w:rPr>
              <w:t xml:space="preserve">Zatvoreni s javnom ponudom za ulaganje u </w:t>
            </w:r>
          </w:p>
          <w:p w:rsidR="00CE02D5" w:rsidRPr="00486281" w:rsidRDefault="00CE02D5" w:rsidP="00D22DE8">
            <w:pPr>
              <w:spacing w:after="0" w:line="240" w:lineRule="auto"/>
              <w:ind w:firstLineChars="100" w:firstLine="200"/>
              <w:rPr>
                <w:rFonts w:ascii="Arial" w:eastAsia="Times New Roman" w:hAnsi="Arial" w:cs="Arial"/>
                <w:sz w:val="20"/>
                <w:szCs w:val="20"/>
                <w:lang w:eastAsia="hr-HR"/>
              </w:rPr>
            </w:pPr>
            <w:r>
              <w:rPr>
                <w:rFonts w:ascii="Arial" w:eastAsia="Times New Roman" w:hAnsi="Arial" w:cs="Arial"/>
                <w:sz w:val="20"/>
                <w:szCs w:val="20"/>
                <w:lang w:eastAsia="hr-HR"/>
              </w:rPr>
              <w:t xml:space="preserve">         </w:t>
            </w:r>
            <w:r w:rsidRPr="00486281">
              <w:rPr>
                <w:rFonts w:ascii="Arial" w:eastAsia="Times New Roman" w:hAnsi="Arial" w:cs="Arial"/>
                <w:sz w:val="20"/>
                <w:szCs w:val="20"/>
                <w:lang w:eastAsia="hr-HR"/>
              </w:rPr>
              <w:t>nekretnine</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1</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 - S privatnom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23</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200" w:firstLine="402"/>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Osnovni s privatnom ponudom</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11</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ind w:firstLineChars="200" w:firstLine="402"/>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Posebni s privatnom ponudom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5</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CE02D5">
            <w:pPr>
              <w:spacing w:after="0" w:line="240" w:lineRule="auto"/>
              <w:ind w:firstLineChars="200" w:firstLine="402"/>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Rizičnog kapitala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7</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vAlign w:val="center"/>
            <w:hideMark/>
          </w:tcPr>
          <w:p w:rsidR="00CE02D5" w:rsidRPr="00486281" w:rsidRDefault="00CE02D5" w:rsidP="00D22DE8">
            <w:pPr>
              <w:spacing w:after="0" w:line="240" w:lineRule="auto"/>
              <w:ind w:firstLineChars="200" w:firstLine="4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Rizičnog kapitala s privatnom ponudom</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2</w:t>
            </w:r>
          </w:p>
        </w:tc>
      </w:tr>
      <w:tr w:rsidR="00CE02D5" w:rsidRPr="00486281" w:rsidTr="00576C97">
        <w:trPr>
          <w:trHeight w:val="510"/>
        </w:trPr>
        <w:tc>
          <w:tcPr>
            <w:tcW w:w="7528" w:type="dxa"/>
            <w:tcBorders>
              <w:top w:val="nil"/>
              <w:left w:val="single" w:sz="4" w:space="0" w:color="auto"/>
              <w:bottom w:val="single" w:sz="4" w:space="0" w:color="auto"/>
              <w:right w:val="single" w:sz="4" w:space="0" w:color="auto"/>
            </w:tcBorders>
            <w:shd w:val="clear" w:color="auto" w:fill="auto"/>
            <w:vAlign w:val="center"/>
            <w:hideMark/>
          </w:tcPr>
          <w:p w:rsidR="00CE02D5" w:rsidRPr="00486281" w:rsidRDefault="00CE02D5" w:rsidP="00576C97">
            <w:pPr>
              <w:spacing w:after="0" w:line="240" w:lineRule="auto"/>
              <w:ind w:firstLineChars="200" w:firstLine="400"/>
              <w:rPr>
                <w:rFonts w:ascii="Arial" w:eastAsia="Times New Roman" w:hAnsi="Arial" w:cs="Arial"/>
                <w:sz w:val="20"/>
                <w:szCs w:val="20"/>
                <w:lang w:eastAsia="hr-HR"/>
              </w:rPr>
            </w:pPr>
            <w:r w:rsidRPr="00486281">
              <w:rPr>
                <w:rFonts w:ascii="Arial" w:eastAsia="Times New Roman" w:hAnsi="Arial" w:cs="Arial"/>
                <w:sz w:val="20"/>
                <w:szCs w:val="20"/>
                <w:lang w:eastAsia="hr-HR"/>
              </w:rPr>
              <w:t xml:space="preserve">    Rizičnog kapitala s privatnom ponudom - Fondovi za gospodarsku suradnju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r w:rsidRPr="00486281">
              <w:rPr>
                <w:rFonts w:ascii="Arial" w:eastAsia="Times New Roman" w:hAnsi="Arial" w:cs="Arial"/>
                <w:sz w:val="20"/>
                <w:szCs w:val="20"/>
                <w:lang w:eastAsia="hr-HR"/>
              </w:rPr>
              <w:t>5</w:t>
            </w: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rPr>
                <w:rFonts w:ascii="Arial" w:eastAsia="Times New Roman" w:hAnsi="Arial" w:cs="Arial"/>
                <w:sz w:val="20"/>
                <w:szCs w:val="20"/>
                <w:lang w:eastAsia="hr-HR"/>
              </w:rPr>
            </w:pPr>
            <w:r w:rsidRPr="00486281">
              <w:rPr>
                <w:rFonts w:ascii="Arial" w:eastAsia="Times New Roman" w:hAnsi="Arial" w:cs="Arial"/>
                <w:sz w:val="20"/>
                <w:szCs w:val="20"/>
                <w:lang w:eastAsia="hr-HR"/>
              </w:rPr>
              <w:t>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576C97">
            <w:pPr>
              <w:spacing w:after="0" w:line="240" w:lineRule="auto"/>
              <w:jc w:val="center"/>
              <w:rPr>
                <w:rFonts w:ascii="Arial" w:eastAsia="Times New Roman" w:hAnsi="Arial" w:cs="Arial"/>
                <w:sz w:val="20"/>
                <w:szCs w:val="20"/>
                <w:lang w:eastAsia="hr-HR"/>
              </w:rPr>
            </w:pPr>
          </w:p>
        </w:tc>
      </w:tr>
      <w:tr w:rsidR="00CE02D5" w:rsidRPr="00486281" w:rsidTr="00576C97">
        <w:trPr>
          <w:trHeight w:val="300"/>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 xml:space="preserve">Ukupno </w:t>
            </w:r>
          </w:p>
        </w:tc>
        <w:tc>
          <w:tcPr>
            <w:tcW w:w="1418" w:type="dxa"/>
            <w:tcBorders>
              <w:top w:val="nil"/>
              <w:left w:val="nil"/>
              <w:bottom w:val="single" w:sz="4" w:space="0" w:color="auto"/>
              <w:right w:val="single" w:sz="4" w:space="0" w:color="auto"/>
            </w:tcBorders>
            <w:shd w:val="clear" w:color="auto" w:fill="auto"/>
            <w:noWrap/>
            <w:vAlign w:val="center"/>
            <w:hideMark/>
          </w:tcPr>
          <w:p w:rsidR="00CE02D5" w:rsidRPr="00486281" w:rsidRDefault="00CE02D5" w:rsidP="00D22DE8">
            <w:pPr>
              <w:spacing w:after="0" w:line="240" w:lineRule="auto"/>
              <w:jc w:val="right"/>
              <w:rPr>
                <w:rFonts w:ascii="Arial" w:eastAsia="Times New Roman" w:hAnsi="Arial" w:cs="Arial"/>
                <w:b/>
                <w:bCs/>
                <w:sz w:val="20"/>
                <w:szCs w:val="20"/>
                <w:lang w:eastAsia="hr-HR"/>
              </w:rPr>
            </w:pPr>
            <w:r w:rsidRPr="00486281">
              <w:rPr>
                <w:rFonts w:ascii="Arial" w:eastAsia="Times New Roman" w:hAnsi="Arial" w:cs="Arial"/>
                <w:b/>
                <w:bCs/>
                <w:sz w:val="20"/>
                <w:szCs w:val="20"/>
                <w:lang w:eastAsia="hr-HR"/>
              </w:rPr>
              <w:t>113</w:t>
            </w:r>
          </w:p>
        </w:tc>
      </w:tr>
    </w:tbl>
    <w:p w:rsidR="00CE02D5" w:rsidRPr="00CF0C51" w:rsidRDefault="00CE02D5" w:rsidP="00CE02D5">
      <w:pPr>
        <w:jc w:val="both"/>
        <w:rPr>
          <w:sz w:val="20"/>
          <w:szCs w:val="20"/>
        </w:rPr>
      </w:pPr>
      <w:r w:rsidRPr="00CF0C51">
        <w:rPr>
          <w:sz w:val="20"/>
          <w:szCs w:val="20"/>
        </w:rPr>
        <w:t>Izvor: Hanfa</w:t>
      </w:r>
    </w:p>
    <w:p w:rsidR="00C90DDA" w:rsidRPr="00CF0C51" w:rsidRDefault="00C90DDA" w:rsidP="00C90DDA">
      <w:pPr>
        <w:jc w:val="both"/>
        <w:rPr>
          <w:i/>
          <w:sz w:val="24"/>
          <w:szCs w:val="24"/>
        </w:rPr>
      </w:pPr>
      <w:r w:rsidRPr="00EB0967">
        <w:rPr>
          <w:sz w:val="24"/>
          <w:szCs w:val="24"/>
        </w:rPr>
        <w:lastRenderedPageBreak/>
        <w:t xml:space="preserve">Poslovanje UCITS fondova uređeno je </w:t>
      </w:r>
      <w:r w:rsidRPr="00EB0967">
        <w:rPr>
          <w:i/>
          <w:sz w:val="24"/>
          <w:szCs w:val="24"/>
        </w:rPr>
        <w:t>Zakonom o otvorenim investicijskim fondovima s javnom ponudom</w:t>
      </w:r>
      <w:r w:rsidRPr="00EB0967">
        <w:rPr>
          <w:sz w:val="24"/>
          <w:szCs w:val="24"/>
        </w:rPr>
        <w:t xml:space="preserve">, dok je poslovanje AIF-a uređeno </w:t>
      </w:r>
      <w:r w:rsidRPr="00EB0967">
        <w:rPr>
          <w:i/>
          <w:sz w:val="24"/>
          <w:szCs w:val="24"/>
        </w:rPr>
        <w:t>Zakonom o alternativnim investicijskim fondovima</w:t>
      </w:r>
      <w:r w:rsidRPr="00EB0967">
        <w:rPr>
          <w:sz w:val="24"/>
          <w:szCs w:val="24"/>
        </w:rPr>
        <w:t xml:space="preserve">. </w:t>
      </w:r>
      <w:r w:rsidRPr="00C90DDA">
        <w:rPr>
          <w:sz w:val="24"/>
          <w:szCs w:val="24"/>
        </w:rPr>
        <w:t>Nadzor nad društvima za upravljanje otvorenim investicijskim fondovima s javnom ponudom i društvima za upravljanje alternativnim investicijskim fondovima provodi Hanfa.</w:t>
      </w:r>
      <w:r w:rsidRPr="00350061">
        <w:rPr>
          <w:rStyle w:val="Referencafusnote"/>
          <w:i/>
          <w:sz w:val="24"/>
          <w:szCs w:val="24"/>
        </w:rPr>
        <w:t xml:space="preserve"> </w:t>
      </w:r>
      <w:r>
        <w:rPr>
          <w:rStyle w:val="Referencafusnote"/>
          <w:i/>
          <w:sz w:val="24"/>
          <w:szCs w:val="24"/>
        </w:rPr>
        <w:footnoteReference w:id="94"/>
      </w:r>
    </w:p>
    <w:p w:rsidR="0022574A" w:rsidRDefault="00EB0967" w:rsidP="00CE02D5">
      <w:pPr>
        <w:jc w:val="both"/>
        <w:rPr>
          <w:sz w:val="24"/>
          <w:szCs w:val="24"/>
        </w:rPr>
      </w:pPr>
      <w:r w:rsidRPr="00EB0967">
        <w:rPr>
          <w:sz w:val="24"/>
          <w:szCs w:val="24"/>
        </w:rPr>
        <w:t xml:space="preserve">S obzirom na veličinu neto imovine svih UCITS fondova dominiraju novčani fondovi s </w:t>
      </w:r>
      <w:r>
        <w:rPr>
          <w:sz w:val="24"/>
          <w:szCs w:val="24"/>
        </w:rPr>
        <w:t>udjelom gotovo 70%</w:t>
      </w:r>
      <w:r w:rsidR="0022574A">
        <w:rPr>
          <w:sz w:val="24"/>
          <w:szCs w:val="24"/>
        </w:rPr>
        <w:t>. N</w:t>
      </w:r>
      <w:r>
        <w:rPr>
          <w:sz w:val="24"/>
          <w:szCs w:val="24"/>
        </w:rPr>
        <w:t xml:space="preserve">a drugom mjestu su dionički fondovi s udjelom oko 12% te potom </w:t>
      </w:r>
      <w:r w:rsidR="0022574A">
        <w:rPr>
          <w:sz w:val="24"/>
          <w:szCs w:val="24"/>
        </w:rPr>
        <w:t xml:space="preserve">slijede </w:t>
      </w:r>
      <w:r>
        <w:rPr>
          <w:sz w:val="24"/>
          <w:szCs w:val="24"/>
        </w:rPr>
        <w:t xml:space="preserve">obveznički </w:t>
      </w:r>
      <w:r w:rsidR="0022574A">
        <w:rPr>
          <w:sz w:val="24"/>
          <w:szCs w:val="24"/>
        </w:rPr>
        <w:t xml:space="preserve">fondovi </w:t>
      </w:r>
      <w:r>
        <w:rPr>
          <w:sz w:val="24"/>
          <w:szCs w:val="24"/>
        </w:rPr>
        <w:t xml:space="preserve">s udjelom nešto većim od 9%, dok se nešto više od 5% neto imovine UCITS fondova odnosi na mješovite fondove. </w:t>
      </w:r>
      <w:r w:rsidRPr="00EB0967">
        <w:rPr>
          <w:sz w:val="24"/>
          <w:szCs w:val="24"/>
        </w:rPr>
        <w:t>Najzastupljeniji udjelničari UCITS fondova su fizičke osobe (</w:t>
      </w:r>
      <w:r w:rsidR="0022574A">
        <w:rPr>
          <w:sz w:val="24"/>
          <w:szCs w:val="24"/>
        </w:rPr>
        <w:t>45%</w:t>
      </w:r>
      <w:r w:rsidRPr="00EB0967">
        <w:rPr>
          <w:sz w:val="24"/>
          <w:szCs w:val="24"/>
        </w:rPr>
        <w:t xml:space="preserve">), a potom </w:t>
      </w:r>
      <w:r w:rsidR="0022574A">
        <w:rPr>
          <w:sz w:val="24"/>
          <w:szCs w:val="24"/>
        </w:rPr>
        <w:t xml:space="preserve">redom </w:t>
      </w:r>
      <w:r w:rsidRPr="00EB0967">
        <w:rPr>
          <w:sz w:val="24"/>
          <w:szCs w:val="24"/>
        </w:rPr>
        <w:t>mirovinski fondovi</w:t>
      </w:r>
      <w:r w:rsidR="0022574A">
        <w:rPr>
          <w:sz w:val="24"/>
          <w:szCs w:val="24"/>
        </w:rPr>
        <w:t>,</w:t>
      </w:r>
      <w:r w:rsidRPr="00EB0967">
        <w:rPr>
          <w:sz w:val="24"/>
          <w:szCs w:val="24"/>
        </w:rPr>
        <w:t xml:space="preserve"> kreditne institucije</w:t>
      </w:r>
      <w:r w:rsidR="0022574A">
        <w:rPr>
          <w:sz w:val="24"/>
          <w:szCs w:val="24"/>
        </w:rPr>
        <w:t xml:space="preserve"> i društva za osiguranje</w:t>
      </w:r>
      <w:r w:rsidRPr="00EB0967">
        <w:rPr>
          <w:sz w:val="24"/>
          <w:szCs w:val="24"/>
        </w:rPr>
        <w:t>.</w:t>
      </w:r>
      <w:r w:rsidR="0022574A">
        <w:rPr>
          <w:sz w:val="24"/>
          <w:szCs w:val="24"/>
        </w:rPr>
        <w:t xml:space="preserve"> </w:t>
      </w:r>
      <w:r w:rsidR="002E32AF">
        <w:rPr>
          <w:sz w:val="24"/>
          <w:szCs w:val="24"/>
        </w:rPr>
        <w:t>Pri tome se preko 96% ulaganja odnosi na domaće ulagače.</w:t>
      </w:r>
      <w:r w:rsidR="002E32AF">
        <w:rPr>
          <w:rStyle w:val="Referencafusnote"/>
          <w:sz w:val="24"/>
          <w:szCs w:val="24"/>
        </w:rPr>
        <w:footnoteReference w:id="95"/>
      </w:r>
    </w:p>
    <w:p w:rsidR="00CE02D5" w:rsidRDefault="00CE02D5" w:rsidP="00CE02D5">
      <w:pPr>
        <w:jc w:val="both"/>
        <w:rPr>
          <w:sz w:val="24"/>
          <w:szCs w:val="24"/>
        </w:rPr>
      </w:pPr>
      <w:r w:rsidRPr="00C90DDA">
        <w:rPr>
          <w:color w:val="C00000"/>
          <w:sz w:val="24"/>
          <w:szCs w:val="24"/>
        </w:rPr>
        <w:t>Alternativni investicijski fond (AIF)</w:t>
      </w:r>
      <w:r w:rsidRPr="00C90DDA">
        <w:rPr>
          <w:i/>
          <w:color w:val="C00000"/>
          <w:sz w:val="24"/>
          <w:szCs w:val="24"/>
        </w:rPr>
        <w:t xml:space="preserve"> </w:t>
      </w:r>
      <w:r w:rsidR="00C90DDA">
        <w:rPr>
          <w:i/>
          <w:sz w:val="24"/>
          <w:szCs w:val="24"/>
        </w:rPr>
        <w:t>m</w:t>
      </w:r>
      <w:r w:rsidRPr="00350061">
        <w:rPr>
          <w:sz w:val="24"/>
          <w:szCs w:val="24"/>
        </w:rPr>
        <w:t>ože biti osnovan kao otvoreni fond (tada nema pravnu osobnost) ili zatvoreni fond (osnovan kao dioničko društvo ili društvo s ograničenom odgovornošću). Udjeli otvorenog AIF-a i zatvorenog AIF-a osnovanog u obliku dioničkog društva mogu se nudit</w:t>
      </w:r>
      <w:r>
        <w:rPr>
          <w:sz w:val="24"/>
          <w:szCs w:val="24"/>
        </w:rPr>
        <w:t xml:space="preserve">i javnom </w:t>
      </w:r>
      <w:r w:rsidRPr="00350061">
        <w:rPr>
          <w:sz w:val="24"/>
          <w:szCs w:val="24"/>
        </w:rPr>
        <w:t>ponudom</w:t>
      </w:r>
      <w:r>
        <w:rPr>
          <w:sz w:val="24"/>
          <w:szCs w:val="24"/>
        </w:rPr>
        <w:t xml:space="preserve"> (i tada u njih mogu ulagati i mali ulagatelji) ili privatnom ponudom (dostupni su za ulaganje samo profesionalnim i kvalificiranim ulagateljima). Nasuprot tome, </w:t>
      </w:r>
      <w:r w:rsidRPr="00350061">
        <w:rPr>
          <w:sz w:val="24"/>
          <w:szCs w:val="24"/>
        </w:rPr>
        <w:t xml:space="preserve">udjeli zatvorenog AIF-a osnovanog u obliku društva s ograničenom odgovornošću mogu </w:t>
      </w:r>
      <w:r>
        <w:rPr>
          <w:sz w:val="24"/>
          <w:szCs w:val="24"/>
        </w:rPr>
        <w:t xml:space="preserve">se </w:t>
      </w:r>
      <w:r w:rsidRPr="00350061">
        <w:rPr>
          <w:sz w:val="24"/>
          <w:szCs w:val="24"/>
        </w:rPr>
        <w:t>nuditi samo privatnom ponudom.</w:t>
      </w:r>
      <w:r>
        <w:rPr>
          <w:sz w:val="24"/>
          <w:szCs w:val="24"/>
        </w:rPr>
        <w:t xml:space="preserve"> Dionicama zatvorenih AFI-a može se trgovati na burzi.</w:t>
      </w:r>
    </w:p>
    <w:p w:rsidR="0022574A" w:rsidRPr="0022574A" w:rsidRDefault="00CE02D5" w:rsidP="00C90DDA">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22574A">
        <w:rPr>
          <w:rFonts w:asciiTheme="minorHAnsi" w:eastAsiaTheme="minorHAnsi" w:hAnsiTheme="minorHAnsi" w:cstheme="minorBidi"/>
          <w:lang w:eastAsia="en-US"/>
        </w:rPr>
        <w:t>U kategoriju posebnih vrsta alternativnih investicijskih fondova s privatnom ponudom ulaze AIF rizičnog kapitala (engl. private equity), AIF poduzetničkog kapitala (engl. venture capital), AIF s privatnom ponudom za ulaganje u nekretnine, fond fondova, hedge fond, specijalizirani AIF, europski fond poduzetničkog kapitala, europski fond socijalnog poduzetništva i drugi.</w:t>
      </w:r>
      <w:r w:rsidRPr="00C90DDA">
        <w:rPr>
          <w:rFonts w:asciiTheme="minorHAnsi" w:eastAsiaTheme="minorHAnsi" w:hAnsiTheme="minorHAnsi" w:cstheme="minorBidi"/>
          <w:vertAlign w:val="superscript"/>
          <w:lang w:eastAsia="en-US"/>
        </w:rPr>
        <w:footnoteReference w:id="96"/>
      </w:r>
      <w:r w:rsidR="002E32AF">
        <w:rPr>
          <w:rFonts w:asciiTheme="minorHAnsi" w:eastAsiaTheme="minorHAnsi" w:hAnsiTheme="minorHAnsi" w:cstheme="minorBidi"/>
          <w:lang w:eastAsia="en-US"/>
        </w:rPr>
        <w:t xml:space="preserve"> Prema podacima Hanfa-e, s</w:t>
      </w:r>
      <w:r w:rsidR="0022574A" w:rsidRPr="0022574A">
        <w:rPr>
          <w:rFonts w:asciiTheme="minorHAnsi" w:eastAsiaTheme="minorHAnsi" w:hAnsiTheme="minorHAnsi" w:cstheme="minorBidi"/>
          <w:lang w:eastAsia="en-US"/>
        </w:rPr>
        <w:t xml:space="preserve"> obzirom na veličinu neto imovine alternativnih investicijskih fondova</w:t>
      </w:r>
      <w:r w:rsidR="002E32AF">
        <w:rPr>
          <w:rFonts w:asciiTheme="minorHAnsi" w:eastAsiaTheme="minorHAnsi" w:hAnsiTheme="minorHAnsi" w:cstheme="minorBidi"/>
          <w:lang w:eastAsia="en-US"/>
        </w:rPr>
        <w:t>,</w:t>
      </w:r>
      <w:r w:rsidR="0022574A" w:rsidRPr="0022574A">
        <w:rPr>
          <w:rFonts w:asciiTheme="minorHAnsi" w:eastAsiaTheme="minorHAnsi" w:hAnsiTheme="minorHAnsi" w:cstheme="minorBidi"/>
          <w:lang w:eastAsia="en-US"/>
        </w:rPr>
        <w:t xml:space="preserve"> više od 50% odnosi se na neto imovinu zatvorenih AFI-a s javnom ponudom, te potom slijede fondovi za gospodarsku suradnju (oni su osnovni u svrhu poticanje razvoja gospodarstva kroz jačanje postojećih i pokretanje novih gospodarskih subjekata putem vlasničkog restrukturiranja kroz ulaganje dodatnog kapitala; u provedbi aktivnosti FGS-a sudjeluju privatni investitori i  HBOR kao kvalificirani ulagatelj imenovan od strane Vlade RH).</w:t>
      </w:r>
    </w:p>
    <w:p w:rsidR="00D0267D" w:rsidRDefault="00D0267D" w:rsidP="00C90DDA">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C90DDA">
        <w:rPr>
          <w:rFonts w:asciiTheme="minorHAnsi" w:eastAsiaTheme="minorHAnsi" w:hAnsiTheme="minorHAnsi" w:cstheme="minorBidi"/>
          <w:lang w:eastAsia="en-US"/>
        </w:rPr>
        <w:t>Private equity i venture kapital fondovi</w:t>
      </w:r>
      <w:r w:rsidRPr="00D0267D">
        <w:rPr>
          <w:rFonts w:asciiTheme="minorHAnsi" w:eastAsiaTheme="minorHAnsi" w:hAnsiTheme="minorHAnsi" w:cstheme="minorBidi"/>
          <w:lang w:eastAsia="en-US"/>
        </w:rPr>
        <w:t> ulažu u perspektivna poduzeća s visokim potencijalom rasta na srednji i dugi rok (prosječno 5 do 7 godina) nakon čega izlaze iz investicije</w:t>
      </w:r>
      <w:r w:rsidR="00A06BE7">
        <w:rPr>
          <w:rFonts w:asciiTheme="minorHAnsi" w:eastAsiaTheme="minorHAnsi" w:hAnsiTheme="minorHAnsi" w:cstheme="minorBidi"/>
          <w:lang w:eastAsia="en-US"/>
        </w:rPr>
        <w:t xml:space="preserve"> (po tome su specifični za razliku od drugih tipova vlasničkog ulaganja)</w:t>
      </w:r>
      <w:r w:rsidRPr="00D0267D">
        <w:rPr>
          <w:rFonts w:asciiTheme="minorHAnsi" w:eastAsiaTheme="minorHAnsi" w:hAnsiTheme="minorHAnsi" w:cstheme="minorBidi"/>
          <w:lang w:eastAsia="en-US"/>
        </w:rPr>
        <w:t xml:space="preserve">. S obzirom na inozemnu praksu smisao venture kapitala je financiranje poduzeća u ranoj fazi razvoja i fazi ekspanzije, dok se private equity ulaganja uglavnom odnose na preuzimanja, </w:t>
      </w:r>
      <w:r w:rsidRPr="00D0267D">
        <w:rPr>
          <w:rFonts w:asciiTheme="minorHAnsi" w:eastAsiaTheme="minorHAnsi" w:hAnsiTheme="minorHAnsi" w:cstheme="minorBidi"/>
          <w:lang w:eastAsia="en-US"/>
        </w:rPr>
        <w:lastRenderedPageBreak/>
        <w:t xml:space="preserve">restrukturiranje financiranja (zamjena udjela kapitala za dug ili obrnuto), dokapitalizaciju i slično. </w:t>
      </w:r>
    </w:p>
    <w:p w:rsidR="00A06BE7" w:rsidRDefault="00D0267D" w:rsidP="00C90DDA">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sidRPr="00D0267D">
        <w:rPr>
          <w:rFonts w:asciiTheme="minorHAnsi" w:eastAsiaTheme="minorHAnsi" w:hAnsiTheme="minorHAnsi" w:cstheme="minorBidi"/>
          <w:lang w:eastAsia="en-US"/>
        </w:rPr>
        <w:t xml:space="preserve">Na slici </w:t>
      </w:r>
      <w:r w:rsidR="00C90DDA">
        <w:rPr>
          <w:rFonts w:asciiTheme="minorHAnsi" w:eastAsiaTheme="minorHAnsi" w:hAnsiTheme="minorHAnsi" w:cstheme="minorBidi"/>
          <w:lang w:eastAsia="en-US"/>
        </w:rPr>
        <w:t xml:space="preserve">41 </w:t>
      </w:r>
      <w:r w:rsidRPr="00D0267D">
        <w:rPr>
          <w:rFonts w:asciiTheme="minorHAnsi" w:eastAsiaTheme="minorHAnsi" w:hAnsiTheme="minorHAnsi" w:cstheme="minorBidi"/>
          <w:lang w:eastAsia="en-US"/>
        </w:rPr>
        <w:t xml:space="preserve">prikazane </w:t>
      </w:r>
      <w:r w:rsidR="00C90DDA">
        <w:rPr>
          <w:rFonts w:asciiTheme="minorHAnsi" w:eastAsiaTheme="minorHAnsi" w:hAnsiTheme="minorHAnsi" w:cstheme="minorBidi"/>
          <w:lang w:eastAsia="en-US"/>
        </w:rPr>
        <w:t xml:space="preserve">su </w:t>
      </w:r>
      <w:r w:rsidRPr="00C90DDA">
        <w:rPr>
          <w:rFonts w:asciiTheme="minorHAnsi" w:eastAsiaTheme="minorHAnsi" w:hAnsiTheme="minorHAnsi" w:cstheme="minorBidi"/>
          <w:color w:val="C00000"/>
          <w:lang w:eastAsia="en-US"/>
        </w:rPr>
        <w:t xml:space="preserve">faze razvoja poduzeća uz koje se vežu različiti izvori financiranja </w:t>
      </w:r>
      <w:r w:rsidRPr="00D0267D">
        <w:rPr>
          <w:rFonts w:asciiTheme="minorHAnsi" w:eastAsiaTheme="minorHAnsi" w:hAnsiTheme="minorHAnsi" w:cstheme="minorBidi"/>
          <w:lang w:eastAsia="en-US"/>
        </w:rPr>
        <w:t xml:space="preserve">uključujući </w:t>
      </w:r>
      <w:r>
        <w:rPr>
          <w:rFonts w:asciiTheme="minorHAnsi" w:eastAsiaTheme="minorHAnsi" w:hAnsiTheme="minorHAnsi" w:cstheme="minorBidi"/>
          <w:lang w:eastAsia="en-US"/>
        </w:rPr>
        <w:t xml:space="preserve">tzv. </w:t>
      </w:r>
      <w:r w:rsidRPr="00C90DDA">
        <w:rPr>
          <w:rFonts w:asciiTheme="minorHAnsi" w:eastAsiaTheme="minorHAnsi" w:hAnsiTheme="minorHAnsi" w:cstheme="minorBidi"/>
          <w:color w:val="C00000"/>
          <w:lang w:eastAsia="en-US"/>
        </w:rPr>
        <w:t xml:space="preserve">poslovne anđele </w:t>
      </w:r>
      <w:r>
        <w:rPr>
          <w:rFonts w:asciiTheme="minorHAnsi" w:eastAsiaTheme="minorHAnsi" w:hAnsiTheme="minorHAnsi" w:cstheme="minorBidi"/>
          <w:lang w:eastAsia="en-US"/>
        </w:rPr>
        <w:t xml:space="preserve">u eksperimentalnoj ili sjemenskoj fazi financiranja razvoja poduzeća </w:t>
      </w:r>
      <w:r w:rsidR="00C90DDA">
        <w:rPr>
          <w:rFonts w:asciiTheme="minorHAnsi" w:eastAsiaTheme="minorHAnsi" w:hAnsiTheme="minorHAnsi" w:cstheme="minorBidi"/>
          <w:lang w:eastAsia="en-US"/>
        </w:rPr>
        <w:t xml:space="preserve">(seed capital), </w:t>
      </w:r>
      <w:r w:rsidRPr="00D0267D">
        <w:rPr>
          <w:rFonts w:asciiTheme="minorHAnsi" w:eastAsiaTheme="minorHAnsi" w:hAnsiTheme="minorHAnsi" w:cstheme="minorBidi"/>
          <w:lang w:eastAsia="en-US"/>
        </w:rPr>
        <w:t xml:space="preserve">venture ulaganja </w:t>
      </w:r>
      <w:r w:rsidR="00C90DDA">
        <w:rPr>
          <w:rFonts w:asciiTheme="minorHAnsi" w:eastAsiaTheme="minorHAnsi" w:hAnsiTheme="minorHAnsi" w:cstheme="minorBidi"/>
          <w:lang w:eastAsia="en-US"/>
        </w:rPr>
        <w:t xml:space="preserve">koja se </w:t>
      </w:r>
      <w:r w:rsidRPr="00D0267D">
        <w:rPr>
          <w:rFonts w:asciiTheme="minorHAnsi" w:eastAsiaTheme="minorHAnsi" w:hAnsiTheme="minorHAnsi" w:cstheme="minorBidi"/>
          <w:lang w:eastAsia="en-US"/>
        </w:rPr>
        <w:t>tipično vežu za početnu (start-up fazu)</w:t>
      </w:r>
      <w:r w:rsidR="00C90DDA">
        <w:rPr>
          <w:rFonts w:asciiTheme="minorHAnsi" w:eastAsiaTheme="minorHAnsi" w:hAnsiTheme="minorHAnsi" w:cstheme="minorBidi"/>
          <w:lang w:eastAsia="en-US"/>
        </w:rPr>
        <w:t xml:space="preserve"> i fazu ekspanzije</w:t>
      </w:r>
      <w:r w:rsidRPr="00D0267D">
        <w:rPr>
          <w:rFonts w:asciiTheme="minorHAnsi" w:eastAsiaTheme="minorHAnsi" w:hAnsiTheme="minorHAnsi" w:cstheme="minorBidi"/>
          <w:lang w:eastAsia="en-US"/>
        </w:rPr>
        <w:t>, dok se pri</w:t>
      </w:r>
      <w:r w:rsidR="00C90DDA">
        <w:rPr>
          <w:rFonts w:asciiTheme="minorHAnsi" w:eastAsiaTheme="minorHAnsi" w:hAnsiTheme="minorHAnsi" w:cstheme="minorBidi"/>
          <w:lang w:eastAsia="en-US"/>
        </w:rPr>
        <w:t>v</w:t>
      </w:r>
      <w:r w:rsidRPr="00D0267D">
        <w:rPr>
          <w:rFonts w:asciiTheme="minorHAnsi" w:eastAsiaTheme="minorHAnsi" w:hAnsiTheme="minorHAnsi" w:cstheme="minorBidi"/>
          <w:lang w:eastAsia="en-US"/>
        </w:rPr>
        <w:t>ate equity (privatna vlasnička) ulaganja uglavnom vežu za fazu dokapitalizacije i preuzimanja</w:t>
      </w:r>
      <w:r w:rsidR="00C90DDA">
        <w:rPr>
          <w:rFonts w:asciiTheme="minorHAnsi" w:eastAsiaTheme="minorHAnsi" w:hAnsiTheme="minorHAnsi" w:cstheme="minorBidi"/>
          <w:lang w:eastAsia="en-US"/>
        </w:rPr>
        <w:t xml:space="preserve"> (buyout ili prodaju većinskog udjela poduzeća)</w:t>
      </w:r>
      <w:r w:rsidRPr="00D0267D">
        <w:rPr>
          <w:rFonts w:asciiTheme="minorHAnsi" w:eastAsiaTheme="minorHAnsi" w:hAnsiTheme="minorHAnsi" w:cstheme="minorBidi"/>
          <w:lang w:eastAsia="en-US"/>
        </w:rPr>
        <w:t xml:space="preserve">. </w:t>
      </w:r>
      <w:r w:rsidR="00C90DDA">
        <w:rPr>
          <w:rFonts w:asciiTheme="minorHAnsi" w:eastAsiaTheme="minorHAnsi" w:hAnsiTheme="minorHAnsi" w:cstheme="minorBidi"/>
          <w:lang w:eastAsia="en-US"/>
        </w:rPr>
        <w:t xml:space="preserve">Za razliku od venture fondova kao formalnih oblika venture ulaganja, poslovni anđeli su neformalni oblik ulaganja koja vrše bogati pojedinci najčešće bivši uspješni poduzetnici bilo individualno bilo kroz tzv. mrežu poslovnih anđela. </w:t>
      </w:r>
    </w:p>
    <w:p w:rsidR="00C90DDA" w:rsidRPr="00A06BE7" w:rsidRDefault="00C90DDA" w:rsidP="002E32AF">
      <w:pPr>
        <w:pStyle w:val="StandardWeb"/>
        <w:shd w:val="clear" w:color="auto" w:fill="FFFFFF"/>
        <w:spacing w:before="0" w:beforeAutospacing="0" w:after="0" w:afterAutospacing="0" w:line="276" w:lineRule="auto"/>
        <w:jc w:val="both"/>
        <w:rPr>
          <w:rFonts w:asciiTheme="minorHAnsi" w:eastAsiaTheme="minorHAnsi" w:hAnsiTheme="minorHAnsi" w:cstheme="minorBidi"/>
          <w:b/>
          <w:lang w:eastAsia="en-US"/>
        </w:rPr>
      </w:pPr>
      <w:r w:rsidRPr="00A06BE7">
        <w:rPr>
          <w:rFonts w:asciiTheme="minorHAnsi" w:eastAsiaTheme="minorHAnsi" w:hAnsiTheme="minorHAnsi" w:cstheme="minorBidi"/>
          <w:b/>
          <w:lang w:eastAsia="en-US"/>
        </w:rPr>
        <w:t>Slika 41</w:t>
      </w:r>
      <w:r w:rsidR="00A06BE7" w:rsidRPr="00A06BE7">
        <w:rPr>
          <w:rFonts w:asciiTheme="minorHAnsi" w:eastAsiaTheme="minorHAnsi" w:hAnsiTheme="minorHAnsi" w:cstheme="minorBidi"/>
          <w:b/>
          <w:lang w:eastAsia="en-US"/>
        </w:rPr>
        <w:t xml:space="preserve">: Financiranje razvoja poduzeća </w:t>
      </w:r>
    </w:p>
    <w:p w:rsidR="00A06BE7" w:rsidRDefault="00A06BE7" w:rsidP="002E32AF">
      <w:pPr>
        <w:pStyle w:val="StandardWeb"/>
        <w:shd w:val="clear" w:color="auto" w:fill="FFFFFF"/>
        <w:spacing w:before="0" w:beforeAutospacing="0" w:after="12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noProof/>
        </w:rPr>
        <w:drawing>
          <wp:inline distT="0" distB="0" distL="0" distR="0" wp14:anchorId="0B807C62" wp14:editId="5B306FD3">
            <wp:extent cx="5646003" cy="2905125"/>
            <wp:effectExtent l="0" t="0" r="0" b="0"/>
            <wp:docPr id="29697" name="Slika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46003" cy="2905125"/>
                    </a:xfrm>
                    <a:prstGeom prst="rect">
                      <a:avLst/>
                    </a:prstGeom>
                    <a:noFill/>
                    <a:ln>
                      <a:noFill/>
                    </a:ln>
                  </pic:spPr>
                </pic:pic>
              </a:graphicData>
            </a:graphic>
          </wp:inline>
        </w:drawing>
      </w:r>
    </w:p>
    <w:p w:rsidR="00A06BE7" w:rsidRPr="00A06BE7" w:rsidRDefault="00A06BE7" w:rsidP="00C90DDA">
      <w:pPr>
        <w:pStyle w:val="StandardWeb"/>
        <w:shd w:val="clear" w:color="auto" w:fill="FFFFFF"/>
        <w:spacing w:before="0" w:beforeAutospacing="0" w:after="200" w:afterAutospacing="0" w:line="276" w:lineRule="auto"/>
        <w:jc w:val="both"/>
        <w:rPr>
          <w:rFonts w:asciiTheme="minorHAnsi" w:eastAsiaTheme="minorHAnsi" w:hAnsiTheme="minorHAnsi" w:cstheme="minorBidi"/>
          <w:sz w:val="20"/>
          <w:szCs w:val="20"/>
          <w:lang w:eastAsia="en-US"/>
        </w:rPr>
      </w:pPr>
      <w:r w:rsidRPr="00A06BE7">
        <w:rPr>
          <w:rFonts w:asciiTheme="minorHAnsi" w:eastAsiaTheme="minorHAnsi" w:hAnsiTheme="minorHAnsi" w:cstheme="minorBidi"/>
          <w:sz w:val="20"/>
          <w:szCs w:val="20"/>
          <w:lang w:eastAsia="en-US"/>
        </w:rPr>
        <w:t>Izvor: preuzeto sa: HVCA, dostupno na: http://www.cvca.hr/zasto-pe-i-venture-capital/rjecnik-termina/</w:t>
      </w:r>
    </w:p>
    <w:p w:rsidR="00A06BE7" w:rsidRDefault="00A06BE7" w:rsidP="00A06BE7">
      <w:pPr>
        <w:pStyle w:val="StandardWeb"/>
        <w:shd w:val="clear" w:color="auto" w:fill="FFFFFF"/>
        <w:spacing w:before="0" w:beforeAutospacing="0" w:after="200" w:afterAutospacing="0" w:line="276"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 xml:space="preserve">Značaj svih navedenih oblika financiranja posebno dolazi do izražaja u ranim i srednjim fazama razvoja poduzeća kada ona ne mogu konkurirati za financiranje kreditima banaka jer ne raspolažu adekvatnim kolateralom i drugim instrumentima osiguranja te ne mogu zadovoljiti uvjete za ocjenu kreditne sposobnosti jer nemaju pozitivan novčani tok, nemaju tržište za plasman proizvoda ili nemaju dovoljno dobre pokazatelje poslovanja, što ih s aspekta banaka čini rizičnim dužnicima. Međutim, ukoliko se radi o perspektivnom poduzeću s visokim potencijalima za rast, razvoj novih inovativnih tehnoloških proizvoda i slično, postoji mogućnost za ostvarivanje povrata znatno većih nego u slučaju drugih ulaganja a to je upravo prilika koju traže nositelji PE/VC ulaganja, odnosno alternativnih izvora financiranja. S druge strane postoji i mogućnost velikih gubitaka, dok inicijalna ulaganja traže raspolaganje velikim iznosima sredstava npr. od 100 do 500 tisuća eura u slučaju ulaganja poslovnih anđela te iznad pola milijuna eura u slučaju PE/VC ulaganja, što ove oblike </w:t>
      </w:r>
      <w:r>
        <w:rPr>
          <w:rFonts w:asciiTheme="minorHAnsi" w:eastAsiaTheme="minorHAnsi" w:hAnsiTheme="minorHAnsi" w:cstheme="minorBidi"/>
          <w:lang w:eastAsia="en-US"/>
        </w:rPr>
        <w:lastRenderedPageBreak/>
        <w:t xml:space="preserve">ulaganja iz niza faktora čini nedostupnima za male ulagatelje, odnosno i zakonska regulativa ih u tome tipično sprječava. </w:t>
      </w:r>
    </w:p>
    <w:p w:rsidR="00FC6BB5" w:rsidRDefault="00CE02D5" w:rsidP="00D1631B">
      <w:pPr>
        <w:jc w:val="both"/>
        <w:rPr>
          <w:b/>
          <w:sz w:val="24"/>
          <w:szCs w:val="24"/>
        </w:rPr>
      </w:pPr>
      <w:r>
        <w:rPr>
          <w:b/>
          <w:sz w:val="24"/>
          <w:szCs w:val="24"/>
        </w:rPr>
        <w:t>6</w:t>
      </w:r>
      <w:r w:rsidR="00FC6BB5" w:rsidRPr="00B46139">
        <w:rPr>
          <w:b/>
          <w:sz w:val="24"/>
          <w:szCs w:val="24"/>
        </w:rPr>
        <w:t>.</w:t>
      </w:r>
      <w:r>
        <w:rPr>
          <w:b/>
          <w:sz w:val="24"/>
          <w:szCs w:val="24"/>
        </w:rPr>
        <w:t>4</w:t>
      </w:r>
      <w:r w:rsidR="00FC6BB5" w:rsidRPr="00B46139">
        <w:rPr>
          <w:b/>
          <w:sz w:val="24"/>
          <w:szCs w:val="24"/>
        </w:rPr>
        <w:t>. Postavljanje ciljeva ulaganja i tipovi ulagača</w:t>
      </w:r>
    </w:p>
    <w:p w:rsidR="00BB7038" w:rsidRDefault="00430AAF" w:rsidP="00F9539D">
      <w:pPr>
        <w:autoSpaceDE w:val="0"/>
        <w:autoSpaceDN w:val="0"/>
        <w:adjustRightInd w:val="0"/>
        <w:jc w:val="both"/>
        <w:rPr>
          <w:sz w:val="24"/>
          <w:szCs w:val="24"/>
        </w:rPr>
      </w:pPr>
      <w:r>
        <w:rPr>
          <w:sz w:val="24"/>
          <w:szCs w:val="24"/>
        </w:rPr>
        <w:t xml:space="preserve">Alokacija sredstava u različite oblike imovine u funkciji investicija ovisi o nekoliko faktora. Na prvom mjestu to su </w:t>
      </w:r>
      <w:r w:rsidRPr="00592479">
        <w:rPr>
          <w:color w:val="C00000"/>
          <w:sz w:val="24"/>
          <w:szCs w:val="24"/>
        </w:rPr>
        <w:t xml:space="preserve">vremenski horizont ulaganja </w:t>
      </w:r>
      <w:r>
        <w:rPr>
          <w:sz w:val="24"/>
          <w:szCs w:val="24"/>
        </w:rPr>
        <w:t xml:space="preserve">te </w:t>
      </w:r>
      <w:r w:rsidRPr="00592479">
        <w:rPr>
          <w:color w:val="C00000"/>
          <w:sz w:val="24"/>
          <w:szCs w:val="24"/>
        </w:rPr>
        <w:t xml:space="preserve">sklonost riziku </w:t>
      </w:r>
      <w:r>
        <w:rPr>
          <w:sz w:val="24"/>
          <w:szCs w:val="24"/>
        </w:rPr>
        <w:t xml:space="preserve">(stupanj tolerancije prema riziku). Na primjer u kratkom roku moguća je izraženija volatilnost na tržištu kapitala, čiji se nepovoljni učinci mogu dijelom umanjiti ulaganjem na dugi rok, dok je dugoročni horizont ulaganja uglavnom </w:t>
      </w:r>
      <w:r w:rsidR="00592479">
        <w:rPr>
          <w:sz w:val="24"/>
          <w:szCs w:val="24"/>
        </w:rPr>
        <w:t xml:space="preserve">češći </w:t>
      </w:r>
      <w:r>
        <w:rPr>
          <w:sz w:val="24"/>
          <w:szCs w:val="24"/>
        </w:rPr>
        <w:t xml:space="preserve">kod osoba koje su sklonije ulagati u više rizičnu imovinu. </w:t>
      </w:r>
    </w:p>
    <w:p w:rsidR="00BB7038" w:rsidRDefault="00592479" w:rsidP="00F9539D">
      <w:pPr>
        <w:autoSpaceDE w:val="0"/>
        <w:autoSpaceDN w:val="0"/>
        <w:adjustRightInd w:val="0"/>
        <w:jc w:val="both"/>
        <w:rPr>
          <w:sz w:val="24"/>
          <w:szCs w:val="24"/>
        </w:rPr>
      </w:pPr>
      <w:r>
        <w:rPr>
          <w:sz w:val="24"/>
          <w:szCs w:val="24"/>
        </w:rPr>
        <w:t xml:space="preserve">Treći faktor koji utječe na alokaciju sredstava u investicijske oblike imovine su </w:t>
      </w:r>
      <w:r w:rsidRPr="00592479">
        <w:rPr>
          <w:color w:val="C00000"/>
          <w:sz w:val="24"/>
          <w:szCs w:val="24"/>
        </w:rPr>
        <w:t>preferencije učestalosti isplate prihoda od ulaganja</w:t>
      </w:r>
      <w:r>
        <w:rPr>
          <w:sz w:val="24"/>
          <w:szCs w:val="24"/>
        </w:rPr>
        <w:t>. Na primjer kod kuponskih obveznica postoje periodičke isplate kamata pa će takav oblik ulaganja izabrati osobe koje preferiraju ili su ovisne o redovitosti ostvarivanja prihoda</w:t>
      </w:r>
      <w:r w:rsidR="00106768">
        <w:rPr>
          <w:sz w:val="24"/>
          <w:szCs w:val="24"/>
        </w:rPr>
        <w:t xml:space="preserve"> koje imovina u funkciji kapitala/ investicije donosi</w:t>
      </w:r>
      <w:r>
        <w:rPr>
          <w:sz w:val="24"/>
          <w:szCs w:val="24"/>
        </w:rPr>
        <w:t xml:space="preserve">. Kod dionica ne postoj obveza isplate dividenda, što znači da njihov vlasnik ne može računati na redovitost prihoda od takvog ulaganja pa će takav oblik ulaganja na dugi rok izabrati ulagači kojima nisu važni tekući prihodi nego prilike na tržištu kapitala koje bi mogle povećati tržišnu vrijednost portfelja dionica. </w:t>
      </w:r>
    </w:p>
    <w:p w:rsidR="00885CD6" w:rsidRDefault="00592479" w:rsidP="00EB2EA2">
      <w:pPr>
        <w:autoSpaceDE w:val="0"/>
        <w:autoSpaceDN w:val="0"/>
        <w:adjustRightInd w:val="0"/>
        <w:spacing w:after="0"/>
        <w:jc w:val="both"/>
        <w:rPr>
          <w:sz w:val="24"/>
          <w:szCs w:val="24"/>
        </w:rPr>
      </w:pPr>
      <w:r>
        <w:rPr>
          <w:sz w:val="24"/>
          <w:szCs w:val="24"/>
        </w:rPr>
        <w:t xml:space="preserve">Naposljetku pri odabiru investicija važna je i </w:t>
      </w:r>
      <w:r w:rsidRPr="00106768">
        <w:rPr>
          <w:color w:val="C00000"/>
          <w:sz w:val="24"/>
          <w:szCs w:val="24"/>
        </w:rPr>
        <w:t xml:space="preserve">životna dob </w:t>
      </w:r>
      <w:r w:rsidR="00106768">
        <w:rPr>
          <w:color w:val="C00000"/>
          <w:sz w:val="24"/>
          <w:szCs w:val="24"/>
        </w:rPr>
        <w:t>investitora</w:t>
      </w:r>
      <w:r w:rsidR="00106768">
        <w:rPr>
          <w:sz w:val="24"/>
          <w:szCs w:val="24"/>
        </w:rPr>
        <w:t xml:space="preserve">. </w:t>
      </w:r>
      <w:r w:rsidR="00043C72">
        <w:rPr>
          <w:sz w:val="24"/>
          <w:szCs w:val="24"/>
        </w:rPr>
        <w:t xml:space="preserve">Averzija </w:t>
      </w:r>
      <w:r w:rsidR="00043C72" w:rsidRPr="00106768">
        <w:rPr>
          <w:sz w:val="24"/>
          <w:szCs w:val="24"/>
        </w:rPr>
        <w:t xml:space="preserve">investitora prema riziku </w:t>
      </w:r>
      <w:r w:rsidR="00043C72">
        <w:rPr>
          <w:sz w:val="24"/>
          <w:szCs w:val="24"/>
        </w:rPr>
        <w:t xml:space="preserve">tipično se povećava s godinama starosti zbog čega se portfelj imovine bitno razlikuje kod mlađih osoba u usporedbi sa starijim osobama. </w:t>
      </w:r>
      <w:r w:rsidR="00106768">
        <w:rPr>
          <w:sz w:val="24"/>
          <w:szCs w:val="24"/>
        </w:rPr>
        <w:t>Starije osobe imaju pred sobom kraći mogući horizont ulaganja što smanjuje prilike za nadoknadu gubitka koji se potencijalno mogu javiti u kratkom i srednjem roku, stoga je za njih primjereniji konzervativniji pristup ulaganju</w:t>
      </w:r>
      <w:r w:rsidR="00043C72">
        <w:rPr>
          <w:sz w:val="24"/>
          <w:szCs w:val="24"/>
        </w:rPr>
        <w:t>, ali isto tako vodeći računa o povratu koje njihove investicije donose.</w:t>
      </w:r>
      <w:r w:rsidR="00106768">
        <w:rPr>
          <w:sz w:val="24"/>
          <w:szCs w:val="24"/>
        </w:rPr>
        <w:t xml:space="preserve"> </w:t>
      </w:r>
      <w:r w:rsidR="00213206">
        <w:rPr>
          <w:sz w:val="24"/>
          <w:szCs w:val="24"/>
        </w:rPr>
        <w:t xml:space="preserve">Gledano iz perspektive zbivanja </w:t>
      </w:r>
      <w:r w:rsidR="00213206" w:rsidRPr="004D786F">
        <w:rPr>
          <w:color w:val="C00000"/>
          <w:sz w:val="24"/>
          <w:szCs w:val="24"/>
        </w:rPr>
        <w:t xml:space="preserve">na financijskom tržištu </w:t>
      </w:r>
      <w:r w:rsidR="00BB7038" w:rsidRPr="004D786F">
        <w:rPr>
          <w:color w:val="C00000"/>
          <w:sz w:val="24"/>
          <w:szCs w:val="24"/>
        </w:rPr>
        <w:t>SAD-</w:t>
      </w:r>
      <w:r w:rsidR="00213206" w:rsidRPr="004D786F">
        <w:rPr>
          <w:color w:val="C00000"/>
          <w:sz w:val="24"/>
          <w:szCs w:val="24"/>
        </w:rPr>
        <w:t>a</w:t>
      </w:r>
      <w:r w:rsidR="00213206">
        <w:rPr>
          <w:sz w:val="24"/>
          <w:szCs w:val="24"/>
        </w:rPr>
        <w:t xml:space="preserve"> </w:t>
      </w:r>
      <w:r w:rsidR="00213206" w:rsidRPr="00833209">
        <w:rPr>
          <w:color w:val="C00000"/>
          <w:sz w:val="24"/>
          <w:szCs w:val="24"/>
        </w:rPr>
        <w:t>početkom ovog tisućljeća</w:t>
      </w:r>
      <w:r w:rsidR="00833209">
        <w:rPr>
          <w:color w:val="C00000"/>
          <w:sz w:val="24"/>
          <w:szCs w:val="24"/>
        </w:rPr>
        <w:t xml:space="preserve"> (konkretno 2003.)</w:t>
      </w:r>
      <w:r w:rsidR="00BB7038" w:rsidRPr="00833209">
        <w:rPr>
          <w:color w:val="C00000"/>
          <w:sz w:val="24"/>
          <w:szCs w:val="24"/>
        </w:rPr>
        <w:t xml:space="preserve">, </w:t>
      </w:r>
      <w:r w:rsidR="00213206" w:rsidRPr="00833209">
        <w:rPr>
          <w:color w:val="C00000"/>
          <w:sz w:val="24"/>
          <w:szCs w:val="24"/>
        </w:rPr>
        <w:t xml:space="preserve">preporučena </w:t>
      </w:r>
      <w:r w:rsidR="00BB7038" w:rsidRPr="00833209">
        <w:rPr>
          <w:color w:val="C00000"/>
          <w:sz w:val="24"/>
          <w:szCs w:val="24"/>
        </w:rPr>
        <w:t>struktura imovine s o</w:t>
      </w:r>
      <w:r w:rsidR="00F2470C" w:rsidRPr="00833209">
        <w:rPr>
          <w:color w:val="C00000"/>
          <w:sz w:val="24"/>
          <w:szCs w:val="24"/>
        </w:rPr>
        <w:t xml:space="preserve">bzirom na životnu dob </w:t>
      </w:r>
      <w:r w:rsidR="004D786F">
        <w:rPr>
          <w:color w:val="C00000"/>
          <w:sz w:val="24"/>
          <w:szCs w:val="24"/>
        </w:rPr>
        <w:t xml:space="preserve">investitora </w:t>
      </w:r>
      <w:r w:rsidR="00F2470C" w:rsidRPr="00833209">
        <w:rPr>
          <w:color w:val="C00000"/>
          <w:sz w:val="24"/>
          <w:szCs w:val="24"/>
        </w:rPr>
        <w:t xml:space="preserve">u SAD-u </w:t>
      </w:r>
      <w:r w:rsidR="00213206">
        <w:rPr>
          <w:sz w:val="24"/>
          <w:szCs w:val="24"/>
        </w:rPr>
        <w:t xml:space="preserve">imala je </w:t>
      </w:r>
      <w:r w:rsidR="00BB7038">
        <w:rPr>
          <w:sz w:val="24"/>
          <w:szCs w:val="24"/>
        </w:rPr>
        <w:t>slijedeća obilježja:</w:t>
      </w:r>
    </w:p>
    <w:p w:rsidR="00885CD6" w:rsidRPr="00BB7038" w:rsidRDefault="00885CD6" w:rsidP="00C86D78">
      <w:pPr>
        <w:pStyle w:val="Odlomakpopisa"/>
        <w:numPr>
          <w:ilvl w:val="0"/>
          <w:numId w:val="82"/>
        </w:numPr>
        <w:autoSpaceDE w:val="0"/>
        <w:autoSpaceDN w:val="0"/>
        <w:adjustRightInd w:val="0"/>
        <w:jc w:val="both"/>
        <w:rPr>
          <w:sz w:val="24"/>
          <w:szCs w:val="24"/>
        </w:rPr>
      </w:pPr>
      <w:r w:rsidRPr="00BB7038">
        <w:rPr>
          <w:sz w:val="24"/>
          <w:szCs w:val="24"/>
        </w:rPr>
        <w:t xml:space="preserve">U slučaju osoba </w:t>
      </w:r>
      <w:r w:rsidRPr="00BB7038">
        <w:rPr>
          <w:color w:val="C00000"/>
          <w:sz w:val="24"/>
          <w:szCs w:val="24"/>
        </w:rPr>
        <w:t xml:space="preserve">u kasnim dvadesetim godinama života </w:t>
      </w:r>
      <w:r w:rsidRPr="00BB7038">
        <w:rPr>
          <w:sz w:val="24"/>
          <w:szCs w:val="24"/>
        </w:rPr>
        <w:t xml:space="preserve">najveći dio </w:t>
      </w:r>
      <w:r w:rsidR="00FE0B9C">
        <w:rPr>
          <w:sz w:val="24"/>
          <w:szCs w:val="24"/>
        </w:rPr>
        <w:t xml:space="preserve">portfelja financijske </w:t>
      </w:r>
      <w:r w:rsidRPr="00BB7038">
        <w:rPr>
          <w:sz w:val="24"/>
          <w:szCs w:val="24"/>
        </w:rPr>
        <w:t xml:space="preserve">imovine </w:t>
      </w:r>
      <w:r w:rsidR="004D786F">
        <w:rPr>
          <w:sz w:val="24"/>
          <w:szCs w:val="24"/>
        </w:rPr>
        <w:t xml:space="preserve">u funkciji investicija </w:t>
      </w:r>
      <w:r w:rsidR="00213206">
        <w:rPr>
          <w:sz w:val="24"/>
          <w:szCs w:val="24"/>
        </w:rPr>
        <w:t>treb</w:t>
      </w:r>
      <w:r w:rsidR="00F2470C">
        <w:rPr>
          <w:sz w:val="24"/>
          <w:szCs w:val="24"/>
        </w:rPr>
        <w:t>a</w:t>
      </w:r>
      <w:r w:rsidR="00213206">
        <w:rPr>
          <w:sz w:val="24"/>
          <w:szCs w:val="24"/>
        </w:rPr>
        <w:t xml:space="preserve">o je biti </w:t>
      </w:r>
      <w:r w:rsidRPr="00BB7038">
        <w:rPr>
          <w:sz w:val="24"/>
          <w:szCs w:val="24"/>
        </w:rPr>
        <w:t xml:space="preserve">alociran u dionice </w:t>
      </w:r>
      <w:r w:rsidR="00FE0B9C">
        <w:rPr>
          <w:sz w:val="24"/>
          <w:szCs w:val="24"/>
        </w:rPr>
        <w:t xml:space="preserve">65% </w:t>
      </w:r>
      <w:r w:rsidRPr="00BB7038">
        <w:rPr>
          <w:sz w:val="24"/>
          <w:szCs w:val="24"/>
        </w:rPr>
        <w:t xml:space="preserve">(prema Malkielu </w:t>
      </w:r>
      <w:r w:rsidR="00213206">
        <w:rPr>
          <w:sz w:val="24"/>
          <w:szCs w:val="24"/>
        </w:rPr>
        <w:t>2003.</w:t>
      </w:r>
      <w:r w:rsidR="00A02496">
        <w:rPr>
          <w:rStyle w:val="Referencafusnote"/>
          <w:sz w:val="24"/>
          <w:szCs w:val="24"/>
        </w:rPr>
        <w:footnoteReference w:id="97"/>
      </w:r>
      <w:r w:rsidRPr="00BB7038">
        <w:rPr>
          <w:sz w:val="24"/>
          <w:szCs w:val="24"/>
        </w:rPr>
        <w:t>), manji dio u obveznice 20%, još manji dio u</w:t>
      </w:r>
      <w:r w:rsidR="00FE0B9C">
        <w:rPr>
          <w:sz w:val="24"/>
          <w:szCs w:val="24"/>
        </w:rPr>
        <w:t xml:space="preserve"> ulaganja vezana uz</w:t>
      </w:r>
      <w:r w:rsidRPr="00BB7038">
        <w:rPr>
          <w:sz w:val="24"/>
          <w:szCs w:val="24"/>
        </w:rPr>
        <w:t xml:space="preserve"> nekretnine 10% te najmanji dio u novčane oblike imovine svega 5%. </w:t>
      </w:r>
    </w:p>
    <w:p w:rsidR="00885CD6" w:rsidRPr="00BB7038" w:rsidRDefault="00213206" w:rsidP="00C86D78">
      <w:pPr>
        <w:pStyle w:val="Odlomakpopisa"/>
        <w:numPr>
          <w:ilvl w:val="0"/>
          <w:numId w:val="82"/>
        </w:numPr>
        <w:autoSpaceDE w:val="0"/>
        <w:autoSpaceDN w:val="0"/>
        <w:adjustRightInd w:val="0"/>
        <w:jc w:val="both"/>
        <w:rPr>
          <w:sz w:val="24"/>
          <w:szCs w:val="24"/>
        </w:rPr>
      </w:pPr>
      <w:r>
        <w:rPr>
          <w:sz w:val="24"/>
          <w:szCs w:val="24"/>
        </w:rPr>
        <w:t>Za o</w:t>
      </w:r>
      <w:r w:rsidR="00885CD6" w:rsidRPr="00BB7038">
        <w:rPr>
          <w:sz w:val="24"/>
          <w:szCs w:val="24"/>
        </w:rPr>
        <w:t xml:space="preserve">sobe u </w:t>
      </w:r>
      <w:r w:rsidR="00885CD6" w:rsidRPr="00BB7038">
        <w:rPr>
          <w:color w:val="C00000"/>
          <w:sz w:val="24"/>
          <w:szCs w:val="24"/>
        </w:rPr>
        <w:t xml:space="preserve">kasnim tridesetim i ranim četrdesetim godinama </w:t>
      </w:r>
      <w:r w:rsidR="00FE0B9C">
        <w:rPr>
          <w:sz w:val="24"/>
          <w:szCs w:val="24"/>
        </w:rPr>
        <w:t>bilo je preporučljivo</w:t>
      </w:r>
      <w:r>
        <w:rPr>
          <w:sz w:val="24"/>
          <w:szCs w:val="24"/>
        </w:rPr>
        <w:t xml:space="preserve"> i</w:t>
      </w:r>
      <w:r w:rsidR="00885CD6" w:rsidRPr="00BB7038">
        <w:rPr>
          <w:sz w:val="24"/>
          <w:szCs w:val="24"/>
        </w:rPr>
        <w:t xml:space="preserve"> </w:t>
      </w:r>
      <w:r>
        <w:rPr>
          <w:sz w:val="24"/>
          <w:szCs w:val="24"/>
        </w:rPr>
        <w:t xml:space="preserve">dalje </w:t>
      </w:r>
      <w:r w:rsidR="00885CD6" w:rsidRPr="00BB7038">
        <w:rPr>
          <w:sz w:val="24"/>
          <w:szCs w:val="24"/>
        </w:rPr>
        <w:t xml:space="preserve">držati značajan dio imovine u dionicama ali ipak nešto manje nego </w:t>
      </w:r>
      <w:r>
        <w:rPr>
          <w:sz w:val="24"/>
          <w:szCs w:val="24"/>
        </w:rPr>
        <w:t xml:space="preserve">za </w:t>
      </w:r>
      <w:r w:rsidR="00885CD6" w:rsidRPr="00BB7038">
        <w:rPr>
          <w:sz w:val="24"/>
          <w:szCs w:val="24"/>
        </w:rPr>
        <w:t xml:space="preserve">osobe u kasnim dvadesetima </w:t>
      </w:r>
      <w:r w:rsidR="00FE0B9C">
        <w:rPr>
          <w:sz w:val="24"/>
          <w:szCs w:val="24"/>
        </w:rPr>
        <w:t xml:space="preserve">– konkretno </w:t>
      </w:r>
      <w:r w:rsidR="00885CD6" w:rsidRPr="00BB7038">
        <w:rPr>
          <w:sz w:val="24"/>
          <w:szCs w:val="24"/>
        </w:rPr>
        <w:t xml:space="preserve">55% </w:t>
      </w:r>
      <w:r w:rsidR="00FE0B9C">
        <w:rPr>
          <w:sz w:val="24"/>
          <w:szCs w:val="24"/>
        </w:rPr>
        <w:t>(</w:t>
      </w:r>
      <w:r w:rsidR="00885CD6" w:rsidRPr="00BB7038">
        <w:rPr>
          <w:sz w:val="24"/>
          <w:szCs w:val="24"/>
        </w:rPr>
        <w:t>prema Malkielu</w:t>
      </w:r>
      <w:r>
        <w:rPr>
          <w:sz w:val="24"/>
          <w:szCs w:val="24"/>
        </w:rPr>
        <w:t xml:space="preserve"> 2003.</w:t>
      </w:r>
      <w:r w:rsidR="00885CD6" w:rsidRPr="00BB7038">
        <w:rPr>
          <w:sz w:val="24"/>
          <w:szCs w:val="24"/>
        </w:rPr>
        <w:t xml:space="preserve">) te </w:t>
      </w:r>
      <w:r>
        <w:rPr>
          <w:sz w:val="24"/>
          <w:szCs w:val="24"/>
        </w:rPr>
        <w:t>je</w:t>
      </w:r>
      <w:r w:rsidR="00885CD6" w:rsidRPr="00BB7038">
        <w:rPr>
          <w:sz w:val="24"/>
          <w:szCs w:val="24"/>
        </w:rPr>
        <w:t xml:space="preserve"> trebal</w:t>
      </w:r>
      <w:r>
        <w:rPr>
          <w:sz w:val="24"/>
          <w:szCs w:val="24"/>
        </w:rPr>
        <w:t>o</w:t>
      </w:r>
      <w:r w:rsidR="00885CD6" w:rsidRPr="00BB7038">
        <w:rPr>
          <w:sz w:val="24"/>
          <w:szCs w:val="24"/>
        </w:rPr>
        <w:t xml:space="preserve"> blago</w:t>
      </w:r>
      <w:r w:rsidR="00FE0B9C">
        <w:rPr>
          <w:sz w:val="24"/>
          <w:szCs w:val="24"/>
        </w:rPr>
        <w:t xml:space="preserve"> povećati ulaganja u obveznice </w:t>
      </w:r>
      <w:r w:rsidR="00885CD6" w:rsidRPr="00BB7038">
        <w:rPr>
          <w:sz w:val="24"/>
          <w:szCs w:val="24"/>
        </w:rPr>
        <w:t>na 30%</w:t>
      </w:r>
      <w:r w:rsidR="00FE0B9C">
        <w:rPr>
          <w:sz w:val="24"/>
          <w:szCs w:val="24"/>
        </w:rPr>
        <w:t>, uz zadržavanje 10% portfelja imovine vezanog uz ulaganja u nekretnine te svega 5% ulaganja u  novčane oblike imovine</w:t>
      </w:r>
      <w:r w:rsidR="00885CD6" w:rsidRPr="00BB7038">
        <w:rPr>
          <w:sz w:val="24"/>
          <w:szCs w:val="24"/>
        </w:rPr>
        <w:t xml:space="preserve">. </w:t>
      </w:r>
    </w:p>
    <w:p w:rsidR="00885CD6" w:rsidRDefault="00885CD6" w:rsidP="00C86D78">
      <w:pPr>
        <w:pStyle w:val="Odlomakpopisa"/>
        <w:numPr>
          <w:ilvl w:val="0"/>
          <w:numId w:val="82"/>
        </w:numPr>
        <w:autoSpaceDE w:val="0"/>
        <w:autoSpaceDN w:val="0"/>
        <w:adjustRightInd w:val="0"/>
        <w:jc w:val="both"/>
        <w:rPr>
          <w:sz w:val="24"/>
          <w:szCs w:val="24"/>
        </w:rPr>
      </w:pPr>
      <w:r w:rsidRPr="00BB7038">
        <w:rPr>
          <w:sz w:val="24"/>
          <w:szCs w:val="24"/>
        </w:rPr>
        <w:lastRenderedPageBreak/>
        <w:t>Udio ulaganja u dionice treba</w:t>
      </w:r>
      <w:r w:rsidR="00213206">
        <w:rPr>
          <w:sz w:val="24"/>
          <w:szCs w:val="24"/>
        </w:rPr>
        <w:t>lo j</w:t>
      </w:r>
      <w:r w:rsidRPr="00BB7038">
        <w:rPr>
          <w:sz w:val="24"/>
          <w:szCs w:val="24"/>
        </w:rPr>
        <w:t xml:space="preserve">e smanjiti </w:t>
      </w:r>
      <w:r w:rsidRPr="00BB7038">
        <w:rPr>
          <w:color w:val="C00000"/>
          <w:sz w:val="24"/>
          <w:szCs w:val="24"/>
        </w:rPr>
        <w:t xml:space="preserve">u pedesetim godinama </w:t>
      </w:r>
      <w:r w:rsidRPr="00BB7038">
        <w:rPr>
          <w:sz w:val="24"/>
          <w:szCs w:val="24"/>
        </w:rPr>
        <w:t>na 45%</w:t>
      </w:r>
      <w:r w:rsidR="00FE0B9C">
        <w:rPr>
          <w:sz w:val="24"/>
          <w:szCs w:val="24"/>
        </w:rPr>
        <w:t xml:space="preserve"> (</w:t>
      </w:r>
      <w:r w:rsidR="00FE0B9C" w:rsidRPr="00BB7038">
        <w:rPr>
          <w:sz w:val="24"/>
          <w:szCs w:val="24"/>
        </w:rPr>
        <w:t>prema Malkielu</w:t>
      </w:r>
      <w:r w:rsidR="00FE0B9C">
        <w:rPr>
          <w:sz w:val="24"/>
          <w:szCs w:val="24"/>
        </w:rPr>
        <w:t xml:space="preserve"> 2003.</w:t>
      </w:r>
      <w:r w:rsidR="00FE0B9C" w:rsidRPr="00BB7038">
        <w:rPr>
          <w:sz w:val="24"/>
          <w:szCs w:val="24"/>
        </w:rPr>
        <w:t>),</w:t>
      </w:r>
      <w:r w:rsidRPr="00BB7038">
        <w:rPr>
          <w:sz w:val="24"/>
          <w:szCs w:val="24"/>
        </w:rPr>
        <w:t xml:space="preserve"> a udio ulaganja u obveznice povećati na 37,5%, dok </w:t>
      </w:r>
      <w:r w:rsidR="00213206">
        <w:rPr>
          <w:sz w:val="24"/>
          <w:szCs w:val="24"/>
        </w:rPr>
        <w:t>su</w:t>
      </w:r>
      <w:r w:rsidRPr="00BB7038">
        <w:rPr>
          <w:sz w:val="24"/>
          <w:szCs w:val="24"/>
        </w:rPr>
        <w:t xml:space="preserve"> ulaganja u nekretnine trebala imati nešto malo veći udio 12,5%, uz zadržavanje 5%</w:t>
      </w:r>
      <w:r w:rsidR="00FE0B9C">
        <w:rPr>
          <w:sz w:val="24"/>
          <w:szCs w:val="24"/>
        </w:rPr>
        <w:t xml:space="preserve"> portfelja u novčanim oblicima imovine</w:t>
      </w:r>
      <w:r w:rsidRPr="00BB7038">
        <w:rPr>
          <w:sz w:val="24"/>
          <w:szCs w:val="24"/>
        </w:rPr>
        <w:t xml:space="preserve">. </w:t>
      </w:r>
    </w:p>
    <w:p w:rsidR="00BB7038" w:rsidRPr="00BB7038" w:rsidRDefault="00BB7038" w:rsidP="00C86D78">
      <w:pPr>
        <w:pStyle w:val="Odlomakpopisa"/>
        <w:numPr>
          <w:ilvl w:val="0"/>
          <w:numId w:val="82"/>
        </w:numPr>
        <w:autoSpaceDE w:val="0"/>
        <w:autoSpaceDN w:val="0"/>
        <w:adjustRightInd w:val="0"/>
        <w:jc w:val="both"/>
        <w:rPr>
          <w:sz w:val="24"/>
          <w:szCs w:val="24"/>
        </w:rPr>
      </w:pPr>
      <w:r w:rsidRPr="00BB7038">
        <w:rPr>
          <w:sz w:val="24"/>
          <w:szCs w:val="24"/>
        </w:rPr>
        <w:t xml:space="preserve">Za ulaganja  </w:t>
      </w:r>
      <w:r w:rsidRPr="00BB7038">
        <w:rPr>
          <w:color w:val="C00000"/>
          <w:sz w:val="24"/>
          <w:szCs w:val="24"/>
        </w:rPr>
        <w:t xml:space="preserve">kasnim šezdesetima </w:t>
      </w:r>
      <w:r w:rsidR="00213206" w:rsidRPr="00213206">
        <w:rPr>
          <w:sz w:val="24"/>
          <w:szCs w:val="24"/>
        </w:rPr>
        <w:t>preporučeno</w:t>
      </w:r>
      <w:r w:rsidR="00213206">
        <w:rPr>
          <w:color w:val="C00000"/>
          <w:sz w:val="24"/>
          <w:szCs w:val="24"/>
        </w:rPr>
        <w:t xml:space="preserve"> </w:t>
      </w:r>
      <w:r w:rsidRPr="00BB7038">
        <w:rPr>
          <w:sz w:val="24"/>
          <w:szCs w:val="24"/>
        </w:rPr>
        <w:t xml:space="preserve">je da dominantan dio </w:t>
      </w:r>
      <w:r w:rsidR="00FE0B9C">
        <w:rPr>
          <w:sz w:val="24"/>
          <w:szCs w:val="24"/>
        </w:rPr>
        <w:t xml:space="preserve">portfelja financijske </w:t>
      </w:r>
      <w:r w:rsidRPr="00BB7038">
        <w:rPr>
          <w:sz w:val="24"/>
          <w:szCs w:val="24"/>
        </w:rPr>
        <w:t>imovine usmjere</w:t>
      </w:r>
      <w:r w:rsidR="00FE0B9C">
        <w:rPr>
          <w:sz w:val="24"/>
          <w:szCs w:val="24"/>
        </w:rPr>
        <w:t xml:space="preserve"> u obveznice </w:t>
      </w:r>
      <w:r w:rsidRPr="00BB7038">
        <w:rPr>
          <w:sz w:val="24"/>
          <w:szCs w:val="24"/>
        </w:rPr>
        <w:t xml:space="preserve">čak 50% </w:t>
      </w:r>
      <w:r w:rsidR="00FE0B9C">
        <w:rPr>
          <w:sz w:val="24"/>
          <w:szCs w:val="24"/>
        </w:rPr>
        <w:t>(</w:t>
      </w:r>
      <w:r w:rsidRPr="00BB7038">
        <w:rPr>
          <w:sz w:val="24"/>
          <w:szCs w:val="24"/>
        </w:rPr>
        <w:t>prema Malkielu</w:t>
      </w:r>
      <w:r w:rsidR="00213206">
        <w:rPr>
          <w:sz w:val="24"/>
          <w:szCs w:val="24"/>
        </w:rPr>
        <w:t xml:space="preserve"> 2003.</w:t>
      </w:r>
      <w:r w:rsidRPr="00BB7038">
        <w:rPr>
          <w:sz w:val="24"/>
          <w:szCs w:val="24"/>
        </w:rPr>
        <w:t xml:space="preserve">), uz niži udio ulaganja u dionice </w:t>
      </w:r>
      <w:r w:rsidR="00FE0B9C">
        <w:rPr>
          <w:sz w:val="24"/>
          <w:szCs w:val="24"/>
        </w:rPr>
        <w:t xml:space="preserve">– konkretno </w:t>
      </w:r>
      <w:r w:rsidRPr="00BB7038">
        <w:rPr>
          <w:sz w:val="24"/>
          <w:szCs w:val="24"/>
        </w:rPr>
        <w:t xml:space="preserve">25% te zadržavanje 15% imovine u </w:t>
      </w:r>
      <w:r w:rsidR="00FE0B9C">
        <w:rPr>
          <w:sz w:val="24"/>
          <w:szCs w:val="24"/>
        </w:rPr>
        <w:t xml:space="preserve">ulaganjima vezanim uz </w:t>
      </w:r>
      <w:r w:rsidRPr="00BB7038">
        <w:rPr>
          <w:sz w:val="24"/>
          <w:szCs w:val="24"/>
        </w:rPr>
        <w:t>nekretnin</w:t>
      </w:r>
      <w:r w:rsidR="00FE0B9C">
        <w:rPr>
          <w:sz w:val="24"/>
          <w:szCs w:val="24"/>
        </w:rPr>
        <w:t xml:space="preserve">e i 10% portfelja u novčanim oblicima imovine. </w:t>
      </w:r>
    </w:p>
    <w:p w:rsidR="00FE0B9C" w:rsidRPr="00FE0B9C" w:rsidRDefault="00043C72" w:rsidP="00F9539D">
      <w:pPr>
        <w:autoSpaceDE w:val="0"/>
        <w:autoSpaceDN w:val="0"/>
        <w:adjustRightInd w:val="0"/>
        <w:jc w:val="both"/>
        <w:rPr>
          <w:sz w:val="24"/>
          <w:szCs w:val="24"/>
        </w:rPr>
      </w:pPr>
      <w:r w:rsidRPr="00043C72">
        <w:rPr>
          <w:sz w:val="24"/>
          <w:szCs w:val="24"/>
        </w:rPr>
        <w:t xml:space="preserve">Iz navedenog je vidljiv </w:t>
      </w:r>
      <w:r w:rsidR="00F2470C" w:rsidRPr="0078572B">
        <w:rPr>
          <w:color w:val="C00000"/>
          <w:sz w:val="24"/>
          <w:szCs w:val="24"/>
        </w:rPr>
        <w:t xml:space="preserve">princip koji ukazuje da s </w:t>
      </w:r>
      <w:r w:rsidR="00F2470C" w:rsidRPr="00BA5245">
        <w:rPr>
          <w:color w:val="C00000"/>
          <w:sz w:val="24"/>
          <w:szCs w:val="24"/>
        </w:rPr>
        <w:t>rastom godina starosti ulagača</w:t>
      </w:r>
      <w:r w:rsidR="00A02496">
        <w:rPr>
          <w:color w:val="C00000"/>
          <w:sz w:val="24"/>
          <w:szCs w:val="24"/>
        </w:rPr>
        <w:t xml:space="preserve"> i približavanjem razdoblju umirovljenja </w:t>
      </w:r>
      <w:r w:rsidR="00F2470C" w:rsidRPr="00BA5245">
        <w:rPr>
          <w:color w:val="C00000"/>
          <w:sz w:val="24"/>
          <w:szCs w:val="24"/>
        </w:rPr>
        <w:t>konzervativno ulaganje sve više dolazi do izražaja</w:t>
      </w:r>
      <w:r w:rsidR="00FE0B9C">
        <w:rPr>
          <w:color w:val="C00000"/>
          <w:sz w:val="24"/>
          <w:szCs w:val="24"/>
        </w:rPr>
        <w:t xml:space="preserve"> </w:t>
      </w:r>
      <w:r w:rsidR="00E411F3" w:rsidRPr="00E411F3">
        <w:rPr>
          <w:sz w:val="24"/>
          <w:szCs w:val="24"/>
        </w:rPr>
        <w:t>-</w:t>
      </w:r>
      <w:r w:rsidR="00E411F3">
        <w:rPr>
          <w:color w:val="C00000"/>
          <w:sz w:val="24"/>
          <w:szCs w:val="24"/>
        </w:rPr>
        <w:t xml:space="preserve"> </w:t>
      </w:r>
      <w:r w:rsidR="00FE0B9C" w:rsidRPr="00FE0B9C">
        <w:rPr>
          <w:sz w:val="24"/>
          <w:szCs w:val="24"/>
        </w:rPr>
        <w:t xml:space="preserve">pa bi investitor trebao smanjiti ulaganja u više rizične oblike imovine kakvima se uobičajeno smatraju ulaganja u dionice te povećati ulaganja u manje i nisko rizične oblike </w:t>
      </w:r>
      <w:r w:rsidR="005065C5">
        <w:rPr>
          <w:sz w:val="24"/>
          <w:szCs w:val="24"/>
        </w:rPr>
        <w:t xml:space="preserve">kakvima se uobičajeno </w:t>
      </w:r>
      <w:r w:rsidR="000B5BDC">
        <w:rPr>
          <w:sz w:val="24"/>
          <w:szCs w:val="24"/>
        </w:rPr>
        <w:t xml:space="preserve">(prvenstveno teoretski) </w:t>
      </w:r>
      <w:r w:rsidR="005065C5">
        <w:rPr>
          <w:sz w:val="24"/>
          <w:szCs w:val="24"/>
        </w:rPr>
        <w:t xml:space="preserve">smatraju </w:t>
      </w:r>
      <w:r>
        <w:rPr>
          <w:sz w:val="24"/>
          <w:szCs w:val="24"/>
        </w:rPr>
        <w:t>državn</w:t>
      </w:r>
      <w:r w:rsidR="005065C5">
        <w:rPr>
          <w:sz w:val="24"/>
          <w:szCs w:val="24"/>
        </w:rPr>
        <w:t>e</w:t>
      </w:r>
      <w:r>
        <w:rPr>
          <w:sz w:val="24"/>
          <w:szCs w:val="24"/>
        </w:rPr>
        <w:t xml:space="preserve"> </w:t>
      </w:r>
      <w:r w:rsidR="00FE0B9C" w:rsidRPr="00FE0B9C">
        <w:rPr>
          <w:sz w:val="24"/>
          <w:szCs w:val="24"/>
        </w:rPr>
        <w:t>obveznic</w:t>
      </w:r>
      <w:r w:rsidR="005065C5">
        <w:rPr>
          <w:sz w:val="24"/>
          <w:szCs w:val="24"/>
        </w:rPr>
        <w:t>e</w:t>
      </w:r>
      <w:r w:rsidR="00FE0B9C" w:rsidRPr="00FE0B9C">
        <w:rPr>
          <w:sz w:val="24"/>
          <w:szCs w:val="24"/>
        </w:rPr>
        <w:t xml:space="preserve"> i drug</w:t>
      </w:r>
      <w:r w:rsidR="005065C5">
        <w:rPr>
          <w:sz w:val="24"/>
          <w:szCs w:val="24"/>
        </w:rPr>
        <w:t>e</w:t>
      </w:r>
      <w:r w:rsidR="00FE0B9C" w:rsidRPr="00FE0B9C">
        <w:rPr>
          <w:sz w:val="24"/>
          <w:szCs w:val="24"/>
        </w:rPr>
        <w:t xml:space="preserve"> kvalitetn</w:t>
      </w:r>
      <w:r w:rsidR="005065C5">
        <w:rPr>
          <w:sz w:val="24"/>
          <w:szCs w:val="24"/>
        </w:rPr>
        <w:t>e</w:t>
      </w:r>
      <w:r w:rsidR="00FE0B9C" w:rsidRPr="00FE0B9C">
        <w:rPr>
          <w:sz w:val="24"/>
          <w:szCs w:val="24"/>
        </w:rPr>
        <w:t xml:space="preserve"> obveznic</w:t>
      </w:r>
      <w:r w:rsidR="005065C5">
        <w:rPr>
          <w:sz w:val="24"/>
          <w:szCs w:val="24"/>
        </w:rPr>
        <w:t>e</w:t>
      </w:r>
      <w:r w:rsidR="00FE0B9C" w:rsidRPr="00FE0B9C">
        <w:rPr>
          <w:sz w:val="24"/>
          <w:szCs w:val="24"/>
        </w:rPr>
        <w:t xml:space="preserve"> </w:t>
      </w:r>
      <w:r>
        <w:rPr>
          <w:sz w:val="24"/>
          <w:szCs w:val="24"/>
        </w:rPr>
        <w:t xml:space="preserve">(obveznica bonitetnih i perspektivnih poduzeća) </w:t>
      </w:r>
      <w:r w:rsidR="005065C5">
        <w:rPr>
          <w:sz w:val="24"/>
          <w:szCs w:val="24"/>
        </w:rPr>
        <w:t>te novčani</w:t>
      </w:r>
      <w:r w:rsidR="00FE0B9C" w:rsidRPr="00FE0B9C">
        <w:rPr>
          <w:sz w:val="24"/>
          <w:szCs w:val="24"/>
        </w:rPr>
        <w:t xml:space="preserve"> obli</w:t>
      </w:r>
      <w:r w:rsidR="005065C5">
        <w:rPr>
          <w:sz w:val="24"/>
          <w:szCs w:val="24"/>
        </w:rPr>
        <w:t>ci</w:t>
      </w:r>
      <w:r w:rsidR="00FE0B9C" w:rsidRPr="00FE0B9C">
        <w:rPr>
          <w:sz w:val="24"/>
          <w:szCs w:val="24"/>
        </w:rPr>
        <w:t xml:space="preserve"> imovine</w:t>
      </w:r>
      <w:r>
        <w:rPr>
          <w:sz w:val="24"/>
          <w:szCs w:val="24"/>
        </w:rPr>
        <w:t xml:space="preserve"> (</w:t>
      </w:r>
      <w:r w:rsidR="00FE0B9C" w:rsidRPr="00FE0B9C">
        <w:rPr>
          <w:sz w:val="24"/>
          <w:szCs w:val="24"/>
        </w:rPr>
        <w:t>koji se s obzirom na praksu u SAD-u prvenstveno vežu uz ulaganja u novčane investicijske fondove</w:t>
      </w:r>
      <w:r w:rsidR="00143762">
        <w:rPr>
          <w:sz w:val="24"/>
          <w:szCs w:val="24"/>
        </w:rPr>
        <w:t xml:space="preserve">, </w:t>
      </w:r>
      <w:r w:rsidR="004E2478">
        <w:rPr>
          <w:sz w:val="24"/>
          <w:szCs w:val="24"/>
        </w:rPr>
        <w:t xml:space="preserve">kratkoročne dužničke vrijednosnice, </w:t>
      </w:r>
      <w:r w:rsidR="00143762">
        <w:rPr>
          <w:sz w:val="24"/>
          <w:szCs w:val="24"/>
        </w:rPr>
        <w:t>kao i certifikate o depozitu</w:t>
      </w:r>
      <w:r w:rsidR="004E2478">
        <w:rPr>
          <w:sz w:val="24"/>
          <w:szCs w:val="24"/>
        </w:rPr>
        <w:t>, odnosno ulaganja s prosječ</w:t>
      </w:r>
      <w:r w:rsidR="00E411F3">
        <w:rPr>
          <w:sz w:val="24"/>
          <w:szCs w:val="24"/>
        </w:rPr>
        <w:t>nim dospijećem 1 ili 1,5 godina)</w:t>
      </w:r>
      <w:r w:rsidR="00FE0B9C" w:rsidRPr="00FE0B9C">
        <w:rPr>
          <w:sz w:val="24"/>
          <w:szCs w:val="24"/>
        </w:rPr>
        <w:t xml:space="preserve">. </w:t>
      </w:r>
    </w:p>
    <w:p w:rsidR="00C42ACD" w:rsidRDefault="00F2470C" w:rsidP="00F9539D">
      <w:pPr>
        <w:autoSpaceDE w:val="0"/>
        <w:autoSpaceDN w:val="0"/>
        <w:adjustRightInd w:val="0"/>
        <w:jc w:val="both"/>
        <w:rPr>
          <w:sz w:val="24"/>
          <w:szCs w:val="24"/>
        </w:rPr>
      </w:pPr>
      <w:r w:rsidRPr="00043C72">
        <w:rPr>
          <w:color w:val="C00000"/>
          <w:sz w:val="24"/>
          <w:szCs w:val="24"/>
        </w:rPr>
        <w:t>Nasuprot preporukama za ulaganja početkom novog tisućljeća</w:t>
      </w:r>
      <w:r w:rsidRPr="00833209">
        <w:rPr>
          <w:sz w:val="24"/>
          <w:szCs w:val="24"/>
        </w:rPr>
        <w:t xml:space="preserve">, okolnosti na financijskim tržištima SAD-a </w:t>
      </w:r>
      <w:r w:rsidR="009E0266" w:rsidRPr="00833209">
        <w:rPr>
          <w:sz w:val="24"/>
          <w:szCs w:val="24"/>
        </w:rPr>
        <w:t xml:space="preserve">u kasnijem razdoblju </w:t>
      </w:r>
      <w:r w:rsidRPr="00833209">
        <w:rPr>
          <w:sz w:val="24"/>
          <w:szCs w:val="24"/>
        </w:rPr>
        <w:t xml:space="preserve">smanjila su </w:t>
      </w:r>
      <w:r w:rsidR="009E0266" w:rsidRPr="00833209">
        <w:rPr>
          <w:sz w:val="24"/>
          <w:szCs w:val="24"/>
        </w:rPr>
        <w:t xml:space="preserve">mogućnosti adekvatne zarade i </w:t>
      </w:r>
      <w:r w:rsidRPr="00833209">
        <w:rPr>
          <w:sz w:val="24"/>
          <w:szCs w:val="24"/>
        </w:rPr>
        <w:t xml:space="preserve">atraktivnost ulaganja u pojedine oblike imovine </w:t>
      </w:r>
      <w:r w:rsidR="009E0266" w:rsidRPr="00833209">
        <w:rPr>
          <w:sz w:val="24"/>
          <w:szCs w:val="24"/>
        </w:rPr>
        <w:t xml:space="preserve">poput obveznica </w:t>
      </w:r>
      <w:r w:rsidR="004714A6" w:rsidRPr="00833209">
        <w:rPr>
          <w:sz w:val="24"/>
          <w:szCs w:val="24"/>
        </w:rPr>
        <w:t xml:space="preserve">(poglavito zbog učinaka ekstremno ekspanzivne monetarne politike Fed-a) </w:t>
      </w:r>
      <w:r w:rsidR="009E0266" w:rsidRPr="00833209">
        <w:rPr>
          <w:sz w:val="24"/>
          <w:szCs w:val="24"/>
        </w:rPr>
        <w:t>te smanjil</w:t>
      </w:r>
      <w:r w:rsidR="00043C72">
        <w:rPr>
          <w:sz w:val="24"/>
          <w:szCs w:val="24"/>
        </w:rPr>
        <w:t>e</w:t>
      </w:r>
      <w:r w:rsidR="009E0266" w:rsidRPr="00833209">
        <w:rPr>
          <w:sz w:val="24"/>
          <w:szCs w:val="24"/>
        </w:rPr>
        <w:t xml:space="preserve"> rizičnost određenih ulaganja koja su se ranije smatrala više rizičnima poput dionica (koje su tada hvatale trend rasta bez vidljivih znakova rizika njihovog precjenjivanja). I</w:t>
      </w:r>
      <w:r w:rsidRPr="00833209">
        <w:rPr>
          <w:sz w:val="24"/>
          <w:szCs w:val="24"/>
        </w:rPr>
        <w:t xml:space="preserve">sti autor prethodnog teksta </w:t>
      </w:r>
      <w:r w:rsidRPr="00043C72">
        <w:rPr>
          <w:color w:val="C00000"/>
          <w:sz w:val="24"/>
          <w:szCs w:val="24"/>
        </w:rPr>
        <w:t xml:space="preserve">Burton G. Malkiel </w:t>
      </w:r>
      <w:r w:rsidR="009E0266" w:rsidRPr="00043C72">
        <w:rPr>
          <w:color w:val="C00000"/>
          <w:sz w:val="24"/>
          <w:szCs w:val="24"/>
        </w:rPr>
        <w:t xml:space="preserve">stoga je za </w:t>
      </w:r>
      <w:r w:rsidRPr="00043C72">
        <w:rPr>
          <w:color w:val="C00000"/>
          <w:sz w:val="24"/>
          <w:szCs w:val="24"/>
        </w:rPr>
        <w:t>201</w:t>
      </w:r>
      <w:r w:rsidR="00641D7B">
        <w:rPr>
          <w:color w:val="C00000"/>
          <w:sz w:val="24"/>
          <w:szCs w:val="24"/>
        </w:rPr>
        <w:t>3</w:t>
      </w:r>
      <w:r w:rsidRPr="00043C72">
        <w:rPr>
          <w:color w:val="C00000"/>
          <w:sz w:val="24"/>
          <w:szCs w:val="24"/>
        </w:rPr>
        <w:t xml:space="preserve">. preporučio </w:t>
      </w:r>
      <w:r w:rsidR="009E0266" w:rsidRPr="00043C72">
        <w:rPr>
          <w:color w:val="C00000"/>
          <w:sz w:val="24"/>
          <w:szCs w:val="24"/>
        </w:rPr>
        <w:t xml:space="preserve">djelomično različitu </w:t>
      </w:r>
      <w:r w:rsidRPr="00043C72">
        <w:rPr>
          <w:color w:val="C00000"/>
          <w:sz w:val="24"/>
          <w:szCs w:val="24"/>
        </w:rPr>
        <w:t>strukturu ulaganja</w:t>
      </w:r>
      <w:r w:rsidR="009E0266" w:rsidRPr="00043C72">
        <w:rPr>
          <w:color w:val="C00000"/>
          <w:sz w:val="24"/>
          <w:szCs w:val="24"/>
        </w:rPr>
        <w:t xml:space="preserve"> s obzirom na životnu dob</w:t>
      </w:r>
      <w:r w:rsidR="009E0266" w:rsidRPr="00833209">
        <w:rPr>
          <w:sz w:val="24"/>
          <w:szCs w:val="24"/>
        </w:rPr>
        <w:t xml:space="preserve">. </w:t>
      </w:r>
      <w:r w:rsidRPr="00833209">
        <w:rPr>
          <w:sz w:val="24"/>
          <w:szCs w:val="24"/>
        </w:rPr>
        <w:t xml:space="preserve">Na primjer za osobe u </w:t>
      </w:r>
      <w:r w:rsidR="00641D7B">
        <w:rPr>
          <w:sz w:val="24"/>
          <w:szCs w:val="24"/>
        </w:rPr>
        <w:t xml:space="preserve">pedesetim godinama života </w:t>
      </w:r>
      <w:r w:rsidRPr="00833209">
        <w:rPr>
          <w:sz w:val="24"/>
          <w:szCs w:val="24"/>
        </w:rPr>
        <w:t xml:space="preserve">preporučio je da 5% portfelja financijske imovine drže u </w:t>
      </w:r>
      <w:r w:rsidR="009E0266" w:rsidRPr="00833209">
        <w:rPr>
          <w:sz w:val="24"/>
          <w:szCs w:val="24"/>
        </w:rPr>
        <w:t>novčanim oblicima imovine</w:t>
      </w:r>
      <w:r w:rsidRPr="00833209">
        <w:rPr>
          <w:sz w:val="24"/>
          <w:szCs w:val="24"/>
        </w:rPr>
        <w:t xml:space="preserve"> (gdje se u SAD-u posebno zdvajaju ulaganja u novčane fondove</w:t>
      </w:r>
      <w:r w:rsidR="004714A6" w:rsidRPr="00833209">
        <w:rPr>
          <w:sz w:val="24"/>
          <w:szCs w:val="24"/>
        </w:rPr>
        <w:t xml:space="preserve"> te certifikate o depozitu</w:t>
      </w:r>
      <w:r w:rsidRPr="00833209">
        <w:rPr>
          <w:sz w:val="24"/>
          <w:szCs w:val="24"/>
        </w:rPr>
        <w:t xml:space="preserve">), držanje </w:t>
      </w:r>
      <w:r w:rsidR="00C42ACD" w:rsidRPr="00833209">
        <w:rPr>
          <w:sz w:val="24"/>
          <w:szCs w:val="24"/>
        </w:rPr>
        <w:t>2</w:t>
      </w:r>
      <w:r w:rsidR="00641D7B">
        <w:rPr>
          <w:sz w:val="24"/>
          <w:szCs w:val="24"/>
        </w:rPr>
        <w:t>7,5</w:t>
      </w:r>
      <w:r w:rsidR="00C42ACD" w:rsidRPr="00833209">
        <w:rPr>
          <w:sz w:val="24"/>
          <w:szCs w:val="24"/>
        </w:rPr>
        <w:t xml:space="preserve">% </w:t>
      </w:r>
      <w:r w:rsidRPr="00833209">
        <w:rPr>
          <w:sz w:val="24"/>
          <w:szCs w:val="24"/>
        </w:rPr>
        <w:t>portfelja u različitim obveznicama</w:t>
      </w:r>
      <w:r w:rsidR="00641D7B">
        <w:rPr>
          <w:sz w:val="24"/>
          <w:szCs w:val="24"/>
        </w:rPr>
        <w:t xml:space="preserve"> i sličnim instrumentima</w:t>
      </w:r>
      <w:r w:rsidRPr="00833209">
        <w:rPr>
          <w:sz w:val="24"/>
          <w:szCs w:val="24"/>
        </w:rPr>
        <w:t xml:space="preserve">, </w:t>
      </w:r>
      <w:r w:rsidR="00641D7B">
        <w:rPr>
          <w:sz w:val="24"/>
          <w:szCs w:val="24"/>
        </w:rPr>
        <w:t>5</w:t>
      </w:r>
      <w:r w:rsidRPr="00833209">
        <w:rPr>
          <w:sz w:val="24"/>
          <w:szCs w:val="24"/>
        </w:rPr>
        <w:t>5% u dionicama te 1</w:t>
      </w:r>
      <w:r w:rsidR="00641D7B">
        <w:rPr>
          <w:sz w:val="24"/>
          <w:szCs w:val="24"/>
        </w:rPr>
        <w:t>2,5</w:t>
      </w:r>
      <w:r w:rsidRPr="00833209">
        <w:rPr>
          <w:sz w:val="24"/>
          <w:szCs w:val="24"/>
        </w:rPr>
        <w:t xml:space="preserve">% u investicijama vezanim uz nekretnine (npr. nekretninskim investicijskim fondovima). </w:t>
      </w:r>
    </w:p>
    <w:p w:rsidR="003709A9" w:rsidRPr="00833209" w:rsidRDefault="003709A9" w:rsidP="00F9539D">
      <w:pPr>
        <w:autoSpaceDE w:val="0"/>
        <w:autoSpaceDN w:val="0"/>
        <w:adjustRightInd w:val="0"/>
        <w:jc w:val="both"/>
        <w:rPr>
          <w:sz w:val="24"/>
          <w:szCs w:val="24"/>
        </w:rPr>
      </w:pPr>
      <w:r w:rsidRPr="00833209">
        <w:rPr>
          <w:sz w:val="24"/>
          <w:szCs w:val="24"/>
        </w:rPr>
        <w:t xml:space="preserve">Međutim, </w:t>
      </w:r>
      <w:r w:rsidRPr="005065C5">
        <w:rPr>
          <w:color w:val="C00000"/>
          <w:sz w:val="24"/>
          <w:szCs w:val="24"/>
        </w:rPr>
        <w:t xml:space="preserve">niti ove preporuke nisu imale trajnu vrijednost </w:t>
      </w:r>
      <w:r w:rsidRPr="00833209">
        <w:rPr>
          <w:sz w:val="24"/>
          <w:szCs w:val="24"/>
        </w:rPr>
        <w:t>jer je protekom vremena već koncem 2014. povećan rizik ulaganja u dionice na tržištu SAD-a uz pokazatelje koji ukazuju na njihovu precijenjenost (kojoj je pogodovala prethodna snažna monetarna ekspanzija</w:t>
      </w:r>
      <w:r w:rsidR="000B5BDC">
        <w:rPr>
          <w:sz w:val="24"/>
          <w:szCs w:val="24"/>
        </w:rPr>
        <w:t xml:space="preserve"> Fed-a</w:t>
      </w:r>
      <w:r w:rsidRPr="00833209">
        <w:rPr>
          <w:sz w:val="24"/>
          <w:szCs w:val="24"/>
        </w:rPr>
        <w:t>) sugerirajući da će dugoročna stopa povrata na takva ulaganja biti niža nego u prošlosti</w:t>
      </w:r>
      <w:r w:rsidR="004714A6" w:rsidRPr="00833209">
        <w:rPr>
          <w:sz w:val="24"/>
          <w:szCs w:val="24"/>
        </w:rPr>
        <w:t xml:space="preserve"> (posebno u slučaju zaokreta monetarne politike </w:t>
      </w:r>
      <w:r w:rsidR="000B5BDC">
        <w:rPr>
          <w:sz w:val="24"/>
          <w:szCs w:val="24"/>
        </w:rPr>
        <w:t xml:space="preserve">Fed-a </w:t>
      </w:r>
      <w:r w:rsidR="003B65C0">
        <w:rPr>
          <w:sz w:val="24"/>
          <w:szCs w:val="24"/>
        </w:rPr>
        <w:t>prema r</w:t>
      </w:r>
      <w:r w:rsidR="004714A6" w:rsidRPr="00833209">
        <w:rPr>
          <w:sz w:val="24"/>
          <w:szCs w:val="24"/>
        </w:rPr>
        <w:t>estriktivno</w:t>
      </w:r>
      <w:r w:rsidR="003B65C0">
        <w:rPr>
          <w:sz w:val="24"/>
          <w:szCs w:val="24"/>
        </w:rPr>
        <w:t>m djelovanju</w:t>
      </w:r>
      <w:r w:rsidR="004714A6" w:rsidRPr="00833209">
        <w:rPr>
          <w:sz w:val="24"/>
          <w:szCs w:val="24"/>
        </w:rPr>
        <w:t>)</w:t>
      </w:r>
      <w:r w:rsidR="003B65C0">
        <w:rPr>
          <w:sz w:val="24"/>
          <w:szCs w:val="24"/>
        </w:rPr>
        <w:t xml:space="preserve">. Dodatno, </w:t>
      </w:r>
      <w:r w:rsidRPr="00833209">
        <w:rPr>
          <w:sz w:val="24"/>
          <w:szCs w:val="24"/>
        </w:rPr>
        <w:t xml:space="preserve">u smjeru </w:t>
      </w:r>
      <w:r w:rsidR="004714A6" w:rsidRPr="00833209">
        <w:rPr>
          <w:sz w:val="24"/>
          <w:szCs w:val="24"/>
        </w:rPr>
        <w:t xml:space="preserve">pokazatelja precijenjenosti </w:t>
      </w:r>
      <w:r w:rsidR="004E2478" w:rsidRPr="00833209">
        <w:rPr>
          <w:sz w:val="24"/>
          <w:szCs w:val="24"/>
        </w:rPr>
        <w:t xml:space="preserve">te budućeg nižeg povrata do ulaganja </w:t>
      </w:r>
      <w:r w:rsidRPr="00833209">
        <w:rPr>
          <w:sz w:val="24"/>
          <w:szCs w:val="24"/>
        </w:rPr>
        <w:t>kretala</w:t>
      </w:r>
      <w:r w:rsidR="000B5BDC">
        <w:rPr>
          <w:sz w:val="24"/>
          <w:szCs w:val="24"/>
        </w:rPr>
        <w:t xml:space="preserve"> su se</w:t>
      </w:r>
      <w:r w:rsidRPr="00833209">
        <w:rPr>
          <w:sz w:val="24"/>
          <w:szCs w:val="24"/>
        </w:rPr>
        <w:t xml:space="preserve"> i očekivanja vezana uz obveznice. </w:t>
      </w:r>
      <w:r w:rsidR="004714A6" w:rsidRPr="00833209">
        <w:rPr>
          <w:sz w:val="24"/>
          <w:szCs w:val="24"/>
        </w:rPr>
        <w:t xml:space="preserve">Investitorima je stoga preporučeno da barem 25% portfelja u dionicama preusmjere u inozemstvo a poglavito na tzv. tržišta u nastajanju (emerging markets) kao i da diverzificiraju ulaganja u obveznice </w:t>
      </w:r>
      <w:r w:rsidR="004E2478" w:rsidRPr="00833209">
        <w:rPr>
          <w:sz w:val="24"/>
          <w:szCs w:val="24"/>
        </w:rPr>
        <w:t>(konkr</w:t>
      </w:r>
      <w:r w:rsidR="00043C72">
        <w:rPr>
          <w:sz w:val="24"/>
          <w:szCs w:val="24"/>
        </w:rPr>
        <w:t>e</w:t>
      </w:r>
      <w:r w:rsidR="004E2478" w:rsidRPr="00833209">
        <w:rPr>
          <w:sz w:val="24"/>
          <w:szCs w:val="24"/>
        </w:rPr>
        <w:t>tno smanjenje udjel</w:t>
      </w:r>
      <w:r w:rsidR="003B65C0">
        <w:rPr>
          <w:sz w:val="24"/>
          <w:szCs w:val="24"/>
        </w:rPr>
        <w:t>e držanja</w:t>
      </w:r>
      <w:r w:rsidR="004E2478" w:rsidRPr="00833209">
        <w:rPr>
          <w:sz w:val="24"/>
          <w:szCs w:val="24"/>
        </w:rPr>
        <w:t xml:space="preserve"> državnih obveznica uz koje se vežu vrlo niske kamatne stope</w:t>
      </w:r>
      <w:r w:rsidR="00C31717">
        <w:rPr>
          <w:sz w:val="24"/>
          <w:szCs w:val="24"/>
        </w:rPr>
        <w:t xml:space="preserve"> te povećaju ulaganja u </w:t>
      </w:r>
      <w:r w:rsidR="00C31717">
        <w:rPr>
          <w:sz w:val="24"/>
          <w:szCs w:val="24"/>
        </w:rPr>
        <w:lastRenderedPageBreak/>
        <w:t>obveznice na stranim tržištima</w:t>
      </w:r>
      <w:r w:rsidR="004E2478" w:rsidRPr="00833209">
        <w:rPr>
          <w:sz w:val="24"/>
          <w:szCs w:val="24"/>
        </w:rPr>
        <w:t>)</w:t>
      </w:r>
      <w:r w:rsidR="003B65C0">
        <w:rPr>
          <w:sz w:val="24"/>
          <w:szCs w:val="24"/>
        </w:rPr>
        <w:t>,</w:t>
      </w:r>
      <w:r w:rsidR="004E2478" w:rsidRPr="00833209">
        <w:rPr>
          <w:sz w:val="24"/>
          <w:szCs w:val="24"/>
        </w:rPr>
        <w:t xml:space="preserve"> </w:t>
      </w:r>
      <w:r w:rsidR="004714A6" w:rsidRPr="00833209">
        <w:rPr>
          <w:sz w:val="24"/>
          <w:szCs w:val="24"/>
        </w:rPr>
        <w:t xml:space="preserve">uz zadržavanje </w:t>
      </w:r>
      <w:r w:rsidR="00641D7B">
        <w:rPr>
          <w:sz w:val="24"/>
          <w:szCs w:val="24"/>
        </w:rPr>
        <w:t xml:space="preserve">dijela imovine u </w:t>
      </w:r>
      <w:r w:rsidR="004714A6" w:rsidRPr="00833209">
        <w:rPr>
          <w:sz w:val="24"/>
          <w:szCs w:val="24"/>
        </w:rPr>
        <w:t>novc</w:t>
      </w:r>
      <w:r w:rsidR="00641D7B">
        <w:rPr>
          <w:sz w:val="24"/>
          <w:szCs w:val="24"/>
        </w:rPr>
        <w:t>u</w:t>
      </w:r>
      <w:r w:rsidR="004714A6" w:rsidRPr="00833209">
        <w:rPr>
          <w:sz w:val="24"/>
          <w:szCs w:val="24"/>
        </w:rPr>
        <w:t xml:space="preserve"> kako bi mogli iskoristiti buduće povoljne prilike za ulaganje.</w:t>
      </w:r>
      <w:r w:rsidR="004E2478" w:rsidRPr="00833209">
        <w:rPr>
          <w:sz w:val="24"/>
          <w:szCs w:val="24"/>
        </w:rPr>
        <w:t xml:space="preserve"> Preporuke za 2015. </w:t>
      </w:r>
      <w:r w:rsidR="004E2478" w:rsidRPr="000B5BDC">
        <w:rPr>
          <w:color w:val="C00000"/>
          <w:sz w:val="24"/>
          <w:szCs w:val="24"/>
        </w:rPr>
        <w:t xml:space="preserve">iz perspektive ulagača u SAD-u </w:t>
      </w:r>
      <w:r w:rsidR="004E2478" w:rsidRPr="00833209">
        <w:rPr>
          <w:sz w:val="24"/>
          <w:szCs w:val="24"/>
        </w:rPr>
        <w:t>stoga ističu da bi osobe u kasnim šezdesetim i starije trebale 10% portfelja financijske imovine zadržati u</w:t>
      </w:r>
      <w:r w:rsidR="00641D7B">
        <w:rPr>
          <w:sz w:val="24"/>
          <w:szCs w:val="24"/>
        </w:rPr>
        <w:t xml:space="preserve"> novčanoj imovini</w:t>
      </w:r>
      <w:r w:rsidR="004E2478" w:rsidRPr="00833209">
        <w:rPr>
          <w:sz w:val="24"/>
          <w:szCs w:val="24"/>
        </w:rPr>
        <w:t>, 35% uložiti u obveznice</w:t>
      </w:r>
      <w:r w:rsidR="00833209" w:rsidRPr="00833209">
        <w:rPr>
          <w:sz w:val="24"/>
          <w:szCs w:val="24"/>
        </w:rPr>
        <w:t xml:space="preserve"> (uključujući obveznice koje uključuju porezne beneficije, visokokvalitetne korporativne obveznice, državne dužničke instrumente koji nude zaštitu od inflacije i </w:t>
      </w:r>
      <w:r w:rsidR="00C31717">
        <w:rPr>
          <w:sz w:val="24"/>
          <w:szCs w:val="24"/>
        </w:rPr>
        <w:t xml:space="preserve">značajno </w:t>
      </w:r>
      <w:r w:rsidR="00833209" w:rsidRPr="00833209">
        <w:rPr>
          <w:sz w:val="24"/>
          <w:szCs w:val="24"/>
        </w:rPr>
        <w:t xml:space="preserve">obveznice na stranim tržištima), 40% uložiti u dionice (od čega polovicu u dionice na inozemnim tržištima, uključujući tržišta u nastajanju) te 15% portfelja vezati uz ulaganja u nekretnine.  </w:t>
      </w:r>
      <w:r w:rsidR="00C31717">
        <w:rPr>
          <w:sz w:val="24"/>
          <w:szCs w:val="24"/>
        </w:rPr>
        <w:t>S obzirom na postotke struktura je ista kao 2011. ali je bitna razlika u naglasku na što veću diverzifikaciju i veća ulaganja na inozemnim tržištima</w:t>
      </w:r>
      <w:r w:rsidR="00E411F3">
        <w:rPr>
          <w:sz w:val="24"/>
          <w:szCs w:val="24"/>
        </w:rPr>
        <w:t xml:space="preserve"> (izvan SAD, i posebno tržištima u nastajanju)</w:t>
      </w:r>
      <w:r w:rsidR="00C31717">
        <w:rPr>
          <w:sz w:val="24"/>
          <w:szCs w:val="24"/>
        </w:rPr>
        <w:t xml:space="preserve">. </w:t>
      </w:r>
      <w:r w:rsidR="00E411F3" w:rsidRPr="000B5BDC">
        <w:rPr>
          <w:color w:val="C00000"/>
          <w:sz w:val="24"/>
          <w:szCs w:val="24"/>
        </w:rPr>
        <w:t>Za 2016. će preporuke vjerojatno biti bitno različite a s obzirom na ekonomske i financijske „potrese“</w:t>
      </w:r>
      <w:r w:rsidR="00E411F3">
        <w:rPr>
          <w:sz w:val="24"/>
          <w:szCs w:val="24"/>
        </w:rPr>
        <w:t xml:space="preserve"> koji su u drugoj polovici 2015. zabilježeni u Kini uz snažan pad cijena dionica </w:t>
      </w:r>
      <w:r w:rsidR="000B5BDC">
        <w:rPr>
          <w:sz w:val="24"/>
          <w:szCs w:val="24"/>
        </w:rPr>
        <w:t>te</w:t>
      </w:r>
      <w:r w:rsidR="00E411F3">
        <w:rPr>
          <w:sz w:val="24"/>
          <w:szCs w:val="24"/>
        </w:rPr>
        <w:t xml:space="preserve"> istodobnu značajniju</w:t>
      </w:r>
      <w:r w:rsidR="00E411F3" w:rsidRPr="00E411F3">
        <w:rPr>
          <w:sz w:val="24"/>
          <w:szCs w:val="24"/>
        </w:rPr>
        <w:t xml:space="preserve">  devalvaciju yuana</w:t>
      </w:r>
      <w:r w:rsidR="000B5BDC">
        <w:rPr>
          <w:sz w:val="24"/>
          <w:szCs w:val="24"/>
        </w:rPr>
        <w:t>, kao i</w:t>
      </w:r>
      <w:r w:rsidR="00E411F3" w:rsidRPr="00E411F3">
        <w:rPr>
          <w:sz w:val="24"/>
          <w:szCs w:val="24"/>
        </w:rPr>
        <w:t xml:space="preserve"> bojazan od usporavanja rasta kineskog gospodarstva, a s efektima na volatilnost cijena dionica i u SAD-u i na europskim tržištima.</w:t>
      </w:r>
      <w:r w:rsidR="00E411F3">
        <w:rPr>
          <w:sz w:val="24"/>
          <w:szCs w:val="24"/>
        </w:rPr>
        <w:t xml:space="preserve"> </w:t>
      </w:r>
    </w:p>
    <w:p w:rsidR="00641D7B" w:rsidRDefault="00C31717" w:rsidP="00F9539D">
      <w:pPr>
        <w:autoSpaceDE w:val="0"/>
        <w:autoSpaceDN w:val="0"/>
        <w:adjustRightInd w:val="0"/>
        <w:jc w:val="both"/>
        <w:rPr>
          <w:sz w:val="24"/>
          <w:szCs w:val="24"/>
        </w:rPr>
      </w:pPr>
      <w:r>
        <w:rPr>
          <w:sz w:val="24"/>
          <w:szCs w:val="24"/>
        </w:rPr>
        <w:t xml:space="preserve">Iz navedenog je vidljivo da </w:t>
      </w:r>
      <w:r w:rsidRPr="00A02496">
        <w:rPr>
          <w:color w:val="C00000"/>
          <w:sz w:val="24"/>
          <w:szCs w:val="24"/>
        </w:rPr>
        <w:t xml:space="preserve">ne postoje </w:t>
      </w:r>
      <w:r w:rsidR="00A02496" w:rsidRPr="00A02496">
        <w:rPr>
          <w:color w:val="C00000"/>
          <w:sz w:val="24"/>
          <w:szCs w:val="24"/>
        </w:rPr>
        <w:t xml:space="preserve">adekvatna </w:t>
      </w:r>
      <w:r w:rsidRPr="00A02496">
        <w:rPr>
          <w:color w:val="C00000"/>
          <w:sz w:val="24"/>
          <w:szCs w:val="24"/>
        </w:rPr>
        <w:t xml:space="preserve">dugoročna pravila za ulaganje </w:t>
      </w:r>
      <w:r>
        <w:rPr>
          <w:sz w:val="24"/>
          <w:szCs w:val="24"/>
        </w:rPr>
        <w:t>jer se ona trebaju prilagođavati u skladu sa smjenama faza poslovnog i financijskog ciklusa, odnosno kretanjima niza varijabli koji utječu na atraktivnost ulaganja, uključujući kretanja kamatnih stopa, stope inflacije, poreznog obuhvata dohotka od ulaganja u pojedine oblike imovine (kapitala)</w:t>
      </w:r>
      <w:r w:rsidR="00A02496">
        <w:rPr>
          <w:sz w:val="24"/>
          <w:szCs w:val="24"/>
        </w:rPr>
        <w:t xml:space="preserve">, kretanje javnog duga itd., odnosno </w:t>
      </w:r>
      <w:r>
        <w:rPr>
          <w:sz w:val="24"/>
          <w:szCs w:val="24"/>
        </w:rPr>
        <w:t>kretanj</w:t>
      </w:r>
      <w:r w:rsidR="00A02496">
        <w:rPr>
          <w:sz w:val="24"/>
          <w:szCs w:val="24"/>
        </w:rPr>
        <w:t>a</w:t>
      </w:r>
      <w:r>
        <w:rPr>
          <w:sz w:val="24"/>
          <w:szCs w:val="24"/>
        </w:rPr>
        <w:t xml:space="preserve"> svih navedenih varijabla u zemlji u odnosu na inozemstvo. </w:t>
      </w:r>
      <w:r w:rsidR="00A02496">
        <w:rPr>
          <w:sz w:val="24"/>
          <w:szCs w:val="24"/>
        </w:rPr>
        <w:t xml:space="preserve">Dodatno, </w:t>
      </w:r>
      <w:r w:rsidR="00641D7B">
        <w:rPr>
          <w:sz w:val="24"/>
          <w:szCs w:val="24"/>
        </w:rPr>
        <w:t xml:space="preserve">s obzirom na opterećenost brojnih država prekomjernim javnim dugom i rastućim neravnotežama u javnim financijama </w:t>
      </w:r>
      <w:r w:rsidR="00641D7B" w:rsidRPr="00641D7B">
        <w:rPr>
          <w:color w:val="C00000"/>
          <w:sz w:val="24"/>
          <w:szCs w:val="24"/>
        </w:rPr>
        <w:t>danas je posebno kritično oslanjanje na teorijske modele koji državne obveznice smatraju nerizičnom imovinom</w:t>
      </w:r>
      <w:r w:rsidR="00641D7B">
        <w:rPr>
          <w:sz w:val="24"/>
          <w:szCs w:val="24"/>
        </w:rPr>
        <w:t>, a posebno u slučajevima kada se radi o obveznicama zemljama s vrlo niskim i špekulativnim kreditnim rejtingom.</w:t>
      </w:r>
      <w:r w:rsidR="000B5BDC">
        <w:rPr>
          <w:sz w:val="24"/>
          <w:szCs w:val="24"/>
        </w:rPr>
        <w:t xml:space="preserve"> Sve navedeno ujedno ukazuje da </w:t>
      </w:r>
      <w:r w:rsidR="000B5BDC" w:rsidRPr="000B5BDC">
        <w:rPr>
          <w:color w:val="C00000"/>
          <w:sz w:val="24"/>
          <w:szCs w:val="24"/>
        </w:rPr>
        <w:t>pojedinac nigdje neće naći gotove i trajno vrijedne recepte za uspješno ulaganje</w:t>
      </w:r>
      <w:r w:rsidR="000B5BDC" w:rsidRPr="000B5BDC">
        <w:rPr>
          <w:sz w:val="24"/>
          <w:szCs w:val="24"/>
        </w:rPr>
        <w:t xml:space="preserve">, a čak ako koristi preporuke financijskih savjetnika treba biti svjestan da oni </w:t>
      </w:r>
      <w:r w:rsidR="000B5BDC">
        <w:rPr>
          <w:color w:val="C00000"/>
          <w:sz w:val="24"/>
          <w:szCs w:val="24"/>
        </w:rPr>
        <w:t>ne odgovaraju za negativne posljedice njihovih preporuka</w:t>
      </w:r>
      <w:r w:rsidR="000B5BDC">
        <w:rPr>
          <w:sz w:val="24"/>
          <w:szCs w:val="24"/>
        </w:rPr>
        <w:t xml:space="preserve">. Slična je situacija i kod dodjeljivanja rejtinga obveznica ili drugih vrijednosnica, jer </w:t>
      </w:r>
      <w:r w:rsidR="000B5BDC" w:rsidRPr="000B5BDC">
        <w:rPr>
          <w:color w:val="C00000"/>
          <w:sz w:val="24"/>
          <w:szCs w:val="24"/>
        </w:rPr>
        <w:t>rejting institucije samo iskazuju svoje mišljenje</w:t>
      </w:r>
      <w:r w:rsidR="000B5BDC">
        <w:rPr>
          <w:sz w:val="24"/>
          <w:szCs w:val="24"/>
        </w:rPr>
        <w:t>,  a ona nisu niti nagovor na kupnju niti na prodaju, a sva odgovornost i rizik za moguće dobre ili loše posljedice je na ulagatelju.</w:t>
      </w:r>
    </w:p>
    <w:p w:rsidR="002F2D1E" w:rsidRDefault="00641D7B" w:rsidP="00F9539D">
      <w:pPr>
        <w:autoSpaceDE w:val="0"/>
        <w:autoSpaceDN w:val="0"/>
        <w:adjustRightInd w:val="0"/>
        <w:jc w:val="both"/>
        <w:rPr>
          <w:sz w:val="24"/>
          <w:szCs w:val="24"/>
        </w:rPr>
      </w:pPr>
      <w:r>
        <w:rPr>
          <w:sz w:val="24"/>
          <w:szCs w:val="24"/>
        </w:rPr>
        <w:t>P</w:t>
      </w:r>
      <w:r w:rsidR="0078572B">
        <w:rPr>
          <w:sz w:val="24"/>
          <w:szCs w:val="24"/>
        </w:rPr>
        <w:t xml:space="preserve">rethodni tekst s opisom preporuka ulaganja </w:t>
      </w:r>
      <w:r w:rsidR="000B5BDC">
        <w:rPr>
          <w:sz w:val="24"/>
          <w:szCs w:val="24"/>
        </w:rPr>
        <w:t xml:space="preserve">u SAD-u </w:t>
      </w:r>
      <w:r w:rsidR="001D1BC7">
        <w:rPr>
          <w:sz w:val="24"/>
          <w:szCs w:val="24"/>
        </w:rPr>
        <w:t xml:space="preserve">treba shvatiti uvjetno </w:t>
      </w:r>
      <w:r>
        <w:rPr>
          <w:sz w:val="24"/>
          <w:szCs w:val="24"/>
        </w:rPr>
        <w:t xml:space="preserve">i </w:t>
      </w:r>
      <w:r w:rsidR="001D1BC7">
        <w:rPr>
          <w:sz w:val="24"/>
          <w:szCs w:val="24"/>
        </w:rPr>
        <w:t xml:space="preserve">iz </w:t>
      </w:r>
      <w:r w:rsidR="00C31717">
        <w:rPr>
          <w:sz w:val="24"/>
          <w:szCs w:val="24"/>
        </w:rPr>
        <w:t xml:space="preserve">niza </w:t>
      </w:r>
      <w:r w:rsidR="00A02496">
        <w:rPr>
          <w:sz w:val="24"/>
          <w:szCs w:val="24"/>
        </w:rPr>
        <w:t xml:space="preserve">drugih </w:t>
      </w:r>
      <w:r w:rsidR="00C31717">
        <w:rPr>
          <w:sz w:val="24"/>
          <w:szCs w:val="24"/>
        </w:rPr>
        <w:t xml:space="preserve">razloga, a jedan od njih je </w:t>
      </w:r>
      <w:r w:rsidR="00A3197B">
        <w:rPr>
          <w:sz w:val="24"/>
          <w:szCs w:val="24"/>
        </w:rPr>
        <w:t>što se financijski sustav</w:t>
      </w:r>
      <w:r w:rsidR="0078572B">
        <w:rPr>
          <w:sz w:val="24"/>
          <w:szCs w:val="24"/>
        </w:rPr>
        <w:t xml:space="preserve"> SAD-a po nizu obilježja značajno razlikuje od financijskih sustava u </w:t>
      </w:r>
      <w:r w:rsidR="00A3197B">
        <w:rPr>
          <w:sz w:val="24"/>
          <w:szCs w:val="24"/>
        </w:rPr>
        <w:t>europskim zemljama</w:t>
      </w:r>
      <w:r w:rsidR="0078572B">
        <w:rPr>
          <w:sz w:val="24"/>
          <w:szCs w:val="24"/>
        </w:rPr>
        <w:t xml:space="preserve">, posebno kontinentalnom dijelu Europe. </w:t>
      </w:r>
      <w:r w:rsidR="001F6660">
        <w:rPr>
          <w:sz w:val="24"/>
          <w:szCs w:val="24"/>
        </w:rPr>
        <w:t xml:space="preserve">Financijski sustavi </w:t>
      </w:r>
      <w:r w:rsidR="0078572B">
        <w:rPr>
          <w:sz w:val="24"/>
          <w:szCs w:val="24"/>
        </w:rPr>
        <w:t xml:space="preserve">kontinentalnih </w:t>
      </w:r>
      <w:r w:rsidR="001F6660">
        <w:rPr>
          <w:sz w:val="24"/>
          <w:szCs w:val="24"/>
        </w:rPr>
        <w:t xml:space="preserve">europskih zemalja su uglavnom </w:t>
      </w:r>
      <w:r w:rsidR="001F6660" w:rsidRPr="001D1BC7">
        <w:rPr>
          <w:color w:val="C00000"/>
          <w:sz w:val="24"/>
          <w:szCs w:val="24"/>
        </w:rPr>
        <w:t>bankocentrični</w:t>
      </w:r>
      <w:r w:rsidR="001F6660">
        <w:rPr>
          <w:sz w:val="24"/>
          <w:szCs w:val="24"/>
        </w:rPr>
        <w:t xml:space="preserve"> zbog čega se depoziti i krediti javljaju kao najvažniji financijski instrumenti uz koje se veže praksa štednje i zaduživanja ne samo sektora kućanstva nego i drugih ekonomskih subjekata</w:t>
      </w:r>
      <w:r w:rsidR="002F2D1E">
        <w:rPr>
          <w:sz w:val="24"/>
          <w:szCs w:val="24"/>
        </w:rPr>
        <w:t>. Fi</w:t>
      </w:r>
      <w:r w:rsidR="001F6660">
        <w:rPr>
          <w:sz w:val="24"/>
          <w:szCs w:val="24"/>
        </w:rPr>
        <w:t xml:space="preserve">nancijski sustav SAD-a (odnosno financijski sustav </w:t>
      </w:r>
      <w:r w:rsidR="001F6660" w:rsidRPr="001D1BC7">
        <w:rPr>
          <w:color w:val="C00000"/>
          <w:sz w:val="24"/>
          <w:szCs w:val="24"/>
        </w:rPr>
        <w:t>anglosaksonskog tipa</w:t>
      </w:r>
      <w:r w:rsidR="00162D58">
        <w:rPr>
          <w:color w:val="C00000"/>
          <w:sz w:val="24"/>
          <w:szCs w:val="24"/>
        </w:rPr>
        <w:t>, uključujući UK</w:t>
      </w:r>
      <w:r w:rsidR="001F6660" w:rsidRPr="001D1BC7">
        <w:rPr>
          <w:color w:val="C00000"/>
          <w:sz w:val="24"/>
          <w:szCs w:val="24"/>
        </w:rPr>
        <w:t xml:space="preserve">) prvenstven </w:t>
      </w:r>
      <w:r w:rsidR="002F2D1E">
        <w:rPr>
          <w:color w:val="C00000"/>
          <w:sz w:val="24"/>
          <w:szCs w:val="24"/>
        </w:rPr>
        <w:t xml:space="preserve">je </w:t>
      </w:r>
      <w:r w:rsidR="001F6660" w:rsidRPr="001D1BC7">
        <w:rPr>
          <w:color w:val="C00000"/>
          <w:sz w:val="24"/>
          <w:szCs w:val="24"/>
        </w:rPr>
        <w:t xml:space="preserve">temeljen na tržištu kapitala </w:t>
      </w:r>
      <w:r w:rsidR="001F6660">
        <w:rPr>
          <w:sz w:val="24"/>
          <w:szCs w:val="24"/>
        </w:rPr>
        <w:t xml:space="preserve">– burzi, zbog čega su nositelji novčanog suficita, kao i nositelji novčanog deficita značajnije usmjereni na tržišta dionica i obveznica (posebno korporativnih obveznica). </w:t>
      </w:r>
    </w:p>
    <w:p w:rsidR="001F6660" w:rsidRDefault="001F6660" w:rsidP="00F9539D">
      <w:pPr>
        <w:autoSpaceDE w:val="0"/>
        <w:autoSpaceDN w:val="0"/>
        <w:adjustRightInd w:val="0"/>
        <w:jc w:val="both"/>
        <w:rPr>
          <w:sz w:val="24"/>
          <w:szCs w:val="24"/>
        </w:rPr>
      </w:pPr>
      <w:r>
        <w:rPr>
          <w:sz w:val="24"/>
          <w:szCs w:val="24"/>
        </w:rPr>
        <w:lastRenderedPageBreak/>
        <w:t>D</w:t>
      </w:r>
      <w:r w:rsidR="00A3197B">
        <w:rPr>
          <w:sz w:val="24"/>
          <w:szCs w:val="24"/>
        </w:rPr>
        <w:t xml:space="preserve">odatne razlike postoje </w:t>
      </w:r>
      <w:r>
        <w:rPr>
          <w:sz w:val="24"/>
          <w:szCs w:val="24"/>
        </w:rPr>
        <w:t xml:space="preserve">u slučaju </w:t>
      </w:r>
      <w:r w:rsidRPr="002F2D1E">
        <w:rPr>
          <w:color w:val="C00000"/>
          <w:sz w:val="24"/>
          <w:szCs w:val="24"/>
        </w:rPr>
        <w:t xml:space="preserve">europskih </w:t>
      </w:r>
      <w:r w:rsidR="00A3197B" w:rsidRPr="002F2D1E">
        <w:rPr>
          <w:color w:val="C00000"/>
          <w:sz w:val="24"/>
          <w:szCs w:val="24"/>
        </w:rPr>
        <w:t>gospodarstv</w:t>
      </w:r>
      <w:r w:rsidRPr="002F2D1E">
        <w:rPr>
          <w:color w:val="C00000"/>
          <w:sz w:val="24"/>
          <w:szCs w:val="24"/>
        </w:rPr>
        <w:t>a</w:t>
      </w:r>
      <w:r w:rsidR="00A3197B" w:rsidRPr="002F2D1E">
        <w:rPr>
          <w:color w:val="C00000"/>
          <w:sz w:val="24"/>
          <w:szCs w:val="24"/>
        </w:rPr>
        <w:t xml:space="preserve"> u tranziciji </w:t>
      </w:r>
      <w:r>
        <w:rPr>
          <w:sz w:val="24"/>
          <w:szCs w:val="24"/>
        </w:rPr>
        <w:t xml:space="preserve">(poput Hrvatske) </w:t>
      </w:r>
      <w:r w:rsidR="00A3197B">
        <w:rPr>
          <w:sz w:val="24"/>
          <w:szCs w:val="24"/>
        </w:rPr>
        <w:t>koja često karakteriziraju plitka i nelikvidna tržišta kapitala</w:t>
      </w:r>
      <w:r w:rsidR="00BA5245">
        <w:rPr>
          <w:sz w:val="24"/>
          <w:szCs w:val="24"/>
        </w:rPr>
        <w:t xml:space="preserve">, čemu pridonosi i relativno mali broj osoba koje na njemu sudjeluju. Na tržištu kapitala tako dominiraju </w:t>
      </w:r>
      <w:r w:rsidR="00BA5245" w:rsidRPr="001F6660">
        <w:rPr>
          <w:color w:val="C00000"/>
          <w:sz w:val="24"/>
          <w:szCs w:val="24"/>
        </w:rPr>
        <w:t xml:space="preserve">institucionalni ulagači </w:t>
      </w:r>
      <w:r w:rsidR="00BA5245">
        <w:rPr>
          <w:sz w:val="24"/>
          <w:szCs w:val="24"/>
        </w:rPr>
        <w:t xml:space="preserve">poput mirovinskih i investicijskih fondova, banaka i društava za osiguranje, a konkretno u slučaju </w:t>
      </w:r>
      <w:r>
        <w:rPr>
          <w:sz w:val="24"/>
          <w:szCs w:val="24"/>
        </w:rPr>
        <w:t xml:space="preserve">državnih obveznica čest je slučaj da ih njihovi inicijalni kupci (institucionalni ulagači) </w:t>
      </w:r>
      <w:r w:rsidR="00BA5245">
        <w:rPr>
          <w:sz w:val="24"/>
          <w:szCs w:val="24"/>
        </w:rPr>
        <w:t>drže do dospijeća pa nije razvijeno sekundarno tržište koje je ključno za održavanje likvidnosti financijskog instrumenta. Također i u slučaju brojnih dionica je prisutan problem njihove manje likvidnosti</w:t>
      </w:r>
      <w:r>
        <w:rPr>
          <w:sz w:val="24"/>
          <w:szCs w:val="24"/>
        </w:rPr>
        <w:t xml:space="preserve"> ili teže dostupnosti malim ulagačima zbog drugih faktora. Zbog sveg navedenog ulaganja u obveznice pa dijelom i u dionice odvijaju se </w:t>
      </w:r>
      <w:r w:rsidR="002F10CF">
        <w:rPr>
          <w:sz w:val="24"/>
          <w:szCs w:val="24"/>
        </w:rPr>
        <w:t xml:space="preserve">često </w:t>
      </w:r>
      <w:r>
        <w:rPr>
          <w:sz w:val="24"/>
          <w:szCs w:val="24"/>
        </w:rPr>
        <w:t xml:space="preserve">indirektno preko ulaganja u fondove (mirovinske, obvezničke, dioničke) ili prikupljanje sredstava štednje građana putem drugih financijskih institucija (banaka, društva za osiguranje, stambenih štedionica ….) a koje se potom ulažu u instrumente tržišta kapitala. </w:t>
      </w:r>
    </w:p>
    <w:p w:rsidR="003469F8" w:rsidRPr="003469F8" w:rsidRDefault="002F2129" w:rsidP="00F9539D">
      <w:pPr>
        <w:autoSpaceDE w:val="0"/>
        <w:autoSpaceDN w:val="0"/>
        <w:adjustRightInd w:val="0"/>
        <w:jc w:val="both"/>
        <w:rPr>
          <w:sz w:val="24"/>
          <w:szCs w:val="24"/>
        </w:rPr>
      </w:pPr>
      <w:r>
        <w:rPr>
          <w:sz w:val="24"/>
          <w:szCs w:val="24"/>
        </w:rPr>
        <w:t xml:space="preserve">S obzirom na sklonost riziku </w:t>
      </w:r>
      <w:r w:rsidRPr="001F6660">
        <w:rPr>
          <w:color w:val="C00000"/>
          <w:sz w:val="24"/>
          <w:szCs w:val="24"/>
        </w:rPr>
        <w:t>p</w:t>
      </w:r>
      <w:r w:rsidRPr="00684BD6">
        <w:rPr>
          <w:color w:val="C00000"/>
          <w:sz w:val="24"/>
          <w:szCs w:val="24"/>
        </w:rPr>
        <w:t>ortfelj imovine u funkciji investicija može biti konzervativan, umjeren i agresivan</w:t>
      </w:r>
      <w:r w:rsidR="001F6660" w:rsidRPr="003469F8">
        <w:rPr>
          <w:sz w:val="24"/>
          <w:szCs w:val="24"/>
        </w:rPr>
        <w:t xml:space="preserve">, a tako se može promatrati ne samo u slučaju osobnog portfelja ulaganja pojedinca, nego i u slučaju portfelja ulaganja različitih financijskih institucija. </w:t>
      </w:r>
      <w:r w:rsidR="001F6660" w:rsidRPr="002F10CF">
        <w:rPr>
          <w:color w:val="C00000"/>
          <w:sz w:val="24"/>
          <w:szCs w:val="24"/>
        </w:rPr>
        <w:t xml:space="preserve">Agresivni portfelj </w:t>
      </w:r>
      <w:r w:rsidR="001F6660" w:rsidRPr="003469F8">
        <w:rPr>
          <w:sz w:val="24"/>
          <w:szCs w:val="24"/>
        </w:rPr>
        <w:t>kojim se nastoji ostvariti što veći prinos i povrat na ulaganje uz toleranciju veće rizika tipičan je za fondove rizičnih ulaganja i privatnih vlasničkih ulaganja (VC/ PE), za zatvorene investicijske fondove</w:t>
      </w:r>
      <w:r w:rsidR="002F10CF">
        <w:rPr>
          <w:sz w:val="24"/>
          <w:szCs w:val="24"/>
        </w:rPr>
        <w:t xml:space="preserve">, </w:t>
      </w:r>
      <w:r w:rsidR="003469F8" w:rsidRPr="003469F8">
        <w:rPr>
          <w:sz w:val="24"/>
          <w:szCs w:val="24"/>
        </w:rPr>
        <w:t xml:space="preserve">dioničke otvorene fondove s privatnom ili javnom ponudom i slično. </w:t>
      </w:r>
      <w:r w:rsidR="003469F8" w:rsidRPr="002F10CF">
        <w:rPr>
          <w:color w:val="C00000"/>
          <w:sz w:val="24"/>
          <w:szCs w:val="24"/>
        </w:rPr>
        <w:t xml:space="preserve">Konzervativan portfelj ulaganja </w:t>
      </w:r>
      <w:r w:rsidR="003469F8" w:rsidRPr="003469F8">
        <w:rPr>
          <w:sz w:val="24"/>
          <w:szCs w:val="24"/>
        </w:rPr>
        <w:t>tipičan je za ulaganje sredstava životnog osiguranja, stambene štednje, veći dio portfelja vrijednosnica u vlasništvu banka te za mirovinske fondove a posebno u slučaju ulaganja imovine osiguranika starije životne dobi kojima se bliži vrijeme odlaska u mirovinu. Usmjeren je na očuvanje vrijednosti imovine i njenu zaštitu od rizika druge strane, kreditnog rizika i drugih, odnosno prvenstveno zaštitu od rizika nemogućnosti naplate i/ili unovčenja potraživanja i zaštitu od rizika inflacije</w:t>
      </w:r>
      <w:r w:rsidRPr="003469F8">
        <w:rPr>
          <w:sz w:val="24"/>
          <w:szCs w:val="24"/>
        </w:rPr>
        <w:t xml:space="preserve">. </w:t>
      </w:r>
    </w:p>
    <w:p w:rsidR="003469F8" w:rsidRDefault="003469F8" w:rsidP="00C86D78">
      <w:pPr>
        <w:pStyle w:val="Odlomakpopisa"/>
        <w:numPr>
          <w:ilvl w:val="0"/>
          <w:numId w:val="83"/>
        </w:numPr>
        <w:autoSpaceDE w:val="0"/>
        <w:autoSpaceDN w:val="0"/>
        <w:adjustRightInd w:val="0"/>
        <w:jc w:val="both"/>
        <w:rPr>
          <w:sz w:val="24"/>
          <w:szCs w:val="24"/>
        </w:rPr>
      </w:pPr>
      <w:r w:rsidRPr="003469F8">
        <w:rPr>
          <w:sz w:val="24"/>
          <w:szCs w:val="24"/>
        </w:rPr>
        <w:t>Na sličan način u</w:t>
      </w:r>
      <w:r w:rsidR="002F2129" w:rsidRPr="003469F8">
        <w:rPr>
          <w:sz w:val="24"/>
          <w:szCs w:val="24"/>
        </w:rPr>
        <w:t xml:space="preserve"> slučaju izgradnje </w:t>
      </w:r>
      <w:r w:rsidR="002F2129" w:rsidRPr="003469F8">
        <w:rPr>
          <w:color w:val="C00000"/>
          <w:sz w:val="24"/>
          <w:szCs w:val="24"/>
        </w:rPr>
        <w:t xml:space="preserve">konzervativnog portfelja </w:t>
      </w:r>
      <w:r w:rsidRPr="003469F8">
        <w:rPr>
          <w:color w:val="C00000"/>
          <w:sz w:val="24"/>
          <w:szCs w:val="24"/>
        </w:rPr>
        <w:t xml:space="preserve">osobne imovine pojedinca </w:t>
      </w:r>
      <w:r w:rsidRPr="003469F8">
        <w:rPr>
          <w:sz w:val="24"/>
          <w:szCs w:val="24"/>
        </w:rPr>
        <w:t xml:space="preserve">- </w:t>
      </w:r>
      <w:r w:rsidR="002F2129" w:rsidRPr="003469F8">
        <w:rPr>
          <w:sz w:val="24"/>
          <w:szCs w:val="24"/>
        </w:rPr>
        <w:t xml:space="preserve">u kojem </w:t>
      </w:r>
      <w:r w:rsidR="00405C43">
        <w:rPr>
          <w:sz w:val="24"/>
          <w:szCs w:val="24"/>
        </w:rPr>
        <w:t xml:space="preserve">(teoretski gledano) </w:t>
      </w:r>
      <w:r w:rsidR="002F2129" w:rsidRPr="003469F8">
        <w:rPr>
          <w:sz w:val="24"/>
          <w:szCs w:val="24"/>
        </w:rPr>
        <w:t xml:space="preserve">dominiraju visokokvalitetne obveznice (više od 60 pa i 75%) uz nizak udio dionica (svega 10%) te određeni dio ulaganja na tržištu novca (15%) - osnovni cilj je zaštiti vrijednost kapitala pa manja sklonost riziku rezultira i </w:t>
      </w:r>
      <w:r w:rsidR="002F2129" w:rsidRPr="00FB5A47">
        <w:rPr>
          <w:sz w:val="24"/>
          <w:szCs w:val="24"/>
        </w:rPr>
        <w:t xml:space="preserve">nižim mogućim prinosima. </w:t>
      </w:r>
      <w:r w:rsidRPr="00FB5A47">
        <w:rPr>
          <w:sz w:val="24"/>
          <w:szCs w:val="24"/>
        </w:rPr>
        <w:t>Pri tome konkretno u Hrvatskoj,  ulaganja u obveznice ostv</w:t>
      </w:r>
      <w:r w:rsidRPr="003469F8">
        <w:rPr>
          <w:sz w:val="24"/>
          <w:szCs w:val="24"/>
        </w:rPr>
        <w:t xml:space="preserve">aruju se indirektno kroz kupnju udjela fondova koji ulažu u obveznice ili prikupljanjem štednje/ulaganja od strane drugih financijskih institucija. Kod dionica </w:t>
      </w:r>
      <w:r w:rsidR="00E85FA6">
        <w:rPr>
          <w:sz w:val="24"/>
          <w:szCs w:val="24"/>
        </w:rPr>
        <w:t xml:space="preserve">se </w:t>
      </w:r>
      <w:r w:rsidRPr="003469F8">
        <w:rPr>
          <w:sz w:val="24"/>
          <w:szCs w:val="24"/>
        </w:rPr>
        <w:t>dio ulaganja odnosi na direktno ulaganje</w:t>
      </w:r>
      <w:r>
        <w:rPr>
          <w:sz w:val="24"/>
          <w:szCs w:val="24"/>
        </w:rPr>
        <w:t xml:space="preserve"> pojedinca </w:t>
      </w:r>
      <w:r w:rsidR="00E85FA6">
        <w:rPr>
          <w:sz w:val="24"/>
          <w:szCs w:val="24"/>
        </w:rPr>
        <w:t xml:space="preserve">(bez financijskog posrednika u prikupljanju sredstava, ali </w:t>
      </w:r>
      <w:r>
        <w:rPr>
          <w:sz w:val="24"/>
          <w:szCs w:val="24"/>
        </w:rPr>
        <w:t>uz korištenje brokerskih usluga</w:t>
      </w:r>
      <w:r w:rsidR="00E85FA6">
        <w:rPr>
          <w:sz w:val="24"/>
          <w:szCs w:val="24"/>
        </w:rPr>
        <w:t>)</w:t>
      </w:r>
      <w:r w:rsidRPr="003469F8">
        <w:rPr>
          <w:sz w:val="24"/>
          <w:szCs w:val="24"/>
        </w:rPr>
        <w:t xml:space="preserve">, a </w:t>
      </w:r>
      <w:r w:rsidR="00E85FA6">
        <w:rPr>
          <w:sz w:val="24"/>
          <w:szCs w:val="24"/>
        </w:rPr>
        <w:t>dio na</w:t>
      </w:r>
      <w:r w:rsidRPr="003469F8">
        <w:rPr>
          <w:sz w:val="24"/>
          <w:szCs w:val="24"/>
        </w:rPr>
        <w:t xml:space="preserve"> indirektno ulaganje </w:t>
      </w:r>
      <w:r w:rsidR="00E85FA6">
        <w:rPr>
          <w:sz w:val="24"/>
          <w:szCs w:val="24"/>
        </w:rPr>
        <w:t xml:space="preserve">u dionice putem fondovske industrije. </w:t>
      </w:r>
    </w:p>
    <w:p w:rsidR="003469F8" w:rsidRPr="003469F8" w:rsidRDefault="002F2129" w:rsidP="00C86D78">
      <w:pPr>
        <w:pStyle w:val="Odlomakpopisa"/>
        <w:numPr>
          <w:ilvl w:val="0"/>
          <w:numId w:val="83"/>
        </w:numPr>
        <w:autoSpaceDE w:val="0"/>
        <w:autoSpaceDN w:val="0"/>
        <w:adjustRightInd w:val="0"/>
        <w:jc w:val="both"/>
        <w:rPr>
          <w:sz w:val="24"/>
          <w:szCs w:val="24"/>
        </w:rPr>
      </w:pPr>
      <w:r w:rsidRPr="00E85FA6">
        <w:rPr>
          <w:color w:val="C00000"/>
          <w:sz w:val="24"/>
          <w:szCs w:val="24"/>
        </w:rPr>
        <w:t xml:space="preserve">Umjereni portfelj </w:t>
      </w:r>
      <w:r w:rsidR="002F10CF">
        <w:rPr>
          <w:color w:val="C00000"/>
          <w:sz w:val="24"/>
          <w:szCs w:val="24"/>
        </w:rPr>
        <w:t xml:space="preserve">osobne imovine pojedinca </w:t>
      </w:r>
      <w:r w:rsidRPr="003469F8">
        <w:rPr>
          <w:sz w:val="24"/>
          <w:szCs w:val="24"/>
        </w:rPr>
        <w:t xml:space="preserve">uključuje slučaj kada npr. 50% imovine čine dionice, 40% ulaganja na tržištu obveznica te 10% ulaganja na tržištu novca čime se postiže </w:t>
      </w:r>
      <w:r w:rsidRPr="00FB5A47">
        <w:rPr>
          <w:sz w:val="24"/>
          <w:szCs w:val="24"/>
        </w:rPr>
        <w:t xml:space="preserve">uravnotežen odnos između cilja povećanja tržišne vrijednosti imovine i cilja zaštite vrijednosti uloženog kapitala. </w:t>
      </w:r>
    </w:p>
    <w:p w:rsidR="00405C43" w:rsidRDefault="002F2129" w:rsidP="00405C43">
      <w:pPr>
        <w:pStyle w:val="Odlomakpopisa"/>
        <w:numPr>
          <w:ilvl w:val="0"/>
          <w:numId w:val="83"/>
        </w:numPr>
        <w:autoSpaceDE w:val="0"/>
        <w:autoSpaceDN w:val="0"/>
        <w:adjustRightInd w:val="0"/>
        <w:jc w:val="both"/>
        <w:rPr>
          <w:color w:val="C00000"/>
          <w:sz w:val="24"/>
          <w:szCs w:val="24"/>
        </w:rPr>
      </w:pPr>
      <w:r w:rsidRPr="003469F8">
        <w:rPr>
          <w:sz w:val="24"/>
          <w:szCs w:val="24"/>
        </w:rPr>
        <w:t xml:space="preserve">Nasuprot tome, u </w:t>
      </w:r>
      <w:r w:rsidRPr="00E85FA6">
        <w:rPr>
          <w:color w:val="C00000"/>
          <w:sz w:val="24"/>
          <w:szCs w:val="24"/>
        </w:rPr>
        <w:t>agresivnom portfelju</w:t>
      </w:r>
      <w:r w:rsidR="002F10CF">
        <w:rPr>
          <w:color w:val="C00000"/>
          <w:sz w:val="24"/>
          <w:szCs w:val="24"/>
        </w:rPr>
        <w:t xml:space="preserve"> imovine pojedinca</w:t>
      </w:r>
      <w:r w:rsidRPr="00E85FA6">
        <w:rPr>
          <w:color w:val="C00000"/>
          <w:sz w:val="24"/>
          <w:szCs w:val="24"/>
        </w:rPr>
        <w:t xml:space="preserve"> </w:t>
      </w:r>
      <w:r w:rsidRPr="003469F8">
        <w:rPr>
          <w:sz w:val="24"/>
          <w:szCs w:val="24"/>
        </w:rPr>
        <w:t xml:space="preserve">dominiraju dionice (dostižu udio i 90%) uz mala preostala ulaganja na tržištu obveznica i tržištu novca, </w:t>
      </w:r>
    </w:p>
    <w:p w:rsidR="00FB5A47" w:rsidRDefault="00405C43" w:rsidP="00405C43">
      <w:pPr>
        <w:autoSpaceDE w:val="0"/>
        <w:autoSpaceDN w:val="0"/>
        <w:adjustRightInd w:val="0"/>
        <w:jc w:val="both"/>
        <w:rPr>
          <w:sz w:val="24"/>
          <w:szCs w:val="24"/>
        </w:rPr>
      </w:pPr>
      <w:r w:rsidRPr="00405C43">
        <w:rPr>
          <w:color w:val="C00000"/>
          <w:sz w:val="24"/>
          <w:szCs w:val="24"/>
        </w:rPr>
        <w:lastRenderedPageBreak/>
        <w:t>N</w:t>
      </w:r>
      <w:r w:rsidR="008B5891" w:rsidRPr="00405C43">
        <w:rPr>
          <w:color w:val="C00000"/>
          <w:sz w:val="24"/>
          <w:szCs w:val="24"/>
        </w:rPr>
        <w:t>a izbor portfelja</w:t>
      </w:r>
      <w:r w:rsidR="003852EC" w:rsidRPr="00405C43">
        <w:rPr>
          <w:sz w:val="24"/>
          <w:szCs w:val="24"/>
        </w:rPr>
        <w:t xml:space="preserve">, ali i pristup pojedinim oblicima </w:t>
      </w:r>
      <w:r w:rsidRPr="00405C43">
        <w:rPr>
          <w:sz w:val="24"/>
          <w:szCs w:val="24"/>
        </w:rPr>
        <w:t xml:space="preserve">utječu </w:t>
      </w:r>
      <w:r>
        <w:rPr>
          <w:color w:val="C00000"/>
          <w:sz w:val="24"/>
          <w:szCs w:val="24"/>
        </w:rPr>
        <w:t>f</w:t>
      </w:r>
      <w:r w:rsidRPr="00FB5A47">
        <w:rPr>
          <w:color w:val="C00000"/>
          <w:sz w:val="24"/>
          <w:szCs w:val="24"/>
        </w:rPr>
        <w:t>inancijske mogućnosti i ekonomske prilike pojedinca</w:t>
      </w:r>
      <w:r>
        <w:rPr>
          <w:color w:val="C00000"/>
          <w:sz w:val="24"/>
          <w:szCs w:val="24"/>
        </w:rPr>
        <w:t xml:space="preserve"> </w:t>
      </w:r>
      <w:r w:rsidRPr="00405C43">
        <w:rPr>
          <w:sz w:val="24"/>
          <w:szCs w:val="24"/>
        </w:rPr>
        <w:t>(</w:t>
      </w:r>
      <w:r>
        <w:rPr>
          <w:sz w:val="24"/>
          <w:szCs w:val="24"/>
        </w:rPr>
        <w:t xml:space="preserve">uključujući kumulirano bogatstvo, neto imovinu, ili pak samo vrijednost imovine kojom osoba raspolaže) te </w:t>
      </w:r>
      <w:r w:rsidRPr="00405C43">
        <w:rPr>
          <w:color w:val="C00000"/>
          <w:sz w:val="24"/>
          <w:szCs w:val="24"/>
        </w:rPr>
        <w:t>veličina godišnjih neto raspoloživih prihoda</w:t>
      </w:r>
      <w:r w:rsidR="008B5891" w:rsidRPr="002A6C4E">
        <w:rPr>
          <w:sz w:val="24"/>
          <w:szCs w:val="24"/>
        </w:rPr>
        <w:t xml:space="preserve">. </w:t>
      </w:r>
      <w:r w:rsidR="003852EC">
        <w:rPr>
          <w:sz w:val="24"/>
          <w:szCs w:val="24"/>
        </w:rPr>
        <w:t>U</w:t>
      </w:r>
      <w:r w:rsidR="008B5891">
        <w:rPr>
          <w:sz w:val="24"/>
          <w:szCs w:val="24"/>
        </w:rPr>
        <w:t xml:space="preserve">laganja u vrlo rizične projekte i investicije </w:t>
      </w:r>
      <w:r w:rsidR="00170288">
        <w:rPr>
          <w:sz w:val="24"/>
          <w:szCs w:val="24"/>
        </w:rPr>
        <w:t>(poput ulaganja u fondove venture</w:t>
      </w:r>
      <w:r w:rsidR="001335E3">
        <w:rPr>
          <w:sz w:val="24"/>
          <w:szCs w:val="24"/>
        </w:rPr>
        <w:t>/ rizičnog</w:t>
      </w:r>
      <w:r w:rsidR="00170288">
        <w:rPr>
          <w:sz w:val="24"/>
          <w:szCs w:val="24"/>
        </w:rPr>
        <w:t xml:space="preserve"> kapitala i fondove za privatna vlasnička ulaganja</w:t>
      </w:r>
      <w:r w:rsidR="001335E3">
        <w:rPr>
          <w:sz w:val="24"/>
          <w:szCs w:val="24"/>
        </w:rPr>
        <w:t>, odnosno tzv. alternativne investicijske fondove</w:t>
      </w:r>
      <w:r w:rsidR="00985E08">
        <w:rPr>
          <w:sz w:val="24"/>
          <w:szCs w:val="24"/>
        </w:rPr>
        <w:t xml:space="preserve"> zatvorenog tipa s privatnim ponudama</w:t>
      </w:r>
      <w:r w:rsidR="00170288">
        <w:rPr>
          <w:sz w:val="24"/>
          <w:szCs w:val="24"/>
        </w:rPr>
        <w:t xml:space="preserve">) </w:t>
      </w:r>
      <w:r w:rsidR="008B5891">
        <w:rPr>
          <w:sz w:val="24"/>
          <w:szCs w:val="24"/>
        </w:rPr>
        <w:t xml:space="preserve">nisu namijenjeni </w:t>
      </w:r>
      <w:r w:rsidR="00EF7F81">
        <w:rPr>
          <w:sz w:val="24"/>
          <w:szCs w:val="24"/>
        </w:rPr>
        <w:t xml:space="preserve">tipičnom </w:t>
      </w:r>
      <w:r w:rsidR="008B5891">
        <w:rPr>
          <w:sz w:val="24"/>
          <w:szCs w:val="24"/>
        </w:rPr>
        <w:t>malim ulagačima</w:t>
      </w:r>
      <w:r w:rsidR="00162D58">
        <w:rPr>
          <w:sz w:val="24"/>
          <w:szCs w:val="24"/>
        </w:rPr>
        <w:t xml:space="preserve">. Pristup pojedinim instrumentima tržišta alternativnog kapitala </w:t>
      </w:r>
      <w:r w:rsidR="00FB5A47">
        <w:rPr>
          <w:sz w:val="24"/>
          <w:szCs w:val="24"/>
        </w:rPr>
        <w:t xml:space="preserve">ograničava </w:t>
      </w:r>
      <w:r w:rsidR="008B5891">
        <w:rPr>
          <w:sz w:val="24"/>
          <w:szCs w:val="24"/>
        </w:rPr>
        <w:t>i regulativa koja pravi razliku između malih ulaga</w:t>
      </w:r>
      <w:r w:rsidR="00EF7F81">
        <w:rPr>
          <w:sz w:val="24"/>
          <w:szCs w:val="24"/>
        </w:rPr>
        <w:t>telja,</w:t>
      </w:r>
      <w:r w:rsidR="008B5891">
        <w:rPr>
          <w:sz w:val="24"/>
          <w:szCs w:val="24"/>
        </w:rPr>
        <w:t xml:space="preserve"> kvalificiranih </w:t>
      </w:r>
      <w:r w:rsidR="00EF7F81">
        <w:rPr>
          <w:sz w:val="24"/>
          <w:szCs w:val="24"/>
        </w:rPr>
        <w:t>ulagatelja te profesionalnih ulagatelja</w:t>
      </w:r>
      <w:r w:rsidR="00FB5A47">
        <w:rPr>
          <w:sz w:val="24"/>
          <w:szCs w:val="24"/>
        </w:rPr>
        <w:t xml:space="preserve"> te jasno razgraničava u koje tipove AIF-a mogu ulagati svi spomenuti tipovi ulagača, a koji su dostupni isključivo profesionalnim i kvalificiranim ulagateljima.</w:t>
      </w:r>
    </w:p>
    <w:p w:rsidR="00170288" w:rsidRDefault="00162D58" w:rsidP="00F9539D">
      <w:pPr>
        <w:autoSpaceDE w:val="0"/>
        <w:autoSpaceDN w:val="0"/>
        <w:adjustRightInd w:val="0"/>
        <w:jc w:val="both"/>
        <w:rPr>
          <w:sz w:val="24"/>
          <w:szCs w:val="24"/>
        </w:rPr>
      </w:pPr>
      <w:r>
        <w:rPr>
          <w:sz w:val="24"/>
          <w:szCs w:val="24"/>
        </w:rPr>
        <w:t xml:space="preserve">Dodatno, </w:t>
      </w:r>
      <w:r w:rsidR="001335E3">
        <w:rPr>
          <w:sz w:val="24"/>
          <w:szCs w:val="24"/>
        </w:rPr>
        <w:t xml:space="preserve">pristup </w:t>
      </w:r>
      <w:r w:rsidR="00EF7F81">
        <w:rPr>
          <w:sz w:val="24"/>
          <w:szCs w:val="24"/>
        </w:rPr>
        <w:t xml:space="preserve">rizičnim </w:t>
      </w:r>
      <w:r w:rsidR="001335E3">
        <w:rPr>
          <w:sz w:val="24"/>
          <w:szCs w:val="24"/>
        </w:rPr>
        <w:t xml:space="preserve">ulaganjima </w:t>
      </w:r>
      <w:r w:rsidR="00EB2EA2">
        <w:rPr>
          <w:sz w:val="24"/>
          <w:szCs w:val="24"/>
        </w:rPr>
        <w:t xml:space="preserve">tzv. </w:t>
      </w:r>
      <w:r w:rsidR="00EF7F81">
        <w:rPr>
          <w:sz w:val="24"/>
          <w:szCs w:val="24"/>
        </w:rPr>
        <w:t xml:space="preserve">alternativnog investiranja </w:t>
      </w:r>
      <w:r w:rsidR="001335E3">
        <w:rPr>
          <w:sz w:val="24"/>
          <w:szCs w:val="24"/>
        </w:rPr>
        <w:t xml:space="preserve">ograničava </w:t>
      </w:r>
      <w:r>
        <w:rPr>
          <w:sz w:val="24"/>
          <w:szCs w:val="24"/>
        </w:rPr>
        <w:t xml:space="preserve">se </w:t>
      </w:r>
      <w:r w:rsidR="001335E3">
        <w:rPr>
          <w:sz w:val="24"/>
          <w:szCs w:val="24"/>
        </w:rPr>
        <w:t xml:space="preserve">i </w:t>
      </w:r>
      <w:r w:rsidR="00170288">
        <w:rPr>
          <w:sz w:val="24"/>
          <w:szCs w:val="24"/>
        </w:rPr>
        <w:t>definiranjem minimalno potrebnih iznosa ulaganja po pojedinačnom ulagaču</w:t>
      </w:r>
      <w:r w:rsidR="00985E08">
        <w:rPr>
          <w:sz w:val="24"/>
          <w:szCs w:val="24"/>
        </w:rPr>
        <w:t xml:space="preserve"> te praksom privatnih ponuda (k</w:t>
      </w:r>
      <w:r w:rsidR="002F10CF">
        <w:rPr>
          <w:sz w:val="24"/>
          <w:szCs w:val="24"/>
        </w:rPr>
        <w:t>a</w:t>
      </w:r>
      <w:r w:rsidR="00985E08">
        <w:rPr>
          <w:sz w:val="24"/>
          <w:szCs w:val="24"/>
        </w:rPr>
        <w:t>o suprotnosti javn</w:t>
      </w:r>
      <w:r w:rsidR="002F10CF">
        <w:rPr>
          <w:sz w:val="24"/>
          <w:szCs w:val="24"/>
        </w:rPr>
        <w:t xml:space="preserve">im ponudama </w:t>
      </w:r>
      <w:r w:rsidR="00985E08">
        <w:rPr>
          <w:sz w:val="24"/>
          <w:szCs w:val="24"/>
        </w:rPr>
        <w:t>ulaganje koj</w:t>
      </w:r>
      <w:r w:rsidR="002F10CF">
        <w:rPr>
          <w:sz w:val="24"/>
          <w:szCs w:val="24"/>
        </w:rPr>
        <w:t>e se upućuju</w:t>
      </w:r>
      <w:r w:rsidR="00985E08">
        <w:rPr>
          <w:sz w:val="24"/>
          <w:szCs w:val="24"/>
        </w:rPr>
        <w:t xml:space="preserve"> neograničenom broju osoba)</w:t>
      </w:r>
      <w:r w:rsidR="008B5891">
        <w:rPr>
          <w:sz w:val="24"/>
          <w:szCs w:val="24"/>
        </w:rPr>
        <w:t>. Praktično to znači da</w:t>
      </w:r>
      <w:r w:rsidR="00DA2131">
        <w:rPr>
          <w:sz w:val="24"/>
          <w:szCs w:val="24"/>
        </w:rPr>
        <w:t xml:space="preserve"> tipični</w:t>
      </w:r>
      <w:r w:rsidR="008B5891">
        <w:rPr>
          <w:sz w:val="24"/>
          <w:szCs w:val="24"/>
        </w:rPr>
        <w:t xml:space="preserve"> </w:t>
      </w:r>
      <w:r w:rsidR="008B5891" w:rsidRPr="00EB2EA2">
        <w:rPr>
          <w:color w:val="C00000"/>
          <w:sz w:val="24"/>
          <w:szCs w:val="24"/>
        </w:rPr>
        <w:t xml:space="preserve">mali ulagači nemaju pristup </w:t>
      </w:r>
      <w:r w:rsidR="00985E08" w:rsidRPr="00EB2EA2">
        <w:rPr>
          <w:color w:val="C00000"/>
          <w:sz w:val="24"/>
          <w:szCs w:val="24"/>
        </w:rPr>
        <w:t>investicijama</w:t>
      </w:r>
      <w:r w:rsidR="008B5891" w:rsidRPr="00EB2EA2">
        <w:rPr>
          <w:color w:val="C00000"/>
          <w:sz w:val="24"/>
          <w:szCs w:val="24"/>
        </w:rPr>
        <w:t xml:space="preserve"> s najvećim mogućim prinosima</w:t>
      </w:r>
      <w:r w:rsidR="003D2ED7" w:rsidRPr="00EB2EA2">
        <w:rPr>
          <w:color w:val="C00000"/>
          <w:sz w:val="24"/>
          <w:szCs w:val="24"/>
        </w:rPr>
        <w:t xml:space="preserve"> i vrlo visokom rizičnošću</w:t>
      </w:r>
      <w:r w:rsidR="003D2ED7">
        <w:rPr>
          <w:sz w:val="24"/>
          <w:szCs w:val="24"/>
        </w:rPr>
        <w:t xml:space="preserve">. </w:t>
      </w:r>
      <w:r w:rsidR="008B5891">
        <w:rPr>
          <w:sz w:val="24"/>
          <w:szCs w:val="24"/>
        </w:rPr>
        <w:t xml:space="preserve">No to ujedno znači da prilike za najveću moguću zaradu praktično nisu </w:t>
      </w:r>
      <w:r w:rsidR="00170288">
        <w:rPr>
          <w:sz w:val="24"/>
          <w:szCs w:val="24"/>
        </w:rPr>
        <w:t>dostupne</w:t>
      </w:r>
      <w:r w:rsidR="008B5891">
        <w:rPr>
          <w:sz w:val="24"/>
          <w:szCs w:val="24"/>
        </w:rPr>
        <w:t xml:space="preserve"> svima. </w:t>
      </w:r>
    </w:p>
    <w:p w:rsidR="002A6C4E" w:rsidRDefault="002A6C4E" w:rsidP="002A6C4E">
      <w:pPr>
        <w:autoSpaceDE w:val="0"/>
        <w:autoSpaceDN w:val="0"/>
        <w:adjustRightInd w:val="0"/>
        <w:spacing w:before="240"/>
        <w:jc w:val="both"/>
        <w:rPr>
          <w:sz w:val="24"/>
          <w:szCs w:val="24"/>
        </w:rPr>
      </w:pPr>
      <w:r>
        <w:rPr>
          <w:sz w:val="24"/>
          <w:szCs w:val="24"/>
        </w:rPr>
        <w:t xml:space="preserve">Razlog ograničavanja pristupa tipičnih malih ulagača za ulaganje u </w:t>
      </w:r>
      <w:r w:rsidR="00EB2EA2">
        <w:rPr>
          <w:sz w:val="24"/>
          <w:szCs w:val="24"/>
        </w:rPr>
        <w:t xml:space="preserve">alternativne </w:t>
      </w:r>
      <w:r>
        <w:rPr>
          <w:sz w:val="24"/>
          <w:szCs w:val="24"/>
        </w:rPr>
        <w:t xml:space="preserve">fondove i projekte usmjerene na visoko rizična ulaganja je i tipično </w:t>
      </w:r>
      <w:r w:rsidRPr="00170288">
        <w:rPr>
          <w:color w:val="C00000"/>
          <w:sz w:val="24"/>
          <w:szCs w:val="24"/>
        </w:rPr>
        <w:t xml:space="preserve">niže znanje i iskustvo malih ulagača </w:t>
      </w:r>
      <w:r>
        <w:rPr>
          <w:sz w:val="24"/>
          <w:szCs w:val="24"/>
        </w:rPr>
        <w:t xml:space="preserve">pa ih se nastoji </w:t>
      </w:r>
      <w:r w:rsidRPr="00170288">
        <w:rPr>
          <w:color w:val="C00000"/>
          <w:sz w:val="24"/>
          <w:szCs w:val="24"/>
        </w:rPr>
        <w:t>zaštititi od vlastitog neznanja zbog kojeg bi mogli snositi značajne gubitke</w:t>
      </w:r>
      <w:r>
        <w:rPr>
          <w:sz w:val="24"/>
          <w:szCs w:val="24"/>
        </w:rPr>
        <w:t xml:space="preserve">. Međutim, sve navedeno nipošto ne znači da su sve mogućnosti više rizičnih ulaganja s očekivanim većim povratima nedostupne malim ulagačima. Dapače na tržištu su za njih i dalje raspoložive brojne mogućnosti ulaganja uz veći mogući prinos i prihvaćanje većeg rizika, ali na prvenstveno na tržištima koja su u određenoj mjeri transparentna i likvidna, poput dionica na organiziranom tržištu kapitala ili investicijskih fondova otvorenog </w:t>
      </w:r>
      <w:r w:rsidR="002E32AF">
        <w:rPr>
          <w:sz w:val="24"/>
          <w:szCs w:val="24"/>
        </w:rPr>
        <w:t xml:space="preserve">ili zatvorenog </w:t>
      </w:r>
      <w:r>
        <w:rPr>
          <w:sz w:val="24"/>
          <w:szCs w:val="24"/>
        </w:rPr>
        <w:t xml:space="preserve">tipa s javnom ponudom. </w:t>
      </w:r>
    </w:p>
    <w:tbl>
      <w:tblPr>
        <w:tblStyle w:val="Reetkatablice"/>
        <w:tblW w:w="0" w:type="auto"/>
        <w:tblInd w:w="108" w:type="dxa"/>
        <w:tblLook w:val="04A0" w:firstRow="1" w:lastRow="0" w:firstColumn="1" w:lastColumn="0" w:noHBand="0" w:noVBand="1"/>
      </w:tblPr>
      <w:tblGrid>
        <w:gridCol w:w="9180"/>
      </w:tblGrid>
      <w:tr w:rsidR="00985E08" w:rsidTr="005835B0">
        <w:tc>
          <w:tcPr>
            <w:tcW w:w="9180" w:type="dxa"/>
            <w:shd w:val="clear" w:color="auto" w:fill="F2F2F2" w:themeFill="background1" w:themeFillShade="F2"/>
          </w:tcPr>
          <w:p w:rsidR="00EB2EA2" w:rsidRDefault="00DA2131" w:rsidP="002F2D1E">
            <w:pPr>
              <w:autoSpaceDE w:val="0"/>
              <w:autoSpaceDN w:val="0"/>
              <w:adjustRightInd w:val="0"/>
              <w:spacing w:before="120" w:after="120"/>
              <w:jc w:val="both"/>
              <w:rPr>
                <w:rFonts w:asciiTheme="minorHAnsi" w:eastAsiaTheme="minorHAnsi" w:hAnsiTheme="minorHAnsi" w:cstheme="minorBidi"/>
                <w:sz w:val="24"/>
                <w:szCs w:val="24"/>
                <w:lang w:eastAsia="en-US"/>
              </w:rPr>
            </w:pPr>
            <w:r w:rsidRPr="002F2D1E">
              <w:rPr>
                <w:rFonts w:asciiTheme="minorHAnsi" w:eastAsiaTheme="minorHAnsi" w:hAnsiTheme="minorHAnsi" w:cstheme="minorBidi"/>
                <w:sz w:val="24"/>
                <w:szCs w:val="24"/>
                <w:lang w:eastAsia="en-US"/>
              </w:rPr>
              <w:t xml:space="preserve">Prema hrvatskom </w:t>
            </w:r>
            <w:r w:rsidRPr="002F2D1E">
              <w:rPr>
                <w:rFonts w:asciiTheme="minorHAnsi" w:eastAsiaTheme="minorHAnsi" w:hAnsiTheme="minorHAnsi" w:cstheme="minorBidi"/>
                <w:i/>
                <w:sz w:val="24"/>
                <w:szCs w:val="24"/>
                <w:lang w:eastAsia="en-US"/>
              </w:rPr>
              <w:t>Zakonu o tržištu kapitala</w:t>
            </w:r>
            <w:r w:rsidRPr="002F2D1E">
              <w:rPr>
                <w:rFonts w:asciiTheme="minorHAnsi" w:eastAsiaTheme="minorHAnsi" w:hAnsiTheme="minorHAnsi" w:cstheme="minorBidi"/>
                <w:sz w:val="24"/>
                <w:szCs w:val="24"/>
                <w:lang w:eastAsia="en-US"/>
              </w:rPr>
              <w:t xml:space="preserve"> </w:t>
            </w:r>
            <w:r w:rsidR="00985E08" w:rsidRPr="002F10CF">
              <w:rPr>
                <w:rFonts w:asciiTheme="minorHAnsi" w:eastAsiaTheme="minorHAnsi" w:hAnsiTheme="minorHAnsi" w:cstheme="minorBidi"/>
                <w:color w:val="C00000"/>
                <w:sz w:val="24"/>
                <w:szCs w:val="24"/>
                <w:lang w:eastAsia="en-US"/>
              </w:rPr>
              <w:t>profesionalni ulagatelji</w:t>
            </w:r>
            <w:r w:rsidRPr="002F10CF">
              <w:rPr>
                <w:rFonts w:asciiTheme="minorHAnsi" w:eastAsiaTheme="minorHAnsi" w:hAnsiTheme="minorHAnsi" w:cstheme="minorBidi"/>
                <w:color w:val="C00000"/>
                <w:sz w:val="24"/>
                <w:szCs w:val="24"/>
                <w:lang w:eastAsia="en-US"/>
              </w:rPr>
              <w:t xml:space="preserve"> </w:t>
            </w:r>
            <w:r w:rsidRPr="002F2D1E">
              <w:rPr>
                <w:rFonts w:asciiTheme="minorHAnsi" w:eastAsiaTheme="minorHAnsi" w:hAnsiTheme="minorHAnsi" w:cstheme="minorBidi"/>
                <w:sz w:val="24"/>
                <w:szCs w:val="24"/>
                <w:lang w:eastAsia="en-US"/>
              </w:rPr>
              <w:t xml:space="preserve">je osoba (klijent) koja posjeduje dovoljno iskustva, znanja i stručnosti za samostalno donošenje odluka o ulaganjima i pravilnoj procjeni s time povezanih rizika. </w:t>
            </w:r>
            <w:r w:rsidR="002F2D1E" w:rsidRPr="002F2D1E">
              <w:rPr>
                <w:rFonts w:asciiTheme="minorHAnsi" w:eastAsiaTheme="minorHAnsi" w:hAnsiTheme="minorHAnsi" w:cstheme="minorBidi"/>
                <w:sz w:val="24"/>
                <w:szCs w:val="24"/>
                <w:lang w:eastAsia="en-US"/>
              </w:rPr>
              <w:t>Sukladno Zakonu to uključuje subjekte financijsko</w:t>
            </w:r>
            <w:r w:rsidR="002F10CF">
              <w:rPr>
                <w:rFonts w:asciiTheme="minorHAnsi" w:eastAsiaTheme="minorHAnsi" w:hAnsiTheme="minorHAnsi" w:cstheme="minorBidi"/>
                <w:sz w:val="24"/>
                <w:szCs w:val="24"/>
                <w:lang w:eastAsia="en-US"/>
              </w:rPr>
              <w:t>g</w:t>
            </w:r>
            <w:r w:rsidR="002F2D1E" w:rsidRPr="002F2D1E">
              <w:rPr>
                <w:rFonts w:asciiTheme="minorHAnsi" w:eastAsiaTheme="minorHAnsi" w:hAnsiTheme="minorHAnsi" w:cstheme="minorBidi"/>
                <w:sz w:val="24"/>
                <w:szCs w:val="24"/>
                <w:lang w:eastAsia="en-US"/>
              </w:rPr>
              <w:t xml:space="preserve"> tržišta koji su pod nadzorom nadležnog regulatora</w:t>
            </w:r>
            <w:r w:rsidRPr="002F2D1E">
              <w:rPr>
                <w:rFonts w:asciiTheme="minorHAnsi" w:eastAsiaTheme="minorHAnsi" w:hAnsiTheme="minorHAnsi" w:cstheme="minorBidi"/>
                <w:sz w:val="24"/>
                <w:szCs w:val="24"/>
                <w:lang w:eastAsia="en-US"/>
              </w:rPr>
              <w:t xml:space="preserve"> </w:t>
            </w:r>
            <w:r w:rsidR="002F2D1E" w:rsidRPr="002F2D1E">
              <w:rPr>
                <w:rFonts w:asciiTheme="minorHAnsi" w:eastAsiaTheme="minorHAnsi" w:hAnsiTheme="minorHAnsi" w:cstheme="minorBidi"/>
                <w:sz w:val="24"/>
                <w:szCs w:val="24"/>
                <w:lang w:eastAsia="en-US"/>
              </w:rPr>
              <w:t xml:space="preserve">uključujući investicijska društva (brokere), kreditne institucije (banke, štedne banke, stambene štedionice), društva za osiguranje, subjekte za zajednička ulaganja (investicijske fondove) i društva koja njima upravljaju, društva za upravljanje mirovinskim fondovima i mirovinske fondove, mirovinska osiguravajuća društva te trgovce robom i robnim izvedenicama. </w:t>
            </w:r>
          </w:p>
          <w:p w:rsidR="00EB2EA2" w:rsidRDefault="002F2D1E" w:rsidP="002F2D1E">
            <w:pPr>
              <w:autoSpaceDE w:val="0"/>
              <w:autoSpaceDN w:val="0"/>
              <w:adjustRightInd w:val="0"/>
              <w:spacing w:before="120" w:after="120"/>
              <w:jc w:val="both"/>
              <w:rPr>
                <w:rFonts w:asciiTheme="minorHAnsi" w:eastAsiaTheme="minorHAnsi" w:hAnsiTheme="minorHAnsi" w:cstheme="minorBidi"/>
                <w:sz w:val="24"/>
                <w:szCs w:val="24"/>
                <w:lang w:eastAsia="en-US"/>
              </w:rPr>
            </w:pPr>
            <w:r w:rsidRPr="002F2D1E">
              <w:rPr>
                <w:rFonts w:asciiTheme="minorHAnsi" w:eastAsiaTheme="minorHAnsi" w:hAnsiTheme="minorHAnsi" w:cstheme="minorBidi"/>
                <w:sz w:val="24"/>
                <w:szCs w:val="24"/>
                <w:lang w:eastAsia="en-US"/>
              </w:rPr>
              <w:t xml:space="preserve">Nadalje profesionalni ulagatelji su i pravne osobe koje zadovoljavaju dva od slijedeća tri uvjeta: imaju aktivu najmanje 150.000.000 kuna, neto prihode od najmanje 300.000.000 kuna i/ili kapital u iznosu najmanje 15.000.000 kuna. </w:t>
            </w:r>
          </w:p>
          <w:p w:rsidR="00985E08" w:rsidRPr="002F2D1E" w:rsidRDefault="002F2D1E" w:rsidP="002F2D1E">
            <w:pPr>
              <w:autoSpaceDE w:val="0"/>
              <w:autoSpaceDN w:val="0"/>
              <w:adjustRightInd w:val="0"/>
              <w:spacing w:before="120" w:after="120"/>
              <w:jc w:val="both"/>
              <w:rPr>
                <w:rFonts w:asciiTheme="minorHAnsi" w:eastAsiaTheme="minorHAnsi" w:hAnsiTheme="minorHAnsi" w:cstheme="minorBidi"/>
                <w:sz w:val="24"/>
                <w:szCs w:val="24"/>
                <w:lang w:eastAsia="en-US"/>
              </w:rPr>
            </w:pPr>
            <w:r w:rsidRPr="002F2D1E">
              <w:rPr>
                <w:rFonts w:asciiTheme="minorHAnsi" w:eastAsiaTheme="minorHAnsi" w:hAnsiTheme="minorHAnsi" w:cstheme="minorBidi"/>
                <w:sz w:val="24"/>
                <w:szCs w:val="24"/>
                <w:lang w:eastAsia="en-US"/>
              </w:rPr>
              <w:t xml:space="preserve">Dodatno profesionalni ulagatelji su nacionalne i regionalne vlade, institucije za upravljanje javnim dugom, središnje banke te međunarodne i nadnacionalne financijske institucije (Svjetska banka, MMF, ECB itd.). </w:t>
            </w:r>
          </w:p>
          <w:p w:rsidR="00EB2EA2" w:rsidRDefault="00985E08" w:rsidP="005835B0">
            <w:pPr>
              <w:autoSpaceDE w:val="0"/>
              <w:autoSpaceDN w:val="0"/>
              <w:adjustRightInd w:val="0"/>
              <w:spacing w:before="120" w:after="120"/>
              <w:jc w:val="both"/>
              <w:rPr>
                <w:rFonts w:asciiTheme="minorHAnsi" w:eastAsiaTheme="minorHAnsi" w:hAnsiTheme="minorHAnsi" w:cstheme="minorBidi"/>
                <w:sz w:val="24"/>
                <w:szCs w:val="24"/>
                <w:lang w:eastAsia="en-US"/>
              </w:rPr>
            </w:pPr>
            <w:r w:rsidRPr="002F10CF">
              <w:rPr>
                <w:rFonts w:asciiTheme="minorHAnsi" w:eastAsiaTheme="minorHAnsi" w:hAnsiTheme="minorHAnsi" w:cstheme="minorBidi"/>
                <w:color w:val="C00000"/>
                <w:sz w:val="24"/>
                <w:szCs w:val="24"/>
                <w:lang w:eastAsia="en-US"/>
              </w:rPr>
              <w:lastRenderedPageBreak/>
              <w:t>Kvalificirani ulagatelj</w:t>
            </w:r>
            <w:r w:rsidR="001D49BC">
              <w:rPr>
                <w:rFonts w:asciiTheme="minorHAnsi" w:eastAsiaTheme="minorHAnsi" w:hAnsiTheme="minorHAnsi" w:cstheme="minorBidi"/>
                <w:color w:val="C00000"/>
                <w:sz w:val="24"/>
                <w:szCs w:val="24"/>
                <w:lang w:eastAsia="en-US"/>
              </w:rPr>
              <w:t xml:space="preserve">i </w:t>
            </w:r>
            <w:r w:rsidR="001D49BC" w:rsidRPr="00EB2EA2">
              <w:rPr>
                <w:rFonts w:asciiTheme="minorHAnsi" w:eastAsiaTheme="minorHAnsi" w:hAnsiTheme="minorHAnsi" w:cstheme="minorBidi"/>
                <w:sz w:val="24"/>
                <w:szCs w:val="24"/>
                <w:lang w:eastAsia="en-US"/>
              </w:rPr>
              <w:t>mogu biti profesionalni ulagatelji ali i f</w:t>
            </w:r>
            <w:r w:rsidRPr="00EB2EA2">
              <w:rPr>
                <w:rFonts w:asciiTheme="minorHAnsi" w:eastAsiaTheme="minorHAnsi" w:hAnsiTheme="minorHAnsi" w:cstheme="minorBidi"/>
                <w:sz w:val="24"/>
                <w:szCs w:val="24"/>
                <w:lang w:eastAsia="en-US"/>
              </w:rPr>
              <w:t>izičk</w:t>
            </w:r>
            <w:r w:rsidR="001D49BC" w:rsidRPr="00EB2EA2">
              <w:rPr>
                <w:rFonts w:asciiTheme="minorHAnsi" w:eastAsiaTheme="minorHAnsi" w:hAnsiTheme="minorHAnsi" w:cstheme="minorBidi"/>
                <w:sz w:val="24"/>
                <w:szCs w:val="24"/>
                <w:lang w:eastAsia="en-US"/>
              </w:rPr>
              <w:t xml:space="preserve">e </w:t>
            </w:r>
            <w:r w:rsidR="001D49BC">
              <w:rPr>
                <w:rFonts w:asciiTheme="minorHAnsi" w:eastAsiaTheme="minorHAnsi" w:hAnsiTheme="minorHAnsi" w:cstheme="minorBidi"/>
                <w:sz w:val="24"/>
                <w:szCs w:val="24"/>
                <w:lang w:eastAsia="en-US"/>
              </w:rPr>
              <w:t xml:space="preserve">osobe mali ulagatelji koji </w:t>
            </w:r>
            <w:r w:rsidRPr="002F2D1E">
              <w:rPr>
                <w:rFonts w:asciiTheme="minorHAnsi" w:eastAsiaTheme="minorHAnsi" w:hAnsiTheme="minorHAnsi" w:cstheme="minorBidi"/>
                <w:sz w:val="24"/>
                <w:szCs w:val="24"/>
                <w:lang w:eastAsia="en-US"/>
              </w:rPr>
              <w:t xml:space="preserve"> posjed</w:t>
            </w:r>
            <w:r w:rsidR="001D49BC">
              <w:rPr>
                <w:rFonts w:asciiTheme="minorHAnsi" w:eastAsiaTheme="minorHAnsi" w:hAnsiTheme="minorHAnsi" w:cstheme="minorBidi"/>
                <w:sz w:val="24"/>
                <w:szCs w:val="24"/>
                <w:lang w:eastAsia="en-US"/>
              </w:rPr>
              <w:t>uju</w:t>
            </w:r>
            <w:r w:rsidRPr="002F2D1E">
              <w:rPr>
                <w:rFonts w:asciiTheme="minorHAnsi" w:eastAsiaTheme="minorHAnsi" w:hAnsiTheme="minorHAnsi" w:cstheme="minorBidi"/>
                <w:sz w:val="24"/>
                <w:szCs w:val="24"/>
                <w:lang w:eastAsia="en-US"/>
              </w:rPr>
              <w:t xml:space="preserve"> dovoljno iskustva i stručnog znanja kako bi bi</w:t>
            </w:r>
            <w:r w:rsidR="00EB2EA2">
              <w:rPr>
                <w:rFonts w:asciiTheme="minorHAnsi" w:eastAsiaTheme="minorHAnsi" w:hAnsiTheme="minorHAnsi" w:cstheme="minorBidi"/>
                <w:sz w:val="24"/>
                <w:szCs w:val="24"/>
                <w:lang w:eastAsia="en-US"/>
              </w:rPr>
              <w:t>li</w:t>
            </w:r>
            <w:r w:rsidRPr="002F2D1E">
              <w:rPr>
                <w:rFonts w:asciiTheme="minorHAnsi" w:eastAsiaTheme="minorHAnsi" w:hAnsiTheme="minorHAnsi" w:cstheme="minorBidi"/>
                <w:sz w:val="24"/>
                <w:szCs w:val="24"/>
                <w:lang w:eastAsia="en-US"/>
              </w:rPr>
              <w:t xml:space="preserve"> sposobni razumjeti rizike ulaganja</w:t>
            </w:r>
            <w:r w:rsidR="001D49BC">
              <w:rPr>
                <w:rFonts w:asciiTheme="minorHAnsi" w:eastAsiaTheme="minorHAnsi" w:hAnsiTheme="minorHAnsi" w:cstheme="minorBidi"/>
                <w:sz w:val="24"/>
                <w:szCs w:val="24"/>
                <w:lang w:eastAsia="en-US"/>
              </w:rPr>
              <w:t xml:space="preserve">, a njihov status konkretnije se definira zakonom o određenom tipu ulaganja koji je dostupan samo za kvalificirane i profesionalne ulagatelje. </w:t>
            </w:r>
          </w:p>
          <w:p w:rsidR="00985E08" w:rsidRPr="005835B0" w:rsidRDefault="001D49BC" w:rsidP="005835B0">
            <w:pPr>
              <w:autoSpaceDE w:val="0"/>
              <w:autoSpaceDN w:val="0"/>
              <w:adjustRightInd w:val="0"/>
              <w:spacing w:before="120" w:after="120"/>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Na primjer prema </w:t>
            </w:r>
            <w:r w:rsidRPr="005835B0">
              <w:rPr>
                <w:rFonts w:asciiTheme="minorHAnsi" w:eastAsiaTheme="minorHAnsi" w:hAnsiTheme="minorHAnsi" w:cstheme="minorBidi"/>
                <w:i/>
                <w:sz w:val="24"/>
                <w:szCs w:val="24"/>
                <w:lang w:eastAsia="en-US"/>
              </w:rPr>
              <w:t>Pravilniku o vrstama alternativnih investicijskih fondova</w:t>
            </w:r>
            <w:r w:rsidR="00DA2131" w:rsidRPr="002F2D1E">
              <w:rPr>
                <w:rFonts w:asciiTheme="minorHAnsi" w:eastAsiaTheme="minorHAnsi" w:hAnsiTheme="minorHAnsi" w:cstheme="minorBidi"/>
                <w:sz w:val="24"/>
                <w:szCs w:val="24"/>
                <w:lang w:eastAsia="en-US"/>
              </w:rPr>
              <w:t xml:space="preserve"> </w:t>
            </w:r>
            <w:r w:rsidR="005835B0">
              <w:rPr>
                <w:rFonts w:asciiTheme="minorHAnsi" w:eastAsiaTheme="minorHAnsi" w:hAnsiTheme="minorHAnsi" w:cstheme="minorBidi"/>
                <w:sz w:val="24"/>
                <w:szCs w:val="24"/>
                <w:lang w:eastAsia="en-US"/>
              </w:rPr>
              <w:t xml:space="preserve">(AIF) </w:t>
            </w:r>
            <w:r>
              <w:rPr>
                <w:rFonts w:asciiTheme="minorHAnsi" w:eastAsiaTheme="minorHAnsi" w:hAnsiTheme="minorHAnsi" w:cstheme="minorBidi"/>
                <w:sz w:val="24"/>
                <w:szCs w:val="24"/>
                <w:lang w:eastAsia="en-US"/>
              </w:rPr>
              <w:t xml:space="preserve">definirano je </w:t>
            </w:r>
            <w:r w:rsidR="00DA2131" w:rsidRPr="002F2D1E">
              <w:rPr>
                <w:rFonts w:asciiTheme="minorHAnsi" w:eastAsiaTheme="minorHAnsi" w:hAnsiTheme="minorHAnsi" w:cstheme="minorBidi"/>
                <w:sz w:val="24"/>
                <w:szCs w:val="24"/>
                <w:lang w:eastAsia="en-US"/>
              </w:rPr>
              <w:t xml:space="preserve">da je kvalificirani ulagatelj </w:t>
            </w:r>
            <w:r w:rsidR="00EB2EA2">
              <w:rPr>
                <w:rFonts w:asciiTheme="minorHAnsi" w:eastAsiaTheme="minorHAnsi" w:hAnsiTheme="minorHAnsi" w:cstheme="minorBidi"/>
                <w:sz w:val="24"/>
                <w:szCs w:val="24"/>
                <w:lang w:eastAsia="en-US"/>
              </w:rPr>
              <w:t xml:space="preserve">- </w:t>
            </w:r>
            <w:r w:rsidR="00DA2131" w:rsidRPr="002F2D1E">
              <w:rPr>
                <w:rFonts w:asciiTheme="minorHAnsi" w:eastAsiaTheme="minorHAnsi" w:hAnsiTheme="minorHAnsi" w:cstheme="minorBidi"/>
                <w:sz w:val="24"/>
                <w:szCs w:val="24"/>
                <w:lang w:eastAsia="en-US"/>
              </w:rPr>
              <w:t xml:space="preserve">osoba mali ulagatelj koji se za potrebe ulaganja u udjele jednog AIF-a obvezuje uplatiti jednokratno minimalno 400.000,00 kuna te koja raspolaže vrijednošću neto imovine u iznosu minimalno 3.000.000,00 kuna. Kod fondova rizičnog kapitala definirani minimalni iznosi </w:t>
            </w:r>
            <w:r>
              <w:rPr>
                <w:rFonts w:asciiTheme="minorHAnsi" w:eastAsiaTheme="minorHAnsi" w:hAnsiTheme="minorHAnsi" w:cstheme="minorBidi"/>
                <w:sz w:val="24"/>
                <w:szCs w:val="24"/>
                <w:lang w:eastAsia="en-US"/>
              </w:rPr>
              <w:t xml:space="preserve">su još </w:t>
            </w:r>
            <w:r w:rsidR="00DA2131" w:rsidRPr="002F2D1E">
              <w:rPr>
                <w:rFonts w:asciiTheme="minorHAnsi" w:eastAsiaTheme="minorHAnsi" w:hAnsiTheme="minorHAnsi" w:cstheme="minorBidi"/>
                <w:sz w:val="24"/>
                <w:szCs w:val="24"/>
                <w:lang w:eastAsia="en-US"/>
              </w:rPr>
              <w:t xml:space="preserve">veći pa se kvalificiranim ulagateljem smatra npr. </w:t>
            </w:r>
            <w:r w:rsidR="005835B0">
              <w:rPr>
                <w:rFonts w:asciiTheme="minorHAnsi" w:eastAsiaTheme="minorHAnsi" w:hAnsiTheme="minorHAnsi" w:cstheme="minorBidi"/>
                <w:sz w:val="24"/>
                <w:szCs w:val="24"/>
                <w:lang w:eastAsia="en-US"/>
              </w:rPr>
              <w:t>osoba koja s</w:t>
            </w:r>
            <w:r w:rsidR="00DA2131" w:rsidRPr="002F2D1E">
              <w:rPr>
                <w:rFonts w:asciiTheme="minorHAnsi" w:eastAsiaTheme="minorHAnsi" w:hAnsiTheme="minorHAnsi" w:cstheme="minorBidi"/>
                <w:sz w:val="24"/>
                <w:szCs w:val="24"/>
                <w:lang w:eastAsia="en-US"/>
              </w:rPr>
              <w:t>e za potrebe ulaganja u udjele jednog fonda rizičnog kapitala obvez</w:t>
            </w:r>
            <w:r w:rsidR="005835B0">
              <w:rPr>
                <w:rFonts w:asciiTheme="minorHAnsi" w:eastAsiaTheme="minorHAnsi" w:hAnsiTheme="minorHAnsi" w:cstheme="minorBidi"/>
                <w:sz w:val="24"/>
                <w:szCs w:val="24"/>
                <w:lang w:eastAsia="en-US"/>
              </w:rPr>
              <w:t>uje</w:t>
            </w:r>
            <w:r w:rsidR="00DA2131" w:rsidRPr="002F2D1E">
              <w:rPr>
                <w:rFonts w:asciiTheme="minorHAnsi" w:eastAsiaTheme="minorHAnsi" w:hAnsiTheme="minorHAnsi" w:cstheme="minorBidi"/>
                <w:sz w:val="24"/>
                <w:szCs w:val="24"/>
                <w:lang w:eastAsia="en-US"/>
              </w:rPr>
              <w:t xml:space="preserve"> </w:t>
            </w:r>
            <w:r w:rsidR="005835B0">
              <w:rPr>
                <w:rFonts w:asciiTheme="minorHAnsi" w:eastAsiaTheme="minorHAnsi" w:hAnsiTheme="minorHAnsi" w:cstheme="minorBidi"/>
                <w:sz w:val="24"/>
                <w:szCs w:val="24"/>
                <w:lang w:eastAsia="en-US"/>
              </w:rPr>
              <w:t xml:space="preserve">jednokratno </w:t>
            </w:r>
            <w:r w:rsidR="00DA2131" w:rsidRPr="002F2D1E">
              <w:rPr>
                <w:rFonts w:asciiTheme="minorHAnsi" w:eastAsiaTheme="minorHAnsi" w:hAnsiTheme="minorHAnsi" w:cstheme="minorBidi"/>
                <w:sz w:val="24"/>
                <w:szCs w:val="24"/>
                <w:lang w:eastAsia="en-US"/>
              </w:rPr>
              <w:t>uplatiti minimalno 2.000.000,00 kuna te ima vrijednost  neto imovine u minimalnom iznosu 10.000.000,00 kuna.</w:t>
            </w:r>
            <w:r w:rsidR="005835B0">
              <w:rPr>
                <w:rFonts w:asciiTheme="minorHAnsi" w:eastAsiaTheme="minorHAnsi" w:hAnsiTheme="minorHAnsi" w:cstheme="minorBidi"/>
                <w:sz w:val="24"/>
                <w:szCs w:val="24"/>
                <w:lang w:eastAsia="en-US"/>
              </w:rPr>
              <w:t xml:space="preserve"> Pri tome je zakonskom i podzakonskom regulativom uređeno da se u</w:t>
            </w:r>
            <w:r w:rsidR="005835B0" w:rsidRPr="005835B0">
              <w:rPr>
                <w:rFonts w:asciiTheme="minorHAnsi" w:eastAsiaTheme="minorHAnsi" w:hAnsiTheme="minorHAnsi" w:cstheme="minorBidi"/>
                <w:sz w:val="24"/>
                <w:szCs w:val="24"/>
                <w:lang w:eastAsia="en-US"/>
              </w:rPr>
              <w:t>djeli AIF-a s privatnom ponudom mogu se nuditi ulagateljima koji se u skladu sa zakonom koji uređuje tržište kapitala smatraju profesionalnim ulagateljima (ili se na vlastiti zahtjev mogu tretirati kao profesionalni ulagatelji)  te kvalificiranim ulagateljima. S druge strane, udjeli AIF-a s javnom ponudom mogu se nuditi malim ulagateljima i ulagateljima koji se u skladu sa zakonom koji uređuje tržište kapitala smatraju profesionalnim ulagateljima ili se na vlastiti zahtjev mogu tretirati kao profesionalni ulagatelji.</w:t>
            </w:r>
          </w:p>
          <w:p w:rsidR="005835B0" w:rsidRPr="005835B0" w:rsidRDefault="005835B0" w:rsidP="005835B0">
            <w:pPr>
              <w:autoSpaceDE w:val="0"/>
              <w:autoSpaceDN w:val="0"/>
              <w:adjustRightInd w:val="0"/>
              <w:spacing w:before="120" w:after="120"/>
              <w:jc w:val="both"/>
              <w:rPr>
                <w:rFonts w:asciiTheme="minorHAnsi" w:hAnsiTheme="minorHAnsi"/>
                <w:sz w:val="24"/>
                <w:szCs w:val="24"/>
              </w:rPr>
            </w:pPr>
            <w:r w:rsidRPr="005835B0">
              <w:rPr>
                <w:rFonts w:asciiTheme="minorHAnsi" w:hAnsiTheme="minorHAnsi"/>
                <w:color w:val="000000"/>
              </w:rPr>
              <w:t>* Vidjeti Pravilnik o vrstama alternativnih investicijskih fondova, dostupno na: http://narodne-novine.nn.hr/clanci/sluzbeni/2013_08_105_2372.html</w:t>
            </w:r>
          </w:p>
        </w:tc>
      </w:tr>
    </w:tbl>
    <w:p w:rsidR="005F383B" w:rsidRDefault="00684BD6" w:rsidP="002A6C4E">
      <w:pPr>
        <w:autoSpaceDE w:val="0"/>
        <w:autoSpaceDN w:val="0"/>
        <w:adjustRightInd w:val="0"/>
        <w:spacing w:before="240"/>
        <w:jc w:val="both"/>
        <w:rPr>
          <w:sz w:val="24"/>
          <w:szCs w:val="24"/>
        </w:rPr>
      </w:pPr>
      <w:r w:rsidRPr="00D41D44">
        <w:rPr>
          <w:sz w:val="24"/>
          <w:szCs w:val="24"/>
        </w:rPr>
        <w:lastRenderedPageBreak/>
        <w:t>Razlike u strukturi portfelja s obzirom na toleranciju ili averziju</w:t>
      </w:r>
      <w:r w:rsidR="00E85FA6" w:rsidRPr="00D41D44">
        <w:rPr>
          <w:sz w:val="24"/>
          <w:szCs w:val="24"/>
        </w:rPr>
        <w:t xml:space="preserve"> prema riziku osim životne dobi, ekonomskih mogućnosti i drugih faktora, </w:t>
      </w:r>
      <w:r w:rsidRPr="00D41D44">
        <w:rPr>
          <w:sz w:val="24"/>
          <w:szCs w:val="24"/>
        </w:rPr>
        <w:t xml:space="preserve">određene su i </w:t>
      </w:r>
      <w:r w:rsidRPr="005835B0">
        <w:rPr>
          <w:color w:val="C00000"/>
          <w:sz w:val="24"/>
          <w:szCs w:val="24"/>
        </w:rPr>
        <w:t xml:space="preserve">osobnim karakteristikama ulagača. </w:t>
      </w:r>
      <w:r>
        <w:rPr>
          <w:sz w:val="24"/>
          <w:szCs w:val="24"/>
        </w:rPr>
        <w:t>I</w:t>
      </w:r>
      <w:r w:rsidR="00592479">
        <w:rPr>
          <w:sz w:val="24"/>
          <w:szCs w:val="24"/>
        </w:rPr>
        <w:t xml:space="preserve">nvestitori </w:t>
      </w:r>
      <w:r w:rsidR="00A3197B">
        <w:rPr>
          <w:sz w:val="24"/>
          <w:szCs w:val="24"/>
        </w:rPr>
        <w:t xml:space="preserve">na tržištu kapitala (i drugih oblika imovine u funkciji investicija) </w:t>
      </w:r>
      <w:r w:rsidR="00B46139" w:rsidRPr="00B46139">
        <w:rPr>
          <w:sz w:val="24"/>
          <w:szCs w:val="24"/>
        </w:rPr>
        <w:t xml:space="preserve">međusobno </w:t>
      </w:r>
      <w:r w:rsidR="00A3197B">
        <w:rPr>
          <w:sz w:val="24"/>
          <w:szCs w:val="24"/>
        </w:rPr>
        <w:t xml:space="preserve">se </w:t>
      </w:r>
      <w:r w:rsidR="00B46139" w:rsidRPr="00B46139">
        <w:rPr>
          <w:sz w:val="24"/>
          <w:szCs w:val="24"/>
        </w:rPr>
        <w:t xml:space="preserve">razlikuju </w:t>
      </w:r>
      <w:r w:rsidR="00F9539D">
        <w:rPr>
          <w:sz w:val="24"/>
          <w:szCs w:val="24"/>
        </w:rPr>
        <w:t>u pristupu prema mogućnostima i prilikama „pobjeđivanja tržišta“</w:t>
      </w:r>
      <w:r w:rsidR="00B46139" w:rsidRPr="00B46139">
        <w:rPr>
          <w:sz w:val="24"/>
          <w:szCs w:val="24"/>
        </w:rPr>
        <w:t xml:space="preserve">. </w:t>
      </w:r>
      <w:r w:rsidR="00F9539D">
        <w:rPr>
          <w:sz w:val="24"/>
          <w:szCs w:val="24"/>
        </w:rPr>
        <w:t xml:space="preserve">U kontekstu navedenog ulagači se dijele na pasivne i aktivne, odnosno dijele se na konzervativne i agresivne. </w:t>
      </w:r>
    </w:p>
    <w:p w:rsidR="0055616E" w:rsidRPr="00F9539D" w:rsidRDefault="00F9539D" w:rsidP="00F9539D">
      <w:pPr>
        <w:autoSpaceDE w:val="0"/>
        <w:autoSpaceDN w:val="0"/>
        <w:adjustRightInd w:val="0"/>
        <w:jc w:val="both"/>
        <w:rPr>
          <w:sz w:val="24"/>
          <w:szCs w:val="24"/>
        </w:rPr>
      </w:pPr>
      <w:r w:rsidRPr="00F9539D">
        <w:rPr>
          <w:color w:val="C00000"/>
          <w:sz w:val="24"/>
          <w:szCs w:val="24"/>
        </w:rPr>
        <w:t xml:space="preserve">Pasivni investitori </w:t>
      </w:r>
      <w:r w:rsidR="00EC49CB" w:rsidRPr="00F9539D">
        <w:rPr>
          <w:sz w:val="24"/>
          <w:szCs w:val="24"/>
        </w:rPr>
        <w:t>polaz</w:t>
      </w:r>
      <w:r>
        <w:rPr>
          <w:sz w:val="24"/>
          <w:szCs w:val="24"/>
        </w:rPr>
        <w:t>e</w:t>
      </w:r>
      <w:r w:rsidR="00EC49CB" w:rsidRPr="00F9539D">
        <w:rPr>
          <w:sz w:val="24"/>
          <w:szCs w:val="24"/>
        </w:rPr>
        <w:t xml:space="preserve"> od pretpostavk</w:t>
      </w:r>
      <w:r>
        <w:rPr>
          <w:sz w:val="24"/>
          <w:szCs w:val="24"/>
        </w:rPr>
        <w:t>e da je b</w:t>
      </w:r>
      <w:r w:rsidR="00EC49CB" w:rsidRPr="00F9539D">
        <w:rPr>
          <w:sz w:val="24"/>
          <w:szCs w:val="24"/>
        </w:rPr>
        <w:t>udućnost neizvjesna i ne može se predvidjeti</w:t>
      </w:r>
      <w:r>
        <w:rPr>
          <w:sz w:val="24"/>
          <w:szCs w:val="24"/>
        </w:rPr>
        <w:t xml:space="preserve"> pa se stoga „niti tržište ne može pobijediti“. Oni se zadovoljavaju s prosječnim prinosima na tržištu bez prekomjernog izlaganja rizik</w:t>
      </w:r>
      <w:r w:rsidR="000B148B">
        <w:rPr>
          <w:sz w:val="24"/>
          <w:szCs w:val="24"/>
        </w:rPr>
        <w:t>u</w:t>
      </w:r>
      <w:r>
        <w:rPr>
          <w:sz w:val="24"/>
          <w:szCs w:val="24"/>
        </w:rPr>
        <w:t xml:space="preserve"> pa stoga pronalaze investicijski portfelj koji se ponaša slično kao i ukupno tržište. Uglavnom se vode strategijom „kupi i drži“</w:t>
      </w:r>
      <w:r w:rsidR="005F383B">
        <w:rPr>
          <w:sz w:val="24"/>
          <w:szCs w:val="24"/>
        </w:rPr>
        <w:t xml:space="preserve"> odnosno po potrebi povremeno restrukturiraju portfelj (npr. u skladu s preporukama investicijskih savjetnika</w:t>
      </w:r>
      <w:r w:rsidR="000B148B">
        <w:rPr>
          <w:sz w:val="24"/>
          <w:szCs w:val="24"/>
        </w:rPr>
        <w:t xml:space="preserve"> ili u okolnostima bitnih promjena općeg trenda na tržištu</w:t>
      </w:r>
      <w:r w:rsidR="005F383B">
        <w:rPr>
          <w:sz w:val="24"/>
          <w:szCs w:val="24"/>
        </w:rPr>
        <w:t xml:space="preserve">), ali </w:t>
      </w:r>
      <w:r>
        <w:rPr>
          <w:sz w:val="24"/>
          <w:szCs w:val="24"/>
        </w:rPr>
        <w:t xml:space="preserve">ne ulažu previše u vlastito obrazovanje za potrebe investiranja te nemaju vremena, interesa, volje i/ili znanja za provođenje svakodnevnih analiza kako bi tražili pobjedničke investicije. Stoga ujedno uglavnom odgovaraju profilu </w:t>
      </w:r>
      <w:r w:rsidRPr="005F383B">
        <w:rPr>
          <w:color w:val="C00000"/>
          <w:sz w:val="24"/>
          <w:szCs w:val="24"/>
        </w:rPr>
        <w:t xml:space="preserve">konzervativnog investitora </w:t>
      </w:r>
      <w:r w:rsidR="009704E1" w:rsidRPr="009704E1">
        <w:rPr>
          <w:sz w:val="24"/>
          <w:szCs w:val="24"/>
        </w:rPr>
        <w:t xml:space="preserve">- </w:t>
      </w:r>
      <w:r>
        <w:rPr>
          <w:sz w:val="24"/>
          <w:szCs w:val="24"/>
        </w:rPr>
        <w:t>koji je intenzivnije opterećen rizikom nego mogućnostima zarade</w:t>
      </w:r>
      <w:r w:rsidR="00A3197B">
        <w:rPr>
          <w:sz w:val="24"/>
          <w:szCs w:val="24"/>
        </w:rPr>
        <w:t xml:space="preserve"> te kojem je osnovni cilj ulaganja ostvarivanje prihoda od kamata i dividenda.</w:t>
      </w:r>
      <w:r>
        <w:rPr>
          <w:sz w:val="24"/>
          <w:szCs w:val="24"/>
        </w:rPr>
        <w:t xml:space="preserve"> </w:t>
      </w:r>
      <w:r w:rsidR="005F383B">
        <w:rPr>
          <w:sz w:val="24"/>
          <w:szCs w:val="24"/>
        </w:rPr>
        <w:t xml:space="preserve">Kako </w:t>
      </w:r>
      <w:r w:rsidR="00A3197B">
        <w:rPr>
          <w:sz w:val="24"/>
          <w:szCs w:val="24"/>
        </w:rPr>
        <w:t xml:space="preserve">pasivni investitori </w:t>
      </w:r>
      <w:r w:rsidR="005F383B">
        <w:rPr>
          <w:sz w:val="24"/>
          <w:szCs w:val="24"/>
        </w:rPr>
        <w:t xml:space="preserve">ne trguju često, </w:t>
      </w:r>
      <w:r w:rsidR="00A3197B">
        <w:rPr>
          <w:sz w:val="24"/>
          <w:szCs w:val="24"/>
        </w:rPr>
        <w:t xml:space="preserve">takvom </w:t>
      </w:r>
      <w:r w:rsidR="005F383B">
        <w:rPr>
          <w:sz w:val="24"/>
          <w:szCs w:val="24"/>
        </w:rPr>
        <w:t xml:space="preserve">strategijom ujedno smanjuju transakcijske troškove brokerskih provizija vezanih uz kupnju i prodaju dionica, odnosno troškove ulaznih i izlaznih naknada kod investicijskih fondova. </w:t>
      </w:r>
    </w:p>
    <w:p w:rsidR="000B148B" w:rsidRDefault="005F383B" w:rsidP="00841BCF">
      <w:pPr>
        <w:autoSpaceDE w:val="0"/>
        <w:autoSpaceDN w:val="0"/>
        <w:adjustRightInd w:val="0"/>
        <w:jc w:val="both"/>
        <w:rPr>
          <w:sz w:val="24"/>
          <w:szCs w:val="24"/>
        </w:rPr>
      </w:pPr>
      <w:r w:rsidRPr="00841BCF">
        <w:rPr>
          <w:color w:val="C00000"/>
          <w:sz w:val="24"/>
          <w:szCs w:val="24"/>
        </w:rPr>
        <w:lastRenderedPageBreak/>
        <w:t xml:space="preserve">Aktivni investitor </w:t>
      </w:r>
      <w:r>
        <w:rPr>
          <w:sz w:val="24"/>
          <w:szCs w:val="24"/>
        </w:rPr>
        <w:t>ponaša se drugačije. Iako i on polazi od pretpostavke da je budućnost neizvjesna i ne može se predvidjeti, ipak traži prilike za pobjeđivanje tržišta. Uz pretpostavku „tržište se može pobijediti</w:t>
      </w:r>
      <w:r w:rsidR="000B148B">
        <w:rPr>
          <w:sz w:val="24"/>
          <w:szCs w:val="24"/>
        </w:rPr>
        <w:t xml:space="preserve">“, </w:t>
      </w:r>
      <w:r>
        <w:rPr>
          <w:sz w:val="24"/>
          <w:szCs w:val="24"/>
        </w:rPr>
        <w:t xml:space="preserve"> kontinuirano ulaže u vlastito financijsko obrazovanje i povećava ulagačko iskustvo, dok kroz detaljne samostalne analize traži i odabire ulaganja koja donose prinos veći od prosjeka tržišta. Takvo aktivno upravljanje </w:t>
      </w:r>
      <w:r w:rsidR="00A3197B">
        <w:rPr>
          <w:sz w:val="24"/>
          <w:szCs w:val="24"/>
        </w:rPr>
        <w:t>(</w:t>
      </w:r>
      <w:r>
        <w:rPr>
          <w:sz w:val="24"/>
          <w:szCs w:val="24"/>
        </w:rPr>
        <w:t>usmjereno na pronalazak pobjedničkih investicija</w:t>
      </w:r>
      <w:r w:rsidR="00A3197B">
        <w:rPr>
          <w:sz w:val="24"/>
          <w:szCs w:val="24"/>
        </w:rPr>
        <w:t>)</w:t>
      </w:r>
      <w:r>
        <w:rPr>
          <w:sz w:val="24"/>
          <w:szCs w:val="24"/>
        </w:rPr>
        <w:t xml:space="preserve"> zahtjeva kontinuiran</w:t>
      </w:r>
      <w:r w:rsidR="00A3197B">
        <w:rPr>
          <w:sz w:val="24"/>
          <w:szCs w:val="24"/>
        </w:rPr>
        <w:t>o</w:t>
      </w:r>
      <w:r>
        <w:rPr>
          <w:sz w:val="24"/>
          <w:szCs w:val="24"/>
        </w:rPr>
        <w:t xml:space="preserve"> prilagođavanje promjenama na tržištu, npr. </w:t>
      </w:r>
      <w:r w:rsidR="00EC49CB" w:rsidRPr="00841BCF">
        <w:rPr>
          <w:sz w:val="24"/>
          <w:szCs w:val="24"/>
        </w:rPr>
        <w:t>u uvjetima bikovskog tržišta držanje vrijednosnica čije cijene rastu brže od ukupnog tržišta</w:t>
      </w:r>
      <w:r w:rsidRPr="00841BCF">
        <w:rPr>
          <w:sz w:val="24"/>
          <w:szCs w:val="24"/>
        </w:rPr>
        <w:t xml:space="preserve">, a u </w:t>
      </w:r>
      <w:r w:rsidR="00EC49CB" w:rsidRPr="00841BCF">
        <w:rPr>
          <w:sz w:val="24"/>
          <w:szCs w:val="24"/>
        </w:rPr>
        <w:t>uvjetima medvjeđeg tržišta držanje vrijednosnih papira čije cijene padaju sporije od ukupnog tržišta</w:t>
      </w:r>
      <w:r w:rsidRPr="00841BCF">
        <w:rPr>
          <w:sz w:val="24"/>
          <w:szCs w:val="24"/>
        </w:rPr>
        <w:t xml:space="preserve">. </w:t>
      </w:r>
      <w:r w:rsidR="00841BCF" w:rsidRPr="00841BCF">
        <w:rPr>
          <w:sz w:val="24"/>
          <w:szCs w:val="24"/>
        </w:rPr>
        <w:t xml:space="preserve">Iako </w:t>
      </w:r>
      <w:r w:rsidR="008C5A7C">
        <w:rPr>
          <w:sz w:val="24"/>
          <w:szCs w:val="24"/>
        </w:rPr>
        <w:t xml:space="preserve">aktivno investiranje </w:t>
      </w:r>
      <w:r w:rsidR="00841BCF" w:rsidRPr="00841BCF">
        <w:rPr>
          <w:sz w:val="24"/>
          <w:szCs w:val="24"/>
        </w:rPr>
        <w:t>omogućava veću potencijalnu zaradu, nosi i ve</w:t>
      </w:r>
      <w:r w:rsidR="00841BCF">
        <w:rPr>
          <w:sz w:val="24"/>
          <w:szCs w:val="24"/>
        </w:rPr>
        <w:t xml:space="preserve">ći rizik </w:t>
      </w:r>
      <w:r w:rsidR="008C5A7C">
        <w:rPr>
          <w:sz w:val="24"/>
          <w:szCs w:val="24"/>
        </w:rPr>
        <w:t>te</w:t>
      </w:r>
      <w:r w:rsidR="00841BCF">
        <w:rPr>
          <w:sz w:val="24"/>
          <w:szCs w:val="24"/>
        </w:rPr>
        <w:t xml:space="preserve"> mogućnosti gubitaka. Dodatno, </w:t>
      </w:r>
      <w:r w:rsidR="00841BCF" w:rsidRPr="00841BCF">
        <w:rPr>
          <w:sz w:val="24"/>
          <w:szCs w:val="24"/>
        </w:rPr>
        <w:t>zbog većeg korištenja analiz</w:t>
      </w:r>
      <w:r w:rsidR="00841BCF">
        <w:rPr>
          <w:sz w:val="24"/>
          <w:szCs w:val="24"/>
        </w:rPr>
        <w:t>a</w:t>
      </w:r>
      <w:r w:rsidR="00841BCF" w:rsidRPr="00841BCF">
        <w:rPr>
          <w:sz w:val="24"/>
          <w:szCs w:val="24"/>
        </w:rPr>
        <w:t xml:space="preserve"> i intenzivnijeg trgovanja, iziskuje i daleko više vremena uloženog u izgradnju adekvatnog portfelja kao i veće transakcijske troškove. </w:t>
      </w:r>
      <w:r w:rsidR="000B148B">
        <w:rPr>
          <w:sz w:val="24"/>
          <w:szCs w:val="24"/>
        </w:rPr>
        <w:t>A</w:t>
      </w:r>
      <w:r w:rsidR="00841BCF" w:rsidRPr="00841BCF">
        <w:rPr>
          <w:sz w:val="24"/>
          <w:szCs w:val="24"/>
        </w:rPr>
        <w:t xml:space="preserve">ktivni investitor </w:t>
      </w:r>
      <w:r w:rsidR="000B148B">
        <w:rPr>
          <w:sz w:val="24"/>
          <w:szCs w:val="24"/>
        </w:rPr>
        <w:t xml:space="preserve">uglavnom </w:t>
      </w:r>
      <w:r w:rsidR="00841BCF">
        <w:rPr>
          <w:sz w:val="24"/>
          <w:szCs w:val="24"/>
        </w:rPr>
        <w:t>odgovara profil</w:t>
      </w:r>
      <w:r w:rsidR="000B148B">
        <w:rPr>
          <w:sz w:val="24"/>
          <w:szCs w:val="24"/>
        </w:rPr>
        <w:t>u</w:t>
      </w:r>
      <w:r w:rsidR="00841BCF">
        <w:rPr>
          <w:sz w:val="24"/>
          <w:szCs w:val="24"/>
        </w:rPr>
        <w:t xml:space="preserve"> </w:t>
      </w:r>
      <w:r w:rsidR="00841BCF" w:rsidRPr="009704E1">
        <w:rPr>
          <w:color w:val="C00000"/>
          <w:sz w:val="24"/>
          <w:szCs w:val="24"/>
        </w:rPr>
        <w:t>agresivnog investitora</w:t>
      </w:r>
      <w:r w:rsidR="009704E1">
        <w:rPr>
          <w:color w:val="C00000"/>
          <w:sz w:val="24"/>
          <w:szCs w:val="24"/>
        </w:rPr>
        <w:t xml:space="preserve"> </w:t>
      </w:r>
      <w:r w:rsidR="009704E1" w:rsidRPr="009704E1">
        <w:rPr>
          <w:sz w:val="24"/>
          <w:szCs w:val="24"/>
        </w:rPr>
        <w:t>-</w:t>
      </w:r>
      <w:r w:rsidR="00841BCF">
        <w:rPr>
          <w:sz w:val="24"/>
          <w:szCs w:val="24"/>
        </w:rPr>
        <w:t xml:space="preserve"> koji je </w:t>
      </w:r>
      <w:r w:rsidR="00841BCF" w:rsidRPr="00841BCF">
        <w:rPr>
          <w:sz w:val="24"/>
          <w:szCs w:val="24"/>
        </w:rPr>
        <w:t>više orijentiran na mogući prinos nego što ga koči rizik ulaganja</w:t>
      </w:r>
      <w:r w:rsidR="008C5A7C">
        <w:rPr>
          <w:sz w:val="24"/>
          <w:szCs w:val="24"/>
        </w:rPr>
        <w:t xml:space="preserve">, a osnovni cilj ulaganja mu je ostvarivanje kapitalnih dobitaka. </w:t>
      </w:r>
    </w:p>
    <w:p w:rsidR="000B148B" w:rsidRDefault="00841BCF" w:rsidP="000B148B">
      <w:pPr>
        <w:autoSpaceDE w:val="0"/>
        <w:autoSpaceDN w:val="0"/>
        <w:adjustRightInd w:val="0"/>
        <w:jc w:val="both"/>
        <w:rPr>
          <w:sz w:val="24"/>
          <w:szCs w:val="24"/>
        </w:rPr>
      </w:pPr>
      <w:r>
        <w:rPr>
          <w:sz w:val="24"/>
          <w:szCs w:val="24"/>
        </w:rPr>
        <w:t xml:space="preserve">Međutim, pojam </w:t>
      </w:r>
      <w:r w:rsidRPr="00F3740D">
        <w:rPr>
          <w:color w:val="C00000"/>
          <w:sz w:val="24"/>
          <w:szCs w:val="24"/>
        </w:rPr>
        <w:t xml:space="preserve">aktivnog investiranja </w:t>
      </w:r>
      <w:r>
        <w:rPr>
          <w:sz w:val="24"/>
          <w:szCs w:val="24"/>
        </w:rPr>
        <w:t>ne veže se uv</w:t>
      </w:r>
      <w:r w:rsidR="009704E1">
        <w:rPr>
          <w:sz w:val="24"/>
          <w:szCs w:val="24"/>
        </w:rPr>
        <w:t>ijek uz agresivnog investitora</w:t>
      </w:r>
      <w:r w:rsidR="000B148B">
        <w:rPr>
          <w:sz w:val="24"/>
          <w:szCs w:val="24"/>
        </w:rPr>
        <w:t>, kao što ni pasivno investiranje nije uvijek vezano uz konzervativno ulagača</w:t>
      </w:r>
      <w:r w:rsidR="009704E1">
        <w:rPr>
          <w:sz w:val="24"/>
          <w:szCs w:val="24"/>
        </w:rPr>
        <w:t>. Aktivno investiranje može biti prisutno u slučaju konzervativno</w:t>
      </w:r>
      <w:r w:rsidR="001D1BC7">
        <w:rPr>
          <w:sz w:val="24"/>
          <w:szCs w:val="24"/>
        </w:rPr>
        <w:t>g</w:t>
      </w:r>
      <w:r w:rsidR="009704E1">
        <w:rPr>
          <w:sz w:val="24"/>
          <w:szCs w:val="24"/>
        </w:rPr>
        <w:t xml:space="preserve"> ulagača koji </w:t>
      </w:r>
      <w:r w:rsidR="000B148B">
        <w:rPr>
          <w:sz w:val="24"/>
          <w:szCs w:val="24"/>
        </w:rPr>
        <w:t xml:space="preserve">u cilju smanjenja i izbjegavanja rizika </w:t>
      </w:r>
      <w:r w:rsidR="009704E1">
        <w:rPr>
          <w:sz w:val="24"/>
          <w:szCs w:val="24"/>
        </w:rPr>
        <w:t xml:space="preserve">izrađuje i koristi brojne analize te </w:t>
      </w:r>
      <w:r>
        <w:rPr>
          <w:sz w:val="24"/>
          <w:szCs w:val="24"/>
        </w:rPr>
        <w:t>često restrukturira portfelj</w:t>
      </w:r>
      <w:r w:rsidR="00F3740D">
        <w:rPr>
          <w:sz w:val="24"/>
          <w:szCs w:val="24"/>
        </w:rPr>
        <w:t xml:space="preserve"> u korist investicija koje su određenom razdoblju manje rizične</w:t>
      </w:r>
      <w:r w:rsidR="009704E1">
        <w:rPr>
          <w:sz w:val="24"/>
          <w:szCs w:val="24"/>
        </w:rPr>
        <w:t>.</w:t>
      </w:r>
      <w:r w:rsidR="000B148B">
        <w:rPr>
          <w:sz w:val="24"/>
          <w:szCs w:val="24"/>
        </w:rPr>
        <w:t xml:space="preserve"> Aktivno investiranje je stoga mukotrpan i naporan posao </w:t>
      </w:r>
      <w:r w:rsidR="001D1BC7">
        <w:rPr>
          <w:sz w:val="24"/>
          <w:szCs w:val="24"/>
        </w:rPr>
        <w:t>kako za konzervativne investitore tako još i više za agresivne investitore, pa za aktivno ulaganje</w:t>
      </w:r>
      <w:r w:rsidR="000B148B">
        <w:rPr>
          <w:sz w:val="24"/>
          <w:szCs w:val="24"/>
        </w:rPr>
        <w:t xml:space="preserve"> doista vrijedi rečenica: </w:t>
      </w:r>
      <w:r w:rsidR="000B148B" w:rsidRPr="00F3740D">
        <w:rPr>
          <w:i/>
          <w:sz w:val="24"/>
          <w:szCs w:val="24"/>
        </w:rPr>
        <w:t>„Investiranje je djelatnost, rad, napor, odricanje od lagode i stalno učenje.”</w:t>
      </w:r>
      <w:r w:rsidR="000B148B" w:rsidRPr="00F3740D">
        <w:rPr>
          <w:sz w:val="24"/>
          <w:szCs w:val="24"/>
        </w:rPr>
        <w:t xml:space="preserve"> </w:t>
      </w:r>
      <w:r w:rsidR="000B148B" w:rsidRPr="000B148B">
        <w:rPr>
          <w:sz w:val="24"/>
          <w:szCs w:val="24"/>
        </w:rPr>
        <w:t>(B. Graham)</w:t>
      </w:r>
      <w:r w:rsidR="00F3740D">
        <w:rPr>
          <w:sz w:val="24"/>
          <w:szCs w:val="24"/>
        </w:rPr>
        <w:t xml:space="preserve"> </w:t>
      </w:r>
      <w:r w:rsidR="00F3740D" w:rsidRPr="00841BCF">
        <w:rPr>
          <w:sz w:val="24"/>
          <w:szCs w:val="24"/>
        </w:rPr>
        <w:t xml:space="preserve">S obzirom da se takvo ulaganje temelji na prikupljanju i analizi brojnih raspoloživih informacija radi se o </w:t>
      </w:r>
      <w:r w:rsidR="00F3740D" w:rsidRPr="00F3740D">
        <w:rPr>
          <w:color w:val="C00000"/>
          <w:sz w:val="24"/>
          <w:szCs w:val="24"/>
        </w:rPr>
        <w:t>racionalnom ulaganju</w:t>
      </w:r>
      <w:r w:rsidR="00F3740D" w:rsidRPr="00841BCF">
        <w:rPr>
          <w:sz w:val="24"/>
          <w:szCs w:val="24"/>
        </w:rPr>
        <w:t>, iako u</w:t>
      </w:r>
      <w:r w:rsidR="00F3740D">
        <w:rPr>
          <w:sz w:val="24"/>
          <w:szCs w:val="24"/>
        </w:rPr>
        <w:t xml:space="preserve"> slučaju</w:t>
      </w:r>
      <w:r w:rsidR="00F3740D" w:rsidRPr="00841BCF">
        <w:rPr>
          <w:sz w:val="24"/>
          <w:szCs w:val="24"/>
        </w:rPr>
        <w:t xml:space="preserve"> gubitk</w:t>
      </w:r>
      <w:r w:rsidR="00F3740D">
        <w:rPr>
          <w:sz w:val="24"/>
          <w:szCs w:val="24"/>
        </w:rPr>
        <w:t xml:space="preserve">a samodiscipline, </w:t>
      </w:r>
      <w:r w:rsidR="00F3740D" w:rsidRPr="00841BCF">
        <w:rPr>
          <w:sz w:val="24"/>
          <w:szCs w:val="24"/>
        </w:rPr>
        <w:t xml:space="preserve">većeg oslanjanja na emocije </w:t>
      </w:r>
      <w:r w:rsidR="00F3740D">
        <w:rPr>
          <w:sz w:val="24"/>
          <w:szCs w:val="24"/>
        </w:rPr>
        <w:t xml:space="preserve">ili u slučaju pretjeranog samopouzdanja </w:t>
      </w:r>
      <w:r w:rsidR="00F3740D" w:rsidRPr="00841BCF">
        <w:rPr>
          <w:sz w:val="24"/>
          <w:szCs w:val="24"/>
        </w:rPr>
        <w:t xml:space="preserve">može poprimiti i obilježja </w:t>
      </w:r>
      <w:r w:rsidR="00F3740D" w:rsidRPr="00F3740D">
        <w:rPr>
          <w:color w:val="C00000"/>
          <w:sz w:val="24"/>
          <w:szCs w:val="24"/>
        </w:rPr>
        <w:t>iracionalnog ponašanja</w:t>
      </w:r>
      <w:r w:rsidR="00F3740D" w:rsidRPr="00841BCF">
        <w:rPr>
          <w:sz w:val="24"/>
          <w:szCs w:val="24"/>
        </w:rPr>
        <w:t>.</w:t>
      </w:r>
    </w:p>
    <w:p w:rsidR="00F3740D" w:rsidRDefault="00F3740D" w:rsidP="00F3740D">
      <w:pPr>
        <w:autoSpaceDE w:val="0"/>
        <w:autoSpaceDN w:val="0"/>
        <w:adjustRightInd w:val="0"/>
        <w:jc w:val="both"/>
        <w:rPr>
          <w:sz w:val="24"/>
          <w:szCs w:val="24"/>
        </w:rPr>
      </w:pPr>
      <w:r w:rsidRPr="00F3740D">
        <w:rPr>
          <w:sz w:val="24"/>
          <w:szCs w:val="24"/>
        </w:rPr>
        <w:t>U nedostatku emocionalne discipline i samokontrole</w:t>
      </w:r>
      <w:r w:rsidR="00684BD6">
        <w:rPr>
          <w:sz w:val="24"/>
          <w:szCs w:val="24"/>
        </w:rPr>
        <w:t>,</w:t>
      </w:r>
      <w:r w:rsidRPr="00F3740D">
        <w:rPr>
          <w:sz w:val="24"/>
          <w:szCs w:val="24"/>
        </w:rPr>
        <w:t xml:space="preserve"> ponašanje investitora u dionice ili druge oblike imovine </w:t>
      </w:r>
      <w:r w:rsidR="00684BD6">
        <w:rPr>
          <w:sz w:val="24"/>
          <w:szCs w:val="24"/>
        </w:rPr>
        <w:t xml:space="preserve">(npr. strane valute na deviznom tržištu) </w:t>
      </w:r>
      <w:r>
        <w:rPr>
          <w:sz w:val="24"/>
          <w:szCs w:val="24"/>
        </w:rPr>
        <w:t xml:space="preserve">vrlo često ima špekulativni karakter, a </w:t>
      </w:r>
      <w:r w:rsidRPr="00F3740D">
        <w:rPr>
          <w:sz w:val="24"/>
          <w:szCs w:val="24"/>
        </w:rPr>
        <w:t>ponekad poprima</w:t>
      </w:r>
      <w:r>
        <w:rPr>
          <w:sz w:val="24"/>
          <w:szCs w:val="24"/>
        </w:rPr>
        <w:t xml:space="preserve"> i</w:t>
      </w:r>
      <w:r w:rsidRPr="00F3740D">
        <w:rPr>
          <w:sz w:val="24"/>
          <w:szCs w:val="24"/>
        </w:rPr>
        <w:t xml:space="preserve"> obilježja ponašanja kockara. Međutim, špekulanti i kockari na financijskim tržištima ipak se međusobno bitno razlikuju. </w:t>
      </w:r>
      <w:r w:rsidRPr="00F3740D">
        <w:rPr>
          <w:color w:val="C00000"/>
          <w:sz w:val="24"/>
          <w:szCs w:val="24"/>
        </w:rPr>
        <w:t xml:space="preserve">Špekulanti </w:t>
      </w:r>
      <w:r w:rsidRPr="00F3740D">
        <w:rPr>
          <w:sz w:val="24"/>
          <w:szCs w:val="24"/>
        </w:rPr>
        <w:t xml:space="preserve">preuzimaju rizična ulaganja zbog toga što </w:t>
      </w:r>
      <w:r w:rsidRPr="00BE00B3">
        <w:rPr>
          <w:color w:val="C00000"/>
          <w:sz w:val="24"/>
          <w:szCs w:val="24"/>
        </w:rPr>
        <w:t>vjeruju</w:t>
      </w:r>
      <w:r w:rsidRPr="00F3740D">
        <w:rPr>
          <w:sz w:val="24"/>
          <w:szCs w:val="24"/>
        </w:rPr>
        <w:t xml:space="preserve"> da postoji povoljan odnos između rizika i prinosa</w:t>
      </w:r>
      <w:r>
        <w:rPr>
          <w:sz w:val="24"/>
          <w:szCs w:val="24"/>
        </w:rPr>
        <w:t xml:space="preserve">, odnosno </w:t>
      </w:r>
      <w:r w:rsidRPr="00F3740D">
        <w:rPr>
          <w:sz w:val="24"/>
          <w:szCs w:val="24"/>
        </w:rPr>
        <w:t xml:space="preserve">spremni </w:t>
      </w:r>
      <w:r>
        <w:rPr>
          <w:sz w:val="24"/>
          <w:szCs w:val="24"/>
        </w:rPr>
        <w:t xml:space="preserve">su </w:t>
      </w:r>
      <w:r w:rsidRPr="00F3740D">
        <w:rPr>
          <w:sz w:val="24"/>
          <w:szCs w:val="24"/>
        </w:rPr>
        <w:t xml:space="preserve">izložit se riziku zato što očekuju da će zaraditi premiju rizika, kao razliku između očekivanog prinosa određenog ulaganja u odnosu na prinos nerizičnih vrijednosnica. S druge strane, </w:t>
      </w:r>
      <w:r w:rsidRPr="00F3740D">
        <w:rPr>
          <w:color w:val="C00000"/>
          <w:sz w:val="24"/>
          <w:szCs w:val="24"/>
        </w:rPr>
        <w:t>kockari</w:t>
      </w:r>
      <w:r w:rsidRPr="00F3740D">
        <w:rPr>
          <w:sz w:val="24"/>
          <w:szCs w:val="24"/>
        </w:rPr>
        <w:t xml:space="preserve"> se izlažu riziku </w:t>
      </w:r>
      <w:r w:rsidR="00A13A45">
        <w:rPr>
          <w:sz w:val="24"/>
          <w:szCs w:val="24"/>
        </w:rPr>
        <w:t xml:space="preserve">prvenstveno </w:t>
      </w:r>
      <w:r w:rsidR="00BE00B3">
        <w:rPr>
          <w:sz w:val="24"/>
          <w:szCs w:val="24"/>
        </w:rPr>
        <w:t>zbog užitka koji on donosi, ali</w:t>
      </w:r>
      <w:r w:rsidR="00303EFB">
        <w:rPr>
          <w:sz w:val="24"/>
          <w:szCs w:val="24"/>
        </w:rPr>
        <w:t xml:space="preserve"> potom i</w:t>
      </w:r>
      <w:r w:rsidR="00BE00B3">
        <w:rPr>
          <w:sz w:val="24"/>
          <w:szCs w:val="24"/>
        </w:rPr>
        <w:t xml:space="preserve"> nade da će upravo oni ostvariti zaradu</w:t>
      </w:r>
      <w:r w:rsidRPr="00F3740D">
        <w:rPr>
          <w:sz w:val="24"/>
          <w:szCs w:val="24"/>
        </w:rPr>
        <w:t>.</w:t>
      </w:r>
      <w:r w:rsidR="00BE00B3">
        <w:rPr>
          <w:sz w:val="24"/>
          <w:szCs w:val="24"/>
        </w:rPr>
        <w:t xml:space="preserve"> </w:t>
      </w:r>
      <w:r w:rsidR="00303EFB">
        <w:rPr>
          <w:sz w:val="24"/>
          <w:szCs w:val="24"/>
        </w:rPr>
        <w:t xml:space="preserve">Špekulant stoga može odgovarati profilu racionalnog investitora, dok je kockar i u kasinu i na tržištu dionica iracionalni ulagač vođen emocijama. </w:t>
      </w:r>
    </w:p>
    <w:p w:rsidR="00F3740D" w:rsidRPr="002C0DBB" w:rsidRDefault="00CE02D5" w:rsidP="000B148B">
      <w:pPr>
        <w:autoSpaceDE w:val="0"/>
        <w:autoSpaceDN w:val="0"/>
        <w:adjustRightInd w:val="0"/>
        <w:jc w:val="both"/>
        <w:rPr>
          <w:b/>
          <w:sz w:val="24"/>
          <w:szCs w:val="24"/>
        </w:rPr>
      </w:pPr>
      <w:r>
        <w:rPr>
          <w:b/>
          <w:sz w:val="24"/>
          <w:szCs w:val="24"/>
        </w:rPr>
        <w:t>6</w:t>
      </w:r>
      <w:r w:rsidR="00C8385E" w:rsidRPr="002C0DBB">
        <w:rPr>
          <w:b/>
          <w:sz w:val="24"/>
          <w:szCs w:val="24"/>
        </w:rPr>
        <w:t>.</w:t>
      </w:r>
      <w:r>
        <w:rPr>
          <w:b/>
          <w:sz w:val="24"/>
          <w:szCs w:val="24"/>
        </w:rPr>
        <w:t>5</w:t>
      </w:r>
      <w:r w:rsidR="00C8385E" w:rsidRPr="002C0DBB">
        <w:rPr>
          <w:b/>
          <w:sz w:val="24"/>
          <w:szCs w:val="24"/>
        </w:rPr>
        <w:t>. Ulaganje u dionice</w:t>
      </w:r>
      <w:r w:rsidR="00EB7711">
        <w:rPr>
          <w:b/>
          <w:sz w:val="24"/>
          <w:szCs w:val="24"/>
        </w:rPr>
        <w:t xml:space="preserve"> </w:t>
      </w:r>
    </w:p>
    <w:p w:rsidR="00C11097" w:rsidRDefault="002C0DBB" w:rsidP="000B148B">
      <w:pPr>
        <w:autoSpaceDE w:val="0"/>
        <w:autoSpaceDN w:val="0"/>
        <w:adjustRightInd w:val="0"/>
        <w:jc w:val="both"/>
        <w:rPr>
          <w:sz w:val="24"/>
          <w:szCs w:val="24"/>
        </w:rPr>
      </w:pPr>
      <w:r>
        <w:rPr>
          <w:sz w:val="24"/>
          <w:szCs w:val="24"/>
        </w:rPr>
        <w:t xml:space="preserve">Ulaganje u dionice je </w:t>
      </w:r>
      <w:r w:rsidRPr="00100649">
        <w:rPr>
          <w:color w:val="C00000"/>
          <w:sz w:val="24"/>
          <w:szCs w:val="24"/>
        </w:rPr>
        <w:t>izazovan ali i zahtjevan investicijskih poduhvat</w:t>
      </w:r>
      <w:r w:rsidR="001B1136" w:rsidRPr="001B1136">
        <w:rPr>
          <w:sz w:val="24"/>
          <w:szCs w:val="24"/>
        </w:rPr>
        <w:t>, a posebno za pojedince koji umjesto posredovanog (indirektnog ulaganja) putem investicijskih ili mirovinskih fondova preferiraju samostalno direktno ulaganje</w:t>
      </w:r>
      <w:r w:rsidRPr="001B1136">
        <w:rPr>
          <w:sz w:val="24"/>
          <w:szCs w:val="24"/>
        </w:rPr>
        <w:t>.</w:t>
      </w:r>
      <w:r w:rsidRPr="00100649">
        <w:rPr>
          <w:color w:val="C00000"/>
          <w:sz w:val="24"/>
          <w:szCs w:val="24"/>
        </w:rPr>
        <w:t xml:space="preserve"> </w:t>
      </w:r>
      <w:r w:rsidR="00E446B3">
        <w:rPr>
          <w:sz w:val="24"/>
          <w:szCs w:val="24"/>
        </w:rPr>
        <w:t xml:space="preserve">Na tržištu su dostupne brojne dionice, </w:t>
      </w:r>
      <w:r w:rsidR="00E446B3">
        <w:rPr>
          <w:sz w:val="24"/>
          <w:szCs w:val="24"/>
        </w:rPr>
        <w:lastRenderedPageBreak/>
        <w:t>različitih poduzeća, iz različitih sektora</w:t>
      </w:r>
      <w:r w:rsidR="00277124">
        <w:rPr>
          <w:sz w:val="24"/>
          <w:szCs w:val="24"/>
        </w:rPr>
        <w:t>, a osim ulaganja na domaćem tržištu dostupne su mogućnosti ulaganja na stranim tržištima</w:t>
      </w:r>
      <w:r w:rsidR="003B65C0">
        <w:rPr>
          <w:sz w:val="24"/>
          <w:szCs w:val="24"/>
        </w:rPr>
        <w:t>. T</w:t>
      </w:r>
      <w:r w:rsidR="00F20805">
        <w:rPr>
          <w:sz w:val="24"/>
          <w:szCs w:val="24"/>
        </w:rPr>
        <w:t>o investitoru omoguć</w:t>
      </w:r>
      <w:r w:rsidR="00C11097">
        <w:rPr>
          <w:sz w:val="24"/>
          <w:szCs w:val="24"/>
        </w:rPr>
        <w:t>ava</w:t>
      </w:r>
      <w:r w:rsidR="00F20805">
        <w:rPr>
          <w:sz w:val="24"/>
          <w:szCs w:val="24"/>
        </w:rPr>
        <w:t xml:space="preserve"> velik izbor</w:t>
      </w:r>
      <w:r w:rsidR="00C11097">
        <w:rPr>
          <w:sz w:val="24"/>
          <w:szCs w:val="24"/>
        </w:rPr>
        <w:t>,</w:t>
      </w:r>
      <w:r w:rsidR="00F20805">
        <w:rPr>
          <w:sz w:val="24"/>
          <w:szCs w:val="24"/>
        </w:rPr>
        <w:t xml:space="preserve"> ali i povećava subjektivni osjećaj nesigurnosti koje dionice izabrati</w:t>
      </w:r>
      <w:r w:rsidR="00100649">
        <w:rPr>
          <w:sz w:val="24"/>
          <w:szCs w:val="24"/>
        </w:rPr>
        <w:t>,</w:t>
      </w:r>
      <w:r w:rsidR="002941E7">
        <w:rPr>
          <w:sz w:val="24"/>
          <w:szCs w:val="24"/>
        </w:rPr>
        <w:t xml:space="preserve"> </w:t>
      </w:r>
      <w:r w:rsidR="00C11097">
        <w:rPr>
          <w:sz w:val="24"/>
          <w:szCs w:val="24"/>
        </w:rPr>
        <w:t>n</w:t>
      </w:r>
      <w:r w:rsidR="00100649">
        <w:rPr>
          <w:sz w:val="24"/>
          <w:szCs w:val="24"/>
        </w:rPr>
        <w:t>a primjer</w:t>
      </w:r>
      <w:r w:rsidR="002117BF">
        <w:rPr>
          <w:sz w:val="24"/>
          <w:szCs w:val="24"/>
        </w:rPr>
        <w:t>:</w:t>
      </w:r>
      <w:r w:rsidR="00EB7711">
        <w:rPr>
          <w:sz w:val="24"/>
          <w:szCs w:val="24"/>
        </w:rPr>
        <w:t xml:space="preserve"> da li se voditi praksom drugih investitora pa kupovati i prodavati isto što radi i većina, da li se fokusirati na određene sektore u kojima se očekuju određene pozitivne promjene, da li se držati dionica velikih, uhodanih i poznatih poduzeća kod kojih je vrlo vjerojatno da su interesantne i brojnim drugim ulagačima pa je malo vjerojatno da će omogućiti velike prinose ali možda neće kod uzrokovati velike gubitke investitora</w:t>
      </w:r>
      <w:r w:rsidR="00C11097">
        <w:rPr>
          <w:sz w:val="24"/>
          <w:szCs w:val="24"/>
        </w:rPr>
        <w:t>;</w:t>
      </w:r>
      <w:r w:rsidR="00EB7711">
        <w:rPr>
          <w:sz w:val="24"/>
          <w:szCs w:val="24"/>
        </w:rPr>
        <w:t xml:space="preserve"> ili se odlučiti na dionice malih poduzeća koja su u fazi ekspanzije i/ ili su više rizična pa postoji mogućnost veće</w:t>
      </w:r>
      <w:r w:rsidR="002117BF">
        <w:rPr>
          <w:sz w:val="24"/>
          <w:szCs w:val="24"/>
        </w:rPr>
        <w:t xml:space="preserve"> zarade ali isto tako i većeg gubitka. </w:t>
      </w:r>
      <w:r w:rsidR="00EC43FD">
        <w:rPr>
          <w:sz w:val="24"/>
          <w:szCs w:val="24"/>
        </w:rPr>
        <w:t xml:space="preserve">Na </w:t>
      </w:r>
      <w:r w:rsidR="00C14D2F">
        <w:rPr>
          <w:sz w:val="24"/>
          <w:szCs w:val="24"/>
        </w:rPr>
        <w:t>odluku o izboru dionica utječu</w:t>
      </w:r>
      <w:r w:rsidR="00EC43FD">
        <w:rPr>
          <w:sz w:val="24"/>
          <w:szCs w:val="24"/>
        </w:rPr>
        <w:t xml:space="preserve"> očekivani </w:t>
      </w:r>
      <w:r w:rsidR="00EC43FD" w:rsidRPr="00F115FB">
        <w:rPr>
          <w:color w:val="C00000"/>
          <w:sz w:val="24"/>
          <w:szCs w:val="24"/>
        </w:rPr>
        <w:t>prihodi od ulaganja u dionice</w:t>
      </w:r>
      <w:r w:rsidR="00F115FB">
        <w:rPr>
          <w:sz w:val="24"/>
          <w:szCs w:val="24"/>
        </w:rPr>
        <w:t>,</w:t>
      </w:r>
      <w:r w:rsidR="00F115FB" w:rsidRPr="00F115FB">
        <w:rPr>
          <w:color w:val="C00000"/>
          <w:sz w:val="24"/>
          <w:szCs w:val="24"/>
        </w:rPr>
        <w:t xml:space="preserve"> </w:t>
      </w:r>
      <w:r w:rsidR="00F115FB">
        <w:rPr>
          <w:sz w:val="24"/>
          <w:szCs w:val="24"/>
        </w:rPr>
        <w:t>koji se dijele na prihode od dividende (pri čemu ne postoji obveza isplate dividende) i prihode od kapitalnih dobitaka</w:t>
      </w:r>
      <w:r w:rsidR="00C14D2F">
        <w:rPr>
          <w:sz w:val="24"/>
          <w:szCs w:val="24"/>
        </w:rPr>
        <w:t xml:space="preserve"> (zarade na razlici prodajne cijene u odnosu na nabavnu)</w:t>
      </w:r>
      <w:r w:rsidR="00F115FB">
        <w:rPr>
          <w:sz w:val="24"/>
          <w:szCs w:val="24"/>
        </w:rPr>
        <w:t>.</w:t>
      </w:r>
    </w:p>
    <w:tbl>
      <w:tblPr>
        <w:tblStyle w:val="Reetkatablice"/>
        <w:tblW w:w="0" w:type="auto"/>
        <w:tblInd w:w="108" w:type="dxa"/>
        <w:tblLook w:val="04A0" w:firstRow="1" w:lastRow="0" w:firstColumn="1" w:lastColumn="0" w:noHBand="0" w:noVBand="1"/>
      </w:tblPr>
      <w:tblGrid>
        <w:gridCol w:w="9180"/>
      </w:tblGrid>
      <w:tr w:rsidR="00C11097" w:rsidTr="00AD0269">
        <w:tc>
          <w:tcPr>
            <w:tcW w:w="9180" w:type="dxa"/>
          </w:tcPr>
          <w:p w:rsidR="00372F4A" w:rsidRPr="00372F4A" w:rsidRDefault="00372F4A" w:rsidP="001B1136">
            <w:pPr>
              <w:autoSpaceDE w:val="0"/>
              <w:autoSpaceDN w:val="0"/>
              <w:adjustRightInd w:val="0"/>
              <w:jc w:val="both"/>
              <w:rPr>
                <w:rFonts w:asciiTheme="minorHAnsi" w:hAnsiTheme="minorHAnsi"/>
                <w:color w:val="C00000"/>
                <w:sz w:val="24"/>
                <w:szCs w:val="24"/>
              </w:rPr>
            </w:pPr>
            <w:r w:rsidRPr="00372F4A">
              <w:rPr>
                <w:rFonts w:asciiTheme="minorHAnsi" w:hAnsiTheme="minorHAnsi"/>
                <w:color w:val="C00000"/>
                <w:sz w:val="24"/>
                <w:szCs w:val="24"/>
              </w:rPr>
              <w:t>Indeksi Zagrebačke burze</w:t>
            </w:r>
          </w:p>
          <w:p w:rsidR="00372F4A" w:rsidRDefault="008D60D6" w:rsidP="001B1136">
            <w:pPr>
              <w:autoSpaceDE w:val="0"/>
              <w:autoSpaceDN w:val="0"/>
              <w:adjustRightInd w:val="0"/>
              <w:spacing w:before="120"/>
              <w:jc w:val="both"/>
            </w:pPr>
            <w:r>
              <w:rPr>
                <w:rFonts w:asciiTheme="minorHAnsi" w:eastAsiaTheme="minorHAnsi" w:hAnsiTheme="minorHAnsi" w:cstheme="minorBidi"/>
                <w:sz w:val="22"/>
                <w:szCs w:val="22"/>
                <w:lang w:eastAsia="en-US"/>
              </w:rPr>
              <w:object w:dxaOrig="10875" w:dyaOrig="4410">
                <v:shape id="_x0000_i1079" type="#_x0000_t75" style="width:453.75pt;height:183.75pt" o:ole="">
                  <v:imagedata r:id="rId231" o:title=""/>
                </v:shape>
                <o:OLEObject Type="Embed" ProgID="PBrush" ShapeID="_x0000_i1079" DrawAspect="Content" ObjectID="_1505681407" r:id="rId232"/>
              </w:object>
            </w:r>
          </w:p>
          <w:p w:rsidR="00AD0269" w:rsidRDefault="00AD0269" w:rsidP="00372F4A">
            <w:pPr>
              <w:autoSpaceDE w:val="0"/>
              <w:autoSpaceDN w:val="0"/>
              <w:adjustRightInd w:val="0"/>
              <w:jc w:val="both"/>
            </w:pPr>
            <w:r>
              <w:rPr>
                <w:rFonts w:asciiTheme="minorHAnsi" w:eastAsiaTheme="minorHAnsi" w:hAnsiTheme="minorHAnsi" w:cstheme="minorBidi"/>
                <w:sz w:val="22"/>
                <w:szCs w:val="22"/>
                <w:lang w:eastAsia="en-US"/>
              </w:rPr>
              <w:object w:dxaOrig="10665" w:dyaOrig="5685">
                <v:shape id="_x0000_i1080" type="#_x0000_t75" style="width:453pt;height:241.5pt" o:ole="">
                  <v:imagedata r:id="rId233" o:title=""/>
                </v:shape>
                <o:OLEObject Type="Embed" ProgID="PBrush" ShapeID="_x0000_i1080" DrawAspect="Content" ObjectID="_1505681408" r:id="rId234"/>
              </w:object>
            </w:r>
          </w:p>
          <w:p w:rsidR="00AD0269" w:rsidRDefault="00AD0269" w:rsidP="00372F4A">
            <w:pPr>
              <w:autoSpaceDE w:val="0"/>
              <w:autoSpaceDN w:val="0"/>
              <w:adjustRightInd w:val="0"/>
              <w:jc w:val="both"/>
            </w:pPr>
            <w:r>
              <w:rPr>
                <w:noProof/>
              </w:rPr>
              <w:t>I</w:t>
            </w:r>
            <w:r w:rsidRPr="002941E7">
              <w:rPr>
                <w:rFonts w:asciiTheme="minorHAnsi" w:hAnsiTheme="minorHAnsi"/>
                <w:noProof/>
              </w:rPr>
              <w:t xml:space="preserve">zvor: preuzeto sa: </w:t>
            </w:r>
            <w:r w:rsidRPr="00AD0269">
              <w:rPr>
                <w:rFonts w:asciiTheme="minorHAnsi" w:hAnsiTheme="minorHAnsi"/>
                <w:noProof/>
              </w:rPr>
              <w:t>http://zse.hr/default.aspx?id=44101&amp;index=CROBEX</w:t>
            </w:r>
          </w:p>
          <w:p w:rsidR="00AD0269" w:rsidRPr="00AD0269" w:rsidRDefault="00AD0269" w:rsidP="00372F4A">
            <w:pPr>
              <w:autoSpaceDE w:val="0"/>
              <w:autoSpaceDN w:val="0"/>
              <w:adjustRightInd w:val="0"/>
              <w:jc w:val="both"/>
              <w:rPr>
                <w:rFonts w:asciiTheme="minorHAnsi" w:hAnsiTheme="minorHAnsi"/>
                <w:color w:val="C00000"/>
                <w:sz w:val="24"/>
                <w:szCs w:val="24"/>
              </w:rPr>
            </w:pPr>
            <w:r>
              <w:rPr>
                <w:rFonts w:asciiTheme="minorHAnsi" w:hAnsiTheme="minorHAnsi"/>
                <w:color w:val="C00000"/>
                <w:sz w:val="24"/>
                <w:szCs w:val="24"/>
              </w:rPr>
              <w:lastRenderedPageBreak/>
              <w:t xml:space="preserve">Indeks </w:t>
            </w:r>
            <w:r w:rsidRPr="00AD0269">
              <w:rPr>
                <w:rFonts w:asciiTheme="minorHAnsi" w:hAnsiTheme="minorHAnsi"/>
                <w:color w:val="C00000"/>
                <w:sz w:val="24"/>
                <w:szCs w:val="24"/>
              </w:rPr>
              <w:t>CROBEX – povijesni podaci</w:t>
            </w:r>
          </w:p>
          <w:p w:rsidR="00AD0269" w:rsidRDefault="00AD0269" w:rsidP="00372F4A">
            <w:pPr>
              <w:autoSpaceDE w:val="0"/>
              <w:autoSpaceDN w:val="0"/>
              <w:adjustRightInd w:val="0"/>
              <w:jc w:val="both"/>
            </w:pPr>
          </w:p>
          <w:p w:rsidR="00AD0269" w:rsidRDefault="00AD0269" w:rsidP="00372F4A">
            <w:pPr>
              <w:autoSpaceDE w:val="0"/>
              <w:autoSpaceDN w:val="0"/>
              <w:adjustRightInd w:val="0"/>
              <w:jc w:val="both"/>
              <w:rPr>
                <w:noProof/>
              </w:rPr>
            </w:pPr>
            <w:r>
              <w:rPr>
                <w:noProof/>
              </w:rPr>
              <w:drawing>
                <wp:inline distT="0" distB="0" distL="0" distR="0" wp14:anchorId="37016B88" wp14:editId="4C871620">
                  <wp:extent cx="5676900" cy="2847975"/>
                  <wp:effectExtent l="0" t="0" r="19050" b="9525"/>
                  <wp:docPr id="29699" name="Grafikon 296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A37B16" w:rsidRDefault="00AD0269" w:rsidP="00AD0269">
            <w:pPr>
              <w:autoSpaceDE w:val="0"/>
              <w:autoSpaceDN w:val="0"/>
              <w:adjustRightInd w:val="0"/>
              <w:spacing w:before="120" w:after="120"/>
              <w:jc w:val="both"/>
              <w:rPr>
                <w:noProof/>
              </w:rPr>
            </w:pPr>
            <w:r>
              <w:rPr>
                <w:noProof/>
              </w:rPr>
              <w:t>I</w:t>
            </w:r>
            <w:r w:rsidR="002941E7" w:rsidRPr="002941E7">
              <w:rPr>
                <w:rFonts w:asciiTheme="minorHAnsi" w:hAnsiTheme="minorHAnsi"/>
                <w:noProof/>
              </w:rPr>
              <w:t xml:space="preserve">zvor: </w:t>
            </w:r>
            <w:r w:rsidR="000E2654">
              <w:rPr>
                <w:rFonts w:asciiTheme="minorHAnsi" w:hAnsiTheme="minorHAnsi"/>
                <w:noProof/>
              </w:rPr>
              <w:t xml:space="preserve">ZSE, </w:t>
            </w:r>
            <w:r w:rsidR="002941E7" w:rsidRPr="002941E7">
              <w:rPr>
                <w:rFonts w:asciiTheme="minorHAnsi" w:hAnsiTheme="minorHAnsi"/>
                <w:noProof/>
              </w:rPr>
              <w:t xml:space="preserve">preuzeto s: </w:t>
            </w:r>
            <w:hyperlink r:id="rId236" w:history="1">
              <w:r w:rsidR="00B1715A" w:rsidRPr="00574D5A">
                <w:rPr>
                  <w:rStyle w:val="Hiperveza"/>
                  <w:noProof/>
                </w:rPr>
                <w:t>http://zse.hr/default.aspx?id=44101&amp;index=CROBEX</w:t>
              </w:r>
            </w:hyperlink>
          </w:p>
          <w:p w:rsidR="00B1715A" w:rsidRPr="00B1715A" w:rsidRDefault="00B1715A" w:rsidP="00AD0269">
            <w:pPr>
              <w:autoSpaceDE w:val="0"/>
              <w:autoSpaceDN w:val="0"/>
              <w:adjustRightInd w:val="0"/>
              <w:spacing w:before="120" w:after="120"/>
              <w:jc w:val="both"/>
              <w:rPr>
                <w:rFonts w:asciiTheme="minorHAnsi" w:hAnsiTheme="minorHAnsi"/>
                <w:noProof/>
                <w:color w:val="C00000"/>
                <w:sz w:val="24"/>
                <w:szCs w:val="24"/>
              </w:rPr>
            </w:pPr>
            <w:r w:rsidRPr="00B1715A">
              <w:rPr>
                <w:rFonts w:asciiTheme="minorHAnsi" w:hAnsiTheme="minorHAnsi"/>
                <w:noProof/>
                <w:color w:val="C00000"/>
                <w:sz w:val="24"/>
                <w:szCs w:val="24"/>
              </w:rPr>
              <w:t>Sastav CROBEX-a</w:t>
            </w:r>
            <w:r>
              <w:rPr>
                <w:rFonts w:asciiTheme="minorHAnsi" w:hAnsiTheme="minorHAnsi"/>
                <w:noProof/>
                <w:color w:val="C00000"/>
                <w:sz w:val="24"/>
                <w:szCs w:val="24"/>
              </w:rPr>
              <w:t xml:space="preserve"> </w:t>
            </w:r>
            <w:r>
              <w:rPr>
                <w:rFonts w:ascii="Arial" w:hAnsi="Arial" w:cs="Arial"/>
                <w:color w:val="3D3938"/>
                <w:sz w:val="17"/>
                <w:szCs w:val="17"/>
                <w:shd w:val="clear" w:color="auto" w:fill="FFFFFF"/>
              </w:rPr>
              <w:t>od 23. ožujka 2015.</w:t>
            </w:r>
            <w:r w:rsidR="009C4C2C">
              <w:rPr>
                <w:rFonts w:ascii="Arial" w:hAnsi="Arial" w:cs="Arial"/>
                <w:color w:val="3D3938"/>
                <w:sz w:val="17"/>
                <w:szCs w:val="17"/>
                <w:shd w:val="clear" w:color="auto" w:fill="FFFFFF"/>
              </w:rPr>
              <w:t xml:space="preserve"> do sljedeće revizije</w:t>
            </w:r>
          </w:p>
          <w:p w:rsidR="00B1715A" w:rsidRDefault="00B1715A" w:rsidP="00AD0269">
            <w:pPr>
              <w:autoSpaceDE w:val="0"/>
              <w:autoSpaceDN w:val="0"/>
              <w:adjustRightInd w:val="0"/>
              <w:spacing w:before="120" w:after="120"/>
              <w:jc w:val="both"/>
            </w:pPr>
            <w:r>
              <w:rPr>
                <w:rFonts w:asciiTheme="minorHAnsi" w:eastAsiaTheme="minorHAnsi" w:hAnsiTheme="minorHAnsi" w:cstheme="minorBidi"/>
                <w:sz w:val="22"/>
                <w:szCs w:val="22"/>
                <w:lang w:eastAsia="en-US"/>
              </w:rPr>
              <w:object w:dxaOrig="10500" w:dyaOrig="7860">
                <v:shape id="_x0000_i1081" type="#_x0000_t75" style="width:453.75pt;height:339.75pt" o:ole="">
                  <v:imagedata r:id="rId237" o:title=""/>
                </v:shape>
                <o:OLEObject Type="Embed" ProgID="PBrush" ShapeID="_x0000_i1081" DrawAspect="Content" ObjectID="_1505681409" r:id="rId238"/>
              </w:object>
            </w:r>
          </w:p>
          <w:p w:rsidR="00B1715A" w:rsidRPr="00372F4A" w:rsidRDefault="00B1715A" w:rsidP="000E2654">
            <w:pPr>
              <w:autoSpaceDE w:val="0"/>
              <w:autoSpaceDN w:val="0"/>
              <w:adjustRightInd w:val="0"/>
              <w:spacing w:before="120" w:after="120"/>
              <w:jc w:val="both"/>
            </w:pPr>
            <w:r>
              <w:rPr>
                <w:noProof/>
              </w:rPr>
              <w:t>I</w:t>
            </w:r>
            <w:r w:rsidRPr="002941E7">
              <w:rPr>
                <w:rFonts w:asciiTheme="minorHAnsi" w:hAnsiTheme="minorHAnsi"/>
                <w:noProof/>
              </w:rPr>
              <w:t xml:space="preserve">zvor: </w:t>
            </w:r>
            <w:r w:rsidR="000E2654">
              <w:rPr>
                <w:rFonts w:asciiTheme="minorHAnsi" w:hAnsiTheme="minorHAnsi"/>
                <w:noProof/>
              </w:rPr>
              <w:t xml:space="preserve">ZSE, </w:t>
            </w:r>
            <w:r w:rsidRPr="002941E7">
              <w:rPr>
                <w:rFonts w:asciiTheme="minorHAnsi" w:hAnsiTheme="minorHAnsi"/>
                <w:noProof/>
              </w:rPr>
              <w:t>preuzeto s</w:t>
            </w:r>
            <w:r>
              <w:t xml:space="preserve">: </w:t>
            </w:r>
            <w:r w:rsidRPr="00B1715A">
              <w:t>http://zse.hr/default.aspx?id=44101&amp;index=CROBEX</w:t>
            </w:r>
          </w:p>
        </w:tc>
      </w:tr>
    </w:tbl>
    <w:p w:rsidR="00A37B16" w:rsidRDefault="00A37B16" w:rsidP="00A37B16">
      <w:pPr>
        <w:autoSpaceDE w:val="0"/>
        <w:autoSpaceDN w:val="0"/>
        <w:adjustRightInd w:val="0"/>
        <w:spacing w:before="240"/>
        <w:jc w:val="both"/>
        <w:rPr>
          <w:sz w:val="24"/>
          <w:szCs w:val="24"/>
        </w:rPr>
      </w:pPr>
    </w:p>
    <w:tbl>
      <w:tblPr>
        <w:tblStyle w:val="Reetkatablice"/>
        <w:tblW w:w="0" w:type="auto"/>
        <w:tblInd w:w="108" w:type="dxa"/>
        <w:tblLook w:val="04A0" w:firstRow="1" w:lastRow="0" w:firstColumn="1" w:lastColumn="0" w:noHBand="0" w:noVBand="1"/>
      </w:tblPr>
      <w:tblGrid>
        <w:gridCol w:w="9180"/>
      </w:tblGrid>
      <w:tr w:rsidR="00A37B16" w:rsidTr="00A37B16">
        <w:tc>
          <w:tcPr>
            <w:tcW w:w="9180" w:type="dxa"/>
          </w:tcPr>
          <w:p w:rsidR="00A37B16" w:rsidRDefault="00B1715A" w:rsidP="00F115FB">
            <w:pPr>
              <w:autoSpaceDE w:val="0"/>
              <w:autoSpaceDN w:val="0"/>
              <w:adjustRightInd w:val="0"/>
              <w:spacing w:before="120"/>
              <w:jc w:val="both"/>
              <w:rPr>
                <w:rFonts w:asciiTheme="minorHAnsi" w:hAnsiTheme="minorHAnsi" w:cs="Tahoma"/>
                <w:bCs/>
                <w:noProof/>
                <w:color w:val="C00000"/>
                <w:sz w:val="24"/>
                <w:szCs w:val="24"/>
              </w:rPr>
            </w:pPr>
            <w:r>
              <w:rPr>
                <w:rFonts w:asciiTheme="minorHAnsi" w:hAnsiTheme="minorHAnsi" w:cs="Tahoma"/>
                <w:bCs/>
                <w:noProof/>
                <w:color w:val="C00000"/>
                <w:sz w:val="24"/>
                <w:szCs w:val="24"/>
              </w:rPr>
              <w:t>Revizija indeksa CROBEX</w:t>
            </w:r>
          </w:p>
          <w:p w:rsidR="00F115FB" w:rsidRPr="000E2654" w:rsidRDefault="00B1715A" w:rsidP="00F115FB">
            <w:pPr>
              <w:spacing w:before="120" w:after="120"/>
              <w:jc w:val="both"/>
              <w:rPr>
                <w:rFonts w:asciiTheme="minorHAnsi" w:hAnsiTheme="minorHAnsi" w:cs="Arial"/>
                <w:i/>
                <w:color w:val="3D3938"/>
                <w:shd w:val="clear" w:color="auto" w:fill="FFFFFF"/>
              </w:rPr>
            </w:pPr>
            <w:r w:rsidRPr="000E2654">
              <w:rPr>
                <w:rFonts w:asciiTheme="minorHAnsi" w:hAnsiTheme="minorHAnsi" w:cs="Arial"/>
                <w:i/>
                <w:color w:val="3D3938"/>
                <w:shd w:val="clear" w:color="auto" w:fill="FFFFFF"/>
              </w:rPr>
              <w:t>Odbor za indekse na svom je sastanku 3. rujna 2015. godine izvršio redovnu reviziju indeksa CROBEX</w:t>
            </w:r>
            <w:r w:rsidRPr="000E2654">
              <w:rPr>
                <w:rFonts w:asciiTheme="minorHAnsi" w:hAnsiTheme="minorHAnsi" w:cs="Arial"/>
                <w:i/>
                <w:color w:val="3D3938"/>
                <w:shd w:val="clear" w:color="auto" w:fill="FFFFFF"/>
                <w:vertAlign w:val="superscript"/>
              </w:rPr>
              <w:t>® </w:t>
            </w:r>
            <w:r w:rsidRPr="000E2654">
              <w:rPr>
                <w:rFonts w:asciiTheme="minorHAnsi" w:hAnsiTheme="minorHAnsi" w:cs="Arial"/>
                <w:i/>
                <w:color w:val="3D3938"/>
                <w:shd w:val="clear" w:color="auto" w:fill="FFFFFF"/>
              </w:rPr>
              <w:t>i CROBEXtr</w:t>
            </w:r>
            <w:r w:rsidRPr="000E2654">
              <w:rPr>
                <w:rFonts w:asciiTheme="minorHAnsi" w:hAnsiTheme="minorHAnsi" w:cs="Arial"/>
                <w:i/>
                <w:color w:val="3D3938"/>
                <w:shd w:val="clear" w:color="auto" w:fill="FFFFFF"/>
                <w:vertAlign w:val="superscript"/>
              </w:rPr>
              <w:t>©</w:t>
            </w:r>
            <w:r w:rsidRPr="000E2654">
              <w:rPr>
                <w:rFonts w:asciiTheme="minorHAnsi" w:hAnsiTheme="minorHAnsi" w:cs="Arial"/>
                <w:i/>
                <w:color w:val="3D3938"/>
                <w:shd w:val="clear" w:color="auto" w:fill="FFFFFF"/>
              </w:rPr>
              <w:t>. Revizija je izvršena na osnovu podatak</w:t>
            </w:r>
            <w:r w:rsidR="00405C43">
              <w:rPr>
                <w:rFonts w:asciiTheme="minorHAnsi" w:hAnsiTheme="minorHAnsi" w:cs="Arial"/>
                <w:i/>
                <w:color w:val="3D3938"/>
                <w:shd w:val="clear" w:color="auto" w:fill="FFFFFF"/>
              </w:rPr>
              <w:t xml:space="preserve">a o trgovanju u razdoblju od 1.3. 2015. do 31.8. </w:t>
            </w:r>
            <w:r w:rsidRPr="000E2654">
              <w:rPr>
                <w:rFonts w:asciiTheme="minorHAnsi" w:hAnsiTheme="minorHAnsi" w:cs="Arial"/>
                <w:i/>
                <w:color w:val="3D3938"/>
                <w:shd w:val="clear" w:color="auto" w:fill="FFFFFF"/>
              </w:rPr>
              <w:t xml:space="preserve">2015.. </w:t>
            </w:r>
          </w:p>
          <w:p w:rsidR="00B1715A" w:rsidRPr="00B1715A" w:rsidRDefault="00B1715A" w:rsidP="00F115FB">
            <w:pPr>
              <w:jc w:val="both"/>
              <w:rPr>
                <w:sz w:val="24"/>
                <w:szCs w:val="24"/>
              </w:rPr>
            </w:pPr>
            <w:r w:rsidRPr="000E2654">
              <w:rPr>
                <w:rFonts w:asciiTheme="minorHAnsi" w:hAnsiTheme="minorHAnsi" w:cs="Arial"/>
                <w:i/>
                <w:color w:val="3D3938"/>
                <w:sz w:val="22"/>
                <w:szCs w:val="22"/>
                <w:shd w:val="clear" w:color="auto" w:fill="FFFFFF"/>
              </w:rPr>
              <w:t>U sastavu indeksa CROBEX</w:t>
            </w:r>
            <w:r w:rsidRPr="000E2654">
              <w:rPr>
                <w:rFonts w:asciiTheme="minorHAnsi" w:hAnsiTheme="minorHAnsi" w:cs="Arial"/>
                <w:i/>
                <w:color w:val="3D3938"/>
                <w:sz w:val="22"/>
                <w:szCs w:val="22"/>
                <w:shd w:val="clear" w:color="auto" w:fill="FFFFFF"/>
                <w:vertAlign w:val="superscript"/>
              </w:rPr>
              <w:t>® </w:t>
            </w:r>
            <w:r w:rsidRPr="000E2654">
              <w:rPr>
                <w:rFonts w:asciiTheme="minorHAnsi" w:hAnsiTheme="minorHAnsi" w:cs="Arial"/>
                <w:i/>
                <w:color w:val="3D3938"/>
                <w:sz w:val="22"/>
                <w:szCs w:val="22"/>
                <w:shd w:val="clear" w:color="auto" w:fill="FFFFFF"/>
              </w:rPr>
              <w:t>i CROBEXtr</w:t>
            </w:r>
            <w:r w:rsidRPr="000E2654">
              <w:rPr>
                <w:rFonts w:asciiTheme="minorHAnsi" w:hAnsiTheme="minorHAnsi" w:cs="Arial"/>
                <w:i/>
                <w:color w:val="3D3938"/>
                <w:sz w:val="22"/>
                <w:szCs w:val="22"/>
                <w:shd w:val="clear" w:color="auto" w:fill="FFFFFF"/>
                <w:vertAlign w:val="superscript"/>
              </w:rPr>
              <w:t>©</w:t>
            </w:r>
            <w:r w:rsidRPr="000E2654">
              <w:rPr>
                <w:rFonts w:asciiTheme="minorHAnsi" w:hAnsiTheme="minorHAnsi" w:cs="Arial"/>
                <w:i/>
                <w:color w:val="3D3938"/>
                <w:sz w:val="22"/>
                <w:szCs w:val="22"/>
                <w:shd w:val="clear" w:color="auto" w:fill="FFFFFF"/>
              </w:rPr>
              <w:t> od 21. rujna 2015. godine bit će sljedeće dionice:</w:t>
            </w:r>
            <w:r w:rsidRPr="000E2654">
              <w:rPr>
                <w:rFonts w:asciiTheme="minorHAnsi" w:hAnsiTheme="minorHAnsi" w:cs="Arial"/>
                <w:i/>
                <w:color w:val="3D3938"/>
                <w:shd w:val="clear" w:color="auto" w:fill="FFFFFF"/>
              </w:rPr>
              <w:t>“</w:t>
            </w:r>
            <w:r w:rsidRPr="00B1715A">
              <w:rPr>
                <w:rFonts w:ascii="Arial" w:hAnsi="Arial" w:cs="Arial"/>
                <w:color w:val="3D3938"/>
                <w:sz w:val="17"/>
                <w:szCs w:val="17"/>
              </w:rPr>
              <w:br/>
            </w:r>
            <w:r w:rsidRPr="00B1715A">
              <w:rPr>
                <w:rFonts w:ascii="Arial" w:hAnsi="Arial" w:cs="Arial"/>
                <w:color w:val="3D3938"/>
                <w:sz w:val="17"/>
                <w:szCs w:val="17"/>
                <w:shd w:val="clear" w:color="auto" w:fill="FFFFFF"/>
              </w:rPr>
              <w:t> </w:t>
            </w:r>
          </w:p>
          <w:tbl>
            <w:tblPr>
              <w:tblW w:w="7170" w:type="dxa"/>
              <w:jc w:val="center"/>
              <w:tblCellSpacing w:w="15" w:type="dxa"/>
              <w:tblBorders>
                <w:top w:val="single" w:sz="2" w:space="0" w:color="EEEEEE"/>
              </w:tblBorders>
              <w:shd w:val="clear" w:color="auto" w:fill="FFFFFF"/>
              <w:tblCellMar>
                <w:top w:w="15" w:type="dxa"/>
                <w:left w:w="15" w:type="dxa"/>
                <w:bottom w:w="15" w:type="dxa"/>
                <w:right w:w="15" w:type="dxa"/>
              </w:tblCellMar>
              <w:tblLook w:val="04A0" w:firstRow="1" w:lastRow="0" w:firstColumn="1" w:lastColumn="0" w:noHBand="0" w:noVBand="1"/>
            </w:tblPr>
            <w:tblGrid>
              <w:gridCol w:w="601"/>
              <w:gridCol w:w="1687"/>
              <w:gridCol w:w="3370"/>
              <w:gridCol w:w="1512"/>
            </w:tblGrid>
            <w:tr w:rsidR="00B1715A" w:rsidRPr="00B1715A" w:rsidTr="00F115FB">
              <w:trPr>
                <w:trHeight w:val="360"/>
                <w:tblHeader/>
                <w:tblCellSpacing w:w="15" w:type="dxa"/>
                <w:jc w:val="center"/>
              </w:trPr>
              <w:tc>
                <w:tcPr>
                  <w:tcW w:w="556" w:type="dxa"/>
                  <w:tcBorders>
                    <w:bottom w:val="single" w:sz="6" w:space="0" w:color="EEEEEE"/>
                  </w:tcBorders>
                  <w:shd w:val="clear" w:color="auto" w:fill="8D817B"/>
                  <w:tcMar>
                    <w:top w:w="75" w:type="dxa"/>
                    <w:left w:w="30" w:type="dxa"/>
                    <w:bottom w:w="75" w:type="dxa"/>
                    <w:right w:w="30" w:type="dxa"/>
                  </w:tcMar>
                  <w:vAlign w:val="center"/>
                  <w:hideMark/>
                </w:tcPr>
                <w:p w:rsidR="00B1715A" w:rsidRPr="00B1715A" w:rsidRDefault="00B1715A" w:rsidP="00405C43">
                  <w:pPr>
                    <w:spacing w:after="0" w:line="240" w:lineRule="atLeast"/>
                    <w:jc w:val="center"/>
                    <w:rPr>
                      <w:rFonts w:ascii="Arial" w:eastAsia="Times New Roman" w:hAnsi="Arial" w:cs="Arial"/>
                      <w:b/>
                      <w:bCs/>
                      <w:color w:val="FFFFFF"/>
                      <w:sz w:val="17"/>
                      <w:szCs w:val="17"/>
                      <w:lang w:eastAsia="hr-HR"/>
                    </w:rPr>
                  </w:pPr>
                  <w:r w:rsidRPr="00B1715A">
                    <w:rPr>
                      <w:rFonts w:ascii="Arial" w:eastAsia="Times New Roman" w:hAnsi="Arial" w:cs="Arial"/>
                      <w:b/>
                      <w:bCs/>
                      <w:color w:val="FFFFFF"/>
                      <w:sz w:val="17"/>
                      <w:szCs w:val="17"/>
                      <w:lang w:eastAsia="hr-HR"/>
                    </w:rPr>
                    <w:t> </w:t>
                  </w:r>
                </w:p>
              </w:tc>
              <w:tc>
                <w:tcPr>
                  <w:tcW w:w="1657" w:type="dxa"/>
                  <w:tcBorders>
                    <w:bottom w:val="single" w:sz="6" w:space="0" w:color="EEEEEE"/>
                  </w:tcBorders>
                  <w:shd w:val="clear" w:color="auto" w:fill="8D817B"/>
                  <w:tcMar>
                    <w:top w:w="75" w:type="dxa"/>
                    <w:left w:w="30" w:type="dxa"/>
                    <w:bottom w:w="75" w:type="dxa"/>
                    <w:right w:w="30" w:type="dxa"/>
                  </w:tcMar>
                  <w:vAlign w:val="center"/>
                  <w:hideMark/>
                </w:tcPr>
                <w:p w:rsidR="00B1715A" w:rsidRPr="00B1715A" w:rsidRDefault="00B1715A" w:rsidP="00405C43">
                  <w:pPr>
                    <w:spacing w:after="0" w:line="240" w:lineRule="atLeast"/>
                    <w:jc w:val="center"/>
                    <w:rPr>
                      <w:rFonts w:ascii="Arial" w:eastAsia="Times New Roman" w:hAnsi="Arial" w:cs="Arial"/>
                      <w:b/>
                      <w:bCs/>
                      <w:color w:val="FFFFFF"/>
                      <w:sz w:val="17"/>
                      <w:szCs w:val="17"/>
                      <w:lang w:eastAsia="hr-HR"/>
                    </w:rPr>
                  </w:pPr>
                  <w:r w:rsidRPr="00B1715A">
                    <w:rPr>
                      <w:rFonts w:ascii="Arial" w:eastAsia="Times New Roman" w:hAnsi="Arial" w:cs="Arial"/>
                      <w:b/>
                      <w:bCs/>
                      <w:color w:val="FFFFFF"/>
                      <w:sz w:val="17"/>
                      <w:szCs w:val="17"/>
                      <w:lang w:eastAsia="hr-HR"/>
                    </w:rPr>
                    <w:t>Simbol</w:t>
                  </w:r>
                </w:p>
              </w:tc>
              <w:tc>
                <w:tcPr>
                  <w:tcW w:w="3340" w:type="dxa"/>
                  <w:tcBorders>
                    <w:bottom w:val="single" w:sz="6" w:space="0" w:color="EEEEEE"/>
                  </w:tcBorders>
                  <w:shd w:val="clear" w:color="auto" w:fill="8D817B"/>
                  <w:tcMar>
                    <w:top w:w="75" w:type="dxa"/>
                    <w:left w:w="30" w:type="dxa"/>
                    <w:bottom w:w="75" w:type="dxa"/>
                    <w:right w:w="30" w:type="dxa"/>
                  </w:tcMar>
                  <w:vAlign w:val="center"/>
                  <w:hideMark/>
                </w:tcPr>
                <w:p w:rsidR="00B1715A" w:rsidRPr="00B1715A" w:rsidRDefault="00B1715A" w:rsidP="00405C43">
                  <w:pPr>
                    <w:spacing w:after="0" w:line="240" w:lineRule="atLeast"/>
                    <w:jc w:val="center"/>
                    <w:rPr>
                      <w:rFonts w:ascii="Arial" w:eastAsia="Times New Roman" w:hAnsi="Arial" w:cs="Arial"/>
                      <w:b/>
                      <w:bCs/>
                      <w:color w:val="FFFFFF"/>
                      <w:sz w:val="17"/>
                      <w:szCs w:val="17"/>
                      <w:lang w:eastAsia="hr-HR"/>
                    </w:rPr>
                  </w:pPr>
                  <w:r w:rsidRPr="00B1715A">
                    <w:rPr>
                      <w:rFonts w:ascii="Arial" w:eastAsia="Times New Roman" w:hAnsi="Arial" w:cs="Arial"/>
                      <w:b/>
                      <w:bCs/>
                      <w:color w:val="FFFFFF"/>
                      <w:sz w:val="17"/>
                      <w:szCs w:val="17"/>
                      <w:lang w:eastAsia="hr-HR"/>
                    </w:rPr>
                    <w:t>Izdavatelj</w:t>
                  </w:r>
                </w:p>
              </w:tc>
              <w:tc>
                <w:tcPr>
                  <w:tcW w:w="1467" w:type="dxa"/>
                  <w:tcBorders>
                    <w:bottom w:val="single" w:sz="6" w:space="0" w:color="EEEEEE"/>
                  </w:tcBorders>
                  <w:shd w:val="clear" w:color="auto" w:fill="8D817B"/>
                  <w:tcMar>
                    <w:top w:w="75" w:type="dxa"/>
                    <w:left w:w="30" w:type="dxa"/>
                    <w:bottom w:w="75" w:type="dxa"/>
                    <w:right w:w="30" w:type="dxa"/>
                  </w:tcMar>
                  <w:vAlign w:val="center"/>
                  <w:hideMark/>
                </w:tcPr>
                <w:p w:rsidR="00B1715A" w:rsidRPr="00B1715A" w:rsidRDefault="00B1715A" w:rsidP="00405C43">
                  <w:pPr>
                    <w:spacing w:after="0" w:line="240" w:lineRule="atLeast"/>
                    <w:jc w:val="center"/>
                    <w:rPr>
                      <w:rFonts w:ascii="Arial" w:eastAsia="Times New Roman" w:hAnsi="Arial" w:cs="Arial"/>
                      <w:b/>
                      <w:bCs/>
                      <w:color w:val="FFFFFF"/>
                      <w:sz w:val="17"/>
                      <w:szCs w:val="17"/>
                      <w:lang w:eastAsia="hr-HR"/>
                    </w:rPr>
                  </w:pPr>
                  <w:r w:rsidRPr="00B1715A">
                    <w:rPr>
                      <w:rFonts w:ascii="Arial" w:eastAsia="Times New Roman" w:hAnsi="Arial" w:cs="Arial"/>
                      <w:b/>
                      <w:bCs/>
                      <w:color w:val="FFFFFF"/>
                      <w:sz w:val="17"/>
                      <w:szCs w:val="17"/>
                      <w:lang w:eastAsia="hr-HR"/>
                    </w:rPr>
                    <w:t>Free float faktor</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ADPL-R-A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AD Plastik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65,00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ADRS-P-A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Adris grupa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95,00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3</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ARNT-R-A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Arenaturist d. 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30,00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ATGR-R-A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Atlantic Grupa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ATPL-R-A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Atlantska plovidba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80,00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6</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BLJE-R-A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Belje d.d. Darda</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7</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DDJH-R-A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Đuro Đaković holding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35,00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8</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DLKV-R-A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Dalekovod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9</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ERNT-R-A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Ericsson Nikola Tesla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10</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HT-R-A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HT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11</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INA-R-A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Ina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7,00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12</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INGR-R-A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Ingra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95,00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13</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KOEI-R-A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Končar - elektroindustrija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80,00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14</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KRAS-R-A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Kraš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60,00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15</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LKPC-R-A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Luka Ploče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70,00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16</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LKRI-R-A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Luka Rijeka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17</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MAIS-R-A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Maistra d. 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11,00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18</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OPTE-R-A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OT-OPTIMA TELEKOM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19</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PODR-R-A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Podravka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75,00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20</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PTKM-R-A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Petrokemija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21</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RIVP-R-A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VALAMAR RIVIERA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55,00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22</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RIZO-R-A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RIZ-odašiljači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23</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TPNG-R-A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TANKERSKA NEXT GENERATION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45,00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24</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VERN-R-A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Genera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30,00</w:t>
                  </w:r>
                </w:p>
              </w:tc>
            </w:tr>
            <w:tr w:rsidR="00B1715A" w:rsidRPr="00B1715A" w:rsidTr="00F115FB">
              <w:trPr>
                <w:trHeight w:val="285"/>
                <w:tblCellSpacing w:w="15" w:type="dxa"/>
                <w:jc w:val="center"/>
              </w:trPr>
              <w:tc>
                <w:tcPr>
                  <w:tcW w:w="556"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25</w:t>
                  </w:r>
                </w:p>
              </w:tc>
              <w:tc>
                <w:tcPr>
                  <w:tcW w:w="165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ZABA-R-A</w:t>
                  </w:r>
                </w:p>
              </w:tc>
              <w:tc>
                <w:tcPr>
                  <w:tcW w:w="3340"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Zagrebačka banka d.d.</w:t>
                  </w:r>
                </w:p>
              </w:tc>
              <w:tc>
                <w:tcPr>
                  <w:tcW w:w="1467" w:type="dxa"/>
                  <w:tcBorders>
                    <w:bottom w:val="single" w:sz="6" w:space="0" w:color="EEEEEE"/>
                  </w:tcBorders>
                  <w:shd w:val="clear" w:color="auto" w:fill="FFFFFF"/>
                  <w:tcMar>
                    <w:top w:w="45" w:type="dxa"/>
                    <w:left w:w="0" w:type="dxa"/>
                    <w:bottom w:w="45" w:type="dxa"/>
                    <w:right w:w="0" w:type="dxa"/>
                  </w:tcMar>
                  <w:vAlign w:val="center"/>
                  <w:hideMark/>
                </w:tcPr>
                <w:p w:rsidR="00B1715A" w:rsidRPr="00B1715A" w:rsidRDefault="00B1715A" w:rsidP="00405C43">
                  <w:pPr>
                    <w:spacing w:after="0" w:line="240" w:lineRule="atLeast"/>
                    <w:rPr>
                      <w:rFonts w:ascii="Arial" w:eastAsia="Times New Roman" w:hAnsi="Arial" w:cs="Arial"/>
                      <w:color w:val="3D3938"/>
                      <w:sz w:val="17"/>
                      <w:szCs w:val="17"/>
                      <w:lang w:eastAsia="hr-HR"/>
                    </w:rPr>
                  </w:pPr>
                  <w:r w:rsidRPr="00B1715A">
                    <w:rPr>
                      <w:rFonts w:ascii="Arial" w:eastAsia="Times New Roman" w:hAnsi="Arial" w:cs="Arial"/>
                      <w:color w:val="3D3938"/>
                      <w:sz w:val="17"/>
                      <w:szCs w:val="17"/>
                      <w:lang w:eastAsia="hr-HR"/>
                    </w:rPr>
                    <w:t>4,00</w:t>
                  </w:r>
                </w:p>
              </w:tc>
            </w:tr>
          </w:tbl>
          <w:p w:rsidR="00A37B16" w:rsidRPr="00A37B16" w:rsidRDefault="00A37B16" w:rsidP="00201FE0">
            <w:pPr>
              <w:autoSpaceDE w:val="0"/>
              <w:autoSpaceDN w:val="0"/>
              <w:adjustRightInd w:val="0"/>
              <w:spacing w:before="120" w:after="120"/>
              <w:jc w:val="both"/>
              <w:rPr>
                <w:rFonts w:asciiTheme="minorHAnsi" w:hAnsiTheme="minorHAnsi"/>
                <w:sz w:val="24"/>
                <w:szCs w:val="24"/>
              </w:rPr>
            </w:pPr>
            <w:r w:rsidRPr="00A37B16">
              <w:rPr>
                <w:rFonts w:asciiTheme="minorHAnsi" w:hAnsiTheme="minorHAnsi"/>
              </w:rPr>
              <w:t xml:space="preserve">Izvor: </w:t>
            </w:r>
            <w:r w:rsidR="000E2654">
              <w:rPr>
                <w:rFonts w:asciiTheme="minorHAnsi" w:hAnsiTheme="minorHAnsi"/>
              </w:rPr>
              <w:t xml:space="preserve">ZSE, </w:t>
            </w:r>
            <w:r w:rsidR="008D60D6">
              <w:rPr>
                <w:rFonts w:asciiTheme="minorHAnsi" w:hAnsiTheme="minorHAnsi"/>
              </w:rPr>
              <w:t xml:space="preserve">preuzeto sa: </w:t>
            </w:r>
            <w:r w:rsidR="00201FE0" w:rsidRPr="00201FE0">
              <w:rPr>
                <w:rFonts w:asciiTheme="minorHAnsi" w:hAnsiTheme="minorHAnsi"/>
              </w:rPr>
              <w:t>http://zse.hr/default.aspx?id=61164</w:t>
            </w:r>
          </w:p>
        </w:tc>
      </w:tr>
    </w:tbl>
    <w:p w:rsidR="00576C97" w:rsidRDefault="00576C97" w:rsidP="00A71E0A">
      <w:pPr>
        <w:autoSpaceDE w:val="0"/>
        <w:autoSpaceDN w:val="0"/>
        <w:adjustRightInd w:val="0"/>
        <w:spacing w:before="240"/>
        <w:jc w:val="both"/>
        <w:rPr>
          <w:sz w:val="24"/>
          <w:szCs w:val="24"/>
        </w:rPr>
      </w:pPr>
      <w:r>
        <w:rPr>
          <w:sz w:val="24"/>
          <w:szCs w:val="24"/>
        </w:rPr>
        <w:lastRenderedPageBreak/>
        <w:t xml:space="preserve">Kako bi se rizik po pojedinačnim dionicama ili dionicama određenog sektora smanjio, </w:t>
      </w:r>
      <w:r w:rsidRPr="002117BF">
        <w:rPr>
          <w:color w:val="C00000"/>
          <w:sz w:val="24"/>
          <w:szCs w:val="24"/>
        </w:rPr>
        <w:t>malim ulagateljima se uobičajeno preporučuje diverzifikacija portfelja</w:t>
      </w:r>
      <w:r>
        <w:rPr>
          <w:sz w:val="24"/>
          <w:szCs w:val="24"/>
        </w:rPr>
        <w:t>, ulaganje u investicije koje se kreću kao prosjek tržišta, u dionice koje su likvidne, kod kojih postoje market makeri (specijalisti) za održavanje likvidnosti dionice, u dionice uključene u sastav određenog dioničkog indeksa, koje imaju visok free-float (pa u manjoj mjeri dolazi do izražaja koncentracija vlasništva s mogućim nepovoljnim učincima na zaštićenost malih ulagatelja), u portfelj dionica s više vjerojatnim prihodom od dividendi itd.. (Što nipošto ne znači nagovor na kupnju ili prodaju temeljem navedenih principa, nego se samo navodi kao primjer.)</w:t>
      </w:r>
    </w:p>
    <w:p w:rsidR="00576C97" w:rsidRPr="00A71E0A" w:rsidRDefault="00576C97" w:rsidP="00576C97">
      <w:pPr>
        <w:autoSpaceDE w:val="0"/>
        <w:autoSpaceDN w:val="0"/>
        <w:adjustRightInd w:val="0"/>
        <w:spacing w:before="120" w:after="120"/>
        <w:jc w:val="both"/>
        <w:rPr>
          <w:sz w:val="24"/>
          <w:szCs w:val="24"/>
        </w:rPr>
      </w:pPr>
      <w:r w:rsidRPr="00A71E0A">
        <w:rPr>
          <w:sz w:val="24"/>
          <w:szCs w:val="24"/>
        </w:rPr>
        <w:t xml:space="preserve">Za razliku od uobičajenih preporuka za ulaganje malih ulagača, brojni </w:t>
      </w:r>
      <w:r>
        <w:rPr>
          <w:sz w:val="24"/>
          <w:szCs w:val="24"/>
        </w:rPr>
        <w:t xml:space="preserve">svjetski poznati i </w:t>
      </w:r>
      <w:r w:rsidRPr="00A71E0A">
        <w:rPr>
          <w:sz w:val="24"/>
          <w:szCs w:val="24"/>
        </w:rPr>
        <w:t xml:space="preserve">vrlo imućni pojedinci (s obilježjima kvalificiranih ulagatelja) u svojim autobiografijama ističu da pri ulaganju nisu slijedili ponašanje većine, da se vrlo često nisu vodili </w:t>
      </w:r>
      <w:r w:rsidRPr="00A71E0A">
        <w:rPr>
          <w:color w:val="C00000"/>
          <w:sz w:val="24"/>
          <w:szCs w:val="24"/>
        </w:rPr>
        <w:t xml:space="preserve">strategijom „uz vjetar“ </w:t>
      </w:r>
      <w:r w:rsidRPr="00A71E0A">
        <w:rPr>
          <w:sz w:val="24"/>
          <w:szCs w:val="24"/>
        </w:rPr>
        <w:t xml:space="preserve">nego upravo suprotno </w:t>
      </w:r>
      <w:r w:rsidRPr="00A71E0A">
        <w:rPr>
          <w:color w:val="C00000"/>
          <w:sz w:val="24"/>
          <w:szCs w:val="24"/>
        </w:rPr>
        <w:t xml:space="preserve">„strategijom protiv vjetra“ </w:t>
      </w:r>
      <w:r w:rsidRPr="00A71E0A">
        <w:rPr>
          <w:sz w:val="24"/>
          <w:szCs w:val="24"/>
        </w:rPr>
        <w:t xml:space="preserve">i da s obzirom na velike iznose ulaganja koji su im dostupni u manjoj mjeri diverzificiraju portfelj i fokusiraju se na ona ulaganja koja imaju izglede za velik povrat uz svjesno prihvaćanje većeg rizika te manje likvidnosti imovine vezane uz takva ulaganja. Čest primjer navedenog su ulaganja putem alternativnih investicijskih fondova (s privatnom ponudom) uključujući fondove venture kapitala (fondove rizičnog kapitala) i private equity ulaganja (privatna vlasnička ulaganja) </w:t>
      </w:r>
      <w:r w:rsidR="00C14D2F">
        <w:rPr>
          <w:sz w:val="24"/>
          <w:szCs w:val="24"/>
        </w:rPr>
        <w:t xml:space="preserve">kao oblik vlasničkih ulaganja sa specifičnim obilježjima i motivima. </w:t>
      </w:r>
    </w:p>
    <w:p w:rsidR="00576C97" w:rsidRDefault="00576C97" w:rsidP="00576C97">
      <w:pPr>
        <w:autoSpaceDE w:val="0"/>
        <w:autoSpaceDN w:val="0"/>
        <w:adjustRightInd w:val="0"/>
        <w:spacing w:before="240"/>
        <w:jc w:val="both"/>
        <w:rPr>
          <w:sz w:val="24"/>
          <w:szCs w:val="24"/>
        </w:rPr>
      </w:pPr>
      <w:r w:rsidRPr="00A71E0A">
        <w:rPr>
          <w:sz w:val="24"/>
          <w:szCs w:val="24"/>
        </w:rPr>
        <w:t xml:space="preserve">S tim u vezi često se ističe da </w:t>
      </w:r>
      <w:r w:rsidRPr="00A71E0A">
        <w:rPr>
          <w:i/>
          <w:color w:val="C00000"/>
          <w:sz w:val="24"/>
          <w:szCs w:val="24"/>
        </w:rPr>
        <w:t>„bogati mogu investirati u prilike koje su za siromašne i srednji sloj vrlo opasne i nedostupne.“</w:t>
      </w:r>
      <w:r w:rsidRPr="00A71E0A">
        <w:rPr>
          <w:sz w:val="24"/>
          <w:szCs w:val="24"/>
        </w:rPr>
        <w:t xml:space="preserve"> Razlog tome je najčešće r</w:t>
      </w:r>
      <w:r>
        <w:rPr>
          <w:sz w:val="24"/>
          <w:szCs w:val="24"/>
        </w:rPr>
        <w:t>egulativa</w:t>
      </w:r>
      <w:r w:rsidRPr="00A71E0A">
        <w:rPr>
          <w:sz w:val="24"/>
          <w:szCs w:val="24"/>
        </w:rPr>
        <w:t xml:space="preserve"> koja malim ulagateljima ograničava pristup vrlo rizičnim, manje likvidnim i manje transparentnim ulaganjima. Pristup takvim ulaganjima često je ograničen praksom privatne ponude</w:t>
      </w:r>
      <w:r w:rsidR="00C14D2F">
        <w:rPr>
          <w:sz w:val="24"/>
          <w:szCs w:val="24"/>
        </w:rPr>
        <w:t xml:space="preserve"> te se često </w:t>
      </w:r>
      <w:r w:rsidRPr="00A71E0A">
        <w:rPr>
          <w:sz w:val="24"/>
          <w:szCs w:val="24"/>
        </w:rPr>
        <w:t>radi se o investicijama koje se odvijaju izvan burze i sličnih organiziranih i transparentnih financijskih tržišta</w:t>
      </w:r>
      <w:r w:rsidR="00C14D2F">
        <w:rPr>
          <w:sz w:val="24"/>
          <w:szCs w:val="24"/>
        </w:rPr>
        <w:t>. I</w:t>
      </w:r>
      <w:r w:rsidRPr="00A71E0A">
        <w:rPr>
          <w:sz w:val="24"/>
          <w:szCs w:val="24"/>
        </w:rPr>
        <w:t>movin</w:t>
      </w:r>
      <w:r w:rsidR="00C14D2F">
        <w:rPr>
          <w:sz w:val="24"/>
          <w:szCs w:val="24"/>
        </w:rPr>
        <w:t>a</w:t>
      </w:r>
      <w:r w:rsidRPr="00A71E0A">
        <w:rPr>
          <w:sz w:val="24"/>
          <w:szCs w:val="24"/>
        </w:rPr>
        <w:t xml:space="preserve"> vezan</w:t>
      </w:r>
      <w:r w:rsidR="00C14D2F">
        <w:rPr>
          <w:sz w:val="24"/>
          <w:szCs w:val="24"/>
        </w:rPr>
        <w:t>a</w:t>
      </w:r>
      <w:r w:rsidRPr="00A71E0A">
        <w:rPr>
          <w:sz w:val="24"/>
          <w:szCs w:val="24"/>
        </w:rPr>
        <w:t xml:space="preserve"> uz takva ulaganja </w:t>
      </w:r>
      <w:r w:rsidR="00C14D2F">
        <w:rPr>
          <w:sz w:val="24"/>
          <w:szCs w:val="24"/>
        </w:rPr>
        <w:t xml:space="preserve">stoga je tipično </w:t>
      </w:r>
      <w:r w:rsidRPr="00A71E0A">
        <w:rPr>
          <w:sz w:val="24"/>
          <w:szCs w:val="24"/>
        </w:rPr>
        <w:t>niže likvidn</w:t>
      </w:r>
      <w:r w:rsidR="00C14D2F">
        <w:rPr>
          <w:sz w:val="24"/>
          <w:szCs w:val="24"/>
        </w:rPr>
        <w:t>a</w:t>
      </w:r>
      <w:r w:rsidRPr="00A71E0A">
        <w:rPr>
          <w:sz w:val="24"/>
          <w:szCs w:val="24"/>
        </w:rPr>
        <w:t>, dok se rizičnost ulaganja najčešće veže uz rizik poduzetničke aktivnosti koja se financira, npr. kroz vlasnička ulaganja u mlada inovativna i tehnološki usmjerena poduzeća (start-up) s potencijalom za snažan rast u razdoblju od npr. pet do sedam godina, ali i rizikom brzog tehnološkog zastarijevanja, konkurencije, neuspjeha na tržištu i slično. Pri tome cilj takvih alternativnih ulaganja nije usmjeren na ostvarivanje tekućeg dohotka od kapitala (poput dividenda i slično) nego ostvarenje neto dobitka (u odnosu na uložena sredstva) pri prodaji poduzeća nakon pet do sedam godina</w:t>
      </w:r>
      <w:r w:rsidR="00C14D2F">
        <w:rPr>
          <w:sz w:val="24"/>
          <w:szCs w:val="24"/>
        </w:rPr>
        <w:t>, npr. kroz prodaju poduzeća strateškim kupcima (velikim poduzećima u istoj branši) ili kroz</w:t>
      </w:r>
      <w:r w:rsidRPr="00A71E0A">
        <w:rPr>
          <w:sz w:val="24"/>
          <w:szCs w:val="24"/>
        </w:rPr>
        <w:t xml:space="preserve"> izla</w:t>
      </w:r>
      <w:r w:rsidR="00C14D2F">
        <w:rPr>
          <w:sz w:val="24"/>
          <w:szCs w:val="24"/>
        </w:rPr>
        <w:t>zak</w:t>
      </w:r>
      <w:r w:rsidRPr="00A71E0A">
        <w:rPr>
          <w:sz w:val="24"/>
          <w:szCs w:val="24"/>
        </w:rPr>
        <w:t xml:space="preserve"> na dioničko tržište kroz inicijalne javne ponude.</w:t>
      </w:r>
    </w:p>
    <w:p w:rsidR="00D5518A" w:rsidRDefault="00662A96" w:rsidP="00A71E0A">
      <w:pPr>
        <w:autoSpaceDE w:val="0"/>
        <w:autoSpaceDN w:val="0"/>
        <w:adjustRightInd w:val="0"/>
        <w:spacing w:before="240"/>
        <w:jc w:val="both"/>
        <w:rPr>
          <w:sz w:val="24"/>
          <w:szCs w:val="24"/>
        </w:rPr>
      </w:pPr>
      <w:r>
        <w:rPr>
          <w:sz w:val="24"/>
          <w:szCs w:val="24"/>
        </w:rPr>
        <w:t xml:space="preserve">U usporedbi s oblicima alternativnog investiranja, ulaganja na </w:t>
      </w:r>
      <w:r w:rsidR="00D2221E">
        <w:rPr>
          <w:sz w:val="24"/>
          <w:szCs w:val="24"/>
        </w:rPr>
        <w:t>tržišt</w:t>
      </w:r>
      <w:r>
        <w:rPr>
          <w:sz w:val="24"/>
          <w:szCs w:val="24"/>
        </w:rPr>
        <w:t>u</w:t>
      </w:r>
      <w:r w:rsidR="00D2221E">
        <w:rPr>
          <w:sz w:val="24"/>
          <w:szCs w:val="24"/>
        </w:rPr>
        <w:t xml:space="preserve"> dionica </w:t>
      </w:r>
      <w:r>
        <w:rPr>
          <w:sz w:val="24"/>
          <w:szCs w:val="24"/>
        </w:rPr>
        <w:t xml:space="preserve">uglavnom imaju znatno veći </w:t>
      </w:r>
      <w:r w:rsidR="00D2221E">
        <w:rPr>
          <w:sz w:val="24"/>
          <w:szCs w:val="24"/>
        </w:rPr>
        <w:t xml:space="preserve">stupanj </w:t>
      </w:r>
      <w:r>
        <w:rPr>
          <w:sz w:val="24"/>
          <w:szCs w:val="24"/>
        </w:rPr>
        <w:t xml:space="preserve">likvidnosti uz dostupnu mogućnost pristupa za </w:t>
      </w:r>
      <w:r w:rsidR="00D2221E">
        <w:rPr>
          <w:sz w:val="24"/>
          <w:szCs w:val="24"/>
        </w:rPr>
        <w:t>velik</w:t>
      </w:r>
      <w:r>
        <w:rPr>
          <w:sz w:val="24"/>
          <w:szCs w:val="24"/>
        </w:rPr>
        <w:t xml:space="preserve"> </w:t>
      </w:r>
      <w:r w:rsidR="00D2221E">
        <w:rPr>
          <w:sz w:val="24"/>
          <w:szCs w:val="24"/>
        </w:rPr>
        <w:t>broj potencijalnih sudionika tržišta</w:t>
      </w:r>
      <w:r>
        <w:rPr>
          <w:sz w:val="24"/>
          <w:szCs w:val="24"/>
        </w:rPr>
        <w:t xml:space="preserve"> uključujući male, kvalificirane i profesionalne ulagatelja (iz zemlje i inozemstva), gdje se posebno ističe </w:t>
      </w:r>
      <w:r w:rsidR="00D2221E">
        <w:rPr>
          <w:sz w:val="24"/>
          <w:szCs w:val="24"/>
        </w:rPr>
        <w:t>važn</w:t>
      </w:r>
      <w:r>
        <w:rPr>
          <w:sz w:val="24"/>
          <w:szCs w:val="24"/>
        </w:rPr>
        <w:t>ost</w:t>
      </w:r>
      <w:r w:rsidR="00D2221E">
        <w:rPr>
          <w:sz w:val="24"/>
          <w:szCs w:val="24"/>
        </w:rPr>
        <w:t xml:space="preserve"> burze u tržišnom vrednovanju dionica </w:t>
      </w:r>
      <w:r>
        <w:rPr>
          <w:sz w:val="24"/>
          <w:szCs w:val="24"/>
        </w:rPr>
        <w:t xml:space="preserve">te </w:t>
      </w:r>
      <w:r w:rsidR="00D2221E">
        <w:rPr>
          <w:sz w:val="24"/>
          <w:szCs w:val="24"/>
        </w:rPr>
        <w:t>povezivanju nositelja ponude i potražnje</w:t>
      </w:r>
      <w:r w:rsidR="00D5518A">
        <w:rPr>
          <w:sz w:val="24"/>
          <w:szCs w:val="24"/>
        </w:rPr>
        <w:t>, s značajnim učincima na likvidnost dionica kao instrumenta financijskih ulaganja</w:t>
      </w:r>
      <w:r w:rsidR="00D2221E">
        <w:rPr>
          <w:sz w:val="24"/>
          <w:szCs w:val="24"/>
        </w:rPr>
        <w:t xml:space="preserve">. </w:t>
      </w:r>
    </w:p>
    <w:tbl>
      <w:tblPr>
        <w:tblStyle w:val="Reetkatablice"/>
        <w:tblW w:w="0" w:type="auto"/>
        <w:tblInd w:w="108" w:type="dxa"/>
        <w:tblLook w:val="04A0" w:firstRow="1" w:lastRow="0" w:firstColumn="1" w:lastColumn="0" w:noHBand="0" w:noVBand="1"/>
      </w:tblPr>
      <w:tblGrid>
        <w:gridCol w:w="9180"/>
      </w:tblGrid>
      <w:tr w:rsidR="00D5518A" w:rsidTr="00FE3212">
        <w:tc>
          <w:tcPr>
            <w:tcW w:w="9180" w:type="dxa"/>
          </w:tcPr>
          <w:p w:rsidR="00E41C51" w:rsidRDefault="00D5518A" w:rsidP="00FB2486">
            <w:pPr>
              <w:shd w:val="clear" w:color="auto" w:fill="FFFFFF"/>
              <w:spacing w:after="120"/>
              <w:rPr>
                <w:rFonts w:asciiTheme="minorHAnsi" w:hAnsiTheme="minorHAnsi" w:cs="Tahoma"/>
                <w:sz w:val="24"/>
                <w:szCs w:val="24"/>
              </w:rPr>
            </w:pPr>
            <w:r w:rsidRPr="00E41C51">
              <w:rPr>
                <w:rFonts w:asciiTheme="minorHAnsi" w:hAnsiTheme="minorHAnsi" w:cs="Tahoma"/>
                <w:bCs/>
                <w:color w:val="C00000"/>
                <w:sz w:val="24"/>
                <w:szCs w:val="24"/>
              </w:rPr>
              <w:lastRenderedPageBreak/>
              <w:t xml:space="preserve">Najlikvidnije dionice na Zagrebačkoj burzi </w:t>
            </w:r>
            <w:r w:rsidR="00FB2486" w:rsidRPr="00E41C51">
              <w:rPr>
                <w:rFonts w:asciiTheme="minorHAnsi" w:hAnsiTheme="minorHAnsi" w:cs="Tahoma"/>
                <w:bCs/>
                <w:color w:val="C00000"/>
                <w:sz w:val="24"/>
                <w:szCs w:val="24"/>
              </w:rPr>
              <w:t xml:space="preserve">d.d. </w:t>
            </w:r>
            <w:r w:rsidR="00E41C51" w:rsidRPr="00E41C51">
              <w:rPr>
                <w:rFonts w:asciiTheme="minorHAnsi" w:hAnsiTheme="minorHAnsi" w:cs="Tahoma"/>
                <w:bCs/>
                <w:color w:val="C00000"/>
                <w:sz w:val="24"/>
                <w:szCs w:val="24"/>
              </w:rPr>
              <w:t xml:space="preserve">  </w:t>
            </w:r>
            <w:r w:rsidR="00E41C51">
              <w:rPr>
                <w:rFonts w:asciiTheme="minorHAnsi" w:hAnsiTheme="minorHAnsi" w:cs="Tahoma"/>
                <w:bCs/>
                <w:sz w:val="24"/>
                <w:szCs w:val="24"/>
              </w:rPr>
              <w:t>(</w:t>
            </w:r>
            <w:r w:rsidRPr="002941E7">
              <w:rPr>
                <w:rFonts w:asciiTheme="minorHAnsi" w:hAnsiTheme="minorHAnsi" w:cs="Tahoma"/>
                <w:bCs/>
                <w:sz w:val="24"/>
                <w:szCs w:val="24"/>
              </w:rPr>
              <w:t>18.0</w:t>
            </w:r>
            <w:r w:rsidR="00FB2486">
              <w:rPr>
                <w:rFonts w:asciiTheme="minorHAnsi" w:hAnsiTheme="minorHAnsi" w:cs="Tahoma"/>
                <w:bCs/>
                <w:sz w:val="24"/>
                <w:szCs w:val="24"/>
              </w:rPr>
              <w:t>9</w:t>
            </w:r>
            <w:r w:rsidRPr="002941E7">
              <w:rPr>
                <w:rFonts w:asciiTheme="minorHAnsi" w:hAnsiTheme="minorHAnsi" w:cs="Tahoma"/>
                <w:bCs/>
                <w:sz w:val="24"/>
                <w:szCs w:val="24"/>
              </w:rPr>
              <w:t>.2015</w:t>
            </w:r>
            <w:r w:rsidR="00E41C51">
              <w:rPr>
                <w:rFonts w:asciiTheme="minorHAnsi" w:hAnsiTheme="minorHAnsi" w:cs="Tahoma"/>
                <w:sz w:val="24"/>
                <w:szCs w:val="24"/>
              </w:rPr>
              <w:t>.)</w:t>
            </w:r>
          </w:p>
          <w:p w:rsidR="00D5518A" w:rsidRDefault="00E41C51" w:rsidP="00FB2486">
            <w:pPr>
              <w:shd w:val="clear" w:color="auto" w:fill="FFFFFF"/>
              <w:spacing w:after="120"/>
              <w:rPr>
                <w:sz w:val="24"/>
                <w:szCs w:val="24"/>
              </w:rPr>
            </w:pPr>
            <w:r>
              <w:rPr>
                <w:rFonts w:asciiTheme="minorHAnsi" w:eastAsiaTheme="minorHAnsi" w:hAnsiTheme="minorHAnsi" w:cstheme="minorBidi"/>
                <w:sz w:val="22"/>
                <w:szCs w:val="22"/>
                <w:lang w:eastAsia="en-US"/>
              </w:rPr>
              <w:object w:dxaOrig="6495" w:dyaOrig="11130">
                <v:shape id="_x0000_i1082" type="#_x0000_t75" style="width:387pt;height:556.5pt" o:ole="">
                  <v:imagedata r:id="rId239" o:title=""/>
                </v:shape>
                <o:OLEObject Type="Embed" ProgID="PBrush" ShapeID="_x0000_i1082" DrawAspect="Content" ObjectID="_1505681410" r:id="rId240"/>
              </w:object>
            </w:r>
          </w:p>
          <w:p w:rsidR="000E2654" w:rsidRDefault="00FB2486" w:rsidP="00FE3212">
            <w:pPr>
              <w:autoSpaceDE w:val="0"/>
              <w:autoSpaceDN w:val="0"/>
              <w:adjustRightInd w:val="0"/>
              <w:jc w:val="both"/>
              <w:rPr>
                <w:rFonts w:asciiTheme="minorHAnsi" w:hAnsiTheme="minorHAnsi" w:cs="Tahoma"/>
                <w:color w:val="000000"/>
                <w:shd w:val="clear" w:color="auto" w:fill="FFFFFF"/>
              </w:rPr>
            </w:pPr>
            <w:r w:rsidRPr="000E2654">
              <w:rPr>
                <w:rFonts w:asciiTheme="minorHAnsi" w:hAnsiTheme="minorHAnsi" w:cs="Tahoma"/>
                <w:color w:val="000000"/>
                <w:shd w:val="clear" w:color="auto" w:fill="FFFFFF"/>
              </w:rPr>
              <w:t>*Lkv.5d - likvidnost u zadnjih 5 dana trgovanja (broj dana na koje je dionicom trgovano u zadnjih 5 dana / 5)</w:t>
            </w:r>
            <w:r w:rsidRPr="000E2654">
              <w:rPr>
                <w:rStyle w:val="apple-converted-space"/>
                <w:rFonts w:asciiTheme="minorHAnsi" w:hAnsiTheme="minorHAnsi" w:cs="Tahoma"/>
                <w:color w:val="000000"/>
                <w:shd w:val="clear" w:color="auto" w:fill="FFFFFF"/>
              </w:rPr>
              <w:t> </w:t>
            </w:r>
            <w:r w:rsidRPr="000E2654">
              <w:rPr>
                <w:rFonts w:asciiTheme="minorHAnsi" w:hAnsiTheme="minorHAnsi" w:cs="Tahoma"/>
                <w:color w:val="000000"/>
              </w:rPr>
              <w:br/>
            </w:r>
            <w:r w:rsidRPr="000E2654">
              <w:rPr>
                <w:rFonts w:asciiTheme="minorHAnsi" w:hAnsiTheme="minorHAnsi" w:cs="Tahoma"/>
                <w:color w:val="000000"/>
                <w:shd w:val="clear" w:color="auto" w:fill="FFFFFF"/>
              </w:rPr>
              <w:t>*Lkv.20d - likvidnos</w:t>
            </w:r>
            <w:r w:rsidR="000E2654">
              <w:rPr>
                <w:rFonts w:asciiTheme="minorHAnsi" w:hAnsiTheme="minorHAnsi" w:cs="Tahoma"/>
                <w:color w:val="000000"/>
                <w:shd w:val="clear" w:color="auto" w:fill="FFFFFF"/>
              </w:rPr>
              <w:t xml:space="preserve">t u zadnjih 20 dana trgovanja  </w:t>
            </w:r>
          </w:p>
          <w:p w:rsidR="00FB2486" w:rsidRPr="000E2654" w:rsidRDefault="00FB2486" w:rsidP="00FE3212">
            <w:pPr>
              <w:autoSpaceDE w:val="0"/>
              <w:autoSpaceDN w:val="0"/>
              <w:adjustRightInd w:val="0"/>
              <w:jc w:val="both"/>
              <w:rPr>
                <w:rFonts w:asciiTheme="minorHAnsi" w:hAnsiTheme="minorHAnsi" w:cs="Tahoma"/>
                <w:color w:val="000000"/>
                <w:shd w:val="clear" w:color="auto" w:fill="FFFFFF"/>
              </w:rPr>
            </w:pPr>
            <w:r w:rsidRPr="000E2654">
              <w:rPr>
                <w:rFonts w:asciiTheme="minorHAnsi" w:hAnsiTheme="minorHAnsi" w:cs="Tahoma"/>
                <w:color w:val="000000"/>
                <w:shd w:val="clear" w:color="auto" w:fill="FFFFFF"/>
              </w:rPr>
              <w:t>*Promet 20d - prosječan promet u zadnjih 10 dana trgovanja (u tisućama)</w:t>
            </w:r>
          </w:p>
          <w:p w:rsidR="00FB2486" w:rsidRPr="000E2654" w:rsidRDefault="00FB2486" w:rsidP="00FE3212">
            <w:pPr>
              <w:autoSpaceDE w:val="0"/>
              <w:autoSpaceDN w:val="0"/>
              <w:adjustRightInd w:val="0"/>
              <w:jc w:val="both"/>
              <w:rPr>
                <w:rFonts w:asciiTheme="minorHAnsi" w:hAnsiTheme="minorHAnsi" w:cs="Tahoma"/>
                <w:color w:val="000000"/>
                <w:shd w:val="clear" w:color="auto" w:fill="FFFFFF"/>
              </w:rPr>
            </w:pPr>
            <w:r w:rsidRPr="000E2654">
              <w:rPr>
                <w:rFonts w:asciiTheme="minorHAnsi" w:hAnsiTheme="minorHAnsi" w:cs="Tahoma"/>
                <w:color w:val="000000"/>
                <w:shd w:val="clear" w:color="auto" w:fill="FFFFFF"/>
              </w:rPr>
              <w:t>*MCap ili tržišna kapitalizacija - umnožak ekvivalentnog broja dionica i cijene dionice (u milijunima)</w:t>
            </w:r>
          </w:p>
          <w:p w:rsidR="00D5518A" w:rsidRDefault="00D5518A" w:rsidP="00FB2486">
            <w:pPr>
              <w:autoSpaceDE w:val="0"/>
              <w:autoSpaceDN w:val="0"/>
              <w:adjustRightInd w:val="0"/>
              <w:jc w:val="both"/>
              <w:rPr>
                <w:sz w:val="24"/>
                <w:szCs w:val="24"/>
              </w:rPr>
            </w:pPr>
            <w:r w:rsidRPr="000E2654">
              <w:rPr>
                <w:rFonts w:asciiTheme="minorHAnsi" w:hAnsiTheme="minorHAnsi"/>
              </w:rPr>
              <w:t xml:space="preserve">Izvor: </w:t>
            </w:r>
            <w:r w:rsidR="000E2654" w:rsidRPr="000E2654">
              <w:rPr>
                <w:rFonts w:asciiTheme="minorHAnsi" w:hAnsiTheme="minorHAnsi"/>
              </w:rPr>
              <w:t xml:space="preserve">MojeDionice.com, </w:t>
            </w:r>
            <w:r w:rsidRPr="000E2654">
              <w:rPr>
                <w:rFonts w:asciiTheme="minorHAnsi" w:hAnsiTheme="minorHAnsi"/>
              </w:rPr>
              <w:t>preuzeto sa: http://www.mojedionice.com</w:t>
            </w:r>
            <w:r w:rsidR="00FB2486" w:rsidRPr="000E2654">
              <w:rPr>
                <w:rFonts w:asciiTheme="minorHAnsi" w:hAnsiTheme="minorHAnsi"/>
              </w:rPr>
              <w:t xml:space="preserve"> (19</w:t>
            </w:r>
            <w:r w:rsidRPr="000E2654">
              <w:rPr>
                <w:rFonts w:asciiTheme="minorHAnsi" w:hAnsiTheme="minorHAnsi"/>
              </w:rPr>
              <w:t>.</w:t>
            </w:r>
            <w:r w:rsidR="00FB2486" w:rsidRPr="000E2654">
              <w:rPr>
                <w:rFonts w:asciiTheme="minorHAnsi" w:hAnsiTheme="minorHAnsi"/>
              </w:rPr>
              <w:t>9</w:t>
            </w:r>
            <w:r w:rsidRPr="000E2654">
              <w:rPr>
                <w:rFonts w:asciiTheme="minorHAnsi" w:hAnsiTheme="minorHAnsi"/>
              </w:rPr>
              <w:t>.2015.)</w:t>
            </w:r>
          </w:p>
        </w:tc>
      </w:tr>
    </w:tbl>
    <w:p w:rsidR="00576C97" w:rsidRDefault="00576C97" w:rsidP="00576C97">
      <w:pPr>
        <w:pStyle w:val="StandardWeb"/>
        <w:shd w:val="clear" w:color="auto" w:fill="FFFFFF"/>
        <w:spacing w:before="240" w:beforeAutospacing="0" w:after="200" w:afterAutospacing="0" w:line="276" w:lineRule="auto"/>
        <w:jc w:val="both"/>
        <w:rPr>
          <w:rFonts w:asciiTheme="minorHAnsi" w:hAnsiTheme="minorHAnsi"/>
        </w:rPr>
      </w:pPr>
      <w:r w:rsidRPr="00D5518A">
        <w:rPr>
          <w:rFonts w:asciiTheme="minorHAnsi" w:hAnsiTheme="minorHAnsi"/>
        </w:rPr>
        <w:t xml:space="preserve">S druge strane, </w:t>
      </w:r>
      <w:r w:rsidRPr="00D5518A">
        <w:rPr>
          <w:rFonts w:asciiTheme="minorHAnsi" w:hAnsiTheme="minorHAnsi"/>
          <w:color w:val="C00000"/>
        </w:rPr>
        <w:t>kotacija na burzi nije garancija likvidnosti</w:t>
      </w:r>
      <w:r w:rsidRPr="00D5518A">
        <w:rPr>
          <w:rFonts w:asciiTheme="minorHAnsi" w:hAnsiTheme="minorHAnsi"/>
        </w:rPr>
        <w:t xml:space="preserve">. Neke od dionica su visoko </w:t>
      </w:r>
      <w:r w:rsidRPr="00D5518A">
        <w:rPr>
          <w:rFonts w:asciiTheme="minorHAnsi" w:hAnsiTheme="minorHAnsi"/>
          <w:color w:val="C00000"/>
        </w:rPr>
        <w:t>likvidne</w:t>
      </w:r>
      <w:r w:rsidRPr="00D5518A">
        <w:rPr>
          <w:rFonts w:asciiTheme="minorHAnsi" w:hAnsiTheme="minorHAnsi"/>
        </w:rPr>
        <w:t xml:space="preserve"> (što znači da se njima učestalo trguje pa uvijek postoje spremni kupci i prodavatelji), a kod </w:t>
      </w:r>
      <w:r w:rsidRPr="00D5518A">
        <w:rPr>
          <w:rFonts w:asciiTheme="minorHAnsi" w:hAnsiTheme="minorHAnsi"/>
        </w:rPr>
        <w:lastRenderedPageBreak/>
        <w:t xml:space="preserve">drugih je likvidnost manja ili čak vrlo mala (moguće je da već mjesecima na tržištu ne postoji </w:t>
      </w:r>
      <w:r w:rsidR="003347F5">
        <w:rPr>
          <w:rFonts w:asciiTheme="minorHAnsi" w:hAnsiTheme="minorHAnsi"/>
        </w:rPr>
        <w:t xml:space="preserve">investitor </w:t>
      </w:r>
      <w:r w:rsidRPr="00D5518A">
        <w:rPr>
          <w:rFonts w:asciiTheme="minorHAnsi" w:hAnsiTheme="minorHAnsi"/>
        </w:rPr>
        <w:t>koj</w:t>
      </w:r>
      <w:r w:rsidR="003347F5">
        <w:rPr>
          <w:rFonts w:asciiTheme="minorHAnsi" w:hAnsiTheme="minorHAnsi"/>
        </w:rPr>
        <w:t>i</w:t>
      </w:r>
      <w:r w:rsidRPr="00D5518A">
        <w:rPr>
          <w:rFonts w:asciiTheme="minorHAnsi" w:hAnsiTheme="minorHAnsi"/>
        </w:rPr>
        <w:t xml:space="preserve"> želi u njih ulagati ili ih prodati). Faktor likvidnosti pojedinačnih dionica kao i ukupnog tržišta vrlo je važan s aspekta mogućnosti brze realizacije prodaje bez većih gubitaka, a važan je i s aspekta realizacije kupnje jer brojne izvrsne prilike za ulaganje često nisu dostupne</w:t>
      </w:r>
      <w:r w:rsidR="003347F5">
        <w:rPr>
          <w:rFonts w:asciiTheme="minorHAnsi" w:hAnsiTheme="minorHAnsi"/>
        </w:rPr>
        <w:t xml:space="preserve">, npr. kada </w:t>
      </w:r>
      <w:r w:rsidRPr="00D5518A">
        <w:rPr>
          <w:rFonts w:asciiTheme="minorHAnsi" w:hAnsiTheme="minorHAnsi"/>
        </w:rPr>
        <w:t>postojeći vlasnici nisu zainteresirani za prodaju dionica.</w:t>
      </w:r>
    </w:p>
    <w:p w:rsidR="00D5518A" w:rsidRDefault="00576C97" w:rsidP="00576C97">
      <w:pPr>
        <w:autoSpaceDE w:val="0"/>
        <w:autoSpaceDN w:val="0"/>
        <w:adjustRightInd w:val="0"/>
        <w:spacing w:before="240"/>
        <w:jc w:val="both"/>
        <w:rPr>
          <w:sz w:val="24"/>
          <w:szCs w:val="24"/>
        </w:rPr>
      </w:pPr>
      <w:r w:rsidRPr="00D5518A">
        <w:rPr>
          <w:sz w:val="24"/>
          <w:szCs w:val="24"/>
        </w:rPr>
        <w:t>Dodatno, postoje i drugi faktori zbog kojih određene prilike za ulaganje u pojedine dionice</w:t>
      </w:r>
      <w:r>
        <w:rPr>
          <w:sz w:val="24"/>
          <w:szCs w:val="24"/>
        </w:rPr>
        <w:t xml:space="preserve"> koje kotiraju organiziranom tržištu svejedno nisu dostupne brojnim građanima. Pojedine dionice su </w:t>
      </w:r>
      <w:r w:rsidRPr="00FE22C4">
        <w:rPr>
          <w:color w:val="C00000"/>
          <w:sz w:val="24"/>
          <w:szCs w:val="24"/>
        </w:rPr>
        <w:t xml:space="preserve">s obzirom na razinu cijene nedostupne </w:t>
      </w:r>
      <w:r w:rsidRPr="00666468">
        <w:rPr>
          <w:sz w:val="24"/>
          <w:szCs w:val="24"/>
        </w:rPr>
        <w:t xml:space="preserve">velikom broju malih ulagatelja </w:t>
      </w:r>
      <w:r>
        <w:rPr>
          <w:sz w:val="24"/>
          <w:szCs w:val="24"/>
        </w:rPr>
        <w:t xml:space="preserve">jer je cijena samo jedne dionice 15.000 kuna ili čak 100.000 kuna, a neke druge su cijenom dostupne pa uz cijenu npr. 20 </w:t>
      </w:r>
      <w:r w:rsidR="003347F5">
        <w:rPr>
          <w:sz w:val="24"/>
          <w:szCs w:val="24"/>
        </w:rPr>
        <w:t xml:space="preserve">ili 35 </w:t>
      </w:r>
      <w:r>
        <w:rPr>
          <w:sz w:val="24"/>
          <w:szCs w:val="24"/>
        </w:rPr>
        <w:t>kuna po dionici omogućavaju kupnju veće količine dionica.</w:t>
      </w:r>
    </w:p>
    <w:tbl>
      <w:tblPr>
        <w:tblStyle w:val="Reetkatablice"/>
        <w:tblW w:w="0" w:type="auto"/>
        <w:tblInd w:w="108" w:type="dxa"/>
        <w:tblLook w:val="04A0" w:firstRow="1" w:lastRow="0" w:firstColumn="1" w:lastColumn="0" w:noHBand="0" w:noVBand="1"/>
      </w:tblPr>
      <w:tblGrid>
        <w:gridCol w:w="9180"/>
      </w:tblGrid>
      <w:tr w:rsidR="002941E7" w:rsidTr="00AD3BBE">
        <w:tc>
          <w:tcPr>
            <w:tcW w:w="9180" w:type="dxa"/>
          </w:tcPr>
          <w:p w:rsidR="002941E7" w:rsidRPr="002941E7" w:rsidRDefault="002941E7" w:rsidP="00AD3BBE">
            <w:pPr>
              <w:autoSpaceDE w:val="0"/>
              <w:autoSpaceDN w:val="0"/>
              <w:adjustRightInd w:val="0"/>
              <w:spacing w:before="120" w:after="120"/>
              <w:jc w:val="both"/>
              <w:rPr>
                <w:rFonts w:asciiTheme="minorHAnsi" w:hAnsiTheme="minorHAnsi"/>
                <w:color w:val="C00000"/>
                <w:sz w:val="24"/>
                <w:szCs w:val="24"/>
              </w:rPr>
            </w:pPr>
            <w:r w:rsidRPr="002941E7">
              <w:rPr>
                <w:rFonts w:asciiTheme="minorHAnsi" w:hAnsiTheme="minorHAnsi"/>
                <w:color w:val="C00000"/>
                <w:sz w:val="24"/>
                <w:szCs w:val="24"/>
              </w:rPr>
              <w:t xml:space="preserve">Cijene </w:t>
            </w:r>
            <w:r w:rsidR="00D5518A">
              <w:rPr>
                <w:rFonts w:asciiTheme="minorHAnsi" w:hAnsiTheme="minorHAnsi"/>
                <w:color w:val="C00000"/>
                <w:sz w:val="24"/>
                <w:szCs w:val="24"/>
              </w:rPr>
              <w:t xml:space="preserve">pojedinih </w:t>
            </w:r>
            <w:r w:rsidRPr="002941E7">
              <w:rPr>
                <w:rFonts w:asciiTheme="minorHAnsi" w:hAnsiTheme="minorHAnsi"/>
                <w:color w:val="C00000"/>
                <w:sz w:val="24"/>
                <w:szCs w:val="24"/>
              </w:rPr>
              <w:t>dionica</w:t>
            </w:r>
            <w:r w:rsidR="00FB2486">
              <w:rPr>
                <w:rFonts w:asciiTheme="minorHAnsi" w:hAnsiTheme="minorHAnsi"/>
                <w:color w:val="C00000"/>
                <w:sz w:val="24"/>
                <w:szCs w:val="24"/>
              </w:rPr>
              <w:t xml:space="preserve"> (s aspekta dostupnosti za ulaganje u jednu pojedinačnu dionicu)</w:t>
            </w:r>
          </w:p>
          <w:p w:rsidR="002941E7" w:rsidRDefault="00FE3212" w:rsidP="000B148B">
            <w:pPr>
              <w:autoSpaceDE w:val="0"/>
              <w:autoSpaceDN w:val="0"/>
              <w:adjustRightInd w:val="0"/>
              <w:jc w:val="both"/>
            </w:pPr>
            <w:r>
              <w:rPr>
                <w:rFonts w:asciiTheme="minorHAnsi" w:eastAsiaTheme="minorHAnsi" w:hAnsiTheme="minorHAnsi" w:cstheme="minorBidi"/>
                <w:sz w:val="22"/>
                <w:szCs w:val="22"/>
                <w:lang w:eastAsia="en-US"/>
              </w:rPr>
              <w:object w:dxaOrig="13110" w:dyaOrig="1860">
                <v:shape id="_x0000_i1083" type="#_x0000_t75" style="width:453pt;height:64.5pt" o:ole="">
                  <v:imagedata r:id="rId241" o:title=""/>
                </v:shape>
                <o:OLEObject Type="Embed" ProgID="PBrush" ShapeID="_x0000_i1083" DrawAspect="Content" ObjectID="_1505681411" r:id="rId242"/>
              </w:object>
            </w:r>
          </w:p>
          <w:p w:rsidR="00D5518A" w:rsidRDefault="00FE3212" w:rsidP="000B148B">
            <w:pPr>
              <w:autoSpaceDE w:val="0"/>
              <w:autoSpaceDN w:val="0"/>
              <w:adjustRightInd w:val="0"/>
              <w:jc w:val="both"/>
            </w:pPr>
            <w:r>
              <w:rPr>
                <w:rFonts w:asciiTheme="minorHAnsi" w:eastAsiaTheme="minorHAnsi" w:hAnsiTheme="minorHAnsi" w:cstheme="minorBidi"/>
                <w:sz w:val="22"/>
                <w:szCs w:val="22"/>
                <w:lang w:eastAsia="en-US"/>
              </w:rPr>
              <w:object w:dxaOrig="13065" w:dyaOrig="750">
                <v:shape id="_x0000_i1084" type="#_x0000_t75" style="width:453pt;height:26.25pt" o:ole="">
                  <v:imagedata r:id="rId243" o:title=""/>
                </v:shape>
                <o:OLEObject Type="Embed" ProgID="PBrush" ShapeID="_x0000_i1084" DrawAspect="Content" ObjectID="_1505681412" r:id="rId244"/>
              </w:object>
            </w:r>
          </w:p>
          <w:p w:rsidR="00FE3212" w:rsidRDefault="00FE3212" w:rsidP="000B148B">
            <w:pPr>
              <w:autoSpaceDE w:val="0"/>
              <w:autoSpaceDN w:val="0"/>
              <w:adjustRightInd w:val="0"/>
              <w:jc w:val="both"/>
            </w:pPr>
            <w:r>
              <w:rPr>
                <w:rFonts w:asciiTheme="minorHAnsi" w:eastAsiaTheme="minorHAnsi" w:hAnsiTheme="minorHAnsi" w:cstheme="minorBidi"/>
                <w:sz w:val="22"/>
                <w:szCs w:val="22"/>
                <w:lang w:eastAsia="en-US"/>
              </w:rPr>
              <w:object w:dxaOrig="13215" w:dyaOrig="540">
                <v:shape id="_x0000_i1085" type="#_x0000_t75" style="width:453pt;height:18.75pt" o:ole="">
                  <v:imagedata r:id="rId245" o:title=""/>
                </v:shape>
                <o:OLEObject Type="Embed" ProgID="PBrush" ShapeID="_x0000_i1085" DrawAspect="Content" ObjectID="_1505681413" r:id="rId246"/>
              </w:object>
            </w:r>
          </w:p>
          <w:p w:rsidR="00FE3212" w:rsidRDefault="00FE3212" w:rsidP="00FE3212">
            <w:pPr>
              <w:autoSpaceDE w:val="0"/>
              <w:autoSpaceDN w:val="0"/>
              <w:adjustRightInd w:val="0"/>
              <w:jc w:val="both"/>
            </w:pPr>
            <w:r>
              <w:rPr>
                <w:rFonts w:asciiTheme="minorHAnsi" w:eastAsiaTheme="minorHAnsi" w:hAnsiTheme="minorHAnsi" w:cstheme="minorBidi"/>
                <w:sz w:val="22"/>
                <w:szCs w:val="22"/>
                <w:lang w:eastAsia="en-US"/>
              </w:rPr>
              <w:object w:dxaOrig="13125" w:dyaOrig="975">
                <v:shape id="_x0000_i1086" type="#_x0000_t75" style="width:453.75pt;height:33.75pt" o:ole="">
                  <v:imagedata r:id="rId247" o:title=""/>
                </v:shape>
                <o:OLEObject Type="Embed" ProgID="PBrush" ShapeID="_x0000_i1086" DrawAspect="Content" ObjectID="_1505681414" r:id="rId248"/>
              </w:object>
            </w:r>
          </w:p>
          <w:p w:rsidR="002941E7" w:rsidRPr="000E2654" w:rsidRDefault="00AD3BBE" w:rsidP="00FE3212">
            <w:pPr>
              <w:autoSpaceDE w:val="0"/>
              <w:autoSpaceDN w:val="0"/>
              <w:adjustRightInd w:val="0"/>
              <w:jc w:val="both"/>
              <w:rPr>
                <w:rFonts w:asciiTheme="minorHAnsi" w:hAnsiTheme="minorHAnsi"/>
              </w:rPr>
            </w:pPr>
            <w:r w:rsidRPr="000E2654">
              <w:rPr>
                <w:rFonts w:asciiTheme="minorHAnsi" w:hAnsiTheme="minorHAnsi"/>
              </w:rPr>
              <w:t xml:space="preserve">Izvor: </w:t>
            </w:r>
            <w:r w:rsidR="000E2654" w:rsidRPr="000E2654">
              <w:rPr>
                <w:rFonts w:asciiTheme="minorHAnsi" w:hAnsiTheme="minorHAnsi"/>
              </w:rPr>
              <w:t xml:space="preserve">MojeDionice.com, </w:t>
            </w:r>
            <w:r w:rsidRPr="000E2654">
              <w:rPr>
                <w:rFonts w:asciiTheme="minorHAnsi" w:hAnsiTheme="minorHAnsi"/>
              </w:rPr>
              <w:t xml:space="preserve">preuzeto sa: </w:t>
            </w:r>
            <w:r w:rsidR="00FE3212" w:rsidRPr="000E2654">
              <w:rPr>
                <w:rFonts w:asciiTheme="minorHAnsi" w:hAnsiTheme="minorHAnsi"/>
              </w:rPr>
              <w:t>http://www.mojedionice.com/dionice?SortEx=ZadnjaPod&amp;SortDir=sil</w:t>
            </w:r>
          </w:p>
        </w:tc>
      </w:tr>
    </w:tbl>
    <w:p w:rsidR="00FB2486" w:rsidRPr="002E32AF" w:rsidRDefault="00FB2486" w:rsidP="00FB2486">
      <w:pPr>
        <w:autoSpaceDE w:val="0"/>
        <w:autoSpaceDN w:val="0"/>
        <w:adjustRightInd w:val="0"/>
        <w:spacing w:before="240"/>
        <w:jc w:val="both"/>
        <w:rPr>
          <w:sz w:val="24"/>
          <w:szCs w:val="24"/>
        </w:rPr>
      </w:pPr>
      <w:r w:rsidRPr="00D5518A">
        <w:rPr>
          <w:sz w:val="24"/>
          <w:szCs w:val="24"/>
        </w:rPr>
        <w:t xml:space="preserve">Nadalje, </w:t>
      </w:r>
      <w:r>
        <w:rPr>
          <w:color w:val="C00000"/>
          <w:sz w:val="24"/>
          <w:szCs w:val="24"/>
        </w:rPr>
        <w:t>s</w:t>
      </w:r>
      <w:r w:rsidRPr="002E32AF">
        <w:rPr>
          <w:color w:val="C00000"/>
          <w:sz w:val="24"/>
          <w:szCs w:val="24"/>
        </w:rPr>
        <w:t xml:space="preserve">ve emitirane dionice nisu dostupne putem burze </w:t>
      </w:r>
      <w:r>
        <w:rPr>
          <w:sz w:val="24"/>
          <w:szCs w:val="24"/>
        </w:rPr>
        <w:t xml:space="preserve">pa tako dionice mnogih „atraktivnih“ dioničkih društva na njima uopće ne kotiraju (niti u zemlji niti u inozemstvu), npr. iz razloga što kod postojećih dioničara ne postoji interes za promjenom vlasničke strukture; zato što postojeći vlasnici i management poduzeća žele izbeči nepoželjne učinke tržišnih špekulacija na kretanje </w:t>
      </w:r>
      <w:r w:rsidR="003347F5">
        <w:rPr>
          <w:sz w:val="24"/>
          <w:szCs w:val="24"/>
        </w:rPr>
        <w:t>tržišne vrijednosti njihove imovine</w:t>
      </w:r>
      <w:r>
        <w:rPr>
          <w:sz w:val="24"/>
          <w:szCs w:val="24"/>
        </w:rPr>
        <w:t xml:space="preserve"> (kao i eventualno promjene uvjete financiranja poduzeća npr. na tržištu duga) ili iz razloga da ne moraju zadovoljavati visoke i vrlo visoke zahtjeve za </w:t>
      </w:r>
      <w:r w:rsidRPr="00E412FA">
        <w:rPr>
          <w:color w:val="C00000"/>
          <w:sz w:val="24"/>
          <w:szCs w:val="24"/>
        </w:rPr>
        <w:t>transparentnošću</w:t>
      </w:r>
      <w:r>
        <w:rPr>
          <w:sz w:val="24"/>
          <w:szCs w:val="24"/>
        </w:rPr>
        <w:t xml:space="preserve"> informiranja javnosti kakvi su uobičajeno propisani u slučaju vrijednosnica kojima se trguje na organiziranom (i uređenom) tržištu. Dodatno, izdavatelji vrijednosnica imaju obvezu plaćanja određenih naknada za uvrštenje na uređeno tržište, odnosno kasnije naknadu za održavanje uvrštenja vrijednosnica na burzi (uz npr. godišnji trošak naknade 80.000 kuna godišnje) iako navedeno najčešće nije razlog odustajanja od </w:t>
      </w:r>
      <w:r w:rsidRPr="002E32AF">
        <w:rPr>
          <w:sz w:val="24"/>
          <w:szCs w:val="24"/>
        </w:rPr>
        <w:t xml:space="preserve">kotacije. </w:t>
      </w:r>
    </w:p>
    <w:p w:rsidR="0095441F" w:rsidRDefault="0095441F" w:rsidP="00FB2486">
      <w:pPr>
        <w:autoSpaceDE w:val="0"/>
        <w:autoSpaceDN w:val="0"/>
        <w:adjustRightInd w:val="0"/>
        <w:spacing w:before="240"/>
        <w:jc w:val="both"/>
        <w:rPr>
          <w:sz w:val="24"/>
          <w:szCs w:val="24"/>
        </w:rPr>
      </w:pPr>
      <w:r w:rsidRPr="00B62799">
        <w:rPr>
          <w:sz w:val="24"/>
          <w:szCs w:val="24"/>
        </w:rPr>
        <w:t xml:space="preserve">Dionice kojima se trguje na uređenom tržištu ili izvan njega mogu biti redovne (obične) i povlaštene. </w:t>
      </w:r>
      <w:r w:rsidRPr="00B62799">
        <w:rPr>
          <w:color w:val="C00000"/>
          <w:sz w:val="24"/>
          <w:szCs w:val="24"/>
        </w:rPr>
        <w:t xml:space="preserve">Redovne dionice </w:t>
      </w:r>
      <w:r w:rsidRPr="00B62799">
        <w:rPr>
          <w:sz w:val="24"/>
          <w:szCs w:val="24"/>
        </w:rPr>
        <w:t>su one koje imateljima daju pravo glasa na glavnoj skupštini dioničkog društva,</w:t>
      </w:r>
      <w:r w:rsidR="003347F5">
        <w:rPr>
          <w:sz w:val="24"/>
          <w:szCs w:val="24"/>
        </w:rPr>
        <w:t xml:space="preserve"> pravo na isplatu dijela dobiti kroz </w:t>
      </w:r>
      <w:r w:rsidRPr="00B62799">
        <w:rPr>
          <w:sz w:val="24"/>
          <w:szCs w:val="24"/>
        </w:rPr>
        <w:t xml:space="preserve">dividendu </w:t>
      </w:r>
      <w:r w:rsidR="003347F5">
        <w:rPr>
          <w:sz w:val="24"/>
          <w:szCs w:val="24"/>
        </w:rPr>
        <w:t>te</w:t>
      </w:r>
      <w:r w:rsidRPr="00B62799">
        <w:rPr>
          <w:sz w:val="24"/>
          <w:szCs w:val="24"/>
        </w:rPr>
        <w:t xml:space="preserve"> </w:t>
      </w:r>
      <w:r w:rsidR="003347F5">
        <w:rPr>
          <w:sz w:val="24"/>
          <w:szCs w:val="24"/>
        </w:rPr>
        <w:t xml:space="preserve">rezidualno </w:t>
      </w:r>
      <w:r w:rsidRPr="00B62799">
        <w:rPr>
          <w:sz w:val="24"/>
          <w:szCs w:val="24"/>
        </w:rPr>
        <w:t xml:space="preserve">pravo na isplatu </w:t>
      </w:r>
      <w:r w:rsidRPr="00B62799">
        <w:rPr>
          <w:sz w:val="24"/>
          <w:szCs w:val="24"/>
        </w:rPr>
        <w:lastRenderedPageBreak/>
        <w:t xml:space="preserve">vrijednosti ostatka imovine </w:t>
      </w:r>
      <w:r w:rsidR="003347F5">
        <w:rPr>
          <w:sz w:val="24"/>
          <w:szCs w:val="24"/>
        </w:rPr>
        <w:t xml:space="preserve">u slučaju </w:t>
      </w:r>
      <w:r w:rsidRPr="00B62799">
        <w:rPr>
          <w:sz w:val="24"/>
          <w:szCs w:val="24"/>
        </w:rPr>
        <w:t xml:space="preserve">likvidacije društva. </w:t>
      </w:r>
      <w:r w:rsidRPr="00B62799">
        <w:rPr>
          <w:color w:val="C00000"/>
          <w:sz w:val="24"/>
          <w:szCs w:val="24"/>
        </w:rPr>
        <w:t xml:space="preserve">Povlaštene dionice </w:t>
      </w:r>
      <w:r w:rsidRPr="00B62799">
        <w:rPr>
          <w:sz w:val="24"/>
          <w:szCs w:val="24"/>
        </w:rPr>
        <w:t xml:space="preserve">daju svojim imateljima određena povlaštena prava, </w:t>
      </w:r>
      <w:r w:rsidR="00A71E0A">
        <w:rPr>
          <w:sz w:val="24"/>
          <w:szCs w:val="24"/>
        </w:rPr>
        <w:t>konkretno</w:t>
      </w:r>
      <w:r w:rsidRPr="00B62799">
        <w:rPr>
          <w:sz w:val="24"/>
          <w:szCs w:val="24"/>
        </w:rPr>
        <w:t xml:space="preserve"> pravo na dividendu u unaprijed utvrđenom novčanom iznosu (što ih uglavnom čini </w:t>
      </w:r>
      <w:r w:rsidR="00B62799">
        <w:rPr>
          <w:sz w:val="24"/>
          <w:szCs w:val="24"/>
        </w:rPr>
        <w:t xml:space="preserve">više </w:t>
      </w:r>
      <w:r w:rsidRPr="00B62799">
        <w:rPr>
          <w:sz w:val="24"/>
          <w:szCs w:val="24"/>
        </w:rPr>
        <w:t>likvidnima od redovnih dionica, ali najčešće znači i nižu stopu povrata nego u slučaju redovnih dionica s posljedičnim učincima i na razlike u cijeni redovne i povlaštene dionice istog izdavatelja.). Dodatno, u slučaju likvidacije društva imatelji povlaštenih dionica imaju pravo prvenstva pred imateljima redovitih dionica, ali u usporedbi s držateljima obveznicama nose veću rizičnost zbog nižeg prava prvenstva u slučaju naplate.</w:t>
      </w:r>
      <w:r w:rsidR="003347F5">
        <w:rPr>
          <w:sz w:val="24"/>
          <w:szCs w:val="24"/>
        </w:rPr>
        <w:t xml:space="preserve"> </w:t>
      </w:r>
    </w:p>
    <w:p w:rsidR="00B62799" w:rsidRDefault="00B62799" w:rsidP="00B62799">
      <w:pPr>
        <w:autoSpaceDE w:val="0"/>
        <w:autoSpaceDN w:val="0"/>
        <w:adjustRightInd w:val="0"/>
        <w:spacing w:before="120" w:after="120"/>
        <w:jc w:val="both"/>
        <w:rPr>
          <w:sz w:val="24"/>
          <w:szCs w:val="24"/>
        </w:rPr>
      </w:pPr>
      <w:r w:rsidRPr="00D22DE8">
        <w:rPr>
          <w:color w:val="C00000"/>
          <w:sz w:val="24"/>
          <w:szCs w:val="24"/>
        </w:rPr>
        <w:t xml:space="preserve">Ulaganje u </w:t>
      </w:r>
      <w:r w:rsidRPr="00A71E0A">
        <w:rPr>
          <w:color w:val="C00000"/>
          <w:sz w:val="24"/>
          <w:szCs w:val="24"/>
        </w:rPr>
        <w:t>vrijednosnice</w:t>
      </w:r>
      <w:r w:rsidRPr="00D22DE8">
        <w:rPr>
          <w:color w:val="C00000"/>
          <w:sz w:val="24"/>
          <w:szCs w:val="24"/>
        </w:rPr>
        <w:t xml:space="preserve"> </w:t>
      </w:r>
      <w:r>
        <w:rPr>
          <w:sz w:val="24"/>
          <w:szCs w:val="24"/>
        </w:rPr>
        <w:t xml:space="preserve">koje kotiraju burzi moguće je </w:t>
      </w:r>
      <w:r w:rsidRPr="00D22DE8">
        <w:rPr>
          <w:color w:val="C00000"/>
          <w:sz w:val="24"/>
          <w:szCs w:val="24"/>
        </w:rPr>
        <w:t xml:space="preserve">posredstvom brokera </w:t>
      </w:r>
      <w:r w:rsidRPr="00B62799">
        <w:rPr>
          <w:sz w:val="24"/>
          <w:szCs w:val="24"/>
        </w:rPr>
        <w:t>zaposlenih u</w:t>
      </w:r>
      <w:r w:rsidRPr="00D22DE8">
        <w:rPr>
          <w:color w:val="C00000"/>
          <w:sz w:val="24"/>
          <w:szCs w:val="24"/>
        </w:rPr>
        <w:t xml:space="preserve"> investicijskim društvima </w:t>
      </w:r>
      <w:r w:rsidRPr="00B62799">
        <w:rPr>
          <w:sz w:val="24"/>
          <w:szCs w:val="24"/>
        </w:rPr>
        <w:t>koja su članovi burze</w:t>
      </w:r>
      <w:r>
        <w:rPr>
          <w:sz w:val="24"/>
          <w:szCs w:val="24"/>
        </w:rPr>
        <w:t xml:space="preserve">. Uloga brokerskog posredovanja je </w:t>
      </w:r>
      <w:r w:rsidRPr="004F1B57">
        <w:rPr>
          <w:sz w:val="24"/>
          <w:szCs w:val="24"/>
        </w:rPr>
        <w:t>zaprimanje i izvršavanje naloga sa ciljem zaključenja ugovora o kupnji ili prodaji jedne ili više vrijednosnica za račun klijenta. Nalog za kupnju li proda</w:t>
      </w:r>
      <w:r>
        <w:rPr>
          <w:sz w:val="24"/>
          <w:szCs w:val="24"/>
        </w:rPr>
        <w:t>j</w:t>
      </w:r>
      <w:r w:rsidRPr="004F1B57">
        <w:rPr>
          <w:sz w:val="24"/>
          <w:szCs w:val="24"/>
        </w:rPr>
        <w:t>u se može zadati osobno, telefonom, e-mailom, telefaksom ili putem sustava internet</w:t>
      </w:r>
      <w:r>
        <w:rPr>
          <w:sz w:val="24"/>
          <w:szCs w:val="24"/>
        </w:rPr>
        <w:t>skog</w:t>
      </w:r>
      <w:r w:rsidRPr="004F1B57">
        <w:rPr>
          <w:sz w:val="24"/>
          <w:szCs w:val="24"/>
        </w:rPr>
        <w:t xml:space="preserve"> trgovanja, odnosno u usmenom ili u pisanom obliku. Prije </w:t>
      </w:r>
      <w:r w:rsidRPr="00D22DE8">
        <w:rPr>
          <w:color w:val="C00000"/>
          <w:sz w:val="24"/>
          <w:szCs w:val="24"/>
        </w:rPr>
        <w:t xml:space="preserve">davanja naloga za kupnju </w:t>
      </w:r>
      <w:r w:rsidRPr="004F1B57">
        <w:rPr>
          <w:sz w:val="24"/>
          <w:szCs w:val="24"/>
        </w:rPr>
        <w:t xml:space="preserve">financijskih instrumenata klijent treba uplatiti sredstva na </w:t>
      </w:r>
      <w:r w:rsidRPr="00D22DE8">
        <w:rPr>
          <w:color w:val="C00000"/>
          <w:sz w:val="24"/>
          <w:szCs w:val="24"/>
        </w:rPr>
        <w:t>poseban račun za trgovanje</w:t>
      </w:r>
      <w:r w:rsidRPr="004F1B57">
        <w:rPr>
          <w:sz w:val="24"/>
          <w:szCs w:val="24"/>
        </w:rPr>
        <w:t>. U nastavku brzina izvršavanja naloga za kupnju ovisi o raspoloživosti kontranaloga (naloga drugih osoba koje žele prodati iste dionice) koji po cijeni i količini odgovara nalogu klijenta.</w:t>
      </w:r>
      <w:r>
        <w:rPr>
          <w:sz w:val="24"/>
          <w:szCs w:val="24"/>
        </w:rPr>
        <w:t xml:space="preserve"> </w:t>
      </w:r>
      <w:r w:rsidRPr="004F1B57">
        <w:rPr>
          <w:sz w:val="24"/>
          <w:szCs w:val="24"/>
        </w:rPr>
        <w:t>U slučaju uspješno realizirane transakcije kupnje, vlasništvo nad dionicama stječe se tek na dan namire (u RH je to treći radni dan nakon izvršenja transakcije tj. T+3).</w:t>
      </w:r>
      <w:r>
        <w:rPr>
          <w:rStyle w:val="Referencafusnote"/>
          <w:sz w:val="24"/>
          <w:szCs w:val="24"/>
        </w:rPr>
        <w:footnoteReference w:id="98"/>
      </w:r>
      <w:r w:rsidRPr="004F1B57">
        <w:rPr>
          <w:sz w:val="24"/>
          <w:szCs w:val="24"/>
        </w:rPr>
        <w:t xml:space="preserve"> </w:t>
      </w:r>
    </w:p>
    <w:p w:rsidR="00B62799" w:rsidRDefault="00B62799" w:rsidP="00B62799">
      <w:pPr>
        <w:autoSpaceDE w:val="0"/>
        <w:autoSpaceDN w:val="0"/>
        <w:adjustRightInd w:val="0"/>
        <w:spacing w:before="120" w:after="120"/>
        <w:jc w:val="both"/>
        <w:rPr>
          <w:sz w:val="24"/>
          <w:szCs w:val="24"/>
        </w:rPr>
      </w:pPr>
      <w:r w:rsidRPr="004F1B57">
        <w:rPr>
          <w:sz w:val="24"/>
          <w:szCs w:val="24"/>
        </w:rPr>
        <w:t xml:space="preserve">Na sličan način odvija se i </w:t>
      </w:r>
      <w:r w:rsidRPr="00D22DE8">
        <w:rPr>
          <w:color w:val="C00000"/>
          <w:sz w:val="24"/>
          <w:szCs w:val="24"/>
        </w:rPr>
        <w:t xml:space="preserve">izvršavanje naloga  za prodaju vrijednosnica </w:t>
      </w:r>
      <w:r w:rsidRPr="004F1B57">
        <w:rPr>
          <w:sz w:val="24"/>
          <w:szCs w:val="24"/>
        </w:rPr>
        <w:t xml:space="preserve">pod uvjetom da su oni kupljeni preko istog investicijskog društva od kojeg se traži izvršenje naloga za prodaju. Ukoliko to nije slučaj (jer su vrijednosnice kupljene preko drugog investicijskog društva) ili se radi o novim javnim ponudama dionica, od investicijskog društva je potrebno zatražiti broj zahtjeva za registraciju vlasničke pozicije vrijednosnih papira te potom izvršiti registraciju preko govornog automata Središnjeg klirinškog depozitarnog društva d.d., odnosno preko računa koji je prethodno otvoren kod SKDD-a. Po izvršenju transakcije klijent na e-mail adresu ili poštom dobiva dokument </w:t>
      </w:r>
      <w:r w:rsidRPr="00D22DE8">
        <w:rPr>
          <w:bCs/>
          <w:sz w:val="24"/>
          <w:szCs w:val="24"/>
        </w:rPr>
        <w:t>obračuna</w:t>
      </w:r>
      <w:r w:rsidRPr="00D22DE8">
        <w:rPr>
          <w:sz w:val="24"/>
          <w:szCs w:val="24"/>
        </w:rPr>
        <w:t> </w:t>
      </w:r>
      <w:r w:rsidRPr="004F1B57">
        <w:rPr>
          <w:sz w:val="24"/>
          <w:szCs w:val="24"/>
        </w:rPr>
        <w:t xml:space="preserve">o izvršenoj transakciji, a ovisno o izabranom načinu isplate sredstva se mogu doznačiti na tekući/ žiro račun klijenta ili na poseban račun za trgovanje kako bi se mogla koristiti za daljnja ulaganja. </w:t>
      </w:r>
    </w:p>
    <w:tbl>
      <w:tblPr>
        <w:tblStyle w:val="Reetkatablice"/>
        <w:tblW w:w="0" w:type="auto"/>
        <w:tblInd w:w="108" w:type="dxa"/>
        <w:tblLook w:val="04A0" w:firstRow="1" w:lastRow="0" w:firstColumn="1" w:lastColumn="0" w:noHBand="0" w:noVBand="1"/>
      </w:tblPr>
      <w:tblGrid>
        <w:gridCol w:w="9072"/>
      </w:tblGrid>
      <w:tr w:rsidR="00B62799" w:rsidTr="00B62799">
        <w:tc>
          <w:tcPr>
            <w:tcW w:w="9072" w:type="dxa"/>
          </w:tcPr>
          <w:p w:rsidR="00B62799" w:rsidRPr="007807A5" w:rsidRDefault="00B62799" w:rsidP="00B62799">
            <w:pPr>
              <w:spacing w:before="120" w:after="120"/>
              <w:jc w:val="both"/>
              <w:rPr>
                <w:rFonts w:asciiTheme="minorHAnsi" w:eastAsiaTheme="minorHAnsi" w:hAnsiTheme="minorHAnsi" w:cstheme="minorBidi"/>
                <w:i/>
                <w:sz w:val="24"/>
                <w:szCs w:val="24"/>
                <w:lang w:eastAsia="en-US"/>
              </w:rPr>
            </w:pPr>
            <w:r w:rsidRPr="007807A5">
              <w:rPr>
                <w:rFonts w:asciiTheme="minorHAnsi" w:eastAsiaTheme="minorHAnsi" w:hAnsiTheme="minorHAnsi" w:cstheme="minorBidi"/>
                <w:i/>
                <w:color w:val="C00000"/>
                <w:sz w:val="24"/>
                <w:szCs w:val="24"/>
                <w:lang w:eastAsia="en-US"/>
              </w:rPr>
              <w:t xml:space="preserve">„Središnje klirinško depozitarno društvo d.d. </w:t>
            </w:r>
            <w:r w:rsidRPr="007807A5">
              <w:rPr>
                <w:rFonts w:asciiTheme="minorHAnsi" w:eastAsiaTheme="minorHAnsi" w:hAnsiTheme="minorHAnsi" w:cstheme="minorBidi"/>
                <w:i/>
                <w:sz w:val="24"/>
                <w:szCs w:val="24"/>
                <w:lang w:eastAsia="en-US"/>
              </w:rPr>
              <w:t>je društvo koje posluje kao središnji depozitorij odnosno registar nematerijaliziranih vrijednosnih papira, gdje se, u obliku elektroničkih zapisa, vode podaci o izdavateljima, vrijednosnim papirima i vlasnicima tih vrijednosnih papira, kao i drugi podaci predviđeni zakonom. SKDD, osim usluga depozitorija, pruža i usluge poravnanja i namire za transakcije s nematerijaliziranim vrijednosnim papirima.“</w:t>
            </w:r>
            <w:r>
              <w:rPr>
                <w:rFonts w:asciiTheme="minorHAnsi" w:eastAsiaTheme="minorHAnsi" w:hAnsiTheme="minorHAnsi" w:cstheme="minorBidi"/>
                <w:i/>
                <w:sz w:val="24"/>
                <w:szCs w:val="24"/>
                <w:lang w:eastAsia="en-US"/>
              </w:rPr>
              <w:t>*</w:t>
            </w:r>
          </w:p>
          <w:p w:rsidR="00B62799" w:rsidRDefault="00B62799" w:rsidP="00B62799">
            <w:pPr>
              <w:spacing w:before="120" w:after="120"/>
              <w:jc w:val="both"/>
              <w:rPr>
                <w:rFonts w:asciiTheme="minorHAnsi" w:eastAsiaTheme="minorHAnsi" w:hAnsiTheme="minorHAnsi" w:cstheme="minorBidi"/>
                <w:sz w:val="24"/>
                <w:szCs w:val="24"/>
                <w:lang w:eastAsia="en-US"/>
              </w:rPr>
            </w:pPr>
            <w:r w:rsidRPr="00D22DE8">
              <w:rPr>
                <w:rFonts w:asciiTheme="minorHAnsi" w:eastAsiaTheme="minorHAnsi" w:hAnsiTheme="minorHAnsi" w:cstheme="minorBidi"/>
                <w:sz w:val="24"/>
                <w:szCs w:val="24"/>
                <w:lang w:eastAsia="en-US"/>
              </w:rPr>
              <w:t xml:space="preserve">Svaki izdavatelj vrijednosnica je dužan bez odgode obavijestiti SKDD o svim svojim </w:t>
            </w:r>
            <w:r w:rsidRPr="00D22DE8">
              <w:rPr>
                <w:rFonts w:asciiTheme="minorHAnsi" w:eastAsiaTheme="minorHAnsi" w:hAnsiTheme="minorHAnsi" w:cstheme="minorBidi"/>
                <w:color w:val="C00000"/>
                <w:sz w:val="24"/>
                <w:szCs w:val="24"/>
                <w:lang w:eastAsia="en-US"/>
              </w:rPr>
              <w:t xml:space="preserve">korporativnim akcijama </w:t>
            </w:r>
            <w:r w:rsidRPr="00D22DE8">
              <w:rPr>
                <w:rFonts w:asciiTheme="minorHAnsi" w:eastAsiaTheme="minorHAnsi" w:hAnsiTheme="minorHAnsi" w:cstheme="minorBidi"/>
                <w:sz w:val="24"/>
                <w:szCs w:val="24"/>
                <w:lang w:eastAsia="en-US"/>
              </w:rPr>
              <w:t>(npr. svakom održavanju glavne skupštine, isplati dividende, povećanju/</w:t>
            </w:r>
            <w:r>
              <w:rPr>
                <w:rFonts w:asciiTheme="minorHAnsi" w:eastAsiaTheme="minorHAnsi" w:hAnsiTheme="minorHAnsi" w:cstheme="minorBidi"/>
                <w:sz w:val="24"/>
                <w:szCs w:val="24"/>
                <w:lang w:eastAsia="en-US"/>
              </w:rPr>
              <w:t xml:space="preserve"> </w:t>
            </w:r>
            <w:r w:rsidRPr="00D22DE8">
              <w:rPr>
                <w:rFonts w:asciiTheme="minorHAnsi" w:eastAsiaTheme="minorHAnsi" w:hAnsiTheme="minorHAnsi" w:cstheme="minorBidi"/>
                <w:sz w:val="24"/>
                <w:szCs w:val="24"/>
                <w:lang w:eastAsia="en-US"/>
              </w:rPr>
              <w:t xml:space="preserve">smanjenju  temeljnog kapitala, podjeli ili spajanju </w:t>
            </w:r>
            <w:r>
              <w:rPr>
                <w:rFonts w:asciiTheme="minorHAnsi" w:eastAsiaTheme="minorHAnsi" w:hAnsiTheme="minorHAnsi" w:cstheme="minorBidi"/>
                <w:sz w:val="24"/>
                <w:szCs w:val="24"/>
                <w:lang w:eastAsia="en-US"/>
              </w:rPr>
              <w:t xml:space="preserve">dionice, </w:t>
            </w:r>
            <w:r w:rsidRPr="00D22DE8">
              <w:rPr>
                <w:rFonts w:asciiTheme="minorHAnsi" w:eastAsiaTheme="minorHAnsi" w:hAnsiTheme="minorHAnsi" w:cstheme="minorBidi"/>
                <w:sz w:val="24"/>
                <w:szCs w:val="24"/>
                <w:lang w:eastAsia="en-US"/>
              </w:rPr>
              <w:t xml:space="preserve">konverziji vrijednosnih papira, novim izdanjima dužničkih vrijednosnih papira, obračunu i isplati </w:t>
            </w:r>
            <w:r w:rsidRPr="00D22DE8">
              <w:rPr>
                <w:rFonts w:asciiTheme="minorHAnsi" w:eastAsiaTheme="minorHAnsi" w:hAnsiTheme="minorHAnsi" w:cstheme="minorBidi"/>
                <w:sz w:val="24"/>
                <w:szCs w:val="24"/>
                <w:lang w:eastAsia="en-US"/>
              </w:rPr>
              <w:lastRenderedPageBreak/>
              <w:t xml:space="preserve">kamata i glavnice za dužničke vrijednosne papire, preuzimanju dioničkog društava,  javnoj ponudi vrijednosnih papira, prijevremenom iskupu dužničkih vrijednosnih papira, istiskivanju manjinskih dioničara, spajanju ili pripajanju društava, podjeli društava,  povlačenju vrijednosnih papira, prijenosu imovine dioničkog društva, restrukturiranju poslovanja društava i drugo) </w:t>
            </w:r>
            <w:r>
              <w:rPr>
                <w:rFonts w:asciiTheme="minorHAnsi" w:eastAsiaTheme="minorHAnsi" w:hAnsiTheme="minorHAnsi" w:cstheme="minorBidi"/>
                <w:sz w:val="24"/>
                <w:szCs w:val="24"/>
                <w:lang w:eastAsia="en-US"/>
              </w:rPr>
              <w:t>te</w:t>
            </w:r>
            <w:r w:rsidRPr="00D22DE8">
              <w:rPr>
                <w:rFonts w:asciiTheme="minorHAnsi" w:eastAsiaTheme="minorHAnsi" w:hAnsiTheme="minorHAnsi" w:cstheme="minorBidi"/>
                <w:color w:val="C00000"/>
                <w:sz w:val="24"/>
                <w:szCs w:val="24"/>
                <w:lang w:eastAsia="en-US"/>
              </w:rPr>
              <w:t xml:space="preserve"> statusnim promjenama</w:t>
            </w:r>
            <w:r w:rsidRPr="007807A5">
              <w:rPr>
                <w:rFonts w:asciiTheme="minorHAnsi" w:eastAsiaTheme="minorHAnsi" w:hAnsiTheme="minorHAnsi" w:cstheme="minorBidi"/>
                <w:sz w:val="24"/>
                <w:szCs w:val="24"/>
                <w:lang w:eastAsia="en-US"/>
              </w:rPr>
              <w:t>, gdje sve navedeno uključuje dostavu informacija o promjenama okolnosti koje mogu utjecati na obilježja vrijednosnog papira ili ostvarivanje prava iz vrijednosnog papira, odnosno sposobnost izdavatelja u ispunjavanju obveza.</w:t>
            </w:r>
          </w:p>
          <w:p w:rsidR="00B62799" w:rsidRDefault="00B62799" w:rsidP="00B62799">
            <w:pPr>
              <w:autoSpaceDE w:val="0"/>
              <w:autoSpaceDN w:val="0"/>
              <w:adjustRightInd w:val="0"/>
              <w:spacing w:before="120" w:after="120"/>
              <w:jc w:val="both"/>
              <w:rPr>
                <w:sz w:val="24"/>
                <w:szCs w:val="24"/>
              </w:rPr>
            </w:pPr>
            <w:r w:rsidRPr="007807A5">
              <w:rPr>
                <w:rFonts w:asciiTheme="minorHAnsi" w:eastAsiaTheme="minorHAnsi" w:hAnsiTheme="minorHAnsi" w:cstheme="minorBidi"/>
                <w:lang w:eastAsia="en-US"/>
              </w:rPr>
              <w:t>* Preuzeto iz: SKDD, dostupno na: http://www.skdd.hr/portal/f?p=100:17:0::NO:::#1</w:t>
            </w:r>
          </w:p>
        </w:tc>
      </w:tr>
    </w:tbl>
    <w:p w:rsidR="00B62799" w:rsidRDefault="00B62799" w:rsidP="00B62799">
      <w:pPr>
        <w:autoSpaceDE w:val="0"/>
        <w:autoSpaceDN w:val="0"/>
        <w:adjustRightInd w:val="0"/>
        <w:spacing w:before="240" w:after="120"/>
        <w:jc w:val="both"/>
        <w:rPr>
          <w:sz w:val="24"/>
          <w:szCs w:val="24"/>
        </w:rPr>
      </w:pPr>
      <w:r w:rsidRPr="004F1B57">
        <w:rPr>
          <w:sz w:val="24"/>
          <w:szCs w:val="24"/>
        </w:rPr>
        <w:lastRenderedPageBreak/>
        <w:t xml:space="preserve">Za izvršenje naloga kupnje ili prodaje plaća se određena </w:t>
      </w:r>
      <w:r w:rsidRPr="007807A5">
        <w:rPr>
          <w:color w:val="C00000"/>
          <w:sz w:val="24"/>
          <w:szCs w:val="24"/>
        </w:rPr>
        <w:t xml:space="preserve">provizija investicijskom društvu </w:t>
      </w:r>
      <w:r w:rsidRPr="004F1B57">
        <w:rPr>
          <w:sz w:val="24"/>
          <w:szCs w:val="24"/>
        </w:rPr>
        <w:t>koja uključuje provizije brokerske kuće, proviziju burze i proviziju depozitorija.</w:t>
      </w:r>
    </w:p>
    <w:p w:rsidR="00B62799" w:rsidRPr="000C1377" w:rsidRDefault="00B62799" w:rsidP="00B62799">
      <w:pPr>
        <w:autoSpaceDE w:val="0"/>
        <w:autoSpaceDN w:val="0"/>
        <w:adjustRightInd w:val="0"/>
        <w:spacing w:before="120" w:after="120"/>
        <w:jc w:val="both"/>
        <w:rPr>
          <w:sz w:val="24"/>
          <w:szCs w:val="24"/>
        </w:rPr>
      </w:pPr>
      <w:r w:rsidRPr="000C1377">
        <w:rPr>
          <w:sz w:val="24"/>
          <w:szCs w:val="24"/>
        </w:rPr>
        <w:t xml:space="preserve">Rok do kojeg vrijedi nalog za kupnju dionice (ili drugog financijskog instrumenta (obveznice, instrumenta tržišta novca, izvedenice itd.) može biti ograničen kao dnevni (valjan je tijekom trenutnog tržišnog dana) ili do datuma (u tom slučaju nalog je valjan do određenog datuma, ali npr. najviše 2 mjeseca od zadavanja). S obzirom na vrstu nalog može imati dopunu ako mjesto izvršenja prihvaća navedene dopune. U tom smislu moguće su općenito slijedeće </w:t>
      </w:r>
      <w:r w:rsidRPr="000C2594">
        <w:rPr>
          <w:color w:val="C00000"/>
          <w:sz w:val="24"/>
          <w:szCs w:val="24"/>
        </w:rPr>
        <w:t>dopune naloga</w:t>
      </w:r>
      <w:r w:rsidRPr="000C1377">
        <w:rPr>
          <w:sz w:val="24"/>
          <w:szCs w:val="24"/>
        </w:rPr>
        <w:t>:</w:t>
      </w:r>
    </w:p>
    <w:p w:rsidR="00B62799" w:rsidRPr="000C1377" w:rsidRDefault="00B62799" w:rsidP="00C86D78">
      <w:pPr>
        <w:pStyle w:val="Odlomakpopisa"/>
        <w:numPr>
          <w:ilvl w:val="0"/>
          <w:numId w:val="95"/>
        </w:numPr>
        <w:autoSpaceDE w:val="0"/>
        <w:autoSpaceDN w:val="0"/>
        <w:adjustRightInd w:val="0"/>
        <w:spacing w:before="120" w:after="120"/>
        <w:jc w:val="both"/>
        <w:rPr>
          <w:sz w:val="24"/>
          <w:szCs w:val="24"/>
        </w:rPr>
      </w:pPr>
      <w:r w:rsidRPr="000C2594">
        <w:rPr>
          <w:color w:val="C00000"/>
          <w:sz w:val="24"/>
          <w:szCs w:val="24"/>
        </w:rPr>
        <w:t xml:space="preserve">tržišni nalog </w:t>
      </w:r>
      <w:r w:rsidRPr="000C1377">
        <w:rPr>
          <w:sz w:val="24"/>
          <w:szCs w:val="24"/>
        </w:rPr>
        <w:t>- izvršava se u cijelosti, u što kraćem vremenskom roku (odmah) i po trenutno najboljoj ponuđenoj cijeni, uz dnevni rok važenja naloga;</w:t>
      </w:r>
    </w:p>
    <w:p w:rsidR="00B62799" w:rsidRPr="000C1377" w:rsidRDefault="00B62799" w:rsidP="00C86D78">
      <w:pPr>
        <w:pStyle w:val="Odlomakpopisa"/>
        <w:numPr>
          <w:ilvl w:val="0"/>
          <w:numId w:val="95"/>
        </w:numPr>
        <w:autoSpaceDE w:val="0"/>
        <w:autoSpaceDN w:val="0"/>
        <w:adjustRightInd w:val="0"/>
        <w:spacing w:before="120" w:after="120"/>
        <w:jc w:val="both"/>
        <w:rPr>
          <w:sz w:val="24"/>
          <w:szCs w:val="24"/>
        </w:rPr>
      </w:pPr>
      <w:r w:rsidRPr="000C2594">
        <w:rPr>
          <w:color w:val="C00000"/>
          <w:sz w:val="24"/>
          <w:szCs w:val="24"/>
        </w:rPr>
        <w:t xml:space="preserve">tržišni stop nalog  </w:t>
      </w:r>
      <w:r w:rsidRPr="000C1377">
        <w:rPr>
          <w:sz w:val="24"/>
          <w:szCs w:val="24"/>
        </w:rPr>
        <w:t>(stop-loss i stop-buy) čime se daje uputa za kupnju (prodaju) financijskog instrumenta u trenutku kada se cijena pomakne ispod (iznad) stop cijene; primjenjuje se npr. za kupnju/ prodaju izvedenica pri čemu se cijena izvršenja može bitno razlikovati od odabrane stop-cijene;</w:t>
      </w:r>
    </w:p>
    <w:p w:rsidR="00B62799" w:rsidRPr="000C1377" w:rsidRDefault="00B62799" w:rsidP="00C86D78">
      <w:pPr>
        <w:pStyle w:val="Odlomakpopisa"/>
        <w:numPr>
          <w:ilvl w:val="0"/>
          <w:numId w:val="95"/>
        </w:numPr>
        <w:spacing w:before="120" w:after="120"/>
        <w:jc w:val="both"/>
        <w:rPr>
          <w:sz w:val="24"/>
          <w:szCs w:val="24"/>
        </w:rPr>
      </w:pPr>
      <w:r w:rsidRPr="000C2594">
        <w:rPr>
          <w:color w:val="C00000"/>
          <w:sz w:val="24"/>
          <w:szCs w:val="24"/>
        </w:rPr>
        <w:t>nalog „sve ili ništa</w:t>
      </w:r>
      <w:r w:rsidRPr="000C1377">
        <w:rPr>
          <w:sz w:val="24"/>
          <w:szCs w:val="24"/>
        </w:rPr>
        <w:t>“ - podrazumijeva da se nalog poništava ako se do isteka roka valjanosti nalog ne izvrši u cijelosti;</w:t>
      </w:r>
    </w:p>
    <w:p w:rsidR="00B62799" w:rsidRPr="000C1377" w:rsidRDefault="00B62799" w:rsidP="00C86D78">
      <w:pPr>
        <w:pStyle w:val="Odlomakpopisa"/>
        <w:numPr>
          <w:ilvl w:val="0"/>
          <w:numId w:val="95"/>
        </w:numPr>
        <w:spacing w:before="120" w:after="120"/>
        <w:jc w:val="both"/>
        <w:rPr>
          <w:sz w:val="24"/>
          <w:szCs w:val="24"/>
        </w:rPr>
      </w:pPr>
      <w:r w:rsidRPr="000C2594">
        <w:rPr>
          <w:color w:val="C00000"/>
          <w:sz w:val="24"/>
          <w:szCs w:val="24"/>
        </w:rPr>
        <w:t xml:space="preserve">nalog “ispuni odmah sve ili obriši” </w:t>
      </w:r>
      <w:r w:rsidRPr="000C1377">
        <w:rPr>
          <w:sz w:val="24"/>
          <w:szCs w:val="24"/>
        </w:rPr>
        <w:t>- ukoliko trenutno i potpuno izvršenje nije moguće, nalog se poništava</w:t>
      </w:r>
      <w:r>
        <w:rPr>
          <w:sz w:val="24"/>
          <w:szCs w:val="24"/>
        </w:rPr>
        <w:t>;</w:t>
      </w:r>
      <w:r w:rsidRPr="000C1377">
        <w:rPr>
          <w:sz w:val="24"/>
          <w:szCs w:val="24"/>
        </w:rPr>
        <w:t xml:space="preserve"> </w:t>
      </w:r>
    </w:p>
    <w:p w:rsidR="00B62799" w:rsidRPr="00B62799" w:rsidRDefault="00B62799" w:rsidP="00C86D78">
      <w:pPr>
        <w:pStyle w:val="Odlomakpopisa"/>
        <w:numPr>
          <w:ilvl w:val="0"/>
          <w:numId w:val="95"/>
        </w:numPr>
        <w:spacing w:before="120" w:after="120"/>
        <w:jc w:val="both"/>
        <w:rPr>
          <w:sz w:val="24"/>
          <w:szCs w:val="24"/>
        </w:rPr>
      </w:pPr>
      <w:r w:rsidRPr="00B62799">
        <w:rPr>
          <w:color w:val="C00000"/>
          <w:sz w:val="24"/>
          <w:szCs w:val="24"/>
        </w:rPr>
        <w:t xml:space="preserve">nalog “odmah ili poništi” </w:t>
      </w:r>
      <w:r w:rsidRPr="00B62799">
        <w:rPr>
          <w:sz w:val="24"/>
          <w:szCs w:val="24"/>
        </w:rPr>
        <w:t>– podrazumijeva da se nalog izvrši odmah u cijelosti ili djelomično, dok se dijelovi naloga koji nisu odmah izvršeni poništavaju; itd.</w:t>
      </w:r>
      <w:r>
        <w:rPr>
          <w:rStyle w:val="Referencafusnote"/>
          <w:sz w:val="24"/>
          <w:szCs w:val="24"/>
        </w:rPr>
        <w:footnoteReference w:id="99"/>
      </w:r>
    </w:p>
    <w:p w:rsidR="006F2DE6" w:rsidRDefault="00FB2486" w:rsidP="00FB2486">
      <w:pPr>
        <w:autoSpaceDE w:val="0"/>
        <w:autoSpaceDN w:val="0"/>
        <w:adjustRightInd w:val="0"/>
        <w:spacing w:before="240"/>
        <w:jc w:val="both"/>
        <w:rPr>
          <w:sz w:val="24"/>
          <w:szCs w:val="24"/>
        </w:rPr>
      </w:pPr>
      <w:r w:rsidRPr="00D5518A">
        <w:rPr>
          <w:color w:val="C00000"/>
          <w:sz w:val="24"/>
          <w:szCs w:val="24"/>
        </w:rPr>
        <w:t>Cijena dionice određena je odnosima ponude i potražnje</w:t>
      </w:r>
      <w:r w:rsidRPr="00D5518A">
        <w:rPr>
          <w:sz w:val="24"/>
          <w:szCs w:val="24"/>
        </w:rPr>
        <w:t xml:space="preserve">, pri čemu na nju utječu kako transakcije kupnje i prodaje na uređenom tržištu </w:t>
      </w:r>
      <w:r w:rsidR="003347F5">
        <w:rPr>
          <w:sz w:val="24"/>
          <w:szCs w:val="24"/>
        </w:rPr>
        <w:t xml:space="preserve">(burzi) </w:t>
      </w:r>
      <w:r w:rsidRPr="00D5518A">
        <w:rPr>
          <w:sz w:val="24"/>
          <w:szCs w:val="24"/>
        </w:rPr>
        <w:t xml:space="preserve">tako i transakcije koje se provode izvan njega npr. </w:t>
      </w:r>
      <w:r w:rsidRPr="00D5518A">
        <w:rPr>
          <w:color w:val="C00000"/>
          <w:sz w:val="24"/>
          <w:szCs w:val="24"/>
        </w:rPr>
        <w:t xml:space="preserve">na OTC tržištu </w:t>
      </w:r>
      <w:r w:rsidRPr="00D5518A">
        <w:rPr>
          <w:sz w:val="24"/>
          <w:szCs w:val="24"/>
        </w:rPr>
        <w:t xml:space="preserve">(uz obvezu prijave takve transakcije burzi u okviru koje je vrijednosnica uvrštena na uređenom tržištu). </w:t>
      </w:r>
      <w:r>
        <w:rPr>
          <w:sz w:val="24"/>
          <w:szCs w:val="24"/>
        </w:rPr>
        <w:t xml:space="preserve">Kada se govori o </w:t>
      </w:r>
      <w:r w:rsidR="00A259F0">
        <w:rPr>
          <w:sz w:val="24"/>
          <w:szCs w:val="24"/>
        </w:rPr>
        <w:t xml:space="preserve">vrijednosti </w:t>
      </w:r>
      <w:r>
        <w:rPr>
          <w:sz w:val="24"/>
          <w:szCs w:val="24"/>
        </w:rPr>
        <w:t xml:space="preserve">dionica treba praviti razliku između: 1) </w:t>
      </w:r>
      <w:r w:rsidR="00A259F0" w:rsidRPr="006F2DE6">
        <w:rPr>
          <w:color w:val="C00000"/>
          <w:sz w:val="24"/>
          <w:szCs w:val="24"/>
        </w:rPr>
        <w:t>tržišne vrijednosti</w:t>
      </w:r>
      <w:r w:rsidR="00A259F0">
        <w:rPr>
          <w:sz w:val="24"/>
          <w:szCs w:val="24"/>
        </w:rPr>
        <w:t xml:space="preserve">, tj. zadnje cijene dionice na tržištu </w:t>
      </w:r>
      <w:r>
        <w:rPr>
          <w:sz w:val="24"/>
          <w:szCs w:val="24"/>
        </w:rPr>
        <w:t>(određene snagom ponude i potražnje na tržištu</w:t>
      </w:r>
      <w:r w:rsidR="00A259F0">
        <w:rPr>
          <w:sz w:val="24"/>
          <w:szCs w:val="24"/>
        </w:rPr>
        <w:t xml:space="preserve">, </w:t>
      </w:r>
      <w:r w:rsidR="003347F5">
        <w:rPr>
          <w:sz w:val="24"/>
          <w:szCs w:val="24"/>
        </w:rPr>
        <w:t xml:space="preserve">pri čemu je </w:t>
      </w:r>
      <w:r>
        <w:rPr>
          <w:sz w:val="24"/>
          <w:szCs w:val="24"/>
        </w:rPr>
        <w:t xml:space="preserve">za većinu investitora to jedina bitna </w:t>
      </w:r>
      <w:r w:rsidR="006F2DE6">
        <w:rPr>
          <w:sz w:val="24"/>
          <w:szCs w:val="24"/>
        </w:rPr>
        <w:t xml:space="preserve">vrijednost </w:t>
      </w:r>
      <w:r>
        <w:rPr>
          <w:sz w:val="24"/>
          <w:szCs w:val="24"/>
        </w:rPr>
        <w:t>jer pokazuje približni iznos novca koji je potreban za kupnju</w:t>
      </w:r>
      <w:r w:rsidR="003347F5">
        <w:rPr>
          <w:sz w:val="24"/>
          <w:szCs w:val="24"/>
        </w:rPr>
        <w:t xml:space="preserve"> dionice</w:t>
      </w:r>
      <w:r>
        <w:rPr>
          <w:sz w:val="24"/>
          <w:szCs w:val="24"/>
        </w:rPr>
        <w:t>, odnosno koji se može dobiti njenom prodajom)</w:t>
      </w:r>
      <w:r w:rsidR="003347F5">
        <w:rPr>
          <w:sz w:val="24"/>
          <w:szCs w:val="24"/>
        </w:rPr>
        <w:t>;</w:t>
      </w:r>
      <w:r w:rsidR="00287E59">
        <w:rPr>
          <w:sz w:val="24"/>
          <w:szCs w:val="24"/>
        </w:rPr>
        <w:t xml:space="preserve"> 2) nominal</w:t>
      </w:r>
      <w:r w:rsidR="00A259F0">
        <w:rPr>
          <w:sz w:val="24"/>
          <w:szCs w:val="24"/>
        </w:rPr>
        <w:t>ne vrijednosti (nominale)</w:t>
      </w:r>
      <w:r w:rsidR="003347F5">
        <w:rPr>
          <w:sz w:val="24"/>
          <w:szCs w:val="24"/>
        </w:rPr>
        <w:t>;</w:t>
      </w:r>
      <w:r w:rsidR="00A259F0">
        <w:rPr>
          <w:sz w:val="24"/>
          <w:szCs w:val="24"/>
        </w:rPr>
        <w:t xml:space="preserve"> </w:t>
      </w:r>
      <w:r w:rsidR="00287E59">
        <w:rPr>
          <w:sz w:val="24"/>
          <w:szCs w:val="24"/>
        </w:rPr>
        <w:t xml:space="preserve">i 3) knjigovodstvene vrijednosti dionice. </w:t>
      </w:r>
    </w:p>
    <w:p w:rsidR="006F2DE6" w:rsidRDefault="00A259F0" w:rsidP="00FB2486">
      <w:pPr>
        <w:autoSpaceDE w:val="0"/>
        <w:autoSpaceDN w:val="0"/>
        <w:adjustRightInd w:val="0"/>
        <w:spacing w:before="240"/>
        <w:jc w:val="both"/>
        <w:rPr>
          <w:sz w:val="24"/>
          <w:szCs w:val="24"/>
        </w:rPr>
      </w:pPr>
      <w:r w:rsidRPr="006F2DE6">
        <w:rPr>
          <w:color w:val="C00000"/>
          <w:sz w:val="24"/>
          <w:szCs w:val="24"/>
        </w:rPr>
        <w:lastRenderedPageBreak/>
        <w:t xml:space="preserve">Nominalna vrijednost </w:t>
      </w:r>
      <w:r w:rsidR="00FC3326" w:rsidRPr="006F2DE6">
        <w:rPr>
          <w:color w:val="C00000"/>
          <w:sz w:val="24"/>
          <w:szCs w:val="24"/>
        </w:rPr>
        <w:t xml:space="preserve">dionice </w:t>
      </w:r>
      <w:r>
        <w:rPr>
          <w:sz w:val="24"/>
          <w:szCs w:val="24"/>
        </w:rPr>
        <w:t>praktično označava knjigovodstvenu vrijednost dionice u trenutku njenog izdavanja</w:t>
      </w:r>
      <w:r w:rsidR="00FC3326">
        <w:rPr>
          <w:sz w:val="24"/>
          <w:szCs w:val="24"/>
        </w:rPr>
        <w:t xml:space="preserve"> pa stoga u</w:t>
      </w:r>
      <w:r w:rsidR="00FC3326" w:rsidRPr="006F2DE6">
        <w:rPr>
          <w:sz w:val="24"/>
          <w:szCs w:val="24"/>
        </w:rPr>
        <w:t>množak nominalne vrijednosti i broja emitiranih dionica daje vrijednost temeljnog kapitala dioničkog društva</w:t>
      </w:r>
      <w:r w:rsidR="00A71E0A">
        <w:rPr>
          <w:sz w:val="24"/>
          <w:szCs w:val="24"/>
        </w:rPr>
        <w:t xml:space="preserve"> (upisanog kapitala uključujući eventualne premije na emitirane dionice)</w:t>
      </w:r>
      <w:r w:rsidR="00741292" w:rsidRPr="006F2DE6">
        <w:rPr>
          <w:sz w:val="24"/>
          <w:szCs w:val="24"/>
        </w:rPr>
        <w:t>.</w:t>
      </w:r>
      <w:r w:rsidR="00FC3326" w:rsidRPr="006F2DE6">
        <w:rPr>
          <w:sz w:val="24"/>
          <w:szCs w:val="24"/>
        </w:rPr>
        <w:t xml:space="preserve"> </w:t>
      </w:r>
      <w:r w:rsidR="006F2DE6">
        <w:rPr>
          <w:sz w:val="24"/>
          <w:szCs w:val="24"/>
        </w:rPr>
        <w:t xml:space="preserve">U isto vrijeme </w:t>
      </w:r>
      <w:r w:rsidR="00FC3326" w:rsidRPr="006F2DE6">
        <w:rPr>
          <w:sz w:val="24"/>
          <w:szCs w:val="24"/>
        </w:rPr>
        <w:t xml:space="preserve">tržišna vrijednost (cijena) dionice može biti veća, ali i niža od nominalne vrijednosti. Nominalna vrijednost može se promijeniti nakon izdavanja kao u slučaju dijeljenja dionice u nekom omjeru (stock  splitting), npr. dionica nominalne vrijednosti 1000 kuna podjeli se na 10 novih dionica nominalne vrijednosti 100 kuna, a s ciljem da se postignu učinci veće atraktivnosti dionice </w:t>
      </w:r>
      <w:r w:rsidR="00735549" w:rsidRPr="006F2DE6">
        <w:rPr>
          <w:sz w:val="24"/>
          <w:szCs w:val="24"/>
        </w:rPr>
        <w:t xml:space="preserve">za veći broj </w:t>
      </w:r>
      <w:r w:rsidR="00FC3326" w:rsidRPr="006F2DE6">
        <w:rPr>
          <w:sz w:val="24"/>
          <w:szCs w:val="24"/>
        </w:rPr>
        <w:t>ulagača</w:t>
      </w:r>
      <w:r w:rsidR="00735549" w:rsidRPr="006F2DE6">
        <w:rPr>
          <w:sz w:val="24"/>
          <w:szCs w:val="24"/>
        </w:rPr>
        <w:t xml:space="preserve"> kroz dostupniju cijenu nove (podijeljene) dionice na tržištu. Kako se time postižu učinci na veću potražnju i investicijsku aktivnost ulagača, navedeno može polučiti učinke na rast tržišne cijene nove (podijeljene) dionice, iako to nije pravilo koje uvijek vrijedi u praksi. </w:t>
      </w:r>
    </w:p>
    <w:p w:rsidR="00741292" w:rsidRPr="006F2DE6" w:rsidRDefault="00735549" w:rsidP="00FB2486">
      <w:pPr>
        <w:autoSpaceDE w:val="0"/>
        <w:autoSpaceDN w:val="0"/>
        <w:adjustRightInd w:val="0"/>
        <w:spacing w:before="240"/>
        <w:jc w:val="both"/>
        <w:rPr>
          <w:sz w:val="24"/>
          <w:szCs w:val="24"/>
        </w:rPr>
      </w:pPr>
      <w:r w:rsidRPr="006F2DE6">
        <w:rPr>
          <w:color w:val="C00000"/>
          <w:sz w:val="24"/>
          <w:szCs w:val="24"/>
        </w:rPr>
        <w:t xml:space="preserve">Knjigovodstvena vrijednost </w:t>
      </w:r>
      <w:r w:rsidR="006F2DE6" w:rsidRPr="006F2DE6">
        <w:rPr>
          <w:color w:val="C00000"/>
          <w:sz w:val="24"/>
          <w:szCs w:val="24"/>
        </w:rPr>
        <w:t xml:space="preserve">dionice </w:t>
      </w:r>
      <w:r w:rsidR="006F2DE6">
        <w:rPr>
          <w:sz w:val="24"/>
          <w:szCs w:val="24"/>
        </w:rPr>
        <w:t xml:space="preserve">(book value per share – BVPS) </w:t>
      </w:r>
      <w:r w:rsidRPr="006F2DE6">
        <w:rPr>
          <w:sz w:val="24"/>
          <w:szCs w:val="24"/>
        </w:rPr>
        <w:t xml:space="preserve">računa se na način da se vlasnička glavnica </w:t>
      </w:r>
      <w:r w:rsidR="008B67A4" w:rsidRPr="006F2DE6">
        <w:rPr>
          <w:sz w:val="24"/>
          <w:szCs w:val="24"/>
        </w:rPr>
        <w:t xml:space="preserve">(dionički kapital) </w:t>
      </w:r>
      <w:r w:rsidRPr="006F2DE6">
        <w:rPr>
          <w:sz w:val="24"/>
          <w:szCs w:val="24"/>
        </w:rPr>
        <w:t>podijeli brojem emitiranih dionica. Povećanju vlasničke glavnice pridonose faktori dobrog poslovanja dioničkog društva</w:t>
      </w:r>
      <w:r w:rsidR="008B67A4" w:rsidRPr="006F2DE6">
        <w:rPr>
          <w:sz w:val="24"/>
          <w:szCs w:val="24"/>
        </w:rPr>
        <w:t>, odnosno kapital kumuliran poslovanjem</w:t>
      </w:r>
      <w:r w:rsidR="006F2DE6">
        <w:rPr>
          <w:sz w:val="24"/>
          <w:szCs w:val="24"/>
        </w:rPr>
        <w:t xml:space="preserve"> </w:t>
      </w:r>
      <w:r w:rsidR="008B67A4" w:rsidRPr="006F2DE6">
        <w:rPr>
          <w:sz w:val="24"/>
          <w:szCs w:val="24"/>
        </w:rPr>
        <w:t>kroz zadržanu dobit</w:t>
      </w:r>
      <w:r w:rsidR="006F2DE6">
        <w:rPr>
          <w:sz w:val="24"/>
          <w:szCs w:val="24"/>
        </w:rPr>
        <w:t xml:space="preserve"> i slično. Koristi se npr. u financijskoj analizi za izračun pokazatelja omjera tržišne vrijednosti dionice i knjigovodstvene vrijednosti po dionici, poznatog kao P/</w:t>
      </w:r>
      <w:r w:rsidR="00A71E0A">
        <w:rPr>
          <w:sz w:val="24"/>
          <w:szCs w:val="24"/>
        </w:rPr>
        <w:t>B pokazatelj (iako se u praksi pokazatelj često računa s obzirom na nominalnu knjigovodstvenu vrijednost ne uzimajući u obzir ukupnu vrijednost vlasničke glavnice). Visoka vrijednost P/B</w:t>
      </w:r>
      <w:r w:rsidR="006F2DE6">
        <w:rPr>
          <w:sz w:val="24"/>
          <w:szCs w:val="24"/>
        </w:rPr>
        <w:t xml:space="preserve"> omjera može ukazivati na precijenjenost dionice, ali </w:t>
      </w:r>
      <w:r w:rsidR="00A71E0A">
        <w:rPr>
          <w:sz w:val="24"/>
          <w:szCs w:val="24"/>
        </w:rPr>
        <w:t xml:space="preserve">to se ne može zaključiti samo </w:t>
      </w:r>
      <w:r w:rsidR="006F2DE6">
        <w:rPr>
          <w:sz w:val="24"/>
          <w:szCs w:val="24"/>
        </w:rPr>
        <w:t xml:space="preserve">na temelju ovog pokazatelja </w:t>
      </w:r>
      <w:r w:rsidR="00A71E0A">
        <w:rPr>
          <w:sz w:val="24"/>
          <w:szCs w:val="24"/>
        </w:rPr>
        <w:t>(odnosno bez analize drugih pokazatelja). Na sličan način</w:t>
      </w:r>
      <w:r w:rsidR="00620235">
        <w:rPr>
          <w:sz w:val="24"/>
          <w:szCs w:val="24"/>
        </w:rPr>
        <w:t>,</w:t>
      </w:r>
      <w:r w:rsidR="00A71E0A">
        <w:rPr>
          <w:sz w:val="24"/>
          <w:szCs w:val="24"/>
        </w:rPr>
        <w:t xml:space="preserve"> </w:t>
      </w:r>
      <w:r w:rsidR="006F2DE6">
        <w:rPr>
          <w:sz w:val="24"/>
          <w:szCs w:val="24"/>
        </w:rPr>
        <w:t>niska vrijednost omjera (npr. oko 1</w:t>
      </w:r>
      <w:r w:rsidR="00EC43FD">
        <w:rPr>
          <w:sz w:val="24"/>
          <w:szCs w:val="24"/>
        </w:rPr>
        <w:t xml:space="preserve"> ili niže</w:t>
      </w:r>
      <w:r w:rsidR="006F2DE6">
        <w:rPr>
          <w:sz w:val="24"/>
          <w:szCs w:val="24"/>
        </w:rPr>
        <w:t xml:space="preserve">) ne znači nužno da </w:t>
      </w:r>
      <w:r w:rsidR="00620235">
        <w:rPr>
          <w:sz w:val="24"/>
          <w:szCs w:val="24"/>
        </w:rPr>
        <w:t>je dionica doista podcijenjena pa je nužno analizirati i drug</w:t>
      </w:r>
      <w:r w:rsidR="00BA6A94">
        <w:rPr>
          <w:sz w:val="24"/>
          <w:szCs w:val="24"/>
        </w:rPr>
        <w:t>e</w:t>
      </w:r>
      <w:r w:rsidR="00620235">
        <w:rPr>
          <w:sz w:val="24"/>
          <w:szCs w:val="24"/>
        </w:rPr>
        <w:t xml:space="preserve"> pokazatelj</w:t>
      </w:r>
      <w:r w:rsidR="00BA6A94">
        <w:rPr>
          <w:sz w:val="24"/>
          <w:szCs w:val="24"/>
        </w:rPr>
        <w:t>e</w:t>
      </w:r>
      <w:r w:rsidR="00620235">
        <w:rPr>
          <w:sz w:val="24"/>
          <w:szCs w:val="24"/>
        </w:rPr>
        <w:t>.</w:t>
      </w:r>
    </w:p>
    <w:p w:rsidR="006F2DE6" w:rsidRDefault="00FB2486" w:rsidP="00FB2486">
      <w:pPr>
        <w:autoSpaceDE w:val="0"/>
        <w:autoSpaceDN w:val="0"/>
        <w:adjustRightInd w:val="0"/>
        <w:spacing w:before="240"/>
        <w:jc w:val="both"/>
        <w:rPr>
          <w:sz w:val="24"/>
          <w:szCs w:val="24"/>
        </w:rPr>
      </w:pPr>
      <w:r w:rsidRPr="00D5518A">
        <w:rPr>
          <w:sz w:val="24"/>
          <w:szCs w:val="24"/>
        </w:rPr>
        <w:t>Za vlasnika dionica (dioničara)</w:t>
      </w:r>
      <w:r>
        <w:rPr>
          <w:sz w:val="24"/>
          <w:szCs w:val="24"/>
        </w:rPr>
        <w:t xml:space="preserve"> je </w:t>
      </w:r>
      <w:r w:rsidRPr="00D5518A">
        <w:rPr>
          <w:i/>
          <w:sz w:val="24"/>
          <w:szCs w:val="24"/>
        </w:rPr>
        <w:t xml:space="preserve">važno  „da bude u tijeku svih događanja koja se tiču samog dioničkog društva ili njegove djelatnosti. Važno je pratiti glavne skupštine dioničkih društava i odluke donesene na njima. Važno je pročitati statut dioničkog društva, kao dokument koji pruža temeljne informacije o dioničkom društvu, a za dionička društva čije su dionice uvrštene na uređeno tržište i prospekt uvrštenja, a važno je pratiti i financijska izviješća i ostale informacije koje izdavatelj objavljuje putem medija, burze i SRPI-ja.“ </w:t>
      </w:r>
      <w:r w:rsidRPr="00D5518A">
        <w:rPr>
          <w:i/>
          <w:sz w:val="24"/>
          <w:szCs w:val="24"/>
          <w:vertAlign w:val="superscript"/>
        </w:rPr>
        <w:footnoteReference w:id="100"/>
      </w:r>
      <w:r w:rsidRPr="00D5518A">
        <w:rPr>
          <w:sz w:val="24"/>
          <w:szCs w:val="24"/>
        </w:rPr>
        <w:t xml:space="preserve"> </w:t>
      </w:r>
      <w:r w:rsidR="006F2DE6">
        <w:rPr>
          <w:sz w:val="24"/>
          <w:szCs w:val="24"/>
        </w:rPr>
        <w:t xml:space="preserve">Nadalje važno je </w:t>
      </w:r>
      <w:r w:rsidR="006F2DE6" w:rsidRPr="00DA0673">
        <w:rPr>
          <w:color w:val="C00000"/>
          <w:sz w:val="24"/>
          <w:szCs w:val="24"/>
        </w:rPr>
        <w:t>sagledati čimbenike rizika koji se mogu odraziti na tržišnu vrijednost dionice</w:t>
      </w:r>
      <w:r w:rsidR="00C77B70" w:rsidRPr="00DA0673">
        <w:rPr>
          <w:color w:val="C00000"/>
          <w:sz w:val="24"/>
          <w:szCs w:val="24"/>
        </w:rPr>
        <w:t xml:space="preserve"> zbog pogoršanja uvjeta </w:t>
      </w:r>
      <w:r w:rsidR="00BA6A94">
        <w:rPr>
          <w:color w:val="C00000"/>
          <w:sz w:val="24"/>
          <w:szCs w:val="24"/>
        </w:rPr>
        <w:t xml:space="preserve">poslovanja </w:t>
      </w:r>
      <w:r w:rsidR="00C77B70" w:rsidRPr="00DA0673">
        <w:rPr>
          <w:color w:val="C00000"/>
          <w:sz w:val="24"/>
          <w:szCs w:val="24"/>
        </w:rPr>
        <w:t xml:space="preserve"> pokazatelj</w:t>
      </w:r>
      <w:r w:rsidR="00BA6A94">
        <w:rPr>
          <w:color w:val="C00000"/>
          <w:sz w:val="24"/>
          <w:szCs w:val="24"/>
        </w:rPr>
        <w:t>a</w:t>
      </w:r>
      <w:r w:rsidR="00C77B70" w:rsidRPr="00DA0673">
        <w:rPr>
          <w:color w:val="C00000"/>
          <w:sz w:val="24"/>
          <w:szCs w:val="24"/>
        </w:rPr>
        <w:t xml:space="preserve"> poslovanja društva izdavatelja vrijednosnice</w:t>
      </w:r>
      <w:r w:rsidR="00C77B70">
        <w:rPr>
          <w:sz w:val="24"/>
          <w:szCs w:val="24"/>
        </w:rPr>
        <w:t xml:space="preserve"> uključujući: rizik industrije, rizik prodaje, rizik konkurencije, tehnološke rizike, tečajne rizike koji djeluju na konkurentnost izvoza i troškove inputa u proizvodnji, politički rizik, rizik pravnog sustava, rizik financiranja</w:t>
      </w:r>
      <w:r w:rsidR="009C4C2C">
        <w:rPr>
          <w:sz w:val="24"/>
          <w:szCs w:val="24"/>
        </w:rPr>
        <w:t>, rizik makroekonomskog okruženja, rizik globalnog okruženja</w:t>
      </w:r>
      <w:r w:rsidR="00C77B70">
        <w:rPr>
          <w:sz w:val="24"/>
          <w:szCs w:val="24"/>
        </w:rPr>
        <w:t xml:space="preserve"> itd. </w:t>
      </w:r>
    </w:p>
    <w:p w:rsidR="00576C97" w:rsidRDefault="00C77B70" w:rsidP="00576C97">
      <w:pPr>
        <w:autoSpaceDE w:val="0"/>
        <w:autoSpaceDN w:val="0"/>
        <w:adjustRightInd w:val="0"/>
        <w:spacing w:before="240"/>
        <w:jc w:val="both"/>
        <w:rPr>
          <w:sz w:val="24"/>
          <w:szCs w:val="24"/>
        </w:rPr>
      </w:pPr>
      <w:r>
        <w:rPr>
          <w:sz w:val="24"/>
          <w:szCs w:val="24"/>
        </w:rPr>
        <w:t xml:space="preserve">Kako bi ulagačka javnost bila informirana, </w:t>
      </w:r>
      <w:r w:rsidR="00FB2486" w:rsidRPr="00D5518A">
        <w:rPr>
          <w:color w:val="C00000"/>
          <w:sz w:val="24"/>
          <w:szCs w:val="24"/>
        </w:rPr>
        <w:t xml:space="preserve">izdavatelji vrijednosnica trebaju zadovoljiti opće i posebne uvjete </w:t>
      </w:r>
      <w:r w:rsidR="00FB2486" w:rsidRPr="00D5518A">
        <w:rPr>
          <w:sz w:val="24"/>
          <w:szCs w:val="24"/>
        </w:rPr>
        <w:t xml:space="preserve">koji definiraju </w:t>
      </w:r>
      <w:r w:rsidR="00FB2486" w:rsidRPr="00D5518A">
        <w:rPr>
          <w:color w:val="C00000"/>
          <w:sz w:val="24"/>
          <w:szCs w:val="24"/>
        </w:rPr>
        <w:t xml:space="preserve">transparentnost </w:t>
      </w:r>
      <w:r w:rsidR="00FB2486" w:rsidRPr="00D5518A">
        <w:rPr>
          <w:sz w:val="24"/>
          <w:szCs w:val="24"/>
        </w:rPr>
        <w:t xml:space="preserve">u smislu objave svih bitnih podataka o dioničkom društvu </w:t>
      </w:r>
      <w:r w:rsidR="00FB2486">
        <w:rPr>
          <w:sz w:val="24"/>
          <w:szCs w:val="24"/>
        </w:rPr>
        <w:t>te</w:t>
      </w:r>
      <w:r w:rsidR="00FB2486" w:rsidRPr="00D5518A">
        <w:rPr>
          <w:color w:val="C00000"/>
          <w:sz w:val="24"/>
          <w:szCs w:val="24"/>
        </w:rPr>
        <w:t xml:space="preserve"> faktorima koji bi se mogli značajnije odraziti na promjene cijena </w:t>
      </w:r>
      <w:r w:rsidR="00FB2486" w:rsidRPr="00D5518A">
        <w:rPr>
          <w:color w:val="C00000"/>
          <w:sz w:val="24"/>
          <w:szCs w:val="24"/>
        </w:rPr>
        <w:lastRenderedPageBreak/>
        <w:t>dionica</w:t>
      </w:r>
      <w:r w:rsidR="00FB2486" w:rsidRPr="00D5518A">
        <w:rPr>
          <w:sz w:val="24"/>
          <w:szCs w:val="24"/>
        </w:rPr>
        <w:t xml:space="preserve">. </w:t>
      </w:r>
      <w:r>
        <w:rPr>
          <w:sz w:val="24"/>
          <w:szCs w:val="24"/>
        </w:rPr>
        <w:t xml:space="preserve">Neki od važnih informacija mogu se pronaći u prospektu dionice (iako oni mogu biti bitno zastarjeli jer se izdavanje prospekta zahtjeva prilikom uvrštenja na tržište), u temeljnim financijskim izvještajima društva (bilanci, računu dobiti i gubitka te izvještaju o novčanom tijeku), u periodičkim objavama informacija od strane društva izdavatelja te u dnevnom tisku i drugim medijima. Dostupnošću i ispravnošću procesiranja informacija </w:t>
      </w:r>
      <w:r w:rsidR="00FB2486" w:rsidRPr="00D5518A">
        <w:rPr>
          <w:sz w:val="24"/>
          <w:szCs w:val="24"/>
        </w:rPr>
        <w:t xml:space="preserve">osnažuje </w:t>
      </w:r>
      <w:r>
        <w:rPr>
          <w:sz w:val="24"/>
          <w:szCs w:val="24"/>
        </w:rPr>
        <w:t xml:space="preserve">se </w:t>
      </w:r>
      <w:r w:rsidR="00FB2486" w:rsidRPr="00C77B70">
        <w:rPr>
          <w:color w:val="C00000"/>
          <w:sz w:val="24"/>
          <w:szCs w:val="24"/>
        </w:rPr>
        <w:t>racionalnost donošenja odluka investitora o kupovini, prodaji ili držanju određene vrijednosnice</w:t>
      </w:r>
      <w:r>
        <w:rPr>
          <w:sz w:val="24"/>
          <w:szCs w:val="24"/>
        </w:rPr>
        <w:t xml:space="preserve">. </w:t>
      </w:r>
      <w:r w:rsidR="00FB2486" w:rsidRPr="00D5518A">
        <w:rPr>
          <w:sz w:val="24"/>
          <w:szCs w:val="24"/>
        </w:rPr>
        <w:t xml:space="preserve"> </w:t>
      </w:r>
    </w:p>
    <w:p w:rsidR="00DA20DD" w:rsidRDefault="00DA20DD" w:rsidP="00576C97">
      <w:pPr>
        <w:autoSpaceDE w:val="0"/>
        <w:autoSpaceDN w:val="0"/>
        <w:adjustRightInd w:val="0"/>
        <w:spacing w:before="240"/>
        <w:jc w:val="both"/>
        <w:rPr>
          <w:sz w:val="24"/>
          <w:szCs w:val="24"/>
        </w:rPr>
      </w:pPr>
      <w:r>
        <w:rPr>
          <w:sz w:val="24"/>
          <w:szCs w:val="24"/>
        </w:rPr>
        <w:t xml:space="preserve">Kod pojedinih dionica je vjerojatna skora isplate </w:t>
      </w:r>
      <w:r w:rsidRPr="00FE22C4">
        <w:rPr>
          <w:color w:val="C00000"/>
          <w:sz w:val="24"/>
          <w:szCs w:val="24"/>
        </w:rPr>
        <w:t>dividende</w:t>
      </w:r>
      <w:r>
        <w:rPr>
          <w:sz w:val="24"/>
          <w:szCs w:val="24"/>
        </w:rPr>
        <w:t>, a za dio dionica dividenda neće biti isplaćena jer poduzeća ne ostvaruju neto-dobit (i ne postoji zadržana dobit iz prethodnih razdoblja) ili je kod drugih dioničkih društva (koja su ostvarila dobit) skupština dioničara donijela odluku da se dividenda neće isplatiti.</w:t>
      </w:r>
    </w:p>
    <w:tbl>
      <w:tblPr>
        <w:tblStyle w:val="Reetkatablice"/>
        <w:tblW w:w="0" w:type="auto"/>
        <w:tblInd w:w="108" w:type="dxa"/>
        <w:tblLook w:val="04A0" w:firstRow="1" w:lastRow="0" w:firstColumn="1" w:lastColumn="0" w:noHBand="0" w:noVBand="1"/>
      </w:tblPr>
      <w:tblGrid>
        <w:gridCol w:w="9180"/>
      </w:tblGrid>
      <w:tr w:rsidR="00576C97" w:rsidTr="00576C97">
        <w:tc>
          <w:tcPr>
            <w:tcW w:w="9180" w:type="dxa"/>
          </w:tcPr>
          <w:p w:rsidR="00576C97" w:rsidRPr="00AD3BBE" w:rsidRDefault="00576C97" w:rsidP="00576C97">
            <w:pPr>
              <w:autoSpaceDE w:val="0"/>
              <w:autoSpaceDN w:val="0"/>
              <w:adjustRightInd w:val="0"/>
              <w:spacing w:before="120"/>
              <w:jc w:val="both"/>
              <w:rPr>
                <w:rFonts w:asciiTheme="minorHAnsi" w:hAnsiTheme="minorHAnsi"/>
                <w:color w:val="C00000"/>
                <w:sz w:val="24"/>
                <w:szCs w:val="24"/>
              </w:rPr>
            </w:pPr>
            <w:r w:rsidRPr="00AD3BBE">
              <w:rPr>
                <w:rFonts w:asciiTheme="minorHAnsi" w:hAnsiTheme="minorHAnsi"/>
                <w:color w:val="C00000"/>
                <w:sz w:val="24"/>
                <w:szCs w:val="24"/>
              </w:rPr>
              <w:t>Isplata dividenda za pojedine dionice</w:t>
            </w:r>
          </w:p>
          <w:p w:rsidR="00576C97" w:rsidRDefault="00576C97" w:rsidP="00576C97">
            <w:pPr>
              <w:autoSpaceDE w:val="0"/>
              <w:autoSpaceDN w:val="0"/>
              <w:adjustRightInd w:val="0"/>
              <w:spacing w:before="120"/>
              <w:jc w:val="both"/>
            </w:pPr>
            <w:r>
              <w:rPr>
                <w:rFonts w:asciiTheme="minorHAnsi" w:eastAsiaTheme="minorHAnsi" w:hAnsiTheme="minorHAnsi" w:cstheme="minorBidi"/>
                <w:sz w:val="22"/>
                <w:szCs w:val="22"/>
                <w:lang w:eastAsia="en-US"/>
              </w:rPr>
              <w:object w:dxaOrig="6225" w:dyaOrig="2400">
                <v:shape id="_x0000_i1087" type="#_x0000_t75" style="width:311.25pt;height:120pt" o:ole="">
                  <v:imagedata r:id="rId249" o:title=""/>
                </v:shape>
                <o:OLEObject Type="Embed" ProgID="PBrush" ShapeID="_x0000_i1087" DrawAspect="Content" ObjectID="_1505681415" r:id="rId250"/>
              </w:object>
            </w:r>
          </w:p>
          <w:p w:rsidR="00576C97" w:rsidRDefault="00576C97" w:rsidP="00576C97">
            <w:pPr>
              <w:autoSpaceDE w:val="0"/>
              <w:autoSpaceDN w:val="0"/>
              <w:adjustRightInd w:val="0"/>
              <w:spacing w:before="120"/>
              <w:jc w:val="both"/>
            </w:pPr>
            <w:r>
              <w:rPr>
                <w:rFonts w:asciiTheme="minorHAnsi" w:eastAsiaTheme="minorHAnsi" w:hAnsiTheme="minorHAnsi" w:cstheme="minorBidi"/>
                <w:sz w:val="22"/>
                <w:szCs w:val="22"/>
                <w:lang w:eastAsia="en-US"/>
              </w:rPr>
              <w:object w:dxaOrig="6150" w:dyaOrig="1125">
                <v:shape id="_x0000_i1088" type="#_x0000_t75" style="width:307.5pt;height:56.25pt" o:ole="">
                  <v:imagedata r:id="rId251" o:title=""/>
                </v:shape>
                <o:OLEObject Type="Embed" ProgID="PBrush" ShapeID="_x0000_i1088" DrawAspect="Content" ObjectID="_1505681416" r:id="rId252"/>
              </w:object>
            </w:r>
          </w:p>
          <w:p w:rsidR="00576C97" w:rsidRDefault="00576C97" w:rsidP="00576C97">
            <w:pPr>
              <w:autoSpaceDE w:val="0"/>
              <w:autoSpaceDN w:val="0"/>
              <w:adjustRightInd w:val="0"/>
              <w:spacing w:before="120"/>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6195" w:dyaOrig="3255">
                <v:shape id="_x0000_i1089" type="#_x0000_t75" style="width:309.75pt;height:162.75pt" o:ole="">
                  <v:imagedata r:id="rId253" o:title=""/>
                </v:shape>
                <o:OLEObject Type="Embed" ProgID="PBrush" ShapeID="_x0000_i1089" DrawAspect="Content" ObjectID="_1505681417" r:id="rId254"/>
              </w:object>
            </w:r>
          </w:p>
          <w:p w:rsidR="00576C97" w:rsidRPr="001C416C" w:rsidRDefault="00576C97" w:rsidP="00576C97">
            <w:pPr>
              <w:autoSpaceDE w:val="0"/>
              <w:autoSpaceDN w:val="0"/>
              <w:adjustRightInd w:val="0"/>
              <w:jc w:val="both"/>
              <w:rPr>
                <w:rFonts w:asciiTheme="minorHAnsi" w:eastAsiaTheme="minorHAnsi" w:hAnsiTheme="minorHAnsi" w:cstheme="minorBidi"/>
                <w:lang w:eastAsia="en-US"/>
              </w:rPr>
            </w:pPr>
            <w:r w:rsidRPr="001C416C">
              <w:rPr>
                <w:rFonts w:asciiTheme="minorHAnsi" w:eastAsiaTheme="minorHAnsi" w:hAnsiTheme="minorHAnsi" w:cstheme="minorBidi"/>
                <w:color w:val="C00000"/>
                <w:lang w:eastAsia="en-US"/>
              </w:rPr>
              <w:t xml:space="preserve">Napomena: </w:t>
            </w:r>
            <w:r w:rsidRPr="001C416C">
              <w:rPr>
                <w:rFonts w:asciiTheme="minorHAnsi" w:eastAsiaTheme="minorHAnsi" w:hAnsiTheme="minorHAnsi" w:cstheme="minorBidi"/>
                <w:lang w:eastAsia="en-US"/>
              </w:rPr>
              <w:t>Navedeni podaci o izabranim dionicama iznose se samo kao primjer te se navedeno nipošto ne može tretirati kao nagovor na kupnju ili prodaju. Autor ovog teksta ne posjeduje niti jednu dionicu iz primjera.</w:t>
            </w:r>
          </w:p>
          <w:p w:rsidR="00576C97" w:rsidRPr="000E2654" w:rsidRDefault="00576C97" w:rsidP="00576C97">
            <w:pPr>
              <w:autoSpaceDE w:val="0"/>
              <w:autoSpaceDN w:val="0"/>
              <w:adjustRightInd w:val="0"/>
              <w:jc w:val="both"/>
              <w:rPr>
                <w:rFonts w:asciiTheme="minorHAnsi" w:hAnsiTheme="minorHAnsi"/>
                <w:sz w:val="24"/>
                <w:szCs w:val="24"/>
              </w:rPr>
            </w:pPr>
            <w:r w:rsidRPr="000E2654">
              <w:rPr>
                <w:rFonts w:asciiTheme="minorHAnsi" w:hAnsiTheme="minorHAnsi"/>
              </w:rPr>
              <w:t xml:space="preserve">Izvor: MojeDionice.com, preuzeto sa: http://www.mojedionice.com </w:t>
            </w:r>
          </w:p>
        </w:tc>
      </w:tr>
    </w:tbl>
    <w:p w:rsidR="00DC1255" w:rsidRDefault="00DC1255" w:rsidP="00DC1255">
      <w:pPr>
        <w:autoSpaceDE w:val="0"/>
        <w:autoSpaceDN w:val="0"/>
        <w:adjustRightInd w:val="0"/>
        <w:spacing w:before="240"/>
        <w:jc w:val="both"/>
        <w:rPr>
          <w:sz w:val="24"/>
          <w:szCs w:val="24"/>
        </w:rPr>
      </w:pPr>
      <w:r>
        <w:rPr>
          <w:sz w:val="24"/>
          <w:szCs w:val="24"/>
        </w:rPr>
        <w:t xml:space="preserve">Ulaganja u pojedine dionice će dijelu investitora donijeti </w:t>
      </w:r>
      <w:r w:rsidRPr="00FE22C4">
        <w:rPr>
          <w:color w:val="C00000"/>
          <w:sz w:val="24"/>
          <w:szCs w:val="24"/>
        </w:rPr>
        <w:t xml:space="preserve">kapitalne dobitke </w:t>
      </w:r>
      <w:r w:rsidRPr="00FE22C4">
        <w:rPr>
          <w:sz w:val="24"/>
          <w:szCs w:val="24"/>
        </w:rPr>
        <w:t xml:space="preserve">(prodaju po cijeni većoj od nabavne) </w:t>
      </w:r>
      <w:r>
        <w:rPr>
          <w:sz w:val="24"/>
          <w:szCs w:val="24"/>
        </w:rPr>
        <w:t xml:space="preserve">– pa će „netko“ zbog toga ostvariti zaradu, a „netko drugi“ će propustiti tu istu priliku za zaradu. Dio investitora će ostvariti </w:t>
      </w:r>
      <w:r w:rsidRPr="005F1509">
        <w:rPr>
          <w:color w:val="C00000"/>
          <w:sz w:val="24"/>
          <w:szCs w:val="24"/>
        </w:rPr>
        <w:t xml:space="preserve">realizirane </w:t>
      </w:r>
      <w:r w:rsidRPr="001C416C">
        <w:rPr>
          <w:color w:val="C00000"/>
          <w:sz w:val="24"/>
          <w:szCs w:val="24"/>
        </w:rPr>
        <w:t xml:space="preserve">kapitalne gubitke </w:t>
      </w:r>
      <w:r>
        <w:rPr>
          <w:sz w:val="24"/>
          <w:szCs w:val="24"/>
        </w:rPr>
        <w:t xml:space="preserve">prodajom </w:t>
      </w:r>
      <w:r>
        <w:rPr>
          <w:sz w:val="24"/>
          <w:szCs w:val="24"/>
        </w:rPr>
        <w:lastRenderedPageBreak/>
        <w:t xml:space="preserve">dionica po cijeni nižoj od nabavne, a dio investitora bilježi </w:t>
      </w:r>
      <w:r w:rsidRPr="005F1509">
        <w:rPr>
          <w:color w:val="C00000"/>
          <w:sz w:val="24"/>
          <w:szCs w:val="24"/>
        </w:rPr>
        <w:t xml:space="preserve">nerealizirane kapitalne gubitke </w:t>
      </w:r>
      <w:r>
        <w:rPr>
          <w:sz w:val="24"/>
          <w:szCs w:val="24"/>
        </w:rPr>
        <w:t>za dionice čija je trenutna cijena niža od nabavne</w:t>
      </w:r>
      <w:r w:rsidR="00BA6A94">
        <w:rPr>
          <w:sz w:val="24"/>
          <w:szCs w:val="24"/>
        </w:rPr>
        <w:t xml:space="preserve"> a daljnjim držanjem iste dionice investitori </w:t>
      </w:r>
      <w:r>
        <w:rPr>
          <w:sz w:val="24"/>
          <w:szCs w:val="24"/>
        </w:rPr>
        <w:t>sprječavaju (ili odgađaju) realizaciju gubitka nadajući se (ili možda imaju racionalne razloge vjerovati) da će buduća cijena za njih biti povoljnija.</w:t>
      </w:r>
    </w:p>
    <w:p w:rsidR="00DA20DD" w:rsidRDefault="00DA20DD" w:rsidP="00DA20DD">
      <w:pPr>
        <w:autoSpaceDE w:val="0"/>
        <w:autoSpaceDN w:val="0"/>
        <w:adjustRightInd w:val="0"/>
        <w:spacing w:before="240"/>
        <w:jc w:val="both"/>
        <w:rPr>
          <w:sz w:val="24"/>
          <w:szCs w:val="24"/>
        </w:rPr>
      </w:pPr>
      <w:r>
        <w:rPr>
          <w:sz w:val="24"/>
          <w:szCs w:val="24"/>
        </w:rPr>
        <w:t xml:space="preserve">Za neke od dionica je prilično racionalno očekivati da će u budućnosti zabilježiti rast (ili pad) vrijednosti jer niz vrlo vjerojatnih faktora ide u prilog tome, a o drugima je samo moguće špekulirati jer su mogući scenariji A, B, C, D i E … i prilično je neizvjesno koji će se od njih ostvariti, npr. u najgoroj opciji moguć je pad 20%, a u najboljoj opciji rast 20%. Ukoliko postoji velika vjerojatnost da će doći do vlasničkog promjena ili preuzimanja određenog dioničkog društva, vrlo često se događa da zbog toga cijene dionica počnu rasti. Međutim, uvijek je pitanje do kada i koliko će rasti. U takvim okolnostima uobičajeno dio ulagača (koji kasne za tržištem) kupuje dionice kada su precijenjene i prije nego što tržište adekvatno odvagne njihovu stvarnu vrijednost. </w:t>
      </w:r>
    </w:p>
    <w:p w:rsidR="00DA20DD" w:rsidRDefault="00DA20DD" w:rsidP="00DA20DD">
      <w:pPr>
        <w:autoSpaceDE w:val="0"/>
        <w:autoSpaceDN w:val="0"/>
        <w:adjustRightInd w:val="0"/>
        <w:spacing w:before="240"/>
        <w:jc w:val="both"/>
        <w:rPr>
          <w:sz w:val="24"/>
          <w:szCs w:val="24"/>
        </w:rPr>
      </w:pPr>
      <w:r>
        <w:rPr>
          <w:sz w:val="24"/>
          <w:szCs w:val="24"/>
        </w:rPr>
        <w:t xml:space="preserve">Sve navedeno govori o problemu nemogućnosti adekvatnog predviđanja budućih cijena. S druge strane jedna od temeljnih teoretskih pretpostavki glasi da </w:t>
      </w:r>
      <w:r w:rsidRPr="006068A0">
        <w:rPr>
          <w:i/>
          <w:color w:val="C00000"/>
          <w:sz w:val="24"/>
          <w:szCs w:val="24"/>
        </w:rPr>
        <w:t xml:space="preserve">„cijene dionica rastu ukoliko su ukupne dividende i buduća prodajna cijena dionice više od investirane cijene“. </w:t>
      </w:r>
      <w:r w:rsidRPr="00DA0673">
        <w:rPr>
          <w:sz w:val="24"/>
          <w:szCs w:val="24"/>
        </w:rPr>
        <w:t xml:space="preserve">Međutim i u tom slučaju predviđanje budućih cijena je otežano jer cijena može brže ili sporije apsorbirati učinke informacija i očekivanja. </w:t>
      </w:r>
    </w:p>
    <w:p w:rsidR="00576C97" w:rsidRDefault="00576C97" w:rsidP="00576C97">
      <w:pPr>
        <w:autoSpaceDE w:val="0"/>
        <w:autoSpaceDN w:val="0"/>
        <w:adjustRightInd w:val="0"/>
        <w:spacing w:before="240"/>
        <w:jc w:val="both"/>
        <w:rPr>
          <w:sz w:val="24"/>
          <w:szCs w:val="24"/>
        </w:rPr>
      </w:pPr>
      <w:r>
        <w:object w:dxaOrig="11355" w:dyaOrig="6795">
          <v:shape id="_x0000_i1090" type="#_x0000_t75" style="width:440.25pt;height:263.25pt" o:ole="">
            <v:imagedata r:id="rId255" o:title=""/>
          </v:shape>
          <o:OLEObject Type="Embed" ProgID="PBrush" ShapeID="_x0000_i1090" DrawAspect="Content" ObjectID="_1505681418" r:id="rId256"/>
        </w:object>
      </w:r>
    </w:p>
    <w:p w:rsidR="00576C97" w:rsidRDefault="00576C97" w:rsidP="00576C97">
      <w:pPr>
        <w:autoSpaceDE w:val="0"/>
        <w:autoSpaceDN w:val="0"/>
        <w:adjustRightInd w:val="0"/>
        <w:spacing w:before="240"/>
        <w:jc w:val="both"/>
        <w:rPr>
          <w:sz w:val="24"/>
          <w:szCs w:val="24"/>
        </w:rPr>
      </w:pPr>
      <w:r>
        <w:rPr>
          <w:noProof/>
          <w:lang w:eastAsia="hr-HR"/>
        </w:rPr>
        <w:lastRenderedPageBreak/>
        <w:drawing>
          <wp:inline distT="0" distB="0" distL="0" distR="0" wp14:anchorId="10FAF073" wp14:editId="05E72B52">
            <wp:extent cx="5172075" cy="3640138"/>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180914" cy="3646359"/>
                    </a:xfrm>
                    <a:prstGeom prst="rect">
                      <a:avLst/>
                    </a:prstGeom>
                    <a:noFill/>
                    <a:ln>
                      <a:noFill/>
                    </a:ln>
                    <a:extLst/>
                  </pic:spPr>
                </pic:pic>
              </a:graphicData>
            </a:graphic>
          </wp:inline>
        </w:drawing>
      </w:r>
    </w:p>
    <w:p w:rsidR="00DA20DD" w:rsidRDefault="00DA20DD" w:rsidP="00576C97">
      <w:pPr>
        <w:autoSpaceDE w:val="0"/>
        <w:autoSpaceDN w:val="0"/>
        <w:adjustRightInd w:val="0"/>
        <w:spacing w:before="240"/>
        <w:jc w:val="both"/>
        <w:rPr>
          <w:sz w:val="24"/>
          <w:szCs w:val="24"/>
        </w:rPr>
      </w:pPr>
    </w:p>
    <w:p w:rsidR="00DC1255" w:rsidRDefault="00DC1255" w:rsidP="00DC1255">
      <w:pPr>
        <w:autoSpaceDE w:val="0"/>
        <w:autoSpaceDN w:val="0"/>
        <w:adjustRightInd w:val="0"/>
        <w:spacing w:before="240"/>
        <w:jc w:val="both"/>
        <w:rPr>
          <w:sz w:val="24"/>
          <w:szCs w:val="24"/>
        </w:rPr>
      </w:pPr>
      <w:r>
        <w:rPr>
          <w:noProof/>
          <w:sz w:val="24"/>
          <w:szCs w:val="24"/>
          <w:lang w:eastAsia="hr-HR"/>
        </w:rPr>
        <w:drawing>
          <wp:inline distT="0" distB="0" distL="0" distR="0" wp14:anchorId="10759D78" wp14:editId="0B26AC4F">
            <wp:extent cx="5753100" cy="4314825"/>
            <wp:effectExtent l="0" t="0" r="0" b="9525"/>
            <wp:docPr id="29707" name="Slika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tbl>
      <w:tblPr>
        <w:tblStyle w:val="Reetkatablice"/>
        <w:tblW w:w="0" w:type="auto"/>
        <w:tblLook w:val="04A0" w:firstRow="1" w:lastRow="0" w:firstColumn="1" w:lastColumn="0" w:noHBand="0" w:noVBand="1"/>
      </w:tblPr>
      <w:tblGrid>
        <w:gridCol w:w="9288"/>
      </w:tblGrid>
      <w:tr w:rsidR="00B62799" w:rsidTr="005F1509">
        <w:tc>
          <w:tcPr>
            <w:tcW w:w="9288" w:type="dxa"/>
          </w:tcPr>
          <w:p w:rsidR="00620235" w:rsidRDefault="005F1509" w:rsidP="00B62799">
            <w:pPr>
              <w:autoSpaceDE w:val="0"/>
              <w:autoSpaceDN w:val="0"/>
              <w:adjustRightInd w:val="0"/>
              <w:spacing w:before="240" w:after="240"/>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lastRenderedPageBreak/>
              <w:br w:type="page"/>
            </w:r>
            <w:r w:rsidR="00620235">
              <w:rPr>
                <w:rFonts w:asciiTheme="minorHAnsi" w:eastAsiaTheme="minorHAnsi" w:hAnsiTheme="minorHAnsi" w:cstheme="minorBidi"/>
                <w:sz w:val="22"/>
                <w:szCs w:val="22"/>
                <w:lang w:eastAsia="en-US"/>
              </w:rPr>
              <w:object w:dxaOrig="8700" w:dyaOrig="6390">
                <v:shape id="_x0000_i1091" type="#_x0000_t75" style="width:435pt;height:319.5pt" o:ole="">
                  <v:imagedata r:id="rId259" o:title=""/>
                </v:shape>
                <o:OLEObject Type="Embed" ProgID="PBrush" ShapeID="_x0000_i1091" DrawAspect="Content" ObjectID="_1505681419" r:id="rId260"/>
              </w:object>
            </w:r>
          </w:p>
          <w:p w:rsidR="00B62799" w:rsidRDefault="00620235" w:rsidP="00B62799">
            <w:pPr>
              <w:autoSpaceDE w:val="0"/>
              <w:autoSpaceDN w:val="0"/>
              <w:adjustRightInd w:val="0"/>
              <w:spacing w:before="240" w:after="240"/>
              <w:jc w:val="both"/>
            </w:pPr>
            <w:r w:rsidRPr="00620235">
              <w:rPr>
                <w:rFonts w:asciiTheme="minorHAnsi" w:eastAsiaTheme="minorHAnsi" w:hAnsiTheme="minorHAnsi" w:cstheme="minorBidi"/>
                <w:sz w:val="22"/>
                <w:szCs w:val="22"/>
                <w:lang w:eastAsia="en-US"/>
              </w:rPr>
              <w:t>.</w:t>
            </w:r>
            <w:r w:rsidR="00B62799">
              <w:rPr>
                <w:rFonts w:asciiTheme="minorHAnsi" w:eastAsiaTheme="minorHAnsi" w:hAnsiTheme="minorHAnsi" w:cstheme="minorBidi"/>
                <w:sz w:val="22"/>
                <w:szCs w:val="22"/>
                <w:lang w:eastAsia="en-US"/>
              </w:rPr>
              <w:object w:dxaOrig="7215" w:dyaOrig="1710">
                <v:shape id="_x0000_i1092" type="#_x0000_t75" style="width:360.75pt;height:85.5pt" o:ole="">
                  <v:imagedata r:id="rId261" o:title=""/>
                </v:shape>
                <o:OLEObject Type="Embed" ProgID="PBrush" ShapeID="_x0000_i1092" DrawAspect="Content" ObjectID="_1505681420" r:id="rId262"/>
              </w:object>
            </w:r>
          </w:p>
          <w:p w:rsidR="00B62799" w:rsidRDefault="00B62799" w:rsidP="00B62799">
            <w:pPr>
              <w:autoSpaceDE w:val="0"/>
              <w:autoSpaceDN w:val="0"/>
              <w:adjustRightInd w:val="0"/>
              <w:jc w:val="both"/>
            </w:pPr>
            <w:r>
              <w:rPr>
                <w:rFonts w:asciiTheme="minorHAnsi" w:eastAsiaTheme="minorHAnsi" w:hAnsiTheme="minorHAnsi" w:cstheme="minorBidi"/>
                <w:sz w:val="22"/>
                <w:szCs w:val="22"/>
                <w:lang w:eastAsia="en-US"/>
              </w:rPr>
              <w:object w:dxaOrig="7965" w:dyaOrig="3480">
                <v:shape id="_x0000_i1093" type="#_x0000_t75" style="width:398.25pt;height:174pt" o:ole="">
                  <v:imagedata r:id="rId263" o:title=""/>
                </v:shape>
                <o:OLEObject Type="Embed" ProgID="PBrush" ShapeID="_x0000_i1093" DrawAspect="Content" ObjectID="_1505681421" r:id="rId264"/>
              </w:object>
            </w:r>
          </w:p>
          <w:p w:rsidR="00B62799" w:rsidRDefault="00B62799" w:rsidP="00B62799">
            <w:pPr>
              <w:autoSpaceDE w:val="0"/>
              <w:autoSpaceDN w:val="0"/>
              <w:adjustRightInd w:val="0"/>
              <w:jc w:val="both"/>
              <w:rPr>
                <w:rFonts w:asciiTheme="minorHAnsi" w:hAnsiTheme="minorHAnsi" w:cs="Tahoma"/>
                <w:color w:val="000000"/>
                <w:shd w:val="clear" w:color="auto" w:fill="FFFFFF"/>
              </w:rPr>
            </w:pPr>
            <w:r w:rsidRPr="009C4C2C">
              <w:rPr>
                <w:rFonts w:asciiTheme="minorHAnsi" w:hAnsiTheme="minorHAnsi" w:cs="Tahoma"/>
                <w:color w:val="C00000"/>
                <w:shd w:val="clear" w:color="auto" w:fill="FFFFFF"/>
              </w:rPr>
              <w:t xml:space="preserve">Napomena: </w:t>
            </w:r>
            <w:r w:rsidR="001C416C" w:rsidRPr="001C416C">
              <w:rPr>
                <w:rFonts w:asciiTheme="minorHAnsi" w:hAnsiTheme="minorHAnsi" w:cs="Tahoma"/>
                <w:i/>
                <w:shd w:val="clear" w:color="auto" w:fill="FFFFFF"/>
              </w:rPr>
              <w:t>„</w:t>
            </w:r>
            <w:r w:rsidRPr="001C416C">
              <w:rPr>
                <w:rFonts w:asciiTheme="minorHAnsi" w:hAnsiTheme="minorHAnsi" w:cs="Tahoma"/>
                <w:i/>
                <w:color w:val="000000"/>
                <w:shd w:val="clear" w:color="auto" w:fill="FFFFFF"/>
              </w:rPr>
              <w:t>Pokazatelji koji uključuju cijenu dionice ili broj dionica (npr. P/E ...) izračunati su uvijek sa trenutnom (zadanom) cijenom i trenutnim brojem dionica. Takav izračun primjenjuje se i na povijesna razdoblja pa tako npr. P/E za proteklo razdoblje ne predstavlja valuaciju na određeni datum u povijesti nego simulaciju vrijednosti u slučaju da dobit bude jednaka onoj iz proteklog razdoblja</w:t>
            </w:r>
            <w:r w:rsidR="001C416C" w:rsidRPr="001C416C">
              <w:rPr>
                <w:rFonts w:asciiTheme="minorHAnsi" w:hAnsiTheme="minorHAnsi" w:cs="Tahoma"/>
                <w:i/>
                <w:color w:val="000000"/>
                <w:shd w:val="clear" w:color="auto" w:fill="FFFFFF"/>
              </w:rPr>
              <w:t>.“</w:t>
            </w:r>
          </w:p>
          <w:p w:rsidR="00B62799" w:rsidRPr="000E2654" w:rsidRDefault="00B62799" w:rsidP="00B62799">
            <w:pPr>
              <w:autoSpaceDE w:val="0"/>
              <w:autoSpaceDN w:val="0"/>
              <w:adjustRightInd w:val="0"/>
              <w:spacing w:before="120" w:after="120"/>
              <w:jc w:val="both"/>
              <w:rPr>
                <w:rFonts w:asciiTheme="minorHAnsi" w:hAnsiTheme="minorHAnsi"/>
                <w:b/>
                <w:noProof/>
                <w:sz w:val="24"/>
                <w:szCs w:val="24"/>
              </w:rPr>
            </w:pPr>
            <w:r w:rsidRPr="000E2654">
              <w:rPr>
                <w:rFonts w:asciiTheme="minorHAnsi" w:hAnsiTheme="minorHAnsi"/>
              </w:rPr>
              <w:t>Izvor:</w:t>
            </w:r>
            <w:r w:rsidR="000E2654" w:rsidRPr="000E2654">
              <w:rPr>
                <w:rFonts w:asciiTheme="minorHAnsi" w:hAnsiTheme="minorHAnsi"/>
              </w:rPr>
              <w:t xml:space="preserve"> MojeDionice.com,</w:t>
            </w:r>
            <w:r w:rsidRPr="000E2654">
              <w:rPr>
                <w:rFonts w:asciiTheme="minorHAnsi" w:hAnsiTheme="minorHAnsi"/>
              </w:rPr>
              <w:t xml:space="preserve"> preuzeto sa: http://www.mojedionice.com/dionica/JMNC-R-A</w:t>
            </w:r>
          </w:p>
        </w:tc>
      </w:tr>
    </w:tbl>
    <w:p w:rsidR="006F7C35" w:rsidRPr="006F7C35" w:rsidRDefault="006F7C35" w:rsidP="00B62799">
      <w:pPr>
        <w:autoSpaceDE w:val="0"/>
        <w:autoSpaceDN w:val="0"/>
        <w:adjustRightInd w:val="0"/>
        <w:spacing w:before="240" w:after="120" w:line="240" w:lineRule="auto"/>
        <w:jc w:val="both"/>
        <w:rPr>
          <w:noProof/>
          <w:sz w:val="24"/>
          <w:szCs w:val="24"/>
          <w:lang w:eastAsia="hr-HR"/>
        </w:rPr>
      </w:pPr>
      <w:r w:rsidRPr="006F7C35">
        <w:rPr>
          <w:b/>
          <w:noProof/>
          <w:sz w:val="24"/>
          <w:szCs w:val="24"/>
          <w:lang w:eastAsia="hr-HR"/>
        </w:rPr>
        <w:lastRenderedPageBreak/>
        <w:t>Tablica</w:t>
      </w:r>
      <w:r>
        <w:rPr>
          <w:b/>
          <w:noProof/>
          <w:sz w:val="24"/>
          <w:szCs w:val="24"/>
          <w:lang w:eastAsia="hr-HR"/>
        </w:rPr>
        <w:t xml:space="preserve"> 21</w:t>
      </w:r>
      <w:r w:rsidRPr="006F7C35">
        <w:rPr>
          <w:b/>
          <w:noProof/>
          <w:sz w:val="24"/>
          <w:szCs w:val="24"/>
          <w:lang w:eastAsia="hr-HR"/>
        </w:rPr>
        <w:t>: Pregled pokazatelja investiranja za izabrane dionice</w:t>
      </w:r>
      <w:r w:rsidRPr="006F7C35">
        <w:rPr>
          <w:noProof/>
          <w:sz w:val="24"/>
          <w:szCs w:val="24"/>
          <w:lang w:eastAsia="hr-HR"/>
        </w:rPr>
        <w:t xml:space="preserve"> </w:t>
      </w:r>
    </w:p>
    <w:tbl>
      <w:tblPr>
        <w:tblW w:w="9072" w:type="dxa"/>
        <w:tblInd w:w="108" w:type="dxa"/>
        <w:tblLayout w:type="fixed"/>
        <w:tblLook w:val="04A0" w:firstRow="1" w:lastRow="0" w:firstColumn="1" w:lastColumn="0" w:noHBand="0" w:noVBand="1"/>
      </w:tblPr>
      <w:tblGrid>
        <w:gridCol w:w="1276"/>
        <w:gridCol w:w="1418"/>
        <w:gridCol w:w="1134"/>
        <w:gridCol w:w="850"/>
        <w:gridCol w:w="816"/>
        <w:gridCol w:w="959"/>
        <w:gridCol w:w="778"/>
        <w:gridCol w:w="859"/>
        <w:gridCol w:w="982"/>
      </w:tblGrid>
      <w:tr w:rsidR="00A3351B" w:rsidRPr="00A3351B" w:rsidTr="006F7C35">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Oznaka</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Zadnja</w:t>
            </w:r>
            <w:r w:rsidR="006F7C35">
              <w:rPr>
                <w:rFonts w:ascii="Calibri" w:eastAsia="Times New Roman" w:hAnsi="Calibri" w:cs="Times New Roman"/>
                <w:b/>
                <w:bCs/>
                <w:color w:val="000000"/>
                <w:lang w:eastAsia="hr-HR"/>
              </w:rPr>
              <w:t xml:space="preserve"> cijena</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Datum</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Lkv.</w:t>
            </w:r>
          </w:p>
        </w:tc>
        <w:tc>
          <w:tcPr>
            <w:tcW w:w="816"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Promet</w:t>
            </w:r>
          </w:p>
        </w:tc>
        <w:tc>
          <w:tcPr>
            <w:tcW w:w="959"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MCap*</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P/ E</w:t>
            </w:r>
          </w:p>
        </w:tc>
        <w:tc>
          <w:tcPr>
            <w:tcW w:w="859"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P/ S</w:t>
            </w:r>
          </w:p>
        </w:tc>
        <w:tc>
          <w:tcPr>
            <w:tcW w:w="982" w:type="dxa"/>
            <w:tcBorders>
              <w:top w:val="single" w:sz="4" w:space="0" w:color="auto"/>
              <w:left w:val="nil"/>
              <w:bottom w:val="single" w:sz="4" w:space="0" w:color="auto"/>
              <w:right w:val="single" w:sz="4" w:space="0" w:color="auto"/>
            </w:tcBorders>
            <w:shd w:val="clear" w:color="auto" w:fill="auto"/>
            <w:vAlign w:val="center"/>
            <w:hideMark/>
          </w:tcPr>
          <w:p w:rsidR="00A3351B" w:rsidRPr="00A3351B" w:rsidRDefault="00A3351B" w:rsidP="00A3351B">
            <w:pPr>
              <w:spacing w:after="0" w:line="240" w:lineRule="auto"/>
              <w:jc w:val="center"/>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P/ E</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ERNT-R-A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1.089,00</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333</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1.450</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16,6</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1,1</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4,32</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TISK-R-A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192</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12</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458</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27,13</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0,16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1,73</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LEDO-R-A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8.351,05</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75%</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742</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2.622</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19,43</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1,33</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1,64</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ATGR-R-A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860</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249</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2.867</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14,34</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0,56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1,64</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PODR-R-A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326</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1.325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2.263</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24,48</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0,65</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1,29</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JNAF-R-A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4.320,00</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17.9.2015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55%</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265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4.353</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43,38</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9,75</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1,27</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HT-R-A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142,1</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1.925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11.636</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10,23</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1,68</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1,05</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ADRS-R-A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506</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142</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8.298</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21,56</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1,03</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INGR-R-A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2,98</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85%</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40</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5,8</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0,4</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1,02</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KRAS-R-A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455,45</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155</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597</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45,07</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0,97</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ADRS-P-A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391,99</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2.728</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6.429</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16,7</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1,44</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0,79</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LKPC-R-A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711,1</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90%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129</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301</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10,32</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2,66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0,76</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IGH-R-A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110</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65%</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19</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68</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13,16</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0,3</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0,68</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ADPL-R-A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96,02</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100%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120</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403</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81,8</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0,46</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0,64</w:t>
            </w:r>
          </w:p>
        </w:tc>
      </w:tr>
      <w:tr w:rsidR="00A3351B" w:rsidRPr="00A3351B" w:rsidTr="006F7C35">
        <w:trPr>
          <w:trHeight w:val="300"/>
        </w:trPr>
        <w:tc>
          <w:tcPr>
            <w:tcW w:w="1276" w:type="dxa"/>
            <w:tcBorders>
              <w:top w:val="nil"/>
              <w:left w:val="single" w:sz="4" w:space="0" w:color="auto"/>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THNK-R-A</w:t>
            </w:r>
          </w:p>
        </w:tc>
        <w:tc>
          <w:tcPr>
            <w:tcW w:w="141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333,35</w:t>
            </w:r>
          </w:p>
        </w:tc>
        <w:tc>
          <w:tcPr>
            <w:tcW w:w="1134"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18.9.2015</w:t>
            </w:r>
          </w:p>
        </w:tc>
        <w:tc>
          <w:tcPr>
            <w:tcW w:w="850"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center"/>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60%</w:t>
            </w:r>
          </w:p>
        </w:tc>
        <w:tc>
          <w:tcPr>
            <w:tcW w:w="816"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12</w:t>
            </w:r>
          </w:p>
        </w:tc>
        <w:tc>
          <w:tcPr>
            <w:tcW w:w="9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63</w:t>
            </w:r>
          </w:p>
        </w:tc>
        <w:tc>
          <w:tcPr>
            <w:tcW w:w="778"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48,87</w:t>
            </w:r>
          </w:p>
        </w:tc>
        <w:tc>
          <w:tcPr>
            <w:tcW w:w="859"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color w:val="000000"/>
                <w:lang w:eastAsia="hr-HR"/>
              </w:rPr>
            </w:pPr>
            <w:r w:rsidRPr="00A3351B">
              <w:rPr>
                <w:rFonts w:ascii="Calibri" w:eastAsia="Times New Roman" w:hAnsi="Calibri" w:cs="Times New Roman"/>
                <w:color w:val="000000"/>
                <w:lang w:eastAsia="hr-HR"/>
              </w:rPr>
              <w:t>0,12</w:t>
            </w:r>
          </w:p>
        </w:tc>
        <w:tc>
          <w:tcPr>
            <w:tcW w:w="982" w:type="dxa"/>
            <w:tcBorders>
              <w:top w:val="nil"/>
              <w:left w:val="nil"/>
              <w:bottom w:val="single" w:sz="4" w:space="0" w:color="auto"/>
              <w:right w:val="single" w:sz="4" w:space="0" w:color="auto"/>
            </w:tcBorders>
            <w:shd w:val="clear" w:color="auto" w:fill="auto"/>
            <w:vAlign w:val="bottom"/>
            <w:hideMark/>
          </w:tcPr>
          <w:p w:rsidR="00A3351B" w:rsidRPr="00A3351B" w:rsidRDefault="00A3351B" w:rsidP="00A3351B">
            <w:pPr>
              <w:spacing w:after="0" w:line="240" w:lineRule="auto"/>
              <w:jc w:val="right"/>
              <w:rPr>
                <w:rFonts w:ascii="Calibri" w:eastAsia="Times New Roman" w:hAnsi="Calibri" w:cs="Times New Roman"/>
                <w:b/>
                <w:bCs/>
                <w:color w:val="000000"/>
                <w:lang w:eastAsia="hr-HR"/>
              </w:rPr>
            </w:pPr>
            <w:r w:rsidRPr="00A3351B">
              <w:rPr>
                <w:rFonts w:ascii="Calibri" w:eastAsia="Times New Roman" w:hAnsi="Calibri" w:cs="Times New Roman"/>
                <w:b/>
                <w:bCs/>
                <w:color w:val="000000"/>
                <w:lang w:eastAsia="hr-HR"/>
              </w:rPr>
              <w:t>0,2</w:t>
            </w:r>
          </w:p>
        </w:tc>
      </w:tr>
    </w:tbl>
    <w:p w:rsidR="006F7C35" w:rsidRDefault="006F7C35" w:rsidP="001C416C">
      <w:pPr>
        <w:autoSpaceDE w:val="0"/>
        <w:autoSpaceDN w:val="0"/>
        <w:adjustRightInd w:val="0"/>
        <w:spacing w:before="120" w:after="0" w:line="240" w:lineRule="auto"/>
        <w:jc w:val="both"/>
        <w:rPr>
          <w:rStyle w:val="apple-converted-space"/>
          <w:rFonts w:cs="Tahoma"/>
          <w:color w:val="000000"/>
          <w:sz w:val="20"/>
          <w:szCs w:val="20"/>
          <w:shd w:val="clear" w:color="auto" w:fill="FFFFFF"/>
        </w:rPr>
      </w:pPr>
      <w:r w:rsidRPr="006F7C35">
        <w:rPr>
          <w:sz w:val="20"/>
          <w:szCs w:val="20"/>
        </w:rPr>
        <w:t>* V</w:t>
      </w:r>
      <w:r w:rsidRPr="006F7C35">
        <w:rPr>
          <w:rFonts w:cs="Tahoma"/>
          <w:color w:val="000000"/>
          <w:sz w:val="20"/>
          <w:szCs w:val="20"/>
          <w:shd w:val="clear" w:color="auto" w:fill="FFFFFF"/>
        </w:rPr>
        <w:t>rijednost pokazatelja procijenjena je na temelju vrijednosti zadnja 4 kvartala.</w:t>
      </w:r>
      <w:r w:rsidRPr="006F7C35">
        <w:rPr>
          <w:rStyle w:val="apple-converted-space"/>
          <w:rFonts w:cs="Tahoma"/>
          <w:color w:val="000000"/>
          <w:sz w:val="20"/>
          <w:szCs w:val="20"/>
          <w:shd w:val="clear" w:color="auto" w:fill="FFFFFF"/>
        </w:rPr>
        <w:t> </w:t>
      </w:r>
    </w:p>
    <w:p w:rsidR="001C416C" w:rsidRPr="001C416C" w:rsidRDefault="001C416C" w:rsidP="001C416C">
      <w:pPr>
        <w:autoSpaceDE w:val="0"/>
        <w:autoSpaceDN w:val="0"/>
        <w:adjustRightInd w:val="0"/>
        <w:spacing w:after="0" w:line="240" w:lineRule="auto"/>
        <w:jc w:val="both"/>
        <w:rPr>
          <w:sz w:val="20"/>
          <w:szCs w:val="20"/>
        </w:rPr>
      </w:pPr>
      <w:r w:rsidRPr="001C416C">
        <w:rPr>
          <w:color w:val="C00000"/>
          <w:sz w:val="20"/>
          <w:szCs w:val="20"/>
        </w:rPr>
        <w:t xml:space="preserve">Napomena: </w:t>
      </w:r>
      <w:r w:rsidRPr="001C416C">
        <w:rPr>
          <w:sz w:val="20"/>
          <w:szCs w:val="20"/>
        </w:rPr>
        <w:t>Navedeni podaci o izabranim dionicama iznose se samo kao primjer te se navedeno nipošto ne može tretirati kao nagovor na kupnju ili prodaju. Autor ovog teksta ne posjeduje niti jednu dionicu iz primjera.</w:t>
      </w:r>
    </w:p>
    <w:p w:rsidR="006F7C35" w:rsidRDefault="006F7C35" w:rsidP="001C416C">
      <w:pPr>
        <w:autoSpaceDE w:val="0"/>
        <w:autoSpaceDN w:val="0"/>
        <w:adjustRightInd w:val="0"/>
        <w:spacing w:before="120" w:after="0" w:line="240" w:lineRule="auto"/>
        <w:jc w:val="both"/>
        <w:rPr>
          <w:sz w:val="20"/>
          <w:szCs w:val="20"/>
        </w:rPr>
      </w:pPr>
      <w:r w:rsidRPr="000E2654">
        <w:rPr>
          <w:sz w:val="20"/>
          <w:szCs w:val="20"/>
        </w:rPr>
        <w:t>Izvor:</w:t>
      </w:r>
      <w:r w:rsidR="000E2654" w:rsidRPr="000E2654">
        <w:rPr>
          <w:sz w:val="20"/>
          <w:szCs w:val="20"/>
        </w:rPr>
        <w:t xml:space="preserve"> MojeDionice.com,</w:t>
      </w:r>
      <w:r w:rsidRPr="000E2654">
        <w:rPr>
          <w:sz w:val="20"/>
          <w:szCs w:val="20"/>
        </w:rPr>
        <w:t xml:space="preserve"> preuzeto sa: </w:t>
      </w:r>
      <w:hyperlink r:id="rId265" w:history="1">
        <w:r w:rsidR="00DA20DD" w:rsidRPr="00AB742D">
          <w:rPr>
            <w:rStyle w:val="Hiperveza"/>
            <w:sz w:val="20"/>
            <w:szCs w:val="20"/>
          </w:rPr>
          <w:t>http://www.mojedionice.com</w:t>
        </w:r>
      </w:hyperlink>
    </w:p>
    <w:p w:rsidR="00DA20DD" w:rsidRDefault="00DA20DD" w:rsidP="00BA6A94">
      <w:pPr>
        <w:autoSpaceDE w:val="0"/>
        <w:autoSpaceDN w:val="0"/>
        <w:adjustRightInd w:val="0"/>
        <w:spacing w:before="240"/>
        <w:jc w:val="both"/>
        <w:rPr>
          <w:color w:val="C00000"/>
          <w:sz w:val="24"/>
          <w:szCs w:val="24"/>
        </w:rPr>
      </w:pPr>
      <w:r>
        <w:rPr>
          <w:sz w:val="24"/>
          <w:szCs w:val="24"/>
        </w:rPr>
        <w:t>S obzirom na sve do sada navedeno</w:t>
      </w:r>
      <w:r w:rsidR="00BA6A94">
        <w:rPr>
          <w:sz w:val="24"/>
          <w:szCs w:val="24"/>
        </w:rPr>
        <w:t>,</w:t>
      </w:r>
      <w:r>
        <w:rPr>
          <w:sz w:val="24"/>
          <w:szCs w:val="24"/>
        </w:rPr>
        <w:t xml:space="preserve"> prvo pitanje koje treba postaviti glasi: </w:t>
      </w:r>
      <w:r w:rsidRPr="00DF1207">
        <w:rPr>
          <w:color w:val="C00000"/>
          <w:sz w:val="24"/>
          <w:szCs w:val="24"/>
        </w:rPr>
        <w:t xml:space="preserve">da li su dionice imovina namijenjena ulaganjima prosječnih građana pa čak i osobama koje zarađuju visoke dohotke u komparaciji s prosjekom RH? </w:t>
      </w:r>
      <w:r w:rsidRPr="00FE22C4">
        <w:rPr>
          <w:sz w:val="24"/>
          <w:szCs w:val="24"/>
        </w:rPr>
        <w:t xml:space="preserve">Trebaju li se obični građani upuštati u dioničke investicije ako za to nemaju dovoljno </w:t>
      </w:r>
      <w:r w:rsidRPr="00C31454">
        <w:rPr>
          <w:color w:val="C00000"/>
          <w:sz w:val="24"/>
          <w:szCs w:val="24"/>
        </w:rPr>
        <w:t xml:space="preserve">znanja i iskustva </w:t>
      </w:r>
      <w:r w:rsidRPr="00FE22C4">
        <w:rPr>
          <w:sz w:val="24"/>
          <w:szCs w:val="24"/>
        </w:rPr>
        <w:t>(iako se iskustvo može steći jedino na način da se j</w:t>
      </w:r>
      <w:r w:rsidR="00BA6A94">
        <w:rPr>
          <w:sz w:val="24"/>
          <w:szCs w:val="24"/>
        </w:rPr>
        <w:t>ednom počne ulagati i trgovati). O važnosti promišljanja o ovim pitanjima govori slučajevi zabilježeni t</w:t>
      </w:r>
      <w:r w:rsidRPr="00FE22C4">
        <w:rPr>
          <w:sz w:val="24"/>
          <w:szCs w:val="24"/>
        </w:rPr>
        <w:t xml:space="preserve">ijekom 2007. kada su </w:t>
      </w:r>
      <w:r>
        <w:rPr>
          <w:sz w:val="24"/>
          <w:szCs w:val="24"/>
        </w:rPr>
        <w:t xml:space="preserve">u Hrvatskoj </w:t>
      </w:r>
      <w:r w:rsidRPr="00FE22C4">
        <w:rPr>
          <w:sz w:val="24"/>
          <w:szCs w:val="24"/>
        </w:rPr>
        <w:t>određene inicijalne (sekundarne) javne ponude inicirale brojne građane da se uključe u svijet financija koji ne poznaju</w:t>
      </w:r>
      <w:r w:rsidR="00BA6A94">
        <w:rPr>
          <w:sz w:val="24"/>
          <w:szCs w:val="24"/>
        </w:rPr>
        <w:t xml:space="preserve"> -</w:t>
      </w:r>
      <w:r w:rsidRPr="00FE22C4">
        <w:rPr>
          <w:sz w:val="24"/>
          <w:szCs w:val="24"/>
        </w:rPr>
        <w:t xml:space="preserve"> i to na samom kraju uzleta financijskog ciklusa netom prije nego što je zabilježen značajan pad cijena dionica u Hrvatskoj i svijetu, odnosno gotovo pred </w:t>
      </w:r>
      <w:r>
        <w:rPr>
          <w:sz w:val="24"/>
          <w:szCs w:val="24"/>
        </w:rPr>
        <w:t>„</w:t>
      </w:r>
      <w:r w:rsidRPr="00FE22C4">
        <w:rPr>
          <w:sz w:val="24"/>
          <w:szCs w:val="24"/>
        </w:rPr>
        <w:t>vratima</w:t>
      </w:r>
      <w:r>
        <w:rPr>
          <w:sz w:val="24"/>
          <w:szCs w:val="24"/>
        </w:rPr>
        <w:t>“</w:t>
      </w:r>
      <w:r w:rsidRPr="00FE22C4">
        <w:rPr>
          <w:sz w:val="24"/>
          <w:szCs w:val="24"/>
        </w:rPr>
        <w:t xml:space="preserve"> početka i raz</w:t>
      </w:r>
      <w:r>
        <w:rPr>
          <w:sz w:val="24"/>
          <w:szCs w:val="24"/>
        </w:rPr>
        <w:t>voja globalne financijske krize, koja je od 2008. rezultirala značajnim gubicima investitora kako na tržištu dionica tako i kod ulaganja u dioničke investicijske fondove.</w:t>
      </w:r>
      <w:r w:rsidRPr="00FE22C4">
        <w:rPr>
          <w:sz w:val="24"/>
          <w:szCs w:val="24"/>
        </w:rPr>
        <w:t xml:space="preserve"> </w:t>
      </w:r>
      <w:r>
        <w:rPr>
          <w:sz w:val="24"/>
          <w:szCs w:val="24"/>
        </w:rPr>
        <w:t xml:space="preserve">Poseban problem upravo tog razdoblja bila je </w:t>
      </w:r>
      <w:r w:rsidRPr="00087FCB">
        <w:rPr>
          <w:color w:val="C00000"/>
          <w:sz w:val="24"/>
          <w:szCs w:val="24"/>
        </w:rPr>
        <w:t xml:space="preserve">euforija optimizma </w:t>
      </w:r>
      <w:r>
        <w:rPr>
          <w:sz w:val="24"/>
          <w:szCs w:val="24"/>
        </w:rPr>
        <w:t>koja je vladala na tržištu pa su rast cijena bilježile dionice pojedinih dioničkih društava kod kojih je to bilo opravdano, ali isto tako i dionice manje sta</w:t>
      </w:r>
      <w:r w:rsidR="00ED7F98">
        <w:rPr>
          <w:sz w:val="24"/>
          <w:szCs w:val="24"/>
        </w:rPr>
        <w:t>bilnih poduzeća. S druge strane, investitori koji su se</w:t>
      </w:r>
      <w:r w:rsidR="00BA6A94">
        <w:rPr>
          <w:sz w:val="24"/>
          <w:szCs w:val="24"/>
        </w:rPr>
        <w:t xml:space="preserve"> na hrvatsko tržište dionica uključili znatno ranije</w:t>
      </w:r>
      <w:r w:rsidR="00ED7F98" w:rsidRPr="00ED7F98">
        <w:rPr>
          <w:sz w:val="24"/>
          <w:szCs w:val="24"/>
        </w:rPr>
        <w:t xml:space="preserve"> </w:t>
      </w:r>
      <w:r w:rsidR="00ED7F98">
        <w:rPr>
          <w:sz w:val="24"/>
          <w:szCs w:val="24"/>
        </w:rPr>
        <w:t>između 2003. i 2005. (kada su bi iz današnje perspektive mogli reći da su brojne dionice bile podcijenjene</w:t>
      </w:r>
      <w:r w:rsidR="00BA6A94">
        <w:rPr>
          <w:sz w:val="24"/>
          <w:szCs w:val="24"/>
        </w:rPr>
        <w:t xml:space="preserve">, </w:t>
      </w:r>
      <w:r w:rsidR="00ED7F98">
        <w:rPr>
          <w:sz w:val="24"/>
          <w:szCs w:val="24"/>
        </w:rPr>
        <w:t xml:space="preserve">imali su izvrsne prilike </w:t>
      </w:r>
      <w:r w:rsidR="00BA6A94">
        <w:rPr>
          <w:sz w:val="24"/>
          <w:szCs w:val="24"/>
        </w:rPr>
        <w:t xml:space="preserve">tijekom 2006. </w:t>
      </w:r>
      <w:r w:rsidR="00ED7F98">
        <w:rPr>
          <w:sz w:val="24"/>
          <w:szCs w:val="24"/>
        </w:rPr>
        <w:t xml:space="preserve">a posebno </w:t>
      </w:r>
      <w:r w:rsidR="00BA6A94">
        <w:rPr>
          <w:sz w:val="24"/>
          <w:szCs w:val="24"/>
        </w:rPr>
        <w:t xml:space="preserve">2007. </w:t>
      </w:r>
      <w:r w:rsidR="00ED7F98">
        <w:rPr>
          <w:sz w:val="24"/>
          <w:szCs w:val="24"/>
        </w:rPr>
        <w:t>z</w:t>
      </w:r>
      <w:r>
        <w:rPr>
          <w:sz w:val="24"/>
          <w:szCs w:val="24"/>
        </w:rPr>
        <w:t xml:space="preserve">a ostvarivanje vrlo visoke zarade </w:t>
      </w:r>
      <w:r w:rsidR="00ED7F98">
        <w:rPr>
          <w:sz w:val="24"/>
          <w:szCs w:val="24"/>
        </w:rPr>
        <w:t>njihovom prodajom (uz</w:t>
      </w:r>
      <w:r>
        <w:rPr>
          <w:sz w:val="24"/>
          <w:szCs w:val="24"/>
        </w:rPr>
        <w:t xml:space="preserve"> </w:t>
      </w:r>
      <w:r w:rsidR="00BA6A94">
        <w:rPr>
          <w:sz w:val="24"/>
          <w:szCs w:val="24"/>
        </w:rPr>
        <w:t>realiziran</w:t>
      </w:r>
      <w:r w:rsidR="00ED7F98">
        <w:rPr>
          <w:sz w:val="24"/>
          <w:szCs w:val="24"/>
        </w:rPr>
        <w:t>e i</w:t>
      </w:r>
      <w:r w:rsidR="00BA6A94">
        <w:rPr>
          <w:sz w:val="24"/>
          <w:szCs w:val="24"/>
        </w:rPr>
        <w:t xml:space="preserve"> u to vrijeme </w:t>
      </w:r>
      <w:r w:rsidR="00ED7F98">
        <w:rPr>
          <w:sz w:val="24"/>
          <w:szCs w:val="24"/>
        </w:rPr>
        <w:t>neoporezive</w:t>
      </w:r>
      <w:r>
        <w:rPr>
          <w:sz w:val="24"/>
          <w:szCs w:val="24"/>
        </w:rPr>
        <w:t xml:space="preserve"> kapitaln</w:t>
      </w:r>
      <w:r w:rsidR="00ED7F98">
        <w:rPr>
          <w:sz w:val="24"/>
          <w:szCs w:val="24"/>
        </w:rPr>
        <w:t>e</w:t>
      </w:r>
      <w:r w:rsidR="00BA6A94">
        <w:rPr>
          <w:sz w:val="24"/>
          <w:szCs w:val="24"/>
        </w:rPr>
        <w:t xml:space="preserve"> dobitk</w:t>
      </w:r>
      <w:r w:rsidR="00ED7F98">
        <w:rPr>
          <w:sz w:val="24"/>
          <w:szCs w:val="24"/>
        </w:rPr>
        <w:t>e)</w:t>
      </w:r>
      <w:r>
        <w:rPr>
          <w:sz w:val="24"/>
          <w:szCs w:val="24"/>
        </w:rPr>
        <w:t xml:space="preserve"> –  </w:t>
      </w:r>
      <w:r w:rsidR="00BA6A94">
        <w:rPr>
          <w:sz w:val="24"/>
          <w:szCs w:val="24"/>
        </w:rPr>
        <w:t xml:space="preserve">jasno, </w:t>
      </w:r>
      <w:r>
        <w:rPr>
          <w:sz w:val="24"/>
          <w:szCs w:val="24"/>
        </w:rPr>
        <w:t xml:space="preserve">pod pretpostavkom da su se i na vrijeme povukli iz takvih ulaganja, odnosno da </w:t>
      </w:r>
      <w:r w:rsidRPr="00621C48">
        <w:rPr>
          <w:color w:val="C00000"/>
          <w:sz w:val="24"/>
          <w:szCs w:val="24"/>
        </w:rPr>
        <w:t xml:space="preserve">nisu kupovali dionice u razdoblju njihove povijesno najviše tržišne cijene i euforijom izazvane precijenjenosti. </w:t>
      </w:r>
    </w:p>
    <w:p w:rsidR="00992DC1" w:rsidRPr="00992DC1" w:rsidRDefault="00992DC1" w:rsidP="006F7C35">
      <w:pPr>
        <w:autoSpaceDE w:val="0"/>
        <w:autoSpaceDN w:val="0"/>
        <w:adjustRightInd w:val="0"/>
        <w:spacing w:after="0"/>
        <w:jc w:val="both"/>
        <w:rPr>
          <w:rStyle w:val="apple-converted-space"/>
          <w:rFonts w:cs="Tahoma"/>
          <w:b/>
          <w:color w:val="000000"/>
          <w:sz w:val="24"/>
          <w:szCs w:val="24"/>
          <w:shd w:val="clear" w:color="auto" w:fill="FFFFFF"/>
        </w:rPr>
      </w:pPr>
      <w:r w:rsidRPr="00992DC1">
        <w:rPr>
          <w:b/>
          <w:sz w:val="24"/>
          <w:szCs w:val="24"/>
        </w:rPr>
        <w:lastRenderedPageBreak/>
        <w:t xml:space="preserve">Tablica 22: Indeks optimizma na hrvatskom tržištu kapitala 17.9.2015. </w:t>
      </w:r>
    </w:p>
    <w:tbl>
      <w:tblPr>
        <w:tblStyle w:val="Reetkatablice"/>
        <w:tblW w:w="0" w:type="auto"/>
        <w:tblInd w:w="108" w:type="dxa"/>
        <w:tblLook w:val="04A0" w:firstRow="1" w:lastRow="0" w:firstColumn="1" w:lastColumn="0" w:noHBand="0" w:noVBand="1"/>
      </w:tblPr>
      <w:tblGrid>
        <w:gridCol w:w="4536"/>
        <w:gridCol w:w="4536"/>
      </w:tblGrid>
      <w:tr w:rsidR="00992DC1" w:rsidTr="00992DC1">
        <w:tc>
          <w:tcPr>
            <w:tcW w:w="4536" w:type="dxa"/>
          </w:tcPr>
          <w:p w:rsidR="00992DC1" w:rsidRDefault="00992DC1" w:rsidP="00992DC1">
            <w:pPr>
              <w:autoSpaceDE w:val="0"/>
              <w:autoSpaceDN w:val="0"/>
              <w:adjustRightInd w:val="0"/>
              <w:spacing w:before="240"/>
              <w:jc w:val="both"/>
              <w:rPr>
                <w:sz w:val="24"/>
                <w:szCs w:val="24"/>
              </w:rPr>
            </w:pPr>
            <w:r>
              <w:rPr>
                <w:rFonts w:asciiTheme="minorHAnsi" w:eastAsiaTheme="minorHAnsi" w:hAnsiTheme="minorHAnsi" w:cstheme="minorBidi"/>
                <w:sz w:val="22"/>
                <w:szCs w:val="22"/>
                <w:lang w:eastAsia="en-US"/>
              </w:rPr>
              <w:object w:dxaOrig="3375" w:dyaOrig="8745">
                <v:shape id="_x0000_i1094" type="#_x0000_t75" style="width:168.75pt;height:437.25pt" o:ole="">
                  <v:imagedata r:id="rId266" o:title=""/>
                </v:shape>
                <o:OLEObject Type="Embed" ProgID="PBrush" ShapeID="_x0000_i1094" DrawAspect="Content" ObjectID="_1505681422" r:id="rId267"/>
              </w:object>
            </w:r>
          </w:p>
        </w:tc>
        <w:tc>
          <w:tcPr>
            <w:tcW w:w="4536" w:type="dxa"/>
          </w:tcPr>
          <w:p w:rsidR="00992DC1" w:rsidRDefault="00992DC1" w:rsidP="00992DC1">
            <w:pPr>
              <w:autoSpaceDE w:val="0"/>
              <w:autoSpaceDN w:val="0"/>
              <w:adjustRightInd w:val="0"/>
              <w:spacing w:before="240"/>
              <w:jc w:val="both"/>
            </w:pPr>
            <w:r>
              <w:rPr>
                <w:rFonts w:asciiTheme="minorHAnsi" w:eastAsiaTheme="minorHAnsi" w:hAnsiTheme="minorHAnsi" w:cstheme="minorBidi"/>
                <w:sz w:val="22"/>
                <w:szCs w:val="22"/>
                <w:lang w:eastAsia="en-US"/>
              </w:rPr>
              <w:object w:dxaOrig="3300" w:dyaOrig="660">
                <v:shape id="_x0000_i1095" type="#_x0000_t75" style="width:165pt;height:33pt" o:ole="">
                  <v:imagedata r:id="rId268" o:title=""/>
                </v:shape>
                <o:OLEObject Type="Embed" ProgID="PBrush" ShapeID="_x0000_i1095" DrawAspect="Content" ObjectID="_1505681423" r:id="rId269"/>
              </w:object>
            </w:r>
          </w:p>
          <w:p w:rsidR="00992DC1" w:rsidRPr="00992DC1" w:rsidRDefault="00992DC1" w:rsidP="00992DC1">
            <w:pPr>
              <w:autoSpaceDE w:val="0"/>
              <w:autoSpaceDN w:val="0"/>
              <w:adjustRightInd w:val="0"/>
              <w:spacing w:before="240"/>
              <w:jc w:val="both"/>
            </w:pPr>
            <w:r>
              <w:rPr>
                <w:rFonts w:asciiTheme="minorHAnsi" w:eastAsiaTheme="minorHAnsi" w:hAnsiTheme="minorHAnsi" w:cstheme="minorBidi"/>
                <w:sz w:val="22"/>
                <w:szCs w:val="22"/>
                <w:lang w:eastAsia="en-US"/>
              </w:rPr>
              <w:object w:dxaOrig="3375" w:dyaOrig="7920">
                <v:shape id="_x0000_i1096" type="#_x0000_t75" style="width:168.75pt;height:396pt" o:ole="">
                  <v:imagedata r:id="rId270" o:title=""/>
                </v:shape>
                <o:OLEObject Type="Embed" ProgID="PBrush" ShapeID="_x0000_i1096" DrawAspect="Content" ObjectID="_1505681424" r:id="rId271"/>
              </w:object>
            </w:r>
          </w:p>
        </w:tc>
      </w:tr>
      <w:tr w:rsidR="00992DC1" w:rsidTr="00992DC1">
        <w:tblPrEx>
          <w:tblLook w:val="0000" w:firstRow="0" w:lastRow="0" w:firstColumn="0" w:lastColumn="0" w:noHBand="0" w:noVBand="0"/>
        </w:tblPrEx>
        <w:trPr>
          <w:trHeight w:val="270"/>
        </w:trPr>
        <w:tc>
          <w:tcPr>
            <w:tcW w:w="9072" w:type="dxa"/>
            <w:gridSpan w:val="2"/>
          </w:tcPr>
          <w:p w:rsidR="00992DC1" w:rsidRDefault="00992DC1" w:rsidP="000E2654">
            <w:pPr>
              <w:autoSpaceDE w:val="0"/>
              <w:autoSpaceDN w:val="0"/>
              <w:adjustRightInd w:val="0"/>
              <w:spacing w:before="120"/>
              <w:jc w:val="both"/>
              <w:rPr>
                <w:rFonts w:asciiTheme="minorHAnsi" w:hAnsiTheme="minorHAnsi" w:cs="Tahoma"/>
                <w:color w:val="000000"/>
                <w:shd w:val="clear" w:color="auto" w:fill="FFFFFF"/>
              </w:rPr>
            </w:pPr>
            <w:r w:rsidRPr="00992DC1">
              <w:rPr>
                <w:rFonts w:asciiTheme="minorHAnsi" w:hAnsiTheme="minorHAnsi" w:cs="Tahoma"/>
                <w:color w:val="000000"/>
                <w:shd w:val="clear" w:color="auto" w:fill="FFFFFF"/>
              </w:rPr>
              <w:t>Optimizam: 47%</w:t>
            </w:r>
            <w:r w:rsidR="000E2654">
              <w:rPr>
                <w:rFonts w:asciiTheme="minorHAnsi" w:hAnsiTheme="minorHAnsi" w:cs="Tahoma"/>
                <w:color w:val="000000"/>
                <w:shd w:val="clear" w:color="auto" w:fill="FFFFFF"/>
              </w:rPr>
              <w:t>. I</w:t>
            </w:r>
            <w:r w:rsidRPr="00992DC1">
              <w:rPr>
                <w:rFonts w:asciiTheme="minorHAnsi" w:hAnsiTheme="minorHAnsi" w:cs="Tahoma"/>
                <w:color w:val="000000"/>
                <w:shd w:val="clear" w:color="auto" w:fill="FFFFFF"/>
              </w:rPr>
              <w:t xml:space="preserve">zračunat </w:t>
            </w:r>
            <w:r w:rsidR="000E2654">
              <w:rPr>
                <w:rFonts w:asciiTheme="minorHAnsi" w:hAnsiTheme="minorHAnsi" w:cs="Tahoma"/>
                <w:color w:val="000000"/>
                <w:shd w:val="clear" w:color="auto" w:fill="FFFFFF"/>
              </w:rPr>
              <w:t xml:space="preserve">je </w:t>
            </w:r>
            <w:r w:rsidRPr="00992DC1">
              <w:rPr>
                <w:rFonts w:asciiTheme="minorHAnsi" w:hAnsiTheme="minorHAnsi" w:cs="Tahoma"/>
                <w:color w:val="000000"/>
                <w:shd w:val="clear" w:color="auto" w:fill="FFFFFF"/>
              </w:rPr>
              <w:t>na temelju broja dionica s porastom/padom prosj</w:t>
            </w:r>
            <w:r w:rsidR="00DA20DD">
              <w:rPr>
                <w:rFonts w:asciiTheme="minorHAnsi" w:hAnsiTheme="minorHAnsi" w:cs="Tahoma"/>
                <w:color w:val="000000"/>
                <w:shd w:val="clear" w:color="auto" w:fill="FFFFFF"/>
              </w:rPr>
              <w:t xml:space="preserve">ečne cijene, te dnevnog prometa; </w:t>
            </w:r>
          </w:p>
          <w:p w:rsidR="000E2654" w:rsidRPr="000E2654" w:rsidRDefault="000E2654" w:rsidP="000E2654">
            <w:pPr>
              <w:autoSpaceDE w:val="0"/>
              <w:autoSpaceDN w:val="0"/>
              <w:adjustRightInd w:val="0"/>
              <w:jc w:val="both"/>
            </w:pPr>
            <w:r w:rsidRPr="000E2654">
              <w:t>Izvor: MojeDionice.com, preuzeto sa: http://www.mojedionice.com</w:t>
            </w:r>
          </w:p>
        </w:tc>
      </w:tr>
    </w:tbl>
    <w:p w:rsidR="008C3125" w:rsidRDefault="00ED7F98" w:rsidP="00EB6EA5">
      <w:pPr>
        <w:autoSpaceDE w:val="0"/>
        <w:autoSpaceDN w:val="0"/>
        <w:adjustRightInd w:val="0"/>
        <w:spacing w:before="240"/>
        <w:jc w:val="both"/>
        <w:rPr>
          <w:sz w:val="24"/>
          <w:szCs w:val="24"/>
        </w:rPr>
      </w:pPr>
      <w:r>
        <w:rPr>
          <w:sz w:val="24"/>
          <w:szCs w:val="24"/>
        </w:rPr>
        <w:t>U</w:t>
      </w:r>
      <w:r w:rsidR="00087FCB">
        <w:rPr>
          <w:sz w:val="24"/>
          <w:szCs w:val="24"/>
        </w:rPr>
        <w:t xml:space="preserve"> </w:t>
      </w:r>
      <w:r w:rsidR="00E91C39">
        <w:rPr>
          <w:sz w:val="24"/>
          <w:szCs w:val="24"/>
        </w:rPr>
        <w:t xml:space="preserve">početnim </w:t>
      </w:r>
      <w:r w:rsidR="00087FCB">
        <w:rPr>
          <w:sz w:val="24"/>
          <w:szCs w:val="24"/>
        </w:rPr>
        <w:t xml:space="preserve">godinama krize značajan iznos </w:t>
      </w:r>
      <w:r>
        <w:rPr>
          <w:sz w:val="24"/>
          <w:szCs w:val="24"/>
        </w:rPr>
        <w:t xml:space="preserve">zarada ostvarenih od kapitalnih dobitaka uložen je </w:t>
      </w:r>
      <w:r w:rsidR="00087FCB">
        <w:rPr>
          <w:sz w:val="24"/>
          <w:szCs w:val="24"/>
        </w:rPr>
        <w:t xml:space="preserve">u </w:t>
      </w:r>
      <w:r w:rsidR="00621C48">
        <w:rPr>
          <w:sz w:val="24"/>
          <w:szCs w:val="24"/>
        </w:rPr>
        <w:t xml:space="preserve">oročenu </w:t>
      </w:r>
      <w:r w:rsidR="00087FCB">
        <w:rPr>
          <w:sz w:val="24"/>
          <w:szCs w:val="24"/>
        </w:rPr>
        <w:t xml:space="preserve">štednju u bankama </w:t>
      </w:r>
      <w:r w:rsidR="00621C48">
        <w:rPr>
          <w:sz w:val="24"/>
          <w:szCs w:val="24"/>
        </w:rPr>
        <w:t>ili druge štedno-ulagačk</w:t>
      </w:r>
      <w:r>
        <w:rPr>
          <w:sz w:val="24"/>
          <w:szCs w:val="24"/>
        </w:rPr>
        <w:t>e mogućnosti</w:t>
      </w:r>
      <w:r w:rsidR="00E91C39">
        <w:rPr>
          <w:sz w:val="24"/>
          <w:szCs w:val="24"/>
        </w:rPr>
        <w:t xml:space="preserve"> s tada većim prinosima</w:t>
      </w:r>
      <w:r>
        <w:rPr>
          <w:sz w:val="24"/>
          <w:szCs w:val="24"/>
        </w:rPr>
        <w:t xml:space="preserve">, </w:t>
      </w:r>
      <w:r w:rsidR="00E91C39">
        <w:rPr>
          <w:sz w:val="24"/>
          <w:szCs w:val="24"/>
        </w:rPr>
        <w:t xml:space="preserve">što je investitorima pružilo mogućnost nerizične ili nisko-rizične štednje u godinama nestabilnosti te </w:t>
      </w:r>
      <w:r w:rsidR="00087FCB">
        <w:rPr>
          <w:sz w:val="24"/>
          <w:szCs w:val="24"/>
        </w:rPr>
        <w:t>čeka</w:t>
      </w:r>
      <w:r w:rsidR="00E91C39">
        <w:rPr>
          <w:sz w:val="24"/>
          <w:szCs w:val="24"/>
        </w:rPr>
        <w:t>nja</w:t>
      </w:r>
      <w:r w:rsidR="00087FCB">
        <w:rPr>
          <w:sz w:val="24"/>
          <w:szCs w:val="24"/>
        </w:rPr>
        <w:t xml:space="preserve"> vrijeme kada će tržište dionica ponovno postati atraktivno. </w:t>
      </w:r>
      <w:r w:rsidR="00621C48">
        <w:rPr>
          <w:sz w:val="24"/>
          <w:szCs w:val="24"/>
        </w:rPr>
        <w:t>Atraktivnosti oročene štednje krajem 2008. i tijekom 2009. doprinosile su visoke kamatne stope na oročene depozite u bankama</w:t>
      </w:r>
      <w:r w:rsidR="00811FA8">
        <w:rPr>
          <w:sz w:val="24"/>
          <w:szCs w:val="24"/>
        </w:rPr>
        <w:t xml:space="preserve"> </w:t>
      </w:r>
      <w:r w:rsidR="00241CFB">
        <w:rPr>
          <w:sz w:val="24"/>
          <w:szCs w:val="24"/>
        </w:rPr>
        <w:t xml:space="preserve">- </w:t>
      </w:r>
      <w:r w:rsidR="00811FA8">
        <w:rPr>
          <w:sz w:val="24"/>
          <w:szCs w:val="24"/>
        </w:rPr>
        <w:t>posebno u slučaju štednje u kunama</w:t>
      </w:r>
      <w:r w:rsidR="00EC43FD">
        <w:rPr>
          <w:sz w:val="24"/>
          <w:szCs w:val="24"/>
        </w:rPr>
        <w:t xml:space="preserve"> te kod zaključivanja novih ugovora o </w:t>
      </w:r>
      <w:r w:rsidR="00241CFB">
        <w:rPr>
          <w:sz w:val="24"/>
          <w:szCs w:val="24"/>
        </w:rPr>
        <w:t xml:space="preserve">oročenoj štednji (vidjeti sliku 26-a u usporedbi sa slikom 42), odnosno štednje </w:t>
      </w:r>
      <w:r w:rsidR="00EC43FD">
        <w:rPr>
          <w:sz w:val="24"/>
          <w:szCs w:val="24"/>
        </w:rPr>
        <w:t xml:space="preserve">na duži </w:t>
      </w:r>
      <w:r w:rsidR="00241CFB">
        <w:rPr>
          <w:sz w:val="24"/>
          <w:szCs w:val="24"/>
        </w:rPr>
        <w:t xml:space="preserve">ugovoreni </w:t>
      </w:r>
      <w:r w:rsidR="00EC43FD">
        <w:rPr>
          <w:sz w:val="24"/>
          <w:szCs w:val="24"/>
        </w:rPr>
        <w:t>rok od tri do pet godina</w:t>
      </w:r>
      <w:r w:rsidR="00241CFB">
        <w:rPr>
          <w:sz w:val="24"/>
          <w:szCs w:val="24"/>
        </w:rPr>
        <w:t>. Dodatno,</w:t>
      </w:r>
      <w:r w:rsidR="008C3125">
        <w:rPr>
          <w:sz w:val="24"/>
          <w:szCs w:val="24"/>
        </w:rPr>
        <w:t xml:space="preserve"> tijekom </w:t>
      </w:r>
      <w:r w:rsidR="00811FA8">
        <w:rPr>
          <w:sz w:val="24"/>
          <w:szCs w:val="24"/>
        </w:rPr>
        <w:t xml:space="preserve">i nakon </w:t>
      </w:r>
      <w:r w:rsidR="008C3125">
        <w:rPr>
          <w:sz w:val="24"/>
          <w:szCs w:val="24"/>
        </w:rPr>
        <w:t xml:space="preserve">2010. </w:t>
      </w:r>
      <w:r w:rsidR="00811FA8">
        <w:rPr>
          <w:sz w:val="24"/>
          <w:szCs w:val="24"/>
        </w:rPr>
        <w:t xml:space="preserve">zbog rasta premije rizika </w:t>
      </w:r>
      <w:r w:rsidR="008C3125">
        <w:rPr>
          <w:sz w:val="24"/>
          <w:szCs w:val="24"/>
        </w:rPr>
        <w:t xml:space="preserve">zabilježen </w:t>
      </w:r>
      <w:r w:rsidR="00241CFB">
        <w:rPr>
          <w:sz w:val="24"/>
          <w:szCs w:val="24"/>
        </w:rPr>
        <w:t>je značaj</w:t>
      </w:r>
      <w:r w:rsidR="008C3125">
        <w:rPr>
          <w:sz w:val="24"/>
          <w:szCs w:val="24"/>
        </w:rPr>
        <w:t>n</w:t>
      </w:r>
      <w:r w:rsidR="00241CFB">
        <w:rPr>
          <w:sz w:val="24"/>
          <w:szCs w:val="24"/>
        </w:rPr>
        <w:t>iji</w:t>
      </w:r>
      <w:r w:rsidR="008C3125">
        <w:rPr>
          <w:sz w:val="24"/>
          <w:szCs w:val="24"/>
        </w:rPr>
        <w:t xml:space="preserve"> rast kamatnih stopa na tržištu obveznica</w:t>
      </w:r>
      <w:r w:rsidR="00811FA8">
        <w:rPr>
          <w:sz w:val="24"/>
          <w:szCs w:val="24"/>
        </w:rPr>
        <w:t xml:space="preserve"> (uključujući i državne obveznice kod kojih se prinos na desetogodišnju obveznicu </w:t>
      </w:r>
      <w:r w:rsidR="00EC43FD">
        <w:rPr>
          <w:sz w:val="24"/>
          <w:szCs w:val="24"/>
        </w:rPr>
        <w:t>teoretski</w:t>
      </w:r>
      <w:r w:rsidR="00811FA8">
        <w:rPr>
          <w:sz w:val="24"/>
          <w:szCs w:val="24"/>
        </w:rPr>
        <w:t xml:space="preserve"> </w:t>
      </w:r>
      <w:r w:rsidR="00EC43FD">
        <w:rPr>
          <w:sz w:val="24"/>
          <w:szCs w:val="24"/>
        </w:rPr>
        <w:lastRenderedPageBreak/>
        <w:t xml:space="preserve">definira </w:t>
      </w:r>
      <w:r w:rsidR="00811FA8">
        <w:rPr>
          <w:sz w:val="24"/>
          <w:szCs w:val="24"/>
        </w:rPr>
        <w:t>kao nerizičan prinos u odnosu na koji se promatra zahtijevani prinos investitora u više rizična ulaganja)</w:t>
      </w:r>
      <w:r w:rsidR="00E91C39">
        <w:rPr>
          <w:sz w:val="24"/>
          <w:szCs w:val="24"/>
        </w:rPr>
        <w:t>, što je jedno vrijeme povećalo atraktivnost ulaganja u obveznice. Kako od</w:t>
      </w:r>
      <w:r w:rsidR="000E4BB7">
        <w:rPr>
          <w:sz w:val="24"/>
          <w:szCs w:val="24"/>
        </w:rPr>
        <w:t xml:space="preserve"> 2014. prinosi na državne obveznice i kamatne stope na oročenu štednju bilježe značajan pad (iako ih povremeno povećava premija rizika) ulaganje viškova rezervi štednje u takve oblike imovine </w:t>
      </w:r>
      <w:r w:rsidR="00E91C39">
        <w:rPr>
          <w:sz w:val="24"/>
          <w:szCs w:val="24"/>
        </w:rPr>
        <w:t>postalo je manje atraktivno</w:t>
      </w:r>
      <w:r w:rsidR="007632F7">
        <w:rPr>
          <w:sz w:val="24"/>
          <w:szCs w:val="24"/>
        </w:rPr>
        <w:t xml:space="preserve"> (barem do trenutka dok monetarna politika vodećih svjetskih banaka ne učini zaokret u restriktivnom smjeru)</w:t>
      </w:r>
      <w:r w:rsidR="000E4BB7">
        <w:rPr>
          <w:sz w:val="24"/>
          <w:szCs w:val="24"/>
        </w:rPr>
        <w:t xml:space="preserve">. </w:t>
      </w:r>
    </w:p>
    <w:p w:rsidR="00811FA8" w:rsidRPr="00811FA8" w:rsidRDefault="00811FA8" w:rsidP="00811FA8">
      <w:pPr>
        <w:autoSpaceDE w:val="0"/>
        <w:autoSpaceDN w:val="0"/>
        <w:adjustRightInd w:val="0"/>
        <w:spacing w:before="120"/>
        <w:jc w:val="both"/>
        <w:rPr>
          <w:b/>
          <w:sz w:val="24"/>
          <w:szCs w:val="24"/>
        </w:rPr>
      </w:pPr>
      <w:r w:rsidRPr="00811FA8">
        <w:rPr>
          <w:b/>
          <w:sz w:val="24"/>
          <w:szCs w:val="24"/>
        </w:rPr>
        <w:t>Slika 42: Usporedno kretanje kamatnih stopa na oročene depozite u bankama</w:t>
      </w:r>
    </w:p>
    <w:p w:rsidR="00811FA8" w:rsidRDefault="00877951" w:rsidP="00811FA8">
      <w:pPr>
        <w:autoSpaceDE w:val="0"/>
        <w:autoSpaceDN w:val="0"/>
        <w:adjustRightInd w:val="0"/>
        <w:spacing w:before="240"/>
        <w:jc w:val="both"/>
        <w:rPr>
          <w:sz w:val="20"/>
          <w:szCs w:val="20"/>
        </w:rPr>
      </w:pPr>
      <w:r>
        <w:rPr>
          <w:noProof/>
          <w:lang w:eastAsia="hr-HR"/>
        </w:rPr>
        <w:drawing>
          <wp:inline distT="0" distB="0" distL="0" distR="0" wp14:anchorId="65AD1083" wp14:editId="3B5F6C2C">
            <wp:extent cx="4352925" cy="2590800"/>
            <wp:effectExtent l="0" t="0" r="9525" b="19050"/>
            <wp:docPr id="29708" name="Grafikon 29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811FA8" w:rsidRPr="00811FA8" w:rsidRDefault="00811FA8" w:rsidP="00500F60">
      <w:pPr>
        <w:autoSpaceDE w:val="0"/>
        <w:autoSpaceDN w:val="0"/>
        <w:adjustRightInd w:val="0"/>
        <w:jc w:val="both"/>
        <w:rPr>
          <w:sz w:val="20"/>
          <w:szCs w:val="20"/>
        </w:rPr>
      </w:pPr>
      <w:r w:rsidRPr="00811FA8">
        <w:rPr>
          <w:sz w:val="20"/>
          <w:szCs w:val="20"/>
        </w:rPr>
        <w:t>Izvor podataka: HNB</w:t>
      </w:r>
    </w:p>
    <w:p w:rsidR="007632F7" w:rsidRPr="007632F7" w:rsidRDefault="007632F7" w:rsidP="00DA20DD">
      <w:pPr>
        <w:autoSpaceDE w:val="0"/>
        <w:autoSpaceDN w:val="0"/>
        <w:adjustRightInd w:val="0"/>
        <w:spacing w:before="120" w:after="0" w:line="240" w:lineRule="auto"/>
        <w:jc w:val="both"/>
        <w:rPr>
          <w:b/>
          <w:sz w:val="24"/>
          <w:szCs w:val="24"/>
        </w:rPr>
      </w:pPr>
      <w:r w:rsidRPr="007632F7">
        <w:rPr>
          <w:b/>
          <w:sz w:val="24"/>
          <w:szCs w:val="24"/>
        </w:rPr>
        <w:t>Slika 43: Prinos na hrvatsku i usporedivu njemačku obveznicu s dospijećem 2018. i njihova razlika</w:t>
      </w:r>
    </w:p>
    <w:p w:rsidR="007632F7" w:rsidRDefault="007632F7" w:rsidP="00DA20DD">
      <w:pPr>
        <w:autoSpaceDE w:val="0"/>
        <w:autoSpaceDN w:val="0"/>
        <w:adjustRightInd w:val="0"/>
        <w:spacing w:after="0"/>
        <w:jc w:val="both"/>
        <w:rPr>
          <w:sz w:val="24"/>
          <w:szCs w:val="24"/>
        </w:rPr>
      </w:pPr>
      <w:r>
        <w:rPr>
          <w:noProof/>
          <w:sz w:val="24"/>
          <w:szCs w:val="24"/>
          <w:lang w:eastAsia="hr-HR"/>
        </w:rPr>
        <w:drawing>
          <wp:inline distT="0" distB="0" distL="0" distR="0" wp14:anchorId="56C5B41E" wp14:editId="799BBE75">
            <wp:extent cx="5495258" cy="3248025"/>
            <wp:effectExtent l="0" t="0" r="0" b="0"/>
            <wp:docPr id="29709" name="Slika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95258" cy="3248025"/>
                    </a:xfrm>
                    <a:prstGeom prst="rect">
                      <a:avLst/>
                    </a:prstGeom>
                    <a:noFill/>
                    <a:ln>
                      <a:noFill/>
                    </a:ln>
                  </pic:spPr>
                </pic:pic>
              </a:graphicData>
            </a:graphic>
          </wp:inline>
        </w:drawing>
      </w:r>
    </w:p>
    <w:p w:rsidR="007632F7" w:rsidRPr="007632F7" w:rsidRDefault="007632F7" w:rsidP="007632F7">
      <w:pPr>
        <w:autoSpaceDE w:val="0"/>
        <w:autoSpaceDN w:val="0"/>
        <w:adjustRightInd w:val="0"/>
        <w:spacing w:after="0" w:line="240" w:lineRule="auto"/>
        <w:jc w:val="both"/>
        <w:rPr>
          <w:sz w:val="20"/>
          <w:szCs w:val="20"/>
        </w:rPr>
      </w:pPr>
      <w:r w:rsidRPr="007632F7">
        <w:rPr>
          <w:sz w:val="20"/>
          <w:szCs w:val="20"/>
        </w:rPr>
        <w:t>Izvor:</w:t>
      </w:r>
      <w:r w:rsidR="00B26AFE">
        <w:rPr>
          <w:sz w:val="20"/>
          <w:szCs w:val="20"/>
        </w:rPr>
        <w:t xml:space="preserve"> Bloomberg</w:t>
      </w:r>
      <w:r w:rsidR="000E2654">
        <w:rPr>
          <w:sz w:val="20"/>
          <w:szCs w:val="20"/>
        </w:rPr>
        <w:t>,</w:t>
      </w:r>
      <w:r w:rsidRPr="007632F7">
        <w:rPr>
          <w:sz w:val="20"/>
          <w:szCs w:val="20"/>
        </w:rPr>
        <w:t xml:space="preserve"> preuzeto iz: HNB (2015.) „Financijska stabilnost“, dostupno na: http://www.hnb.hr/publikac/financijska%20stabilnost/h-fs-15-2015.pdf</w:t>
      </w:r>
    </w:p>
    <w:p w:rsidR="008F1031" w:rsidRDefault="00500F60" w:rsidP="007632F7">
      <w:pPr>
        <w:autoSpaceDE w:val="0"/>
        <w:autoSpaceDN w:val="0"/>
        <w:adjustRightInd w:val="0"/>
        <w:spacing w:before="240"/>
        <w:jc w:val="both"/>
        <w:rPr>
          <w:sz w:val="24"/>
          <w:szCs w:val="24"/>
        </w:rPr>
      </w:pPr>
      <w:r>
        <w:rPr>
          <w:sz w:val="24"/>
          <w:szCs w:val="24"/>
        </w:rPr>
        <w:lastRenderedPageBreak/>
        <w:t xml:space="preserve">Razdoblje </w:t>
      </w:r>
      <w:r w:rsidR="001C416C">
        <w:rPr>
          <w:sz w:val="24"/>
          <w:szCs w:val="24"/>
        </w:rPr>
        <w:t xml:space="preserve">približavanja kraja </w:t>
      </w:r>
      <w:r>
        <w:rPr>
          <w:sz w:val="24"/>
          <w:szCs w:val="24"/>
        </w:rPr>
        <w:t xml:space="preserve">recesije </w:t>
      </w:r>
      <w:r w:rsidR="001C416C">
        <w:rPr>
          <w:sz w:val="24"/>
          <w:szCs w:val="24"/>
        </w:rPr>
        <w:t xml:space="preserve">(uglavnom </w:t>
      </w:r>
      <w:r w:rsidR="007632F7">
        <w:rPr>
          <w:sz w:val="24"/>
          <w:szCs w:val="24"/>
        </w:rPr>
        <w:t xml:space="preserve">tijekom </w:t>
      </w:r>
      <w:r>
        <w:rPr>
          <w:sz w:val="24"/>
          <w:szCs w:val="24"/>
        </w:rPr>
        <w:t>2013.</w:t>
      </w:r>
      <w:r w:rsidR="00E41C51">
        <w:rPr>
          <w:sz w:val="24"/>
          <w:szCs w:val="24"/>
        </w:rPr>
        <w:t xml:space="preserve"> </w:t>
      </w:r>
      <w:r w:rsidR="00FE0209">
        <w:rPr>
          <w:sz w:val="24"/>
          <w:szCs w:val="24"/>
        </w:rPr>
        <w:t>i</w:t>
      </w:r>
      <w:r w:rsidR="00E41C51">
        <w:rPr>
          <w:sz w:val="24"/>
          <w:szCs w:val="24"/>
        </w:rPr>
        <w:t xml:space="preserve"> 2014.</w:t>
      </w:r>
      <w:r w:rsidR="001C416C">
        <w:rPr>
          <w:sz w:val="24"/>
          <w:szCs w:val="24"/>
        </w:rPr>
        <w:t>)</w:t>
      </w:r>
      <w:r>
        <w:rPr>
          <w:sz w:val="24"/>
          <w:szCs w:val="24"/>
        </w:rPr>
        <w:t xml:space="preserve"> dio investitora </w:t>
      </w:r>
      <w:r w:rsidR="00E91C39">
        <w:rPr>
          <w:sz w:val="24"/>
          <w:szCs w:val="24"/>
        </w:rPr>
        <w:t xml:space="preserve">na domaćem tržištu </w:t>
      </w:r>
      <w:r>
        <w:rPr>
          <w:sz w:val="24"/>
          <w:szCs w:val="24"/>
        </w:rPr>
        <w:t xml:space="preserve">iskoristilo je za kupnju </w:t>
      </w:r>
      <w:r w:rsidR="00FE0209">
        <w:rPr>
          <w:sz w:val="24"/>
          <w:szCs w:val="24"/>
        </w:rPr>
        <w:t xml:space="preserve">pojedinih </w:t>
      </w:r>
      <w:r>
        <w:rPr>
          <w:sz w:val="24"/>
          <w:szCs w:val="24"/>
        </w:rPr>
        <w:t>„kvalitetnih dionica</w:t>
      </w:r>
      <w:r w:rsidR="00FE0209">
        <w:rPr>
          <w:sz w:val="24"/>
          <w:szCs w:val="24"/>
        </w:rPr>
        <w:t xml:space="preserve"> </w:t>
      </w:r>
      <w:r>
        <w:rPr>
          <w:sz w:val="24"/>
          <w:szCs w:val="24"/>
        </w:rPr>
        <w:t xml:space="preserve">na rasprodaji“ zahvaljujući čemu su </w:t>
      </w:r>
      <w:r w:rsidR="007632F7">
        <w:rPr>
          <w:sz w:val="24"/>
          <w:szCs w:val="24"/>
        </w:rPr>
        <w:t xml:space="preserve">uz </w:t>
      </w:r>
      <w:r>
        <w:rPr>
          <w:sz w:val="24"/>
          <w:szCs w:val="24"/>
        </w:rPr>
        <w:t xml:space="preserve">do rujna 2015. ostvarili značajne (realizirane i nerealizirane) kapitalne dobitke. </w:t>
      </w:r>
      <w:r w:rsidR="00FE0209">
        <w:rPr>
          <w:sz w:val="24"/>
          <w:szCs w:val="24"/>
        </w:rPr>
        <w:t>Međutim, to nipošto ne znači da su takve prilike bile moguće kod svih</w:t>
      </w:r>
      <w:r w:rsidR="00E91C39">
        <w:rPr>
          <w:sz w:val="24"/>
          <w:szCs w:val="24"/>
        </w:rPr>
        <w:t xml:space="preserve"> dionica koje kotiraju na burzi.</w:t>
      </w:r>
      <w:r w:rsidR="00FE0209">
        <w:rPr>
          <w:sz w:val="24"/>
          <w:szCs w:val="24"/>
        </w:rPr>
        <w:t xml:space="preserve"> Hrvatsko tržište kapitala još uvijek je u svojevrsnoj fazi zastoja, relativno malog prometa i</w:t>
      </w:r>
      <w:r w:rsidR="008F1031">
        <w:rPr>
          <w:sz w:val="24"/>
          <w:szCs w:val="24"/>
        </w:rPr>
        <w:t xml:space="preserve"> bez sigurnih znakova oporavka, što dijelom reprezentira kretanje CROBEX-a u usporedbi s kretanjima dioničkih indeksa u drugim regijama koje već duže vrijeme bilježe uzlet (iako uz povremene šokove </w:t>
      </w:r>
      <w:r w:rsidR="00427ABE">
        <w:rPr>
          <w:sz w:val="24"/>
          <w:szCs w:val="24"/>
        </w:rPr>
        <w:t xml:space="preserve">koji su </w:t>
      </w:r>
      <w:r w:rsidR="008F1031">
        <w:rPr>
          <w:sz w:val="24"/>
          <w:szCs w:val="24"/>
        </w:rPr>
        <w:t>vezan</w:t>
      </w:r>
      <w:r w:rsidR="00427ABE">
        <w:rPr>
          <w:sz w:val="24"/>
          <w:szCs w:val="24"/>
        </w:rPr>
        <w:t xml:space="preserve">i </w:t>
      </w:r>
      <w:r w:rsidR="008F1031">
        <w:rPr>
          <w:sz w:val="24"/>
          <w:szCs w:val="24"/>
        </w:rPr>
        <w:t>uz dalje globalno prisutne uvjete nestabilnosti).</w:t>
      </w:r>
    </w:p>
    <w:tbl>
      <w:tblPr>
        <w:tblStyle w:val="Reetkatablice"/>
        <w:tblW w:w="0" w:type="auto"/>
        <w:tblInd w:w="108" w:type="dxa"/>
        <w:tblLook w:val="0000" w:firstRow="0" w:lastRow="0" w:firstColumn="0" w:lastColumn="0" w:noHBand="0" w:noVBand="0"/>
      </w:tblPr>
      <w:tblGrid>
        <w:gridCol w:w="4572"/>
        <w:gridCol w:w="4608"/>
      </w:tblGrid>
      <w:tr w:rsidR="00897A09" w:rsidTr="00897A09">
        <w:trPr>
          <w:trHeight w:val="395"/>
        </w:trPr>
        <w:tc>
          <w:tcPr>
            <w:tcW w:w="9180" w:type="dxa"/>
            <w:gridSpan w:val="2"/>
          </w:tcPr>
          <w:p w:rsidR="00897A09" w:rsidRDefault="00897A09" w:rsidP="00427ABE">
            <w:pPr>
              <w:autoSpaceDE w:val="0"/>
              <w:autoSpaceDN w:val="0"/>
              <w:adjustRightInd w:val="0"/>
              <w:spacing w:before="240" w:after="120"/>
              <w:jc w:val="both"/>
            </w:pPr>
            <w:r w:rsidRPr="00897A09">
              <w:rPr>
                <w:rFonts w:asciiTheme="minorHAnsi" w:eastAsiaTheme="minorHAnsi" w:hAnsiTheme="minorHAnsi" w:cstheme="minorBidi"/>
                <w:i/>
                <w:color w:val="C00000"/>
                <w:sz w:val="24"/>
                <w:szCs w:val="24"/>
                <w:lang w:eastAsia="en-US"/>
              </w:rPr>
              <w:t>Primjer:</w:t>
            </w:r>
            <w:r w:rsidRPr="00897A09">
              <w:rPr>
                <w:rFonts w:asciiTheme="minorHAnsi" w:eastAsiaTheme="minorHAnsi" w:hAnsiTheme="minorHAnsi" w:cstheme="minorBidi"/>
                <w:color w:val="C00000"/>
                <w:sz w:val="24"/>
                <w:szCs w:val="24"/>
                <w:lang w:eastAsia="en-US"/>
              </w:rPr>
              <w:t xml:space="preserve"> </w:t>
            </w:r>
            <w:r w:rsidR="00427ABE">
              <w:rPr>
                <w:rFonts w:asciiTheme="minorHAnsi" w:eastAsiaTheme="minorHAnsi" w:hAnsiTheme="minorHAnsi" w:cstheme="minorBidi"/>
                <w:sz w:val="24"/>
                <w:szCs w:val="24"/>
                <w:lang w:eastAsia="en-US"/>
              </w:rPr>
              <w:t>Kretanje odabranih</w:t>
            </w:r>
            <w:r w:rsidRPr="00897A09">
              <w:rPr>
                <w:rFonts w:asciiTheme="minorHAnsi" w:eastAsiaTheme="minorHAnsi" w:hAnsiTheme="minorHAnsi" w:cstheme="minorBidi"/>
                <w:sz w:val="24"/>
                <w:szCs w:val="24"/>
                <w:lang w:eastAsia="en-US"/>
              </w:rPr>
              <w:t xml:space="preserve"> dioničkih indeksa</w:t>
            </w:r>
          </w:p>
        </w:tc>
      </w:tr>
      <w:tr w:rsidR="008F1031" w:rsidTr="00897A09">
        <w:tblPrEx>
          <w:tblLook w:val="04A0" w:firstRow="1" w:lastRow="0" w:firstColumn="1" w:lastColumn="0" w:noHBand="0" w:noVBand="1"/>
        </w:tblPrEx>
        <w:tc>
          <w:tcPr>
            <w:tcW w:w="4572" w:type="dxa"/>
          </w:tcPr>
          <w:p w:rsidR="008F1031" w:rsidRDefault="008F1031" w:rsidP="00897A09">
            <w:pPr>
              <w:autoSpaceDE w:val="0"/>
              <w:autoSpaceDN w:val="0"/>
              <w:adjustRightInd w:val="0"/>
              <w:spacing w:before="240"/>
              <w:jc w:val="both"/>
            </w:pPr>
            <w:r>
              <w:rPr>
                <w:rFonts w:asciiTheme="minorHAnsi" w:eastAsiaTheme="minorHAnsi" w:hAnsiTheme="minorHAnsi" w:cstheme="minorBidi"/>
                <w:sz w:val="22"/>
                <w:szCs w:val="22"/>
                <w:lang w:eastAsia="en-US"/>
              </w:rPr>
              <w:object w:dxaOrig="3615" w:dyaOrig="2040">
                <v:shape id="_x0000_i1097" type="#_x0000_t75" style="width:180.75pt;height:102pt" o:ole="">
                  <v:imagedata r:id="rId274" o:title=""/>
                </v:shape>
                <o:OLEObject Type="Embed" ProgID="PBrush" ShapeID="_x0000_i1097" DrawAspect="Content" ObjectID="_1505681425" r:id="rId275"/>
              </w:object>
            </w:r>
          </w:p>
          <w:p w:rsidR="008F1031" w:rsidRDefault="008F1031" w:rsidP="00897A09">
            <w:pPr>
              <w:autoSpaceDE w:val="0"/>
              <w:autoSpaceDN w:val="0"/>
              <w:adjustRightInd w:val="0"/>
              <w:spacing w:before="240"/>
              <w:jc w:val="both"/>
              <w:rPr>
                <w:sz w:val="24"/>
                <w:szCs w:val="24"/>
              </w:rPr>
            </w:pPr>
            <w:r>
              <w:rPr>
                <w:rFonts w:asciiTheme="minorHAnsi" w:eastAsiaTheme="minorHAnsi" w:hAnsiTheme="minorHAnsi" w:cstheme="minorBidi"/>
                <w:sz w:val="22"/>
                <w:szCs w:val="22"/>
                <w:lang w:eastAsia="en-US"/>
              </w:rPr>
              <w:object w:dxaOrig="3510" w:dyaOrig="2025">
                <v:shape id="_x0000_i1098" type="#_x0000_t75" style="width:175.5pt;height:101.25pt" o:ole="">
                  <v:imagedata r:id="rId276" o:title=""/>
                </v:shape>
                <o:OLEObject Type="Embed" ProgID="PBrush" ShapeID="_x0000_i1098" DrawAspect="Content" ObjectID="_1505681426" r:id="rId277"/>
              </w:object>
            </w:r>
          </w:p>
        </w:tc>
        <w:tc>
          <w:tcPr>
            <w:tcW w:w="4608" w:type="dxa"/>
          </w:tcPr>
          <w:p w:rsidR="008F1031" w:rsidRDefault="008F1031" w:rsidP="00897A09">
            <w:pPr>
              <w:autoSpaceDE w:val="0"/>
              <w:autoSpaceDN w:val="0"/>
              <w:adjustRightInd w:val="0"/>
              <w:spacing w:before="240"/>
              <w:jc w:val="both"/>
            </w:pPr>
            <w:r>
              <w:rPr>
                <w:rFonts w:asciiTheme="minorHAnsi" w:eastAsiaTheme="minorHAnsi" w:hAnsiTheme="minorHAnsi" w:cstheme="minorBidi"/>
                <w:sz w:val="22"/>
                <w:szCs w:val="22"/>
                <w:lang w:eastAsia="en-US"/>
              </w:rPr>
              <w:object w:dxaOrig="3630" w:dyaOrig="1965">
                <v:shape id="_x0000_i1099" type="#_x0000_t75" style="width:181.5pt;height:98.25pt" o:ole="">
                  <v:imagedata r:id="rId278" o:title=""/>
                </v:shape>
                <o:OLEObject Type="Embed" ProgID="PBrush" ShapeID="_x0000_i1099" DrawAspect="Content" ObjectID="_1505681427" r:id="rId279"/>
              </w:object>
            </w:r>
          </w:p>
          <w:p w:rsidR="008F1031" w:rsidRDefault="008F1031" w:rsidP="00897A09">
            <w:pPr>
              <w:autoSpaceDE w:val="0"/>
              <w:autoSpaceDN w:val="0"/>
              <w:adjustRightInd w:val="0"/>
              <w:spacing w:before="240"/>
              <w:jc w:val="both"/>
              <w:rPr>
                <w:sz w:val="24"/>
                <w:szCs w:val="24"/>
              </w:rPr>
            </w:pPr>
            <w:r>
              <w:rPr>
                <w:rFonts w:asciiTheme="minorHAnsi" w:eastAsiaTheme="minorHAnsi" w:hAnsiTheme="minorHAnsi" w:cstheme="minorBidi"/>
                <w:sz w:val="22"/>
                <w:szCs w:val="22"/>
                <w:lang w:eastAsia="en-US"/>
              </w:rPr>
              <w:object w:dxaOrig="3645" w:dyaOrig="2040">
                <v:shape id="_x0000_i1100" type="#_x0000_t75" style="width:182.25pt;height:102pt" o:ole="">
                  <v:imagedata r:id="rId280" o:title=""/>
                </v:shape>
                <o:OLEObject Type="Embed" ProgID="PBrush" ShapeID="_x0000_i1100" DrawAspect="Content" ObjectID="_1505681428" r:id="rId281"/>
              </w:object>
            </w:r>
          </w:p>
        </w:tc>
      </w:tr>
      <w:tr w:rsidR="008F1031" w:rsidTr="00897A09">
        <w:trPr>
          <w:trHeight w:val="315"/>
        </w:trPr>
        <w:tc>
          <w:tcPr>
            <w:tcW w:w="9180" w:type="dxa"/>
            <w:gridSpan w:val="2"/>
          </w:tcPr>
          <w:p w:rsidR="008F1031" w:rsidRDefault="008F1031" w:rsidP="00897A09">
            <w:pPr>
              <w:autoSpaceDE w:val="0"/>
              <w:autoSpaceDN w:val="0"/>
              <w:adjustRightInd w:val="0"/>
              <w:spacing w:before="120"/>
              <w:jc w:val="both"/>
              <w:rPr>
                <w:rFonts w:asciiTheme="minorHAnsi" w:hAnsiTheme="minorHAnsi"/>
              </w:rPr>
            </w:pPr>
            <w:r w:rsidRPr="008F1031">
              <w:rPr>
                <w:rFonts w:asciiTheme="minorHAnsi" w:hAnsiTheme="minorHAnsi"/>
              </w:rPr>
              <w:t>Izvor: preuzeto sa:</w:t>
            </w:r>
          </w:p>
          <w:p w:rsidR="008F1031" w:rsidRPr="008F1031" w:rsidRDefault="008F1031" w:rsidP="00897A09">
            <w:pPr>
              <w:autoSpaceDE w:val="0"/>
              <w:autoSpaceDN w:val="0"/>
              <w:adjustRightInd w:val="0"/>
              <w:spacing w:after="120"/>
              <w:jc w:val="both"/>
              <w:rPr>
                <w:rFonts w:asciiTheme="minorHAnsi" w:hAnsiTheme="minorHAnsi"/>
              </w:rPr>
            </w:pPr>
            <w:r w:rsidRPr="008F1031">
              <w:rPr>
                <w:rFonts w:asciiTheme="minorHAnsi" w:hAnsiTheme="minorHAnsi"/>
              </w:rPr>
              <w:t>https://hr.products.erstegroup.com/Retail/hr/MarketsAndTrends/IndicesAndEquities/index.phtml?elem738077_index=Chart_Indices_CEE_HR_CROBEX&amp;elem738077_durationTimes=gen_5y</w:t>
            </w:r>
          </w:p>
        </w:tc>
      </w:tr>
    </w:tbl>
    <w:p w:rsidR="00500F60" w:rsidRDefault="00E91C39" w:rsidP="007632F7">
      <w:pPr>
        <w:autoSpaceDE w:val="0"/>
        <w:autoSpaceDN w:val="0"/>
        <w:adjustRightInd w:val="0"/>
        <w:spacing w:before="240"/>
        <w:jc w:val="both"/>
        <w:rPr>
          <w:sz w:val="24"/>
          <w:szCs w:val="24"/>
        </w:rPr>
      </w:pPr>
      <w:r>
        <w:rPr>
          <w:sz w:val="24"/>
          <w:szCs w:val="24"/>
        </w:rPr>
        <w:t xml:space="preserve">Loša iskustva </w:t>
      </w:r>
      <w:r w:rsidR="009A74E3">
        <w:rPr>
          <w:sz w:val="24"/>
          <w:szCs w:val="24"/>
        </w:rPr>
        <w:t xml:space="preserve">malih </w:t>
      </w:r>
      <w:r>
        <w:rPr>
          <w:sz w:val="24"/>
          <w:szCs w:val="24"/>
        </w:rPr>
        <w:t xml:space="preserve">investitora </w:t>
      </w:r>
      <w:r w:rsidR="007632F7">
        <w:rPr>
          <w:sz w:val="24"/>
          <w:szCs w:val="24"/>
        </w:rPr>
        <w:t>u</w:t>
      </w:r>
      <w:r w:rsidR="00500F60">
        <w:rPr>
          <w:sz w:val="24"/>
          <w:szCs w:val="24"/>
        </w:rPr>
        <w:t xml:space="preserve"> razdoblju od 2008. do 2010.</w:t>
      </w:r>
      <w:r>
        <w:rPr>
          <w:sz w:val="24"/>
          <w:szCs w:val="24"/>
        </w:rPr>
        <w:t xml:space="preserve">, </w:t>
      </w:r>
      <w:r w:rsidR="00500F60">
        <w:rPr>
          <w:sz w:val="24"/>
          <w:szCs w:val="24"/>
        </w:rPr>
        <w:t xml:space="preserve">a posebno oni koji su se na tržište uključili prekasno, kupovali dionice u razdoblju njihove najveće precijenjenosti </w:t>
      </w:r>
      <w:r>
        <w:rPr>
          <w:sz w:val="24"/>
          <w:szCs w:val="24"/>
        </w:rPr>
        <w:t xml:space="preserve">te ih kasnije prodavali uz značajne realizirane kapitalne gubitke, jedan su od faktora danas relativno malog interesa </w:t>
      </w:r>
      <w:r w:rsidR="009A74E3">
        <w:rPr>
          <w:sz w:val="24"/>
          <w:szCs w:val="24"/>
        </w:rPr>
        <w:t xml:space="preserve">građana </w:t>
      </w:r>
      <w:r>
        <w:rPr>
          <w:sz w:val="24"/>
          <w:szCs w:val="24"/>
        </w:rPr>
        <w:t xml:space="preserve">za </w:t>
      </w:r>
      <w:r w:rsidR="009A74E3">
        <w:rPr>
          <w:sz w:val="24"/>
          <w:szCs w:val="24"/>
        </w:rPr>
        <w:t xml:space="preserve">ulaganje u </w:t>
      </w:r>
      <w:r>
        <w:rPr>
          <w:sz w:val="24"/>
          <w:szCs w:val="24"/>
        </w:rPr>
        <w:t xml:space="preserve">dionice. </w:t>
      </w:r>
      <w:r w:rsidR="009A74E3">
        <w:rPr>
          <w:sz w:val="24"/>
          <w:szCs w:val="24"/>
        </w:rPr>
        <w:t xml:space="preserve">Gledano kroz njihove pogreške ali euforiju optimizma koja je na domaćem dioničkom tržištu trajala tijekom 2007. moglo bi se konstatirati da je glavni problem što je dio ulagača </w:t>
      </w:r>
      <w:r w:rsidR="00500F60">
        <w:rPr>
          <w:sz w:val="24"/>
          <w:szCs w:val="24"/>
        </w:rPr>
        <w:t>zbog vlastitog neznanja poimal</w:t>
      </w:r>
      <w:r w:rsidR="009A74E3">
        <w:rPr>
          <w:sz w:val="24"/>
          <w:szCs w:val="24"/>
        </w:rPr>
        <w:t>o</w:t>
      </w:r>
      <w:r w:rsidR="00500F60">
        <w:rPr>
          <w:sz w:val="24"/>
          <w:szCs w:val="24"/>
        </w:rPr>
        <w:t xml:space="preserve"> burzu „kao mjesto brze i lake zarade“, što ona nipošto nije</w:t>
      </w:r>
      <w:r w:rsidR="007632F7">
        <w:rPr>
          <w:sz w:val="24"/>
          <w:szCs w:val="24"/>
        </w:rPr>
        <w:t>.</w:t>
      </w:r>
      <w:r w:rsidR="00500F60">
        <w:rPr>
          <w:sz w:val="24"/>
          <w:szCs w:val="24"/>
        </w:rPr>
        <w:t xml:space="preserve"> U</w:t>
      </w:r>
      <w:r w:rsidR="007632F7">
        <w:rPr>
          <w:sz w:val="24"/>
          <w:szCs w:val="24"/>
        </w:rPr>
        <w:t>pravo suprotno</w:t>
      </w:r>
      <w:r w:rsidR="00500F60">
        <w:rPr>
          <w:sz w:val="24"/>
          <w:szCs w:val="24"/>
        </w:rPr>
        <w:t xml:space="preserve"> </w:t>
      </w:r>
      <w:r w:rsidR="00500F60" w:rsidRPr="001C416C">
        <w:rPr>
          <w:color w:val="C00000"/>
          <w:sz w:val="24"/>
          <w:szCs w:val="24"/>
        </w:rPr>
        <w:t xml:space="preserve">ulaganje u dionice je vrlo zahtjevan rad koji iziskuje značajno ulaganje vremena i kontinuirano </w:t>
      </w:r>
      <w:r w:rsidR="007632F7" w:rsidRPr="001C416C">
        <w:rPr>
          <w:color w:val="C00000"/>
          <w:sz w:val="24"/>
          <w:szCs w:val="24"/>
        </w:rPr>
        <w:t xml:space="preserve">financijsko </w:t>
      </w:r>
      <w:r w:rsidR="00500F60" w:rsidRPr="001C416C">
        <w:rPr>
          <w:color w:val="C00000"/>
          <w:sz w:val="24"/>
          <w:szCs w:val="24"/>
        </w:rPr>
        <w:t xml:space="preserve">obrazovanje, provođenje niza analiza te stjecanje iskustva </w:t>
      </w:r>
      <w:r w:rsidR="00500F60">
        <w:rPr>
          <w:sz w:val="24"/>
          <w:szCs w:val="24"/>
        </w:rPr>
        <w:t>kako bi se moglo u pravo vrijeme</w:t>
      </w:r>
      <w:r w:rsidR="007632F7">
        <w:rPr>
          <w:sz w:val="24"/>
          <w:szCs w:val="24"/>
        </w:rPr>
        <w:t xml:space="preserve"> donijeti odluku o investiranju, odnosno iskoristiti prilike za ulaganja u uvjetima trenda prevladavajućeg „bikovskog tržišta“</w:t>
      </w:r>
      <w:r w:rsidR="001C416C">
        <w:rPr>
          <w:sz w:val="24"/>
          <w:szCs w:val="24"/>
        </w:rPr>
        <w:t xml:space="preserve"> (rasta cijena dionica)</w:t>
      </w:r>
      <w:r w:rsidR="007632F7">
        <w:rPr>
          <w:sz w:val="24"/>
          <w:szCs w:val="24"/>
        </w:rPr>
        <w:t xml:space="preserve"> i pravovremeno se povući iz onih </w:t>
      </w:r>
      <w:r w:rsidR="007632F7">
        <w:rPr>
          <w:sz w:val="24"/>
          <w:szCs w:val="24"/>
        </w:rPr>
        <w:lastRenderedPageBreak/>
        <w:t>investicija koje su pod utjecajem prevladavajućeg trenda „medvjeđeg tržišta“ (</w:t>
      </w:r>
      <w:r w:rsidR="001C416C">
        <w:rPr>
          <w:sz w:val="24"/>
          <w:szCs w:val="24"/>
        </w:rPr>
        <w:t xml:space="preserve">pada cijena dionica, </w:t>
      </w:r>
      <w:r w:rsidR="007632F7">
        <w:rPr>
          <w:sz w:val="24"/>
          <w:szCs w:val="24"/>
        </w:rPr>
        <w:t xml:space="preserve">što ukazuje na potrebu dezinvestirana i/ili restrukturiranja portfelja ulaganja). </w:t>
      </w:r>
    </w:p>
    <w:p w:rsidR="00EB6EA5" w:rsidRDefault="008C3125" w:rsidP="00EB6EA5">
      <w:pPr>
        <w:autoSpaceDE w:val="0"/>
        <w:autoSpaceDN w:val="0"/>
        <w:adjustRightInd w:val="0"/>
        <w:spacing w:before="240"/>
        <w:jc w:val="both"/>
        <w:rPr>
          <w:sz w:val="24"/>
          <w:szCs w:val="24"/>
        </w:rPr>
      </w:pPr>
      <w:r>
        <w:rPr>
          <w:sz w:val="24"/>
          <w:szCs w:val="24"/>
        </w:rPr>
        <w:t xml:space="preserve">Uvažavajući sve navedeno potencijalni ulagatelj </w:t>
      </w:r>
      <w:r w:rsidR="00EB6EA5">
        <w:rPr>
          <w:sz w:val="24"/>
          <w:szCs w:val="24"/>
        </w:rPr>
        <w:t>treba</w:t>
      </w:r>
      <w:r>
        <w:rPr>
          <w:sz w:val="24"/>
          <w:szCs w:val="24"/>
        </w:rPr>
        <w:t>o</w:t>
      </w:r>
      <w:r w:rsidR="00EB6EA5">
        <w:rPr>
          <w:sz w:val="24"/>
          <w:szCs w:val="24"/>
        </w:rPr>
        <w:t xml:space="preserve"> bi </w:t>
      </w:r>
      <w:r>
        <w:rPr>
          <w:sz w:val="24"/>
          <w:szCs w:val="24"/>
        </w:rPr>
        <w:t xml:space="preserve">sam sebi </w:t>
      </w:r>
      <w:r w:rsidR="00EB6EA5">
        <w:rPr>
          <w:sz w:val="24"/>
          <w:szCs w:val="24"/>
        </w:rPr>
        <w:t xml:space="preserve">postaviti </w:t>
      </w:r>
      <w:r w:rsidR="00427ABE">
        <w:rPr>
          <w:sz w:val="24"/>
          <w:szCs w:val="24"/>
        </w:rPr>
        <w:t>broojna</w:t>
      </w:r>
      <w:r w:rsidR="00EB6EA5">
        <w:rPr>
          <w:sz w:val="24"/>
          <w:szCs w:val="24"/>
        </w:rPr>
        <w:t xml:space="preserve"> pitanja: </w:t>
      </w:r>
      <w:r w:rsidR="00427ABE">
        <w:rPr>
          <w:sz w:val="24"/>
          <w:szCs w:val="24"/>
        </w:rPr>
        <w:t xml:space="preserve">ima li dovoljno znanja da razumije pokazatelje iz financijske analize poduzeća te makroekonomska kretanja koja se odražavaju na dionička tržišta a posebno dionice pojedinih sektora; </w:t>
      </w:r>
      <w:r>
        <w:rPr>
          <w:color w:val="C00000"/>
          <w:sz w:val="24"/>
          <w:szCs w:val="24"/>
        </w:rPr>
        <w:t>koliko gubitka</w:t>
      </w:r>
      <w:r w:rsidR="00EB6EA5" w:rsidRPr="00DD2E0F">
        <w:rPr>
          <w:color w:val="C00000"/>
          <w:sz w:val="24"/>
          <w:szCs w:val="24"/>
        </w:rPr>
        <w:t xml:space="preserve"> može</w:t>
      </w:r>
      <w:r w:rsidR="00EB6EA5">
        <w:rPr>
          <w:color w:val="C00000"/>
          <w:sz w:val="24"/>
          <w:szCs w:val="24"/>
        </w:rPr>
        <w:t xml:space="preserve"> podnijeti;</w:t>
      </w:r>
      <w:r w:rsidR="00EB6EA5" w:rsidRPr="00DD2E0F">
        <w:rPr>
          <w:color w:val="C00000"/>
          <w:sz w:val="24"/>
          <w:szCs w:val="24"/>
        </w:rPr>
        <w:t xml:space="preserve"> ima li dovoljne rezerve likvidne imovine </w:t>
      </w:r>
      <w:r w:rsidR="00EB6EA5" w:rsidRPr="008C3125">
        <w:rPr>
          <w:sz w:val="24"/>
          <w:szCs w:val="24"/>
        </w:rPr>
        <w:t>pa da može zadržati dugu poziciju u pojedinim dionicama dok ne prođe nepovoljno razdoblje</w:t>
      </w:r>
      <w:r>
        <w:rPr>
          <w:sz w:val="24"/>
          <w:szCs w:val="24"/>
        </w:rPr>
        <w:t>, kao</w:t>
      </w:r>
      <w:r w:rsidRPr="008C3125">
        <w:rPr>
          <w:sz w:val="24"/>
          <w:szCs w:val="24"/>
        </w:rPr>
        <w:t xml:space="preserve"> </w:t>
      </w:r>
      <w:r>
        <w:rPr>
          <w:color w:val="C00000"/>
          <w:sz w:val="24"/>
          <w:szCs w:val="24"/>
        </w:rPr>
        <w:t xml:space="preserve">i da li je dovoljno strpljiv </w:t>
      </w:r>
      <w:r w:rsidRPr="008C3125">
        <w:rPr>
          <w:sz w:val="24"/>
          <w:szCs w:val="24"/>
        </w:rPr>
        <w:t xml:space="preserve">da </w:t>
      </w:r>
      <w:r>
        <w:rPr>
          <w:sz w:val="24"/>
          <w:szCs w:val="24"/>
        </w:rPr>
        <w:t xml:space="preserve">izbjegne utjecaj emocije straha, odnosno da </w:t>
      </w:r>
      <w:r w:rsidRPr="008C3125">
        <w:rPr>
          <w:sz w:val="24"/>
          <w:szCs w:val="24"/>
        </w:rPr>
        <w:t>u godinama najvećeg pada tržišne cijene dionica izbjegne prodaju po cijeni ispod njihove stvarne vrijednosti</w:t>
      </w:r>
      <w:r w:rsidR="00EB6EA5" w:rsidRPr="008C3125">
        <w:rPr>
          <w:sz w:val="24"/>
          <w:szCs w:val="24"/>
        </w:rPr>
        <w:t xml:space="preserve">. </w:t>
      </w:r>
      <w:r w:rsidR="009A74E3">
        <w:rPr>
          <w:sz w:val="24"/>
          <w:szCs w:val="24"/>
        </w:rPr>
        <w:t>S</w:t>
      </w:r>
      <w:r>
        <w:rPr>
          <w:sz w:val="24"/>
          <w:szCs w:val="24"/>
        </w:rPr>
        <w:t xml:space="preserve"> druge stane </w:t>
      </w:r>
      <w:r w:rsidR="00EB6EA5">
        <w:rPr>
          <w:sz w:val="24"/>
          <w:szCs w:val="24"/>
        </w:rPr>
        <w:t>ako investitori čekaju</w:t>
      </w:r>
      <w:r>
        <w:rPr>
          <w:sz w:val="24"/>
          <w:szCs w:val="24"/>
        </w:rPr>
        <w:t xml:space="preserve"> npr.</w:t>
      </w:r>
      <w:r w:rsidR="00EB6EA5">
        <w:rPr>
          <w:sz w:val="24"/>
          <w:szCs w:val="24"/>
        </w:rPr>
        <w:t xml:space="preserve"> 7 godina kada će tržišna cijena dionice ponovno doći na razinu na kojoj je bila prije nego se dogodio značajan pad</w:t>
      </w:r>
      <w:r w:rsidR="009A74E3">
        <w:rPr>
          <w:sz w:val="24"/>
          <w:szCs w:val="24"/>
        </w:rPr>
        <w:t xml:space="preserve"> (</w:t>
      </w:r>
      <w:r w:rsidR="00CA1938">
        <w:rPr>
          <w:sz w:val="24"/>
          <w:szCs w:val="24"/>
        </w:rPr>
        <w:t>odnosno dosti</w:t>
      </w:r>
      <w:r w:rsidR="009A74E3">
        <w:rPr>
          <w:sz w:val="24"/>
          <w:szCs w:val="24"/>
        </w:rPr>
        <w:t>ći</w:t>
      </w:r>
      <w:r w:rsidR="00CA1938">
        <w:rPr>
          <w:sz w:val="24"/>
          <w:szCs w:val="24"/>
        </w:rPr>
        <w:t xml:space="preserve"> tržišn</w:t>
      </w:r>
      <w:r w:rsidR="009A74E3">
        <w:rPr>
          <w:sz w:val="24"/>
          <w:szCs w:val="24"/>
        </w:rPr>
        <w:t>u</w:t>
      </w:r>
      <w:r w:rsidR="00CA1938">
        <w:rPr>
          <w:sz w:val="24"/>
          <w:szCs w:val="24"/>
        </w:rPr>
        <w:t xml:space="preserve"> cijen</w:t>
      </w:r>
      <w:r w:rsidR="009A74E3">
        <w:rPr>
          <w:sz w:val="24"/>
          <w:szCs w:val="24"/>
        </w:rPr>
        <w:t>u</w:t>
      </w:r>
      <w:r w:rsidR="00CA1938">
        <w:rPr>
          <w:sz w:val="24"/>
          <w:szCs w:val="24"/>
        </w:rPr>
        <w:t xml:space="preserve"> jednak</w:t>
      </w:r>
      <w:r w:rsidR="009A74E3">
        <w:rPr>
          <w:sz w:val="24"/>
          <w:szCs w:val="24"/>
        </w:rPr>
        <w:t>u</w:t>
      </w:r>
      <w:r w:rsidR="00CA1938">
        <w:rPr>
          <w:sz w:val="24"/>
          <w:szCs w:val="24"/>
        </w:rPr>
        <w:t xml:space="preserve"> onoj po kojoj su ih kupili</w:t>
      </w:r>
      <w:r w:rsidR="009A74E3">
        <w:rPr>
          <w:sz w:val="24"/>
          <w:szCs w:val="24"/>
        </w:rPr>
        <w:t>)</w:t>
      </w:r>
      <w:r w:rsidR="00CA1938">
        <w:rPr>
          <w:sz w:val="24"/>
          <w:szCs w:val="24"/>
        </w:rPr>
        <w:t xml:space="preserve"> - </w:t>
      </w:r>
      <w:r w:rsidR="00EB6EA5">
        <w:rPr>
          <w:sz w:val="24"/>
          <w:szCs w:val="24"/>
        </w:rPr>
        <w:t xml:space="preserve">pitanje je da li će cijena tada odgovarati približno istoj realnoj vrijednosti kao prije </w:t>
      </w:r>
      <w:r w:rsidR="00CA1938">
        <w:rPr>
          <w:sz w:val="24"/>
          <w:szCs w:val="24"/>
        </w:rPr>
        <w:t xml:space="preserve">npr. </w:t>
      </w:r>
      <w:r w:rsidR="00EB6EA5">
        <w:rPr>
          <w:sz w:val="24"/>
          <w:szCs w:val="24"/>
        </w:rPr>
        <w:t xml:space="preserve">7 godina ili će isti nominalni iznos realno vrijediti znatno manje. (Inflacija obezvrjeđuje </w:t>
      </w:r>
      <w:r w:rsidR="00CA1938">
        <w:rPr>
          <w:sz w:val="24"/>
          <w:szCs w:val="24"/>
        </w:rPr>
        <w:t>vrijednost financijske imovine.</w:t>
      </w:r>
      <w:r w:rsidR="00EB6EA5">
        <w:rPr>
          <w:sz w:val="24"/>
          <w:szCs w:val="24"/>
        </w:rPr>
        <w:t xml:space="preserve">) </w:t>
      </w:r>
      <w:r w:rsidR="000A62AC">
        <w:rPr>
          <w:sz w:val="24"/>
          <w:szCs w:val="24"/>
        </w:rPr>
        <w:t>Također je važno razmišljati i o transakcijskim troškovima učestalih kupnja i prodaja vrijednosnica te mogućim promjenama u sustavu oporezivanja dividende i kapitalnih dobitaka.</w:t>
      </w:r>
    </w:p>
    <w:tbl>
      <w:tblPr>
        <w:tblStyle w:val="Reetkatablice"/>
        <w:tblW w:w="0" w:type="auto"/>
        <w:tblInd w:w="108" w:type="dxa"/>
        <w:tblLayout w:type="fixed"/>
        <w:tblLook w:val="04A0" w:firstRow="1" w:lastRow="0" w:firstColumn="1" w:lastColumn="0" w:noHBand="0" w:noVBand="1"/>
      </w:tblPr>
      <w:tblGrid>
        <w:gridCol w:w="9072"/>
      </w:tblGrid>
      <w:tr w:rsidR="009341FD" w:rsidTr="003629EA">
        <w:tc>
          <w:tcPr>
            <w:tcW w:w="9072" w:type="dxa"/>
          </w:tcPr>
          <w:p w:rsidR="00AD3DC4" w:rsidRPr="003629EA" w:rsidRDefault="009341FD" w:rsidP="00AD3DC4">
            <w:pPr>
              <w:autoSpaceDE w:val="0"/>
              <w:autoSpaceDN w:val="0"/>
              <w:adjustRightInd w:val="0"/>
              <w:jc w:val="both"/>
            </w:pPr>
            <w:r>
              <w:rPr>
                <w:rFonts w:asciiTheme="minorHAnsi" w:eastAsiaTheme="minorHAnsi" w:hAnsiTheme="minorHAnsi" w:cstheme="minorBidi"/>
                <w:sz w:val="22"/>
                <w:szCs w:val="22"/>
                <w:lang w:eastAsia="en-US"/>
              </w:rPr>
              <w:object w:dxaOrig="10980" w:dyaOrig="8070">
                <v:shape id="_x0000_i1101" type="#_x0000_t75" style="width:453.75pt;height:333pt" o:ole="">
                  <v:imagedata r:id="rId282" o:title=""/>
                </v:shape>
                <o:OLEObject Type="Embed" ProgID="PBrush" ShapeID="_x0000_i1101" DrawAspect="Content" ObjectID="_1505681429" r:id="rId283"/>
              </w:object>
            </w:r>
          </w:p>
        </w:tc>
      </w:tr>
      <w:tr w:rsidR="00AD3DC4" w:rsidTr="003629EA">
        <w:tc>
          <w:tcPr>
            <w:tcW w:w="9072" w:type="dxa"/>
          </w:tcPr>
          <w:p w:rsidR="00AD3DC4" w:rsidRPr="00AD3DC4" w:rsidRDefault="00AD3DC4" w:rsidP="00AD3DC4">
            <w:pPr>
              <w:autoSpaceDE w:val="0"/>
              <w:autoSpaceDN w:val="0"/>
              <w:adjustRightInd w:val="0"/>
              <w:spacing w:before="80" w:after="80"/>
              <w:jc w:val="both"/>
              <w:rPr>
                <w:rFonts w:asciiTheme="minorHAnsi" w:hAnsiTheme="minorHAnsi"/>
                <w:sz w:val="24"/>
                <w:szCs w:val="24"/>
              </w:rPr>
            </w:pPr>
            <w:r w:rsidRPr="00AD3DC4">
              <w:rPr>
                <w:rFonts w:asciiTheme="minorHAnsi" w:hAnsiTheme="minorHAnsi"/>
                <w:i/>
                <w:sz w:val="24"/>
                <w:szCs w:val="24"/>
              </w:rPr>
              <w:t>“Liječnici svoje greške pokrivaju zemljom, arhitekti svoje neuspjele građevine bršljanom, a burzovni brokeri dobivaju proviziju kada kupujete dionice koje su vam oni preporučili, a zatim drugu proviziju kada počinjete gubiti i kada ih prodajete</w:t>
            </w:r>
            <w:r>
              <w:rPr>
                <w:rFonts w:asciiTheme="minorHAnsi" w:hAnsiTheme="minorHAnsi"/>
                <w:i/>
                <w:sz w:val="24"/>
                <w:szCs w:val="24"/>
              </w:rPr>
              <w:t>.</w:t>
            </w:r>
            <w:r w:rsidRPr="00AD3DC4">
              <w:rPr>
                <w:rFonts w:asciiTheme="minorHAnsi" w:hAnsiTheme="minorHAnsi"/>
                <w:i/>
                <w:sz w:val="24"/>
                <w:szCs w:val="24"/>
              </w:rPr>
              <w:t>”</w:t>
            </w:r>
            <w:r w:rsidRPr="00AD3DC4">
              <w:rPr>
                <w:rFonts w:asciiTheme="minorHAnsi" w:hAnsiTheme="minorHAnsi"/>
                <w:sz w:val="24"/>
                <w:szCs w:val="24"/>
              </w:rPr>
              <w:t xml:space="preserve"> (Leon Richardson)</w:t>
            </w:r>
          </w:p>
        </w:tc>
      </w:tr>
    </w:tbl>
    <w:p w:rsidR="00121884" w:rsidRDefault="00121884" w:rsidP="00121884">
      <w:pPr>
        <w:autoSpaceDE w:val="0"/>
        <w:autoSpaceDN w:val="0"/>
        <w:adjustRightInd w:val="0"/>
        <w:spacing w:before="240"/>
        <w:jc w:val="both"/>
        <w:rPr>
          <w:sz w:val="24"/>
          <w:szCs w:val="24"/>
        </w:rPr>
      </w:pPr>
      <w:r>
        <w:rPr>
          <w:sz w:val="24"/>
          <w:szCs w:val="24"/>
        </w:rPr>
        <w:lastRenderedPageBreak/>
        <w:t xml:space="preserve">Rast cijena dionica može se odvijati po godišnjim stopama promjene nižim od stope inflacije (kao što i realni prinos od dividende može biti negativan), što znači da se realna vrijednost imovine pojedinca nije povećala. No, prilično je vjerojatno da će značajan postotak investitora biti zadovoljan svojom „uspješnošću“ takvih ulaganja jer bilježe rast nominalnog iznosa novca koji mogu ostvariti prodajom takve dionice, a zbog anomalije </w:t>
      </w:r>
      <w:r w:rsidRPr="00AD3BBE">
        <w:rPr>
          <w:color w:val="C00000"/>
          <w:sz w:val="24"/>
          <w:szCs w:val="24"/>
        </w:rPr>
        <w:t xml:space="preserve">novčane iluzije </w:t>
      </w:r>
      <w:r>
        <w:rPr>
          <w:sz w:val="24"/>
          <w:szCs w:val="24"/>
        </w:rPr>
        <w:t xml:space="preserve">ne razmišljaju u realnim terminima. Umjesto navedenog, kada se promatra kapitalni dobitak i prinos od ulaganja u dionice treba razmišljati u realnim terminima, a isto vrijedi i u slučaju dividendnog prinosa koji bi trebao biti veći od stope inflacije. </w:t>
      </w:r>
    </w:p>
    <w:p w:rsidR="004E6A97" w:rsidRPr="004E6A97" w:rsidRDefault="008C3125" w:rsidP="0011236A">
      <w:pPr>
        <w:autoSpaceDE w:val="0"/>
        <w:autoSpaceDN w:val="0"/>
        <w:adjustRightInd w:val="0"/>
        <w:spacing w:after="240"/>
        <w:jc w:val="both"/>
        <w:rPr>
          <w:sz w:val="24"/>
          <w:szCs w:val="24"/>
        </w:rPr>
      </w:pPr>
      <w:r>
        <w:rPr>
          <w:sz w:val="24"/>
          <w:szCs w:val="24"/>
        </w:rPr>
        <w:t>P</w:t>
      </w:r>
      <w:r w:rsidR="003D0E79">
        <w:rPr>
          <w:sz w:val="24"/>
          <w:szCs w:val="24"/>
        </w:rPr>
        <w:t>ored uobičajenog pojma „inflacij</w:t>
      </w:r>
      <w:r w:rsidR="005A1B0F">
        <w:rPr>
          <w:sz w:val="24"/>
          <w:szCs w:val="24"/>
        </w:rPr>
        <w:t>e“ (</w:t>
      </w:r>
      <w:r w:rsidR="003D0E79">
        <w:rPr>
          <w:sz w:val="24"/>
          <w:szCs w:val="24"/>
        </w:rPr>
        <w:t>porasta opće razine cijena</w:t>
      </w:r>
      <w:r w:rsidR="005A1B0F">
        <w:rPr>
          <w:sz w:val="24"/>
          <w:szCs w:val="24"/>
        </w:rPr>
        <w:t>)</w:t>
      </w:r>
      <w:r w:rsidR="003D0E79">
        <w:rPr>
          <w:sz w:val="24"/>
          <w:szCs w:val="24"/>
        </w:rPr>
        <w:t xml:space="preserve"> koja se tipično mjeri na tržištu dobara i usluga namijenjenih potrošnji, postoji i tzv. </w:t>
      </w:r>
      <w:r w:rsidR="003D0E79" w:rsidRPr="0034431B">
        <w:rPr>
          <w:color w:val="C00000"/>
          <w:sz w:val="24"/>
          <w:szCs w:val="24"/>
        </w:rPr>
        <w:t>inflacija cijena imovine</w:t>
      </w:r>
      <w:r w:rsidR="005A1B0F">
        <w:rPr>
          <w:sz w:val="24"/>
          <w:szCs w:val="24"/>
        </w:rPr>
        <w:t xml:space="preserve">. </w:t>
      </w:r>
      <w:r w:rsidR="004E6A97">
        <w:rPr>
          <w:sz w:val="24"/>
          <w:szCs w:val="24"/>
        </w:rPr>
        <w:t xml:space="preserve">Ona je </w:t>
      </w:r>
      <w:r w:rsidR="003D0E79">
        <w:rPr>
          <w:sz w:val="24"/>
          <w:szCs w:val="24"/>
        </w:rPr>
        <w:t xml:space="preserve">vezana uz tržišno precjenjivanje dionica </w:t>
      </w:r>
      <w:r>
        <w:rPr>
          <w:sz w:val="24"/>
          <w:szCs w:val="24"/>
        </w:rPr>
        <w:t>(ili druge imovine poput nekretnina)</w:t>
      </w:r>
      <w:r w:rsidR="005A1B0F">
        <w:rPr>
          <w:sz w:val="24"/>
          <w:szCs w:val="24"/>
        </w:rPr>
        <w:t>, a</w:t>
      </w:r>
      <w:r w:rsidR="003D0E79">
        <w:rPr>
          <w:sz w:val="24"/>
          <w:szCs w:val="24"/>
        </w:rPr>
        <w:t xml:space="preserve"> najčešće </w:t>
      </w:r>
      <w:r w:rsidR="005A1B0F">
        <w:rPr>
          <w:sz w:val="24"/>
          <w:szCs w:val="24"/>
        </w:rPr>
        <w:t xml:space="preserve">se </w:t>
      </w:r>
      <w:r w:rsidR="003D0E79">
        <w:rPr>
          <w:sz w:val="24"/>
          <w:szCs w:val="24"/>
        </w:rPr>
        <w:t xml:space="preserve">događa </w:t>
      </w:r>
      <w:r w:rsidR="005A1B0F">
        <w:rPr>
          <w:sz w:val="24"/>
          <w:szCs w:val="24"/>
        </w:rPr>
        <w:t>u uvjetima pretjeranog obilja novca koji umjesto transakcijske svrhe (za kupnju roba i usluga namijenjenih potrošnji ili realnim investicijama) završava u špekulativnim namjenama vezanim uz financijska ulaganja</w:t>
      </w:r>
      <w:r w:rsidR="004E6A97">
        <w:rPr>
          <w:sz w:val="24"/>
          <w:szCs w:val="24"/>
        </w:rPr>
        <w:t xml:space="preserve"> s ciljem ostvarivanja zarade na rastu cijena na tržištu imovine u kratkom roku</w:t>
      </w:r>
      <w:r w:rsidR="005A1B0F">
        <w:rPr>
          <w:sz w:val="24"/>
          <w:szCs w:val="24"/>
        </w:rPr>
        <w:t xml:space="preserve">. Dodatno događa se </w:t>
      </w:r>
      <w:r w:rsidR="003D0E79">
        <w:rPr>
          <w:sz w:val="24"/>
          <w:szCs w:val="24"/>
        </w:rPr>
        <w:t xml:space="preserve">kada emocije (poput nade i pohlepe) ili drugi faktori </w:t>
      </w:r>
      <w:r>
        <w:rPr>
          <w:sz w:val="24"/>
          <w:szCs w:val="24"/>
        </w:rPr>
        <w:t xml:space="preserve">velike potražnje ili </w:t>
      </w:r>
      <w:r w:rsidR="003D0E79">
        <w:rPr>
          <w:sz w:val="24"/>
          <w:szCs w:val="24"/>
        </w:rPr>
        <w:t xml:space="preserve">iracionalnosti na tržištu </w:t>
      </w:r>
      <w:r w:rsidR="005A1B0F">
        <w:rPr>
          <w:sz w:val="24"/>
          <w:szCs w:val="24"/>
        </w:rPr>
        <w:t xml:space="preserve">(u odnosu na danu ponudu) </w:t>
      </w:r>
      <w:r w:rsidR="003D0E79">
        <w:rPr>
          <w:sz w:val="24"/>
          <w:szCs w:val="24"/>
        </w:rPr>
        <w:t xml:space="preserve">nadmaše racionalne </w:t>
      </w:r>
      <w:r>
        <w:rPr>
          <w:sz w:val="24"/>
          <w:szCs w:val="24"/>
        </w:rPr>
        <w:t xml:space="preserve">čimbenike formiranja cijena - </w:t>
      </w:r>
      <w:r w:rsidR="003D0E79">
        <w:rPr>
          <w:sz w:val="24"/>
          <w:szCs w:val="24"/>
        </w:rPr>
        <w:t xml:space="preserve">pa tržišna vrijednost bitno odstupa od fundamenata. </w:t>
      </w:r>
      <w:r>
        <w:rPr>
          <w:sz w:val="24"/>
          <w:szCs w:val="24"/>
        </w:rPr>
        <w:t xml:space="preserve">S tim u vezi često se ističe da je jedan od problema ulagatelja na tržištu dionica taj </w:t>
      </w:r>
      <w:r w:rsidR="000F72CD">
        <w:rPr>
          <w:sz w:val="24"/>
          <w:szCs w:val="24"/>
        </w:rPr>
        <w:t>„</w:t>
      </w:r>
      <w:r>
        <w:rPr>
          <w:sz w:val="24"/>
          <w:szCs w:val="24"/>
        </w:rPr>
        <w:t xml:space="preserve">što </w:t>
      </w:r>
      <w:r w:rsidR="000F72CD">
        <w:rPr>
          <w:sz w:val="24"/>
          <w:szCs w:val="24"/>
        </w:rPr>
        <w:t xml:space="preserve">pogrešno razmišljaju - </w:t>
      </w:r>
      <w:r w:rsidRPr="008C3125">
        <w:rPr>
          <w:i/>
          <w:sz w:val="24"/>
          <w:szCs w:val="24"/>
        </w:rPr>
        <w:t>da je cijena jednaka vrijednosti“.</w:t>
      </w:r>
      <w:r>
        <w:rPr>
          <w:sz w:val="24"/>
          <w:szCs w:val="24"/>
        </w:rPr>
        <w:t xml:space="preserve"> </w:t>
      </w:r>
      <w:r w:rsidR="003D0E79">
        <w:rPr>
          <w:sz w:val="24"/>
          <w:szCs w:val="24"/>
        </w:rPr>
        <w:t xml:space="preserve">Tada se najčešće </w:t>
      </w:r>
      <w:r w:rsidR="003D0E79" w:rsidRPr="0034431B">
        <w:rPr>
          <w:sz w:val="24"/>
          <w:szCs w:val="24"/>
        </w:rPr>
        <w:t xml:space="preserve">zaboravlja da je </w:t>
      </w:r>
      <w:r w:rsidR="003D0E79" w:rsidRPr="0034431B">
        <w:rPr>
          <w:i/>
          <w:sz w:val="24"/>
          <w:szCs w:val="24"/>
        </w:rPr>
        <w:t>„uspjesi ili neuspjesi financijske imovine ovise o performansama temeljne realne imovine“</w:t>
      </w:r>
      <w:r w:rsidR="003D0E79">
        <w:rPr>
          <w:sz w:val="24"/>
          <w:szCs w:val="24"/>
        </w:rPr>
        <w:t xml:space="preserve">, kao i da razvoj špekulativnog </w:t>
      </w:r>
      <w:r w:rsidR="003D0E79" w:rsidRPr="008C3125">
        <w:rPr>
          <w:color w:val="C00000"/>
          <w:sz w:val="24"/>
          <w:szCs w:val="24"/>
        </w:rPr>
        <w:t xml:space="preserve">financijskog mjehura </w:t>
      </w:r>
      <w:r w:rsidR="003D0E79">
        <w:rPr>
          <w:sz w:val="24"/>
          <w:szCs w:val="24"/>
        </w:rPr>
        <w:t xml:space="preserve">(balona) traje samo do onda kada on jednostavno (zbog nekog određenog faktora i općeg </w:t>
      </w:r>
      <w:r w:rsidR="003D0E79" w:rsidRPr="004E6A97">
        <w:rPr>
          <w:sz w:val="24"/>
          <w:szCs w:val="24"/>
        </w:rPr>
        <w:t>pada povjerenja) jednostavno ne puk</w:t>
      </w:r>
      <w:r w:rsidRPr="004E6A97">
        <w:rPr>
          <w:sz w:val="24"/>
          <w:szCs w:val="24"/>
        </w:rPr>
        <w:t>n</w:t>
      </w:r>
      <w:r w:rsidR="003D0E79" w:rsidRPr="004E6A97">
        <w:rPr>
          <w:sz w:val="24"/>
          <w:szCs w:val="24"/>
        </w:rPr>
        <w:t xml:space="preserve">e. </w:t>
      </w:r>
    </w:p>
    <w:tbl>
      <w:tblPr>
        <w:tblStyle w:val="Reetkatablice"/>
        <w:tblW w:w="0" w:type="auto"/>
        <w:tblInd w:w="108" w:type="dxa"/>
        <w:tblLook w:val="04A0" w:firstRow="1" w:lastRow="0" w:firstColumn="1" w:lastColumn="0" w:noHBand="0" w:noVBand="1"/>
      </w:tblPr>
      <w:tblGrid>
        <w:gridCol w:w="9180"/>
      </w:tblGrid>
      <w:tr w:rsidR="004E6A97" w:rsidTr="004E6A97">
        <w:tc>
          <w:tcPr>
            <w:tcW w:w="9180" w:type="dxa"/>
            <w:shd w:val="clear" w:color="auto" w:fill="F2F2F2" w:themeFill="background1" w:themeFillShade="F2"/>
          </w:tcPr>
          <w:p w:rsidR="004E6A97" w:rsidRDefault="004E6A97" w:rsidP="00E61E56">
            <w:pPr>
              <w:autoSpaceDE w:val="0"/>
              <w:autoSpaceDN w:val="0"/>
              <w:adjustRightInd w:val="0"/>
              <w:spacing w:after="120"/>
              <w:jc w:val="both"/>
              <w:rPr>
                <w:rFonts w:asciiTheme="minorHAnsi" w:hAnsiTheme="minorHAnsi"/>
                <w:sz w:val="24"/>
                <w:szCs w:val="24"/>
              </w:rPr>
            </w:pPr>
            <w:r w:rsidRPr="004E6A97">
              <w:rPr>
                <w:rFonts w:asciiTheme="minorHAnsi" w:hAnsiTheme="minorHAnsi"/>
                <w:sz w:val="24"/>
                <w:szCs w:val="24"/>
              </w:rPr>
              <w:t xml:space="preserve">Prema </w:t>
            </w:r>
            <w:r w:rsidRPr="00DB1D74">
              <w:rPr>
                <w:rFonts w:asciiTheme="minorHAnsi" w:hAnsiTheme="minorHAnsi"/>
                <w:color w:val="C00000"/>
                <w:sz w:val="24"/>
                <w:szCs w:val="24"/>
              </w:rPr>
              <w:t>Minskyevom općem modelu razvoja financijskih kriza</w:t>
            </w:r>
            <w:r w:rsidR="001A42F8">
              <w:rPr>
                <w:rStyle w:val="Referencafusnote"/>
                <w:rFonts w:asciiTheme="minorHAnsi" w:hAnsiTheme="minorHAnsi"/>
                <w:color w:val="C00000"/>
                <w:sz w:val="24"/>
                <w:szCs w:val="24"/>
              </w:rPr>
              <w:footnoteReference w:id="101"/>
            </w:r>
            <w:r w:rsidRPr="004E6A97">
              <w:rPr>
                <w:rFonts w:asciiTheme="minorHAnsi" w:hAnsiTheme="minorHAnsi"/>
                <w:sz w:val="24"/>
                <w:szCs w:val="24"/>
              </w:rPr>
              <w:t xml:space="preserve">, </w:t>
            </w:r>
            <w:r>
              <w:rPr>
                <w:rFonts w:asciiTheme="minorHAnsi" w:hAnsiTheme="minorHAnsi"/>
                <w:sz w:val="24"/>
                <w:szCs w:val="24"/>
              </w:rPr>
              <w:t>p</w:t>
            </w:r>
            <w:r w:rsidRPr="004E6A97">
              <w:rPr>
                <w:rFonts w:asciiTheme="minorHAnsi" w:hAnsiTheme="minorHAnsi"/>
                <w:sz w:val="24"/>
                <w:szCs w:val="24"/>
              </w:rPr>
              <w:t>ojavi financijske krize tipično prethod</w:t>
            </w:r>
            <w:r w:rsidR="00BA6953">
              <w:rPr>
                <w:rFonts w:asciiTheme="minorHAnsi" w:hAnsiTheme="minorHAnsi"/>
                <w:sz w:val="24"/>
                <w:szCs w:val="24"/>
              </w:rPr>
              <w:t>i snažna</w:t>
            </w:r>
            <w:r w:rsidRPr="004E6A97">
              <w:rPr>
                <w:rFonts w:asciiTheme="minorHAnsi" w:hAnsiTheme="minorHAnsi"/>
                <w:sz w:val="24"/>
                <w:szCs w:val="24"/>
              </w:rPr>
              <w:t xml:space="preserve"> monetarna ekspanzija koje isprva „hran</w:t>
            </w:r>
            <w:r w:rsidR="00BA6953">
              <w:rPr>
                <w:rFonts w:asciiTheme="minorHAnsi" w:hAnsiTheme="minorHAnsi"/>
                <w:sz w:val="24"/>
                <w:szCs w:val="24"/>
              </w:rPr>
              <w:t>i</w:t>
            </w:r>
            <w:r w:rsidRPr="004E6A97">
              <w:rPr>
                <w:rFonts w:asciiTheme="minorHAnsi" w:hAnsiTheme="minorHAnsi"/>
                <w:sz w:val="24"/>
                <w:szCs w:val="24"/>
              </w:rPr>
              <w:t>“ gospodarski rast, dovodeći do povećanja cijena financijske imovine, što podupire višegodišnje sinkronizirano uzlazno kretanje u financijskom i poslovnom ciklusu. Međutim, nakon što se iscrpe mogućnosti snažnog ekonomskog rasta (odnosno mogućnosti ostvarivanja ekstra profita uz izlaganje većem stupnju rizika), započinje razdoblje kontrakcije u kojem se ovisno o inicijalnoj vrsti krize događaju različiti, veći ili manji negativni učinci na financijski sustav i realnu ekonomiju.</w:t>
            </w:r>
            <w:r w:rsidR="00BA6953">
              <w:rPr>
                <w:rFonts w:asciiTheme="minorHAnsi" w:hAnsiTheme="minorHAnsi"/>
                <w:sz w:val="24"/>
                <w:szCs w:val="24"/>
              </w:rPr>
              <w:t xml:space="preserve"> </w:t>
            </w:r>
            <w:r w:rsidR="00BA6953" w:rsidRPr="00BA6953">
              <w:rPr>
                <w:rFonts w:asciiTheme="minorHAnsi" w:hAnsiTheme="minorHAnsi"/>
                <w:sz w:val="24"/>
                <w:szCs w:val="24"/>
              </w:rPr>
              <w:t>Pucanje mjehura na financijskim tržištima tako je uglavnom povezano s početkom negativnih zbivanja u realnoj ekonomiji.</w:t>
            </w:r>
            <w:r w:rsidR="00E61E56">
              <w:rPr>
                <w:rFonts w:asciiTheme="minorHAnsi" w:hAnsiTheme="minorHAnsi"/>
                <w:sz w:val="24"/>
                <w:szCs w:val="24"/>
              </w:rPr>
              <w:t xml:space="preserve"> </w:t>
            </w:r>
          </w:p>
          <w:p w:rsidR="00E61E56" w:rsidRDefault="00E61E56" w:rsidP="00DB1D74">
            <w:pPr>
              <w:autoSpaceDE w:val="0"/>
              <w:autoSpaceDN w:val="0"/>
              <w:adjustRightInd w:val="0"/>
              <w:spacing w:after="120"/>
              <w:jc w:val="both"/>
              <w:rPr>
                <w:rFonts w:asciiTheme="minorHAnsi" w:hAnsiTheme="minorHAnsi"/>
                <w:sz w:val="24"/>
                <w:szCs w:val="24"/>
              </w:rPr>
            </w:pPr>
            <w:r w:rsidRPr="00DB1D74">
              <w:rPr>
                <w:rFonts w:asciiTheme="minorHAnsi" w:hAnsiTheme="minorHAnsi"/>
                <w:color w:val="C00000"/>
                <w:sz w:val="24"/>
                <w:szCs w:val="24"/>
              </w:rPr>
              <w:t>R.</w:t>
            </w:r>
            <w:r w:rsidR="003629EA">
              <w:rPr>
                <w:rFonts w:asciiTheme="minorHAnsi" w:hAnsiTheme="minorHAnsi"/>
                <w:color w:val="C00000"/>
                <w:sz w:val="24"/>
                <w:szCs w:val="24"/>
              </w:rPr>
              <w:t xml:space="preserve"> </w:t>
            </w:r>
            <w:r w:rsidRPr="00DB1D74">
              <w:rPr>
                <w:rFonts w:asciiTheme="minorHAnsi" w:hAnsiTheme="minorHAnsi"/>
                <w:color w:val="C00000"/>
                <w:sz w:val="24"/>
                <w:szCs w:val="24"/>
              </w:rPr>
              <w:t>J</w:t>
            </w:r>
            <w:r w:rsidR="003629EA">
              <w:rPr>
                <w:rFonts w:asciiTheme="minorHAnsi" w:hAnsiTheme="minorHAnsi"/>
                <w:color w:val="C00000"/>
                <w:sz w:val="24"/>
                <w:szCs w:val="24"/>
              </w:rPr>
              <w:t>.</w:t>
            </w:r>
            <w:r w:rsidRPr="00DB1D74">
              <w:rPr>
                <w:rFonts w:asciiTheme="minorHAnsi" w:hAnsiTheme="minorHAnsi"/>
                <w:color w:val="C00000"/>
                <w:sz w:val="24"/>
                <w:szCs w:val="24"/>
              </w:rPr>
              <w:t xml:space="preserve"> Shiller </w:t>
            </w:r>
            <w:r>
              <w:rPr>
                <w:rFonts w:asciiTheme="minorHAnsi" w:hAnsiTheme="minorHAnsi"/>
                <w:sz w:val="24"/>
                <w:szCs w:val="24"/>
              </w:rPr>
              <w:t xml:space="preserve">izdvaja nekoliko </w:t>
            </w:r>
            <w:r w:rsidRPr="00DB1D74">
              <w:rPr>
                <w:rFonts w:asciiTheme="minorHAnsi" w:hAnsiTheme="minorHAnsi"/>
                <w:color w:val="C00000"/>
                <w:sz w:val="24"/>
                <w:szCs w:val="24"/>
              </w:rPr>
              <w:t xml:space="preserve">indikatora stvaranja špekulativnih balona </w:t>
            </w:r>
            <w:r>
              <w:rPr>
                <w:rFonts w:asciiTheme="minorHAnsi" w:hAnsiTheme="minorHAnsi"/>
                <w:sz w:val="24"/>
                <w:szCs w:val="24"/>
              </w:rPr>
              <w:t>i dostizanja vrhunca na tržištu dionica. Prvi među njima je P/E omjer</w:t>
            </w:r>
            <w:r w:rsidR="00DB1D74">
              <w:rPr>
                <w:rFonts w:asciiTheme="minorHAnsi" w:hAnsiTheme="minorHAnsi"/>
                <w:sz w:val="24"/>
                <w:szCs w:val="24"/>
              </w:rPr>
              <w:t xml:space="preserve"> (o</w:t>
            </w:r>
            <w:r w:rsidR="00DB1D74" w:rsidRPr="00DB1D74">
              <w:rPr>
                <w:rFonts w:asciiTheme="minorHAnsi" w:hAnsiTheme="minorHAnsi"/>
                <w:sz w:val="24"/>
                <w:szCs w:val="24"/>
              </w:rPr>
              <w:t xml:space="preserve">mjer trenutne tržišne cijene dionice i neto zarade po dionici tijekom protekle poslovne godine) </w:t>
            </w:r>
            <w:r w:rsidR="00DB1D74">
              <w:rPr>
                <w:rFonts w:asciiTheme="minorHAnsi" w:hAnsiTheme="minorHAnsi"/>
                <w:sz w:val="24"/>
                <w:szCs w:val="24"/>
              </w:rPr>
              <w:t>za najviše trgovane dionice, odnosno sastavnice referentnih dioničkih indeksa</w:t>
            </w:r>
            <w:r>
              <w:rPr>
                <w:rFonts w:asciiTheme="minorHAnsi" w:hAnsiTheme="minorHAnsi"/>
                <w:sz w:val="24"/>
                <w:szCs w:val="24"/>
              </w:rPr>
              <w:t xml:space="preserve">. </w:t>
            </w:r>
            <w:r w:rsidR="0023681D" w:rsidRPr="00DB1D74">
              <w:rPr>
                <w:rFonts w:asciiTheme="minorHAnsi" w:hAnsiTheme="minorHAnsi"/>
                <w:sz w:val="24"/>
                <w:szCs w:val="24"/>
              </w:rPr>
              <w:t>U</w:t>
            </w:r>
            <w:r w:rsidRPr="00DB1D74">
              <w:rPr>
                <w:rFonts w:asciiTheme="minorHAnsi" w:hAnsiTheme="minorHAnsi"/>
                <w:sz w:val="24"/>
                <w:szCs w:val="24"/>
              </w:rPr>
              <w:t xml:space="preserve"> normalnim okolnostima u</w:t>
            </w:r>
            <w:r w:rsidR="0023681D" w:rsidRPr="00DB1D74">
              <w:rPr>
                <w:rFonts w:asciiTheme="minorHAnsi" w:hAnsiTheme="minorHAnsi"/>
                <w:sz w:val="24"/>
                <w:szCs w:val="24"/>
              </w:rPr>
              <w:t>koliko je pokazatelj P/E visok</w:t>
            </w:r>
            <w:r w:rsidRPr="00DB1D74">
              <w:rPr>
                <w:rFonts w:asciiTheme="minorHAnsi" w:hAnsiTheme="minorHAnsi"/>
                <w:sz w:val="24"/>
                <w:szCs w:val="24"/>
              </w:rPr>
              <w:t xml:space="preserve"> to znači da </w:t>
            </w:r>
            <w:r w:rsidR="0023681D" w:rsidRPr="00DB1D74">
              <w:rPr>
                <w:rFonts w:asciiTheme="minorHAnsi" w:hAnsiTheme="minorHAnsi"/>
                <w:sz w:val="24"/>
                <w:szCs w:val="24"/>
              </w:rPr>
              <w:t xml:space="preserve">tržišni sudionici očekuju značajno povećanje buduće poslovne aktivnosti tvrtke i povećanje zarade po dionici. </w:t>
            </w:r>
            <w:r w:rsidRPr="00DB1D74">
              <w:rPr>
                <w:rFonts w:asciiTheme="minorHAnsi" w:hAnsiTheme="minorHAnsi"/>
                <w:sz w:val="24"/>
                <w:szCs w:val="24"/>
              </w:rPr>
              <w:t xml:space="preserve">Međutim, kada P/E omjer dostigne ekstremno visoke ili ekstremno niske razine u odnosu na </w:t>
            </w:r>
            <w:r w:rsidR="00DB1D74" w:rsidRPr="00DB1D74">
              <w:rPr>
                <w:rFonts w:asciiTheme="minorHAnsi" w:hAnsiTheme="minorHAnsi"/>
                <w:sz w:val="24"/>
                <w:szCs w:val="24"/>
              </w:rPr>
              <w:t xml:space="preserve">dugoročni prosjek </w:t>
            </w:r>
            <w:r w:rsidRPr="00DB1D74">
              <w:rPr>
                <w:rFonts w:asciiTheme="minorHAnsi" w:hAnsiTheme="minorHAnsi"/>
                <w:sz w:val="24"/>
                <w:szCs w:val="24"/>
              </w:rPr>
              <w:t>događa se obrat na tržištu. Naime da bi se P</w:t>
            </w:r>
            <w:r w:rsidR="00DB1D74" w:rsidRPr="00DB1D74">
              <w:rPr>
                <w:rFonts w:asciiTheme="minorHAnsi" w:hAnsiTheme="minorHAnsi"/>
                <w:sz w:val="24"/>
                <w:szCs w:val="24"/>
              </w:rPr>
              <w:t>/</w:t>
            </w:r>
            <w:r w:rsidRPr="00DB1D74">
              <w:rPr>
                <w:rFonts w:asciiTheme="minorHAnsi" w:hAnsiTheme="minorHAnsi"/>
                <w:sz w:val="24"/>
                <w:szCs w:val="24"/>
              </w:rPr>
              <w:t xml:space="preserve">E omjer vratio na prosječnu razinu cijene moraju padati brže </w:t>
            </w:r>
            <w:r w:rsidRPr="00DB1D74">
              <w:rPr>
                <w:rFonts w:asciiTheme="minorHAnsi" w:hAnsiTheme="minorHAnsi"/>
                <w:sz w:val="24"/>
                <w:szCs w:val="24"/>
              </w:rPr>
              <w:lastRenderedPageBreak/>
              <w:t>nego zarade ili zarade moraju rasti brže nego cijene.</w:t>
            </w:r>
            <w:r w:rsidR="00DB1D74" w:rsidRPr="00DB1D74">
              <w:rPr>
                <w:rFonts w:asciiTheme="minorHAnsi" w:hAnsiTheme="minorHAnsi"/>
                <w:sz w:val="24"/>
                <w:szCs w:val="24"/>
              </w:rPr>
              <w:t xml:space="preserve"> Kao dodatne indikatore Shiller ističe vrlo visok indeks povjerenja potrošača koji dostiže vrhunac netom prije početka pucanja balona, a nadalje </w:t>
            </w:r>
            <w:r w:rsidR="00D239CB">
              <w:rPr>
                <w:rFonts w:asciiTheme="minorHAnsi" w:hAnsiTheme="minorHAnsi"/>
                <w:sz w:val="24"/>
                <w:szCs w:val="24"/>
              </w:rPr>
              <w:t>t</w:t>
            </w:r>
            <w:r w:rsidR="00DB1D74" w:rsidRPr="00DB1D74">
              <w:rPr>
                <w:rFonts w:asciiTheme="minorHAnsi" w:hAnsiTheme="minorHAnsi"/>
                <w:sz w:val="24"/>
                <w:szCs w:val="24"/>
              </w:rPr>
              <w:t>o su</w:t>
            </w:r>
            <w:r w:rsidR="00D239CB">
              <w:rPr>
                <w:rFonts w:asciiTheme="minorHAnsi" w:hAnsiTheme="minorHAnsi"/>
                <w:sz w:val="24"/>
                <w:szCs w:val="24"/>
              </w:rPr>
              <w:t>:</w:t>
            </w:r>
            <w:r w:rsidR="00DB1D74" w:rsidRPr="00DB1D74">
              <w:rPr>
                <w:rFonts w:asciiTheme="minorHAnsi" w:hAnsiTheme="minorHAnsi"/>
                <w:sz w:val="24"/>
                <w:szCs w:val="24"/>
              </w:rPr>
              <w:t xml:space="preserve"> izražen i rastući optimizam u predviđanjima analitičara, izražen i rastući optimizam javnosti, rastuće kamatne stope i brojnost financijskih novosti na dnevnoj razini, brojnost dionica poduzeća koje kotiraju na burzi, rastući volumen trgovanja i drugi.</w:t>
            </w:r>
          </w:p>
          <w:p w:rsidR="00DB1D74" w:rsidRPr="004E6A97" w:rsidRDefault="00DB1D74" w:rsidP="00DB1D74">
            <w:pPr>
              <w:autoSpaceDE w:val="0"/>
              <w:autoSpaceDN w:val="0"/>
              <w:adjustRightInd w:val="0"/>
              <w:spacing w:after="120"/>
              <w:jc w:val="both"/>
              <w:rPr>
                <w:rFonts w:asciiTheme="minorHAnsi" w:hAnsiTheme="minorHAnsi"/>
                <w:sz w:val="24"/>
                <w:szCs w:val="24"/>
              </w:rPr>
            </w:pPr>
            <w:r w:rsidRPr="00865866">
              <w:rPr>
                <w:rFonts w:asciiTheme="minorHAnsi" w:hAnsiTheme="minorHAnsi"/>
                <w:sz w:val="24"/>
                <w:szCs w:val="24"/>
              </w:rPr>
              <w:t xml:space="preserve">U odnosu na navedene autore, razvoj krize </w:t>
            </w:r>
            <w:r w:rsidRPr="001A42F8">
              <w:rPr>
                <w:rFonts w:asciiTheme="minorHAnsi" w:hAnsiTheme="minorHAnsi"/>
                <w:color w:val="C00000"/>
                <w:sz w:val="24"/>
                <w:szCs w:val="24"/>
              </w:rPr>
              <w:t>F</w:t>
            </w:r>
            <w:r w:rsidRPr="003629EA">
              <w:rPr>
                <w:rFonts w:asciiTheme="minorHAnsi" w:hAnsiTheme="minorHAnsi"/>
                <w:color w:val="C00000"/>
                <w:sz w:val="24"/>
                <w:szCs w:val="24"/>
              </w:rPr>
              <w:t>.</w:t>
            </w:r>
            <w:r w:rsidR="003629EA" w:rsidRPr="003629EA">
              <w:rPr>
                <w:rFonts w:asciiTheme="minorHAnsi" w:hAnsiTheme="minorHAnsi"/>
                <w:color w:val="C00000"/>
                <w:sz w:val="24"/>
                <w:szCs w:val="24"/>
              </w:rPr>
              <w:t xml:space="preserve"> </w:t>
            </w:r>
            <w:r w:rsidRPr="003629EA">
              <w:rPr>
                <w:rFonts w:asciiTheme="minorHAnsi" w:hAnsiTheme="minorHAnsi"/>
                <w:color w:val="C00000"/>
                <w:sz w:val="24"/>
                <w:szCs w:val="24"/>
              </w:rPr>
              <w:t xml:space="preserve">S. Mishkin </w:t>
            </w:r>
            <w:r w:rsidRPr="00865866">
              <w:rPr>
                <w:rFonts w:asciiTheme="minorHAnsi" w:hAnsiTheme="minorHAnsi"/>
                <w:sz w:val="24"/>
                <w:szCs w:val="24"/>
              </w:rPr>
              <w:t xml:space="preserve">objašnjava problemom </w:t>
            </w:r>
            <w:r w:rsidRPr="00865866">
              <w:rPr>
                <w:rFonts w:asciiTheme="minorHAnsi" w:hAnsiTheme="minorHAnsi"/>
                <w:color w:val="C00000"/>
                <w:sz w:val="24"/>
                <w:szCs w:val="24"/>
              </w:rPr>
              <w:t>asimetričnih informacija, moralnog hazarda i negativne selekcije</w:t>
            </w:r>
            <w:r w:rsidRPr="00865866">
              <w:rPr>
                <w:rFonts w:asciiTheme="minorHAnsi" w:hAnsiTheme="minorHAnsi"/>
                <w:sz w:val="24"/>
                <w:szCs w:val="24"/>
              </w:rPr>
              <w:t xml:space="preserve"> u godinama stvaranja povećanih osjetljivosti na krizu, a zbog kojih financijska tržišta nisu u stanju efikasno kanalizirati sredstva onima s najproduktivn</w:t>
            </w:r>
            <w:r w:rsidR="00865866" w:rsidRPr="00865866">
              <w:rPr>
                <w:rFonts w:asciiTheme="minorHAnsi" w:hAnsiTheme="minorHAnsi"/>
                <w:sz w:val="24"/>
                <w:szCs w:val="24"/>
              </w:rPr>
              <w:t>ijim mogućnostima investiranja.</w:t>
            </w:r>
          </w:p>
        </w:tc>
      </w:tr>
    </w:tbl>
    <w:p w:rsidR="001B1136" w:rsidRPr="006676A1" w:rsidRDefault="001B1136" w:rsidP="0011236A">
      <w:pPr>
        <w:autoSpaceDE w:val="0"/>
        <w:autoSpaceDN w:val="0"/>
        <w:adjustRightInd w:val="0"/>
        <w:spacing w:before="240"/>
        <w:jc w:val="both"/>
        <w:rPr>
          <w:i/>
          <w:sz w:val="24"/>
          <w:szCs w:val="24"/>
        </w:rPr>
      </w:pPr>
      <w:r>
        <w:rPr>
          <w:sz w:val="24"/>
          <w:szCs w:val="24"/>
        </w:rPr>
        <w:lastRenderedPageBreak/>
        <w:t xml:space="preserve">Cijene dionica </w:t>
      </w:r>
      <w:r w:rsidR="00BA6953">
        <w:rPr>
          <w:sz w:val="24"/>
          <w:szCs w:val="24"/>
        </w:rPr>
        <w:t xml:space="preserve">obično </w:t>
      </w:r>
      <w:r>
        <w:rPr>
          <w:sz w:val="24"/>
          <w:szCs w:val="24"/>
        </w:rPr>
        <w:t>bilježe rast u</w:t>
      </w:r>
      <w:r w:rsidR="006676A1">
        <w:rPr>
          <w:sz w:val="24"/>
          <w:szCs w:val="24"/>
        </w:rPr>
        <w:t xml:space="preserve"> razdobljima</w:t>
      </w:r>
      <w:r w:rsidR="00682074">
        <w:rPr>
          <w:sz w:val="24"/>
          <w:szCs w:val="24"/>
        </w:rPr>
        <w:t xml:space="preserve"> </w:t>
      </w:r>
      <w:r w:rsidR="006676A1">
        <w:rPr>
          <w:sz w:val="24"/>
          <w:szCs w:val="24"/>
        </w:rPr>
        <w:t xml:space="preserve">(neposredno prije) </w:t>
      </w:r>
      <w:r w:rsidR="00682074">
        <w:rPr>
          <w:sz w:val="24"/>
          <w:szCs w:val="24"/>
        </w:rPr>
        <w:t xml:space="preserve">početka </w:t>
      </w:r>
      <w:r w:rsidR="006676A1">
        <w:rPr>
          <w:sz w:val="24"/>
          <w:szCs w:val="24"/>
        </w:rPr>
        <w:t xml:space="preserve">ekonomske ekspanzije </w:t>
      </w:r>
      <w:r w:rsidR="00682074">
        <w:rPr>
          <w:sz w:val="24"/>
          <w:szCs w:val="24"/>
        </w:rPr>
        <w:t xml:space="preserve">i </w:t>
      </w:r>
      <w:r w:rsidR="006676A1">
        <w:rPr>
          <w:sz w:val="24"/>
          <w:szCs w:val="24"/>
        </w:rPr>
        <w:t xml:space="preserve">tijekom prvih godina </w:t>
      </w:r>
      <w:r w:rsidR="00682074">
        <w:rPr>
          <w:sz w:val="24"/>
          <w:szCs w:val="24"/>
        </w:rPr>
        <w:t xml:space="preserve">trajanja ekonomske ekspanzije </w:t>
      </w:r>
      <w:r w:rsidR="00F709D4">
        <w:rPr>
          <w:sz w:val="24"/>
          <w:szCs w:val="24"/>
        </w:rPr>
        <w:t>(</w:t>
      </w:r>
      <w:r w:rsidR="006676A1">
        <w:rPr>
          <w:sz w:val="24"/>
          <w:szCs w:val="24"/>
        </w:rPr>
        <w:t xml:space="preserve">faze </w:t>
      </w:r>
      <w:r w:rsidR="00F709D4">
        <w:rPr>
          <w:sz w:val="24"/>
          <w:szCs w:val="24"/>
        </w:rPr>
        <w:t>uzleta u poslovnom ciklusu)</w:t>
      </w:r>
      <w:r>
        <w:rPr>
          <w:sz w:val="24"/>
          <w:szCs w:val="24"/>
        </w:rPr>
        <w:t>,</w:t>
      </w:r>
      <w:r w:rsidR="00F709D4">
        <w:rPr>
          <w:sz w:val="24"/>
          <w:szCs w:val="24"/>
        </w:rPr>
        <w:t xml:space="preserve"> </w:t>
      </w:r>
      <w:r w:rsidR="006676A1">
        <w:rPr>
          <w:sz w:val="24"/>
          <w:szCs w:val="24"/>
        </w:rPr>
        <w:t xml:space="preserve">odnosno uvjetima koji su </w:t>
      </w:r>
      <w:r w:rsidR="00682074">
        <w:rPr>
          <w:sz w:val="24"/>
          <w:szCs w:val="24"/>
        </w:rPr>
        <w:t>popraćen</w:t>
      </w:r>
      <w:r w:rsidR="006676A1">
        <w:rPr>
          <w:sz w:val="24"/>
          <w:szCs w:val="24"/>
        </w:rPr>
        <w:t>i</w:t>
      </w:r>
      <w:r w:rsidR="00682074">
        <w:rPr>
          <w:sz w:val="24"/>
          <w:szCs w:val="24"/>
        </w:rPr>
        <w:t xml:space="preserve"> monetarno-kreditnom relaksacijom i nižim kamatnjacima</w:t>
      </w:r>
      <w:r>
        <w:rPr>
          <w:sz w:val="24"/>
          <w:szCs w:val="24"/>
        </w:rPr>
        <w:t>. T</w:t>
      </w:r>
      <w:r w:rsidR="006676A1">
        <w:rPr>
          <w:sz w:val="24"/>
          <w:szCs w:val="24"/>
        </w:rPr>
        <w:t>ijekom ekspanzije t</w:t>
      </w:r>
      <w:r w:rsidR="00682074">
        <w:rPr>
          <w:sz w:val="24"/>
          <w:szCs w:val="24"/>
        </w:rPr>
        <w:t xml:space="preserve">ome </w:t>
      </w:r>
      <w:r>
        <w:rPr>
          <w:sz w:val="24"/>
          <w:szCs w:val="24"/>
        </w:rPr>
        <w:t xml:space="preserve">dodatno </w:t>
      </w:r>
      <w:r w:rsidR="00682074">
        <w:rPr>
          <w:sz w:val="24"/>
          <w:szCs w:val="24"/>
        </w:rPr>
        <w:t>pridonosi i učestalija praksa korištenja financijske poluge/ zaduživanja kao izvora financiranja novih investicija u financijsku i realnu ekonomiju</w:t>
      </w:r>
      <w:r w:rsidR="00BA6953">
        <w:rPr>
          <w:sz w:val="24"/>
          <w:szCs w:val="24"/>
        </w:rPr>
        <w:t xml:space="preserve"> (te razvoj tržišta izvedenica)</w:t>
      </w:r>
      <w:r w:rsidR="00682074">
        <w:rPr>
          <w:sz w:val="24"/>
          <w:szCs w:val="24"/>
        </w:rPr>
        <w:t xml:space="preserve">. Međutim, svaki rast dostiže svoj vrhunac, </w:t>
      </w:r>
      <w:r w:rsidR="00682074" w:rsidRPr="001B1136">
        <w:rPr>
          <w:i/>
          <w:sz w:val="24"/>
          <w:szCs w:val="24"/>
        </w:rPr>
        <w:t>„nakon kojeg cijene dionica nemaju kamo ići nego dolje“</w:t>
      </w:r>
      <w:r w:rsidR="00682074">
        <w:rPr>
          <w:sz w:val="24"/>
          <w:szCs w:val="24"/>
        </w:rPr>
        <w:t>, na niže razine tržišnih cijena</w:t>
      </w:r>
      <w:r w:rsidR="00F709D4">
        <w:rPr>
          <w:sz w:val="24"/>
          <w:szCs w:val="24"/>
        </w:rPr>
        <w:t>. Tome vrlo često prethodi postupno „zatezanje“ monetarnih okvira</w:t>
      </w:r>
      <w:r w:rsidR="00700557">
        <w:rPr>
          <w:sz w:val="24"/>
          <w:szCs w:val="24"/>
        </w:rPr>
        <w:t xml:space="preserve"> (restriktivna monetarna politika)</w:t>
      </w:r>
      <w:r w:rsidR="00BA6953">
        <w:rPr>
          <w:sz w:val="24"/>
          <w:szCs w:val="24"/>
        </w:rPr>
        <w:t>, pad likvidnosti (dostupnosti novca)</w:t>
      </w:r>
      <w:r w:rsidR="00F709D4">
        <w:rPr>
          <w:sz w:val="24"/>
          <w:szCs w:val="24"/>
        </w:rPr>
        <w:t xml:space="preserve"> i rast kamatnih stopa koji nepovoljno djeluj</w:t>
      </w:r>
      <w:r w:rsidR="00BA6953">
        <w:rPr>
          <w:sz w:val="24"/>
          <w:szCs w:val="24"/>
        </w:rPr>
        <w:t>u</w:t>
      </w:r>
      <w:r w:rsidR="00F709D4">
        <w:rPr>
          <w:sz w:val="24"/>
          <w:szCs w:val="24"/>
        </w:rPr>
        <w:t xml:space="preserve"> na investicije i potrošn</w:t>
      </w:r>
      <w:r w:rsidR="00BA6953">
        <w:rPr>
          <w:sz w:val="24"/>
          <w:szCs w:val="24"/>
        </w:rPr>
        <w:t xml:space="preserve">ju u realnoj sferi gospodarstva </w:t>
      </w:r>
      <w:r w:rsidR="00F709D4">
        <w:rPr>
          <w:sz w:val="24"/>
          <w:szCs w:val="24"/>
        </w:rPr>
        <w:t xml:space="preserve">s posljedičnim učincima </w:t>
      </w:r>
      <w:r>
        <w:rPr>
          <w:sz w:val="24"/>
          <w:szCs w:val="24"/>
        </w:rPr>
        <w:t xml:space="preserve">(ali i vremenskim pomakom) </w:t>
      </w:r>
      <w:r w:rsidR="00F709D4">
        <w:rPr>
          <w:sz w:val="24"/>
          <w:szCs w:val="24"/>
        </w:rPr>
        <w:t>na negativna očekivanja na tržištu dionica</w:t>
      </w:r>
      <w:r w:rsidR="00682074">
        <w:rPr>
          <w:sz w:val="24"/>
          <w:szCs w:val="24"/>
        </w:rPr>
        <w:t xml:space="preserve">. Na sličan način, </w:t>
      </w:r>
      <w:r w:rsidR="00682074" w:rsidRPr="007174BD">
        <w:rPr>
          <w:color w:val="C00000"/>
          <w:sz w:val="24"/>
          <w:szCs w:val="24"/>
        </w:rPr>
        <w:t>svaka kriza dostiže dno otvarajući prostor za vraćanje povjerenja, nove investicije,</w:t>
      </w:r>
      <w:r w:rsidR="00682074">
        <w:rPr>
          <w:sz w:val="24"/>
          <w:szCs w:val="24"/>
        </w:rPr>
        <w:t xml:space="preserve"> poboljšanje fundamenata poslovanja poduzeća </w:t>
      </w:r>
      <w:r w:rsidR="0038507F">
        <w:rPr>
          <w:sz w:val="24"/>
          <w:szCs w:val="24"/>
        </w:rPr>
        <w:t>te</w:t>
      </w:r>
      <w:r w:rsidR="00682074">
        <w:rPr>
          <w:sz w:val="24"/>
          <w:szCs w:val="24"/>
        </w:rPr>
        <w:t xml:space="preserve"> makroekonomsk</w:t>
      </w:r>
      <w:r w:rsidR="0038507F">
        <w:rPr>
          <w:sz w:val="24"/>
          <w:szCs w:val="24"/>
        </w:rPr>
        <w:t>i</w:t>
      </w:r>
      <w:r w:rsidR="00682074">
        <w:rPr>
          <w:sz w:val="24"/>
          <w:szCs w:val="24"/>
        </w:rPr>
        <w:t xml:space="preserve"> rast mjerenom stopama promjene BDP-a </w:t>
      </w:r>
      <w:r w:rsidR="0038507F">
        <w:rPr>
          <w:sz w:val="24"/>
          <w:szCs w:val="24"/>
        </w:rPr>
        <w:t xml:space="preserve">- </w:t>
      </w:r>
      <w:r w:rsidR="00682074">
        <w:rPr>
          <w:sz w:val="24"/>
          <w:szCs w:val="24"/>
        </w:rPr>
        <w:t>što pogoduje rastu cijena, likvidnosti i volumena trgovanja na tržištu dionica.</w:t>
      </w:r>
      <w:r w:rsidR="00B514EA">
        <w:rPr>
          <w:sz w:val="24"/>
          <w:szCs w:val="24"/>
        </w:rPr>
        <w:t xml:space="preserve"> </w:t>
      </w:r>
      <w:r w:rsidR="006676A1">
        <w:rPr>
          <w:sz w:val="24"/>
          <w:szCs w:val="24"/>
        </w:rPr>
        <w:t xml:space="preserve">Iz </w:t>
      </w:r>
      <w:r w:rsidR="00700557">
        <w:rPr>
          <w:sz w:val="24"/>
          <w:szCs w:val="24"/>
        </w:rPr>
        <w:t xml:space="preserve">opisanog </w:t>
      </w:r>
      <w:r w:rsidR="006676A1">
        <w:rPr>
          <w:sz w:val="24"/>
          <w:szCs w:val="24"/>
        </w:rPr>
        <w:t xml:space="preserve">je izvedeno </w:t>
      </w:r>
      <w:r w:rsidR="00CA1938">
        <w:rPr>
          <w:sz w:val="24"/>
          <w:szCs w:val="24"/>
        </w:rPr>
        <w:t xml:space="preserve">često korišteno investicijsko </w:t>
      </w:r>
      <w:r w:rsidR="006676A1">
        <w:rPr>
          <w:sz w:val="24"/>
          <w:szCs w:val="24"/>
        </w:rPr>
        <w:t xml:space="preserve">pravilo prema kojem bi </w:t>
      </w:r>
      <w:r w:rsidR="006676A1" w:rsidRPr="006676A1">
        <w:rPr>
          <w:i/>
          <w:sz w:val="24"/>
          <w:szCs w:val="24"/>
        </w:rPr>
        <w:t>„dionice trebalo držati u vlasništvu od kraja recesije do početka inflacije“.</w:t>
      </w:r>
    </w:p>
    <w:p w:rsidR="00700557" w:rsidRDefault="001B1136" w:rsidP="003D0E79">
      <w:pPr>
        <w:autoSpaceDE w:val="0"/>
        <w:autoSpaceDN w:val="0"/>
        <w:adjustRightInd w:val="0"/>
        <w:jc w:val="both"/>
        <w:rPr>
          <w:sz w:val="24"/>
          <w:szCs w:val="24"/>
        </w:rPr>
      </w:pPr>
      <w:r>
        <w:rPr>
          <w:sz w:val="24"/>
          <w:szCs w:val="24"/>
        </w:rPr>
        <w:t>I</w:t>
      </w:r>
      <w:r w:rsidR="00B514EA">
        <w:rPr>
          <w:sz w:val="24"/>
          <w:szCs w:val="24"/>
        </w:rPr>
        <w:t xml:space="preserve">ako navedeno generalno vrijedi s aspekta </w:t>
      </w:r>
      <w:r w:rsidR="00B514EA" w:rsidRPr="006676A1">
        <w:rPr>
          <w:color w:val="C00000"/>
          <w:sz w:val="24"/>
          <w:szCs w:val="24"/>
        </w:rPr>
        <w:t xml:space="preserve">prevladavajućeg trenda optimizma ili pesimizma </w:t>
      </w:r>
      <w:r w:rsidR="00B514EA">
        <w:rPr>
          <w:sz w:val="24"/>
          <w:szCs w:val="24"/>
        </w:rPr>
        <w:t>na tržištu</w:t>
      </w:r>
      <w:r w:rsidR="00E46D06">
        <w:rPr>
          <w:sz w:val="24"/>
          <w:szCs w:val="24"/>
        </w:rPr>
        <w:t xml:space="preserve"> -</w:t>
      </w:r>
      <w:r w:rsidR="00B514EA">
        <w:rPr>
          <w:sz w:val="24"/>
          <w:szCs w:val="24"/>
        </w:rPr>
        <w:t xml:space="preserve"> </w:t>
      </w:r>
      <w:r>
        <w:rPr>
          <w:sz w:val="24"/>
          <w:szCs w:val="24"/>
        </w:rPr>
        <w:t>jer se</w:t>
      </w:r>
      <w:r w:rsidR="00B514EA">
        <w:rPr>
          <w:sz w:val="24"/>
          <w:szCs w:val="24"/>
        </w:rPr>
        <w:t xml:space="preserve"> cijene dionica </w:t>
      </w:r>
      <w:r>
        <w:rPr>
          <w:sz w:val="24"/>
          <w:szCs w:val="24"/>
        </w:rPr>
        <w:t xml:space="preserve">u brojnim sektorima </w:t>
      </w:r>
      <w:r w:rsidR="00E46D06">
        <w:rPr>
          <w:sz w:val="24"/>
          <w:szCs w:val="24"/>
        </w:rPr>
        <w:t xml:space="preserve">(djelatnostima) </w:t>
      </w:r>
      <w:r w:rsidR="00B514EA">
        <w:rPr>
          <w:sz w:val="24"/>
          <w:szCs w:val="24"/>
        </w:rPr>
        <w:t>kreću ciklički</w:t>
      </w:r>
      <w:r>
        <w:rPr>
          <w:sz w:val="24"/>
          <w:szCs w:val="24"/>
        </w:rPr>
        <w:t xml:space="preserve"> odnosno u smjeru prevladavajuće faze poslovnog (ekonomskog) ciklusa</w:t>
      </w:r>
      <w:r w:rsidR="00B514EA">
        <w:rPr>
          <w:sz w:val="24"/>
          <w:szCs w:val="24"/>
        </w:rPr>
        <w:t>, postoje i dionice ko</w:t>
      </w:r>
      <w:r>
        <w:rPr>
          <w:sz w:val="24"/>
          <w:szCs w:val="24"/>
        </w:rPr>
        <w:t>d</w:t>
      </w:r>
      <w:r w:rsidR="00E46D06">
        <w:rPr>
          <w:sz w:val="24"/>
          <w:szCs w:val="24"/>
        </w:rPr>
        <w:t xml:space="preserve"> kojih to nije slučaj. </w:t>
      </w:r>
      <w:r w:rsidR="00700557">
        <w:rPr>
          <w:sz w:val="24"/>
          <w:szCs w:val="24"/>
        </w:rPr>
        <w:t xml:space="preserve">Stoga treba praviti razliku između cikličkih i ne-cikličkih dionica. </w:t>
      </w:r>
    </w:p>
    <w:p w:rsidR="00637293" w:rsidRPr="00700557" w:rsidRDefault="00E46D06" w:rsidP="0009271B">
      <w:pPr>
        <w:pStyle w:val="Odlomakpopisa"/>
        <w:numPr>
          <w:ilvl w:val="0"/>
          <w:numId w:val="117"/>
        </w:numPr>
        <w:autoSpaceDE w:val="0"/>
        <w:autoSpaceDN w:val="0"/>
        <w:adjustRightInd w:val="0"/>
        <w:jc w:val="both"/>
        <w:rPr>
          <w:sz w:val="24"/>
          <w:szCs w:val="24"/>
        </w:rPr>
      </w:pPr>
      <w:r w:rsidRPr="00700557">
        <w:rPr>
          <w:color w:val="C00000"/>
          <w:sz w:val="24"/>
          <w:szCs w:val="24"/>
        </w:rPr>
        <w:t xml:space="preserve">Cikličke dionice </w:t>
      </w:r>
      <w:r w:rsidRPr="00700557">
        <w:rPr>
          <w:sz w:val="24"/>
          <w:szCs w:val="24"/>
        </w:rPr>
        <w:t xml:space="preserve">uključuju dionice djelatnosti koje u većoj mjeri pogađaju nepovoljna makroekonomska kretanja (razvoj recesije). Navedeno </w:t>
      </w:r>
      <w:r w:rsidR="00E4069C" w:rsidRPr="00700557">
        <w:rPr>
          <w:sz w:val="24"/>
          <w:szCs w:val="24"/>
        </w:rPr>
        <w:t xml:space="preserve">tipično </w:t>
      </w:r>
      <w:r w:rsidRPr="00700557">
        <w:rPr>
          <w:sz w:val="24"/>
          <w:szCs w:val="24"/>
        </w:rPr>
        <w:t xml:space="preserve">uključuje dionice građevinskih poduzeća, proizvođača automobila i bijele tehnike, </w:t>
      </w:r>
      <w:r w:rsidR="00E4069C" w:rsidRPr="00700557">
        <w:rPr>
          <w:sz w:val="24"/>
          <w:szCs w:val="24"/>
        </w:rPr>
        <w:t>poduzeća u turističkoj</w:t>
      </w:r>
      <w:r w:rsidRPr="00700557">
        <w:rPr>
          <w:sz w:val="24"/>
          <w:szCs w:val="24"/>
        </w:rPr>
        <w:t xml:space="preserve"> aktivnost</w:t>
      </w:r>
      <w:r w:rsidR="00E4069C" w:rsidRPr="00700557">
        <w:rPr>
          <w:sz w:val="24"/>
          <w:szCs w:val="24"/>
        </w:rPr>
        <w:t>i</w:t>
      </w:r>
      <w:r w:rsidRPr="00700557">
        <w:rPr>
          <w:sz w:val="24"/>
          <w:szCs w:val="24"/>
        </w:rPr>
        <w:t xml:space="preserve"> vezan</w:t>
      </w:r>
      <w:r w:rsidR="00E4069C" w:rsidRPr="00700557">
        <w:rPr>
          <w:sz w:val="24"/>
          <w:szCs w:val="24"/>
        </w:rPr>
        <w:t>oj</w:t>
      </w:r>
      <w:r w:rsidRPr="00700557">
        <w:rPr>
          <w:sz w:val="24"/>
          <w:szCs w:val="24"/>
        </w:rPr>
        <w:t xml:space="preserve"> uz </w:t>
      </w:r>
      <w:r w:rsidR="00E4069C" w:rsidRPr="00700557">
        <w:rPr>
          <w:sz w:val="24"/>
          <w:szCs w:val="24"/>
        </w:rPr>
        <w:t xml:space="preserve">usluge smještaja i pripreme hrane, dionice avioprijevoznika, brodara, pomorskih i riječnih luka, čeličane itd., odnosno dionice poslovnih subjekata koji tijekom godina recesije </w:t>
      </w:r>
      <w:r w:rsidR="007B30CD">
        <w:rPr>
          <w:sz w:val="24"/>
          <w:szCs w:val="24"/>
        </w:rPr>
        <w:t xml:space="preserve">bilježe </w:t>
      </w:r>
      <w:r w:rsidR="00E4069C" w:rsidRPr="00700557">
        <w:rPr>
          <w:sz w:val="24"/>
          <w:szCs w:val="24"/>
        </w:rPr>
        <w:t xml:space="preserve">značajan pad (domaće i/ili inozemne) potražnje, odnosno pad narudžbi i prodaje te posljedično </w:t>
      </w:r>
      <w:r w:rsidR="007B30CD">
        <w:rPr>
          <w:sz w:val="24"/>
          <w:szCs w:val="24"/>
        </w:rPr>
        <w:t xml:space="preserve">bilježe pad prihoda, </w:t>
      </w:r>
      <w:r w:rsidR="00E4069C" w:rsidRPr="00700557">
        <w:rPr>
          <w:sz w:val="24"/>
          <w:szCs w:val="24"/>
        </w:rPr>
        <w:t xml:space="preserve">smanjuju ulaganja i </w:t>
      </w:r>
      <w:r w:rsidR="007B30CD">
        <w:rPr>
          <w:sz w:val="24"/>
          <w:szCs w:val="24"/>
        </w:rPr>
        <w:t>ostvaruju</w:t>
      </w:r>
      <w:r w:rsidR="00E4069C" w:rsidRPr="00700557">
        <w:rPr>
          <w:sz w:val="24"/>
          <w:szCs w:val="24"/>
        </w:rPr>
        <w:t xml:space="preserve"> lošije poslovne rezultate. Cikličke dionice </w:t>
      </w:r>
      <w:r w:rsidR="00E4069C" w:rsidRPr="00700557">
        <w:rPr>
          <w:sz w:val="24"/>
          <w:szCs w:val="24"/>
        </w:rPr>
        <w:lastRenderedPageBreak/>
        <w:t>ponekad se nazivaju i agresivne dionice, jer „pobjeđuju“ tržište u uvjetima kada se očekuje ekonomski rast.</w:t>
      </w:r>
      <w:r w:rsidR="006676A1" w:rsidRPr="00700557">
        <w:rPr>
          <w:rStyle w:val="Referencafusnote"/>
          <w:sz w:val="24"/>
          <w:szCs w:val="24"/>
        </w:rPr>
        <w:t xml:space="preserve"> </w:t>
      </w:r>
      <w:r w:rsidR="006676A1">
        <w:rPr>
          <w:rStyle w:val="Referencafusnote"/>
          <w:sz w:val="24"/>
          <w:szCs w:val="24"/>
        </w:rPr>
        <w:footnoteReference w:id="102"/>
      </w:r>
      <w:r w:rsidR="00E4069C" w:rsidRPr="00700557">
        <w:rPr>
          <w:sz w:val="24"/>
          <w:szCs w:val="24"/>
        </w:rPr>
        <w:t xml:space="preserve"> </w:t>
      </w:r>
    </w:p>
    <w:p w:rsidR="00AD3DC4" w:rsidRPr="00865866" w:rsidRDefault="00E4069C" w:rsidP="0009271B">
      <w:pPr>
        <w:pStyle w:val="Odlomakpopisa"/>
        <w:numPr>
          <w:ilvl w:val="0"/>
          <w:numId w:val="117"/>
        </w:numPr>
        <w:autoSpaceDE w:val="0"/>
        <w:autoSpaceDN w:val="0"/>
        <w:adjustRightInd w:val="0"/>
        <w:jc w:val="both"/>
        <w:rPr>
          <w:sz w:val="24"/>
          <w:szCs w:val="24"/>
        </w:rPr>
      </w:pPr>
      <w:r w:rsidRPr="00700557">
        <w:rPr>
          <w:sz w:val="24"/>
          <w:szCs w:val="24"/>
        </w:rPr>
        <w:t xml:space="preserve">Nasuprot njih postoje </w:t>
      </w:r>
      <w:r w:rsidR="00E46D06" w:rsidRPr="00700557">
        <w:rPr>
          <w:color w:val="C00000"/>
          <w:sz w:val="24"/>
          <w:szCs w:val="24"/>
        </w:rPr>
        <w:t>defenzivne dionice</w:t>
      </w:r>
      <w:r w:rsidRPr="00700557">
        <w:rPr>
          <w:color w:val="C00000"/>
          <w:sz w:val="24"/>
          <w:szCs w:val="24"/>
        </w:rPr>
        <w:t xml:space="preserve"> </w:t>
      </w:r>
      <w:r w:rsidRPr="00700557">
        <w:rPr>
          <w:sz w:val="24"/>
          <w:szCs w:val="24"/>
        </w:rPr>
        <w:t>(ili obrambene</w:t>
      </w:r>
      <w:r w:rsidR="006676A1" w:rsidRPr="00700557">
        <w:rPr>
          <w:sz w:val="24"/>
          <w:szCs w:val="24"/>
        </w:rPr>
        <w:t>, odnosno ne-cikličke</w:t>
      </w:r>
      <w:r w:rsidRPr="00700557">
        <w:rPr>
          <w:sz w:val="24"/>
          <w:szCs w:val="24"/>
        </w:rPr>
        <w:t xml:space="preserve"> dionice), a </w:t>
      </w:r>
      <w:r w:rsidR="00E46D06" w:rsidRPr="00700557">
        <w:rPr>
          <w:sz w:val="24"/>
          <w:szCs w:val="24"/>
        </w:rPr>
        <w:t>vežu uz djelatnosti koje su u manjoj mjeri osje</w:t>
      </w:r>
      <w:r w:rsidRPr="00700557">
        <w:rPr>
          <w:sz w:val="24"/>
          <w:szCs w:val="24"/>
        </w:rPr>
        <w:t xml:space="preserve">tljive na gospodarska kretanja te stoga ostvaruju bolje performanse na tržištu </w:t>
      </w:r>
      <w:r w:rsidR="00637293" w:rsidRPr="00700557">
        <w:rPr>
          <w:sz w:val="24"/>
          <w:szCs w:val="24"/>
        </w:rPr>
        <w:t xml:space="preserve">(ili nisu pod značajnim utjecajem cikličkih kretanja) </w:t>
      </w:r>
      <w:r w:rsidRPr="00700557">
        <w:rPr>
          <w:sz w:val="24"/>
          <w:szCs w:val="24"/>
        </w:rPr>
        <w:t xml:space="preserve">u uvjetima kada se očekuje usporavanje ekonomske </w:t>
      </w:r>
      <w:r w:rsidR="00637293" w:rsidRPr="00700557">
        <w:rPr>
          <w:sz w:val="24"/>
          <w:szCs w:val="24"/>
        </w:rPr>
        <w:t>aktivnosti. Navedeno uključuje dionice poduzeća koja proizvode robe ili pružaju usluge za kojima uvijek postoji potražnja uključujući hranu, lijekove, električnu energiju, plin, vodu, sredstva za održavanje osnovne osobne higijene itd., odnosno dobra i usluge koja nisu vezana uz luksuznu nego osnovnu i neophodnu potrošnju.</w:t>
      </w:r>
      <w:r w:rsidR="00CA1938" w:rsidRPr="00700557">
        <w:rPr>
          <w:sz w:val="24"/>
          <w:szCs w:val="24"/>
        </w:rPr>
        <w:t xml:space="preserve"> (Napomena: Iako su navedena kretanja već mnogo put potvrđena u dosadašnjoj praksi, u budućnosti su uvijek moguća iznenađenja pa slijeđenje teoretskih principa nije garancija ostvarivanja povrata ili sprječavanja gubitaka. Tim više što </w:t>
      </w:r>
      <w:r w:rsidR="007768F1" w:rsidRPr="00700557">
        <w:rPr>
          <w:sz w:val="24"/>
          <w:szCs w:val="24"/>
        </w:rPr>
        <w:t xml:space="preserve">strategije ulaganja </w:t>
      </w:r>
      <w:r w:rsidR="00CA1938" w:rsidRPr="00700557">
        <w:rPr>
          <w:sz w:val="24"/>
          <w:szCs w:val="24"/>
        </w:rPr>
        <w:t>koj</w:t>
      </w:r>
      <w:r w:rsidR="007768F1" w:rsidRPr="00700557">
        <w:rPr>
          <w:sz w:val="24"/>
          <w:szCs w:val="24"/>
        </w:rPr>
        <w:t>e</w:t>
      </w:r>
      <w:r w:rsidR="00CA1938" w:rsidRPr="00700557">
        <w:rPr>
          <w:sz w:val="24"/>
          <w:szCs w:val="24"/>
        </w:rPr>
        <w:t xml:space="preserve"> </w:t>
      </w:r>
      <w:r w:rsidR="007768F1" w:rsidRPr="00700557">
        <w:rPr>
          <w:sz w:val="24"/>
          <w:szCs w:val="24"/>
        </w:rPr>
        <w:t xml:space="preserve">postanu opće poznate, </w:t>
      </w:r>
      <w:r w:rsidR="00CA1938" w:rsidRPr="00700557">
        <w:rPr>
          <w:sz w:val="24"/>
          <w:szCs w:val="24"/>
        </w:rPr>
        <w:t>motiviraju brojne investitore da se ponašaju na određeni način</w:t>
      </w:r>
      <w:r w:rsidR="007768F1" w:rsidRPr="00700557">
        <w:rPr>
          <w:sz w:val="24"/>
          <w:szCs w:val="24"/>
        </w:rPr>
        <w:t>, zbog čega</w:t>
      </w:r>
      <w:r w:rsidR="00CA1938" w:rsidRPr="00700557">
        <w:rPr>
          <w:sz w:val="24"/>
          <w:szCs w:val="24"/>
        </w:rPr>
        <w:t xml:space="preserve"> </w:t>
      </w:r>
      <w:r w:rsidR="007768F1" w:rsidRPr="00700557">
        <w:rPr>
          <w:sz w:val="24"/>
          <w:szCs w:val="24"/>
        </w:rPr>
        <w:t>„</w:t>
      </w:r>
      <w:r w:rsidR="00CA1938" w:rsidRPr="00700557">
        <w:rPr>
          <w:sz w:val="24"/>
          <w:szCs w:val="24"/>
        </w:rPr>
        <w:t>pravila</w:t>
      </w:r>
      <w:r w:rsidR="007768F1" w:rsidRPr="00700557">
        <w:rPr>
          <w:sz w:val="24"/>
          <w:szCs w:val="24"/>
        </w:rPr>
        <w:t>“</w:t>
      </w:r>
      <w:r w:rsidR="00CA1938" w:rsidRPr="00700557">
        <w:rPr>
          <w:sz w:val="24"/>
          <w:szCs w:val="24"/>
        </w:rPr>
        <w:t xml:space="preserve"> koja se jednom utvrde i učestalo primjenjuju, nakon određenog vremena više ne daju </w:t>
      </w:r>
      <w:r w:rsidR="007768F1" w:rsidRPr="00700557">
        <w:rPr>
          <w:sz w:val="24"/>
          <w:szCs w:val="24"/>
        </w:rPr>
        <w:t>očekivane rezultate.)</w:t>
      </w:r>
    </w:p>
    <w:p w:rsidR="001B1136" w:rsidRPr="002C0DBB" w:rsidRDefault="001B1136" w:rsidP="001B1136">
      <w:pPr>
        <w:autoSpaceDE w:val="0"/>
        <w:autoSpaceDN w:val="0"/>
        <w:adjustRightInd w:val="0"/>
        <w:jc w:val="both"/>
        <w:rPr>
          <w:b/>
          <w:sz w:val="24"/>
          <w:szCs w:val="24"/>
        </w:rPr>
      </w:pPr>
      <w:r>
        <w:rPr>
          <w:b/>
          <w:sz w:val="24"/>
          <w:szCs w:val="24"/>
        </w:rPr>
        <w:t>6</w:t>
      </w:r>
      <w:r w:rsidRPr="002C0DBB">
        <w:rPr>
          <w:b/>
          <w:sz w:val="24"/>
          <w:szCs w:val="24"/>
        </w:rPr>
        <w:t>.</w:t>
      </w:r>
      <w:r>
        <w:rPr>
          <w:b/>
          <w:sz w:val="24"/>
          <w:szCs w:val="24"/>
        </w:rPr>
        <w:t>6</w:t>
      </w:r>
      <w:r w:rsidRPr="002C0DBB">
        <w:rPr>
          <w:b/>
          <w:sz w:val="24"/>
          <w:szCs w:val="24"/>
        </w:rPr>
        <w:t xml:space="preserve">. </w:t>
      </w:r>
      <w:r>
        <w:rPr>
          <w:b/>
          <w:sz w:val="24"/>
          <w:szCs w:val="24"/>
        </w:rPr>
        <w:t xml:space="preserve">Informacijsko-arbitražna efikasnost i mogućnosti predviđanja </w:t>
      </w:r>
      <w:r w:rsidR="008870A3">
        <w:rPr>
          <w:b/>
          <w:sz w:val="24"/>
          <w:szCs w:val="24"/>
        </w:rPr>
        <w:t>cijena dionica</w:t>
      </w:r>
      <w:r>
        <w:rPr>
          <w:b/>
          <w:sz w:val="24"/>
          <w:szCs w:val="24"/>
        </w:rPr>
        <w:t xml:space="preserve"> </w:t>
      </w:r>
    </w:p>
    <w:p w:rsidR="007768F1" w:rsidRDefault="003D0E79" w:rsidP="003D0E79">
      <w:pPr>
        <w:autoSpaceDE w:val="0"/>
        <w:autoSpaceDN w:val="0"/>
        <w:adjustRightInd w:val="0"/>
        <w:jc w:val="both"/>
        <w:rPr>
          <w:sz w:val="24"/>
          <w:szCs w:val="24"/>
        </w:rPr>
      </w:pPr>
      <w:r w:rsidRPr="00105E79">
        <w:rPr>
          <w:sz w:val="24"/>
          <w:szCs w:val="24"/>
        </w:rPr>
        <w:t xml:space="preserve">Povjerenje, </w:t>
      </w:r>
      <w:r>
        <w:rPr>
          <w:sz w:val="24"/>
          <w:szCs w:val="24"/>
        </w:rPr>
        <w:t xml:space="preserve">multiplikator povjerenja odnosno tzv. </w:t>
      </w:r>
      <w:r w:rsidRPr="00302FC5">
        <w:rPr>
          <w:color w:val="C00000"/>
          <w:sz w:val="24"/>
          <w:szCs w:val="24"/>
        </w:rPr>
        <w:t xml:space="preserve">animal spirits </w:t>
      </w:r>
      <w:r>
        <w:rPr>
          <w:sz w:val="24"/>
          <w:szCs w:val="24"/>
        </w:rPr>
        <w:t xml:space="preserve">su čimbenici koji se održavaju na niz ekonomskih varijabla, a posebice investicije u realnu imovinu (proizvodnju, nekretnine) i financijsku imovinu </w:t>
      </w:r>
      <w:r w:rsidR="00E46D06">
        <w:rPr>
          <w:sz w:val="24"/>
          <w:szCs w:val="24"/>
        </w:rPr>
        <w:t xml:space="preserve">- </w:t>
      </w:r>
      <w:r>
        <w:rPr>
          <w:sz w:val="24"/>
          <w:szCs w:val="24"/>
        </w:rPr>
        <w:t>u kojoj se posebno ističe osjetljivost cijena dionica. Kada</w:t>
      </w:r>
      <w:r w:rsidR="00E46D06">
        <w:rPr>
          <w:sz w:val="24"/>
          <w:szCs w:val="24"/>
        </w:rPr>
        <w:t xml:space="preserve"> postoji </w:t>
      </w:r>
      <w:r w:rsidRPr="00105E79">
        <w:rPr>
          <w:color w:val="C00000"/>
          <w:sz w:val="24"/>
          <w:szCs w:val="24"/>
        </w:rPr>
        <w:t xml:space="preserve">povjerenje </w:t>
      </w:r>
      <w:r w:rsidR="00E46D06" w:rsidRPr="00E46D06">
        <w:rPr>
          <w:sz w:val="24"/>
          <w:szCs w:val="24"/>
        </w:rPr>
        <w:t>(pozitivna ekonomska očekivanja kakva mjere npr. indeksi pouzdanja potrošača, indeksi povjerenja proizvođača</w:t>
      </w:r>
      <w:r w:rsidR="00E46D06">
        <w:rPr>
          <w:sz w:val="24"/>
          <w:szCs w:val="24"/>
        </w:rPr>
        <w:t>, indeksi ekonomskog raspoloženja …),</w:t>
      </w:r>
      <w:r>
        <w:rPr>
          <w:sz w:val="24"/>
          <w:szCs w:val="24"/>
        </w:rPr>
        <w:t xml:space="preserve"> ekonomija bilježi ekspanziju i cijene dionica rastu. No, kada se povjerenje izgubi pad može biti značajan</w:t>
      </w:r>
      <w:r w:rsidR="00E46D06">
        <w:rPr>
          <w:sz w:val="24"/>
          <w:szCs w:val="24"/>
        </w:rPr>
        <w:t xml:space="preserve">, a tim više što i u pozitivnom i negativnom smjeru postoje svojevrsni multiplikativni efekti (stoga se i govori o učinku multipliktora povjerenja). </w:t>
      </w:r>
    </w:p>
    <w:p w:rsidR="003D0E79" w:rsidRPr="00C14028" w:rsidRDefault="00E46D06" w:rsidP="002B72FD">
      <w:pPr>
        <w:autoSpaceDE w:val="0"/>
        <w:autoSpaceDN w:val="0"/>
        <w:adjustRightInd w:val="0"/>
        <w:jc w:val="both"/>
      </w:pPr>
      <w:r>
        <w:rPr>
          <w:sz w:val="24"/>
          <w:szCs w:val="24"/>
        </w:rPr>
        <w:t>I</w:t>
      </w:r>
      <w:r w:rsidR="003D0E79">
        <w:rPr>
          <w:sz w:val="24"/>
          <w:szCs w:val="24"/>
        </w:rPr>
        <w:t xml:space="preserve">ako nije upitno da postoji </w:t>
      </w:r>
      <w:r w:rsidR="003D0E79" w:rsidRPr="004B1CD3">
        <w:rPr>
          <w:color w:val="C00000"/>
          <w:sz w:val="24"/>
          <w:szCs w:val="24"/>
        </w:rPr>
        <w:t xml:space="preserve">sinhronizirano kretanje u financijskom ciklusu dionica i realnom ciklusu </w:t>
      </w:r>
      <w:r w:rsidR="003D0E79">
        <w:rPr>
          <w:sz w:val="24"/>
          <w:szCs w:val="24"/>
        </w:rPr>
        <w:t xml:space="preserve">(gledano kroz promjene stope rasta BDP-a), </w:t>
      </w:r>
      <w:r w:rsidR="003D0E79" w:rsidRPr="004B1CD3">
        <w:rPr>
          <w:sz w:val="24"/>
          <w:szCs w:val="24"/>
        </w:rPr>
        <w:t xml:space="preserve">postoji vječna </w:t>
      </w:r>
      <w:r w:rsidR="003D0E79" w:rsidRPr="004B1CD3">
        <w:rPr>
          <w:color w:val="C00000"/>
          <w:sz w:val="24"/>
          <w:szCs w:val="24"/>
        </w:rPr>
        <w:t xml:space="preserve">dilema o </w:t>
      </w:r>
      <w:r w:rsidR="003D0E79">
        <w:rPr>
          <w:color w:val="C00000"/>
          <w:sz w:val="24"/>
          <w:szCs w:val="24"/>
        </w:rPr>
        <w:t>smjeru uzročno posljedične</w:t>
      </w:r>
      <w:r w:rsidR="003D0E79" w:rsidRPr="004B1CD3">
        <w:rPr>
          <w:color w:val="C00000"/>
          <w:sz w:val="24"/>
          <w:szCs w:val="24"/>
        </w:rPr>
        <w:t xml:space="preserve"> vez</w:t>
      </w:r>
      <w:r w:rsidR="003D0E79">
        <w:rPr>
          <w:color w:val="C00000"/>
          <w:sz w:val="24"/>
          <w:szCs w:val="24"/>
        </w:rPr>
        <w:t>e</w:t>
      </w:r>
      <w:r w:rsidR="003D0E79" w:rsidRPr="004B1CD3">
        <w:rPr>
          <w:color w:val="C00000"/>
          <w:sz w:val="24"/>
          <w:szCs w:val="24"/>
        </w:rPr>
        <w:t xml:space="preserve"> </w:t>
      </w:r>
      <w:r w:rsidR="003D0E79" w:rsidRPr="004B1CD3">
        <w:rPr>
          <w:sz w:val="24"/>
          <w:szCs w:val="24"/>
        </w:rPr>
        <w:t xml:space="preserve">između zbivanja u financijama i zbivanja u realnoj ekonomiji. Prema jednom shvaćanju </w:t>
      </w:r>
      <w:r w:rsidR="003D0E79" w:rsidRPr="004B1CD3">
        <w:rPr>
          <w:i/>
          <w:sz w:val="24"/>
          <w:szCs w:val="24"/>
        </w:rPr>
        <w:t>„tržište je ispred ekonomije“</w:t>
      </w:r>
      <w:r w:rsidR="003D0E79" w:rsidRPr="004B1CD3">
        <w:rPr>
          <w:sz w:val="24"/>
          <w:szCs w:val="24"/>
        </w:rPr>
        <w:t xml:space="preserve"> pa se u tom smislu kretanja cijena dionica koriste kao </w:t>
      </w:r>
      <w:r w:rsidR="003D0E79" w:rsidRPr="004B1CD3">
        <w:rPr>
          <w:color w:val="C00000"/>
          <w:sz w:val="24"/>
          <w:szCs w:val="24"/>
        </w:rPr>
        <w:t>barometar budućih ekonomskih kretanja</w:t>
      </w:r>
      <w:r w:rsidR="003D0E79" w:rsidRPr="004B1CD3">
        <w:rPr>
          <w:sz w:val="24"/>
          <w:szCs w:val="24"/>
        </w:rPr>
        <w:t xml:space="preserve">. Prema drugom shvaćanju veza je obrnutog smjera </w:t>
      </w:r>
      <w:r w:rsidR="003D0E79">
        <w:rPr>
          <w:sz w:val="24"/>
          <w:szCs w:val="24"/>
        </w:rPr>
        <w:t>pa se ponor na tržištu dionica javlja kao r</w:t>
      </w:r>
      <w:r w:rsidR="003D0E79" w:rsidRPr="004B1CD3">
        <w:rPr>
          <w:sz w:val="24"/>
          <w:szCs w:val="24"/>
        </w:rPr>
        <w:t xml:space="preserve">ezultat ponora (ili očekivanja budućih nepovoljnih kretanja) u realnoj ekonomiji. </w:t>
      </w:r>
      <w:r w:rsidR="003D0E79">
        <w:rPr>
          <w:sz w:val="24"/>
          <w:szCs w:val="24"/>
        </w:rPr>
        <w:t xml:space="preserve">Dodatno, </w:t>
      </w:r>
      <w:r w:rsidR="002B72FD">
        <w:rPr>
          <w:sz w:val="24"/>
          <w:szCs w:val="24"/>
        </w:rPr>
        <w:t xml:space="preserve">različiti i kontradiktorni </w:t>
      </w:r>
      <w:r w:rsidR="002B72FD" w:rsidRPr="002B72FD">
        <w:rPr>
          <w:sz w:val="24"/>
          <w:szCs w:val="24"/>
        </w:rPr>
        <w:t>rezultati ekonometrijskih analiza ukazuju da</w:t>
      </w:r>
      <w:r w:rsidR="002B72FD">
        <w:rPr>
          <w:color w:val="C00000"/>
          <w:sz w:val="24"/>
          <w:szCs w:val="24"/>
        </w:rPr>
        <w:t xml:space="preserve"> smjer </w:t>
      </w:r>
      <w:r w:rsidR="003D0E79" w:rsidRPr="002B72FD">
        <w:rPr>
          <w:color w:val="C00000"/>
          <w:sz w:val="24"/>
          <w:szCs w:val="24"/>
        </w:rPr>
        <w:t xml:space="preserve">uzročno-posljedične povezanosti nije postojan i stabilan na dugi rok </w:t>
      </w:r>
      <w:r w:rsidR="003D0E79">
        <w:rPr>
          <w:sz w:val="24"/>
          <w:szCs w:val="24"/>
        </w:rPr>
        <w:t xml:space="preserve">pa stoga postoje razdoblja i okolnosti kada tržište prethodi ekonomiji </w:t>
      </w:r>
      <w:r w:rsidR="002B72FD">
        <w:rPr>
          <w:sz w:val="24"/>
          <w:szCs w:val="24"/>
        </w:rPr>
        <w:t xml:space="preserve">(uzlet/ pad na dioničkom tržištu slijedi prije uzleta/ pada u realnom sektoru gledano kroz pokazatelje poslovanja poduzeća) </w:t>
      </w:r>
      <w:r w:rsidR="003D0E79">
        <w:rPr>
          <w:sz w:val="24"/>
          <w:szCs w:val="24"/>
        </w:rPr>
        <w:t>i razdoblja kada ekonomija prethodi tržištu</w:t>
      </w:r>
      <w:r w:rsidR="002B72FD">
        <w:rPr>
          <w:sz w:val="24"/>
          <w:szCs w:val="24"/>
        </w:rPr>
        <w:t xml:space="preserve"> (uzlet/ pad u realnom sektoru i pokazateljima poslovanja poduzeća prethodi uzletu/ padu cijena dionica)</w:t>
      </w:r>
      <w:r w:rsidR="003D0E79">
        <w:rPr>
          <w:sz w:val="24"/>
          <w:szCs w:val="24"/>
        </w:rPr>
        <w:t xml:space="preserve">. Isto tako </w:t>
      </w:r>
      <w:r w:rsidR="002B72FD">
        <w:rPr>
          <w:sz w:val="24"/>
          <w:szCs w:val="24"/>
        </w:rPr>
        <w:lastRenderedPageBreak/>
        <w:t xml:space="preserve">povremeno </w:t>
      </w:r>
      <w:r w:rsidR="003D0E79">
        <w:rPr>
          <w:sz w:val="24"/>
          <w:szCs w:val="24"/>
        </w:rPr>
        <w:t xml:space="preserve">je slučaj da </w:t>
      </w:r>
      <w:r w:rsidR="003D0E79" w:rsidRPr="00105E79">
        <w:rPr>
          <w:sz w:val="24"/>
          <w:szCs w:val="24"/>
        </w:rPr>
        <w:t xml:space="preserve">je opća atmosfera u ekonomiji dobra, ali nedostatak bilo kakvih novih dobri vijesti </w:t>
      </w:r>
      <w:r w:rsidR="002B72FD">
        <w:rPr>
          <w:sz w:val="24"/>
          <w:szCs w:val="24"/>
        </w:rPr>
        <w:t>uzrokuje</w:t>
      </w:r>
      <w:r w:rsidR="003D0E79" w:rsidRPr="00105E79">
        <w:rPr>
          <w:sz w:val="24"/>
          <w:szCs w:val="24"/>
        </w:rPr>
        <w:t xml:space="preserve"> izraženiju prodaju dionica i posljedično pad njihove cijene.</w:t>
      </w:r>
      <w:r w:rsidR="003D0E79">
        <w:t xml:space="preserve">  </w:t>
      </w:r>
    </w:p>
    <w:p w:rsidR="003D0E79" w:rsidRDefault="003D0E79" w:rsidP="00654FAF">
      <w:pPr>
        <w:autoSpaceDE w:val="0"/>
        <w:autoSpaceDN w:val="0"/>
        <w:adjustRightInd w:val="0"/>
        <w:jc w:val="both"/>
        <w:rPr>
          <w:sz w:val="24"/>
          <w:szCs w:val="24"/>
        </w:rPr>
      </w:pPr>
      <w:r>
        <w:rPr>
          <w:sz w:val="24"/>
          <w:szCs w:val="24"/>
        </w:rPr>
        <w:t>S obzirom da dionice kotiraju na slobodnom i organiziranom tržištu dostupne su svima (pod pretpostavko</w:t>
      </w:r>
      <w:r w:rsidR="002B72FD">
        <w:rPr>
          <w:sz w:val="24"/>
          <w:szCs w:val="24"/>
        </w:rPr>
        <w:t>m</w:t>
      </w:r>
      <w:r>
        <w:rPr>
          <w:sz w:val="24"/>
          <w:szCs w:val="24"/>
        </w:rPr>
        <w:t xml:space="preserve"> da potencijalnim ulagateljima osobna ekonomska i f</w:t>
      </w:r>
      <w:r w:rsidR="00654FAF">
        <w:rPr>
          <w:sz w:val="24"/>
          <w:szCs w:val="24"/>
        </w:rPr>
        <w:t xml:space="preserve">inancijska pozicija to dopušta), dok uspješnost ulaganja ovisi o </w:t>
      </w:r>
      <w:r w:rsidR="001B1136" w:rsidRPr="00654FAF">
        <w:rPr>
          <w:sz w:val="24"/>
          <w:szCs w:val="24"/>
        </w:rPr>
        <w:t>izboru „dobrih“ dionica, odnosno onih koje u budućem razdoblju pokaz</w:t>
      </w:r>
      <w:r w:rsidR="00654FAF">
        <w:rPr>
          <w:sz w:val="24"/>
          <w:szCs w:val="24"/>
        </w:rPr>
        <w:t xml:space="preserve">uju bolje performanse od drugih. </w:t>
      </w:r>
      <w:r w:rsidR="00B514EA">
        <w:rPr>
          <w:sz w:val="24"/>
          <w:szCs w:val="24"/>
        </w:rPr>
        <w:t xml:space="preserve">U slučaju dionica koje su </w:t>
      </w:r>
      <w:r>
        <w:rPr>
          <w:sz w:val="24"/>
          <w:szCs w:val="24"/>
        </w:rPr>
        <w:t>uvrštene na burzi</w:t>
      </w:r>
      <w:r w:rsidR="00B514EA">
        <w:rPr>
          <w:sz w:val="24"/>
          <w:szCs w:val="24"/>
        </w:rPr>
        <w:t>,</w:t>
      </w:r>
      <w:r>
        <w:rPr>
          <w:sz w:val="24"/>
          <w:szCs w:val="24"/>
        </w:rPr>
        <w:t xml:space="preserve"> prilično je vjerojatno da su investitorima transparentno dostupne informacije o fundamentalnim pokazateljima poslovanja dioničkog društva, kao i određenim značajnim vlasničkim ili drugim promjenama, novo zaključenim poslovima i slično - koje bi mogle djelovati na njihovu cijenu. </w:t>
      </w:r>
      <w:r w:rsidRPr="00105E79">
        <w:rPr>
          <w:color w:val="C00000"/>
          <w:sz w:val="24"/>
          <w:szCs w:val="24"/>
        </w:rPr>
        <w:t>Informacije i dostupnost informacija</w:t>
      </w:r>
      <w:r>
        <w:rPr>
          <w:sz w:val="24"/>
          <w:szCs w:val="24"/>
        </w:rPr>
        <w:t xml:space="preserve"> široj javnosti su upravo jedan o ključnih elemenata koji djeluje na formiranje cijena dionica. Stoga se u slučaju dionica koje kotiraju na organiziranom tržištu zahtjeva visok stupanj transparentnosti izvještavanja od strane izdavatelja dionica. </w:t>
      </w:r>
    </w:p>
    <w:p w:rsidR="003D0E79" w:rsidRPr="00C31454" w:rsidRDefault="003D0E79" w:rsidP="003D0E79">
      <w:pPr>
        <w:autoSpaceDE w:val="0"/>
        <w:autoSpaceDN w:val="0"/>
        <w:adjustRightInd w:val="0"/>
        <w:jc w:val="both"/>
      </w:pPr>
      <w:r w:rsidRPr="00C14028">
        <w:rPr>
          <w:color w:val="C00000"/>
          <w:sz w:val="24"/>
          <w:szCs w:val="24"/>
        </w:rPr>
        <w:t>Transparentnost</w:t>
      </w:r>
      <w:r>
        <w:rPr>
          <w:sz w:val="24"/>
          <w:szCs w:val="24"/>
        </w:rPr>
        <w:t xml:space="preserve"> štiti ulagače</w:t>
      </w:r>
      <w:r w:rsidR="007768F1">
        <w:rPr>
          <w:sz w:val="24"/>
          <w:szCs w:val="24"/>
        </w:rPr>
        <w:t>, iako</w:t>
      </w:r>
      <w:r>
        <w:rPr>
          <w:sz w:val="24"/>
          <w:szCs w:val="24"/>
        </w:rPr>
        <w:t xml:space="preserve"> sama za sebe nije dovoljan uvjet da bi se buduće cijene mogle predvidjeti. </w:t>
      </w:r>
      <w:r w:rsidR="007768F1">
        <w:rPr>
          <w:sz w:val="24"/>
          <w:szCs w:val="24"/>
        </w:rPr>
        <w:t>A</w:t>
      </w:r>
      <w:r>
        <w:rPr>
          <w:sz w:val="24"/>
          <w:szCs w:val="24"/>
        </w:rPr>
        <w:t xml:space="preserve">ko se dogodi za svi investitori na temelju transparentno dostupnih podataka i korištenja fundamentalne analize dođu do istog zaključka npr. da će </w:t>
      </w:r>
      <w:r w:rsidR="00BE38AF">
        <w:rPr>
          <w:sz w:val="24"/>
          <w:szCs w:val="24"/>
        </w:rPr>
        <w:t>cijene rasti, pitanje je koliki</w:t>
      </w:r>
      <w:r>
        <w:rPr>
          <w:sz w:val="24"/>
          <w:szCs w:val="24"/>
        </w:rPr>
        <w:t xml:space="preserve"> postotak investitora će od silnih analiza doista imati</w:t>
      </w:r>
      <w:r w:rsidR="007768F1">
        <w:rPr>
          <w:sz w:val="24"/>
          <w:szCs w:val="24"/>
        </w:rPr>
        <w:t xml:space="preserve"> koristi -</w:t>
      </w:r>
      <w:r>
        <w:rPr>
          <w:sz w:val="24"/>
          <w:szCs w:val="24"/>
        </w:rPr>
        <w:t xml:space="preserve"> jer kada njihov nalog za kupnju dođe na red moguće je da će cijena već biti previsoka pa su prilike za zaradu propuštene. Analogne situacije događaju se i u slučaju </w:t>
      </w:r>
      <w:r w:rsidR="007768F1">
        <w:rPr>
          <w:sz w:val="24"/>
          <w:szCs w:val="24"/>
        </w:rPr>
        <w:t xml:space="preserve">očekivanja </w:t>
      </w:r>
      <w:r>
        <w:rPr>
          <w:sz w:val="24"/>
          <w:szCs w:val="24"/>
        </w:rPr>
        <w:t>buduće</w:t>
      </w:r>
      <w:r w:rsidR="007768F1">
        <w:rPr>
          <w:sz w:val="24"/>
          <w:szCs w:val="24"/>
        </w:rPr>
        <w:t>g</w:t>
      </w:r>
      <w:r>
        <w:rPr>
          <w:sz w:val="24"/>
          <w:szCs w:val="24"/>
        </w:rPr>
        <w:t xml:space="preserve"> pad</w:t>
      </w:r>
      <w:r w:rsidR="007768F1">
        <w:rPr>
          <w:sz w:val="24"/>
          <w:szCs w:val="24"/>
        </w:rPr>
        <w:t>a</w:t>
      </w:r>
      <w:r>
        <w:rPr>
          <w:sz w:val="24"/>
          <w:szCs w:val="24"/>
        </w:rPr>
        <w:t xml:space="preserve"> cijena dionica </w:t>
      </w:r>
      <w:r w:rsidR="007768F1">
        <w:rPr>
          <w:sz w:val="24"/>
          <w:szCs w:val="24"/>
        </w:rPr>
        <w:t xml:space="preserve">- </w:t>
      </w:r>
      <w:r>
        <w:rPr>
          <w:sz w:val="24"/>
          <w:szCs w:val="24"/>
        </w:rPr>
        <w:t xml:space="preserve">kada se nalozi za prodaju informiranog ulagača jednostavno ne izvrše prije nego što cijena dionice zabilježi još dublji pad, ili se izvrši netom prije nego se cijena ponovno vrati na ravnotežnu razinu. Cijene dionica kojima se učestalo trguje mogu biti vrlo </w:t>
      </w:r>
      <w:r w:rsidRPr="00C31454">
        <w:rPr>
          <w:color w:val="C00000"/>
          <w:sz w:val="24"/>
          <w:szCs w:val="24"/>
        </w:rPr>
        <w:t>volatilne</w:t>
      </w:r>
      <w:r>
        <w:rPr>
          <w:sz w:val="24"/>
          <w:szCs w:val="24"/>
        </w:rPr>
        <w:t xml:space="preserve"> zbog čega se cijena mijenja nekoliko pa do mnogo puta tijekom radnog dana burze, a f</w:t>
      </w:r>
      <w:r w:rsidRPr="00C31454">
        <w:rPr>
          <w:sz w:val="24"/>
          <w:szCs w:val="24"/>
        </w:rPr>
        <w:t xml:space="preserve">luktuacije cijena su određene su čimbenicima </w:t>
      </w:r>
      <w:r w:rsidRPr="00C31454">
        <w:rPr>
          <w:color w:val="C00000"/>
          <w:sz w:val="24"/>
          <w:szCs w:val="24"/>
        </w:rPr>
        <w:t>nestabilnosti promjena ponude i potražnje</w:t>
      </w:r>
      <w:r w:rsidRPr="00C31454">
        <w:rPr>
          <w:sz w:val="24"/>
          <w:szCs w:val="24"/>
        </w:rPr>
        <w:t>.</w:t>
      </w:r>
      <w:r w:rsidRPr="00C31454">
        <w:t xml:space="preserve"> </w:t>
      </w:r>
    </w:p>
    <w:tbl>
      <w:tblPr>
        <w:tblStyle w:val="Reetkatablice"/>
        <w:tblW w:w="0" w:type="auto"/>
        <w:tblInd w:w="108" w:type="dxa"/>
        <w:tblLook w:val="04A0" w:firstRow="1" w:lastRow="0" w:firstColumn="1" w:lastColumn="0" w:noHBand="0" w:noVBand="1"/>
      </w:tblPr>
      <w:tblGrid>
        <w:gridCol w:w="9180"/>
      </w:tblGrid>
      <w:tr w:rsidR="003D0E79" w:rsidTr="00100649">
        <w:tc>
          <w:tcPr>
            <w:tcW w:w="9180" w:type="dxa"/>
            <w:shd w:val="clear" w:color="auto" w:fill="F2F2F2" w:themeFill="background1" w:themeFillShade="F2"/>
          </w:tcPr>
          <w:p w:rsidR="003D0E79" w:rsidRPr="00C31454" w:rsidRDefault="003D0E79" w:rsidP="007768F1">
            <w:pPr>
              <w:autoSpaceDE w:val="0"/>
              <w:autoSpaceDN w:val="0"/>
              <w:adjustRightInd w:val="0"/>
              <w:spacing w:after="120"/>
              <w:jc w:val="both"/>
              <w:rPr>
                <w:rFonts w:asciiTheme="minorHAnsi" w:hAnsiTheme="minorHAnsi"/>
                <w:i/>
                <w:sz w:val="24"/>
                <w:szCs w:val="24"/>
              </w:rPr>
            </w:pPr>
            <w:r w:rsidRPr="00C31454">
              <w:rPr>
                <w:rFonts w:asciiTheme="minorHAnsi" w:hAnsiTheme="minorHAnsi"/>
                <w:i/>
                <w:sz w:val="24"/>
                <w:szCs w:val="24"/>
              </w:rPr>
              <w:t xml:space="preserve">“Očiti izgledi da će poduzeće fizički rasti ne pretvaraju se uvijek u očite profite za investitore.” </w:t>
            </w:r>
          </w:p>
          <w:p w:rsidR="003D0E79" w:rsidRPr="00C31454" w:rsidRDefault="003D0E79" w:rsidP="00C86D78">
            <w:pPr>
              <w:pStyle w:val="Odlomakpopisa"/>
              <w:numPr>
                <w:ilvl w:val="0"/>
                <w:numId w:val="94"/>
              </w:numPr>
              <w:autoSpaceDE w:val="0"/>
              <w:autoSpaceDN w:val="0"/>
              <w:adjustRightInd w:val="0"/>
              <w:spacing w:before="120" w:after="120"/>
              <w:ind w:left="318" w:hanging="284"/>
              <w:jc w:val="both"/>
              <w:rPr>
                <w:rFonts w:asciiTheme="minorHAnsi" w:hAnsiTheme="minorHAnsi"/>
                <w:i/>
                <w:sz w:val="24"/>
                <w:szCs w:val="24"/>
              </w:rPr>
            </w:pPr>
            <w:r w:rsidRPr="00C31454">
              <w:rPr>
                <w:rFonts w:asciiTheme="minorHAnsi" w:hAnsiTheme="minorHAnsi"/>
                <w:i/>
                <w:sz w:val="24"/>
                <w:szCs w:val="24"/>
              </w:rPr>
              <w:t>„Iako se čini laganim predvidjeti koja će industrija najbrže rasti, ta činjenica nema realne vrijednosti ako svi investitori očekuju istu stvar.“</w:t>
            </w:r>
          </w:p>
          <w:p w:rsidR="003D0E79" w:rsidRPr="005A0D7D" w:rsidRDefault="003D0E79" w:rsidP="00C86D78">
            <w:pPr>
              <w:pStyle w:val="Odlomakpopisa"/>
              <w:numPr>
                <w:ilvl w:val="0"/>
                <w:numId w:val="94"/>
              </w:numPr>
              <w:autoSpaceDE w:val="0"/>
              <w:autoSpaceDN w:val="0"/>
              <w:adjustRightInd w:val="0"/>
              <w:spacing w:before="120" w:after="120"/>
              <w:ind w:left="318" w:hanging="284"/>
              <w:jc w:val="both"/>
              <w:rPr>
                <w:sz w:val="24"/>
                <w:szCs w:val="24"/>
              </w:rPr>
            </w:pPr>
            <w:r w:rsidRPr="00C31454">
              <w:rPr>
                <w:rFonts w:asciiTheme="minorHAnsi" w:hAnsiTheme="minorHAnsi"/>
                <w:i/>
                <w:sz w:val="24"/>
                <w:szCs w:val="24"/>
              </w:rPr>
              <w:t>„U vrijeme kada svi odluče da je pojedina industrija ‘očito’ najpogodnija za investiranje, cijene dionica su već toliko porasle da budući prinosi nemaju kamo ići nego prema dolje.“</w:t>
            </w:r>
          </w:p>
          <w:p w:rsidR="005A0D7D" w:rsidRPr="005A0D7D" w:rsidRDefault="005A0D7D" w:rsidP="005A0D7D">
            <w:pPr>
              <w:autoSpaceDE w:val="0"/>
              <w:autoSpaceDN w:val="0"/>
              <w:adjustRightInd w:val="0"/>
              <w:spacing w:before="120" w:after="120"/>
              <w:ind w:left="34"/>
              <w:jc w:val="both"/>
              <w:rPr>
                <w:rFonts w:asciiTheme="minorHAnsi" w:hAnsiTheme="minorHAnsi"/>
              </w:rPr>
            </w:pPr>
            <w:r w:rsidRPr="005A0D7D">
              <w:rPr>
                <w:rFonts w:asciiTheme="minorHAnsi" w:hAnsiTheme="minorHAnsi"/>
              </w:rPr>
              <w:t>Izvor: Graham, B. (2006): „Inteligentni investitor“, Masmedija, Zagreb</w:t>
            </w:r>
          </w:p>
        </w:tc>
      </w:tr>
    </w:tbl>
    <w:p w:rsidR="003D0E79" w:rsidRPr="006C647C" w:rsidRDefault="003D0E79" w:rsidP="005A0D7D">
      <w:pPr>
        <w:autoSpaceDE w:val="0"/>
        <w:autoSpaceDN w:val="0"/>
        <w:adjustRightInd w:val="0"/>
        <w:spacing w:before="240" w:after="0"/>
        <w:jc w:val="both"/>
        <w:rPr>
          <w:sz w:val="24"/>
          <w:szCs w:val="24"/>
        </w:rPr>
      </w:pPr>
      <w:r w:rsidRPr="006C647C">
        <w:rPr>
          <w:sz w:val="24"/>
          <w:szCs w:val="24"/>
        </w:rPr>
        <w:t>Tradicionalna financijska teorija polazi od pretpostavke informacijsko-arbitražne efikasnosti na tržištu dionica prema kojoj:</w:t>
      </w:r>
    </w:p>
    <w:p w:rsidR="003D0E79" w:rsidRPr="006C647C" w:rsidRDefault="003D0E79" w:rsidP="00C86D78">
      <w:pPr>
        <w:pStyle w:val="Odlomakpopisa"/>
        <w:numPr>
          <w:ilvl w:val="0"/>
          <w:numId w:val="92"/>
        </w:numPr>
        <w:autoSpaceDE w:val="0"/>
        <w:autoSpaceDN w:val="0"/>
        <w:adjustRightInd w:val="0"/>
        <w:jc w:val="both"/>
        <w:rPr>
          <w:sz w:val="24"/>
          <w:szCs w:val="24"/>
        </w:rPr>
      </w:pPr>
      <w:r>
        <w:rPr>
          <w:sz w:val="24"/>
          <w:szCs w:val="24"/>
        </w:rPr>
        <w:t xml:space="preserve">se </w:t>
      </w:r>
      <w:r w:rsidRPr="00BB135A">
        <w:rPr>
          <w:color w:val="C00000"/>
          <w:sz w:val="24"/>
          <w:szCs w:val="24"/>
        </w:rPr>
        <w:t xml:space="preserve">cijene vrijednosnica brzo i u potpunosti prilagođavaju novim informacijama </w:t>
      </w:r>
      <w:r w:rsidRPr="006C647C">
        <w:rPr>
          <w:sz w:val="24"/>
          <w:szCs w:val="24"/>
        </w:rPr>
        <w:t>(sve javno pa i privatno raspoložive informacije o stanju gospodarstva, određenih djelatnosti, financijskim tržištima i pojedinim kompanijama izazivaju trenutačne reakcije sudionika tržišta)</w:t>
      </w:r>
      <w:r>
        <w:rPr>
          <w:sz w:val="24"/>
          <w:szCs w:val="24"/>
        </w:rPr>
        <w:t>;</w:t>
      </w:r>
    </w:p>
    <w:p w:rsidR="003D0E79" w:rsidRPr="006C647C" w:rsidRDefault="003D0E79" w:rsidP="00C86D78">
      <w:pPr>
        <w:pStyle w:val="Odlomakpopisa"/>
        <w:numPr>
          <w:ilvl w:val="0"/>
          <w:numId w:val="92"/>
        </w:numPr>
        <w:autoSpaceDE w:val="0"/>
        <w:autoSpaceDN w:val="0"/>
        <w:adjustRightInd w:val="0"/>
        <w:jc w:val="both"/>
        <w:rPr>
          <w:sz w:val="24"/>
          <w:szCs w:val="24"/>
        </w:rPr>
      </w:pPr>
      <w:r w:rsidRPr="00BB135A">
        <w:rPr>
          <w:color w:val="C00000"/>
          <w:sz w:val="24"/>
          <w:szCs w:val="24"/>
        </w:rPr>
        <w:lastRenderedPageBreak/>
        <w:t xml:space="preserve">nove informacije se ne mogu predvidjeti </w:t>
      </w:r>
      <w:r w:rsidRPr="006C647C">
        <w:rPr>
          <w:sz w:val="24"/>
          <w:szCs w:val="24"/>
        </w:rPr>
        <w:t>(pa se prema tome ne mogu predvidjeti ni promjene cijena vrijednosnica a tim više što one nisu samo rezultat prošlih kretanja</w:t>
      </w:r>
      <w:r>
        <w:rPr>
          <w:sz w:val="24"/>
          <w:szCs w:val="24"/>
        </w:rPr>
        <w:t>);</w:t>
      </w:r>
    </w:p>
    <w:p w:rsidR="003D0E79" w:rsidRPr="00BB135A" w:rsidRDefault="003D0E79" w:rsidP="00C86D78">
      <w:pPr>
        <w:pStyle w:val="Odlomakpopisa"/>
        <w:numPr>
          <w:ilvl w:val="0"/>
          <w:numId w:val="92"/>
        </w:numPr>
        <w:autoSpaceDE w:val="0"/>
        <w:autoSpaceDN w:val="0"/>
        <w:adjustRightInd w:val="0"/>
        <w:jc w:val="both"/>
        <w:rPr>
          <w:sz w:val="24"/>
          <w:szCs w:val="24"/>
        </w:rPr>
      </w:pPr>
      <w:r w:rsidRPr="00BB135A">
        <w:rPr>
          <w:color w:val="C00000"/>
          <w:sz w:val="24"/>
          <w:szCs w:val="24"/>
        </w:rPr>
        <w:t xml:space="preserve">kretanje cijena dionica je nepredvidljivo i odražava „slučajan hod“ </w:t>
      </w:r>
      <w:r w:rsidRPr="006C647C">
        <w:rPr>
          <w:sz w:val="24"/>
          <w:szCs w:val="24"/>
        </w:rPr>
        <w:t>(ako je zadovoljen uvjet informacijsko arbitražne efikasnosti nemoguće je prognozirati promjene dionica jer su u njih ugrađene sve informacije i očekivanja svih sudionika tržišta</w:t>
      </w:r>
      <w:r>
        <w:rPr>
          <w:sz w:val="24"/>
          <w:szCs w:val="24"/>
        </w:rPr>
        <w:t>; k</w:t>
      </w:r>
      <w:r w:rsidRPr="00BB135A">
        <w:rPr>
          <w:sz w:val="24"/>
          <w:szCs w:val="24"/>
        </w:rPr>
        <w:t>retanje cijena dionica posljedica je djelovanja brojnih analitičara i ulagača koji se međusobno natječu u otkrivanju važnih informacija, a konkurencija među njima povećava efikasnost vrednovanja dionica, zbog čega sadašnje cijene odražavaju sve dostupne i javno raspoložive informacije)</w:t>
      </w:r>
      <w:r>
        <w:rPr>
          <w:sz w:val="24"/>
          <w:szCs w:val="24"/>
        </w:rPr>
        <w:t>;</w:t>
      </w:r>
    </w:p>
    <w:p w:rsidR="003D0E79" w:rsidRDefault="003D0E79" w:rsidP="00C86D78">
      <w:pPr>
        <w:pStyle w:val="Odlomakpopisa"/>
        <w:numPr>
          <w:ilvl w:val="0"/>
          <w:numId w:val="92"/>
        </w:numPr>
        <w:autoSpaceDE w:val="0"/>
        <w:autoSpaceDN w:val="0"/>
        <w:adjustRightInd w:val="0"/>
        <w:jc w:val="both"/>
        <w:rPr>
          <w:sz w:val="24"/>
          <w:szCs w:val="24"/>
        </w:rPr>
      </w:pPr>
      <w:r w:rsidRPr="00BB135A">
        <w:rPr>
          <w:color w:val="C00000"/>
          <w:sz w:val="24"/>
          <w:szCs w:val="24"/>
        </w:rPr>
        <w:t xml:space="preserve">ne postoji mogućnosti arbitraže a cijene dionica konvergiraju prema cijeni ravnoteže </w:t>
      </w:r>
      <w:r w:rsidRPr="00BB135A">
        <w:rPr>
          <w:sz w:val="24"/>
          <w:szCs w:val="24"/>
        </w:rPr>
        <w:t>(na efikasnom tržištu informirani ulagači brzo kupuju podcijenjenu imovinu i prodaju precijenjenu imovinu tako da je veći dio vremena imovina realno vrednovana)</w:t>
      </w:r>
      <w:r>
        <w:rPr>
          <w:sz w:val="24"/>
          <w:szCs w:val="24"/>
        </w:rPr>
        <w:t>;</w:t>
      </w:r>
    </w:p>
    <w:p w:rsidR="003D0E79" w:rsidRPr="00BB135A" w:rsidRDefault="003D0E79" w:rsidP="00C86D78">
      <w:pPr>
        <w:pStyle w:val="Odlomakpopisa"/>
        <w:numPr>
          <w:ilvl w:val="0"/>
          <w:numId w:val="92"/>
        </w:numPr>
        <w:autoSpaceDE w:val="0"/>
        <w:autoSpaceDN w:val="0"/>
        <w:adjustRightInd w:val="0"/>
        <w:jc w:val="both"/>
        <w:rPr>
          <w:sz w:val="24"/>
          <w:szCs w:val="24"/>
        </w:rPr>
      </w:pPr>
      <w:r w:rsidRPr="00BB135A">
        <w:rPr>
          <w:color w:val="C00000"/>
          <w:sz w:val="24"/>
          <w:szCs w:val="24"/>
        </w:rPr>
        <w:t>investitori nemaju vremena niti mogućnosti za ostvarivanje zarade temeljene na informacijama</w:t>
      </w:r>
      <w:r w:rsidRPr="00BB135A">
        <w:rPr>
          <w:sz w:val="24"/>
          <w:szCs w:val="24"/>
        </w:rPr>
        <w:t>, odnosno ne mogu uz dani rizik ostvariti natprosječnu stopu povrata (ukoliko ulagači ipak ostvare natprosječnu zaradu onda je to rezultat niza sretnih okolnosti u uvjetima smanjene efikasnosti tržišta, a ne rezultat umijeća trgovanja)</w:t>
      </w:r>
      <w:r>
        <w:rPr>
          <w:sz w:val="24"/>
          <w:szCs w:val="24"/>
        </w:rPr>
        <w:t>;</w:t>
      </w:r>
    </w:p>
    <w:p w:rsidR="003D0E79" w:rsidRPr="00BB135A" w:rsidRDefault="003D0E79" w:rsidP="00C86D78">
      <w:pPr>
        <w:pStyle w:val="Odlomakpopisa"/>
        <w:numPr>
          <w:ilvl w:val="0"/>
          <w:numId w:val="92"/>
        </w:numPr>
        <w:autoSpaceDE w:val="0"/>
        <w:autoSpaceDN w:val="0"/>
        <w:adjustRightInd w:val="0"/>
        <w:jc w:val="both"/>
        <w:rPr>
          <w:color w:val="C00000"/>
          <w:sz w:val="24"/>
          <w:szCs w:val="24"/>
        </w:rPr>
      </w:pPr>
      <w:r w:rsidRPr="00BB135A">
        <w:rPr>
          <w:color w:val="C00000"/>
          <w:sz w:val="24"/>
          <w:szCs w:val="24"/>
        </w:rPr>
        <w:t>investitori su racionalni</w:t>
      </w:r>
      <w:r w:rsidRPr="00BB135A">
        <w:rPr>
          <w:color w:val="000000" w:themeColor="text1"/>
          <w:sz w:val="24"/>
          <w:szCs w:val="24"/>
        </w:rPr>
        <w:t>, a cijene dionica na tržištu fer cijene</w:t>
      </w:r>
      <w:r>
        <w:rPr>
          <w:color w:val="000000" w:themeColor="text1"/>
          <w:sz w:val="24"/>
          <w:szCs w:val="24"/>
        </w:rPr>
        <w:t>;</w:t>
      </w:r>
    </w:p>
    <w:p w:rsidR="00F85DC2" w:rsidRPr="00F85DC2" w:rsidRDefault="003D0E79" w:rsidP="00C86D78">
      <w:pPr>
        <w:pStyle w:val="Odlomakpopisa"/>
        <w:numPr>
          <w:ilvl w:val="0"/>
          <w:numId w:val="92"/>
        </w:numPr>
        <w:autoSpaceDE w:val="0"/>
        <w:autoSpaceDN w:val="0"/>
        <w:adjustRightInd w:val="0"/>
        <w:jc w:val="both"/>
        <w:rPr>
          <w:sz w:val="24"/>
          <w:szCs w:val="24"/>
        </w:rPr>
      </w:pPr>
      <w:r>
        <w:rPr>
          <w:sz w:val="24"/>
          <w:szCs w:val="24"/>
        </w:rPr>
        <w:t xml:space="preserve">pa iz svega slijedi i zaključak </w:t>
      </w:r>
      <w:r w:rsidRPr="00BB135A">
        <w:rPr>
          <w:color w:val="C00000"/>
          <w:sz w:val="24"/>
          <w:szCs w:val="24"/>
        </w:rPr>
        <w:t>„tržište je uvijek u pravu = cijene su ispravne“</w:t>
      </w:r>
      <w:r w:rsidR="00F85DC2">
        <w:rPr>
          <w:color w:val="C00000"/>
          <w:sz w:val="24"/>
          <w:szCs w:val="24"/>
        </w:rPr>
        <w:t>;</w:t>
      </w:r>
    </w:p>
    <w:p w:rsidR="003D0E79" w:rsidRPr="00BB135A" w:rsidRDefault="00F85DC2" w:rsidP="00C86D78">
      <w:pPr>
        <w:pStyle w:val="Odlomakpopisa"/>
        <w:numPr>
          <w:ilvl w:val="0"/>
          <w:numId w:val="92"/>
        </w:numPr>
        <w:autoSpaceDE w:val="0"/>
        <w:autoSpaceDN w:val="0"/>
        <w:adjustRightInd w:val="0"/>
        <w:jc w:val="both"/>
        <w:rPr>
          <w:sz w:val="24"/>
          <w:szCs w:val="24"/>
        </w:rPr>
      </w:pPr>
      <w:r w:rsidRPr="00F85DC2">
        <w:rPr>
          <w:sz w:val="24"/>
          <w:szCs w:val="24"/>
        </w:rPr>
        <w:t xml:space="preserve">što za ulagatelja na financijskim tržištima opravdava </w:t>
      </w:r>
      <w:r w:rsidRPr="00F85DC2">
        <w:rPr>
          <w:color w:val="C00000"/>
          <w:sz w:val="24"/>
          <w:szCs w:val="24"/>
        </w:rPr>
        <w:t>prihvaćanje pasivne strategije ulaganja i izbjegavanje bilo kakovih pokušaja nadmašivanja tržišta</w:t>
      </w:r>
      <w:r w:rsidRPr="00F85DC2">
        <w:rPr>
          <w:sz w:val="24"/>
          <w:szCs w:val="24"/>
        </w:rPr>
        <w:t>.</w:t>
      </w:r>
    </w:p>
    <w:p w:rsidR="002C7A1E" w:rsidRPr="00360696" w:rsidRDefault="00F85DC2" w:rsidP="003D0E79">
      <w:pPr>
        <w:autoSpaceDE w:val="0"/>
        <w:autoSpaceDN w:val="0"/>
        <w:adjustRightInd w:val="0"/>
        <w:jc w:val="both"/>
        <w:rPr>
          <w:sz w:val="24"/>
          <w:szCs w:val="24"/>
        </w:rPr>
      </w:pPr>
      <w:r w:rsidRPr="002C7A1E">
        <w:rPr>
          <w:sz w:val="24"/>
          <w:szCs w:val="24"/>
        </w:rPr>
        <w:t>Sve navedeno uobličuje kontroverzn</w:t>
      </w:r>
      <w:r w:rsidR="002C7A1E">
        <w:rPr>
          <w:sz w:val="24"/>
          <w:szCs w:val="24"/>
        </w:rPr>
        <w:t>a</w:t>
      </w:r>
      <w:r w:rsidRPr="002C7A1E">
        <w:rPr>
          <w:sz w:val="24"/>
          <w:szCs w:val="24"/>
        </w:rPr>
        <w:t xml:space="preserve"> </w:t>
      </w:r>
      <w:r w:rsidRPr="002C7A1E">
        <w:rPr>
          <w:color w:val="C00000"/>
          <w:sz w:val="24"/>
          <w:szCs w:val="24"/>
        </w:rPr>
        <w:t xml:space="preserve">hipoteza efikasnog tržišta </w:t>
      </w:r>
      <w:r w:rsidR="002C7A1E">
        <w:rPr>
          <w:color w:val="C00000"/>
          <w:sz w:val="24"/>
          <w:szCs w:val="24"/>
        </w:rPr>
        <w:t xml:space="preserve">– EMH </w:t>
      </w:r>
      <w:r w:rsidRPr="002C7A1E">
        <w:rPr>
          <w:sz w:val="24"/>
          <w:szCs w:val="24"/>
        </w:rPr>
        <w:t xml:space="preserve">u skladu s kojom su cijene dionica ispravne (i uključuju sve javno i privatno dostupne informacije) pa da ne postoji mogućnost zarade natprosječnih prinosa - osim u slučaju sreće ili privremeno izražene neefikasnosti tržišta. Pri tome bi za funkcioniranje </w:t>
      </w:r>
      <w:r w:rsidR="003D0E79" w:rsidRPr="002C7A1E">
        <w:rPr>
          <w:sz w:val="24"/>
          <w:szCs w:val="24"/>
        </w:rPr>
        <w:t>hipotez</w:t>
      </w:r>
      <w:r w:rsidRPr="002C7A1E">
        <w:rPr>
          <w:sz w:val="24"/>
          <w:szCs w:val="24"/>
        </w:rPr>
        <w:t>e</w:t>
      </w:r>
      <w:r w:rsidR="003D0E79" w:rsidRPr="002C7A1E">
        <w:rPr>
          <w:sz w:val="24"/>
          <w:szCs w:val="24"/>
        </w:rPr>
        <w:t xml:space="preserve"> efikasnog tržišta </w:t>
      </w:r>
      <w:r w:rsidR="003D0E79">
        <w:rPr>
          <w:sz w:val="24"/>
          <w:szCs w:val="24"/>
        </w:rPr>
        <w:t xml:space="preserve"> trebali biti zadovoljeni uvjeti</w:t>
      </w:r>
      <w:r>
        <w:rPr>
          <w:sz w:val="24"/>
          <w:szCs w:val="24"/>
        </w:rPr>
        <w:t>:</w:t>
      </w:r>
      <w:r w:rsidR="003D0E79">
        <w:rPr>
          <w:sz w:val="24"/>
          <w:szCs w:val="24"/>
        </w:rPr>
        <w:t xml:space="preserve"> da se investitori </w:t>
      </w:r>
      <w:r w:rsidR="003D0E79" w:rsidRPr="00196EFF">
        <w:rPr>
          <w:sz w:val="24"/>
          <w:szCs w:val="24"/>
        </w:rPr>
        <w:t xml:space="preserve">ponašaju racionalno, </w:t>
      </w:r>
      <w:r w:rsidR="003D0E79">
        <w:rPr>
          <w:sz w:val="24"/>
          <w:szCs w:val="24"/>
        </w:rPr>
        <w:t xml:space="preserve">da oni </w:t>
      </w:r>
      <w:r w:rsidR="003D0E79" w:rsidRPr="00196EFF">
        <w:rPr>
          <w:sz w:val="24"/>
          <w:szCs w:val="24"/>
        </w:rPr>
        <w:t xml:space="preserve">imaju pristup svim relevantnim informacijama te </w:t>
      </w:r>
      <w:r w:rsidR="003D0E79">
        <w:rPr>
          <w:sz w:val="24"/>
          <w:szCs w:val="24"/>
        </w:rPr>
        <w:t xml:space="preserve">da </w:t>
      </w:r>
      <w:r w:rsidR="003D0E79" w:rsidRPr="00196EFF">
        <w:rPr>
          <w:sz w:val="24"/>
          <w:szCs w:val="24"/>
        </w:rPr>
        <w:t xml:space="preserve">su sposobni procesirati sve javno raspoložive informacije. </w:t>
      </w:r>
      <w:r w:rsidR="002C7A1E">
        <w:rPr>
          <w:sz w:val="24"/>
          <w:szCs w:val="24"/>
        </w:rPr>
        <w:t>S druge strane, u</w:t>
      </w:r>
      <w:r w:rsidR="002C7A1E" w:rsidRPr="002C7A1E">
        <w:rPr>
          <w:sz w:val="24"/>
          <w:szCs w:val="24"/>
        </w:rPr>
        <w:t xml:space="preserve"> realnom svijetu </w:t>
      </w:r>
      <w:r w:rsidR="00360696">
        <w:rPr>
          <w:sz w:val="24"/>
          <w:szCs w:val="24"/>
        </w:rPr>
        <w:t xml:space="preserve">sve navedeno može biti vrlo upitno, dok </w:t>
      </w:r>
      <w:r w:rsidR="002C7A1E" w:rsidRPr="002C7A1E">
        <w:rPr>
          <w:sz w:val="24"/>
          <w:szCs w:val="24"/>
        </w:rPr>
        <w:t xml:space="preserve">jačina informacijsko-arbitražne efikasnosti varira od tržišta do tržišta te je čak i za visoko razvijena tržišta vrlo upitno da li je dovoljno jaka da bi se stajališta teorije efikasnog tržišta (i u blažem obliku) </w:t>
      </w:r>
      <w:r w:rsidR="002C7A1E" w:rsidRPr="00360696">
        <w:rPr>
          <w:sz w:val="24"/>
          <w:szCs w:val="24"/>
        </w:rPr>
        <w:t xml:space="preserve">smatrala ispravnima. </w:t>
      </w:r>
    </w:p>
    <w:p w:rsidR="00360696" w:rsidRPr="00360696" w:rsidRDefault="00360696" w:rsidP="003D0E79">
      <w:pPr>
        <w:autoSpaceDE w:val="0"/>
        <w:autoSpaceDN w:val="0"/>
        <w:adjustRightInd w:val="0"/>
        <w:jc w:val="both"/>
        <w:rPr>
          <w:i/>
          <w:sz w:val="24"/>
          <w:szCs w:val="24"/>
        </w:rPr>
      </w:pPr>
      <w:r w:rsidRPr="00360696">
        <w:rPr>
          <w:i/>
          <w:sz w:val="24"/>
          <w:szCs w:val="24"/>
        </w:rPr>
        <w:t xml:space="preserve">„Daljnji problem realnosti primjene teorije efikasnog tržišta u praksi predstavljaju: mogućnosti utjecaja 'insidera', potencijalne zloupotrebe informacija, neizvjesnost pouzdanosti informacija3 , špekulacije o spajanju ili preuzimanju poduzeća, manipulirajući signali, lažirana financijska izviješća o poslovanju poduzeća te i drugi oblici obmanjivanja tržišta zbog koji cijene na tržištu nisu nužno usklađene s fundamentalnom vrijednošću te zbog čega ukoliko i postoji odsustvo 'besplatnog ručka' to samo po sebi ne podrazumijeva da su cijene korektne. Dodatno tome pridonose mikroekonomski i makroekonomski faktori koji potiču nestabilnosti cijena imovine, strahovi javnosti od burzovnog kraha, panika u štedno-depozitnom sustavu i bankarske krize. </w:t>
      </w:r>
    </w:p>
    <w:p w:rsidR="00360696" w:rsidRPr="00360696" w:rsidRDefault="00360696" w:rsidP="003D0E79">
      <w:pPr>
        <w:autoSpaceDE w:val="0"/>
        <w:autoSpaceDN w:val="0"/>
        <w:adjustRightInd w:val="0"/>
        <w:jc w:val="both"/>
        <w:rPr>
          <w:i/>
          <w:sz w:val="24"/>
          <w:szCs w:val="24"/>
        </w:rPr>
      </w:pPr>
      <w:r w:rsidRPr="00360696">
        <w:rPr>
          <w:i/>
          <w:sz w:val="24"/>
          <w:szCs w:val="24"/>
        </w:rPr>
        <w:lastRenderedPageBreak/>
        <w:t xml:space="preserve">Ograničenja efikasnosti financijskog tržišta mogu postojati zbog nekonkurentnog utvrđivanja cijena i ukoliko su transakcijski troškovi viši nego što je potrebno, što može uvelike biti povezano uz niski stupanj integriranosti financijskog sustava zbog koje postoji divergentnost kretanju cijene novca ovisno o lokaciji. Postojanje prirodnih monopola, previsok stupanj koncentracije u financijskom sustavu te postojanje ulaznih barijera bitni su čimbenici asimetričnosti koji dodatno ograničavaju efikasnost financijskih tržišta te rezultiraju donošenjem suboptimalnih odluka. </w:t>
      </w:r>
    </w:p>
    <w:p w:rsidR="00360696" w:rsidRPr="00360696" w:rsidRDefault="00360696" w:rsidP="003D0E79">
      <w:pPr>
        <w:autoSpaceDE w:val="0"/>
        <w:autoSpaceDN w:val="0"/>
        <w:adjustRightInd w:val="0"/>
        <w:jc w:val="both"/>
        <w:rPr>
          <w:i/>
          <w:sz w:val="24"/>
          <w:szCs w:val="24"/>
        </w:rPr>
      </w:pPr>
      <w:r w:rsidRPr="00360696">
        <w:rPr>
          <w:i/>
          <w:sz w:val="24"/>
          <w:szCs w:val="24"/>
        </w:rPr>
        <w:t xml:space="preserve">Neefikasnost tržišta mogu poticati špekulativne aktivnosti poput kratke prodaje koja ulagačima omogućava zaradu na padu cijena vrijednosnica. Kratki prodavač predviđa da će cijena dionice pasti, tako da će se moći kupiti po nižoj cijeni od one po kojoj je na početku prodana. Kako je nepoznato točno vrijeme kada se očekuje da će cijena dionice ponovo porasti, valovi kratkih prodaja mogu obeshrabrujuće djelovati na tržište. Unatoč aktivnostima nacionalnih komisija za vrijednosne papire (ili sličnih institucija) i strogim kaznama za trgovinu povlaštenim informacijama, financijska tržišta ponekad su pod snažnim utjecajem 'insidera’ (i njihovih suradnika) koji umanjuju efikasnost. Utjecaj povlaštenih informacija izvjestan je u brojnim zabilježenim slučajevima kada cijene dionica porastu nekoliko dana prije nego što poduzeća javnosti objave namjeru povećanja dividendi ili nekoliko dana prije objave nadprosječnog rasta dobiti. Naravno, na dan kada „dobre“ vijesti postanu poznate svim ulagačima tržište bilježi dodatni rast cijene. </w:t>
      </w:r>
    </w:p>
    <w:p w:rsidR="00360696" w:rsidRPr="00360696" w:rsidRDefault="00360696" w:rsidP="003D0E79">
      <w:pPr>
        <w:autoSpaceDE w:val="0"/>
        <w:autoSpaceDN w:val="0"/>
        <w:adjustRightInd w:val="0"/>
        <w:jc w:val="both"/>
        <w:rPr>
          <w:i/>
          <w:sz w:val="24"/>
          <w:szCs w:val="24"/>
        </w:rPr>
      </w:pPr>
      <w:r w:rsidRPr="00360696">
        <w:rPr>
          <w:i/>
          <w:sz w:val="24"/>
          <w:szCs w:val="24"/>
        </w:rPr>
        <w:t>Slični učinci na pad efikasnosti događaju se zbog propusta u transparentnosti financijskog izvještavanja ili zakonskog regulativi o obveznom korporativno izvještavanju što potiče asimetričnost informacija. Na primjer, postojanje jakog i polujakog oblika tržišne efikasnosti negiraju rezultati analize provedene u SAD, prema kojima dionice poduzeća čiji zaposlenici ih kupuju dugoročno ostvaruju abnormalno visok prinos, nasuprot dionica poduzeća čiji zaposlenici ih prodaju.“</w:t>
      </w:r>
      <w:r w:rsidRPr="00360696">
        <w:rPr>
          <w:rStyle w:val="Referencafusnote"/>
          <w:i/>
          <w:sz w:val="24"/>
          <w:szCs w:val="24"/>
        </w:rPr>
        <w:footnoteReference w:id="103"/>
      </w:r>
    </w:p>
    <w:p w:rsidR="00360696" w:rsidRPr="00360696" w:rsidRDefault="00360696" w:rsidP="003D0E79">
      <w:pPr>
        <w:autoSpaceDE w:val="0"/>
        <w:autoSpaceDN w:val="0"/>
        <w:adjustRightInd w:val="0"/>
        <w:jc w:val="both"/>
        <w:rPr>
          <w:sz w:val="24"/>
          <w:szCs w:val="24"/>
        </w:rPr>
      </w:pPr>
      <w:r w:rsidRPr="00360696">
        <w:rPr>
          <w:sz w:val="24"/>
          <w:szCs w:val="24"/>
        </w:rPr>
        <w:t>Zanimljiv primjer u analizi efikasnosti tržišta pokazuje analiza dugoročnih relativnih performansa prvih javnih ponuda u američkoj praksi izdanih u razdoblju 1970. do 1990. Za velik broj IPO –a utvrđeno je da ih inicijalni, najčešće institucionalni ulagači kupuju bitno podcijenjene u usporedbi s cijenom po kojoj bi se moglo njima trgovati. Podcjenjivanje se odražava u naglom skoku cijene koji se događa na dan kada se dionicama prvi put trguje na javnim tržištima, što u prosjeku uključuje p</w:t>
      </w:r>
      <w:r w:rsidR="0026563B">
        <w:rPr>
          <w:sz w:val="24"/>
          <w:szCs w:val="24"/>
        </w:rPr>
        <w:t>očetni prinos od 20 posto.</w:t>
      </w:r>
      <w:r w:rsidRPr="00360696">
        <w:rPr>
          <w:sz w:val="24"/>
          <w:szCs w:val="24"/>
        </w:rPr>
        <w:t xml:space="preserve"> Takav skok cijena uvelike je povezan uz optimizam malih ulagača koji interes inicijalnih institucionalnih ulagača procesiraju kao informaciju o „kvalitetnoj dionici“. Međutim, ulagačka javnost može biti preoptimistična u pogledu budućnosti tih poduzeća, ili u najmanju ruku sklona vjerovati u vlastite sposobnosti korištenja arbitraže kao „brzo potezne sprave za proizvodnju novca“, </w:t>
      </w:r>
      <w:r w:rsidRPr="00360696">
        <w:rPr>
          <w:sz w:val="24"/>
          <w:szCs w:val="24"/>
        </w:rPr>
        <w:lastRenderedPageBreak/>
        <w:t>dok u isto vrijeme IPO-i nerijetko pokazuju slabije performanse u narednih pet godina nakon emisije, od performansa sličnih poduzeća iste veličine kod kojih emisija nije bila prisutna.</w:t>
      </w:r>
      <w:r w:rsidRPr="00360696">
        <w:rPr>
          <w:rStyle w:val="Referencafusnote"/>
          <w:sz w:val="24"/>
          <w:szCs w:val="24"/>
        </w:rPr>
        <w:footnoteReference w:id="104"/>
      </w:r>
    </w:p>
    <w:p w:rsidR="002C7A1E" w:rsidRDefault="002C7A1E" w:rsidP="003D0E79">
      <w:pPr>
        <w:autoSpaceDE w:val="0"/>
        <w:autoSpaceDN w:val="0"/>
        <w:adjustRightInd w:val="0"/>
        <w:jc w:val="both"/>
        <w:rPr>
          <w:sz w:val="24"/>
          <w:szCs w:val="24"/>
        </w:rPr>
      </w:pPr>
      <w:r w:rsidRPr="002C7A1E">
        <w:rPr>
          <w:sz w:val="24"/>
          <w:szCs w:val="24"/>
        </w:rPr>
        <w:t xml:space="preserve">Sugestija odricanja mogućnosti aktivnog ulaganja na tržištu, čimbenik je zbog kojeg </w:t>
      </w:r>
      <w:r w:rsidRPr="00360696">
        <w:rPr>
          <w:color w:val="C00000"/>
          <w:sz w:val="24"/>
          <w:szCs w:val="24"/>
        </w:rPr>
        <w:t xml:space="preserve">profesionalni sudionici financijskog tržišta sumnjičavo promatraju stavove teorije efikasnog tržišta </w:t>
      </w:r>
      <w:r w:rsidRPr="002C7A1E">
        <w:rPr>
          <w:sz w:val="24"/>
          <w:szCs w:val="24"/>
        </w:rPr>
        <w:t xml:space="preserve">(odnosno </w:t>
      </w:r>
      <w:r>
        <w:rPr>
          <w:sz w:val="24"/>
          <w:szCs w:val="24"/>
        </w:rPr>
        <w:t xml:space="preserve">njeno </w:t>
      </w:r>
      <w:r w:rsidRPr="002C7A1E">
        <w:rPr>
          <w:sz w:val="24"/>
          <w:szCs w:val="24"/>
        </w:rPr>
        <w:t>negiranje koristi aktivne strategije ulaganja te korištenja fundamentalne i tehničke analize radi povećanja uspješnosti ulaganja) pa je u praktičnom smislu smatraju manje upotrebljivom. U pr</w:t>
      </w:r>
      <w:r>
        <w:rPr>
          <w:sz w:val="24"/>
          <w:szCs w:val="24"/>
        </w:rPr>
        <w:t>i</w:t>
      </w:r>
      <w:r w:rsidRPr="002C7A1E">
        <w:rPr>
          <w:sz w:val="24"/>
          <w:szCs w:val="24"/>
        </w:rPr>
        <w:t>log tome idu i činjenice o uspjesima brojnih „kreativnih ulagača“ koji, čak i u vrlo konkurentom okruženju, pronalaze prilike za natprosječnom zaradom pa marljiva potraga za podcijenjenim dionicama nije bezuspješna.</w:t>
      </w:r>
    </w:p>
    <w:p w:rsidR="00E61E56" w:rsidRDefault="003D0E79" w:rsidP="00E61E56">
      <w:pPr>
        <w:autoSpaceDE w:val="0"/>
        <w:autoSpaceDN w:val="0"/>
        <w:adjustRightInd w:val="0"/>
        <w:jc w:val="both"/>
        <w:rPr>
          <w:sz w:val="24"/>
          <w:szCs w:val="24"/>
        </w:rPr>
      </w:pPr>
      <w:r w:rsidRPr="00196EFF">
        <w:rPr>
          <w:sz w:val="24"/>
          <w:szCs w:val="24"/>
        </w:rPr>
        <w:t xml:space="preserve">Nasuprot </w:t>
      </w:r>
      <w:r w:rsidR="00F85DC2">
        <w:rPr>
          <w:sz w:val="24"/>
          <w:szCs w:val="24"/>
        </w:rPr>
        <w:t xml:space="preserve">opisanim </w:t>
      </w:r>
      <w:r w:rsidRPr="00196EFF">
        <w:rPr>
          <w:sz w:val="24"/>
          <w:szCs w:val="24"/>
        </w:rPr>
        <w:t>tradicionalnim shvaćanjima</w:t>
      </w:r>
      <w:r w:rsidR="002C7A1E">
        <w:rPr>
          <w:sz w:val="24"/>
          <w:szCs w:val="24"/>
        </w:rPr>
        <w:t>,</w:t>
      </w:r>
      <w:r w:rsidRPr="00196EFF">
        <w:rPr>
          <w:sz w:val="24"/>
          <w:szCs w:val="24"/>
        </w:rPr>
        <w:t xml:space="preserve"> teorija </w:t>
      </w:r>
      <w:r w:rsidRPr="00196EFF">
        <w:rPr>
          <w:color w:val="C00000"/>
          <w:sz w:val="24"/>
          <w:szCs w:val="24"/>
        </w:rPr>
        <w:t xml:space="preserve">biheviorističkih financija </w:t>
      </w:r>
      <w:r w:rsidRPr="00196EFF">
        <w:rPr>
          <w:sz w:val="24"/>
          <w:szCs w:val="24"/>
        </w:rPr>
        <w:t xml:space="preserve">postavlja pitanje: koliko </w:t>
      </w:r>
      <w:r w:rsidR="002C7A1E">
        <w:rPr>
          <w:sz w:val="24"/>
          <w:szCs w:val="24"/>
        </w:rPr>
        <w:t xml:space="preserve">teze uobličene u EMH </w:t>
      </w:r>
      <w:r w:rsidRPr="00196EFF">
        <w:rPr>
          <w:sz w:val="24"/>
          <w:szCs w:val="24"/>
        </w:rPr>
        <w:t>doista vrijed</w:t>
      </w:r>
      <w:r w:rsidR="002C7A1E">
        <w:rPr>
          <w:sz w:val="24"/>
          <w:szCs w:val="24"/>
        </w:rPr>
        <w:t>e</w:t>
      </w:r>
      <w:r w:rsidRPr="00196EFF">
        <w:rPr>
          <w:sz w:val="24"/>
          <w:szCs w:val="24"/>
        </w:rPr>
        <w:t xml:space="preserve"> na financijskim tržištima, a posebno na tržištu dionica koje je osim fundamentima vođeno i psihološkim faktorima</w:t>
      </w:r>
      <w:r>
        <w:rPr>
          <w:sz w:val="24"/>
          <w:szCs w:val="24"/>
        </w:rPr>
        <w:t>,</w:t>
      </w:r>
      <w:r w:rsidRPr="00196EFF">
        <w:rPr>
          <w:sz w:val="24"/>
          <w:szCs w:val="24"/>
        </w:rPr>
        <w:t xml:space="preserve"> ponašanjem </w:t>
      </w:r>
      <w:r>
        <w:rPr>
          <w:sz w:val="24"/>
          <w:szCs w:val="24"/>
        </w:rPr>
        <w:t xml:space="preserve">tzv. </w:t>
      </w:r>
      <w:r w:rsidRPr="00DD0BB3">
        <w:rPr>
          <w:color w:val="C00000"/>
          <w:sz w:val="24"/>
          <w:szCs w:val="24"/>
        </w:rPr>
        <w:t xml:space="preserve">bučnih trgovaca </w:t>
      </w:r>
      <w:r>
        <w:rPr>
          <w:sz w:val="24"/>
          <w:szCs w:val="24"/>
        </w:rPr>
        <w:t xml:space="preserve">(koji su loše informirani, a svojim ponašanjem stvaraju smetnje/ „buku“ na tržištu), kao i </w:t>
      </w:r>
      <w:r w:rsidRPr="00DD0BB3">
        <w:rPr>
          <w:color w:val="C00000"/>
          <w:sz w:val="24"/>
          <w:szCs w:val="24"/>
        </w:rPr>
        <w:t xml:space="preserve">psihologijom mase </w:t>
      </w:r>
      <w:r>
        <w:rPr>
          <w:sz w:val="24"/>
          <w:szCs w:val="24"/>
        </w:rPr>
        <w:t>koja</w:t>
      </w:r>
      <w:r w:rsidRPr="00196EFF">
        <w:rPr>
          <w:sz w:val="24"/>
          <w:szCs w:val="24"/>
        </w:rPr>
        <w:t xml:space="preserve"> s vr</w:t>
      </w:r>
      <w:r>
        <w:rPr>
          <w:sz w:val="24"/>
          <w:szCs w:val="24"/>
        </w:rPr>
        <w:t>emenom na vrijeme u gomili kreće</w:t>
      </w:r>
      <w:r w:rsidRPr="00196EFF">
        <w:rPr>
          <w:sz w:val="24"/>
          <w:szCs w:val="24"/>
        </w:rPr>
        <w:t xml:space="preserve"> u kupnju precijenjenih dionica, a na sličan način pod utjecajem euforije pesimizma i emocija straha nastoj</w:t>
      </w:r>
      <w:r>
        <w:rPr>
          <w:sz w:val="24"/>
          <w:szCs w:val="24"/>
        </w:rPr>
        <w:t>i</w:t>
      </w:r>
      <w:r w:rsidRPr="00196EFF">
        <w:rPr>
          <w:sz w:val="24"/>
          <w:szCs w:val="24"/>
        </w:rPr>
        <w:t xml:space="preserve"> prodati </w:t>
      </w:r>
      <w:r w:rsidRPr="00543FE8">
        <w:rPr>
          <w:sz w:val="24"/>
          <w:szCs w:val="24"/>
        </w:rPr>
        <w:t xml:space="preserve">dionice po cijeni i nižoj od njenih fundamenta uzrokujući stanje podcijenjenosti dionica. </w:t>
      </w:r>
      <w:r w:rsidR="00491F1C" w:rsidRPr="00543FE8">
        <w:rPr>
          <w:sz w:val="24"/>
          <w:szCs w:val="24"/>
        </w:rPr>
        <w:t>Prema Shilleru</w:t>
      </w:r>
      <w:r w:rsidR="00491F1C" w:rsidRPr="00543FE8">
        <w:rPr>
          <w:rStyle w:val="Referencafusnote"/>
          <w:sz w:val="24"/>
          <w:szCs w:val="24"/>
        </w:rPr>
        <w:footnoteReference w:id="105"/>
      </w:r>
      <w:r w:rsidR="00491F1C" w:rsidRPr="00543FE8">
        <w:rPr>
          <w:sz w:val="24"/>
          <w:szCs w:val="24"/>
        </w:rPr>
        <w:t xml:space="preserve"> nekoliko najvažnijih čimbenika koji djeluje na ponašanje sudionika financijskih tržišta su: kockanje i špekulacije, pretjerano samopouzdanje, žaljenje i samosažaljenje, pesimistično očekivanje ishoda, mentalni nesklad, mentalne pregrade, sidrenje na događaje iz prošlosti, magično i kvazi-magično razmišljanje, vjerovanje u nedokazane spoznaje, anomalije pažnje i opreznosti, socijalna zaraza, globalna kultura itd.</w:t>
      </w:r>
      <w:r w:rsidR="00E61E56">
        <w:rPr>
          <w:sz w:val="24"/>
          <w:szCs w:val="24"/>
        </w:rPr>
        <w:t xml:space="preserve"> </w:t>
      </w:r>
    </w:p>
    <w:p w:rsidR="003D0E79" w:rsidRDefault="003D0E79" w:rsidP="003D0E79">
      <w:pPr>
        <w:autoSpaceDE w:val="0"/>
        <w:autoSpaceDN w:val="0"/>
        <w:adjustRightInd w:val="0"/>
        <w:jc w:val="both"/>
        <w:rPr>
          <w:sz w:val="24"/>
          <w:szCs w:val="24"/>
        </w:rPr>
      </w:pPr>
      <w:r w:rsidRPr="007E004C">
        <w:rPr>
          <w:sz w:val="24"/>
          <w:szCs w:val="24"/>
        </w:rPr>
        <w:t>Kada raspoložen</w:t>
      </w:r>
      <w:r w:rsidR="00543FE8" w:rsidRPr="007E004C">
        <w:rPr>
          <w:sz w:val="24"/>
          <w:szCs w:val="24"/>
        </w:rPr>
        <w:t>j</w:t>
      </w:r>
      <w:r w:rsidRPr="007E004C">
        <w:rPr>
          <w:sz w:val="24"/>
          <w:szCs w:val="24"/>
        </w:rPr>
        <w:t>e pretjerano utječe na cijene</w:t>
      </w:r>
      <w:r w:rsidR="00543FE8" w:rsidRPr="007E004C">
        <w:rPr>
          <w:sz w:val="24"/>
          <w:szCs w:val="24"/>
        </w:rPr>
        <w:t>, tada</w:t>
      </w:r>
      <w:r w:rsidRPr="007E004C">
        <w:rPr>
          <w:sz w:val="24"/>
          <w:szCs w:val="24"/>
        </w:rPr>
        <w:t xml:space="preserve"> tržišta postaju iracionalna, a tome mogu doprinijeti i različite anomalije ponašanja investitora uključujući npr. </w:t>
      </w:r>
      <w:r w:rsidRPr="007E004C">
        <w:rPr>
          <w:color w:val="C00000"/>
          <w:sz w:val="24"/>
          <w:szCs w:val="24"/>
        </w:rPr>
        <w:t>učinak utjelovljenja</w:t>
      </w:r>
      <w:r w:rsidR="00543FE8" w:rsidRPr="007E004C">
        <w:rPr>
          <w:sz w:val="24"/>
          <w:szCs w:val="24"/>
        </w:rPr>
        <w:t>:</w:t>
      </w:r>
      <w:r w:rsidR="00543FE8" w:rsidRPr="007E004C">
        <w:rPr>
          <w:color w:val="C00000"/>
          <w:sz w:val="24"/>
          <w:szCs w:val="24"/>
        </w:rPr>
        <w:t xml:space="preserve"> </w:t>
      </w:r>
      <w:r w:rsidRPr="007E004C">
        <w:rPr>
          <w:sz w:val="24"/>
          <w:szCs w:val="24"/>
        </w:rPr>
        <w:t>kada investitori razmišljaju da će se trendovi koje sada vide vječno nastaviti pa ako cijene rastu ljudi vjeruju da će i dalje rasti, dok ako cijene padaju vjeruju da će nastaviti padati. No ti „ljudi„ nisu samo mali ulagatelji kod</w:t>
      </w:r>
      <w:r>
        <w:rPr>
          <w:sz w:val="24"/>
          <w:szCs w:val="24"/>
        </w:rPr>
        <w:t xml:space="preserve"> kojih je veća vjerojatnost da će zbog ograničenog znanja, informacij</w:t>
      </w:r>
      <w:r w:rsidR="007E004C">
        <w:rPr>
          <w:sz w:val="24"/>
          <w:szCs w:val="24"/>
        </w:rPr>
        <w:t>a i iskustva praviti pogreške. Slična</w:t>
      </w:r>
      <w:r>
        <w:rPr>
          <w:sz w:val="24"/>
          <w:szCs w:val="24"/>
        </w:rPr>
        <w:t xml:space="preserve"> ponašanja nerijetko su zabilježena i kod profesionalnih investitora</w:t>
      </w:r>
      <w:r w:rsidR="007E004C">
        <w:rPr>
          <w:sz w:val="24"/>
          <w:szCs w:val="24"/>
        </w:rPr>
        <w:t xml:space="preserve">. (I </w:t>
      </w:r>
      <w:r>
        <w:rPr>
          <w:sz w:val="24"/>
          <w:szCs w:val="24"/>
        </w:rPr>
        <w:t>manageri portfelja su ljudi i mogu biti pod utjecajem euforije optimizma ili euforije pesimizma, ali i pretjeranog samopouzdanja</w:t>
      </w:r>
      <w:r w:rsidR="007E004C">
        <w:rPr>
          <w:sz w:val="24"/>
          <w:szCs w:val="24"/>
        </w:rPr>
        <w:t>.</w:t>
      </w:r>
      <w:r>
        <w:rPr>
          <w:sz w:val="24"/>
          <w:szCs w:val="24"/>
        </w:rPr>
        <w:t>)</w:t>
      </w:r>
      <w:r w:rsidR="00543FE8">
        <w:rPr>
          <w:sz w:val="24"/>
          <w:szCs w:val="24"/>
        </w:rPr>
        <w:t xml:space="preserve"> Specifična je situacija kod </w:t>
      </w:r>
      <w:r>
        <w:rPr>
          <w:sz w:val="24"/>
          <w:szCs w:val="24"/>
        </w:rPr>
        <w:t xml:space="preserve">institucionalnih </w:t>
      </w:r>
      <w:r w:rsidR="00543FE8">
        <w:rPr>
          <w:sz w:val="24"/>
          <w:szCs w:val="24"/>
        </w:rPr>
        <w:t xml:space="preserve">investitora </w:t>
      </w:r>
      <w:r>
        <w:rPr>
          <w:sz w:val="24"/>
          <w:szCs w:val="24"/>
        </w:rPr>
        <w:t>koji ulažu u dionice ovisno o visini prikupljenih sredstava svojih ulagatelja</w:t>
      </w:r>
      <w:r w:rsidR="00543FE8">
        <w:rPr>
          <w:sz w:val="24"/>
          <w:szCs w:val="24"/>
        </w:rPr>
        <w:t>. Na primjer</w:t>
      </w:r>
      <w:r w:rsidR="00BF1CAA">
        <w:rPr>
          <w:sz w:val="24"/>
          <w:szCs w:val="24"/>
        </w:rPr>
        <w:t xml:space="preserve"> otvoreni fondov</w:t>
      </w:r>
      <w:r w:rsidR="00543FE8">
        <w:rPr>
          <w:sz w:val="24"/>
          <w:szCs w:val="24"/>
        </w:rPr>
        <w:t>i</w:t>
      </w:r>
      <w:r w:rsidR="00BF1CAA">
        <w:rPr>
          <w:sz w:val="24"/>
          <w:szCs w:val="24"/>
        </w:rPr>
        <w:t xml:space="preserve"> u razdoblju ekspanzije </w:t>
      </w:r>
      <w:r w:rsidR="00543FE8">
        <w:rPr>
          <w:sz w:val="24"/>
          <w:szCs w:val="24"/>
        </w:rPr>
        <w:t xml:space="preserve">i rasta prinosa </w:t>
      </w:r>
      <w:r w:rsidR="00BF1CAA">
        <w:rPr>
          <w:sz w:val="24"/>
          <w:szCs w:val="24"/>
        </w:rPr>
        <w:t>bilježe značajan rast sredstava prikupljenih od novih ulagatelja, ali na isti način i problem povlačenja udjelničara u razdoblju pada cijena dionica</w:t>
      </w:r>
      <w:r w:rsidR="00543FE8">
        <w:rPr>
          <w:sz w:val="24"/>
          <w:szCs w:val="24"/>
        </w:rPr>
        <w:t xml:space="preserve"> i prinosa fondova jer se tada upravitelji fondova </w:t>
      </w:r>
      <w:r w:rsidR="00543FE8">
        <w:rPr>
          <w:sz w:val="24"/>
          <w:szCs w:val="24"/>
        </w:rPr>
        <w:lastRenderedPageBreak/>
        <w:t xml:space="preserve">nalaze pod pritiskom </w:t>
      </w:r>
      <w:r w:rsidR="00BF1CAA">
        <w:rPr>
          <w:sz w:val="24"/>
          <w:szCs w:val="24"/>
        </w:rPr>
        <w:t>na prodaju dijela portfelja imovine iako on može imati dobre perspektive u budućnosti (a posljedica je još veći pritisak na pad cijena dionica).</w:t>
      </w:r>
    </w:p>
    <w:tbl>
      <w:tblPr>
        <w:tblStyle w:val="Reetkatablice"/>
        <w:tblW w:w="0" w:type="auto"/>
        <w:tblInd w:w="108" w:type="dxa"/>
        <w:tblLook w:val="04A0" w:firstRow="1" w:lastRow="0" w:firstColumn="1" w:lastColumn="0" w:noHBand="0" w:noVBand="1"/>
      </w:tblPr>
      <w:tblGrid>
        <w:gridCol w:w="9180"/>
      </w:tblGrid>
      <w:tr w:rsidR="006C0808" w:rsidTr="006C0808">
        <w:tc>
          <w:tcPr>
            <w:tcW w:w="9180" w:type="dxa"/>
            <w:shd w:val="clear" w:color="auto" w:fill="F2F2F2" w:themeFill="background1" w:themeFillShade="F2"/>
          </w:tcPr>
          <w:p w:rsidR="006C0808" w:rsidRDefault="006C0808" w:rsidP="006C0808">
            <w:pPr>
              <w:autoSpaceDE w:val="0"/>
              <w:autoSpaceDN w:val="0"/>
              <w:adjustRightInd w:val="0"/>
              <w:jc w:val="both"/>
              <w:rPr>
                <w:sz w:val="24"/>
                <w:szCs w:val="24"/>
              </w:rPr>
            </w:pPr>
            <w:r w:rsidRPr="006C0808">
              <w:rPr>
                <w:rFonts w:asciiTheme="minorHAnsi" w:eastAsiaTheme="minorHAnsi" w:hAnsiTheme="minorHAnsi" w:cstheme="minorBidi"/>
                <w:i/>
                <w:sz w:val="24"/>
                <w:szCs w:val="24"/>
                <w:lang w:eastAsia="en-US"/>
              </w:rPr>
              <w:t>„Tržišta mogu ostati iracionalna puno duže nego što investitori mogu ostati likvidni i solventni.“</w:t>
            </w:r>
          </w:p>
        </w:tc>
      </w:tr>
    </w:tbl>
    <w:p w:rsidR="00996DCF" w:rsidRPr="00BF1CAA" w:rsidRDefault="00BF1CAA" w:rsidP="006C0808">
      <w:pPr>
        <w:autoSpaceDE w:val="0"/>
        <w:autoSpaceDN w:val="0"/>
        <w:adjustRightInd w:val="0"/>
        <w:spacing w:before="240"/>
        <w:jc w:val="both"/>
        <w:rPr>
          <w:sz w:val="24"/>
          <w:szCs w:val="24"/>
        </w:rPr>
      </w:pPr>
      <w:r>
        <w:rPr>
          <w:sz w:val="24"/>
          <w:szCs w:val="24"/>
        </w:rPr>
        <w:t xml:space="preserve">Iako predstavnici biheviorističkih financija ne negiraju tvrdnju da su </w:t>
      </w:r>
      <w:r w:rsidRPr="00BF1CAA">
        <w:rPr>
          <w:color w:val="C00000"/>
          <w:sz w:val="24"/>
          <w:szCs w:val="24"/>
        </w:rPr>
        <w:t>na dugi rok većinu vremena dionice ispravno vrednovane</w:t>
      </w:r>
      <w:r>
        <w:rPr>
          <w:sz w:val="24"/>
          <w:szCs w:val="24"/>
        </w:rPr>
        <w:t xml:space="preserve">, smatraju da to ne mora biti točno u pojedinim dužim ili kraćim razdobljima kada dionice mogu biti podcijenjene ili precijenjene zbog faktora koji ograničavaju arbitražere da koristeći povoljne prilike za nerizična ulaganja isprave krivo vrednovane cijene. Čak štoviše prema predstavnicima biheviorističkih financija arbitraža nije uvijek nerizičan posao. </w:t>
      </w:r>
      <w:r w:rsidR="00996DCF" w:rsidRPr="00BF1CAA">
        <w:rPr>
          <w:sz w:val="24"/>
          <w:szCs w:val="24"/>
        </w:rPr>
        <w:t>Nadalje, predstavnici biheviorističkih financija naglašavaju da činjenica da su „cijene ispravne“ nije ekvivalentna činjenici da „ne postoji besplatan ručak“. Oboje vrijedi na efikasnom tržištu.</w:t>
      </w:r>
      <w:r>
        <w:rPr>
          <w:sz w:val="24"/>
          <w:szCs w:val="24"/>
        </w:rPr>
        <w:t xml:space="preserve"> </w:t>
      </w:r>
      <w:r w:rsidR="00996DCF" w:rsidRPr="00BF1CAA">
        <w:rPr>
          <w:sz w:val="24"/>
          <w:szCs w:val="24"/>
        </w:rPr>
        <w:t xml:space="preserve">Odsustvo „besplatnog ručka“ </w:t>
      </w:r>
      <w:r w:rsidR="00F85DC2">
        <w:rPr>
          <w:sz w:val="24"/>
          <w:szCs w:val="24"/>
        </w:rPr>
        <w:t xml:space="preserve">(odnosno nemogućnost ostvarivanja </w:t>
      </w:r>
      <w:r w:rsidR="00F85DC2">
        <w:t xml:space="preserve">natprosječnog prinosa s obzirom na rizik) </w:t>
      </w:r>
      <w:r w:rsidR="00996DCF" w:rsidRPr="00BF1CAA">
        <w:rPr>
          <w:sz w:val="24"/>
          <w:szCs w:val="24"/>
        </w:rPr>
        <w:t>također vrijedi i na neefikasnom tržištu, ali to ne znači da su cijene</w:t>
      </w:r>
      <w:r>
        <w:rPr>
          <w:sz w:val="24"/>
          <w:szCs w:val="24"/>
        </w:rPr>
        <w:t xml:space="preserve"> točne</w:t>
      </w:r>
      <w:r w:rsidR="00996DCF" w:rsidRPr="00BF1CAA">
        <w:rPr>
          <w:sz w:val="24"/>
          <w:szCs w:val="24"/>
        </w:rPr>
        <w:t>.</w:t>
      </w:r>
    </w:p>
    <w:p w:rsidR="003D0E79" w:rsidRDefault="003D0E79" w:rsidP="003D0E79">
      <w:pPr>
        <w:autoSpaceDE w:val="0"/>
        <w:autoSpaceDN w:val="0"/>
        <w:adjustRightInd w:val="0"/>
        <w:jc w:val="both"/>
        <w:rPr>
          <w:sz w:val="24"/>
          <w:szCs w:val="24"/>
        </w:rPr>
      </w:pPr>
      <w:r>
        <w:rPr>
          <w:sz w:val="24"/>
          <w:szCs w:val="24"/>
        </w:rPr>
        <w:t xml:space="preserve">Predstavnici biheviorističkih financija naglašavaju i niz drugih </w:t>
      </w:r>
      <w:r w:rsidRPr="00DD0BB3">
        <w:rPr>
          <w:color w:val="C00000"/>
          <w:sz w:val="24"/>
          <w:szCs w:val="24"/>
        </w:rPr>
        <w:t>anomalija</w:t>
      </w:r>
      <w:r>
        <w:rPr>
          <w:sz w:val="24"/>
          <w:szCs w:val="24"/>
        </w:rPr>
        <w:t xml:space="preserve"> na tržištu dionica od kalendarskih efekata do sidrenja investitora na prošle informacije, efekta racionalnog ignoriranja, prilagodljivih stavova i ponašanja naspram drugih sudionika, pretjerane reakcije tržišta, izostanka reakcija tržišta na nove informacije, kao i mentalnih prečaca i itd. ističući kako činjenica da je na tržištima nemoguće ostvariti natprosječan prinos ne znači da su cijene ispravne, odnosno da smatraju da cijena nije isto što i vrijednost. Tako dok tradicionalna teorija negira dugotrajnu mogućnost postojanja precijenjenosti ili podcijenjenosti dionica, bihevi</w:t>
      </w:r>
      <w:r w:rsidR="006C0808">
        <w:rPr>
          <w:sz w:val="24"/>
          <w:szCs w:val="24"/>
        </w:rPr>
        <w:t>orističke financije ističu da precijenjenost/ podcijenjenost</w:t>
      </w:r>
      <w:r>
        <w:rPr>
          <w:sz w:val="24"/>
          <w:szCs w:val="24"/>
        </w:rPr>
        <w:t xml:space="preserve"> mo</w:t>
      </w:r>
      <w:r w:rsidR="00EF16AE">
        <w:rPr>
          <w:sz w:val="24"/>
          <w:szCs w:val="24"/>
        </w:rPr>
        <w:t>že</w:t>
      </w:r>
      <w:r>
        <w:rPr>
          <w:sz w:val="24"/>
          <w:szCs w:val="24"/>
        </w:rPr>
        <w:t xml:space="preserve"> postojati duže vremensko razdoblje</w:t>
      </w:r>
      <w:r w:rsidR="006C0808">
        <w:rPr>
          <w:sz w:val="24"/>
          <w:szCs w:val="24"/>
        </w:rPr>
        <w:t>,</w:t>
      </w:r>
      <w:r>
        <w:rPr>
          <w:sz w:val="24"/>
          <w:szCs w:val="24"/>
        </w:rPr>
        <w:t xml:space="preserve"> tijekom kojeg arbitražeri </w:t>
      </w:r>
      <w:r w:rsidR="00EF16AE">
        <w:rPr>
          <w:sz w:val="24"/>
          <w:szCs w:val="24"/>
        </w:rPr>
        <w:t xml:space="preserve">izbjegavajući </w:t>
      </w:r>
      <w:r>
        <w:rPr>
          <w:sz w:val="24"/>
          <w:szCs w:val="24"/>
        </w:rPr>
        <w:t xml:space="preserve">rizik propuštaju arbitražne prilike za ispravljanje pogrešno utvrđenih cijena. </w:t>
      </w:r>
    </w:p>
    <w:p w:rsidR="003D0E79" w:rsidRDefault="003D0E79" w:rsidP="003D0E79">
      <w:pPr>
        <w:autoSpaceDE w:val="0"/>
        <w:autoSpaceDN w:val="0"/>
        <w:adjustRightInd w:val="0"/>
        <w:spacing w:after="0"/>
        <w:jc w:val="both"/>
        <w:rPr>
          <w:sz w:val="24"/>
          <w:szCs w:val="24"/>
        </w:rPr>
      </w:pPr>
      <w:r>
        <w:rPr>
          <w:sz w:val="24"/>
          <w:szCs w:val="24"/>
        </w:rPr>
        <w:t xml:space="preserve">Jedna od čestih anomalija na tržištu dionica je tzv. </w:t>
      </w:r>
      <w:r w:rsidRPr="00196EFF">
        <w:rPr>
          <w:color w:val="C00000"/>
          <w:sz w:val="24"/>
          <w:szCs w:val="24"/>
        </w:rPr>
        <w:t>samoispunjavajuće proročanstvo</w:t>
      </w:r>
      <w:r>
        <w:rPr>
          <w:sz w:val="24"/>
          <w:szCs w:val="24"/>
        </w:rPr>
        <w:t>, a javlja se u situacijama kada istodobno brojni investitori koristeći fundamentalnu ili tehničku analizu dolaze do istih zaključaka ili se ravnaju po istim signalima pa:</w:t>
      </w:r>
    </w:p>
    <w:p w:rsidR="003D0E79" w:rsidRPr="00196EFF" w:rsidRDefault="003D0E79" w:rsidP="00C86D78">
      <w:pPr>
        <w:pStyle w:val="Odlomakpopisa"/>
        <w:numPr>
          <w:ilvl w:val="0"/>
          <w:numId w:val="93"/>
        </w:numPr>
        <w:autoSpaceDE w:val="0"/>
        <w:autoSpaceDN w:val="0"/>
        <w:adjustRightInd w:val="0"/>
        <w:jc w:val="both"/>
        <w:rPr>
          <w:sz w:val="24"/>
          <w:szCs w:val="24"/>
        </w:rPr>
      </w:pPr>
      <w:r w:rsidRPr="00196EFF">
        <w:rPr>
          <w:sz w:val="24"/>
          <w:szCs w:val="24"/>
        </w:rPr>
        <w:t>ako vjeruju da će vrijednost dionica porasti</w:t>
      </w:r>
      <w:r>
        <w:rPr>
          <w:sz w:val="24"/>
          <w:szCs w:val="24"/>
        </w:rPr>
        <w:t xml:space="preserve"> </w:t>
      </w:r>
      <w:r w:rsidRPr="00196EFF">
        <w:rPr>
          <w:sz w:val="24"/>
          <w:szCs w:val="24"/>
        </w:rPr>
        <w:t xml:space="preserve">kupuju dionice </w:t>
      </w:r>
      <w:r>
        <w:rPr>
          <w:sz w:val="24"/>
          <w:szCs w:val="24"/>
        </w:rPr>
        <w:t>(motivirajući istodobno i druge da se i oni tako ponašaju) či</w:t>
      </w:r>
      <w:r w:rsidRPr="00196EFF">
        <w:rPr>
          <w:sz w:val="24"/>
          <w:szCs w:val="24"/>
        </w:rPr>
        <w:t xml:space="preserve">me stvaraju realnost porasta vrijednosti dionica </w:t>
      </w:r>
    </w:p>
    <w:p w:rsidR="003D0E79" w:rsidRDefault="003D0E79" w:rsidP="00C86D78">
      <w:pPr>
        <w:pStyle w:val="Odlomakpopisa"/>
        <w:numPr>
          <w:ilvl w:val="0"/>
          <w:numId w:val="93"/>
        </w:numPr>
        <w:autoSpaceDE w:val="0"/>
        <w:autoSpaceDN w:val="0"/>
        <w:adjustRightInd w:val="0"/>
        <w:jc w:val="both"/>
        <w:rPr>
          <w:sz w:val="24"/>
          <w:szCs w:val="24"/>
        </w:rPr>
      </w:pPr>
      <w:r w:rsidRPr="00196EFF">
        <w:rPr>
          <w:sz w:val="24"/>
          <w:szCs w:val="24"/>
        </w:rPr>
        <w:t>dok ako vjeruju da će se vrijednost dionica smanjiti prodaju dionice</w:t>
      </w:r>
      <w:r>
        <w:rPr>
          <w:sz w:val="24"/>
          <w:szCs w:val="24"/>
        </w:rPr>
        <w:t xml:space="preserve"> (stimulirajući druge na prodaju)</w:t>
      </w:r>
      <w:r w:rsidRPr="00196EFF">
        <w:rPr>
          <w:sz w:val="24"/>
          <w:szCs w:val="24"/>
        </w:rPr>
        <w:t>, stvarajući realnost pada vrijednosti dionica</w:t>
      </w:r>
      <w:r>
        <w:rPr>
          <w:sz w:val="24"/>
          <w:szCs w:val="24"/>
        </w:rPr>
        <w:t xml:space="preserve">. </w:t>
      </w:r>
    </w:p>
    <w:p w:rsidR="003C7844" w:rsidRDefault="00424A31" w:rsidP="003D0E79">
      <w:pPr>
        <w:autoSpaceDE w:val="0"/>
        <w:autoSpaceDN w:val="0"/>
        <w:adjustRightInd w:val="0"/>
        <w:jc w:val="both"/>
        <w:rPr>
          <w:sz w:val="24"/>
          <w:szCs w:val="24"/>
        </w:rPr>
      </w:pPr>
      <w:r>
        <w:rPr>
          <w:sz w:val="24"/>
          <w:szCs w:val="24"/>
        </w:rPr>
        <w:t xml:space="preserve">Poseban problem dioničkih tržišta, kao i svih tržišta s mogućim visokim prinosima su </w:t>
      </w:r>
      <w:r w:rsidRPr="00B57CC4">
        <w:rPr>
          <w:color w:val="C00000"/>
          <w:sz w:val="24"/>
          <w:szCs w:val="24"/>
        </w:rPr>
        <w:t>pretjerane emocije pohlepe, straha ili nade dijela ulagača</w:t>
      </w:r>
      <w:r>
        <w:rPr>
          <w:sz w:val="24"/>
          <w:szCs w:val="24"/>
        </w:rPr>
        <w:t xml:space="preserve">, </w:t>
      </w:r>
      <w:r w:rsidR="00D021E3">
        <w:rPr>
          <w:sz w:val="24"/>
          <w:szCs w:val="24"/>
        </w:rPr>
        <w:t xml:space="preserve">uslijed </w:t>
      </w:r>
      <w:r>
        <w:rPr>
          <w:sz w:val="24"/>
          <w:szCs w:val="24"/>
        </w:rPr>
        <w:t xml:space="preserve">kojih tržišta s vremenom na vrijeme mogu imati obilježja iracionalnosti. </w:t>
      </w:r>
      <w:r w:rsidR="00D170CB" w:rsidRPr="00D170CB">
        <w:rPr>
          <w:sz w:val="24"/>
          <w:szCs w:val="24"/>
        </w:rPr>
        <w:t>Zbivanja na dioničkom tržištu često su vođena špekulativnim očekivanjima koja se javljaju prije objavljivanja financijskih izvještaja izdavatelja dionica te potom nerijetko pretjeranim reakcijama tržišta</w:t>
      </w:r>
      <w:r w:rsidR="00D170CB">
        <w:rPr>
          <w:sz w:val="24"/>
          <w:szCs w:val="24"/>
        </w:rPr>
        <w:t xml:space="preserve"> nakon što podaci postanu poznati široj javnosti</w:t>
      </w:r>
      <w:r w:rsidR="00D170CB" w:rsidRPr="00D170CB">
        <w:rPr>
          <w:sz w:val="24"/>
          <w:szCs w:val="24"/>
        </w:rPr>
        <w:t xml:space="preserve">. Pojam koji se s time povezuje je tzv.  </w:t>
      </w:r>
      <w:r w:rsidR="00D170CB" w:rsidRPr="00D170CB">
        <w:rPr>
          <w:color w:val="C00000"/>
          <w:sz w:val="24"/>
          <w:szCs w:val="24"/>
        </w:rPr>
        <w:t xml:space="preserve">kvartalni kapitalizam </w:t>
      </w:r>
      <w:r w:rsidR="00D170CB" w:rsidRPr="00D170CB">
        <w:rPr>
          <w:sz w:val="24"/>
          <w:szCs w:val="24"/>
        </w:rPr>
        <w:t xml:space="preserve">kojim se naziva ekonomski sustav u kojem burza i interpretacije kvartalnih financijskih </w:t>
      </w:r>
      <w:r w:rsidR="00D170CB" w:rsidRPr="00D170CB">
        <w:rPr>
          <w:sz w:val="24"/>
          <w:szCs w:val="24"/>
        </w:rPr>
        <w:lastRenderedPageBreak/>
        <w:t>izvještaja o poslovanju poduzeća (preko kretanja cijena dionica) određuju dinamiku razvoja gospodarstva.</w:t>
      </w:r>
      <w:r w:rsidR="003C7844">
        <w:rPr>
          <w:rStyle w:val="Referencafusnote"/>
          <w:sz w:val="24"/>
          <w:szCs w:val="24"/>
        </w:rPr>
        <w:footnoteReference w:id="106"/>
      </w:r>
      <w:r w:rsidR="00D170CB" w:rsidRPr="00D170CB">
        <w:rPr>
          <w:sz w:val="24"/>
          <w:szCs w:val="24"/>
        </w:rPr>
        <w:t xml:space="preserve"> </w:t>
      </w:r>
    </w:p>
    <w:p w:rsidR="003C7844" w:rsidRPr="003C7844" w:rsidRDefault="003C7844" w:rsidP="003D0E79">
      <w:pPr>
        <w:autoSpaceDE w:val="0"/>
        <w:autoSpaceDN w:val="0"/>
        <w:adjustRightInd w:val="0"/>
        <w:jc w:val="both"/>
        <w:rPr>
          <w:i/>
          <w:sz w:val="24"/>
          <w:szCs w:val="24"/>
        </w:rPr>
      </w:pPr>
      <w:r w:rsidRPr="003C7844">
        <w:rPr>
          <w:i/>
          <w:sz w:val="24"/>
          <w:szCs w:val="24"/>
        </w:rPr>
        <w:t>„</w:t>
      </w:r>
      <w:r w:rsidR="00D170CB" w:rsidRPr="003C7844">
        <w:rPr>
          <w:i/>
          <w:sz w:val="24"/>
          <w:szCs w:val="24"/>
        </w:rPr>
        <w:t>Kvartalna ekonomija funkcionira ovisno o špekulativnim očekivanjima kako profesionalnih ulagača tako i brojnih ulagača amatera čija je pažnja usmjerena primarno na kratak rok (tzv. Short-Termism) pa ih nužno ne zanima financiranje proizvodnje i inovativnih aktivnosti u poduzetničkoj djelatnosti, kao što ih uglavnom ne zanima niti dugoročni opstanak poduzeća čije dionice kupuju, nego samo činjenica da li u nekoliko minuta ili nekoliko sljedećih dana dotičnu dionicu mogu kupiti po nižoj cijeni i prodati po višoj cijeni. U takvom okruženju financijsko tržište dobiva potpunu prevlast nad gospodarstvom. Nadalje zbog liberalizacije međunarodnih tokova kapitala i internacionalizacije financijskih ulaganja na globalnoj razini, poremećaji se često šire s jednih tržišta na druga, odnosno iz jedne zemlje u drugu</w:t>
      </w:r>
      <w:r w:rsidRPr="003C7844">
        <w:rPr>
          <w:i/>
          <w:sz w:val="24"/>
          <w:szCs w:val="24"/>
        </w:rPr>
        <w:t xml:space="preserve"> bilo zbog </w:t>
      </w:r>
      <w:r w:rsidR="00D170CB" w:rsidRPr="003C7844">
        <w:rPr>
          <w:i/>
          <w:sz w:val="24"/>
          <w:szCs w:val="24"/>
        </w:rPr>
        <w:t>globaln</w:t>
      </w:r>
      <w:r w:rsidRPr="003C7844">
        <w:rPr>
          <w:i/>
          <w:sz w:val="24"/>
          <w:szCs w:val="24"/>
        </w:rPr>
        <w:t>e</w:t>
      </w:r>
      <w:r w:rsidR="00D170CB" w:rsidRPr="003C7844">
        <w:rPr>
          <w:i/>
          <w:sz w:val="24"/>
          <w:szCs w:val="24"/>
        </w:rPr>
        <w:t xml:space="preserve"> financijsk</w:t>
      </w:r>
      <w:r w:rsidRPr="003C7844">
        <w:rPr>
          <w:i/>
          <w:sz w:val="24"/>
          <w:szCs w:val="24"/>
        </w:rPr>
        <w:t>e</w:t>
      </w:r>
      <w:r w:rsidR="00D170CB" w:rsidRPr="003C7844">
        <w:rPr>
          <w:i/>
          <w:sz w:val="24"/>
          <w:szCs w:val="24"/>
        </w:rPr>
        <w:t xml:space="preserve"> umrežen</w:t>
      </w:r>
      <w:r w:rsidRPr="003C7844">
        <w:rPr>
          <w:i/>
          <w:sz w:val="24"/>
          <w:szCs w:val="24"/>
        </w:rPr>
        <w:t>osti</w:t>
      </w:r>
      <w:r w:rsidR="00D170CB" w:rsidRPr="003C7844">
        <w:rPr>
          <w:i/>
          <w:sz w:val="24"/>
          <w:szCs w:val="24"/>
        </w:rPr>
        <w:t xml:space="preserve"> kroz međugranična ulaganja, </w:t>
      </w:r>
      <w:r w:rsidRPr="003C7844">
        <w:rPr>
          <w:i/>
          <w:sz w:val="24"/>
          <w:szCs w:val="24"/>
        </w:rPr>
        <w:t xml:space="preserve">bilo kroz povezanost determiniranu </w:t>
      </w:r>
      <w:r w:rsidR="00D170CB" w:rsidRPr="003C7844">
        <w:rPr>
          <w:i/>
          <w:sz w:val="24"/>
          <w:szCs w:val="24"/>
        </w:rPr>
        <w:t>međunarodn</w:t>
      </w:r>
      <w:r w:rsidRPr="003C7844">
        <w:rPr>
          <w:i/>
          <w:sz w:val="24"/>
          <w:szCs w:val="24"/>
        </w:rPr>
        <w:t>om razmjenom</w:t>
      </w:r>
      <w:r w:rsidR="00D170CB" w:rsidRPr="003C7844">
        <w:rPr>
          <w:i/>
          <w:sz w:val="24"/>
          <w:szCs w:val="24"/>
        </w:rPr>
        <w:t xml:space="preserve"> roba i usluga</w:t>
      </w:r>
      <w:r w:rsidRPr="003C7844">
        <w:rPr>
          <w:i/>
          <w:sz w:val="24"/>
          <w:szCs w:val="24"/>
        </w:rPr>
        <w:t>. Financijske krize stoga su sve češće regionalni i globalni fenomen.“</w:t>
      </w:r>
      <w:r w:rsidR="008166F8">
        <w:rPr>
          <w:rStyle w:val="Referencafusnote"/>
          <w:i/>
          <w:sz w:val="24"/>
          <w:szCs w:val="24"/>
        </w:rPr>
        <w:footnoteReference w:id="107"/>
      </w:r>
    </w:p>
    <w:p w:rsidR="003C7844" w:rsidRDefault="007711AB" w:rsidP="003D0E79">
      <w:pPr>
        <w:autoSpaceDE w:val="0"/>
        <w:autoSpaceDN w:val="0"/>
        <w:adjustRightInd w:val="0"/>
        <w:jc w:val="both"/>
        <w:rPr>
          <w:sz w:val="24"/>
          <w:szCs w:val="24"/>
        </w:rPr>
      </w:pPr>
      <w:r>
        <w:rPr>
          <w:sz w:val="24"/>
          <w:szCs w:val="24"/>
        </w:rPr>
        <w:t xml:space="preserve">Zbog </w:t>
      </w:r>
      <w:r w:rsidR="003C7844">
        <w:rPr>
          <w:sz w:val="24"/>
          <w:szCs w:val="24"/>
        </w:rPr>
        <w:t xml:space="preserve">povremenih sklonosti špekulativnom ponašanju investitora (kako malih tako i profesionalnih), </w:t>
      </w:r>
      <w:r>
        <w:rPr>
          <w:sz w:val="24"/>
          <w:szCs w:val="24"/>
        </w:rPr>
        <w:t xml:space="preserve">dionička tržišta i burze se </w:t>
      </w:r>
      <w:r w:rsidR="00D021E3">
        <w:rPr>
          <w:sz w:val="24"/>
          <w:szCs w:val="24"/>
        </w:rPr>
        <w:t xml:space="preserve">katkada </w:t>
      </w:r>
      <w:r>
        <w:rPr>
          <w:sz w:val="24"/>
          <w:szCs w:val="24"/>
        </w:rPr>
        <w:t xml:space="preserve">uspoređuju s kasinom pa se govori i o tzv. </w:t>
      </w:r>
      <w:r w:rsidRPr="006C0808">
        <w:rPr>
          <w:color w:val="C00000"/>
          <w:sz w:val="24"/>
          <w:szCs w:val="24"/>
        </w:rPr>
        <w:t>kasino kapitalizmu</w:t>
      </w:r>
      <w:r w:rsidR="00424A31">
        <w:rPr>
          <w:sz w:val="24"/>
          <w:szCs w:val="24"/>
        </w:rPr>
        <w:t>. No</w:t>
      </w:r>
      <w:r w:rsidR="003C7844">
        <w:rPr>
          <w:sz w:val="24"/>
          <w:szCs w:val="24"/>
        </w:rPr>
        <w:t>,</w:t>
      </w:r>
      <w:r w:rsidR="00424A31">
        <w:rPr>
          <w:sz w:val="24"/>
          <w:szCs w:val="24"/>
        </w:rPr>
        <w:t xml:space="preserve"> to nikako nije </w:t>
      </w:r>
      <w:r w:rsidR="00DE7DB6">
        <w:rPr>
          <w:sz w:val="24"/>
          <w:szCs w:val="24"/>
        </w:rPr>
        <w:t>njihova</w:t>
      </w:r>
      <w:r w:rsidR="006C0808">
        <w:rPr>
          <w:sz w:val="24"/>
          <w:szCs w:val="24"/>
        </w:rPr>
        <w:t xml:space="preserve"> svrha, jer su upravo burze, kao i</w:t>
      </w:r>
      <w:r w:rsidR="00424A31">
        <w:rPr>
          <w:sz w:val="24"/>
          <w:szCs w:val="24"/>
        </w:rPr>
        <w:t xml:space="preserve"> </w:t>
      </w:r>
      <w:r w:rsidR="00DE7DB6">
        <w:rPr>
          <w:sz w:val="24"/>
          <w:szCs w:val="24"/>
        </w:rPr>
        <w:t>razvijena</w:t>
      </w:r>
      <w:r w:rsidR="006C0808">
        <w:rPr>
          <w:sz w:val="24"/>
          <w:szCs w:val="24"/>
        </w:rPr>
        <w:t xml:space="preserve"> </w:t>
      </w:r>
      <w:r w:rsidR="00DE7DB6">
        <w:rPr>
          <w:sz w:val="24"/>
          <w:szCs w:val="24"/>
        </w:rPr>
        <w:t xml:space="preserve">duboka </w:t>
      </w:r>
      <w:r w:rsidR="00424A31">
        <w:rPr>
          <w:sz w:val="24"/>
          <w:szCs w:val="24"/>
        </w:rPr>
        <w:t xml:space="preserve">dionička tržišta jedan od faktora razvoja tržišne i ukupne nacionalne ekonomije i </w:t>
      </w:r>
      <w:r w:rsidR="00DE7DB6">
        <w:rPr>
          <w:sz w:val="24"/>
          <w:szCs w:val="24"/>
        </w:rPr>
        <w:t xml:space="preserve">financijskog sustava te bitan element za adekvatno financiranje poduzeća i drugih ekonomskih subjekata </w:t>
      </w:r>
      <w:r w:rsidR="006C0808">
        <w:rPr>
          <w:sz w:val="24"/>
          <w:szCs w:val="24"/>
        </w:rPr>
        <w:t xml:space="preserve">- </w:t>
      </w:r>
      <w:r w:rsidR="00DE7DB6">
        <w:rPr>
          <w:sz w:val="24"/>
          <w:szCs w:val="24"/>
        </w:rPr>
        <w:t>bilo putem instrumenata vlasničkih ulaganja, bilo putem dužničkog financiranja obveznicama, komercijalnim zapisima i drugim financijskim instrumentima</w:t>
      </w:r>
      <w:r w:rsidR="00D021E3">
        <w:rPr>
          <w:sz w:val="24"/>
          <w:szCs w:val="24"/>
        </w:rPr>
        <w:t xml:space="preserve">. </w:t>
      </w:r>
    </w:p>
    <w:p w:rsidR="003D0E79" w:rsidRDefault="00B57CC4" w:rsidP="003D0E79">
      <w:pPr>
        <w:autoSpaceDE w:val="0"/>
        <w:autoSpaceDN w:val="0"/>
        <w:adjustRightInd w:val="0"/>
        <w:jc w:val="both"/>
        <w:rPr>
          <w:sz w:val="24"/>
          <w:szCs w:val="24"/>
        </w:rPr>
      </w:pPr>
      <w:r>
        <w:rPr>
          <w:sz w:val="24"/>
          <w:szCs w:val="24"/>
        </w:rPr>
        <w:t>Kako bi se osigurala adekvatnost funkcioniranja dioničkih tržišta, uređenosti sustava pridonosi zakonska regulativa</w:t>
      </w:r>
      <w:r w:rsidR="006C0808">
        <w:rPr>
          <w:sz w:val="24"/>
          <w:szCs w:val="24"/>
        </w:rPr>
        <w:t xml:space="preserve">. U </w:t>
      </w:r>
      <w:r>
        <w:rPr>
          <w:sz w:val="24"/>
          <w:szCs w:val="24"/>
        </w:rPr>
        <w:t>Hrvatskoj</w:t>
      </w:r>
      <w:r w:rsidR="006C0808">
        <w:rPr>
          <w:sz w:val="24"/>
          <w:szCs w:val="24"/>
        </w:rPr>
        <w:t xml:space="preserve"> je to</w:t>
      </w:r>
      <w:r>
        <w:rPr>
          <w:sz w:val="24"/>
          <w:szCs w:val="24"/>
        </w:rPr>
        <w:t xml:space="preserve"> </w:t>
      </w:r>
      <w:r w:rsidRPr="00D170CB">
        <w:rPr>
          <w:i/>
          <w:sz w:val="24"/>
          <w:szCs w:val="24"/>
        </w:rPr>
        <w:t>Zakon o tržištu kapitala</w:t>
      </w:r>
      <w:r w:rsidR="006C0808">
        <w:rPr>
          <w:sz w:val="24"/>
          <w:szCs w:val="24"/>
        </w:rPr>
        <w:t xml:space="preserve"> te druga zakonska i podzakonska regulativa koja se na njega nadovezuje.</w:t>
      </w:r>
      <w:r>
        <w:rPr>
          <w:sz w:val="24"/>
          <w:szCs w:val="24"/>
        </w:rPr>
        <w:t xml:space="preserve"> Nadalje na tržištu postoji regulator koji nadzire izdavatelje dionica i drugih vrijednosnica </w:t>
      </w:r>
      <w:r w:rsidR="006C0808">
        <w:rPr>
          <w:sz w:val="24"/>
          <w:szCs w:val="24"/>
        </w:rPr>
        <w:t>te</w:t>
      </w:r>
      <w:r>
        <w:rPr>
          <w:sz w:val="24"/>
          <w:szCs w:val="24"/>
        </w:rPr>
        <w:t xml:space="preserve"> transparentnost informiranja javnosti</w:t>
      </w:r>
      <w:r w:rsidR="006C0808">
        <w:rPr>
          <w:sz w:val="24"/>
          <w:szCs w:val="24"/>
        </w:rPr>
        <w:t>;</w:t>
      </w:r>
      <w:r>
        <w:rPr>
          <w:sz w:val="24"/>
          <w:szCs w:val="24"/>
        </w:rPr>
        <w:t xml:space="preserve"> koji nadzire burzu i druge segmente organiziranog trgovanja, kao i sudionike tržišta uključujući segment poslovanja financijskih institucija (mirovinskih fondova, investicijskih fondova i drugih) koji se odnose na ulaganje u vrijednosnice i druge financijske instrumente na tržištu novca i kapitala. U Hrvatskoj je to </w:t>
      </w:r>
      <w:r w:rsidRPr="00B57CC4">
        <w:rPr>
          <w:color w:val="C00000"/>
          <w:sz w:val="24"/>
          <w:szCs w:val="24"/>
        </w:rPr>
        <w:t>Hrvatska agencija za nadzor financijskih usluga – Hanfa</w:t>
      </w:r>
      <w:r>
        <w:rPr>
          <w:sz w:val="24"/>
          <w:szCs w:val="24"/>
        </w:rPr>
        <w:t xml:space="preserve">. </w:t>
      </w:r>
    </w:p>
    <w:p w:rsidR="00B57CC4" w:rsidRDefault="00B57CC4" w:rsidP="008166F8">
      <w:pPr>
        <w:pStyle w:val="StandardWeb"/>
        <w:shd w:val="clear" w:color="auto" w:fill="FFFFFF"/>
        <w:spacing w:before="0" w:beforeAutospacing="0" w:after="240" w:afterAutospacing="0" w:line="276" w:lineRule="auto"/>
        <w:jc w:val="both"/>
        <w:textAlignment w:val="baseline"/>
        <w:rPr>
          <w:rFonts w:asciiTheme="minorHAnsi" w:eastAsiaTheme="minorHAnsi" w:hAnsiTheme="minorHAnsi" w:cstheme="minorBidi"/>
          <w:i/>
          <w:lang w:eastAsia="en-US"/>
        </w:rPr>
      </w:pPr>
      <w:r w:rsidRPr="00B57CC4">
        <w:rPr>
          <w:rFonts w:asciiTheme="minorHAnsi" w:eastAsiaTheme="minorHAnsi" w:hAnsiTheme="minorHAnsi" w:cstheme="minorBidi"/>
          <w:i/>
          <w:lang w:eastAsia="en-US"/>
        </w:rPr>
        <w:t xml:space="preserve">„Hrvatska agencija za nadzor financijskih usluga je nadzorno tijelo u čiji djelokrug i nadležnost spada nadzor financijskih tržišta, financijskih usluga te pravnih i fizičkih osoba koje te usluge pružaju. Hanfa provodi nadzor nad poslovanjem burzi i uređenih javnih tržišta, investicijskih društava i izdavatelja vrijednosnih papira, brokera i investicijskih savjetnika, vezanih zastupnika, </w:t>
      </w:r>
      <w:r w:rsidR="005863E7">
        <w:rPr>
          <w:rFonts w:asciiTheme="minorHAnsi" w:eastAsiaTheme="minorHAnsi" w:hAnsiTheme="minorHAnsi" w:cstheme="minorBidi"/>
          <w:i/>
          <w:lang w:eastAsia="en-US"/>
        </w:rPr>
        <w:t>S</w:t>
      </w:r>
      <w:r w:rsidRPr="00B57CC4">
        <w:rPr>
          <w:rFonts w:asciiTheme="minorHAnsi" w:eastAsiaTheme="minorHAnsi" w:hAnsiTheme="minorHAnsi" w:cstheme="minorBidi"/>
          <w:i/>
          <w:lang w:eastAsia="en-US"/>
        </w:rPr>
        <w:t xml:space="preserve">redišnjeg klirinškog depozitarnog društva, društava za osiguranje i reosiguranje, zastupnika i posrednika u osiguranju i reosiguranju, društava za upravljanje </w:t>
      </w:r>
      <w:r w:rsidRPr="00B57CC4">
        <w:rPr>
          <w:rFonts w:asciiTheme="minorHAnsi" w:eastAsiaTheme="minorHAnsi" w:hAnsiTheme="minorHAnsi" w:cstheme="minorBidi"/>
          <w:i/>
          <w:lang w:eastAsia="en-US"/>
        </w:rPr>
        <w:lastRenderedPageBreak/>
        <w:t>investicijskim i mirovinskim fondovima, mirovinskih osiguravajućih društava, investicijskih i mirovinskih fondova, Središnjeg registra osiguranika, Fonda hrvatskih branitelja iz Domovinskog rata i članova njihovih obitelji, Umirovljeničkog fonda i pravnih osoba koje se bave poslovima leasinga i faktoringa, osim ako ih banke obavljaju unutar svoje registrirane djelatnosti. … Temeljni su ciljevi Hanfe promicanje i očuvanje stabilnosti financijskog sustava i nadzor zakonitosti poslovanja subjekata nadzora, a u ostvarivanju svojih ciljeva Hanfa se rukovodi načelima transparentnosti, izgradnje povjerenja među sudionicima financijskih tržišta i izvješćivanja potrošača.“</w:t>
      </w:r>
      <w:r w:rsidR="008166F8">
        <w:rPr>
          <w:rStyle w:val="Referencafusnote"/>
          <w:rFonts w:asciiTheme="minorHAnsi" w:eastAsiaTheme="minorHAnsi" w:hAnsiTheme="minorHAnsi" w:cstheme="minorBidi"/>
          <w:i/>
          <w:lang w:eastAsia="en-US"/>
        </w:rPr>
        <w:footnoteReference w:id="108"/>
      </w:r>
    </w:p>
    <w:tbl>
      <w:tblPr>
        <w:tblStyle w:val="Reetkatablice"/>
        <w:tblW w:w="0" w:type="auto"/>
        <w:tblInd w:w="108" w:type="dxa"/>
        <w:tblLook w:val="0000" w:firstRow="0" w:lastRow="0" w:firstColumn="0" w:lastColumn="0" w:noHBand="0" w:noVBand="0"/>
      </w:tblPr>
      <w:tblGrid>
        <w:gridCol w:w="3261"/>
        <w:gridCol w:w="5919"/>
      </w:tblGrid>
      <w:tr w:rsidR="00FA7FF5" w:rsidTr="00FA7FF5">
        <w:trPr>
          <w:trHeight w:val="765"/>
        </w:trPr>
        <w:tc>
          <w:tcPr>
            <w:tcW w:w="9180" w:type="dxa"/>
            <w:gridSpan w:val="2"/>
            <w:tcBorders>
              <w:top w:val="single" w:sz="4" w:space="0" w:color="auto"/>
              <w:left w:val="single" w:sz="4" w:space="0" w:color="auto"/>
              <w:bottom w:val="nil"/>
              <w:right w:val="single" w:sz="4" w:space="0" w:color="auto"/>
            </w:tcBorders>
          </w:tcPr>
          <w:p w:rsidR="00FA7FF5" w:rsidRPr="007B57DA" w:rsidRDefault="00FA7FF5" w:rsidP="00FA7FF5">
            <w:pPr>
              <w:autoSpaceDE w:val="0"/>
              <w:autoSpaceDN w:val="0"/>
              <w:adjustRightInd w:val="0"/>
              <w:spacing w:before="120" w:after="120"/>
              <w:jc w:val="both"/>
              <w:rPr>
                <w:rFonts w:asciiTheme="minorHAnsi" w:eastAsiaTheme="minorHAnsi" w:hAnsiTheme="minorHAnsi" w:cstheme="minorBidi"/>
                <w:color w:val="C00000"/>
                <w:sz w:val="24"/>
                <w:szCs w:val="24"/>
                <w:lang w:eastAsia="en-US"/>
              </w:rPr>
            </w:pPr>
            <w:r>
              <w:rPr>
                <w:rFonts w:asciiTheme="minorHAnsi" w:eastAsiaTheme="minorHAnsi" w:hAnsiTheme="minorHAnsi" w:cstheme="minorBidi"/>
                <w:color w:val="C00000"/>
                <w:sz w:val="24"/>
                <w:szCs w:val="24"/>
                <w:lang w:eastAsia="en-US"/>
              </w:rPr>
              <w:t xml:space="preserve">Osvrt na </w:t>
            </w:r>
            <w:r w:rsidRPr="007B57DA">
              <w:rPr>
                <w:rFonts w:asciiTheme="minorHAnsi" w:eastAsiaTheme="minorHAnsi" w:hAnsiTheme="minorHAnsi" w:cstheme="minorBidi"/>
                <w:color w:val="C00000"/>
                <w:sz w:val="24"/>
                <w:szCs w:val="24"/>
                <w:lang w:eastAsia="en-US"/>
              </w:rPr>
              <w:t>Zagrebačk</w:t>
            </w:r>
            <w:r>
              <w:rPr>
                <w:rFonts w:asciiTheme="minorHAnsi" w:eastAsiaTheme="minorHAnsi" w:hAnsiTheme="minorHAnsi" w:cstheme="minorBidi"/>
                <w:color w:val="C00000"/>
                <w:sz w:val="24"/>
                <w:szCs w:val="24"/>
                <w:lang w:eastAsia="en-US"/>
              </w:rPr>
              <w:t>u</w:t>
            </w:r>
            <w:r w:rsidRPr="007B57DA">
              <w:rPr>
                <w:rFonts w:asciiTheme="minorHAnsi" w:eastAsiaTheme="minorHAnsi" w:hAnsiTheme="minorHAnsi" w:cstheme="minorBidi"/>
                <w:color w:val="C00000"/>
                <w:sz w:val="24"/>
                <w:szCs w:val="24"/>
                <w:lang w:eastAsia="en-US"/>
              </w:rPr>
              <w:t xml:space="preserve"> burz</w:t>
            </w:r>
            <w:r>
              <w:rPr>
                <w:rFonts w:asciiTheme="minorHAnsi" w:eastAsiaTheme="minorHAnsi" w:hAnsiTheme="minorHAnsi" w:cstheme="minorBidi"/>
                <w:color w:val="C00000"/>
                <w:sz w:val="24"/>
                <w:szCs w:val="24"/>
                <w:lang w:eastAsia="en-US"/>
              </w:rPr>
              <w:t>u</w:t>
            </w:r>
            <w:r w:rsidRPr="007B57DA">
              <w:rPr>
                <w:rFonts w:asciiTheme="minorHAnsi" w:eastAsiaTheme="minorHAnsi" w:hAnsiTheme="minorHAnsi" w:cstheme="minorBidi"/>
                <w:color w:val="C00000"/>
                <w:sz w:val="24"/>
                <w:szCs w:val="24"/>
                <w:lang w:eastAsia="en-US"/>
              </w:rPr>
              <w:t xml:space="preserve"> d.d.</w:t>
            </w:r>
            <w:r>
              <w:rPr>
                <w:rFonts w:asciiTheme="minorHAnsi" w:eastAsiaTheme="minorHAnsi" w:hAnsiTheme="minorHAnsi" w:cstheme="minorBidi"/>
                <w:color w:val="C00000"/>
                <w:sz w:val="24"/>
                <w:szCs w:val="24"/>
                <w:lang w:eastAsia="en-US"/>
              </w:rPr>
              <w:t xml:space="preserve"> </w:t>
            </w:r>
          </w:p>
          <w:p w:rsidR="00DA20DD" w:rsidRDefault="00FA7FF5" w:rsidP="00AD3DC4">
            <w:pPr>
              <w:pStyle w:val="StandardWeb"/>
              <w:shd w:val="clear" w:color="auto" w:fill="FFFFFF"/>
              <w:spacing w:before="120" w:beforeAutospacing="0" w:after="120" w:afterAutospacing="0"/>
              <w:jc w:val="both"/>
              <w:rPr>
                <w:rFonts w:asciiTheme="minorHAnsi" w:eastAsiaTheme="minorHAnsi" w:hAnsiTheme="minorHAnsi" w:cstheme="minorBidi"/>
                <w:i/>
                <w:lang w:eastAsia="en-US"/>
              </w:rPr>
            </w:pPr>
            <w:r w:rsidRPr="007B57DA">
              <w:rPr>
                <w:rFonts w:asciiTheme="minorHAnsi" w:eastAsiaTheme="minorHAnsi" w:hAnsiTheme="minorHAnsi" w:cstheme="minorBidi"/>
                <w:i/>
                <w:lang w:eastAsia="en-US"/>
              </w:rPr>
              <w:t xml:space="preserve">„Obnova Burze u Hrvatskoj uslijedila je tek 1991. godine, kada je 25 banaka i 2 osiguravajuća društva utemeljilo Zagrebačku burzu kao centralno mjesto trgovine vrijednosnim papirima u Republici Hrvatskoj. Tu funkciju Zagrebačka burza ima i danas. Od početnih dvadeset pet članova (brokerskih kuća), rastom i razvojem trgovanja broj se povećao na četrdesetak aktivnih trgovaca: banaka i privatnih brokerskih kuća. U samim počecima trgovalo se na velikim dražbama koje su organizirane u sjedištu Burze na Ksaveru i na kojima su svi brokeri bili fizički prisutni. Godine 1994. uveden je elektronički trgovinski sustav koji omogućava da brokeri članovi Burze budu telekomunikacijski povezani i trguju na Burzi ne napuštajući </w:t>
            </w:r>
            <w:r w:rsidR="0011236A">
              <w:rPr>
                <w:rFonts w:asciiTheme="minorHAnsi" w:eastAsiaTheme="minorHAnsi" w:hAnsiTheme="minorHAnsi" w:cstheme="minorBidi"/>
                <w:i/>
                <w:lang w:eastAsia="en-US"/>
              </w:rPr>
              <w:t>svoje urede diljem Hrvatske. …</w:t>
            </w:r>
          </w:p>
          <w:p w:rsidR="0011236A" w:rsidRDefault="0011236A" w:rsidP="00AD3DC4">
            <w:pPr>
              <w:pStyle w:val="StandardWeb"/>
              <w:shd w:val="clear" w:color="auto" w:fill="FFFFFF"/>
              <w:spacing w:before="0" w:beforeAutospacing="0" w:after="120" w:afterAutospacing="0"/>
              <w:jc w:val="both"/>
              <w:rPr>
                <w:rFonts w:asciiTheme="minorHAnsi" w:eastAsiaTheme="minorHAnsi" w:hAnsiTheme="minorHAnsi" w:cstheme="minorBidi"/>
                <w:i/>
                <w:lang w:eastAsia="en-US"/>
              </w:rPr>
            </w:pPr>
            <w:r>
              <w:rPr>
                <w:rFonts w:asciiTheme="minorHAnsi" w:eastAsiaTheme="minorHAnsi" w:hAnsiTheme="minorHAnsi" w:cstheme="minorBidi"/>
                <w:i/>
                <w:lang w:eastAsia="en-US"/>
              </w:rPr>
              <w:t xml:space="preserve">…. </w:t>
            </w:r>
            <w:r w:rsidRPr="007B57DA">
              <w:rPr>
                <w:rFonts w:asciiTheme="minorHAnsi" w:eastAsiaTheme="minorHAnsi" w:hAnsiTheme="minorHAnsi" w:cstheme="minorBidi"/>
                <w:i/>
                <w:lang w:eastAsia="en-US"/>
              </w:rPr>
              <w:t xml:space="preserve">Trgovina vrijednosnim papirima (dionicama i obveznicama) na Zagrebačkoj burzi odvija se putem elektroničkog trgovinskog sustava. </w:t>
            </w:r>
            <w:r>
              <w:rPr>
                <w:rFonts w:asciiTheme="minorHAnsi" w:eastAsiaTheme="minorHAnsi" w:hAnsiTheme="minorHAnsi" w:cstheme="minorBidi"/>
                <w:i/>
                <w:lang w:eastAsia="en-US"/>
              </w:rPr>
              <w:t xml:space="preserve">… </w:t>
            </w:r>
            <w:r w:rsidRPr="007B57DA">
              <w:rPr>
                <w:rFonts w:asciiTheme="minorHAnsi" w:eastAsiaTheme="minorHAnsi" w:hAnsiTheme="minorHAnsi" w:cstheme="minorBidi"/>
                <w:i/>
                <w:lang w:eastAsia="en-US"/>
              </w:rPr>
              <w:t xml:space="preserve">Brokerske kuće, članice Burze, povezane su posebnim telekomunikacijskim vezama sa sjedištem Burze i unose naloge za kupnju ili prodaju izravno iz svojih ureda te zaključuju transakcije s ostalim brokerima. Dakle, ne postoji jedno fizičko mjesto (tradicionalni floor) gdje se odvija trgovina vrijednosnim papirima, već ona teče putem elektronički povezanih trgovaca. </w:t>
            </w:r>
          </w:p>
        </w:tc>
      </w:tr>
      <w:tr w:rsidR="00FA7FF5" w:rsidTr="0011236A">
        <w:trPr>
          <w:trHeight w:val="915"/>
        </w:trPr>
        <w:tc>
          <w:tcPr>
            <w:tcW w:w="3261" w:type="dxa"/>
            <w:tcBorders>
              <w:top w:val="nil"/>
              <w:left w:val="single" w:sz="4" w:space="0" w:color="auto"/>
              <w:bottom w:val="nil"/>
              <w:right w:val="nil"/>
            </w:tcBorders>
          </w:tcPr>
          <w:p w:rsidR="00FA7FF5" w:rsidRDefault="00FA7FF5" w:rsidP="005A0D7D">
            <w:pPr>
              <w:pStyle w:val="StandardWeb"/>
              <w:shd w:val="clear" w:color="auto" w:fill="FFFFFF"/>
              <w:spacing w:before="0" w:beforeAutospacing="0" w:after="120" w:afterAutospacing="0" w:line="276" w:lineRule="auto"/>
              <w:jc w:val="center"/>
              <w:textAlignment w:val="baseline"/>
              <w:rPr>
                <w:rFonts w:asciiTheme="minorHAnsi" w:eastAsiaTheme="minorHAnsi" w:hAnsiTheme="minorHAnsi" w:cstheme="minorBidi"/>
                <w:i/>
                <w:lang w:eastAsia="en-US"/>
              </w:rPr>
            </w:pPr>
            <w:r>
              <w:rPr>
                <w:noProof/>
              </w:rPr>
              <w:drawing>
                <wp:inline distT="0" distB="0" distL="0" distR="0" wp14:anchorId="42C1B00B" wp14:editId="1B8B5FF4">
                  <wp:extent cx="1835149" cy="2743200"/>
                  <wp:effectExtent l="0" t="0" r="0" b="0"/>
                  <wp:docPr id="29696" name="Slika 29696" descr="http://www.zse.hr/UserDocsImages/slike/toran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zse.hr/UserDocsImages/slike/toranj1.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839828" cy="2750194"/>
                          </a:xfrm>
                          <a:prstGeom prst="rect">
                            <a:avLst/>
                          </a:prstGeom>
                          <a:noFill/>
                          <a:ln>
                            <a:noFill/>
                          </a:ln>
                        </pic:spPr>
                      </pic:pic>
                    </a:graphicData>
                  </a:graphic>
                </wp:inline>
              </w:drawing>
            </w:r>
          </w:p>
        </w:tc>
        <w:tc>
          <w:tcPr>
            <w:tcW w:w="5919" w:type="dxa"/>
            <w:tcBorders>
              <w:top w:val="nil"/>
              <w:left w:val="nil"/>
              <w:bottom w:val="nil"/>
              <w:right w:val="single" w:sz="4" w:space="0" w:color="auto"/>
            </w:tcBorders>
          </w:tcPr>
          <w:p w:rsidR="005A0D7D" w:rsidRDefault="005A0D7D" w:rsidP="0011236A">
            <w:pPr>
              <w:pStyle w:val="StandardWeb"/>
              <w:shd w:val="clear" w:color="auto" w:fill="FFFFFF"/>
              <w:spacing w:before="0" w:beforeAutospacing="0" w:after="120" w:afterAutospacing="0"/>
              <w:jc w:val="both"/>
              <w:rPr>
                <w:rFonts w:asciiTheme="minorHAnsi" w:eastAsiaTheme="minorHAnsi" w:hAnsiTheme="minorHAnsi" w:cstheme="minorBidi"/>
                <w:i/>
                <w:lang w:eastAsia="en-US"/>
              </w:rPr>
            </w:pPr>
          </w:p>
          <w:p w:rsidR="0011236A" w:rsidRDefault="0011236A" w:rsidP="0011236A">
            <w:pPr>
              <w:pStyle w:val="StandardWeb"/>
              <w:shd w:val="clear" w:color="auto" w:fill="FFFFFF"/>
              <w:spacing w:before="0" w:beforeAutospacing="0" w:after="120" w:afterAutospacing="0"/>
              <w:jc w:val="both"/>
              <w:rPr>
                <w:rFonts w:asciiTheme="minorHAnsi" w:eastAsiaTheme="minorHAnsi" w:hAnsiTheme="minorHAnsi" w:cstheme="minorBidi"/>
                <w:i/>
                <w:lang w:eastAsia="en-US"/>
              </w:rPr>
            </w:pPr>
            <w:r w:rsidRPr="007B57DA">
              <w:rPr>
                <w:rFonts w:asciiTheme="minorHAnsi" w:eastAsiaTheme="minorHAnsi" w:hAnsiTheme="minorHAnsi" w:cstheme="minorBidi"/>
                <w:i/>
                <w:lang w:eastAsia="en-US"/>
              </w:rPr>
              <w:t>Svi brokeri članovi imaju pristup trgovinskom sustavu u realnom vremenu (bez vremenskog kašnjenja/pomaka) kako bi bili u jednakom položaju glede istodobnog primanja informacija o trenutačnoj ponudi vrijednosnih papira.</w:t>
            </w:r>
          </w:p>
          <w:p w:rsidR="00FA7FF5" w:rsidRDefault="0011236A" w:rsidP="0011236A">
            <w:pPr>
              <w:pStyle w:val="StandardWeb"/>
              <w:shd w:val="clear" w:color="auto" w:fill="FFFFFF"/>
              <w:spacing w:before="120" w:beforeAutospacing="0" w:after="120" w:afterAutospacing="0"/>
              <w:jc w:val="both"/>
              <w:rPr>
                <w:rFonts w:asciiTheme="minorHAnsi" w:eastAsiaTheme="minorHAnsi" w:hAnsiTheme="minorHAnsi" w:cstheme="minorBidi"/>
                <w:i/>
                <w:lang w:eastAsia="en-US"/>
              </w:rPr>
            </w:pPr>
            <w:r w:rsidRPr="007B57DA">
              <w:rPr>
                <w:rFonts w:asciiTheme="minorHAnsi" w:eastAsiaTheme="minorHAnsi" w:hAnsiTheme="minorHAnsi" w:cstheme="minorBidi"/>
                <w:i/>
                <w:lang w:eastAsia="en-US"/>
              </w:rPr>
              <w:t>Trgovina je otvorena svakim radnim danom od 09:00 do 16:30 sati, osim praznicima koji su navedeni na internetskim stranicama Burze, a rezultati trgovine i dnevne cijene dionica dostupni su svim zainteresiranima putem dnevnog tiska, specijaliziranih kuća za distribuciju financijskih informacija kao i na Burzinim internetskim stranicama te pomoću specijaliziranog sustava za distribuciju burzovnih informacija ZSE Monitor.</w:t>
            </w:r>
            <w:r>
              <w:rPr>
                <w:rFonts w:asciiTheme="minorHAnsi" w:eastAsiaTheme="minorHAnsi" w:hAnsiTheme="minorHAnsi" w:cstheme="minorBidi"/>
                <w:i/>
                <w:lang w:eastAsia="en-US"/>
              </w:rPr>
              <w:t>“</w:t>
            </w:r>
          </w:p>
        </w:tc>
      </w:tr>
      <w:tr w:rsidR="00822632" w:rsidTr="00FA7FF5">
        <w:tblPrEx>
          <w:tblLook w:val="04A0" w:firstRow="1" w:lastRow="0" w:firstColumn="1" w:lastColumn="0" w:noHBand="0" w:noVBand="1"/>
        </w:tblPrEx>
        <w:tc>
          <w:tcPr>
            <w:tcW w:w="9180" w:type="dxa"/>
            <w:gridSpan w:val="2"/>
            <w:tcBorders>
              <w:top w:val="nil"/>
              <w:left w:val="single" w:sz="4" w:space="0" w:color="auto"/>
              <w:bottom w:val="single" w:sz="4" w:space="0" w:color="auto"/>
              <w:right w:val="single" w:sz="4" w:space="0" w:color="auto"/>
            </w:tcBorders>
          </w:tcPr>
          <w:p w:rsidR="00822632" w:rsidRPr="00D91671" w:rsidRDefault="00822632" w:rsidP="00FA7FF5">
            <w:pPr>
              <w:pStyle w:val="StandardWeb"/>
              <w:shd w:val="clear" w:color="auto" w:fill="FFFFFF"/>
              <w:spacing w:before="120" w:beforeAutospacing="0" w:after="240" w:afterAutospacing="0"/>
              <w:jc w:val="both"/>
              <w:rPr>
                <w:rFonts w:asciiTheme="minorHAnsi" w:eastAsiaTheme="minorHAnsi" w:hAnsiTheme="minorHAnsi" w:cstheme="minorBidi"/>
                <w:sz w:val="20"/>
                <w:szCs w:val="20"/>
                <w:lang w:eastAsia="en-US"/>
              </w:rPr>
            </w:pPr>
            <w:r w:rsidRPr="00D91671">
              <w:rPr>
                <w:rFonts w:asciiTheme="minorHAnsi" w:eastAsiaTheme="minorHAnsi" w:hAnsiTheme="minorHAnsi" w:cstheme="minorBidi"/>
                <w:sz w:val="20"/>
                <w:szCs w:val="20"/>
                <w:lang w:eastAsia="en-US"/>
              </w:rPr>
              <w:t>* Preuzeto sa: http://zse.hr/default.aspx?id=26</w:t>
            </w:r>
          </w:p>
        </w:tc>
      </w:tr>
      <w:tr w:rsidR="00822632" w:rsidTr="005D36EB">
        <w:tblPrEx>
          <w:tblLook w:val="04A0" w:firstRow="1" w:lastRow="0" w:firstColumn="1" w:lastColumn="0" w:noHBand="0" w:noVBand="1"/>
        </w:tblPrEx>
        <w:tc>
          <w:tcPr>
            <w:tcW w:w="9180" w:type="dxa"/>
            <w:gridSpan w:val="2"/>
            <w:tcBorders>
              <w:top w:val="single" w:sz="4" w:space="0" w:color="auto"/>
              <w:bottom w:val="single" w:sz="4" w:space="0" w:color="auto"/>
            </w:tcBorders>
          </w:tcPr>
          <w:p w:rsidR="00822632" w:rsidRDefault="00822632" w:rsidP="00AD3DC4">
            <w:pPr>
              <w:spacing w:before="240" w:after="100" w:line="269" w:lineRule="auto"/>
              <w:jc w:val="both"/>
              <w:rPr>
                <w:rFonts w:asciiTheme="minorHAnsi" w:eastAsiaTheme="minorHAnsi" w:hAnsiTheme="minorHAnsi" w:cstheme="minorBidi"/>
                <w:sz w:val="24"/>
                <w:szCs w:val="24"/>
                <w:lang w:eastAsia="en-US"/>
              </w:rPr>
            </w:pPr>
            <w:r w:rsidRPr="00D91671">
              <w:rPr>
                <w:rFonts w:asciiTheme="minorHAnsi" w:eastAsiaTheme="minorHAnsi" w:hAnsiTheme="minorHAnsi" w:cstheme="minorBidi"/>
                <w:color w:val="C00000"/>
                <w:sz w:val="24"/>
                <w:szCs w:val="24"/>
                <w:lang w:eastAsia="en-US"/>
              </w:rPr>
              <w:lastRenderedPageBreak/>
              <w:t xml:space="preserve">Predmet poslovanja Zagrebačke burze d.d. </w:t>
            </w:r>
            <w:r w:rsidRPr="007B57DA">
              <w:rPr>
                <w:rFonts w:asciiTheme="minorHAnsi" w:eastAsiaTheme="minorHAnsi" w:hAnsiTheme="minorHAnsi" w:cstheme="minorBidi"/>
                <w:sz w:val="24"/>
                <w:szCs w:val="24"/>
                <w:lang w:eastAsia="en-US"/>
              </w:rPr>
              <w:t>su: u</w:t>
            </w:r>
            <w:r w:rsidRPr="005077FD">
              <w:rPr>
                <w:rFonts w:asciiTheme="minorHAnsi" w:eastAsiaTheme="minorHAnsi" w:hAnsiTheme="minorHAnsi" w:cstheme="minorBidi"/>
                <w:sz w:val="24"/>
                <w:szCs w:val="24"/>
                <w:lang w:eastAsia="en-US"/>
              </w:rPr>
              <w:t>pravljanje uređenim tržištem</w:t>
            </w:r>
            <w:r w:rsidR="008C7077">
              <w:rPr>
                <w:rFonts w:asciiTheme="minorHAnsi" w:eastAsiaTheme="minorHAnsi" w:hAnsiTheme="minorHAnsi" w:cstheme="minorBidi"/>
                <w:sz w:val="24"/>
                <w:szCs w:val="24"/>
                <w:lang w:eastAsia="en-US"/>
              </w:rPr>
              <w:t>;</w:t>
            </w:r>
            <w:r w:rsidRPr="007B57DA">
              <w:rPr>
                <w:rFonts w:asciiTheme="minorHAnsi" w:eastAsiaTheme="minorHAnsi" w:hAnsiTheme="minorHAnsi" w:cstheme="minorBidi"/>
                <w:sz w:val="24"/>
                <w:szCs w:val="24"/>
                <w:lang w:eastAsia="en-US"/>
              </w:rPr>
              <w:t xml:space="preserve"> p</w:t>
            </w:r>
            <w:r w:rsidRPr="005077FD">
              <w:rPr>
                <w:rFonts w:asciiTheme="minorHAnsi" w:eastAsiaTheme="minorHAnsi" w:hAnsiTheme="minorHAnsi" w:cstheme="minorBidi"/>
                <w:sz w:val="24"/>
                <w:szCs w:val="24"/>
                <w:lang w:eastAsia="en-US"/>
              </w:rPr>
              <w:t>rikupljanje, obrada i objavljivanje podataka o trgovanju</w:t>
            </w:r>
            <w:r w:rsidR="008C7077">
              <w:rPr>
                <w:rFonts w:asciiTheme="minorHAnsi" w:eastAsiaTheme="minorHAnsi" w:hAnsiTheme="minorHAnsi" w:cstheme="minorBidi"/>
                <w:sz w:val="24"/>
                <w:szCs w:val="24"/>
                <w:lang w:eastAsia="en-US"/>
              </w:rPr>
              <w:t>;</w:t>
            </w:r>
            <w:r w:rsidRPr="007B57DA">
              <w:rPr>
                <w:rFonts w:asciiTheme="minorHAnsi" w:eastAsiaTheme="minorHAnsi" w:hAnsiTheme="minorHAnsi" w:cstheme="minorBidi"/>
                <w:sz w:val="24"/>
                <w:szCs w:val="24"/>
                <w:lang w:eastAsia="en-US"/>
              </w:rPr>
              <w:t xml:space="preserve"> u</w:t>
            </w:r>
            <w:r w:rsidRPr="005077FD">
              <w:rPr>
                <w:rFonts w:asciiTheme="minorHAnsi" w:eastAsiaTheme="minorHAnsi" w:hAnsiTheme="minorHAnsi" w:cstheme="minorBidi"/>
                <w:sz w:val="24"/>
                <w:szCs w:val="24"/>
                <w:lang w:eastAsia="en-US"/>
              </w:rPr>
              <w:t>pravljanje multilateralnom trgovinskom platformom</w:t>
            </w:r>
            <w:r w:rsidR="008C7077">
              <w:rPr>
                <w:rFonts w:asciiTheme="minorHAnsi" w:eastAsiaTheme="minorHAnsi" w:hAnsiTheme="minorHAnsi" w:cstheme="minorBidi"/>
                <w:sz w:val="24"/>
                <w:szCs w:val="24"/>
                <w:lang w:eastAsia="en-US"/>
              </w:rPr>
              <w:t>;</w:t>
            </w:r>
            <w:r w:rsidRPr="007B57DA">
              <w:rPr>
                <w:rFonts w:asciiTheme="minorHAnsi" w:eastAsiaTheme="minorHAnsi" w:hAnsiTheme="minorHAnsi" w:cstheme="minorBidi"/>
                <w:sz w:val="24"/>
                <w:szCs w:val="24"/>
                <w:lang w:eastAsia="en-US"/>
              </w:rPr>
              <w:t xml:space="preserve"> r</w:t>
            </w:r>
            <w:r w:rsidRPr="005077FD">
              <w:rPr>
                <w:rFonts w:asciiTheme="minorHAnsi" w:eastAsiaTheme="minorHAnsi" w:hAnsiTheme="minorHAnsi" w:cstheme="minorBidi"/>
                <w:sz w:val="24"/>
                <w:szCs w:val="24"/>
                <w:lang w:eastAsia="en-US"/>
              </w:rPr>
              <w:t>azvoj, održavanje i raspolaganje računalnim programima za upravljanjem uređenim tržištem</w:t>
            </w:r>
            <w:r w:rsidR="008C7077">
              <w:rPr>
                <w:rFonts w:asciiTheme="minorHAnsi" w:eastAsiaTheme="minorHAnsi" w:hAnsiTheme="minorHAnsi" w:cstheme="minorBidi"/>
                <w:sz w:val="24"/>
                <w:szCs w:val="24"/>
                <w:lang w:eastAsia="en-US"/>
              </w:rPr>
              <w:t>;</w:t>
            </w:r>
            <w:r w:rsidRPr="005077FD">
              <w:rPr>
                <w:rFonts w:asciiTheme="minorHAnsi" w:eastAsiaTheme="minorHAnsi" w:hAnsiTheme="minorHAnsi" w:cstheme="minorBidi"/>
                <w:sz w:val="24"/>
                <w:szCs w:val="24"/>
                <w:lang w:eastAsia="en-US"/>
              </w:rPr>
              <w:t xml:space="preserve"> prikupljanje, obrad</w:t>
            </w:r>
            <w:r w:rsidR="008C7077">
              <w:rPr>
                <w:rFonts w:asciiTheme="minorHAnsi" w:eastAsiaTheme="minorHAnsi" w:hAnsiTheme="minorHAnsi" w:cstheme="minorBidi"/>
                <w:sz w:val="24"/>
                <w:szCs w:val="24"/>
                <w:lang w:eastAsia="en-US"/>
              </w:rPr>
              <w:t>a</w:t>
            </w:r>
            <w:r w:rsidRPr="005077FD">
              <w:rPr>
                <w:rFonts w:asciiTheme="minorHAnsi" w:eastAsiaTheme="minorHAnsi" w:hAnsiTheme="minorHAnsi" w:cstheme="minorBidi"/>
                <w:sz w:val="24"/>
                <w:szCs w:val="24"/>
                <w:lang w:eastAsia="en-US"/>
              </w:rPr>
              <w:t xml:space="preserve"> i </w:t>
            </w:r>
            <w:r w:rsidRPr="007B57DA">
              <w:rPr>
                <w:rFonts w:asciiTheme="minorHAnsi" w:eastAsiaTheme="minorHAnsi" w:hAnsiTheme="minorHAnsi" w:cstheme="minorBidi"/>
                <w:sz w:val="24"/>
                <w:szCs w:val="24"/>
                <w:lang w:eastAsia="en-US"/>
              </w:rPr>
              <w:t>o</w:t>
            </w:r>
            <w:r w:rsidRPr="005077FD">
              <w:rPr>
                <w:rFonts w:asciiTheme="minorHAnsi" w:eastAsiaTheme="minorHAnsi" w:hAnsiTheme="minorHAnsi" w:cstheme="minorBidi"/>
                <w:sz w:val="24"/>
                <w:szCs w:val="24"/>
                <w:lang w:eastAsia="en-US"/>
              </w:rPr>
              <w:t>bjavljivanje podataka o trgovanju</w:t>
            </w:r>
            <w:r w:rsidR="008C7077">
              <w:rPr>
                <w:rFonts w:asciiTheme="minorHAnsi" w:eastAsiaTheme="minorHAnsi" w:hAnsiTheme="minorHAnsi" w:cstheme="minorBidi"/>
                <w:sz w:val="24"/>
                <w:szCs w:val="24"/>
                <w:lang w:eastAsia="en-US"/>
              </w:rPr>
              <w:t xml:space="preserve">; </w:t>
            </w:r>
            <w:r w:rsidRPr="007B57DA">
              <w:rPr>
                <w:rFonts w:asciiTheme="minorHAnsi" w:eastAsiaTheme="minorHAnsi" w:hAnsiTheme="minorHAnsi" w:cstheme="minorBidi"/>
                <w:sz w:val="24"/>
                <w:szCs w:val="24"/>
                <w:lang w:eastAsia="en-US"/>
              </w:rPr>
              <w:t>u</w:t>
            </w:r>
            <w:r w:rsidRPr="005077FD">
              <w:rPr>
                <w:rFonts w:asciiTheme="minorHAnsi" w:eastAsiaTheme="minorHAnsi" w:hAnsiTheme="minorHAnsi" w:cstheme="minorBidi"/>
                <w:sz w:val="24"/>
                <w:szCs w:val="24"/>
                <w:lang w:eastAsia="en-US"/>
              </w:rPr>
              <w:t>sluge organizacije i provedbe izobrazbe namijenjene sudionicima tržišta kapitala</w:t>
            </w:r>
            <w:r w:rsidRPr="007B57DA">
              <w:rPr>
                <w:rFonts w:asciiTheme="minorHAnsi" w:eastAsiaTheme="minorHAnsi" w:hAnsiTheme="minorHAnsi" w:cstheme="minorBidi"/>
                <w:sz w:val="24"/>
                <w:szCs w:val="24"/>
                <w:lang w:eastAsia="en-US"/>
              </w:rPr>
              <w:t xml:space="preserve">  i …. .“</w:t>
            </w:r>
          </w:p>
          <w:p w:rsidR="008C7077" w:rsidRDefault="008C7077" w:rsidP="00AD3DC4">
            <w:pPr>
              <w:pStyle w:val="StandardWeb"/>
              <w:shd w:val="clear" w:color="auto" w:fill="FFFFFF"/>
              <w:spacing w:before="0" w:beforeAutospacing="0" w:afterAutospacing="0" w:line="269"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 xml:space="preserve">Financijski instrumenti kojima se trguje na burzi su dionice, dužničke vrijednosnice (obveznice, komercijalni zapisi) i strukturirani proizvodi. </w:t>
            </w:r>
            <w:r w:rsidR="00822632">
              <w:rPr>
                <w:rFonts w:asciiTheme="minorHAnsi" w:eastAsiaTheme="minorHAnsi" w:hAnsiTheme="minorHAnsi" w:cstheme="minorBidi"/>
                <w:lang w:eastAsia="en-US"/>
              </w:rPr>
              <w:t xml:space="preserve">Burza upravlja sa </w:t>
            </w:r>
            <w:r w:rsidR="00822632" w:rsidRPr="00D631EB">
              <w:rPr>
                <w:rFonts w:asciiTheme="minorHAnsi" w:eastAsiaTheme="minorHAnsi" w:hAnsiTheme="minorHAnsi" w:cstheme="minorBidi"/>
                <w:color w:val="C00000"/>
                <w:lang w:eastAsia="en-US"/>
              </w:rPr>
              <w:t>dva odvojena segmenta trgovanja. To su:  Uređeno tržište i Multilateralna trgovinska platforma –MTP</w:t>
            </w:r>
            <w:r w:rsidR="00822632">
              <w:rPr>
                <w:rFonts w:asciiTheme="minorHAnsi" w:eastAsiaTheme="minorHAnsi" w:hAnsiTheme="minorHAnsi" w:cstheme="minorBidi"/>
                <w:lang w:eastAsia="en-US"/>
              </w:rPr>
              <w:t xml:space="preserve">. Osnovna razlika među njima je razina transparentnosti koja se zahtijeva od izdavatelja vrijednosnica koje su predmet trgovanja na svakom od segmenata tržišta. </w:t>
            </w:r>
            <w:r w:rsidR="00822632" w:rsidRPr="00475B52">
              <w:rPr>
                <w:rFonts w:asciiTheme="minorHAnsi" w:eastAsiaTheme="minorHAnsi" w:hAnsiTheme="minorHAnsi" w:cstheme="minorBidi"/>
                <w:lang w:eastAsia="en-US"/>
              </w:rPr>
              <w:t xml:space="preserve">Nasuprot </w:t>
            </w:r>
            <w:r>
              <w:rPr>
                <w:rFonts w:asciiTheme="minorHAnsi" w:eastAsiaTheme="minorHAnsi" w:hAnsiTheme="minorHAnsi" w:cstheme="minorBidi"/>
                <w:lang w:eastAsia="en-US"/>
              </w:rPr>
              <w:t xml:space="preserve">zahtjeva </w:t>
            </w:r>
            <w:r w:rsidR="00822632" w:rsidRPr="00475B52">
              <w:rPr>
                <w:rFonts w:asciiTheme="minorHAnsi" w:eastAsiaTheme="minorHAnsi" w:hAnsiTheme="minorHAnsi" w:cstheme="minorBidi"/>
                <w:lang w:eastAsia="en-US"/>
              </w:rPr>
              <w:t>uređenog tržišta kod kojeg se traži veća transparentnost, za izdavatelje financijskih instrumenata i instrumente kojima se trguje na Multilateralnoj trgovinskoj platformi postavljaju se niži zahtjevi transparentnosti (samo minimum javno dostupnih informacija, uključujući tzv. cjenovno osjetljive informacije</w:t>
            </w:r>
            <w:r>
              <w:rPr>
                <w:rFonts w:asciiTheme="minorHAnsi" w:eastAsiaTheme="minorHAnsi" w:hAnsiTheme="minorHAnsi" w:cstheme="minorBidi"/>
                <w:lang w:eastAsia="en-US"/>
              </w:rPr>
              <w:t>).</w:t>
            </w:r>
          </w:p>
          <w:p w:rsidR="008C7077" w:rsidRDefault="00822632" w:rsidP="00AD3DC4">
            <w:pPr>
              <w:pStyle w:val="StandardWeb"/>
              <w:shd w:val="clear" w:color="auto" w:fill="FFFFFF"/>
              <w:spacing w:before="0" w:beforeAutospacing="0" w:afterAutospacing="0" w:line="269" w:lineRule="auto"/>
              <w:jc w:val="both"/>
              <w:rPr>
                <w:rFonts w:asciiTheme="minorHAnsi" w:eastAsiaTheme="minorHAnsi" w:hAnsiTheme="minorHAnsi" w:cstheme="minorBidi"/>
                <w:lang w:eastAsia="en-US"/>
              </w:rPr>
            </w:pPr>
            <w:r w:rsidRPr="00864A4B">
              <w:rPr>
                <w:rFonts w:asciiTheme="minorHAnsi" w:eastAsiaTheme="minorHAnsi" w:hAnsiTheme="minorHAnsi" w:cstheme="minorBidi"/>
                <w:color w:val="C00000"/>
                <w:lang w:eastAsia="en-US"/>
              </w:rPr>
              <w:t xml:space="preserve">Uređeno tržište </w:t>
            </w:r>
            <w:r w:rsidRPr="00475B52">
              <w:rPr>
                <w:rFonts w:asciiTheme="minorHAnsi" w:eastAsiaTheme="minorHAnsi" w:hAnsiTheme="minorHAnsi" w:cstheme="minorBidi"/>
                <w:lang w:eastAsia="en-US"/>
              </w:rPr>
              <w:t xml:space="preserve">Zagrebačke burze </w:t>
            </w:r>
            <w:r w:rsidRPr="00864A4B">
              <w:rPr>
                <w:rFonts w:asciiTheme="minorHAnsi" w:eastAsiaTheme="minorHAnsi" w:hAnsiTheme="minorHAnsi" w:cstheme="minorBidi"/>
                <w:color w:val="C00000"/>
                <w:lang w:eastAsia="en-US"/>
              </w:rPr>
              <w:t>podijeljeno je na tri (pod)segmenta: Vodeće tržište, Službeno tržište i Redovito tržište</w:t>
            </w:r>
            <w:r>
              <w:rPr>
                <w:rFonts w:asciiTheme="minorHAnsi" w:eastAsiaTheme="minorHAnsi" w:hAnsiTheme="minorHAnsi" w:cstheme="minorBidi"/>
                <w:lang w:eastAsia="en-US"/>
              </w:rPr>
              <w:t>, a između kojih također postoje razlike s obzirom na zahtjevnost transparentnosti dostave svih informacija (propisanih zakonom i Pravilima burze) o izdavatelju vrijednosnica. Jedan od faktora transparentnosti uređenog tržišta je što se prilikom uvrštenja nove vrijednosnice na Uređeno tržište u pravilu zahtijeva izrada prospekta sa svrhom informiranja potencijalnih ulagatelja. Najveća zahtjevnost traži se za uvrštavanje vrijednosnic</w:t>
            </w:r>
            <w:r w:rsidR="008C7077">
              <w:rPr>
                <w:rFonts w:asciiTheme="minorHAnsi" w:eastAsiaTheme="minorHAnsi" w:hAnsiTheme="minorHAnsi" w:cstheme="minorBidi"/>
                <w:lang w:eastAsia="en-US"/>
              </w:rPr>
              <w:t>a</w:t>
            </w:r>
            <w:r>
              <w:rPr>
                <w:rFonts w:asciiTheme="minorHAnsi" w:eastAsiaTheme="minorHAnsi" w:hAnsiTheme="minorHAnsi" w:cstheme="minorBidi"/>
                <w:lang w:eastAsia="en-US"/>
              </w:rPr>
              <w:t xml:space="preserve"> u segment Vodećeg tržišta</w:t>
            </w:r>
            <w:r w:rsidR="008C7077">
              <w:rPr>
                <w:rFonts w:asciiTheme="minorHAnsi" w:eastAsiaTheme="minorHAnsi" w:hAnsiTheme="minorHAnsi" w:cstheme="minorBidi"/>
                <w:lang w:eastAsia="en-US"/>
              </w:rPr>
              <w:t xml:space="preserve">. </w:t>
            </w:r>
          </w:p>
          <w:p w:rsidR="00822632" w:rsidRDefault="00822632" w:rsidP="00AD3DC4">
            <w:pPr>
              <w:pStyle w:val="StandardWeb"/>
              <w:shd w:val="clear" w:color="auto" w:fill="FFFFFF"/>
              <w:spacing w:before="0" w:beforeAutospacing="0" w:afterAutospacing="0" w:line="269" w:lineRule="auto"/>
              <w:jc w:val="both"/>
              <w:rPr>
                <w:rFonts w:asciiTheme="minorHAnsi" w:eastAsiaTheme="minorHAnsi" w:hAnsiTheme="minorHAnsi" w:cstheme="minorBidi"/>
                <w:lang w:eastAsia="en-US"/>
              </w:rPr>
            </w:pPr>
            <w:r>
              <w:rPr>
                <w:rFonts w:asciiTheme="minorHAnsi" w:eastAsiaTheme="minorHAnsi" w:hAnsiTheme="minorHAnsi" w:cstheme="minorBidi"/>
                <w:lang w:eastAsia="en-US"/>
              </w:rPr>
              <w:t>Uvrštavanje dionica na Redovito tržište</w:t>
            </w:r>
            <w:r w:rsidR="008C7077">
              <w:rPr>
                <w:rFonts w:asciiTheme="minorHAnsi" w:eastAsiaTheme="minorHAnsi" w:hAnsiTheme="minorHAnsi" w:cstheme="minorBidi"/>
                <w:lang w:eastAsia="en-US"/>
              </w:rPr>
              <w:t>,</w:t>
            </w:r>
            <w:r>
              <w:rPr>
                <w:rFonts w:asciiTheme="minorHAnsi" w:eastAsiaTheme="minorHAnsi" w:hAnsiTheme="minorHAnsi" w:cstheme="minorBidi"/>
                <w:lang w:eastAsia="en-US"/>
              </w:rPr>
              <w:t xml:space="preserve"> pored općih uvjeta</w:t>
            </w:r>
            <w:r w:rsidR="008C7077">
              <w:rPr>
                <w:rFonts w:asciiTheme="minorHAnsi" w:eastAsiaTheme="minorHAnsi" w:hAnsiTheme="minorHAnsi" w:cstheme="minorBidi"/>
                <w:lang w:eastAsia="en-US"/>
              </w:rPr>
              <w:t>,</w:t>
            </w:r>
            <w:r>
              <w:rPr>
                <w:rFonts w:asciiTheme="minorHAnsi" w:eastAsiaTheme="minorHAnsi" w:hAnsiTheme="minorHAnsi" w:cstheme="minorBidi"/>
                <w:lang w:eastAsia="en-US"/>
              </w:rPr>
              <w:t xml:space="preserve"> zahtijeva</w:t>
            </w:r>
            <w:r w:rsidR="008C7077">
              <w:rPr>
                <w:rFonts w:asciiTheme="minorHAnsi" w:eastAsiaTheme="minorHAnsi" w:hAnsiTheme="minorHAnsi" w:cstheme="minorBidi"/>
                <w:lang w:eastAsia="en-US"/>
              </w:rPr>
              <w:t xml:space="preserve"> i</w:t>
            </w:r>
            <w:r>
              <w:rPr>
                <w:rFonts w:asciiTheme="minorHAnsi" w:eastAsiaTheme="minorHAnsi" w:hAnsiTheme="minorHAnsi" w:cstheme="minorBidi"/>
                <w:lang w:eastAsia="en-US"/>
              </w:rPr>
              <w:t xml:space="preserve"> da je javnosti distribuirano najmanje 15% dionica. </w:t>
            </w:r>
            <w:r w:rsidR="00897A09">
              <w:rPr>
                <w:rFonts w:asciiTheme="minorHAnsi" w:eastAsiaTheme="minorHAnsi" w:hAnsiTheme="minorHAnsi" w:cstheme="minorBidi"/>
                <w:lang w:eastAsia="en-US"/>
              </w:rPr>
              <w:t xml:space="preserve">U </w:t>
            </w:r>
            <w:r>
              <w:rPr>
                <w:rFonts w:asciiTheme="minorHAnsi" w:eastAsiaTheme="minorHAnsi" w:hAnsiTheme="minorHAnsi" w:cstheme="minorBidi"/>
                <w:lang w:eastAsia="en-US"/>
              </w:rPr>
              <w:t xml:space="preserve">slučaju Službenog tržišta </w:t>
            </w:r>
            <w:r w:rsidR="00897A09">
              <w:rPr>
                <w:rFonts w:asciiTheme="minorHAnsi" w:eastAsiaTheme="minorHAnsi" w:hAnsiTheme="minorHAnsi" w:cstheme="minorBidi"/>
                <w:lang w:eastAsia="en-US"/>
              </w:rPr>
              <w:t xml:space="preserve">free float (postotak dionica koje su raspoložive za trgovanje) </w:t>
            </w:r>
            <w:r>
              <w:rPr>
                <w:rFonts w:asciiTheme="minorHAnsi" w:eastAsiaTheme="minorHAnsi" w:hAnsiTheme="minorHAnsi" w:cstheme="minorBidi"/>
                <w:lang w:eastAsia="en-US"/>
              </w:rPr>
              <w:t xml:space="preserve">iznosi 25% te se dodatno zahtijeva tržišna kapitalizacija najmanje 8 milijuna kuna. U slučaju </w:t>
            </w:r>
            <w:r w:rsidR="00897A09">
              <w:rPr>
                <w:rFonts w:asciiTheme="minorHAnsi" w:eastAsiaTheme="minorHAnsi" w:hAnsiTheme="minorHAnsi" w:cstheme="minorBidi"/>
                <w:lang w:eastAsia="en-US"/>
              </w:rPr>
              <w:t>V</w:t>
            </w:r>
            <w:r>
              <w:rPr>
                <w:rFonts w:asciiTheme="minorHAnsi" w:eastAsiaTheme="minorHAnsi" w:hAnsiTheme="minorHAnsi" w:cstheme="minorBidi"/>
                <w:lang w:eastAsia="en-US"/>
              </w:rPr>
              <w:t xml:space="preserve">odećeg tržišta javnosti mora biti distribuirano najmanje 25% dionica, tržišna kapitalizacija mora biti najmanje 100 milijuna kuna te je potrebno ugovoriti najmanje dva Specijalista ili ostvarivati minimalni prosječni dnevni promet i prosječnu dubinu knjige ponuda koje odredi Burza. Kod strukturiranih proizvoda je pored općih uvjeta dužno osigurati i „održavatelja tržišta“, a kod dužničkih instrumenata uvrštenje na Službeno tržište pored općih uvjeta zahtijeva da nominalni iznos izdanih vrijednosnica ne smije biti manji od 1,5 milijuna kuna. </w:t>
            </w:r>
          </w:p>
          <w:p w:rsidR="00897A09" w:rsidRPr="007807A5" w:rsidRDefault="00822632" w:rsidP="00AD3DC4">
            <w:pPr>
              <w:pStyle w:val="StandardWeb"/>
              <w:shd w:val="clear" w:color="auto" w:fill="FFFFFF"/>
              <w:spacing w:before="0" w:beforeAutospacing="0" w:afterAutospacing="0" w:line="269" w:lineRule="auto"/>
              <w:jc w:val="both"/>
              <w:rPr>
                <w:sz w:val="20"/>
                <w:szCs w:val="20"/>
              </w:rPr>
            </w:pPr>
            <w:r>
              <w:rPr>
                <w:rFonts w:asciiTheme="minorHAnsi" w:eastAsiaTheme="minorHAnsi" w:hAnsiTheme="minorHAnsi" w:cstheme="minorBidi"/>
                <w:lang w:eastAsia="en-US"/>
              </w:rPr>
              <w:t xml:space="preserve">Najveći broj vrijednosnica </w:t>
            </w:r>
            <w:r w:rsidR="00243CB4">
              <w:rPr>
                <w:rFonts w:asciiTheme="minorHAnsi" w:eastAsiaTheme="minorHAnsi" w:hAnsiTheme="minorHAnsi" w:cstheme="minorBidi"/>
                <w:lang w:eastAsia="en-US"/>
              </w:rPr>
              <w:t xml:space="preserve">na Zagrebačkoj burzi </w:t>
            </w:r>
            <w:r>
              <w:rPr>
                <w:rFonts w:asciiTheme="minorHAnsi" w:eastAsiaTheme="minorHAnsi" w:hAnsiTheme="minorHAnsi" w:cstheme="minorBidi"/>
                <w:lang w:eastAsia="en-US"/>
              </w:rPr>
              <w:t xml:space="preserve">uvršten je na Redovito tržište, a znatno manji broj na Službeno tržište. U kategoriji dionica, većina uvrštenih dionica odnosi se na redovne dionice, a tek manji dio na povlaštene dionice. </w:t>
            </w:r>
          </w:p>
        </w:tc>
      </w:tr>
      <w:tr w:rsidR="005D36EB" w:rsidTr="00FA7FF5">
        <w:tblPrEx>
          <w:tblLook w:val="04A0" w:firstRow="1" w:lastRow="0" w:firstColumn="1" w:lastColumn="0" w:noHBand="0" w:noVBand="1"/>
        </w:tblPrEx>
        <w:tc>
          <w:tcPr>
            <w:tcW w:w="9180" w:type="dxa"/>
            <w:gridSpan w:val="2"/>
            <w:tcBorders>
              <w:top w:val="single" w:sz="4" w:space="0" w:color="auto"/>
            </w:tcBorders>
          </w:tcPr>
          <w:p w:rsidR="005D36EB" w:rsidRPr="00EC0889" w:rsidRDefault="005D36EB" w:rsidP="00AD3DC4">
            <w:pPr>
              <w:autoSpaceDE w:val="0"/>
              <w:autoSpaceDN w:val="0"/>
              <w:adjustRightInd w:val="0"/>
              <w:spacing w:before="240" w:after="100" w:line="269" w:lineRule="auto"/>
              <w:jc w:val="both"/>
              <w:rPr>
                <w:rFonts w:asciiTheme="minorHAnsi" w:hAnsiTheme="minorHAnsi" w:cs="Arial"/>
                <w:color w:val="3D3938"/>
                <w:sz w:val="24"/>
                <w:szCs w:val="24"/>
                <w:shd w:val="clear" w:color="auto" w:fill="FFFFFF"/>
              </w:rPr>
            </w:pPr>
            <w:r w:rsidRPr="005D36EB">
              <w:rPr>
                <w:rFonts w:asciiTheme="minorHAnsi" w:eastAsiaTheme="minorHAnsi" w:hAnsiTheme="minorHAnsi" w:cstheme="minorBidi"/>
                <w:color w:val="C00000"/>
                <w:sz w:val="24"/>
                <w:szCs w:val="24"/>
                <w:lang w:eastAsia="en-US"/>
              </w:rPr>
              <w:t>Najznačajniji dionički indeksi Zagrebačke burze su</w:t>
            </w:r>
            <w:r w:rsidRPr="00EC0889">
              <w:rPr>
                <w:rFonts w:asciiTheme="minorHAnsi" w:eastAsiaTheme="minorHAnsi" w:hAnsiTheme="minorHAnsi" w:cstheme="minorBidi"/>
                <w:sz w:val="24"/>
                <w:szCs w:val="24"/>
                <w:lang w:eastAsia="en-US"/>
              </w:rPr>
              <w:t xml:space="preserve">: </w:t>
            </w:r>
            <w:r w:rsidRPr="00EC0889">
              <w:rPr>
                <w:rFonts w:asciiTheme="minorHAnsi" w:hAnsiTheme="minorHAnsi" w:cs="Arial"/>
                <w:color w:val="3D3938"/>
                <w:sz w:val="24"/>
                <w:szCs w:val="24"/>
                <w:shd w:val="clear" w:color="auto" w:fill="FFFFFF"/>
              </w:rPr>
              <w:t>CROBEX</w:t>
            </w:r>
            <w:r w:rsidRPr="005D36EB">
              <w:rPr>
                <w:rFonts w:ascii="Arial" w:hAnsi="Arial" w:cs="Arial"/>
                <w:color w:val="3D3938"/>
                <w:sz w:val="22"/>
                <w:szCs w:val="22"/>
                <w:shd w:val="clear" w:color="auto" w:fill="FFFFFF"/>
              </w:rPr>
              <w:t>®</w:t>
            </w:r>
            <w:r w:rsidRPr="00EC0889">
              <w:rPr>
                <w:rFonts w:asciiTheme="minorHAnsi" w:hAnsiTheme="minorHAnsi" w:cs="Arial"/>
                <w:color w:val="3D3938"/>
                <w:sz w:val="24"/>
                <w:szCs w:val="24"/>
                <w:shd w:val="clear" w:color="auto" w:fill="FFFFFF"/>
              </w:rPr>
              <w:t>,</w:t>
            </w:r>
            <w:r w:rsidRPr="00EC0889">
              <w:rPr>
                <w:rFonts w:ascii="Arial" w:hAnsi="Arial" w:cs="Arial"/>
                <w:color w:val="3D3938"/>
                <w:sz w:val="24"/>
                <w:szCs w:val="24"/>
                <w:shd w:val="clear" w:color="auto" w:fill="FFFFFF"/>
              </w:rPr>
              <w:t xml:space="preserve"> </w:t>
            </w:r>
            <w:r w:rsidRPr="00EC0889">
              <w:rPr>
                <w:rFonts w:asciiTheme="minorHAnsi" w:eastAsiaTheme="minorHAnsi" w:hAnsiTheme="minorHAnsi" w:cstheme="minorBidi"/>
                <w:sz w:val="24"/>
                <w:szCs w:val="24"/>
                <w:lang w:eastAsia="en-US"/>
              </w:rPr>
              <w:t xml:space="preserve"> CROBEX10</w:t>
            </w:r>
            <w:r w:rsidR="00F94055">
              <w:rPr>
                <w:rFonts w:asciiTheme="minorHAnsi" w:eastAsiaTheme="minorHAnsi" w:hAnsiTheme="minorHAnsi" w:cstheme="minorBidi"/>
                <w:sz w:val="24"/>
                <w:szCs w:val="24"/>
                <w:lang w:eastAsia="en-US"/>
              </w:rPr>
              <w:t>©</w:t>
            </w:r>
            <w:r w:rsidRPr="00897A09">
              <w:rPr>
                <w:rFonts w:asciiTheme="minorHAnsi" w:eastAsiaTheme="minorHAnsi" w:hAnsiTheme="minorHAnsi" w:cstheme="minorBidi"/>
                <w:sz w:val="24"/>
                <w:szCs w:val="24"/>
                <w:lang w:eastAsia="en-US"/>
              </w:rPr>
              <w:t>, CROBEXPLUS te sektorski indeksi (npr. CROBEXindustrija, CROBEXkonstrukt, CROBEXtransport itd.)</w:t>
            </w:r>
          </w:p>
          <w:p w:rsidR="002239A0" w:rsidRDefault="005D36EB" w:rsidP="00AD3DC4">
            <w:pPr>
              <w:autoSpaceDE w:val="0"/>
              <w:autoSpaceDN w:val="0"/>
              <w:adjustRightInd w:val="0"/>
              <w:spacing w:after="100" w:line="269" w:lineRule="auto"/>
              <w:jc w:val="both"/>
              <w:rPr>
                <w:sz w:val="24"/>
                <w:szCs w:val="24"/>
              </w:rPr>
            </w:pPr>
            <w:r w:rsidRPr="002239A0">
              <w:rPr>
                <w:rFonts w:asciiTheme="minorHAnsi" w:eastAsiaTheme="minorHAnsi" w:hAnsiTheme="minorHAnsi" w:cstheme="minorBidi"/>
                <w:color w:val="C00000"/>
                <w:sz w:val="24"/>
                <w:szCs w:val="24"/>
                <w:lang w:eastAsia="en-US"/>
              </w:rPr>
              <w:t>CROBEX</w:t>
            </w:r>
            <w:r w:rsidRPr="002239A0">
              <w:rPr>
                <w:rFonts w:ascii="Arial" w:hAnsi="Arial" w:cs="Arial"/>
                <w:color w:val="C00000"/>
                <w:sz w:val="22"/>
                <w:szCs w:val="22"/>
                <w:shd w:val="clear" w:color="auto" w:fill="FFFFFF"/>
              </w:rPr>
              <w:t>®</w:t>
            </w:r>
            <w:r w:rsidRPr="002239A0">
              <w:rPr>
                <w:rFonts w:asciiTheme="minorHAnsi" w:eastAsiaTheme="minorHAnsi" w:hAnsiTheme="minorHAnsi" w:cstheme="minorBidi"/>
                <w:color w:val="C00000"/>
                <w:sz w:val="24"/>
                <w:szCs w:val="24"/>
                <w:lang w:eastAsia="en-US"/>
              </w:rPr>
              <w:t xml:space="preserve"> </w:t>
            </w:r>
            <w:r w:rsidRPr="00EC0889">
              <w:rPr>
                <w:rFonts w:asciiTheme="minorHAnsi" w:eastAsiaTheme="minorHAnsi" w:hAnsiTheme="minorHAnsi" w:cstheme="minorBidi"/>
                <w:sz w:val="24"/>
                <w:szCs w:val="24"/>
                <w:lang w:eastAsia="en-US"/>
              </w:rPr>
              <w:t xml:space="preserve">je službeni dionički indeks Zagrebačke burze u koji su uključene redovne dionice 25 društva kojima se trgovalo </w:t>
            </w:r>
            <w:r>
              <w:rPr>
                <w:rFonts w:asciiTheme="minorHAnsi" w:eastAsiaTheme="minorHAnsi" w:hAnsiTheme="minorHAnsi" w:cstheme="minorBidi"/>
                <w:sz w:val="24"/>
                <w:szCs w:val="24"/>
                <w:lang w:eastAsia="en-US"/>
              </w:rPr>
              <w:t>više od</w:t>
            </w:r>
            <w:r w:rsidRPr="00EC0889">
              <w:rPr>
                <w:rFonts w:asciiTheme="minorHAnsi" w:eastAsiaTheme="minorHAnsi" w:hAnsiTheme="minorHAnsi" w:cstheme="minorBidi"/>
                <w:sz w:val="24"/>
                <w:szCs w:val="24"/>
                <w:lang w:eastAsia="en-US"/>
              </w:rPr>
              <w:t xml:space="preserve"> 90% raspoloživih dana trgovanja u prethodnih šest </w:t>
            </w:r>
            <w:r w:rsidRPr="00EC0889">
              <w:rPr>
                <w:rFonts w:asciiTheme="minorHAnsi" w:eastAsiaTheme="minorHAnsi" w:hAnsiTheme="minorHAnsi" w:cstheme="minorBidi"/>
                <w:sz w:val="24"/>
                <w:szCs w:val="24"/>
                <w:lang w:eastAsia="en-US"/>
              </w:rPr>
              <w:lastRenderedPageBreak/>
              <w:t>mjeseci</w:t>
            </w:r>
            <w:r>
              <w:rPr>
                <w:rFonts w:asciiTheme="minorHAnsi" w:eastAsiaTheme="minorHAnsi" w:hAnsiTheme="minorHAnsi" w:cstheme="minorBidi"/>
                <w:sz w:val="24"/>
                <w:szCs w:val="24"/>
                <w:lang w:eastAsia="en-US"/>
              </w:rPr>
              <w:t xml:space="preserve"> prije revizije</w:t>
            </w:r>
            <w:r w:rsidRPr="00EC0889">
              <w:rPr>
                <w:rFonts w:asciiTheme="minorHAnsi" w:eastAsiaTheme="minorHAnsi" w:hAnsiTheme="minorHAnsi" w:cstheme="minorBidi"/>
                <w:sz w:val="24"/>
                <w:szCs w:val="24"/>
                <w:lang w:eastAsia="en-US"/>
              </w:rPr>
              <w:t xml:space="preserve">. Indeks je vagan na </w:t>
            </w:r>
            <w:r w:rsidRPr="002239A0">
              <w:rPr>
                <w:rFonts w:asciiTheme="minorHAnsi" w:eastAsiaTheme="minorHAnsi" w:hAnsiTheme="minorHAnsi" w:cstheme="minorBidi"/>
                <w:sz w:val="24"/>
                <w:szCs w:val="24"/>
                <w:lang w:eastAsia="en-US"/>
              </w:rPr>
              <w:t xml:space="preserve">osnovi free float tržišne kapitalizacije i udjela u prometu ostvarenom unutar knjige ponuda u šestomjesečnom razdoblju koje prethodi reviziji, pri čemu je udio pojedine dionice ograničen na 15%. Bazna vrijednost indeksa je 1.000 a revizija se obavlja po završetku trgovanja svakog trećeg petka u ožujku i rujnu. </w:t>
            </w:r>
            <w:r w:rsidR="002239A0" w:rsidRPr="002239A0">
              <w:rPr>
                <w:sz w:val="24"/>
                <w:szCs w:val="24"/>
              </w:rPr>
              <w:t xml:space="preserve">U slučajevima izvanrednih događaja koji bi mogli djelovati na realnost i vjerodostojnost indeksa, Odbor za indeks može izvršiti izvanrednu reviziju. </w:t>
            </w:r>
          </w:p>
          <w:p w:rsidR="00F94055" w:rsidRPr="002239A0" w:rsidRDefault="00F94055" w:rsidP="00AD3DC4">
            <w:pPr>
              <w:autoSpaceDE w:val="0"/>
              <w:autoSpaceDN w:val="0"/>
              <w:adjustRightInd w:val="0"/>
              <w:spacing w:after="100" w:line="269" w:lineRule="auto"/>
              <w:jc w:val="both"/>
              <w:rPr>
                <w:rFonts w:asciiTheme="minorHAnsi" w:eastAsiaTheme="minorHAnsi" w:hAnsiTheme="minorHAnsi" w:cstheme="minorBidi"/>
                <w:sz w:val="24"/>
                <w:szCs w:val="24"/>
                <w:lang w:eastAsia="en-US"/>
              </w:rPr>
            </w:pPr>
            <w:r w:rsidRPr="002239A0">
              <w:rPr>
                <w:rFonts w:asciiTheme="minorHAnsi" w:eastAsiaTheme="minorHAnsi" w:hAnsiTheme="minorHAnsi" w:cstheme="minorBidi"/>
                <w:sz w:val="24"/>
                <w:szCs w:val="24"/>
                <w:lang w:eastAsia="en-US"/>
              </w:rPr>
              <w:t>Deset (</w:t>
            </w:r>
            <w:r w:rsidR="005D36EB" w:rsidRPr="002239A0">
              <w:rPr>
                <w:rFonts w:asciiTheme="minorHAnsi" w:eastAsiaTheme="minorHAnsi" w:hAnsiTheme="minorHAnsi" w:cstheme="minorBidi"/>
                <w:sz w:val="24"/>
                <w:szCs w:val="24"/>
                <w:lang w:eastAsia="en-US"/>
              </w:rPr>
              <w:t>10</w:t>
            </w:r>
            <w:r w:rsidRPr="002239A0">
              <w:rPr>
                <w:rFonts w:asciiTheme="minorHAnsi" w:eastAsiaTheme="minorHAnsi" w:hAnsiTheme="minorHAnsi" w:cstheme="minorBidi"/>
                <w:sz w:val="24"/>
                <w:szCs w:val="24"/>
                <w:lang w:eastAsia="en-US"/>
              </w:rPr>
              <w:t>)</w:t>
            </w:r>
            <w:r w:rsidR="005D36EB" w:rsidRPr="002239A0">
              <w:rPr>
                <w:rFonts w:asciiTheme="minorHAnsi" w:eastAsiaTheme="minorHAnsi" w:hAnsiTheme="minorHAnsi" w:cstheme="minorBidi"/>
                <w:sz w:val="24"/>
                <w:szCs w:val="24"/>
                <w:lang w:eastAsia="en-US"/>
              </w:rPr>
              <w:t xml:space="preserve"> dionica iz indeksa CROBEX</w:t>
            </w:r>
            <w:r w:rsidRPr="002239A0">
              <w:rPr>
                <w:rFonts w:ascii="Arial" w:hAnsi="Arial" w:cs="Arial"/>
                <w:color w:val="3D3938"/>
                <w:sz w:val="24"/>
                <w:szCs w:val="24"/>
                <w:shd w:val="clear" w:color="auto" w:fill="FFFFFF"/>
              </w:rPr>
              <w:t>®</w:t>
            </w:r>
            <w:r w:rsidR="005D36EB" w:rsidRPr="002239A0">
              <w:rPr>
                <w:rFonts w:asciiTheme="minorHAnsi" w:eastAsiaTheme="minorHAnsi" w:hAnsiTheme="minorHAnsi" w:cstheme="minorBidi"/>
                <w:sz w:val="24"/>
                <w:szCs w:val="24"/>
                <w:lang w:eastAsia="en-US"/>
              </w:rPr>
              <w:t xml:space="preserve"> s najvećom free float tržišnom kapitalizacijom i prometom čine sastav indeksa </w:t>
            </w:r>
            <w:r w:rsidR="005D36EB" w:rsidRPr="002239A0">
              <w:rPr>
                <w:rFonts w:asciiTheme="minorHAnsi" w:eastAsiaTheme="minorHAnsi" w:hAnsiTheme="minorHAnsi" w:cstheme="minorBidi"/>
                <w:color w:val="C00000"/>
                <w:sz w:val="24"/>
                <w:szCs w:val="24"/>
                <w:lang w:eastAsia="en-US"/>
              </w:rPr>
              <w:t>CROBEX10</w:t>
            </w:r>
            <w:r w:rsidRPr="002239A0">
              <w:rPr>
                <w:rFonts w:asciiTheme="minorHAnsi" w:eastAsiaTheme="minorHAnsi" w:hAnsiTheme="minorHAnsi" w:cstheme="minorBidi"/>
                <w:color w:val="C00000"/>
                <w:sz w:val="24"/>
                <w:szCs w:val="24"/>
                <w:lang w:eastAsia="en-US"/>
              </w:rPr>
              <w:t>©</w:t>
            </w:r>
            <w:r w:rsidR="005D36EB" w:rsidRPr="002239A0">
              <w:rPr>
                <w:rFonts w:asciiTheme="minorHAnsi" w:eastAsiaTheme="minorHAnsi" w:hAnsiTheme="minorHAnsi" w:cstheme="minorBidi"/>
                <w:sz w:val="24"/>
                <w:szCs w:val="24"/>
                <w:lang w:eastAsia="en-US"/>
              </w:rPr>
              <w:t>, pri čemu je udio pojedine dionice ograničen na 20%.</w:t>
            </w:r>
            <w:r w:rsidR="000A62AC">
              <w:rPr>
                <w:rFonts w:asciiTheme="minorHAnsi" w:eastAsiaTheme="minorHAnsi" w:hAnsiTheme="minorHAnsi" w:cstheme="minorBidi"/>
                <w:sz w:val="24"/>
                <w:szCs w:val="24"/>
                <w:lang w:eastAsia="en-US"/>
              </w:rPr>
              <w:t xml:space="preserve"> </w:t>
            </w:r>
            <w:r w:rsidRPr="002239A0">
              <w:rPr>
                <w:rFonts w:asciiTheme="minorHAnsi" w:eastAsiaTheme="minorHAnsi" w:hAnsiTheme="minorHAnsi" w:cstheme="minorBidi"/>
                <w:sz w:val="24"/>
                <w:szCs w:val="24"/>
                <w:lang w:eastAsia="en-US"/>
              </w:rPr>
              <w:t>(Free float tržišna kapitalizacija određene dionice računa se kao umnožak broja izdanih dionica, free float faktora i zadnje cijene dionice.)</w:t>
            </w:r>
          </w:p>
          <w:p w:rsidR="0011236A" w:rsidRDefault="005D36EB" w:rsidP="00AD3DC4">
            <w:pPr>
              <w:autoSpaceDE w:val="0"/>
              <w:autoSpaceDN w:val="0"/>
              <w:adjustRightInd w:val="0"/>
              <w:spacing w:after="100" w:line="269" w:lineRule="auto"/>
              <w:jc w:val="both"/>
              <w:rPr>
                <w:rFonts w:asciiTheme="minorHAnsi" w:eastAsiaTheme="minorHAnsi" w:hAnsiTheme="minorHAnsi" w:cstheme="minorBidi"/>
                <w:sz w:val="24"/>
                <w:szCs w:val="24"/>
                <w:lang w:eastAsia="en-US"/>
              </w:rPr>
            </w:pPr>
            <w:r w:rsidRPr="002239A0">
              <w:rPr>
                <w:rFonts w:asciiTheme="minorHAnsi" w:eastAsiaTheme="minorHAnsi" w:hAnsiTheme="minorHAnsi" w:cstheme="minorBidi"/>
                <w:color w:val="C00000"/>
                <w:sz w:val="24"/>
                <w:szCs w:val="24"/>
                <w:lang w:eastAsia="en-US"/>
              </w:rPr>
              <w:t>CROBIS</w:t>
            </w:r>
            <w:r w:rsidR="00F94055" w:rsidRPr="00E07A67">
              <w:rPr>
                <w:rFonts w:asciiTheme="minorHAnsi" w:eastAsiaTheme="minorHAnsi" w:hAnsiTheme="minorHAnsi" w:cstheme="minorBidi"/>
                <w:color w:val="C00000"/>
                <w:sz w:val="24"/>
                <w:szCs w:val="24"/>
                <w:lang w:eastAsia="en-US"/>
              </w:rPr>
              <w:t>© je</w:t>
            </w:r>
            <w:r w:rsidRPr="00E07A67">
              <w:rPr>
                <w:rFonts w:asciiTheme="minorHAnsi" w:eastAsiaTheme="minorHAnsi" w:hAnsiTheme="minorHAnsi" w:cstheme="minorBidi"/>
                <w:color w:val="C00000"/>
                <w:sz w:val="24"/>
                <w:szCs w:val="24"/>
                <w:lang w:eastAsia="en-US"/>
              </w:rPr>
              <w:t xml:space="preserve"> službeni obv</w:t>
            </w:r>
            <w:r w:rsidR="00F94055" w:rsidRPr="00E07A67">
              <w:rPr>
                <w:rFonts w:asciiTheme="minorHAnsi" w:eastAsiaTheme="minorHAnsi" w:hAnsiTheme="minorHAnsi" w:cstheme="minorBidi"/>
                <w:color w:val="C00000"/>
                <w:sz w:val="24"/>
                <w:szCs w:val="24"/>
                <w:lang w:eastAsia="en-US"/>
              </w:rPr>
              <w:t>eznički indeks Zagrebačke burze</w:t>
            </w:r>
            <w:r w:rsidR="00F94055" w:rsidRPr="002239A0">
              <w:rPr>
                <w:rFonts w:asciiTheme="minorHAnsi" w:eastAsiaTheme="minorHAnsi" w:hAnsiTheme="minorHAnsi" w:cstheme="minorBidi"/>
                <w:sz w:val="24"/>
                <w:szCs w:val="24"/>
                <w:lang w:eastAsia="en-US"/>
              </w:rPr>
              <w:t>.</w:t>
            </w:r>
            <w:r w:rsidR="00AD3DC4">
              <w:rPr>
                <w:rFonts w:asciiTheme="minorHAnsi" w:eastAsiaTheme="minorHAnsi" w:hAnsiTheme="minorHAnsi" w:cstheme="minorBidi"/>
                <w:sz w:val="24"/>
                <w:szCs w:val="24"/>
                <w:lang w:eastAsia="en-US"/>
              </w:rPr>
              <w:t xml:space="preserve"> </w:t>
            </w:r>
            <w:r w:rsidR="00AD3DC4" w:rsidRPr="002239A0">
              <w:rPr>
                <w:rFonts w:asciiTheme="minorHAnsi" w:eastAsiaTheme="minorHAnsi" w:hAnsiTheme="minorHAnsi" w:cstheme="minorBidi"/>
                <w:sz w:val="24"/>
                <w:szCs w:val="24"/>
                <w:lang w:eastAsia="en-US"/>
              </w:rPr>
              <w:t>U indeks se uključuju državne obveznice i obveznice državnih agencija koje su uvrštene na Zagrebačku burzu, pod uvjet</w:t>
            </w:r>
            <w:r w:rsidR="00AD3DC4">
              <w:rPr>
                <w:rFonts w:asciiTheme="minorHAnsi" w:eastAsiaTheme="minorHAnsi" w:hAnsiTheme="minorHAnsi" w:cstheme="minorBidi"/>
                <w:sz w:val="24"/>
                <w:szCs w:val="24"/>
                <w:lang w:eastAsia="en-US"/>
              </w:rPr>
              <w:t>ima:</w:t>
            </w:r>
            <w:r w:rsidR="00AD3DC4" w:rsidRPr="002239A0">
              <w:rPr>
                <w:rFonts w:asciiTheme="minorHAnsi" w:eastAsiaTheme="minorHAnsi" w:hAnsiTheme="minorHAnsi" w:cstheme="minorBidi"/>
                <w:sz w:val="24"/>
                <w:szCs w:val="24"/>
                <w:lang w:eastAsia="en-US"/>
              </w:rPr>
              <w:t xml:space="preserve"> da je nominalna vrijednost izdanja veća ili jednaka 75 milijuna €,  dospijeće obveznica duže od 18 mjeseci te da obveznice imaju fiksnu kamatnu stopu, uz isplatu glavnice jednom, po dospijeću. Bazna vrijednost indeksa postavljena je na 100 bodova. Indeks je vagan na temelju tržišne kapitalizacije, pri čemu težina pojedine obveznice u indeksu ne može prijeći 35 %. Indeks se računa na kraju svakog trgovinskog dana na način da se koristi prosječna dnevna cijena ponderirana količinom za sve obveznice</w:t>
            </w:r>
            <w:r w:rsidR="00AD3DC4">
              <w:rPr>
                <w:rFonts w:asciiTheme="minorHAnsi" w:eastAsiaTheme="minorHAnsi" w:hAnsiTheme="minorHAnsi" w:cstheme="minorBidi"/>
                <w:sz w:val="24"/>
                <w:szCs w:val="24"/>
                <w:lang w:eastAsia="en-US"/>
              </w:rPr>
              <w:t xml:space="preserve"> </w:t>
            </w:r>
            <w:r w:rsidR="00AD3DC4" w:rsidRPr="00F94055">
              <w:rPr>
                <w:rFonts w:asciiTheme="minorHAnsi" w:eastAsiaTheme="minorHAnsi" w:hAnsiTheme="minorHAnsi" w:cstheme="minorBidi"/>
                <w:sz w:val="24"/>
                <w:szCs w:val="24"/>
                <w:lang w:eastAsia="en-US"/>
              </w:rPr>
              <w:t>koje se nalaze u indeksu. Revizija</w:t>
            </w:r>
            <w:r w:rsidR="00AD3DC4">
              <w:rPr>
                <w:rFonts w:asciiTheme="minorHAnsi" w:eastAsiaTheme="minorHAnsi" w:hAnsiTheme="minorHAnsi" w:cstheme="minorBidi"/>
                <w:sz w:val="24"/>
                <w:szCs w:val="24"/>
                <w:lang w:eastAsia="en-US"/>
              </w:rPr>
              <w:t xml:space="preserve"> </w:t>
            </w:r>
            <w:r w:rsidR="00AD3DC4" w:rsidRPr="00F94055">
              <w:rPr>
                <w:rFonts w:asciiTheme="minorHAnsi" w:eastAsiaTheme="minorHAnsi" w:hAnsiTheme="minorHAnsi" w:cstheme="minorBidi"/>
                <w:sz w:val="24"/>
                <w:szCs w:val="24"/>
                <w:lang w:eastAsia="en-US"/>
              </w:rPr>
              <w:t>indeksa obavlja se svaka 3 mjeseca, i to zadnji petak u mjesecu veljači, svibnju,</w:t>
            </w:r>
            <w:r w:rsidR="00AD3DC4">
              <w:rPr>
                <w:rFonts w:asciiTheme="minorHAnsi" w:eastAsiaTheme="minorHAnsi" w:hAnsiTheme="minorHAnsi" w:cstheme="minorBidi"/>
                <w:sz w:val="24"/>
                <w:szCs w:val="24"/>
                <w:lang w:eastAsia="en-US"/>
              </w:rPr>
              <w:t xml:space="preserve"> </w:t>
            </w:r>
            <w:r w:rsidR="00AD3DC4" w:rsidRPr="00F94055">
              <w:rPr>
                <w:rFonts w:asciiTheme="minorHAnsi" w:eastAsiaTheme="minorHAnsi" w:hAnsiTheme="minorHAnsi" w:cstheme="minorBidi"/>
                <w:sz w:val="24"/>
                <w:szCs w:val="24"/>
                <w:lang w:eastAsia="en-US"/>
              </w:rPr>
              <w:t>kolovozu i studenom</w:t>
            </w:r>
            <w:r w:rsidR="00AD3DC4">
              <w:rPr>
                <w:rFonts w:asciiTheme="minorHAnsi" w:eastAsiaTheme="minorHAnsi" w:hAnsiTheme="minorHAnsi" w:cstheme="minorBidi"/>
                <w:sz w:val="24"/>
                <w:szCs w:val="24"/>
                <w:lang w:eastAsia="en-US"/>
              </w:rPr>
              <w:t xml:space="preserve">. </w:t>
            </w:r>
            <w:r w:rsidR="00AD3DC4" w:rsidRPr="002239A0">
              <w:rPr>
                <w:rFonts w:asciiTheme="minorHAnsi" w:eastAsiaTheme="minorHAnsi" w:hAnsiTheme="minorHAnsi" w:cstheme="minorBidi"/>
                <w:sz w:val="24"/>
                <w:szCs w:val="24"/>
                <w:lang w:eastAsia="en-US"/>
              </w:rPr>
              <w:t xml:space="preserve">Prilikom revizije u indeks se uključuju nove obveznice koje zadovoljavaju uvjete za uključivanje i izbacuju one obveznice kojima će dospijeće u slijedećem tromjesečju biti </w:t>
            </w:r>
            <w:r w:rsidR="00AD3DC4">
              <w:rPr>
                <w:rFonts w:asciiTheme="minorHAnsi" w:eastAsiaTheme="minorHAnsi" w:hAnsiTheme="minorHAnsi" w:cstheme="minorBidi"/>
                <w:sz w:val="24"/>
                <w:szCs w:val="24"/>
                <w:lang w:eastAsia="en-US"/>
              </w:rPr>
              <w:t xml:space="preserve">kreće </w:t>
            </w:r>
            <w:r w:rsidR="00AD3DC4" w:rsidRPr="002239A0">
              <w:rPr>
                <w:rFonts w:asciiTheme="minorHAnsi" w:eastAsiaTheme="minorHAnsi" w:hAnsiTheme="minorHAnsi" w:cstheme="minorBidi"/>
                <w:sz w:val="24"/>
                <w:szCs w:val="24"/>
                <w:lang w:eastAsia="en-US"/>
              </w:rPr>
              <w:t>od godinu dana.</w:t>
            </w:r>
            <w:r w:rsidR="00AD3DC4">
              <w:rPr>
                <w:rFonts w:asciiTheme="minorHAnsi" w:eastAsiaTheme="minorHAnsi" w:hAnsiTheme="minorHAnsi" w:cstheme="minorBidi"/>
                <w:sz w:val="24"/>
                <w:szCs w:val="24"/>
                <w:lang w:eastAsia="en-US"/>
              </w:rPr>
              <w:t xml:space="preserve"> </w:t>
            </w:r>
            <w:r w:rsidR="00AD3DC4" w:rsidRPr="002239A0">
              <w:rPr>
                <w:rFonts w:asciiTheme="minorHAnsi" w:eastAsiaTheme="minorHAnsi" w:hAnsiTheme="minorHAnsi" w:cstheme="minorBidi"/>
                <w:sz w:val="24"/>
                <w:szCs w:val="24"/>
                <w:lang w:eastAsia="en-US"/>
              </w:rPr>
              <w:t>U iznimnim slučajevima, Komisija za indeks može donesti odluku o izvanrednoj reviziji.</w:t>
            </w:r>
          </w:p>
          <w:p w:rsidR="00E07A67" w:rsidRPr="00D91671" w:rsidRDefault="00865866" w:rsidP="00865866">
            <w:pPr>
              <w:autoSpaceDE w:val="0"/>
              <w:autoSpaceDN w:val="0"/>
              <w:adjustRightInd w:val="0"/>
              <w:spacing w:after="100" w:line="269" w:lineRule="auto"/>
              <w:jc w:val="both"/>
              <w:rPr>
                <w:color w:val="C00000"/>
                <w:sz w:val="24"/>
                <w:szCs w:val="24"/>
              </w:rPr>
            </w:pPr>
            <w:r>
              <w:t>* Korišteni izvori podataka ZSE dostupni na</w:t>
            </w:r>
            <w:r w:rsidR="0011236A">
              <w:t xml:space="preserve">: </w:t>
            </w:r>
            <w:r w:rsidR="0011236A" w:rsidRPr="00E07A67">
              <w:t>http://zse.hr</w:t>
            </w:r>
            <w:r w:rsidR="0011236A" w:rsidRPr="002239A0">
              <w:rPr>
                <w:rFonts w:asciiTheme="minorHAnsi" w:eastAsiaTheme="minorHAnsi" w:hAnsiTheme="minorHAnsi" w:cstheme="minorBidi"/>
                <w:sz w:val="24"/>
                <w:szCs w:val="24"/>
                <w:lang w:eastAsia="en-US"/>
              </w:rPr>
              <w:t xml:space="preserve"> </w:t>
            </w:r>
          </w:p>
        </w:tc>
      </w:tr>
    </w:tbl>
    <w:p w:rsidR="00FC6BB5" w:rsidRDefault="00FE0209" w:rsidP="005A0D7D">
      <w:pPr>
        <w:autoSpaceDE w:val="0"/>
        <w:autoSpaceDN w:val="0"/>
        <w:adjustRightInd w:val="0"/>
        <w:spacing w:before="240"/>
        <w:jc w:val="both"/>
        <w:rPr>
          <w:b/>
          <w:sz w:val="24"/>
          <w:szCs w:val="24"/>
        </w:rPr>
      </w:pPr>
      <w:r w:rsidRPr="00CA222E">
        <w:rPr>
          <w:b/>
          <w:sz w:val="24"/>
          <w:szCs w:val="24"/>
        </w:rPr>
        <w:lastRenderedPageBreak/>
        <w:t xml:space="preserve">6.7. </w:t>
      </w:r>
      <w:r w:rsidR="00033B60">
        <w:rPr>
          <w:b/>
          <w:sz w:val="24"/>
          <w:szCs w:val="24"/>
        </w:rPr>
        <w:t>U</w:t>
      </w:r>
      <w:r w:rsidR="00CA222E" w:rsidRPr="00CA222E">
        <w:rPr>
          <w:b/>
          <w:sz w:val="24"/>
          <w:szCs w:val="24"/>
        </w:rPr>
        <w:t>laganje u obveznice</w:t>
      </w:r>
    </w:p>
    <w:p w:rsidR="001A1FB8" w:rsidRPr="00664930" w:rsidRDefault="0083758A" w:rsidP="001A1FB8">
      <w:pPr>
        <w:autoSpaceDE w:val="0"/>
        <w:autoSpaceDN w:val="0"/>
        <w:adjustRightInd w:val="0"/>
        <w:jc w:val="both"/>
        <w:rPr>
          <w:sz w:val="24"/>
          <w:szCs w:val="24"/>
        </w:rPr>
      </w:pPr>
      <w:r>
        <w:rPr>
          <w:sz w:val="24"/>
          <w:szCs w:val="24"/>
        </w:rPr>
        <w:t>F</w:t>
      </w:r>
      <w:r w:rsidR="00664930" w:rsidRPr="00664930">
        <w:rPr>
          <w:sz w:val="24"/>
          <w:szCs w:val="24"/>
        </w:rPr>
        <w:t xml:space="preserve">inanciranje </w:t>
      </w:r>
      <w:r w:rsidR="00664930">
        <w:rPr>
          <w:sz w:val="24"/>
          <w:szCs w:val="24"/>
        </w:rPr>
        <w:t>poduzeća, banke ili drug</w:t>
      </w:r>
      <w:r w:rsidR="00DD36B1">
        <w:rPr>
          <w:sz w:val="24"/>
          <w:szCs w:val="24"/>
        </w:rPr>
        <w:t>ih</w:t>
      </w:r>
      <w:r w:rsidR="00664930">
        <w:rPr>
          <w:sz w:val="24"/>
          <w:szCs w:val="24"/>
        </w:rPr>
        <w:t xml:space="preserve"> poslovn</w:t>
      </w:r>
      <w:r w:rsidR="00DD36B1">
        <w:rPr>
          <w:sz w:val="24"/>
          <w:szCs w:val="24"/>
        </w:rPr>
        <w:t>ih</w:t>
      </w:r>
      <w:r w:rsidR="00664930">
        <w:rPr>
          <w:sz w:val="24"/>
          <w:szCs w:val="24"/>
        </w:rPr>
        <w:t xml:space="preserve"> subjek</w:t>
      </w:r>
      <w:r w:rsidR="00DD36B1">
        <w:rPr>
          <w:sz w:val="24"/>
          <w:szCs w:val="24"/>
        </w:rPr>
        <w:t>a</w:t>
      </w:r>
      <w:r w:rsidR="00664930">
        <w:rPr>
          <w:sz w:val="24"/>
          <w:szCs w:val="24"/>
        </w:rPr>
        <w:t xml:space="preserve">ta </w:t>
      </w:r>
      <w:r w:rsidR="00664930" w:rsidRPr="00664930">
        <w:rPr>
          <w:sz w:val="24"/>
          <w:szCs w:val="24"/>
        </w:rPr>
        <w:t>može biti vlasničko (</w:t>
      </w:r>
      <w:r>
        <w:rPr>
          <w:sz w:val="24"/>
          <w:szCs w:val="24"/>
        </w:rPr>
        <w:t xml:space="preserve">financiranje kapitalom, </w:t>
      </w:r>
      <w:r w:rsidR="001A1FB8" w:rsidRPr="001A1FB8">
        <w:rPr>
          <w:sz w:val="24"/>
          <w:szCs w:val="24"/>
          <w:lang w:val="en-GB"/>
        </w:rPr>
        <w:t>equity</w:t>
      </w:r>
      <w:r w:rsidR="001A1FB8">
        <w:rPr>
          <w:sz w:val="24"/>
          <w:szCs w:val="24"/>
        </w:rPr>
        <w:t xml:space="preserve"> </w:t>
      </w:r>
      <w:r>
        <w:rPr>
          <w:sz w:val="24"/>
          <w:szCs w:val="24"/>
        </w:rPr>
        <w:t xml:space="preserve">financiranje, </w:t>
      </w:r>
      <w:r w:rsidRPr="00664930">
        <w:rPr>
          <w:sz w:val="24"/>
          <w:szCs w:val="24"/>
        </w:rPr>
        <w:t xml:space="preserve">putem </w:t>
      </w:r>
      <w:r>
        <w:rPr>
          <w:sz w:val="24"/>
          <w:szCs w:val="24"/>
        </w:rPr>
        <w:t xml:space="preserve">emisije </w:t>
      </w:r>
      <w:r w:rsidRPr="00664930">
        <w:rPr>
          <w:sz w:val="24"/>
          <w:szCs w:val="24"/>
        </w:rPr>
        <w:t>dionica</w:t>
      </w:r>
      <w:r w:rsidR="00664930" w:rsidRPr="00664930">
        <w:rPr>
          <w:sz w:val="24"/>
          <w:szCs w:val="24"/>
        </w:rPr>
        <w:t>) ili dužničko putem primljenih kredita, emisije obveznica, emisije komercijalnih zapisa, trezorskih zapisa i slično</w:t>
      </w:r>
      <w:r w:rsidR="001A1FB8">
        <w:rPr>
          <w:sz w:val="24"/>
          <w:szCs w:val="24"/>
        </w:rPr>
        <w:t xml:space="preserve"> (tzv. debt financiranje ili financiranje dugom)</w:t>
      </w:r>
      <w:r w:rsidR="00664930" w:rsidRPr="00664930">
        <w:rPr>
          <w:sz w:val="24"/>
          <w:szCs w:val="24"/>
        </w:rPr>
        <w:t>. Kod vlasničkih izvora financiranja ne postoji obveza vraćanja sredstava (a dividend</w:t>
      </w:r>
      <w:r w:rsidR="00664930">
        <w:rPr>
          <w:sz w:val="24"/>
          <w:szCs w:val="24"/>
        </w:rPr>
        <w:t>a</w:t>
      </w:r>
      <w:r w:rsidR="00664930" w:rsidRPr="00664930">
        <w:rPr>
          <w:sz w:val="24"/>
          <w:szCs w:val="24"/>
        </w:rPr>
        <w:t xml:space="preserve"> kao oblik dohotka od kapitala sa mo</w:t>
      </w:r>
      <w:r w:rsidR="00664930">
        <w:rPr>
          <w:sz w:val="24"/>
          <w:szCs w:val="24"/>
        </w:rPr>
        <w:t>že</w:t>
      </w:r>
      <w:r w:rsidR="00664930" w:rsidRPr="00664930">
        <w:rPr>
          <w:sz w:val="24"/>
          <w:szCs w:val="24"/>
        </w:rPr>
        <w:t xml:space="preserve"> ali </w:t>
      </w:r>
      <w:r>
        <w:rPr>
          <w:sz w:val="24"/>
          <w:szCs w:val="24"/>
        </w:rPr>
        <w:t xml:space="preserve">i </w:t>
      </w:r>
      <w:r w:rsidR="00664930" w:rsidRPr="00664930">
        <w:rPr>
          <w:sz w:val="24"/>
          <w:szCs w:val="24"/>
        </w:rPr>
        <w:t xml:space="preserve">ne mora isplatiti). </w:t>
      </w:r>
      <w:r w:rsidR="00664930">
        <w:rPr>
          <w:sz w:val="24"/>
          <w:szCs w:val="24"/>
        </w:rPr>
        <w:t>S druge strane, k</w:t>
      </w:r>
      <w:r w:rsidR="00664930" w:rsidRPr="00664930">
        <w:rPr>
          <w:sz w:val="24"/>
          <w:szCs w:val="24"/>
        </w:rPr>
        <w:t>od dužničkih oblika financiranja</w:t>
      </w:r>
      <w:r w:rsidR="001A1FB8">
        <w:rPr>
          <w:sz w:val="24"/>
          <w:szCs w:val="24"/>
        </w:rPr>
        <w:t>,</w:t>
      </w:r>
      <w:r w:rsidR="00664930" w:rsidRPr="00664930">
        <w:rPr>
          <w:sz w:val="24"/>
          <w:szCs w:val="24"/>
        </w:rPr>
        <w:t xml:space="preserve"> </w:t>
      </w:r>
      <w:r w:rsidR="00780CFE" w:rsidRPr="00664930">
        <w:rPr>
          <w:bCs/>
          <w:sz w:val="24"/>
          <w:szCs w:val="24"/>
        </w:rPr>
        <w:t>korišteni novac (glavnica duga) mora se vratiti u određenom roku</w:t>
      </w:r>
      <w:r w:rsidR="00BB608B">
        <w:rPr>
          <w:bCs/>
          <w:sz w:val="24"/>
          <w:szCs w:val="24"/>
        </w:rPr>
        <w:t>,</w:t>
      </w:r>
      <w:r w:rsidR="00780CFE" w:rsidRPr="00664930">
        <w:rPr>
          <w:sz w:val="24"/>
          <w:szCs w:val="24"/>
        </w:rPr>
        <w:t xml:space="preserve"> dok se za angažiranje tuđih sredstava </w:t>
      </w:r>
      <w:r w:rsidR="00780CFE" w:rsidRPr="00664930">
        <w:rPr>
          <w:bCs/>
          <w:sz w:val="24"/>
          <w:szCs w:val="24"/>
        </w:rPr>
        <w:t>plaća kamata</w:t>
      </w:r>
      <w:r w:rsidR="00664930">
        <w:rPr>
          <w:bCs/>
          <w:sz w:val="24"/>
          <w:szCs w:val="24"/>
        </w:rPr>
        <w:t>.</w:t>
      </w:r>
      <w:r w:rsidR="001A1FB8">
        <w:rPr>
          <w:bCs/>
          <w:sz w:val="24"/>
          <w:szCs w:val="24"/>
        </w:rPr>
        <w:t xml:space="preserve"> </w:t>
      </w:r>
      <w:r>
        <w:rPr>
          <w:bCs/>
          <w:sz w:val="24"/>
          <w:szCs w:val="24"/>
        </w:rPr>
        <w:t>D</w:t>
      </w:r>
      <w:r w:rsidR="001A1FB8" w:rsidRPr="001A1FB8">
        <w:rPr>
          <w:sz w:val="24"/>
          <w:szCs w:val="24"/>
        </w:rPr>
        <w:t>užničko financiranje može biti kratkoročno (na tržištu novca</w:t>
      </w:r>
      <w:r>
        <w:rPr>
          <w:sz w:val="24"/>
          <w:szCs w:val="24"/>
        </w:rPr>
        <w:t>, npr. kroz prodaju trezorskih zapisa i komercijalnih zapisa</w:t>
      </w:r>
      <w:r w:rsidR="001A1FB8" w:rsidRPr="001A1FB8">
        <w:rPr>
          <w:sz w:val="24"/>
          <w:szCs w:val="24"/>
        </w:rPr>
        <w:t>) ili dugoročno (na tržištu kapitala</w:t>
      </w:r>
      <w:r>
        <w:rPr>
          <w:sz w:val="24"/>
          <w:szCs w:val="24"/>
        </w:rPr>
        <w:t>, kroz prodaju obveznica</w:t>
      </w:r>
      <w:r w:rsidR="001A1FB8">
        <w:rPr>
          <w:sz w:val="24"/>
          <w:szCs w:val="24"/>
        </w:rPr>
        <w:t xml:space="preserve">). </w:t>
      </w:r>
    </w:p>
    <w:p w:rsidR="00780CFE" w:rsidRDefault="00780CFE" w:rsidP="001A1FB8">
      <w:pPr>
        <w:autoSpaceDE w:val="0"/>
        <w:autoSpaceDN w:val="0"/>
        <w:adjustRightInd w:val="0"/>
        <w:jc w:val="both"/>
        <w:rPr>
          <w:sz w:val="24"/>
          <w:szCs w:val="24"/>
        </w:rPr>
      </w:pPr>
      <w:r w:rsidRPr="001A1FB8">
        <w:rPr>
          <w:sz w:val="24"/>
          <w:szCs w:val="24"/>
        </w:rPr>
        <w:t xml:space="preserve">S aspekta rizičnosti ulaganja, tj. rizika koji preuzima investitor, </w:t>
      </w:r>
      <w:r w:rsidRPr="001A1FB8">
        <w:rPr>
          <w:bCs/>
          <w:sz w:val="24"/>
          <w:szCs w:val="24"/>
        </w:rPr>
        <w:t>vlasničko financiranje</w:t>
      </w:r>
      <w:r w:rsidRPr="001A1FB8">
        <w:rPr>
          <w:sz w:val="24"/>
          <w:szCs w:val="24"/>
        </w:rPr>
        <w:t xml:space="preserve"> je </w:t>
      </w:r>
      <w:r w:rsidR="001A1FB8">
        <w:rPr>
          <w:sz w:val="24"/>
          <w:szCs w:val="24"/>
        </w:rPr>
        <w:t>uobičajeno više</w:t>
      </w:r>
      <w:r w:rsidRPr="001A1FB8">
        <w:rPr>
          <w:sz w:val="24"/>
          <w:szCs w:val="24"/>
        </w:rPr>
        <w:t xml:space="preserve"> rizičn</w:t>
      </w:r>
      <w:r w:rsidR="001A1FB8">
        <w:rPr>
          <w:sz w:val="24"/>
          <w:szCs w:val="24"/>
        </w:rPr>
        <w:t>o</w:t>
      </w:r>
      <w:r w:rsidRPr="001A1FB8">
        <w:rPr>
          <w:sz w:val="24"/>
          <w:szCs w:val="24"/>
        </w:rPr>
        <w:t xml:space="preserve"> od dužničkog</w:t>
      </w:r>
      <w:r w:rsidR="001A1FB8">
        <w:rPr>
          <w:sz w:val="24"/>
          <w:szCs w:val="24"/>
        </w:rPr>
        <w:t xml:space="preserve"> (</w:t>
      </w:r>
      <w:r w:rsidRPr="001A1FB8">
        <w:rPr>
          <w:sz w:val="24"/>
          <w:szCs w:val="24"/>
        </w:rPr>
        <w:t>debt</w:t>
      </w:r>
      <w:r w:rsidR="001A1FB8">
        <w:rPr>
          <w:sz w:val="24"/>
          <w:szCs w:val="24"/>
        </w:rPr>
        <w:t>)</w:t>
      </w:r>
      <w:r w:rsidRPr="001A1FB8">
        <w:rPr>
          <w:sz w:val="24"/>
          <w:szCs w:val="24"/>
        </w:rPr>
        <w:t xml:space="preserve"> financiranja.</w:t>
      </w:r>
      <w:r w:rsidR="001A1FB8">
        <w:rPr>
          <w:sz w:val="24"/>
          <w:szCs w:val="24"/>
        </w:rPr>
        <w:t xml:space="preserve"> </w:t>
      </w:r>
      <w:r w:rsidRPr="001A1FB8">
        <w:rPr>
          <w:sz w:val="24"/>
          <w:szCs w:val="24"/>
        </w:rPr>
        <w:t>Zbog toga, uz isti iznos uloženih sredstava, ‘equiti’ investitor može ostvariti veći povrat od financirane investicije u odnosu na ‘debt’ investitora</w:t>
      </w:r>
      <w:r w:rsidR="00BB608B">
        <w:rPr>
          <w:sz w:val="24"/>
          <w:szCs w:val="24"/>
        </w:rPr>
        <w:t xml:space="preserve"> (ali može realizirati i veći gubitak)</w:t>
      </w:r>
      <w:r w:rsidRPr="001A1FB8">
        <w:rPr>
          <w:sz w:val="24"/>
          <w:szCs w:val="24"/>
        </w:rPr>
        <w:t>.</w:t>
      </w:r>
    </w:p>
    <w:p w:rsidR="008E5B0D" w:rsidRDefault="0028763F" w:rsidP="007B216F">
      <w:pPr>
        <w:autoSpaceDE w:val="0"/>
        <w:autoSpaceDN w:val="0"/>
        <w:adjustRightInd w:val="0"/>
        <w:jc w:val="both"/>
        <w:rPr>
          <w:sz w:val="24"/>
          <w:szCs w:val="24"/>
        </w:rPr>
      </w:pPr>
      <w:r w:rsidRPr="00231AEF">
        <w:rPr>
          <w:bCs/>
          <w:iCs/>
          <w:sz w:val="24"/>
          <w:szCs w:val="24"/>
        </w:rPr>
        <w:lastRenderedPageBreak/>
        <w:t>Najvažniju vrstu</w:t>
      </w:r>
      <w:r w:rsidR="001A1FB8" w:rsidRPr="00231AEF">
        <w:rPr>
          <w:bCs/>
          <w:iCs/>
          <w:sz w:val="24"/>
          <w:szCs w:val="24"/>
        </w:rPr>
        <w:t xml:space="preserve"> dužničk</w:t>
      </w:r>
      <w:r w:rsidRPr="00231AEF">
        <w:rPr>
          <w:bCs/>
          <w:iCs/>
          <w:sz w:val="24"/>
          <w:szCs w:val="24"/>
        </w:rPr>
        <w:t>e</w:t>
      </w:r>
      <w:r w:rsidR="001A1FB8" w:rsidRPr="00231AEF">
        <w:rPr>
          <w:bCs/>
          <w:iCs/>
          <w:sz w:val="24"/>
          <w:szCs w:val="24"/>
        </w:rPr>
        <w:t xml:space="preserve"> vrijednosnic</w:t>
      </w:r>
      <w:r w:rsidRPr="00231AEF">
        <w:rPr>
          <w:bCs/>
          <w:iCs/>
          <w:sz w:val="24"/>
          <w:szCs w:val="24"/>
        </w:rPr>
        <w:t>e</w:t>
      </w:r>
      <w:r w:rsidR="001A1FB8" w:rsidRPr="00231AEF">
        <w:rPr>
          <w:bCs/>
          <w:iCs/>
          <w:sz w:val="24"/>
          <w:szCs w:val="24"/>
        </w:rPr>
        <w:t xml:space="preserve"> </w:t>
      </w:r>
      <w:r w:rsidRPr="00231AEF">
        <w:rPr>
          <w:bCs/>
          <w:iCs/>
          <w:sz w:val="24"/>
          <w:szCs w:val="24"/>
        </w:rPr>
        <w:t xml:space="preserve">na tržištu kapitala </w:t>
      </w:r>
      <w:r w:rsidR="001A1FB8" w:rsidRPr="00231AEF">
        <w:rPr>
          <w:bCs/>
          <w:iCs/>
          <w:sz w:val="24"/>
          <w:szCs w:val="24"/>
        </w:rPr>
        <w:t xml:space="preserve">predstavlja </w:t>
      </w:r>
      <w:r w:rsidR="001A1FB8" w:rsidRPr="00231AEF">
        <w:rPr>
          <w:bCs/>
          <w:iCs/>
          <w:color w:val="C00000"/>
          <w:sz w:val="24"/>
          <w:szCs w:val="24"/>
        </w:rPr>
        <w:t>obveznic</w:t>
      </w:r>
      <w:r w:rsidRPr="00231AEF">
        <w:rPr>
          <w:bCs/>
          <w:iCs/>
          <w:color w:val="C00000"/>
          <w:sz w:val="24"/>
          <w:szCs w:val="24"/>
        </w:rPr>
        <w:t>a</w:t>
      </w:r>
      <w:r w:rsidR="0083758A">
        <w:rPr>
          <w:bCs/>
          <w:iCs/>
          <w:color w:val="C00000"/>
          <w:sz w:val="24"/>
          <w:szCs w:val="24"/>
        </w:rPr>
        <w:t>:</w:t>
      </w:r>
      <w:r>
        <w:rPr>
          <w:b/>
          <w:bCs/>
          <w:i/>
          <w:iCs/>
          <w:sz w:val="24"/>
          <w:szCs w:val="24"/>
        </w:rPr>
        <w:t xml:space="preserve"> </w:t>
      </w:r>
      <w:r w:rsidR="00780CFE" w:rsidRPr="001A1FB8">
        <w:rPr>
          <w:sz w:val="24"/>
          <w:szCs w:val="24"/>
        </w:rPr>
        <w:t>dugoročni dužnički instrument kojim se emitent obvezuje na isplatu kamatnih plaćanja</w:t>
      </w:r>
      <w:r w:rsidR="0083758A">
        <w:rPr>
          <w:sz w:val="24"/>
          <w:szCs w:val="24"/>
        </w:rPr>
        <w:t xml:space="preserve"> </w:t>
      </w:r>
      <w:r w:rsidR="00780CFE" w:rsidRPr="001A1FB8">
        <w:rPr>
          <w:sz w:val="24"/>
          <w:szCs w:val="24"/>
        </w:rPr>
        <w:t xml:space="preserve">i glavnice </w:t>
      </w:r>
      <w:r>
        <w:rPr>
          <w:sz w:val="24"/>
          <w:szCs w:val="24"/>
        </w:rPr>
        <w:t xml:space="preserve">duga </w:t>
      </w:r>
      <w:r w:rsidR="00780CFE" w:rsidRPr="001A1FB8">
        <w:rPr>
          <w:sz w:val="24"/>
          <w:szCs w:val="24"/>
        </w:rPr>
        <w:t xml:space="preserve">prema unaprijed dogovorenoj dinamici. </w:t>
      </w:r>
      <w:r w:rsidR="007B216F">
        <w:rPr>
          <w:sz w:val="24"/>
          <w:szCs w:val="24"/>
        </w:rPr>
        <w:t xml:space="preserve">U svrhu financiranja, obveznice </w:t>
      </w:r>
      <w:r w:rsidR="007B216F" w:rsidRPr="00231AEF">
        <w:rPr>
          <w:color w:val="C00000"/>
          <w:sz w:val="24"/>
          <w:szCs w:val="24"/>
        </w:rPr>
        <w:t>emitiraju države, poduzeća, financijske institucije i drugi subjekti</w:t>
      </w:r>
      <w:r w:rsidR="00BB608B">
        <w:rPr>
          <w:sz w:val="24"/>
          <w:szCs w:val="24"/>
        </w:rPr>
        <w:t>. R</w:t>
      </w:r>
      <w:r w:rsidR="007B216F">
        <w:rPr>
          <w:sz w:val="24"/>
          <w:szCs w:val="24"/>
        </w:rPr>
        <w:t xml:space="preserve">izičnost </w:t>
      </w:r>
      <w:r w:rsidR="00BB608B">
        <w:rPr>
          <w:sz w:val="24"/>
          <w:szCs w:val="24"/>
        </w:rPr>
        <w:t xml:space="preserve">obveznice </w:t>
      </w:r>
      <w:r w:rsidR="007B216F">
        <w:rPr>
          <w:sz w:val="24"/>
          <w:szCs w:val="24"/>
        </w:rPr>
        <w:t xml:space="preserve">kao financijskog instrumenta prvenstveno ovisi o bonitetu izdavatelja. U slučaju visoko-kvalitetnih državnih obveznica (za zemlje s visokim kreditnim rejtingom) rizik neplaćanja je nizak, dok obveznice izdane od strane država s niskom vjerodostojnošću i visokim rizikom neplaćanja, kao i </w:t>
      </w:r>
      <w:r w:rsidR="003629EA">
        <w:rPr>
          <w:sz w:val="24"/>
          <w:szCs w:val="24"/>
        </w:rPr>
        <w:t xml:space="preserve">obveznice </w:t>
      </w:r>
      <w:r w:rsidR="007B216F">
        <w:rPr>
          <w:sz w:val="24"/>
          <w:szCs w:val="24"/>
        </w:rPr>
        <w:t>poduzeća s značajnijim financijskim poteškoćama predstavljaj</w:t>
      </w:r>
      <w:r w:rsidR="00BB608B">
        <w:rPr>
          <w:sz w:val="24"/>
          <w:szCs w:val="24"/>
        </w:rPr>
        <w:t>u</w:t>
      </w:r>
      <w:r w:rsidR="007B216F">
        <w:rPr>
          <w:sz w:val="24"/>
          <w:szCs w:val="24"/>
        </w:rPr>
        <w:t xml:space="preserve"> rizičan oblik ulaganja. Zbog asimetričnosti informacija na tržištu duga, tržište obveznica naveliko se oslanja na </w:t>
      </w:r>
      <w:r w:rsidR="007B216F" w:rsidRPr="00231AEF">
        <w:rPr>
          <w:color w:val="C00000"/>
          <w:sz w:val="24"/>
          <w:szCs w:val="24"/>
        </w:rPr>
        <w:t xml:space="preserve">kreditni rejting </w:t>
      </w:r>
      <w:r w:rsidR="007B216F">
        <w:rPr>
          <w:sz w:val="24"/>
          <w:szCs w:val="24"/>
        </w:rPr>
        <w:t xml:space="preserve">koji dodjeljuju agencije za procjenu kreditnog rejtinga dajući time sudionicima tržišta do znanja svoja mišljenja o pojedinačnim vrijednosnicama. Kreditni rejting odražava se na visinu kamatne (kuponske) stope pri novim emisijama obveznica, ali isto tako i na tržišnu cijenu u slučaju obveznica koje su ranije emitirane. </w:t>
      </w:r>
    </w:p>
    <w:p w:rsidR="007B216F" w:rsidRDefault="003629EA" w:rsidP="007B216F">
      <w:pPr>
        <w:autoSpaceDE w:val="0"/>
        <w:autoSpaceDN w:val="0"/>
        <w:adjustRightInd w:val="0"/>
        <w:jc w:val="both"/>
        <w:rPr>
          <w:sz w:val="24"/>
          <w:szCs w:val="24"/>
        </w:rPr>
      </w:pPr>
      <w:r>
        <w:rPr>
          <w:sz w:val="24"/>
          <w:szCs w:val="24"/>
        </w:rPr>
        <w:t xml:space="preserve">Iako postoje brojni razredi kreditnog rejtinga, uobičajeno se pravi razlika između obveznica s investicijskim rejtingom (rangom) i </w:t>
      </w:r>
      <w:r w:rsidR="00636EEB">
        <w:rPr>
          <w:sz w:val="24"/>
          <w:szCs w:val="24"/>
        </w:rPr>
        <w:t xml:space="preserve">obveznica s </w:t>
      </w:r>
      <w:r>
        <w:rPr>
          <w:sz w:val="24"/>
          <w:szCs w:val="24"/>
        </w:rPr>
        <w:t>špekulativnim rejtingom.</w:t>
      </w:r>
    </w:p>
    <w:p w:rsidR="003629EA" w:rsidRPr="00636EEB" w:rsidRDefault="003629EA" w:rsidP="007B216F">
      <w:pPr>
        <w:autoSpaceDE w:val="0"/>
        <w:autoSpaceDN w:val="0"/>
        <w:adjustRightInd w:val="0"/>
        <w:jc w:val="both"/>
        <w:rPr>
          <w:b/>
          <w:sz w:val="24"/>
          <w:szCs w:val="24"/>
        </w:rPr>
      </w:pPr>
      <w:r w:rsidRPr="00636EEB">
        <w:rPr>
          <w:b/>
          <w:sz w:val="24"/>
          <w:szCs w:val="24"/>
        </w:rPr>
        <w:t>Tablica 23: Simboli kreditnog rejtinga tri najpoznatije svjetske rejting agencije</w:t>
      </w:r>
    </w:p>
    <w:p w:rsidR="003629EA" w:rsidRPr="001A1FB8" w:rsidRDefault="003629EA" w:rsidP="00636EEB">
      <w:pPr>
        <w:autoSpaceDE w:val="0"/>
        <w:autoSpaceDN w:val="0"/>
        <w:adjustRightInd w:val="0"/>
        <w:spacing w:after="0"/>
        <w:jc w:val="both"/>
        <w:rPr>
          <w:sz w:val="24"/>
          <w:szCs w:val="24"/>
        </w:rPr>
      </w:pPr>
      <w:r>
        <w:rPr>
          <w:noProof/>
          <w:sz w:val="24"/>
          <w:szCs w:val="24"/>
          <w:lang w:eastAsia="hr-HR"/>
        </w:rPr>
        <w:drawing>
          <wp:inline distT="0" distB="0" distL="0" distR="0" wp14:anchorId="4CECD1D5" wp14:editId="343AA914">
            <wp:extent cx="5753100" cy="4343400"/>
            <wp:effectExtent l="0" t="0" r="0" b="0"/>
            <wp:docPr id="29711" name="Slika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3100" cy="4343400"/>
                    </a:xfrm>
                    <a:prstGeom prst="rect">
                      <a:avLst/>
                    </a:prstGeom>
                    <a:noFill/>
                    <a:ln>
                      <a:noFill/>
                    </a:ln>
                  </pic:spPr>
                </pic:pic>
              </a:graphicData>
            </a:graphic>
          </wp:inline>
        </w:drawing>
      </w:r>
    </w:p>
    <w:p w:rsidR="003629EA" w:rsidRPr="00636EEB" w:rsidRDefault="003629EA" w:rsidP="00636EEB">
      <w:pPr>
        <w:autoSpaceDE w:val="0"/>
        <w:autoSpaceDN w:val="0"/>
        <w:adjustRightInd w:val="0"/>
        <w:spacing w:line="240" w:lineRule="auto"/>
        <w:jc w:val="both"/>
        <w:rPr>
          <w:sz w:val="20"/>
          <w:szCs w:val="20"/>
        </w:rPr>
      </w:pPr>
      <w:r w:rsidRPr="00636EEB">
        <w:rPr>
          <w:sz w:val="20"/>
          <w:szCs w:val="20"/>
        </w:rPr>
        <w:t xml:space="preserve">Izvor: Elkhoury M. (2008), Credit rating agencies and their potential impact on developing countries, United Nations Conference on Trade and Development, United Nations, No. 186 </w:t>
      </w:r>
    </w:p>
    <w:tbl>
      <w:tblPr>
        <w:tblStyle w:val="Reetkatablice"/>
        <w:tblW w:w="0" w:type="auto"/>
        <w:tblLook w:val="04A0" w:firstRow="1" w:lastRow="0" w:firstColumn="1" w:lastColumn="0" w:noHBand="0" w:noVBand="1"/>
      </w:tblPr>
      <w:tblGrid>
        <w:gridCol w:w="9288"/>
      </w:tblGrid>
      <w:tr w:rsidR="008E5B0D" w:rsidTr="008E5B0D">
        <w:tc>
          <w:tcPr>
            <w:tcW w:w="9288" w:type="dxa"/>
          </w:tcPr>
          <w:p w:rsidR="0063030B" w:rsidRPr="0063030B" w:rsidRDefault="008E5B0D" w:rsidP="0063030B">
            <w:pPr>
              <w:autoSpaceDE w:val="0"/>
              <w:autoSpaceDN w:val="0"/>
              <w:adjustRightInd w:val="0"/>
              <w:spacing w:before="120" w:after="120"/>
              <w:jc w:val="both"/>
              <w:rPr>
                <w:b/>
                <w:sz w:val="24"/>
                <w:szCs w:val="24"/>
              </w:rPr>
            </w:pPr>
            <w:r w:rsidRPr="008E5B0D">
              <w:rPr>
                <w:color w:val="C00000"/>
                <w:sz w:val="24"/>
                <w:szCs w:val="24"/>
              </w:rPr>
              <w:lastRenderedPageBreak/>
              <w:t>Rejting Republike Hrvatske</w:t>
            </w:r>
            <w:r w:rsidR="0063030B">
              <w:rPr>
                <w:color w:val="C00000"/>
                <w:sz w:val="24"/>
                <w:szCs w:val="24"/>
              </w:rPr>
              <w:t xml:space="preserve"> </w:t>
            </w:r>
            <w:r w:rsidR="0063030B" w:rsidRPr="0063030B">
              <w:rPr>
                <w:sz w:val="24"/>
                <w:szCs w:val="24"/>
              </w:rPr>
              <w:t>(28.9.2015.)</w:t>
            </w:r>
          </w:p>
          <w:tbl>
            <w:tblPr>
              <w:tblW w:w="8923"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100"/>
              <w:gridCol w:w="1436"/>
              <w:gridCol w:w="1843"/>
              <w:gridCol w:w="1701"/>
              <w:gridCol w:w="1843"/>
            </w:tblGrid>
            <w:tr w:rsidR="008E5B0D" w:rsidTr="008E5B0D">
              <w:tc>
                <w:tcPr>
                  <w:tcW w:w="2100" w:type="dxa"/>
                  <w:vMerge w:val="restart"/>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Agencija</w:t>
                  </w:r>
                </w:p>
              </w:tc>
              <w:tc>
                <w:tcPr>
                  <w:tcW w:w="6823" w:type="dxa"/>
                  <w:gridSpan w:val="4"/>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Dugoročno zaduživanje</w:t>
                  </w:r>
                </w:p>
              </w:tc>
            </w:tr>
            <w:tr w:rsidR="008E5B0D" w:rsidTr="008E5B0D">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rPr>
                      <w:rFonts w:ascii="Tahoma" w:hAnsi="Tahoma" w:cs="Tahoma"/>
                      <w:color w:val="000080"/>
                      <w:sz w:val="16"/>
                      <w:szCs w:val="16"/>
                    </w:rPr>
                  </w:pPr>
                </w:p>
              </w:tc>
              <w:tc>
                <w:tcPr>
                  <w:tcW w:w="3279" w:type="dxa"/>
                  <w:gridSpan w:val="2"/>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Strana valuta</w:t>
                  </w:r>
                </w:p>
              </w:tc>
              <w:tc>
                <w:tcPr>
                  <w:tcW w:w="3544" w:type="dxa"/>
                  <w:gridSpan w:val="2"/>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Domaća valuta</w:t>
                  </w:r>
                </w:p>
              </w:tc>
            </w:tr>
            <w:tr w:rsidR="008E5B0D" w:rsidTr="008E5B0D">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rPr>
                      <w:rFonts w:ascii="Tahoma" w:hAnsi="Tahoma" w:cs="Tahoma"/>
                      <w:color w:val="000080"/>
                      <w:sz w:val="16"/>
                      <w:szCs w:val="16"/>
                    </w:rPr>
                  </w:pPr>
                </w:p>
              </w:tc>
              <w:tc>
                <w:tcPr>
                  <w:tcW w:w="1436" w:type="dxa"/>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Ocjena</w:t>
                  </w:r>
                </w:p>
              </w:tc>
              <w:tc>
                <w:tcPr>
                  <w:tcW w:w="1843" w:type="dxa"/>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Trend</w:t>
                  </w:r>
                </w:p>
              </w:tc>
              <w:tc>
                <w:tcPr>
                  <w:tcW w:w="1701" w:type="dxa"/>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Ocjena</w:t>
                  </w:r>
                </w:p>
              </w:tc>
              <w:tc>
                <w:tcPr>
                  <w:tcW w:w="1843" w:type="dxa"/>
                  <w:tcBorders>
                    <w:top w:val="outset" w:sz="6" w:space="0" w:color="auto"/>
                    <w:left w:val="outset" w:sz="6" w:space="0" w:color="auto"/>
                    <w:bottom w:val="outset" w:sz="6" w:space="0" w:color="auto"/>
                    <w:right w:val="outset" w:sz="6" w:space="0" w:color="auto"/>
                  </w:tcBorders>
                  <w:shd w:val="clear" w:color="auto" w:fill="F5F5F5"/>
                  <w:vAlign w:val="center"/>
                  <w:hideMark/>
                </w:tcPr>
                <w:p w:rsidR="008E5B0D" w:rsidRDefault="008E5B0D" w:rsidP="008E5B0D">
                  <w:pPr>
                    <w:jc w:val="center"/>
                    <w:rPr>
                      <w:rFonts w:ascii="Tahoma" w:hAnsi="Tahoma" w:cs="Tahoma"/>
                      <w:color w:val="000080"/>
                      <w:sz w:val="16"/>
                      <w:szCs w:val="16"/>
                    </w:rPr>
                  </w:pPr>
                  <w:r>
                    <w:rPr>
                      <w:rFonts w:ascii="Tahoma" w:hAnsi="Tahoma" w:cs="Tahoma"/>
                      <w:b/>
                      <w:bCs/>
                      <w:color w:val="000080"/>
                      <w:sz w:val="16"/>
                      <w:szCs w:val="16"/>
                    </w:rPr>
                    <w:t>Trend</w:t>
                  </w:r>
                </w:p>
              </w:tc>
            </w:tr>
            <w:tr w:rsidR="008E5B0D" w:rsidTr="008E5B0D">
              <w:tc>
                <w:tcPr>
                  <w:tcW w:w="21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D67C07" w:rsidP="008E5B0D">
                  <w:pPr>
                    <w:jc w:val="center"/>
                    <w:rPr>
                      <w:rFonts w:ascii="Tahoma" w:hAnsi="Tahoma" w:cs="Tahoma"/>
                      <w:color w:val="000080"/>
                      <w:sz w:val="16"/>
                      <w:szCs w:val="16"/>
                    </w:rPr>
                  </w:pPr>
                  <w:hyperlink r:id="rId286" w:tgtFrame="_blank" w:history="1">
                    <w:r w:rsidR="008E5B0D">
                      <w:rPr>
                        <w:rStyle w:val="Hiperveza"/>
                        <w:rFonts w:ascii="Tahoma" w:hAnsi="Tahoma" w:cs="Tahoma"/>
                        <w:b/>
                        <w:bCs/>
                        <w:color w:val="000080"/>
                        <w:sz w:val="16"/>
                        <w:szCs w:val="16"/>
                      </w:rPr>
                      <w:t>Fitch Ratings</w:t>
                    </w:r>
                  </w:hyperlink>
                </w:p>
              </w:tc>
              <w:tc>
                <w:tcPr>
                  <w:tcW w:w="1436" w:type="dxa"/>
                  <w:tcBorders>
                    <w:top w:val="outset" w:sz="6" w:space="0" w:color="auto"/>
                    <w:left w:val="outset" w:sz="6" w:space="0" w:color="auto"/>
                    <w:bottom w:val="outset" w:sz="6" w:space="0" w:color="auto"/>
                    <w:right w:val="outset" w:sz="6" w:space="0" w:color="auto"/>
                  </w:tcBorders>
                  <w:shd w:val="clear" w:color="auto" w:fill="DDDD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BB</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BB+</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r>
            <w:tr w:rsidR="008E5B0D" w:rsidTr="008E5B0D">
              <w:tc>
                <w:tcPr>
                  <w:tcW w:w="21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D67C07" w:rsidP="008E5B0D">
                  <w:pPr>
                    <w:jc w:val="center"/>
                    <w:rPr>
                      <w:rFonts w:ascii="Tahoma" w:hAnsi="Tahoma" w:cs="Tahoma"/>
                      <w:color w:val="000080"/>
                      <w:sz w:val="16"/>
                      <w:szCs w:val="16"/>
                    </w:rPr>
                  </w:pPr>
                  <w:hyperlink r:id="rId287" w:tgtFrame="_blank" w:history="1">
                    <w:r w:rsidR="008E5B0D">
                      <w:rPr>
                        <w:rStyle w:val="Hiperveza"/>
                        <w:rFonts w:ascii="Tahoma" w:hAnsi="Tahoma" w:cs="Tahoma"/>
                        <w:b/>
                        <w:bCs/>
                        <w:color w:val="000080"/>
                        <w:sz w:val="16"/>
                        <w:szCs w:val="16"/>
                      </w:rPr>
                      <w:t>Moody's</w:t>
                    </w:r>
                  </w:hyperlink>
                </w:p>
              </w:tc>
              <w:tc>
                <w:tcPr>
                  <w:tcW w:w="1436" w:type="dxa"/>
                  <w:tcBorders>
                    <w:top w:val="outset" w:sz="6" w:space="0" w:color="auto"/>
                    <w:left w:val="outset" w:sz="6" w:space="0" w:color="auto"/>
                    <w:bottom w:val="outset" w:sz="6" w:space="0" w:color="auto"/>
                    <w:right w:val="outset" w:sz="6" w:space="0" w:color="auto"/>
                  </w:tcBorders>
                  <w:shd w:val="clear" w:color="auto" w:fill="DDDD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Ba1</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Ba1</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r>
            <w:tr w:rsidR="008E5B0D" w:rsidTr="008E5B0D">
              <w:tc>
                <w:tcPr>
                  <w:tcW w:w="210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D67C07" w:rsidP="008E5B0D">
                  <w:pPr>
                    <w:jc w:val="center"/>
                    <w:rPr>
                      <w:rFonts w:ascii="Tahoma" w:hAnsi="Tahoma" w:cs="Tahoma"/>
                      <w:color w:val="000080"/>
                      <w:sz w:val="16"/>
                      <w:szCs w:val="16"/>
                    </w:rPr>
                  </w:pPr>
                  <w:hyperlink r:id="rId288" w:tgtFrame="_blank" w:history="1">
                    <w:r w:rsidR="008E5B0D">
                      <w:rPr>
                        <w:rStyle w:val="Hiperveza"/>
                        <w:rFonts w:ascii="Tahoma" w:hAnsi="Tahoma" w:cs="Tahoma"/>
                        <w:b/>
                        <w:bCs/>
                        <w:color w:val="000080"/>
                        <w:sz w:val="16"/>
                        <w:szCs w:val="16"/>
                      </w:rPr>
                      <w:t>Standard &amp; Poor's</w:t>
                    </w:r>
                  </w:hyperlink>
                </w:p>
              </w:tc>
              <w:tc>
                <w:tcPr>
                  <w:tcW w:w="1436" w:type="dxa"/>
                  <w:tcBorders>
                    <w:top w:val="outset" w:sz="6" w:space="0" w:color="auto"/>
                    <w:left w:val="outset" w:sz="6" w:space="0" w:color="auto"/>
                    <w:bottom w:val="outset" w:sz="6" w:space="0" w:color="auto"/>
                    <w:right w:val="outset" w:sz="6" w:space="0" w:color="auto"/>
                  </w:tcBorders>
                  <w:shd w:val="clear" w:color="auto" w:fill="DDDD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BB</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BB</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8E5B0D" w:rsidRDefault="008E5B0D" w:rsidP="008E5B0D">
                  <w:pPr>
                    <w:jc w:val="center"/>
                    <w:rPr>
                      <w:rFonts w:ascii="Tahoma" w:hAnsi="Tahoma" w:cs="Tahoma"/>
                      <w:color w:val="000080"/>
                      <w:sz w:val="16"/>
                      <w:szCs w:val="16"/>
                    </w:rPr>
                  </w:pPr>
                  <w:r>
                    <w:rPr>
                      <w:rFonts w:ascii="Tahoma" w:hAnsi="Tahoma" w:cs="Tahoma"/>
                      <w:color w:val="000080"/>
                      <w:sz w:val="16"/>
                      <w:szCs w:val="16"/>
                    </w:rPr>
                    <w:t>Negativan</w:t>
                  </w:r>
                </w:p>
              </w:tc>
            </w:tr>
          </w:tbl>
          <w:p w:rsidR="008E5B0D" w:rsidRPr="0063030B" w:rsidRDefault="008E5B0D" w:rsidP="0063030B">
            <w:pPr>
              <w:autoSpaceDE w:val="0"/>
              <w:autoSpaceDN w:val="0"/>
              <w:adjustRightInd w:val="0"/>
              <w:spacing w:before="240"/>
              <w:jc w:val="both"/>
              <w:rPr>
                <w:color w:val="C00000"/>
                <w:sz w:val="24"/>
                <w:szCs w:val="24"/>
              </w:rPr>
            </w:pPr>
            <w:r w:rsidRPr="0063030B">
              <w:rPr>
                <w:color w:val="C00000"/>
                <w:sz w:val="24"/>
                <w:szCs w:val="24"/>
              </w:rPr>
              <w:t>Usporedba s članicama EU i kandidatima za članstvo</w:t>
            </w:r>
          </w:p>
          <w:p w:rsidR="008E5B0D" w:rsidRDefault="0063030B" w:rsidP="0063030B">
            <w:pPr>
              <w:autoSpaceDE w:val="0"/>
              <w:autoSpaceDN w:val="0"/>
              <w:adjustRightInd w:val="0"/>
              <w:spacing w:before="120"/>
              <w:jc w:val="both"/>
            </w:pPr>
            <w:r>
              <w:rPr>
                <w:rFonts w:asciiTheme="minorHAnsi" w:eastAsiaTheme="minorHAnsi" w:hAnsiTheme="minorHAnsi" w:cstheme="minorBidi"/>
                <w:sz w:val="22"/>
                <w:szCs w:val="22"/>
                <w:lang w:eastAsia="en-US"/>
              </w:rPr>
              <w:object w:dxaOrig="7500" w:dyaOrig="9375">
                <v:shape id="_x0000_i1102" type="#_x0000_t75" style="width:368.25pt;height:460.5pt" o:ole="">
                  <v:imagedata r:id="rId289" o:title=""/>
                </v:shape>
                <o:OLEObject Type="Embed" ProgID="PBrush" ShapeID="_x0000_i1102" DrawAspect="Content" ObjectID="_1505681430" r:id="rId290"/>
              </w:object>
            </w:r>
          </w:p>
          <w:p w:rsidR="0063030B" w:rsidRDefault="0063030B" w:rsidP="0063030B">
            <w:pPr>
              <w:autoSpaceDE w:val="0"/>
              <w:autoSpaceDN w:val="0"/>
              <w:adjustRightInd w:val="0"/>
              <w:spacing w:before="120"/>
              <w:jc w:val="both"/>
              <w:rPr>
                <w:sz w:val="24"/>
                <w:szCs w:val="24"/>
              </w:rPr>
            </w:pPr>
            <w:r w:rsidRPr="008E5B0D">
              <w:rPr>
                <w:rFonts w:asciiTheme="minorHAnsi" w:hAnsiTheme="minorHAnsi"/>
              </w:rPr>
              <w:t xml:space="preserve">Izvor: HNB, dostupno na: </w:t>
            </w:r>
            <w:r w:rsidRPr="0063030B">
              <w:rPr>
                <w:rFonts w:asciiTheme="minorHAnsi" w:hAnsiTheme="minorHAnsi"/>
              </w:rPr>
              <w:t>http://www.hnb.hr/rejting_rh/h-zemlje-clanice-eu-i-kandidati.pdf</w:t>
            </w:r>
          </w:p>
        </w:tc>
      </w:tr>
    </w:tbl>
    <w:p w:rsidR="00033B60" w:rsidRDefault="0083758A" w:rsidP="00636EEB">
      <w:pPr>
        <w:autoSpaceDE w:val="0"/>
        <w:autoSpaceDN w:val="0"/>
        <w:adjustRightInd w:val="0"/>
        <w:spacing w:before="360"/>
        <w:jc w:val="both"/>
        <w:rPr>
          <w:sz w:val="24"/>
          <w:szCs w:val="24"/>
        </w:rPr>
      </w:pPr>
      <w:r>
        <w:rPr>
          <w:sz w:val="24"/>
          <w:szCs w:val="24"/>
        </w:rPr>
        <w:lastRenderedPageBreak/>
        <w:t xml:space="preserve">Obveznice se mogu emitirati s varijabilnom kamatnom stopom (koja se mijenja npr. jednom godišnje temeljem određene referentne stope uvećane za </w:t>
      </w:r>
      <w:r w:rsidR="00EC50BE">
        <w:rPr>
          <w:sz w:val="24"/>
          <w:szCs w:val="24"/>
        </w:rPr>
        <w:t xml:space="preserve">ugovorenu </w:t>
      </w:r>
      <w:r>
        <w:rPr>
          <w:sz w:val="24"/>
          <w:szCs w:val="24"/>
        </w:rPr>
        <w:t>fiksnu maržu)</w:t>
      </w:r>
      <w:r w:rsidR="00EC50BE">
        <w:rPr>
          <w:sz w:val="24"/>
          <w:szCs w:val="24"/>
        </w:rPr>
        <w:t xml:space="preserve"> ili fiksnom kamatnom stopom (prema kojoj se obračunava godišnji iznos kamate koju izdavatelj obveznice plaća investitor, tzv. kupon kroz cijelo razdoblje do dospijeća obveznice) – tzv. </w:t>
      </w:r>
      <w:r w:rsidR="00EC50BE" w:rsidRPr="002C2F9A">
        <w:rPr>
          <w:color w:val="C00000"/>
          <w:sz w:val="24"/>
          <w:szCs w:val="24"/>
        </w:rPr>
        <w:t>kuponske obveznice</w:t>
      </w:r>
      <w:r w:rsidR="00EC50BE">
        <w:rPr>
          <w:sz w:val="24"/>
          <w:szCs w:val="24"/>
        </w:rPr>
        <w:t>. Nadalje, p</w:t>
      </w:r>
      <w:r>
        <w:rPr>
          <w:sz w:val="24"/>
          <w:szCs w:val="24"/>
        </w:rPr>
        <w:t xml:space="preserve">ostoje indeksirane obveznice (s indeksiranom kamatnom stopom i fiksnom glavnicom ili fiksnom kamatnom stopom i indeksiranom glavnicom); obveznice kod kojih se kamatna stopa mijenja prema unaprijed utvrđenim fazama pa je npr. niža u prvim godinama i viša u kasnijim godinama); obveznice bez kupona (ne isplaćuju </w:t>
      </w:r>
      <w:r w:rsidR="00EC50BE">
        <w:rPr>
          <w:sz w:val="24"/>
          <w:szCs w:val="24"/>
        </w:rPr>
        <w:t xml:space="preserve">periodični </w:t>
      </w:r>
      <w:r>
        <w:rPr>
          <w:sz w:val="24"/>
          <w:szCs w:val="24"/>
        </w:rPr>
        <w:t>kamatni dohodak u obliku kupo</w:t>
      </w:r>
      <w:r w:rsidR="00EC50BE">
        <w:rPr>
          <w:sz w:val="24"/>
          <w:szCs w:val="24"/>
        </w:rPr>
        <w:t>na nego se prodaju uz diskont – po cijeni nižoj od nominalne). Postoje otkupljive obveznice, obveznice s mogućnošću produljenja dospijeća, konvertibilne obveznice, obveznice s oznakom opoziva (otkupa) itd.</w:t>
      </w:r>
      <w:r w:rsidR="006E0F4A">
        <w:rPr>
          <w:rStyle w:val="Referencafusnote"/>
          <w:sz w:val="24"/>
          <w:szCs w:val="24"/>
        </w:rPr>
        <w:footnoteReference w:id="109"/>
      </w:r>
      <w:r w:rsidR="00EC50BE">
        <w:rPr>
          <w:sz w:val="24"/>
          <w:szCs w:val="24"/>
        </w:rPr>
        <w:t xml:space="preserve"> S izuzetkom kuponskih obveznica koje su uglavnom više likvidne i imaju razvijena sekundarna tržišta, svi ostali oblici obveznica u praksi su rijetki</w:t>
      </w:r>
      <w:r w:rsidR="00BB608B">
        <w:rPr>
          <w:sz w:val="24"/>
          <w:szCs w:val="24"/>
        </w:rPr>
        <w:t>,</w:t>
      </w:r>
      <w:r w:rsidR="00EC50BE">
        <w:rPr>
          <w:sz w:val="24"/>
          <w:szCs w:val="24"/>
        </w:rPr>
        <w:t xml:space="preserve"> a </w:t>
      </w:r>
      <w:r w:rsidR="00BB608B">
        <w:rPr>
          <w:sz w:val="24"/>
          <w:szCs w:val="24"/>
        </w:rPr>
        <w:t>takve</w:t>
      </w:r>
      <w:r w:rsidR="00EC50BE">
        <w:rPr>
          <w:sz w:val="24"/>
          <w:szCs w:val="24"/>
        </w:rPr>
        <w:t xml:space="preserve"> vrijednosnice prilično nelikvidne.  </w:t>
      </w:r>
    </w:p>
    <w:p w:rsidR="00B5302B" w:rsidRPr="007B216F" w:rsidRDefault="007B216F" w:rsidP="007B216F">
      <w:pPr>
        <w:autoSpaceDE w:val="0"/>
        <w:autoSpaceDN w:val="0"/>
        <w:adjustRightInd w:val="0"/>
        <w:jc w:val="both"/>
        <w:rPr>
          <w:sz w:val="24"/>
          <w:szCs w:val="24"/>
        </w:rPr>
      </w:pPr>
      <w:r w:rsidRPr="007B216F">
        <w:rPr>
          <w:sz w:val="24"/>
          <w:szCs w:val="24"/>
        </w:rPr>
        <w:t>Današnja vrijednost</w:t>
      </w:r>
      <w:r w:rsidR="00B5302B">
        <w:rPr>
          <w:sz w:val="24"/>
          <w:szCs w:val="24"/>
        </w:rPr>
        <w:t xml:space="preserve"> (cijena)</w:t>
      </w:r>
      <w:r w:rsidRPr="007B216F">
        <w:rPr>
          <w:sz w:val="24"/>
          <w:szCs w:val="24"/>
        </w:rPr>
        <w:t xml:space="preserve"> </w:t>
      </w:r>
      <w:r w:rsidRPr="00B5302B">
        <w:rPr>
          <w:color w:val="C00000"/>
          <w:sz w:val="24"/>
          <w:szCs w:val="24"/>
        </w:rPr>
        <w:t xml:space="preserve">kuponske obveznice </w:t>
      </w:r>
      <w:r w:rsidRPr="007B216F">
        <w:rPr>
          <w:sz w:val="24"/>
          <w:szCs w:val="24"/>
        </w:rPr>
        <w:t xml:space="preserve">jednaka je zbroju sadašnjih vrijednosti svih </w:t>
      </w:r>
      <w:r w:rsidR="00B5302B">
        <w:rPr>
          <w:sz w:val="24"/>
          <w:szCs w:val="24"/>
        </w:rPr>
        <w:t xml:space="preserve">njenih </w:t>
      </w:r>
      <w:r w:rsidRPr="007B216F">
        <w:rPr>
          <w:sz w:val="24"/>
          <w:szCs w:val="24"/>
        </w:rPr>
        <w:t>budućih isplata, a može se izraziti na sljedeći način:</w:t>
      </w:r>
    </w:p>
    <w:p w:rsidR="007B216F" w:rsidRPr="00B5302B" w:rsidRDefault="00D67C07" w:rsidP="007B216F">
      <w:pPr>
        <w:autoSpaceDE w:val="0"/>
        <w:autoSpaceDN w:val="0"/>
        <w:adjustRightInd w:val="0"/>
        <w:jc w:val="both"/>
        <w:rPr>
          <w:sz w:val="28"/>
          <w:szCs w:val="28"/>
        </w:rPr>
      </w:pPr>
      <w:r>
        <w:rPr>
          <w:noProof/>
          <w:sz w:val="24"/>
          <w:szCs w:val="24"/>
          <w:lang w:eastAsia="hr-HR"/>
        </w:rPr>
        <w:pict w14:anchorId="438749AF">
          <v:shape id="Object 11" o:spid="_x0000_s1106" type="#_x0000_t75" style="position:absolute;left:0;text-align:left;margin-left:263.05pt;margin-top:-5.7pt;width:44.1pt;height:41.65pt;z-index:251661312;visibility:visible">
            <v:imagedata r:id="rId291" o:title=""/>
          </v:shape>
          <o:OLEObject Type="Embed" ProgID="Equation.3" ShapeID="Object 11" DrawAspect="Content" ObjectID="_1505681441" r:id="rId292"/>
        </w:pict>
      </w:r>
      <w:r>
        <w:rPr>
          <w:noProof/>
          <w:sz w:val="24"/>
          <w:szCs w:val="24"/>
          <w:lang w:eastAsia="hr-HR"/>
        </w:rPr>
        <w:pict w14:anchorId="246DE72D">
          <v:shape id="Object 9" o:spid="_x0000_s1105" type="#_x0000_t75" style="position:absolute;left:0;text-align:left;margin-left:200.15pt;margin-top:-5.7pt;width:40.25pt;height:38pt;z-index:251660288;visibility:visible">
            <v:imagedata r:id="rId293" o:title=""/>
          </v:shape>
          <o:OLEObject Type="Embed" ProgID="Equation.3" ShapeID="Object 9" DrawAspect="Content" ObjectID="_1505681442" r:id="rId294"/>
        </w:pict>
      </w:r>
      <w:r>
        <w:rPr>
          <w:noProof/>
          <w:sz w:val="24"/>
          <w:szCs w:val="24"/>
          <w:lang w:eastAsia="hr-HR"/>
        </w:rPr>
        <w:pict w14:anchorId="18D3C39A">
          <v:shape id="Object 7" o:spid="_x0000_s1104" type="#_x0000_t75" style="position:absolute;left:0;text-align:left;margin-left:80.25pt;margin-top:-9.15pt;width:43.9pt;height:41.45pt;z-index:251659264;visibility:visible">
            <v:imagedata r:id="rId295" o:title=""/>
          </v:shape>
          <o:OLEObject Type="Embed" ProgID="Equation.3" ShapeID="Object 7" DrawAspect="Content" ObjectID="_1505681443" r:id="rId296"/>
        </w:pict>
      </w:r>
      <w:r>
        <w:rPr>
          <w:noProof/>
          <w:sz w:val="24"/>
          <w:szCs w:val="24"/>
          <w:lang w:eastAsia="hr-HR"/>
        </w:rPr>
        <w:pict w14:anchorId="10754FF7">
          <v:shape id="Object 5" o:spid="_x0000_s1103" type="#_x0000_t75" style="position:absolute;left:0;text-align:left;margin-left:37.05pt;margin-top:-9.15pt;width:29.8pt;height:38.45pt;z-index:251658240;visibility:visible">
            <v:imagedata r:id="rId297" o:title=""/>
          </v:shape>
          <o:OLEObject Type="Embed" ProgID="Equation.3" ShapeID="Object 5" DrawAspect="Content" ObjectID="_1505681444" r:id="rId298"/>
        </w:pict>
      </w:r>
      <w:r w:rsidR="007B216F" w:rsidRPr="007B216F">
        <w:rPr>
          <w:sz w:val="24"/>
          <w:szCs w:val="24"/>
        </w:rPr>
        <w:t xml:space="preserve">     </w:t>
      </w:r>
      <w:r w:rsidR="007B216F" w:rsidRPr="00B5302B">
        <w:rPr>
          <w:sz w:val="28"/>
          <w:szCs w:val="28"/>
        </w:rPr>
        <w:t>P =</w:t>
      </w:r>
      <w:r w:rsidR="00B5302B">
        <w:rPr>
          <w:sz w:val="28"/>
          <w:szCs w:val="28"/>
        </w:rPr>
        <w:t xml:space="preserve"> </w:t>
      </w:r>
      <w:r w:rsidR="007B216F" w:rsidRPr="00B5302B">
        <w:rPr>
          <w:sz w:val="28"/>
          <w:szCs w:val="28"/>
        </w:rPr>
        <w:t xml:space="preserve">           +</w:t>
      </w:r>
      <w:r w:rsidR="00B5302B">
        <w:rPr>
          <w:sz w:val="28"/>
          <w:szCs w:val="28"/>
        </w:rPr>
        <w:t xml:space="preserve">   </w:t>
      </w:r>
      <w:r w:rsidR="007B216F" w:rsidRPr="00B5302B">
        <w:rPr>
          <w:sz w:val="28"/>
          <w:szCs w:val="28"/>
        </w:rPr>
        <w:t xml:space="preserve">               +</w:t>
      </w:r>
      <w:r w:rsidR="00B5302B">
        <w:rPr>
          <w:sz w:val="28"/>
          <w:szCs w:val="28"/>
        </w:rPr>
        <w:t xml:space="preserve">  ………… +     </w:t>
      </w:r>
      <w:r w:rsidR="007B216F" w:rsidRPr="00B5302B">
        <w:rPr>
          <w:sz w:val="28"/>
          <w:szCs w:val="28"/>
        </w:rPr>
        <w:t xml:space="preserve"> </w:t>
      </w:r>
      <w:r w:rsidR="00B5302B">
        <w:rPr>
          <w:sz w:val="28"/>
          <w:szCs w:val="28"/>
        </w:rPr>
        <w:t xml:space="preserve">          </w:t>
      </w:r>
      <w:r w:rsidR="007B216F" w:rsidRPr="00B5302B">
        <w:rPr>
          <w:sz w:val="28"/>
          <w:szCs w:val="28"/>
        </w:rPr>
        <w:t xml:space="preserve"> + </w:t>
      </w:r>
    </w:p>
    <w:p w:rsidR="007B216F" w:rsidRPr="00DC4FB3" w:rsidRDefault="007B216F" w:rsidP="00BB608B">
      <w:pPr>
        <w:autoSpaceDE w:val="0"/>
        <w:autoSpaceDN w:val="0"/>
        <w:adjustRightInd w:val="0"/>
        <w:spacing w:before="240"/>
        <w:jc w:val="both"/>
        <w:rPr>
          <w:sz w:val="24"/>
          <w:szCs w:val="24"/>
        </w:rPr>
      </w:pPr>
      <w:r w:rsidRPr="00DC4FB3">
        <w:rPr>
          <w:sz w:val="24"/>
          <w:szCs w:val="24"/>
        </w:rPr>
        <w:t>gdje je:</w:t>
      </w:r>
    </w:p>
    <w:p w:rsidR="00780CFE" w:rsidRPr="00DC4FB3" w:rsidRDefault="00780CFE" w:rsidP="0009271B">
      <w:pPr>
        <w:numPr>
          <w:ilvl w:val="0"/>
          <w:numId w:val="116"/>
        </w:numPr>
        <w:autoSpaceDE w:val="0"/>
        <w:autoSpaceDN w:val="0"/>
        <w:adjustRightInd w:val="0"/>
        <w:spacing w:after="0" w:line="240" w:lineRule="auto"/>
        <w:ind w:left="714" w:hanging="357"/>
        <w:jc w:val="both"/>
        <w:rPr>
          <w:sz w:val="24"/>
          <w:szCs w:val="24"/>
        </w:rPr>
      </w:pPr>
      <w:r w:rsidRPr="00DC4FB3">
        <w:rPr>
          <w:sz w:val="24"/>
          <w:szCs w:val="24"/>
        </w:rPr>
        <w:t xml:space="preserve">P – današnja vrijednost, tj. </w:t>
      </w:r>
      <w:r w:rsidRPr="00DC4FB3">
        <w:rPr>
          <w:color w:val="C00000"/>
          <w:sz w:val="24"/>
          <w:szCs w:val="24"/>
        </w:rPr>
        <w:t>cijena obveznice</w:t>
      </w:r>
      <w:r w:rsidR="00DC4FB3" w:rsidRPr="00DC4FB3">
        <w:rPr>
          <w:sz w:val="24"/>
          <w:szCs w:val="24"/>
        </w:rPr>
        <w:t>;</w:t>
      </w:r>
    </w:p>
    <w:p w:rsidR="00780CFE" w:rsidRPr="00DC4FB3" w:rsidRDefault="00780CFE" w:rsidP="0009271B">
      <w:pPr>
        <w:numPr>
          <w:ilvl w:val="0"/>
          <w:numId w:val="116"/>
        </w:numPr>
        <w:autoSpaceDE w:val="0"/>
        <w:autoSpaceDN w:val="0"/>
        <w:adjustRightInd w:val="0"/>
        <w:spacing w:after="0" w:line="240" w:lineRule="auto"/>
        <w:ind w:left="714" w:hanging="357"/>
        <w:jc w:val="both"/>
        <w:rPr>
          <w:sz w:val="24"/>
          <w:szCs w:val="24"/>
        </w:rPr>
      </w:pPr>
      <w:r w:rsidRPr="00DC4FB3">
        <w:rPr>
          <w:sz w:val="24"/>
          <w:szCs w:val="24"/>
        </w:rPr>
        <w:t xml:space="preserve">C – fiksni iznos godišnje kuponske isplate – iznos </w:t>
      </w:r>
      <w:r w:rsidRPr="00DC4FB3">
        <w:rPr>
          <w:color w:val="C00000"/>
          <w:sz w:val="24"/>
          <w:szCs w:val="24"/>
        </w:rPr>
        <w:t xml:space="preserve">kuponske kamate </w:t>
      </w:r>
      <w:r w:rsidRPr="00DC4FB3">
        <w:rPr>
          <w:sz w:val="24"/>
          <w:szCs w:val="24"/>
        </w:rPr>
        <w:t>koja se isplaćuje svake godine do dana dospijeća obveznice - definiran je visinom kuponske (kamatne) stope te pokazuje trošak korištenja tuđih izvora sredstava</w:t>
      </w:r>
      <w:r w:rsidR="00DC4FB3" w:rsidRPr="00DC4FB3">
        <w:rPr>
          <w:sz w:val="24"/>
          <w:szCs w:val="24"/>
        </w:rPr>
        <w:t>;</w:t>
      </w:r>
    </w:p>
    <w:p w:rsidR="00780CFE" w:rsidRPr="00DC4FB3" w:rsidRDefault="00780CFE" w:rsidP="0009271B">
      <w:pPr>
        <w:numPr>
          <w:ilvl w:val="0"/>
          <w:numId w:val="116"/>
        </w:numPr>
        <w:autoSpaceDE w:val="0"/>
        <w:autoSpaceDN w:val="0"/>
        <w:adjustRightInd w:val="0"/>
        <w:spacing w:after="0" w:line="240" w:lineRule="auto"/>
        <w:ind w:left="714" w:hanging="357"/>
        <w:jc w:val="both"/>
        <w:rPr>
          <w:sz w:val="24"/>
          <w:szCs w:val="24"/>
        </w:rPr>
      </w:pPr>
      <w:r w:rsidRPr="00DC4FB3">
        <w:rPr>
          <w:sz w:val="24"/>
          <w:szCs w:val="24"/>
        </w:rPr>
        <w:t xml:space="preserve">F – </w:t>
      </w:r>
      <w:r w:rsidRPr="00DC4FB3">
        <w:rPr>
          <w:color w:val="C00000"/>
          <w:sz w:val="24"/>
          <w:szCs w:val="24"/>
        </w:rPr>
        <w:t xml:space="preserve">nominalna vrijednost obveznice </w:t>
      </w:r>
      <w:r w:rsidRPr="00DC4FB3">
        <w:rPr>
          <w:sz w:val="24"/>
          <w:szCs w:val="24"/>
        </w:rPr>
        <w:t xml:space="preserve">(nominala) – </w:t>
      </w:r>
      <w:r w:rsidR="00DC4FB3" w:rsidRPr="00DC4FB3">
        <w:rPr>
          <w:sz w:val="24"/>
          <w:szCs w:val="24"/>
        </w:rPr>
        <w:t xml:space="preserve">iznos na koji obveznica glasi, odnosno </w:t>
      </w:r>
      <w:r w:rsidRPr="00DC4FB3">
        <w:rPr>
          <w:sz w:val="24"/>
          <w:szCs w:val="24"/>
        </w:rPr>
        <w:t>iznos koji emitent plaća o dospijeću obveznice na ime otplate glavnice duga</w:t>
      </w:r>
      <w:r w:rsidR="00DC4FB3" w:rsidRPr="00DC4FB3">
        <w:rPr>
          <w:sz w:val="24"/>
          <w:szCs w:val="24"/>
        </w:rPr>
        <w:t>;</w:t>
      </w:r>
      <w:r w:rsidRPr="00DC4FB3">
        <w:rPr>
          <w:sz w:val="24"/>
          <w:szCs w:val="24"/>
        </w:rPr>
        <w:t xml:space="preserve"> </w:t>
      </w:r>
    </w:p>
    <w:p w:rsidR="008C2D59" w:rsidRPr="008C2D59" w:rsidRDefault="00780CFE" w:rsidP="0009271B">
      <w:pPr>
        <w:numPr>
          <w:ilvl w:val="0"/>
          <w:numId w:val="116"/>
        </w:numPr>
        <w:autoSpaceDE w:val="0"/>
        <w:autoSpaceDN w:val="0"/>
        <w:adjustRightInd w:val="0"/>
        <w:spacing w:after="0" w:line="240" w:lineRule="auto"/>
        <w:ind w:left="714" w:hanging="357"/>
        <w:jc w:val="both"/>
        <w:rPr>
          <w:sz w:val="24"/>
          <w:szCs w:val="24"/>
        </w:rPr>
      </w:pPr>
      <w:r w:rsidRPr="008C2D59">
        <w:rPr>
          <w:iCs/>
          <w:sz w:val="24"/>
          <w:szCs w:val="24"/>
        </w:rPr>
        <w:t>i</w:t>
      </w:r>
      <w:r w:rsidRPr="008C2D59">
        <w:rPr>
          <w:sz w:val="24"/>
          <w:szCs w:val="24"/>
        </w:rPr>
        <w:t xml:space="preserve"> – </w:t>
      </w:r>
      <w:r w:rsidRPr="008C2D59">
        <w:rPr>
          <w:color w:val="C00000"/>
          <w:sz w:val="24"/>
          <w:szCs w:val="24"/>
        </w:rPr>
        <w:t xml:space="preserve">prinos do dospijeća </w:t>
      </w:r>
      <w:r w:rsidRPr="008C2D59">
        <w:rPr>
          <w:sz w:val="24"/>
          <w:szCs w:val="24"/>
        </w:rPr>
        <w:t>(</w:t>
      </w:r>
      <w:r w:rsidR="008C2D59" w:rsidRPr="008C2D59">
        <w:rPr>
          <w:sz w:val="24"/>
          <w:szCs w:val="24"/>
        </w:rPr>
        <w:t xml:space="preserve">zahtijevani </w:t>
      </w:r>
      <w:r w:rsidRPr="008C2D59">
        <w:rPr>
          <w:sz w:val="24"/>
          <w:szCs w:val="24"/>
        </w:rPr>
        <w:t xml:space="preserve">prinos) - označava </w:t>
      </w:r>
      <w:r w:rsidRPr="008C2D59">
        <w:rPr>
          <w:iCs/>
          <w:sz w:val="24"/>
          <w:szCs w:val="24"/>
        </w:rPr>
        <w:t>kamatnu stopu uz koju je današnja vrijednost dužničkog instrumenta jednaka sadašnjoj vrijednosti svih njegovih budućih primitaka</w:t>
      </w:r>
      <w:r w:rsidR="00DC4FB3" w:rsidRPr="008C2D59">
        <w:rPr>
          <w:iCs/>
          <w:sz w:val="24"/>
          <w:szCs w:val="24"/>
        </w:rPr>
        <w:t>;</w:t>
      </w:r>
      <w:r w:rsidR="006E29E9" w:rsidRPr="008C2D59">
        <w:rPr>
          <w:iCs/>
          <w:sz w:val="24"/>
          <w:szCs w:val="24"/>
        </w:rPr>
        <w:t xml:space="preserve"> </w:t>
      </w:r>
    </w:p>
    <w:p w:rsidR="00F43E9F" w:rsidRPr="008C2D59" w:rsidRDefault="00780CFE" w:rsidP="0009271B">
      <w:pPr>
        <w:numPr>
          <w:ilvl w:val="0"/>
          <w:numId w:val="116"/>
        </w:numPr>
        <w:autoSpaceDE w:val="0"/>
        <w:autoSpaceDN w:val="0"/>
        <w:adjustRightInd w:val="0"/>
        <w:spacing w:after="0" w:line="240" w:lineRule="auto"/>
        <w:ind w:left="714" w:hanging="357"/>
        <w:jc w:val="both"/>
        <w:rPr>
          <w:sz w:val="24"/>
          <w:szCs w:val="24"/>
        </w:rPr>
      </w:pPr>
      <w:r w:rsidRPr="008C2D59">
        <w:rPr>
          <w:sz w:val="24"/>
          <w:szCs w:val="24"/>
        </w:rPr>
        <w:t>t – godina (za t = 1,2, … n).</w:t>
      </w:r>
    </w:p>
    <w:p w:rsidR="00F43E9F" w:rsidRDefault="003B1774" w:rsidP="00F43E9F">
      <w:pPr>
        <w:autoSpaceDE w:val="0"/>
        <w:autoSpaceDN w:val="0"/>
        <w:adjustRightInd w:val="0"/>
        <w:spacing w:before="240" w:after="120"/>
        <w:jc w:val="both"/>
        <w:rPr>
          <w:sz w:val="24"/>
          <w:szCs w:val="24"/>
        </w:rPr>
      </w:pPr>
      <w:r w:rsidRPr="00F43E9F">
        <w:rPr>
          <w:sz w:val="24"/>
          <w:szCs w:val="24"/>
        </w:rPr>
        <w:t xml:space="preserve">Na burzi ili drugim tržišta, cijena obveznica iskazuje se </w:t>
      </w:r>
      <w:r w:rsidRPr="00F43E9F">
        <w:rPr>
          <w:color w:val="C00000"/>
          <w:sz w:val="24"/>
          <w:szCs w:val="24"/>
        </w:rPr>
        <w:t>u postotku nominalnog iznosa na koji obveznica glasi</w:t>
      </w:r>
      <w:r w:rsidRPr="00F43E9F">
        <w:rPr>
          <w:sz w:val="24"/>
          <w:szCs w:val="24"/>
        </w:rPr>
        <w:t xml:space="preserve">. </w:t>
      </w:r>
      <w:r w:rsidR="00DC4FB3" w:rsidRPr="00F43E9F">
        <w:rPr>
          <w:sz w:val="24"/>
          <w:szCs w:val="24"/>
        </w:rPr>
        <w:t>Na primjer ako je nominalna vrijednost obveznice 1 kunu, njezina cijena 100 znači da je tržišna vrijednost obveznice jednaka nominali, a u tom slučaju prinos do dospijeća jednak je kuponskoj (kamatnoj) stopi. Cijena 96 označava da se njena tržišna vrijednost nalazi na razini 96% nominale (odnosno ona se trži u diskont) te je tada prinos (do dospijeća) viši od kuponske kamatne stope</w:t>
      </w:r>
      <w:r w:rsidR="00893455" w:rsidRPr="00F43E9F">
        <w:rPr>
          <w:sz w:val="24"/>
          <w:szCs w:val="24"/>
        </w:rPr>
        <w:t xml:space="preserve"> (definirane u trenutku emisije obveznice</w:t>
      </w:r>
      <w:r w:rsidR="00BB608B">
        <w:rPr>
          <w:sz w:val="24"/>
          <w:szCs w:val="24"/>
        </w:rPr>
        <w:t xml:space="preserve"> i uz koju se periodično plaćaju kamate</w:t>
      </w:r>
      <w:r w:rsidR="00893455" w:rsidRPr="00F43E9F">
        <w:rPr>
          <w:sz w:val="24"/>
          <w:szCs w:val="24"/>
        </w:rPr>
        <w:t>)</w:t>
      </w:r>
      <w:r w:rsidR="00DC4FB3" w:rsidRPr="00F43E9F">
        <w:rPr>
          <w:sz w:val="24"/>
          <w:szCs w:val="24"/>
        </w:rPr>
        <w:t xml:space="preserve">. </w:t>
      </w:r>
      <w:r w:rsidR="00893455" w:rsidRPr="00F43E9F">
        <w:rPr>
          <w:sz w:val="24"/>
          <w:szCs w:val="24"/>
        </w:rPr>
        <w:t>Suprotno tome cijena 106 znači da je tržišna vrijednost na razini 106% nominalnog iznosa (obveznicom se trguje uz premiju) te je tada prinos (do dospijeća) niži od kuponske kamatne stope (definirane u trenutku emisije obveznice</w:t>
      </w:r>
      <w:r w:rsidR="00BB608B">
        <w:rPr>
          <w:sz w:val="24"/>
          <w:szCs w:val="24"/>
        </w:rPr>
        <w:t xml:space="preserve"> i uz koju se periodično plaćaju kamate</w:t>
      </w:r>
      <w:r w:rsidR="00893455" w:rsidRPr="00F43E9F">
        <w:rPr>
          <w:sz w:val="24"/>
          <w:szCs w:val="24"/>
        </w:rPr>
        <w:t xml:space="preserve">). </w:t>
      </w:r>
    </w:p>
    <w:p w:rsidR="00BB608B" w:rsidRDefault="00F43E9F" w:rsidP="00BB608B">
      <w:pPr>
        <w:autoSpaceDE w:val="0"/>
        <w:autoSpaceDN w:val="0"/>
        <w:adjustRightInd w:val="0"/>
        <w:spacing w:before="240" w:after="0"/>
        <w:jc w:val="both"/>
        <w:rPr>
          <w:sz w:val="24"/>
          <w:szCs w:val="24"/>
        </w:rPr>
      </w:pPr>
      <w:r w:rsidRPr="00F43E9F">
        <w:rPr>
          <w:sz w:val="24"/>
          <w:szCs w:val="24"/>
        </w:rPr>
        <w:lastRenderedPageBreak/>
        <w:t xml:space="preserve">Iz navedenog slijedi </w:t>
      </w:r>
      <w:r>
        <w:rPr>
          <w:sz w:val="24"/>
          <w:szCs w:val="24"/>
        </w:rPr>
        <w:t xml:space="preserve">da: </w:t>
      </w:r>
      <w:r w:rsidRPr="00F43E9F">
        <w:rPr>
          <w:color w:val="C00000"/>
          <w:sz w:val="24"/>
          <w:szCs w:val="24"/>
        </w:rPr>
        <w:t>p</w:t>
      </w:r>
      <w:r w:rsidR="00780CFE" w:rsidRPr="00F43E9F">
        <w:rPr>
          <w:color w:val="C00000"/>
          <w:sz w:val="24"/>
          <w:szCs w:val="24"/>
        </w:rPr>
        <w:t>ostoji inverzan odnos kretanja cijene obveznice i kretanja prinosa do dospijeća</w:t>
      </w:r>
      <w:r w:rsidR="00780CFE" w:rsidRPr="00F43E9F">
        <w:rPr>
          <w:sz w:val="24"/>
          <w:szCs w:val="24"/>
        </w:rPr>
        <w:t>. Ako dođe do porasta (zahtijevanog) prinosa do dospijeća, cijena obveznice se smanj</w:t>
      </w:r>
      <w:r>
        <w:rPr>
          <w:sz w:val="24"/>
          <w:szCs w:val="24"/>
        </w:rPr>
        <w:t>uje, dok ako</w:t>
      </w:r>
      <w:r w:rsidR="00780CFE" w:rsidRPr="00F43E9F">
        <w:rPr>
          <w:sz w:val="24"/>
          <w:szCs w:val="24"/>
        </w:rPr>
        <w:t xml:space="preserve"> se prinos do dospijeća smanji, cijena obveznice </w:t>
      </w:r>
      <w:r>
        <w:rPr>
          <w:sz w:val="24"/>
          <w:szCs w:val="24"/>
        </w:rPr>
        <w:t>raste</w:t>
      </w:r>
      <w:r w:rsidR="00780CFE" w:rsidRPr="00F43E9F">
        <w:rPr>
          <w:sz w:val="24"/>
          <w:szCs w:val="24"/>
        </w:rPr>
        <w:t>.</w:t>
      </w:r>
      <w:r w:rsidR="00780CFE">
        <w:rPr>
          <w:sz w:val="24"/>
          <w:szCs w:val="24"/>
        </w:rPr>
        <w:t xml:space="preserve"> </w:t>
      </w:r>
      <w:r w:rsidR="00780CFE" w:rsidRPr="00BB608B">
        <w:rPr>
          <w:color w:val="C00000"/>
          <w:sz w:val="24"/>
          <w:szCs w:val="24"/>
        </w:rPr>
        <w:t>Odluka o ulaganju u određenu obveznicu</w:t>
      </w:r>
      <w:r w:rsidR="00780CFE">
        <w:rPr>
          <w:sz w:val="24"/>
          <w:szCs w:val="24"/>
        </w:rPr>
        <w:t xml:space="preserve"> stoga ovisi o </w:t>
      </w:r>
    </w:p>
    <w:p w:rsidR="00BB608B" w:rsidRPr="00BB608B" w:rsidRDefault="00780CFE" w:rsidP="0009271B">
      <w:pPr>
        <w:pStyle w:val="Odlomakpopisa"/>
        <w:numPr>
          <w:ilvl w:val="0"/>
          <w:numId w:val="118"/>
        </w:numPr>
        <w:autoSpaceDE w:val="0"/>
        <w:autoSpaceDN w:val="0"/>
        <w:adjustRightInd w:val="0"/>
        <w:spacing w:after="120"/>
        <w:ind w:left="714" w:hanging="357"/>
        <w:jc w:val="both"/>
        <w:rPr>
          <w:sz w:val="24"/>
          <w:szCs w:val="24"/>
        </w:rPr>
      </w:pPr>
      <w:r w:rsidRPr="00BB608B">
        <w:rPr>
          <w:sz w:val="24"/>
          <w:szCs w:val="24"/>
        </w:rPr>
        <w:t xml:space="preserve">kuponskoj kamatnoj stopi </w:t>
      </w:r>
      <w:r w:rsidR="006351B9" w:rsidRPr="00BB608B">
        <w:rPr>
          <w:sz w:val="24"/>
          <w:szCs w:val="24"/>
        </w:rPr>
        <w:t xml:space="preserve">koja je </w:t>
      </w:r>
      <w:r w:rsidR="00BB608B" w:rsidRPr="00BB608B">
        <w:rPr>
          <w:sz w:val="24"/>
          <w:szCs w:val="24"/>
        </w:rPr>
        <w:t xml:space="preserve">u </w:t>
      </w:r>
      <w:r w:rsidR="006351B9" w:rsidRPr="00BB608B">
        <w:rPr>
          <w:sz w:val="24"/>
          <w:szCs w:val="24"/>
        </w:rPr>
        <w:t xml:space="preserve">definirana uvjetima obilja ili oskudice novca u trenutku emisije </w:t>
      </w:r>
      <w:r w:rsidR="00BB608B" w:rsidRPr="00BB608B">
        <w:rPr>
          <w:sz w:val="24"/>
          <w:szCs w:val="24"/>
        </w:rPr>
        <w:t xml:space="preserve">obveznice </w:t>
      </w:r>
      <w:r w:rsidR="006351B9" w:rsidRPr="00BB608B">
        <w:rPr>
          <w:sz w:val="24"/>
          <w:szCs w:val="24"/>
        </w:rPr>
        <w:t>te visinom premije rizika</w:t>
      </w:r>
      <w:r w:rsidR="00BB608B" w:rsidRPr="00BB608B">
        <w:rPr>
          <w:sz w:val="24"/>
          <w:szCs w:val="24"/>
        </w:rPr>
        <w:t xml:space="preserve"> (prvenstveno rizičnošću dužnika, odnosno rizikom materijalizacije negativnih faktora koji bi mogli djelovati na </w:t>
      </w:r>
      <w:r w:rsidR="00BB608B">
        <w:rPr>
          <w:sz w:val="24"/>
          <w:szCs w:val="24"/>
        </w:rPr>
        <w:t xml:space="preserve">buduću </w:t>
      </w:r>
      <w:r w:rsidR="00BB608B" w:rsidRPr="00BB608B">
        <w:rPr>
          <w:sz w:val="24"/>
          <w:szCs w:val="24"/>
        </w:rPr>
        <w:t>kreditnu sposobnost dužnika)</w:t>
      </w:r>
      <w:r w:rsidR="006351B9" w:rsidRPr="00BB608B">
        <w:rPr>
          <w:sz w:val="24"/>
          <w:szCs w:val="24"/>
        </w:rPr>
        <w:t>, a na godišnjoj razini definira visinu kamatnog prihoda za držatelje vrijednosnice</w:t>
      </w:r>
      <w:r w:rsidR="00BB608B">
        <w:rPr>
          <w:sz w:val="24"/>
          <w:szCs w:val="24"/>
        </w:rPr>
        <w:t>; te</w:t>
      </w:r>
    </w:p>
    <w:p w:rsidR="00BB608B" w:rsidRPr="00BB608B" w:rsidRDefault="00780CFE" w:rsidP="0009271B">
      <w:pPr>
        <w:pStyle w:val="Odlomakpopisa"/>
        <w:numPr>
          <w:ilvl w:val="0"/>
          <w:numId w:val="118"/>
        </w:numPr>
        <w:autoSpaceDE w:val="0"/>
        <w:autoSpaceDN w:val="0"/>
        <w:adjustRightInd w:val="0"/>
        <w:spacing w:before="240" w:after="120"/>
        <w:jc w:val="both"/>
        <w:rPr>
          <w:sz w:val="24"/>
          <w:szCs w:val="24"/>
        </w:rPr>
      </w:pPr>
      <w:r w:rsidRPr="00BB608B">
        <w:rPr>
          <w:sz w:val="24"/>
          <w:szCs w:val="24"/>
        </w:rPr>
        <w:t>cijeni po kojoj se obveznica u danom trenutku trži</w:t>
      </w:r>
      <w:r w:rsidR="006351B9" w:rsidRPr="00BB608B">
        <w:rPr>
          <w:sz w:val="24"/>
          <w:szCs w:val="24"/>
        </w:rPr>
        <w:t xml:space="preserve"> (koja je određena premijom rizika te uvjetima obilja ili oskudnosti novca u tekućem razdoblju)</w:t>
      </w:r>
      <w:r w:rsidRPr="00BB608B">
        <w:rPr>
          <w:sz w:val="24"/>
          <w:szCs w:val="24"/>
        </w:rPr>
        <w:t xml:space="preserve">. </w:t>
      </w:r>
    </w:p>
    <w:p w:rsidR="004E037C" w:rsidRDefault="006351B9" w:rsidP="004E037C">
      <w:pPr>
        <w:autoSpaceDE w:val="0"/>
        <w:autoSpaceDN w:val="0"/>
        <w:adjustRightInd w:val="0"/>
        <w:spacing w:before="240" w:after="120"/>
        <w:jc w:val="both"/>
        <w:rPr>
          <w:sz w:val="24"/>
          <w:szCs w:val="24"/>
        </w:rPr>
      </w:pPr>
      <w:r w:rsidRPr="00636EEB">
        <w:rPr>
          <w:sz w:val="24"/>
          <w:szCs w:val="24"/>
        </w:rPr>
        <w:t xml:space="preserve">Obilje novca </w:t>
      </w:r>
      <w:r w:rsidR="009C3B63" w:rsidRPr="00636EEB">
        <w:rPr>
          <w:sz w:val="24"/>
          <w:szCs w:val="24"/>
        </w:rPr>
        <w:t xml:space="preserve">(pod utjecajem </w:t>
      </w:r>
      <w:r w:rsidRPr="00636EEB">
        <w:rPr>
          <w:sz w:val="24"/>
          <w:szCs w:val="24"/>
        </w:rPr>
        <w:t>ekspanzivn</w:t>
      </w:r>
      <w:r w:rsidR="009C3B63" w:rsidRPr="00636EEB">
        <w:rPr>
          <w:sz w:val="24"/>
          <w:szCs w:val="24"/>
        </w:rPr>
        <w:t>e</w:t>
      </w:r>
      <w:r w:rsidRPr="00636EEB">
        <w:rPr>
          <w:sz w:val="24"/>
          <w:szCs w:val="24"/>
        </w:rPr>
        <w:t xml:space="preserve"> monetarn</w:t>
      </w:r>
      <w:r w:rsidR="009C3B63" w:rsidRPr="00636EEB">
        <w:rPr>
          <w:sz w:val="24"/>
          <w:szCs w:val="24"/>
        </w:rPr>
        <w:t>e</w:t>
      </w:r>
      <w:r w:rsidRPr="00636EEB">
        <w:rPr>
          <w:sz w:val="24"/>
          <w:szCs w:val="24"/>
        </w:rPr>
        <w:t xml:space="preserve"> politik</w:t>
      </w:r>
      <w:r w:rsidR="009C3B63" w:rsidRPr="00636EEB">
        <w:rPr>
          <w:sz w:val="24"/>
          <w:szCs w:val="24"/>
        </w:rPr>
        <w:t>e)</w:t>
      </w:r>
      <w:r w:rsidRPr="00636EEB">
        <w:rPr>
          <w:sz w:val="24"/>
          <w:szCs w:val="24"/>
        </w:rPr>
        <w:t xml:space="preserve"> uobičajeno djeluje na pad tržišnih kamatnjaka, </w:t>
      </w:r>
      <w:r w:rsidR="009C3B63" w:rsidRPr="00636EEB">
        <w:rPr>
          <w:sz w:val="24"/>
          <w:szCs w:val="24"/>
        </w:rPr>
        <w:t>dok oskudica novca podupire rast tržišnih kamatnjaka. Z</w:t>
      </w:r>
      <w:r w:rsidRPr="00636EEB">
        <w:rPr>
          <w:sz w:val="24"/>
          <w:szCs w:val="24"/>
        </w:rPr>
        <w:t xml:space="preserve">bog </w:t>
      </w:r>
      <w:r w:rsidR="009C3B63" w:rsidRPr="00636EEB">
        <w:rPr>
          <w:sz w:val="24"/>
          <w:szCs w:val="24"/>
        </w:rPr>
        <w:t>toga</w:t>
      </w:r>
      <w:r w:rsidRPr="00636EEB">
        <w:rPr>
          <w:sz w:val="24"/>
          <w:szCs w:val="24"/>
        </w:rPr>
        <w:t xml:space="preserve"> </w:t>
      </w:r>
      <w:r w:rsidR="002166D7" w:rsidRPr="00636EEB">
        <w:rPr>
          <w:sz w:val="24"/>
          <w:szCs w:val="24"/>
        </w:rPr>
        <w:t xml:space="preserve">prosječna tržišna kamatna stopa (za određeno dospijeće i rizik ulaganja) </w:t>
      </w:r>
      <w:r w:rsidRPr="00636EEB">
        <w:rPr>
          <w:sz w:val="24"/>
          <w:szCs w:val="24"/>
        </w:rPr>
        <w:t xml:space="preserve">danas može biti </w:t>
      </w:r>
      <w:r w:rsidR="009C3B63" w:rsidRPr="00636EEB">
        <w:rPr>
          <w:sz w:val="24"/>
          <w:szCs w:val="24"/>
        </w:rPr>
        <w:t xml:space="preserve">veća ili manja </w:t>
      </w:r>
      <w:r w:rsidRPr="00636EEB">
        <w:rPr>
          <w:sz w:val="24"/>
          <w:szCs w:val="24"/>
        </w:rPr>
        <w:t xml:space="preserve">nego </w:t>
      </w:r>
      <w:r w:rsidR="000A62AC" w:rsidRPr="00636EEB">
        <w:rPr>
          <w:sz w:val="24"/>
          <w:szCs w:val="24"/>
        </w:rPr>
        <w:t xml:space="preserve">(ranije) </w:t>
      </w:r>
      <w:r w:rsidRPr="00636EEB">
        <w:rPr>
          <w:sz w:val="24"/>
          <w:szCs w:val="24"/>
        </w:rPr>
        <w:t>u trenutku emisije obveznice kada je definirana kuponska stopa</w:t>
      </w:r>
      <w:r w:rsidR="000A62AC" w:rsidRPr="00636EEB">
        <w:rPr>
          <w:sz w:val="24"/>
          <w:szCs w:val="24"/>
        </w:rPr>
        <w:t>. T</w:t>
      </w:r>
      <w:r w:rsidR="002166D7" w:rsidRPr="00636EEB">
        <w:rPr>
          <w:sz w:val="24"/>
          <w:szCs w:val="24"/>
        </w:rPr>
        <w:t>u razliku praktično izravnavaju</w:t>
      </w:r>
      <w:r w:rsidR="000A62AC" w:rsidRPr="00636EEB">
        <w:rPr>
          <w:sz w:val="24"/>
          <w:szCs w:val="24"/>
        </w:rPr>
        <w:t xml:space="preserve"> promjene</w:t>
      </w:r>
      <w:r w:rsidR="002166D7" w:rsidRPr="00636EEB">
        <w:rPr>
          <w:sz w:val="24"/>
          <w:szCs w:val="24"/>
        </w:rPr>
        <w:t xml:space="preserve"> prinos</w:t>
      </w:r>
      <w:r w:rsidR="000A62AC" w:rsidRPr="00636EEB">
        <w:rPr>
          <w:sz w:val="24"/>
          <w:szCs w:val="24"/>
        </w:rPr>
        <w:t>a</w:t>
      </w:r>
      <w:r w:rsidR="002166D7" w:rsidRPr="00636EEB">
        <w:rPr>
          <w:sz w:val="24"/>
          <w:szCs w:val="24"/>
        </w:rPr>
        <w:t xml:space="preserve"> do dospijeća i tržišn</w:t>
      </w:r>
      <w:r w:rsidR="000A62AC" w:rsidRPr="00636EEB">
        <w:rPr>
          <w:sz w:val="24"/>
          <w:szCs w:val="24"/>
        </w:rPr>
        <w:t>e</w:t>
      </w:r>
      <w:r w:rsidR="002166D7" w:rsidRPr="00636EEB">
        <w:rPr>
          <w:sz w:val="24"/>
          <w:szCs w:val="24"/>
        </w:rPr>
        <w:t xml:space="preserve"> cijen</w:t>
      </w:r>
      <w:r w:rsidR="000A62AC" w:rsidRPr="00636EEB">
        <w:rPr>
          <w:sz w:val="24"/>
          <w:szCs w:val="24"/>
        </w:rPr>
        <w:t>e</w:t>
      </w:r>
      <w:r w:rsidR="002166D7" w:rsidRPr="00636EEB">
        <w:rPr>
          <w:sz w:val="24"/>
          <w:szCs w:val="24"/>
        </w:rPr>
        <w:t xml:space="preserve"> obveznice</w:t>
      </w:r>
      <w:r w:rsidRPr="00636EEB">
        <w:rPr>
          <w:sz w:val="24"/>
          <w:szCs w:val="24"/>
        </w:rPr>
        <w:t xml:space="preserve">. </w:t>
      </w:r>
      <w:r w:rsidR="0043117A" w:rsidRPr="00636EEB">
        <w:rPr>
          <w:sz w:val="24"/>
          <w:szCs w:val="24"/>
        </w:rPr>
        <w:t xml:space="preserve">Na sličan način </w:t>
      </w:r>
      <w:r w:rsidR="000A62AC" w:rsidRPr="00636EEB">
        <w:rPr>
          <w:sz w:val="24"/>
          <w:szCs w:val="24"/>
        </w:rPr>
        <w:t>današnja percepcija</w:t>
      </w:r>
      <w:r w:rsidR="0043117A" w:rsidRPr="00636EEB">
        <w:rPr>
          <w:sz w:val="24"/>
          <w:szCs w:val="24"/>
        </w:rPr>
        <w:t xml:space="preserve"> rizičnost izdavatelja </w:t>
      </w:r>
      <w:r w:rsidR="000A62AC" w:rsidRPr="00636EEB">
        <w:rPr>
          <w:sz w:val="24"/>
          <w:szCs w:val="24"/>
        </w:rPr>
        <w:t xml:space="preserve">obveznice </w:t>
      </w:r>
      <w:r w:rsidR="0043117A" w:rsidRPr="00636EEB">
        <w:rPr>
          <w:sz w:val="24"/>
          <w:szCs w:val="24"/>
        </w:rPr>
        <w:t xml:space="preserve">može biti veća ili manja </w:t>
      </w:r>
      <w:r w:rsidR="000A62AC" w:rsidRPr="00636EEB">
        <w:rPr>
          <w:sz w:val="24"/>
          <w:szCs w:val="24"/>
        </w:rPr>
        <w:t xml:space="preserve">nego </w:t>
      </w:r>
      <w:r w:rsidR="0043117A" w:rsidRPr="00636EEB">
        <w:rPr>
          <w:sz w:val="24"/>
          <w:szCs w:val="24"/>
        </w:rPr>
        <w:t xml:space="preserve">u trenutku emisije vrijednosnice. </w:t>
      </w:r>
      <w:r w:rsidR="009C3B63" w:rsidRPr="00636EEB">
        <w:rPr>
          <w:sz w:val="24"/>
          <w:szCs w:val="24"/>
        </w:rPr>
        <w:t>U uvjetima obilja novca (</w:t>
      </w:r>
      <w:r w:rsidR="002166D7" w:rsidRPr="00636EEB">
        <w:rPr>
          <w:sz w:val="24"/>
          <w:szCs w:val="24"/>
        </w:rPr>
        <w:t>i/ili</w:t>
      </w:r>
      <w:r w:rsidR="009C3B63" w:rsidRPr="00636EEB">
        <w:rPr>
          <w:sz w:val="24"/>
          <w:szCs w:val="24"/>
        </w:rPr>
        <w:t xml:space="preserve"> smanjene percepcije rizičnosti), ranije emitirane o</w:t>
      </w:r>
      <w:r w:rsidRPr="00636EEB">
        <w:rPr>
          <w:sz w:val="24"/>
          <w:szCs w:val="24"/>
        </w:rPr>
        <w:t>bveznic</w:t>
      </w:r>
      <w:r w:rsidR="009C3B63" w:rsidRPr="00636EEB">
        <w:rPr>
          <w:sz w:val="24"/>
          <w:szCs w:val="24"/>
        </w:rPr>
        <w:t>e</w:t>
      </w:r>
      <w:r w:rsidRPr="00636EEB">
        <w:rPr>
          <w:sz w:val="24"/>
          <w:szCs w:val="24"/>
        </w:rPr>
        <w:t xml:space="preserve"> uz visoku kuponsku stopu biljež</w:t>
      </w:r>
      <w:r w:rsidR="009C3B63" w:rsidRPr="00636EEB">
        <w:rPr>
          <w:sz w:val="24"/>
          <w:szCs w:val="24"/>
        </w:rPr>
        <w:t>e</w:t>
      </w:r>
      <w:r w:rsidRPr="00636EEB">
        <w:rPr>
          <w:sz w:val="24"/>
          <w:szCs w:val="24"/>
        </w:rPr>
        <w:t xml:space="preserve"> rast </w:t>
      </w:r>
      <w:r w:rsidR="00B94248" w:rsidRPr="00636EEB">
        <w:rPr>
          <w:sz w:val="24"/>
          <w:szCs w:val="24"/>
        </w:rPr>
        <w:t xml:space="preserve">potražnje i </w:t>
      </w:r>
      <w:r w:rsidR="002166D7" w:rsidRPr="00636EEB">
        <w:rPr>
          <w:sz w:val="24"/>
          <w:szCs w:val="24"/>
        </w:rPr>
        <w:t>tržišne</w:t>
      </w:r>
      <w:r w:rsidR="000A62AC" w:rsidRPr="00636EEB">
        <w:rPr>
          <w:sz w:val="24"/>
          <w:szCs w:val="24"/>
        </w:rPr>
        <w:t xml:space="preserve"> cijene</w:t>
      </w:r>
      <w:r w:rsidR="009C3B63" w:rsidRPr="00636EEB">
        <w:rPr>
          <w:sz w:val="24"/>
          <w:szCs w:val="24"/>
        </w:rPr>
        <w:t xml:space="preserve">. Suprotno, u uvjetima oskudice novca, visokih tržišnih kamatnjaka ili </w:t>
      </w:r>
      <w:r w:rsidR="0043117A" w:rsidRPr="00636EEB">
        <w:rPr>
          <w:sz w:val="24"/>
          <w:szCs w:val="24"/>
        </w:rPr>
        <w:t xml:space="preserve">rasta premije rizika (odnosno </w:t>
      </w:r>
      <w:r w:rsidR="009C3B63" w:rsidRPr="00636EEB">
        <w:rPr>
          <w:sz w:val="24"/>
          <w:szCs w:val="24"/>
        </w:rPr>
        <w:t>rasta averzije prema riziku koji smanjuje potražnju za obveznicama</w:t>
      </w:r>
      <w:r w:rsidR="0043117A" w:rsidRPr="00636EEB">
        <w:rPr>
          <w:sz w:val="24"/>
          <w:szCs w:val="24"/>
        </w:rPr>
        <w:t xml:space="preserve"> i povećava zahtijevani prinos</w:t>
      </w:r>
      <w:r w:rsidR="009C3B63" w:rsidRPr="00636EEB">
        <w:rPr>
          <w:sz w:val="24"/>
          <w:szCs w:val="24"/>
        </w:rPr>
        <w:t>), cijene obveznica bilježe pad (nalaze se na razinama ispod nominalne vrijednosti pa je njihov prinos iznad kuponske stope)</w:t>
      </w:r>
      <w:r w:rsidRPr="00636EEB">
        <w:rPr>
          <w:sz w:val="24"/>
          <w:szCs w:val="24"/>
        </w:rPr>
        <w:t xml:space="preserve">. </w:t>
      </w:r>
    </w:p>
    <w:p w:rsidR="003B6B1D" w:rsidRDefault="009C3B63" w:rsidP="004E037C">
      <w:pPr>
        <w:autoSpaceDE w:val="0"/>
        <w:autoSpaceDN w:val="0"/>
        <w:adjustRightInd w:val="0"/>
        <w:spacing w:before="240" w:after="120"/>
        <w:jc w:val="both"/>
        <w:rPr>
          <w:sz w:val="24"/>
          <w:szCs w:val="24"/>
        </w:rPr>
      </w:pPr>
      <w:r w:rsidRPr="00636EEB">
        <w:rPr>
          <w:sz w:val="24"/>
          <w:szCs w:val="24"/>
        </w:rPr>
        <w:t>Na svakom tržištu</w:t>
      </w:r>
      <w:r w:rsidR="00780CFE" w:rsidRPr="00636EEB">
        <w:rPr>
          <w:sz w:val="24"/>
          <w:szCs w:val="24"/>
        </w:rPr>
        <w:t xml:space="preserve"> cijena ovisi o ponudi i potražnji za</w:t>
      </w:r>
      <w:r w:rsidR="0043117A" w:rsidRPr="00636EEB">
        <w:rPr>
          <w:sz w:val="24"/>
          <w:szCs w:val="24"/>
        </w:rPr>
        <w:t xml:space="preserve"> predmetom trgovanja</w:t>
      </w:r>
      <w:r w:rsidR="006351B9" w:rsidRPr="00636EEB">
        <w:rPr>
          <w:sz w:val="24"/>
          <w:szCs w:val="24"/>
        </w:rPr>
        <w:t xml:space="preserve">, ali je tržište </w:t>
      </w:r>
      <w:r w:rsidR="00B94248" w:rsidRPr="00636EEB">
        <w:rPr>
          <w:sz w:val="24"/>
          <w:szCs w:val="24"/>
        </w:rPr>
        <w:t>obveznica ipak vrlo specifično</w:t>
      </w:r>
      <w:r w:rsidR="00B94248">
        <w:rPr>
          <w:sz w:val="24"/>
          <w:szCs w:val="24"/>
        </w:rPr>
        <w:t xml:space="preserve"> jer bez obzira na sve opisane faktore</w:t>
      </w:r>
      <w:r w:rsidR="003B6B1D">
        <w:rPr>
          <w:sz w:val="24"/>
          <w:szCs w:val="24"/>
        </w:rPr>
        <w:t>,</w:t>
      </w:r>
      <w:r w:rsidR="00B94248">
        <w:rPr>
          <w:sz w:val="24"/>
          <w:szCs w:val="24"/>
        </w:rPr>
        <w:t xml:space="preserve"> </w:t>
      </w:r>
      <w:r w:rsidR="00B94248" w:rsidRPr="003B6B1D">
        <w:rPr>
          <w:color w:val="C00000"/>
          <w:sz w:val="24"/>
          <w:szCs w:val="24"/>
        </w:rPr>
        <w:t xml:space="preserve">cijena obveznice prvenstveno ovisi o povjerenju investitora i vjerodostojnosti izdavatelja u ispunjenju obveza </w:t>
      </w:r>
      <w:r w:rsidR="00B94248" w:rsidRPr="003B6B1D">
        <w:rPr>
          <w:sz w:val="24"/>
          <w:szCs w:val="24"/>
        </w:rPr>
        <w:t xml:space="preserve">po kamatama i o dospijeću </w:t>
      </w:r>
      <w:r w:rsidR="00B94248">
        <w:rPr>
          <w:sz w:val="24"/>
          <w:szCs w:val="24"/>
        </w:rPr>
        <w:t xml:space="preserve">(ukupne) glavnice duga. Pri tome je </w:t>
      </w:r>
      <w:r w:rsidR="00CC3A42">
        <w:rPr>
          <w:sz w:val="24"/>
          <w:szCs w:val="24"/>
        </w:rPr>
        <w:t xml:space="preserve">čest slučaj </w:t>
      </w:r>
      <w:r w:rsidR="00B94248">
        <w:rPr>
          <w:sz w:val="24"/>
          <w:szCs w:val="24"/>
        </w:rPr>
        <w:t xml:space="preserve">brojnih izdavatelja obveznica </w:t>
      </w:r>
      <w:r w:rsidR="00CC3A42">
        <w:rPr>
          <w:sz w:val="24"/>
          <w:szCs w:val="24"/>
        </w:rPr>
        <w:t>koji</w:t>
      </w:r>
      <w:r w:rsidR="00B94248">
        <w:rPr>
          <w:sz w:val="24"/>
          <w:szCs w:val="24"/>
        </w:rPr>
        <w:t xml:space="preserve"> oni uredno i bez poteškoća ispunjavaju periodične (godišnje ili polugodišnje) obveze za kamate, ali do dospijeća obveznice </w:t>
      </w:r>
      <w:r w:rsidR="00D92BA8">
        <w:rPr>
          <w:sz w:val="24"/>
          <w:szCs w:val="24"/>
        </w:rPr>
        <w:t>(</w:t>
      </w:r>
      <w:r w:rsidR="00CC3A42">
        <w:rPr>
          <w:sz w:val="24"/>
          <w:szCs w:val="24"/>
        </w:rPr>
        <w:t>obveze za isplatu nominale) n</w:t>
      </w:r>
      <w:r w:rsidR="00D92BA8">
        <w:rPr>
          <w:sz w:val="24"/>
          <w:szCs w:val="24"/>
        </w:rPr>
        <w:t>e</w:t>
      </w:r>
      <w:r w:rsidR="00CC3A42">
        <w:rPr>
          <w:sz w:val="24"/>
          <w:szCs w:val="24"/>
        </w:rPr>
        <w:t xml:space="preserve"> </w:t>
      </w:r>
      <w:r w:rsidR="00D92BA8">
        <w:rPr>
          <w:sz w:val="24"/>
          <w:szCs w:val="24"/>
        </w:rPr>
        <w:t>a</w:t>
      </w:r>
      <w:r w:rsidR="00B94248">
        <w:rPr>
          <w:sz w:val="24"/>
          <w:szCs w:val="24"/>
        </w:rPr>
        <w:t>kumulira</w:t>
      </w:r>
      <w:r w:rsidR="00D92BA8">
        <w:rPr>
          <w:sz w:val="24"/>
          <w:szCs w:val="24"/>
        </w:rPr>
        <w:t>ju</w:t>
      </w:r>
      <w:r w:rsidR="00B94248">
        <w:rPr>
          <w:sz w:val="24"/>
          <w:szCs w:val="24"/>
        </w:rPr>
        <w:t xml:space="preserve"> sredstva rezervi (štednje) za povrat glavnice </w:t>
      </w:r>
      <w:r w:rsidR="00D92BA8">
        <w:rPr>
          <w:sz w:val="24"/>
          <w:szCs w:val="24"/>
        </w:rPr>
        <w:t xml:space="preserve">duga </w:t>
      </w:r>
      <w:r w:rsidR="00B94248">
        <w:rPr>
          <w:sz w:val="24"/>
          <w:szCs w:val="24"/>
        </w:rPr>
        <w:t xml:space="preserve">pa </w:t>
      </w:r>
      <w:r w:rsidR="00D92BA8">
        <w:rPr>
          <w:sz w:val="24"/>
          <w:szCs w:val="24"/>
        </w:rPr>
        <w:t>„stari dug zatvaraju novim“, a dodatno izlažu se riziku budućih visokih kamatnih stopa u trenutku novog (i nužnog) zaduživanja</w:t>
      </w:r>
      <w:r w:rsidR="00CC3A42">
        <w:rPr>
          <w:sz w:val="24"/>
          <w:szCs w:val="24"/>
        </w:rPr>
        <w:t xml:space="preserve">. </w:t>
      </w:r>
    </w:p>
    <w:p w:rsidR="004E037C" w:rsidRDefault="00CC3A42" w:rsidP="004E037C">
      <w:pPr>
        <w:autoSpaceDE w:val="0"/>
        <w:autoSpaceDN w:val="0"/>
        <w:adjustRightInd w:val="0"/>
        <w:spacing w:before="240" w:after="120"/>
        <w:jc w:val="both"/>
        <w:rPr>
          <w:sz w:val="24"/>
          <w:szCs w:val="24"/>
        </w:rPr>
      </w:pPr>
      <w:r>
        <w:rPr>
          <w:sz w:val="24"/>
          <w:szCs w:val="24"/>
        </w:rPr>
        <w:t>Upravo takva situacija česta je u slučaju zaduživanja država koje pate od dugogodišnjih problema fiskalnih neravnoteža, a u koje se može</w:t>
      </w:r>
      <w:r w:rsidR="003B6B1D">
        <w:rPr>
          <w:sz w:val="24"/>
          <w:szCs w:val="24"/>
        </w:rPr>
        <w:t xml:space="preserve"> ubrojiti i </w:t>
      </w:r>
      <w:r>
        <w:rPr>
          <w:sz w:val="24"/>
          <w:szCs w:val="24"/>
        </w:rPr>
        <w:t>Hrvatska. Tijekom 2010. R</w:t>
      </w:r>
      <w:r w:rsidR="003B6B1D">
        <w:rPr>
          <w:sz w:val="24"/>
          <w:szCs w:val="24"/>
        </w:rPr>
        <w:t xml:space="preserve">epublika Hrvatska </w:t>
      </w:r>
      <w:r>
        <w:rPr>
          <w:sz w:val="24"/>
          <w:szCs w:val="24"/>
        </w:rPr>
        <w:t xml:space="preserve">je izdala nekoliko izdanja obveznica uz vrlo visoku </w:t>
      </w:r>
      <w:r w:rsidR="003B6B1D">
        <w:rPr>
          <w:sz w:val="24"/>
          <w:szCs w:val="24"/>
        </w:rPr>
        <w:t xml:space="preserve">kuponsku </w:t>
      </w:r>
      <w:r>
        <w:rPr>
          <w:sz w:val="24"/>
          <w:szCs w:val="24"/>
        </w:rPr>
        <w:t>kamatnu stopu</w:t>
      </w:r>
      <w:r w:rsidR="006E29E9">
        <w:rPr>
          <w:sz w:val="24"/>
          <w:szCs w:val="24"/>
        </w:rPr>
        <w:t>,</w:t>
      </w:r>
      <w:r>
        <w:rPr>
          <w:sz w:val="24"/>
          <w:szCs w:val="24"/>
        </w:rPr>
        <w:t xml:space="preserve"> jer su tada uvjeti zaduživanja na tržištu bili vrlo nepovoljni </w:t>
      </w:r>
      <w:r w:rsidR="00636EEB">
        <w:rPr>
          <w:sz w:val="24"/>
          <w:szCs w:val="24"/>
        </w:rPr>
        <w:t xml:space="preserve">i značajno pod utjecajem rasta premije kreditnog rizika </w:t>
      </w:r>
      <w:r>
        <w:rPr>
          <w:sz w:val="24"/>
          <w:szCs w:val="24"/>
        </w:rPr>
        <w:t xml:space="preserve">(zbog razvoja krize prezaduženih perifernih članica eurozone a posebno problema Grčke, kao i posljedičnih efekta prelijevanja krize na bankovne sustave nekoliko članica eurozone). </w:t>
      </w:r>
      <w:r w:rsidR="004E037C">
        <w:rPr>
          <w:sz w:val="24"/>
          <w:szCs w:val="24"/>
        </w:rPr>
        <w:t xml:space="preserve">Prinosi na iste obveznice u trenutku pisanja ovog teksta su znatno niži, a time i cijena novca uz koju bi se država na isti rok mogla zadužiti za nove </w:t>
      </w:r>
      <w:r w:rsidR="006E29E9">
        <w:rPr>
          <w:sz w:val="24"/>
          <w:szCs w:val="24"/>
        </w:rPr>
        <w:lastRenderedPageBreak/>
        <w:t>emisije provedene u</w:t>
      </w:r>
      <w:r w:rsidR="004E037C">
        <w:rPr>
          <w:sz w:val="24"/>
          <w:szCs w:val="24"/>
        </w:rPr>
        <w:t xml:space="preserve"> rujn</w:t>
      </w:r>
      <w:r w:rsidR="006E29E9">
        <w:rPr>
          <w:sz w:val="24"/>
          <w:szCs w:val="24"/>
        </w:rPr>
        <w:t>u</w:t>
      </w:r>
      <w:r w:rsidR="004E037C">
        <w:rPr>
          <w:sz w:val="24"/>
          <w:szCs w:val="24"/>
        </w:rPr>
        <w:t xml:space="preserve"> 2015. Razlog tome je danas znatno niža tržišna percepcija kreditnog rizika nego prije koju godinu, o čemu govore i podaci o kretanju premije osiguranja od kreditnog rizika (CDS) kako za obveznice odabranih država tako i za pojedine europske banke (vidjeti slike 44 i 4</w:t>
      </w:r>
      <w:r w:rsidR="006E29E9">
        <w:rPr>
          <w:sz w:val="24"/>
          <w:szCs w:val="24"/>
        </w:rPr>
        <w:t>5</w:t>
      </w:r>
      <w:r w:rsidR="004E037C">
        <w:rPr>
          <w:sz w:val="24"/>
          <w:szCs w:val="24"/>
        </w:rPr>
        <w:t xml:space="preserve">). No, današnji godišnji rashodi države za kamate određeni su kamatnim uvjetima definiranim u nepovoljnim vremenima 2010., a kako uvjetima emisije nije definirana </w:t>
      </w:r>
      <w:r w:rsidR="006946EB">
        <w:rPr>
          <w:sz w:val="24"/>
          <w:szCs w:val="24"/>
        </w:rPr>
        <w:t xml:space="preserve">konkretna </w:t>
      </w:r>
      <w:r w:rsidR="004E037C">
        <w:rPr>
          <w:sz w:val="24"/>
          <w:szCs w:val="24"/>
        </w:rPr>
        <w:t>cijena opoziva uz koju bi država mogla otkupiti takve obveznice i refinancirati ih novim povoljnijim emisijama, otkup uz postojeće tržišne cijene je za državu neisplativ jer je tržišna cijena takvih obveznica znatno iznad nominale.</w:t>
      </w:r>
    </w:p>
    <w:p w:rsidR="00636EEB" w:rsidRPr="0075028D" w:rsidRDefault="0075028D" w:rsidP="0075028D">
      <w:pPr>
        <w:autoSpaceDE w:val="0"/>
        <w:autoSpaceDN w:val="0"/>
        <w:adjustRightInd w:val="0"/>
        <w:spacing w:before="240" w:after="0"/>
        <w:jc w:val="both"/>
        <w:rPr>
          <w:b/>
          <w:sz w:val="24"/>
          <w:szCs w:val="24"/>
        </w:rPr>
      </w:pPr>
      <w:r w:rsidRPr="0075028D">
        <w:rPr>
          <w:b/>
          <w:sz w:val="24"/>
          <w:szCs w:val="24"/>
        </w:rPr>
        <w:t xml:space="preserve">Slika 44: Kretanje premije osiguranja od kreditnog rizika (CDS) za petogodišnje obveznice odabranih zemalja </w:t>
      </w:r>
    </w:p>
    <w:p w:rsidR="0075028D" w:rsidRDefault="0075028D" w:rsidP="0075028D">
      <w:pPr>
        <w:autoSpaceDE w:val="0"/>
        <w:autoSpaceDN w:val="0"/>
        <w:adjustRightInd w:val="0"/>
        <w:spacing w:after="0"/>
        <w:jc w:val="both"/>
        <w:rPr>
          <w:sz w:val="24"/>
          <w:szCs w:val="24"/>
        </w:rPr>
      </w:pPr>
      <w:r>
        <w:rPr>
          <w:noProof/>
          <w:sz w:val="24"/>
          <w:szCs w:val="24"/>
          <w:lang w:eastAsia="hr-HR"/>
        </w:rPr>
        <w:drawing>
          <wp:inline distT="0" distB="0" distL="0" distR="0" wp14:anchorId="30D35ECA" wp14:editId="37E83A95">
            <wp:extent cx="5648325" cy="3155593"/>
            <wp:effectExtent l="0" t="0" r="0" b="6985"/>
            <wp:docPr id="29715" name="Slika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48325" cy="3155593"/>
                    </a:xfrm>
                    <a:prstGeom prst="rect">
                      <a:avLst/>
                    </a:prstGeom>
                    <a:noFill/>
                    <a:ln>
                      <a:noFill/>
                    </a:ln>
                  </pic:spPr>
                </pic:pic>
              </a:graphicData>
            </a:graphic>
          </wp:inline>
        </w:drawing>
      </w:r>
    </w:p>
    <w:p w:rsidR="0075028D" w:rsidRDefault="0075028D" w:rsidP="0075028D">
      <w:pPr>
        <w:jc w:val="both"/>
        <w:rPr>
          <w:sz w:val="20"/>
          <w:szCs w:val="20"/>
        </w:rPr>
      </w:pPr>
      <w:r>
        <w:rPr>
          <w:noProof/>
          <w:sz w:val="20"/>
          <w:szCs w:val="20"/>
          <w:lang w:eastAsia="hr-HR"/>
        </w:rPr>
        <w:drawing>
          <wp:inline distT="0" distB="0" distL="0" distR="0" wp14:anchorId="631C3FBE" wp14:editId="4DC63F27">
            <wp:extent cx="5600700" cy="2957986"/>
            <wp:effectExtent l="0" t="0" r="0" b="0"/>
            <wp:docPr id="29717" name="Slika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00700" cy="2957986"/>
                    </a:xfrm>
                    <a:prstGeom prst="rect">
                      <a:avLst/>
                    </a:prstGeom>
                    <a:noFill/>
                    <a:ln>
                      <a:noFill/>
                    </a:ln>
                  </pic:spPr>
                </pic:pic>
              </a:graphicData>
            </a:graphic>
          </wp:inline>
        </w:drawing>
      </w:r>
    </w:p>
    <w:p w:rsidR="0075028D" w:rsidRPr="00F36127" w:rsidRDefault="0075028D" w:rsidP="0075028D">
      <w:pPr>
        <w:jc w:val="both"/>
        <w:rPr>
          <w:sz w:val="20"/>
          <w:szCs w:val="20"/>
        </w:rPr>
      </w:pPr>
      <w:r w:rsidRPr="003239CD">
        <w:rPr>
          <w:sz w:val="20"/>
          <w:szCs w:val="20"/>
        </w:rPr>
        <w:t xml:space="preserve">Izvor: </w:t>
      </w:r>
      <w:r>
        <w:rPr>
          <w:sz w:val="20"/>
          <w:szCs w:val="20"/>
        </w:rPr>
        <w:t>Bloomberg, p</w:t>
      </w:r>
      <w:r w:rsidRPr="00F36127">
        <w:rPr>
          <w:sz w:val="20"/>
          <w:szCs w:val="20"/>
        </w:rPr>
        <w:t>reuzeto iz</w:t>
      </w:r>
      <w:r>
        <w:rPr>
          <w:sz w:val="20"/>
          <w:szCs w:val="20"/>
        </w:rPr>
        <w:t>:</w:t>
      </w:r>
      <w:r w:rsidRPr="00F36127">
        <w:rPr>
          <w:sz w:val="20"/>
          <w:szCs w:val="20"/>
        </w:rPr>
        <w:t xml:space="preserve"> HNB, </w:t>
      </w:r>
      <w:r>
        <w:rPr>
          <w:sz w:val="20"/>
          <w:szCs w:val="20"/>
        </w:rPr>
        <w:t>„</w:t>
      </w:r>
      <w:r w:rsidRPr="00F36127">
        <w:rPr>
          <w:sz w:val="20"/>
          <w:szCs w:val="20"/>
        </w:rPr>
        <w:t>Financijska stabilnost</w:t>
      </w:r>
      <w:r>
        <w:rPr>
          <w:sz w:val="20"/>
          <w:szCs w:val="20"/>
        </w:rPr>
        <w:t>“, br. 15, srpanj 2015.</w:t>
      </w:r>
    </w:p>
    <w:p w:rsidR="0075028D" w:rsidRDefault="0075028D" w:rsidP="0075028D">
      <w:pPr>
        <w:autoSpaceDE w:val="0"/>
        <w:autoSpaceDN w:val="0"/>
        <w:adjustRightInd w:val="0"/>
        <w:spacing w:before="240" w:after="0"/>
        <w:jc w:val="both"/>
        <w:rPr>
          <w:b/>
          <w:sz w:val="24"/>
          <w:szCs w:val="24"/>
        </w:rPr>
      </w:pPr>
      <w:r w:rsidRPr="0075028D">
        <w:rPr>
          <w:b/>
          <w:sz w:val="24"/>
          <w:szCs w:val="24"/>
        </w:rPr>
        <w:lastRenderedPageBreak/>
        <w:t xml:space="preserve">Slika 44: Kretanje premije osiguranja od kreditnog rizika (CDS) za petogodišnje obveznice odabranih </w:t>
      </w:r>
      <w:r>
        <w:rPr>
          <w:b/>
          <w:sz w:val="24"/>
          <w:szCs w:val="24"/>
        </w:rPr>
        <w:t>banaka</w:t>
      </w:r>
    </w:p>
    <w:p w:rsidR="0075028D" w:rsidRPr="0075028D" w:rsidRDefault="0075028D" w:rsidP="00E54F30">
      <w:pPr>
        <w:autoSpaceDE w:val="0"/>
        <w:autoSpaceDN w:val="0"/>
        <w:adjustRightInd w:val="0"/>
        <w:spacing w:after="0"/>
        <w:jc w:val="both"/>
        <w:rPr>
          <w:b/>
          <w:sz w:val="24"/>
          <w:szCs w:val="24"/>
        </w:rPr>
      </w:pPr>
      <w:r>
        <w:rPr>
          <w:b/>
          <w:noProof/>
          <w:sz w:val="24"/>
          <w:szCs w:val="24"/>
          <w:lang w:eastAsia="hr-HR"/>
        </w:rPr>
        <w:drawing>
          <wp:inline distT="0" distB="0" distL="0" distR="0" wp14:anchorId="4971A0EC" wp14:editId="27374AD6">
            <wp:extent cx="5753100" cy="3438525"/>
            <wp:effectExtent l="0" t="0" r="0" b="9525"/>
            <wp:docPr id="29719" name="Slika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53100" cy="3438525"/>
                    </a:xfrm>
                    <a:prstGeom prst="rect">
                      <a:avLst/>
                    </a:prstGeom>
                    <a:noFill/>
                    <a:ln>
                      <a:noFill/>
                    </a:ln>
                  </pic:spPr>
                </pic:pic>
              </a:graphicData>
            </a:graphic>
          </wp:inline>
        </w:drawing>
      </w:r>
    </w:p>
    <w:p w:rsidR="0075028D" w:rsidRPr="00F36127" w:rsidRDefault="0075028D" w:rsidP="00E54F30">
      <w:pPr>
        <w:spacing w:after="240"/>
        <w:jc w:val="both"/>
        <w:rPr>
          <w:sz w:val="20"/>
          <w:szCs w:val="20"/>
        </w:rPr>
      </w:pPr>
      <w:r w:rsidRPr="003239CD">
        <w:rPr>
          <w:sz w:val="20"/>
          <w:szCs w:val="20"/>
        </w:rPr>
        <w:t xml:space="preserve">Izvor: </w:t>
      </w:r>
      <w:r>
        <w:rPr>
          <w:sz w:val="20"/>
          <w:szCs w:val="20"/>
        </w:rPr>
        <w:t>Bloomberg, p</w:t>
      </w:r>
      <w:r w:rsidRPr="00F36127">
        <w:rPr>
          <w:sz w:val="20"/>
          <w:szCs w:val="20"/>
        </w:rPr>
        <w:t>reuzeto iz</w:t>
      </w:r>
      <w:r>
        <w:rPr>
          <w:sz w:val="20"/>
          <w:szCs w:val="20"/>
        </w:rPr>
        <w:t>:</w:t>
      </w:r>
      <w:r w:rsidRPr="00F36127">
        <w:rPr>
          <w:sz w:val="20"/>
          <w:szCs w:val="20"/>
        </w:rPr>
        <w:t xml:space="preserve"> HNB, </w:t>
      </w:r>
      <w:r>
        <w:rPr>
          <w:sz w:val="20"/>
          <w:szCs w:val="20"/>
        </w:rPr>
        <w:t>„</w:t>
      </w:r>
      <w:r w:rsidRPr="00F36127">
        <w:rPr>
          <w:sz w:val="20"/>
          <w:szCs w:val="20"/>
        </w:rPr>
        <w:t>Financijska stabilnost</w:t>
      </w:r>
      <w:r>
        <w:rPr>
          <w:sz w:val="20"/>
          <w:szCs w:val="20"/>
        </w:rPr>
        <w:t>“, br. 15, srpanj 2015.</w:t>
      </w:r>
    </w:p>
    <w:tbl>
      <w:tblPr>
        <w:tblStyle w:val="Reetkatablice"/>
        <w:tblW w:w="0" w:type="auto"/>
        <w:tblInd w:w="108" w:type="dxa"/>
        <w:tblLook w:val="04A0" w:firstRow="1" w:lastRow="0" w:firstColumn="1" w:lastColumn="0" w:noHBand="0" w:noVBand="1"/>
      </w:tblPr>
      <w:tblGrid>
        <w:gridCol w:w="9072"/>
      </w:tblGrid>
      <w:tr w:rsidR="004E037C" w:rsidTr="004E037C">
        <w:tc>
          <w:tcPr>
            <w:tcW w:w="9072" w:type="dxa"/>
          </w:tcPr>
          <w:p w:rsidR="004E037C" w:rsidRPr="00780CFE" w:rsidRDefault="004E037C" w:rsidP="00213BD2">
            <w:pPr>
              <w:autoSpaceDE w:val="0"/>
              <w:autoSpaceDN w:val="0"/>
              <w:adjustRightInd w:val="0"/>
              <w:spacing w:before="120"/>
              <w:jc w:val="both"/>
              <w:rPr>
                <w:rFonts w:asciiTheme="minorHAnsi" w:hAnsiTheme="minorHAnsi"/>
                <w:sz w:val="24"/>
                <w:szCs w:val="24"/>
              </w:rPr>
            </w:pPr>
            <w:r w:rsidRPr="00780CFE">
              <w:rPr>
                <w:rFonts w:asciiTheme="minorHAnsi" w:hAnsiTheme="minorHAnsi"/>
                <w:i/>
                <w:color w:val="C00000"/>
                <w:sz w:val="24"/>
                <w:szCs w:val="24"/>
              </w:rPr>
              <w:t>Primjer:</w:t>
            </w:r>
            <w:r w:rsidRPr="00780CFE">
              <w:rPr>
                <w:rFonts w:asciiTheme="minorHAnsi" w:hAnsiTheme="minorHAnsi"/>
                <w:color w:val="C00000"/>
                <w:sz w:val="24"/>
                <w:szCs w:val="24"/>
              </w:rPr>
              <w:t xml:space="preserve"> </w:t>
            </w:r>
            <w:r w:rsidRPr="00780CFE">
              <w:rPr>
                <w:rFonts w:asciiTheme="minorHAnsi" w:hAnsiTheme="minorHAnsi"/>
                <w:sz w:val="24"/>
                <w:szCs w:val="24"/>
              </w:rPr>
              <w:t>Kretanje cijene i prinosa na hrvatske državne obveznice 17.7.2015.</w:t>
            </w:r>
          </w:p>
          <w:p w:rsidR="004E037C" w:rsidRDefault="000714E5" w:rsidP="00E54F30">
            <w:pPr>
              <w:autoSpaceDE w:val="0"/>
              <w:autoSpaceDN w:val="0"/>
              <w:adjustRightInd w:val="0"/>
              <w:spacing w:before="120"/>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7710" w:dyaOrig="5040">
                <v:shape id="_x0000_i1103" type="#_x0000_t75" style="width:366.75pt;height:240pt" o:ole="">
                  <v:imagedata r:id="rId302" o:title=""/>
                </v:shape>
                <o:OLEObject Type="Embed" ProgID="PBrush" ShapeID="_x0000_i1103" DrawAspect="Content" ObjectID="_1505681431" r:id="rId303"/>
              </w:object>
            </w:r>
          </w:p>
          <w:p w:rsidR="00E54F30" w:rsidRPr="008C2D59" w:rsidRDefault="000714E5" w:rsidP="00E54F30">
            <w:pPr>
              <w:autoSpaceDE w:val="0"/>
              <w:autoSpaceDN w:val="0"/>
              <w:adjustRightInd w:val="0"/>
              <w:spacing w:after="120"/>
              <w:rPr>
                <w:rFonts w:asciiTheme="minorHAnsi" w:eastAsiaTheme="minorHAnsi" w:hAnsiTheme="minorHAnsi" w:cstheme="minorBidi"/>
                <w:lang w:eastAsia="en-US"/>
              </w:rPr>
            </w:pPr>
            <w:r>
              <w:rPr>
                <w:rFonts w:asciiTheme="minorHAnsi" w:eastAsiaTheme="minorHAnsi" w:hAnsiTheme="minorHAnsi" w:cstheme="minorBidi"/>
                <w:lang w:eastAsia="en-US"/>
              </w:rPr>
              <w:t>Izvor: preuzeto sa stranica jedne velike banke u Hrvatskoj. Sadržaj je isključivo informativnog karaktera te ne predstavlja poziv na kupnju ili prodaju.</w:t>
            </w:r>
          </w:p>
          <w:p w:rsidR="00E54F30" w:rsidRDefault="00E54F30" w:rsidP="000714E5">
            <w:pPr>
              <w:autoSpaceDE w:val="0"/>
              <w:autoSpaceDN w:val="0"/>
              <w:adjustRightInd w:val="0"/>
              <w:spacing w:after="120"/>
              <w:jc w:val="both"/>
              <w:rPr>
                <w:sz w:val="24"/>
                <w:szCs w:val="24"/>
              </w:rPr>
            </w:pPr>
            <w:r>
              <w:rPr>
                <w:rFonts w:asciiTheme="minorHAnsi" w:eastAsiaTheme="minorHAnsi" w:hAnsiTheme="minorHAnsi" w:cstheme="minorBidi"/>
                <w:sz w:val="22"/>
                <w:szCs w:val="22"/>
                <w:lang w:eastAsia="en-US"/>
              </w:rPr>
              <w:t xml:space="preserve">Napomena: Umjesto prinosa do dospijeća čije računanje je relativno složenije, može se koristiti njegova približna procjena, tj. </w:t>
            </w:r>
            <w:r w:rsidRPr="00E54F30">
              <w:rPr>
                <w:rFonts w:asciiTheme="minorHAnsi" w:eastAsiaTheme="minorHAnsi" w:hAnsiTheme="minorHAnsi" w:cstheme="minorBidi"/>
                <w:color w:val="C00000"/>
                <w:sz w:val="22"/>
                <w:szCs w:val="22"/>
                <w:lang w:eastAsia="en-US"/>
              </w:rPr>
              <w:t xml:space="preserve">tekući prinos </w:t>
            </w:r>
            <w:r>
              <w:rPr>
                <w:rFonts w:asciiTheme="minorHAnsi" w:eastAsiaTheme="minorHAnsi" w:hAnsiTheme="minorHAnsi" w:cstheme="minorBidi"/>
                <w:sz w:val="22"/>
                <w:szCs w:val="22"/>
                <w:lang w:eastAsia="en-US"/>
              </w:rPr>
              <w:t>koji se računa kao omjer godišnje isplaćenih kamata i tržišne cijene obveznice</w:t>
            </w:r>
            <w:r w:rsidR="008C2D59">
              <w:rPr>
                <w:rFonts w:asciiTheme="minorHAnsi" w:eastAsiaTheme="minorHAnsi" w:hAnsiTheme="minorHAnsi" w:cstheme="minorBidi"/>
                <w:sz w:val="22"/>
                <w:szCs w:val="22"/>
                <w:lang w:eastAsia="en-US"/>
              </w:rPr>
              <w:t xml:space="preserve"> (ne uzima u obzir dospijeće obveznice)</w:t>
            </w:r>
            <w:r>
              <w:rPr>
                <w:rFonts w:asciiTheme="minorHAnsi" w:eastAsiaTheme="minorHAnsi" w:hAnsiTheme="minorHAnsi" w:cstheme="minorBidi"/>
                <w:sz w:val="22"/>
                <w:szCs w:val="22"/>
                <w:lang w:eastAsia="en-US"/>
              </w:rPr>
              <w:t xml:space="preserve">. Pri tome treba </w:t>
            </w:r>
            <w:r w:rsidR="006E29E9">
              <w:rPr>
                <w:rFonts w:asciiTheme="minorHAnsi" w:eastAsiaTheme="minorHAnsi" w:hAnsiTheme="minorHAnsi" w:cstheme="minorBidi"/>
                <w:sz w:val="22"/>
                <w:szCs w:val="22"/>
                <w:lang w:eastAsia="en-US"/>
              </w:rPr>
              <w:t>voditi računa</w:t>
            </w:r>
            <w:r>
              <w:rPr>
                <w:rFonts w:asciiTheme="minorHAnsi" w:eastAsiaTheme="minorHAnsi" w:hAnsiTheme="minorHAnsi" w:cstheme="minorBidi"/>
                <w:sz w:val="22"/>
                <w:szCs w:val="22"/>
                <w:lang w:eastAsia="en-US"/>
              </w:rPr>
              <w:t xml:space="preserve"> da vrijednosti tekućeg prinosa i prinosa do dospijeća nisu iste. </w:t>
            </w:r>
          </w:p>
        </w:tc>
      </w:tr>
    </w:tbl>
    <w:p w:rsidR="00780CFE" w:rsidRDefault="0075028D" w:rsidP="0075028D">
      <w:pPr>
        <w:autoSpaceDE w:val="0"/>
        <w:autoSpaceDN w:val="0"/>
        <w:adjustRightInd w:val="0"/>
        <w:spacing w:before="240" w:after="120"/>
        <w:jc w:val="both"/>
        <w:rPr>
          <w:sz w:val="24"/>
          <w:szCs w:val="24"/>
        </w:rPr>
      </w:pPr>
      <w:r>
        <w:rPr>
          <w:sz w:val="24"/>
          <w:szCs w:val="24"/>
        </w:rPr>
        <w:lastRenderedPageBreak/>
        <w:t xml:space="preserve">Drugi problem hrvatskog tržišta obveznica je što </w:t>
      </w:r>
      <w:r w:rsidRPr="00D92BA8">
        <w:rPr>
          <w:color w:val="C00000"/>
          <w:sz w:val="24"/>
          <w:szCs w:val="24"/>
        </w:rPr>
        <w:t xml:space="preserve">sekundarno tržište nije </w:t>
      </w:r>
      <w:r w:rsidR="00D92BA8">
        <w:rPr>
          <w:color w:val="C00000"/>
          <w:sz w:val="24"/>
          <w:szCs w:val="24"/>
        </w:rPr>
        <w:t>adekvatno</w:t>
      </w:r>
      <w:r w:rsidRPr="00D92BA8">
        <w:rPr>
          <w:color w:val="C00000"/>
          <w:sz w:val="24"/>
          <w:szCs w:val="24"/>
        </w:rPr>
        <w:t xml:space="preserve"> razvijeno</w:t>
      </w:r>
      <w:r>
        <w:rPr>
          <w:sz w:val="24"/>
          <w:szCs w:val="24"/>
        </w:rPr>
        <w:t>. Obveznice tipično drže institucionalni ulagači poput mirovinskih fondova, društava za osiguranje, banaka i drugih</w:t>
      </w:r>
      <w:r w:rsidR="004418A0">
        <w:rPr>
          <w:sz w:val="24"/>
          <w:szCs w:val="24"/>
        </w:rPr>
        <w:t xml:space="preserve"> financijskih institucija</w:t>
      </w:r>
      <w:r>
        <w:rPr>
          <w:sz w:val="24"/>
          <w:szCs w:val="24"/>
        </w:rPr>
        <w:t xml:space="preserve">, a većina institucionalnih ulagača državne obveznice </w:t>
      </w:r>
      <w:r w:rsidRPr="00D92BA8">
        <w:rPr>
          <w:color w:val="C00000"/>
          <w:sz w:val="24"/>
          <w:szCs w:val="24"/>
        </w:rPr>
        <w:t>drže do dospijeća pa se njima vrlo malo trguje</w:t>
      </w:r>
      <w:r>
        <w:rPr>
          <w:sz w:val="24"/>
          <w:szCs w:val="24"/>
        </w:rPr>
        <w:t>. Stoga je hrvatsko tržište državnih obveznica prilično besmisleno uspoređivati sa stanjem u SAD-u ili drugim zemljama s razvijenim, dubokim i likvidnim sekundarnim tržištem obveznica.</w:t>
      </w:r>
    </w:p>
    <w:tbl>
      <w:tblPr>
        <w:tblStyle w:val="Reetkatablice"/>
        <w:tblW w:w="0" w:type="auto"/>
        <w:tblLook w:val="04A0" w:firstRow="1" w:lastRow="0" w:firstColumn="1" w:lastColumn="0" w:noHBand="0" w:noVBand="1"/>
      </w:tblPr>
      <w:tblGrid>
        <w:gridCol w:w="9288"/>
      </w:tblGrid>
      <w:tr w:rsidR="006E29E9" w:rsidTr="00725764">
        <w:tc>
          <w:tcPr>
            <w:tcW w:w="9180" w:type="dxa"/>
          </w:tcPr>
          <w:p w:rsidR="006E29E9" w:rsidRDefault="006E29E9" w:rsidP="00186582">
            <w:pPr>
              <w:autoSpaceDE w:val="0"/>
              <w:autoSpaceDN w:val="0"/>
              <w:adjustRightInd w:val="0"/>
              <w:spacing w:before="120"/>
              <w:jc w:val="both"/>
              <w:rPr>
                <w:rFonts w:asciiTheme="minorHAnsi" w:eastAsiaTheme="minorHAnsi" w:hAnsiTheme="minorHAnsi" w:cstheme="minorBidi"/>
                <w:sz w:val="24"/>
                <w:szCs w:val="24"/>
                <w:lang w:eastAsia="en-US"/>
              </w:rPr>
            </w:pPr>
            <w:r w:rsidRPr="002239A0">
              <w:rPr>
                <w:rFonts w:asciiTheme="minorHAnsi" w:eastAsiaTheme="minorHAnsi" w:hAnsiTheme="minorHAnsi" w:cstheme="minorBidi"/>
                <w:color w:val="C00000"/>
                <w:sz w:val="24"/>
                <w:szCs w:val="24"/>
                <w:lang w:eastAsia="en-US"/>
              </w:rPr>
              <w:t>CROBIS</w:t>
            </w:r>
            <w:r w:rsidRPr="00E07A67">
              <w:rPr>
                <w:rFonts w:asciiTheme="minorHAnsi" w:eastAsiaTheme="minorHAnsi" w:hAnsiTheme="minorHAnsi" w:cstheme="minorBidi"/>
                <w:color w:val="C00000"/>
                <w:sz w:val="24"/>
                <w:szCs w:val="24"/>
                <w:lang w:eastAsia="en-US"/>
              </w:rPr>
              <w:t>© je službeni obveznički indeks Zagrebačke burze</w:t>
            </w:r>
            <w:r w:rsidRPr="002239A0">
              <w:rPr>
                <w:rFonts w:asciiTheme="minorHAnsi" w:eastAsiaTheme="minorHAnsi" w:hAnsiTheme="minorHAnsi" w:cstheme="minorBidi"/>
                <w:sz w:val="24"/>
                <w:szCs w:val="24"/>
                <w:lang w:eastAsia="en-US"/>
              </w:rPr>
              <w:t>.</w:t>
            </w:r>
            <w:r>
              <w:rPr>
                <w:rFonts w:asciiTheme="minorHAnsi" w:eastAsiaTheme="minorHAnsi" w:hAnsiTheme="minorHAnsi" w:cstheme="minorBidi"/>
                <w:sz w:val="24"/>
                <w:szCs w:val="24"/>
                <w:lang w:eastAsia="en-US"/>
              </w:rPr>
              <w:t xml:space="preserve"> </w:t>
            </w:r>
            <w:r w:rsidRPr="002239A0">
              <w:rPr>
                <w:rFonts w:asciiTheme="minorHAnsi" w:eastAsiaTheme="minorHAnsi" w:hAnsiTheme="minorHAnsi" w:cstheme="minorBidi"/>
                <w:sz w:val="24"/>
                <w:szCs w:val="24"/>
                <w:lang w:eastAsia="en-US"/>
              </w:rPr>
              <w:t>U indeks se uključuju državne obveznice i obveznice državnih agencija koje su uvrštene na Zagrebačku burzu, pod uvjet</w:t>
            </w:r>
            <w:r>
              <w:rPr>
                <w:rFonts w:asciiTheme="minorHAnsi" w:eastAsiaTheme="minorHAnsi" w:hAnsiTheme="minorHAnsi" w:cstheme="minorBidi"/>
                <w:sz w:val="24"/>
                <w:szCs w:val="24"/>
                <w:lang w:eastAsia="en-US"/>
              </w:rPr>
              <w:t>ima:</w:t>
            </w:r>
            <w:r w:rsidRPr="002239A0">
              <w:rPr>
                <w:rFonts w:asciiTheme="minorHAnsi" w:eastAsiaTheme="minorHAnsi" w:hAnsiTheme="minorHAnsi" w:cstheme="minorBidi"/>
                <w:sz w:val="24"/>
                <w:szCs w:val="24"/>
                <w:lang w:eastAsia="en-US"/>
              </w:rPr>
              <w:t xml:space="preserve"> da je nominalna vrijednost izdanja veća ili jednaka 75 milijuna €,  dospijeće obveznica duže od 18 mjeseci te da obveznice imaju fiksnu kamatnu stopu, uz isplatu glavnice jednom, po dospijeću. Bazna vrijednost indeksa postavljena je na 100 bodova. Indeks je vagan na temelju tržišne kapitalizacije, pri čemu težina pojedine obveznice u indeksu ne može prijeći 35 %.</w:t>
            </w:r>
          </w:p>
          <w:p w:rsidR="00186582" w:rsidRPr="00186582" w:rsidRDefault="006E29E9" w:rsidP="00186582">
            <w:pPr>
              <w:autoSpaceDE w:val="0"/>
              <w:autoSpaceDN w:val="0"/>
              <w:adjustRightInd w:val="0"/>
              <w:spacing w:before="120" w:after="120"/>
              <w:jc w:val="both"/>
              <w:rPr>
                <w:rFonts w:asciiTheme="minorHAnsi" w:hAnsiTheme="minorHAnsi"/>
                <w:color w:val="C00000"/>
                <w:sz w:val="24"/>
                <w:szCs w:val="24"/>
              </w:rPr>
            </w:pPr>
            <w:r>
              <w:rPr>
                <w:rFonts w:asciiTheme="minorHAnsi" w:eastAsiaTheme="minorHAnsi" w:hAnsiTheme="minorHAnsi" w:cstheme="minorBidi"/>
                <w:sz w:val="22"/>
                <w:szCs w:val="22"/>
                <w:lang w:eastAsia="en-US"/>
              </w:rPr>
              <w:object w:dxaOrig="10635" w:dyaOrig="5625">
                <v:shape id="_x0000_i1104" type="#_x0000_t75" style="width:453.75pt;height:240pt" o:ole="">
                  <v:imagedata r:id="rId304" o:title=""/>
                </v:shape>
                <o:OLEObject Type="Embed" ProgID="PBrush" ShapeID="_x0000_i1104" DrawAspect="Content" ObjectID="_1505681432" r:id="rId305"/>
              </w:object>
            </w:r>
            <w:r w:rsidR="00186582" w:rsidRPr="00186582">
              <w:rPr>
                <w:rFonts w:asciiTheme="minorHAnsi" w:hAnsiTheme="minorHAnsi"/>
                <w:color w:val="C00000"/>
                <w:sz w:val="24"/>
                <w:szCs w:val="24"/>
              </w:rPr>
              <w:t xml:space="preserve">Sastav </w:t>
            </w:r>
            <w:r w:rsidR="00186582" w:rsidRPr="00186582">
              <w:rPr>
                <w:rFonts w:asciiTheme="minorHAnsi" w:eastAsiaTheme="minorHAnsi" w:hAnsiTheme="minorHAnsi" w:cstheme="minorBidi"/>
                <w:color w:val="C00000"/>
                <w:sz w:val="24"/>
                <w:szCs w:val="24"/>
                <w:lang w:eastAsia="en-US"/>
              </w:rPr>
              <w:t>CROBIS©</w:t>
            </w:r>
          </w:p>
          <w:p w:rsidR="00186582" w:rsidRDefault="00186582" w:rsidP="00725764">
            <w:pPr>
              <w:autoSpaceDE w:val="0"/>
              <w:autoSpaceDN w:val="0"/>
              <w:adjustRightInd w:val="0"/>
              <w:spacing w:before="120" w:after="120"/>
              <w:jc w:val="both"/>
              <w:rPr>
                <w:sz w:val="24"/>
                <w:szCs w:val="24"/>
              </w:rPr>
            </w:pPr>
            <w:r>
              <w:rPr>
                <w:rFonts w:asciiTheme="minorHAnsi" w:eastAsiaTheme="minorHAnsi" w:hAnsiTheme="minorHAnsi" w:cstheme="minorBidi"/>
                <w:sz w:val="22"/>
                <w:szCs w:val="22"/>
                <w:lang w:eastAsia="en-US"/>
              </w:rPr>
              <w:object w:dxaOrig="10440" w:dyaOrig="3075">
                <v:shape id="_x0000_i1105" type="#_x0000_t75" style="width:453pt;height:133.5pt" o:ole="">
                  <v:imagedata r:id="rId306" o:title=""/>
                </v:shape>
                <o:OLEObject Type="Embed" ProgID="PBrush" ShapeID="_x0000_i1105" DrawAspect="Content" ObjectID="_1505681433" r:id="rId307"/>
              </w:object>
            </w:r>
            <w:r w:rsidRPr="006E29E9">
              <w:rPr>
                <w:rFonts w:asciiTheme="minorHAnsi" w:hAnsiTheme="minorHAnsi"/>
              </w:rPr>
              <w:t xml:space="preserve">Izvor: preuzeto </w:t>
            </w:r>
            <w:r>
              <w:rPr>
                <w:rFonts w:asciiTheme="minorHAnsi" w:hAnsiTheme="minorHAnsi"/>
              </w:rPr>
              <w:t xml:space="preserve">uz manje izmjene </w:t>
            </w:r>
            <w:r w:rsidRPr="006E29E9">
              <w:rPr>
                <w:rFonts w:asciiTheme="minorHAnsi" w:hAnsiTheme="minorHAnsi"/>
              </w:rPr>
              <w:t xml:space="preserve">sa ZSE: </w:t>
            </w:r>
            <w:r w:rsidRPr="00186582">
              <w:t>http://zse.hr/default.aspx?id=44101&amp;index=CROBIS</w:t>
            </w:r>
          </w:p>
        </w:tc>
      </w:tr>
      <w:tr w:rsidR="00725764" w:rsidTr="00725764">
        <w:tc>
          <w:tcPr>
            <w:tcW w:w="9180" w:type="dxa"/>
          </w:tcPr>
          <w:p w:rsidR="006E07CF" w:rsidRPr="006E07CF" w:rsidRDefault="00725764" w:rsidP="00D92BA8">
            <w:pPr>
              <w:autoSpaceDE w:val="0"/>
              <w:autoSpaceDN w:val="0"/>
              <w:adjustRightInd w:val="0"/>
              <w:spacing w:before="120"/>
              <w:jc w:val="both"/>
              <w:rPr>
                <w:rFonts w:asciiTheme="minorHAnsi" w:hAnsiTheme="minorHAnsi"/>
                <w:sz w:val="24"/>
                <w:szCs w:val="24"/>
              </w:rPr>
            </w:pPr>
            <w:r w:rsidRPr="00725764">
              <w:rPr>
                <w:rFonts w:asciiTheme="minorHAnsi" w:hAnsiTheme="minorHAnsi"/>
                <w:sz w:val="24"/>
                <w:szCs w:val="24"/>
              </w:rPr>
              <w:t>Pored navedenih (i drugih) državnih obveznica, na Zagrebačkoj burzi kotiraju o obveznice Fonda za naknadu oduzete imovine, nekoliko municipalnih obveznica te ne</w:t>
            </w:r>
            <w:r w:rsidR="006E07CF">
              <w:rPr>
                <w:rFonts w:asciiTheme="minorHAnsi" w:hAnsiTheme="minorHAnsi"/>
                <w:sz w:val="24"/>
                <w:szCs w:val="24"/>
              </w:rPr>
              <w:t>koliko korporativnih obveznica, a svim navedenima se relativno malo trguje.</w:t>
            </w:r>
          </w:p>
        </w:tc>
      </w:tr>
      <w:tr w:rsidR="00186582" w:rsidTr="00725764">
        <w:tc>
          <w:tcPr>
            <w:tcW w:w="9288" w:type="dxa"/>
          </w:tcPr>
          <w:p w:rsidR="00186582" w:rsidRPr="004418A0" w:rsidRDefault="00186582" w:rsidP="002A433E">
            <w:pPr>
              <w:autoSpaceDE w:val="0"/>
              <w:autoSpaceDN w:val="0"/>
              <w:adjustRightInd w:val="0"/>
              <w:spacing w:line="269" w:lineRule="auto"/>
              <w:jc w:val="both"/>
              <w:rPr>
                <w:rFonts w:asciiTheme="minorHAnsi" w:hAnsiTheme="minorHAnsi"/>
                <w:sz w:val="24"/>
                <w:szCs w:val="24"/>
              </w:rPr>
            </w:pPr>
            <w:r w:rsidRPr="004418A0">
              <w:rPr>
                <w:rFonts w:asciiTheme="minorHAnsi" w:hAnsiTheme="minorHAnsi"/>
                <w:i/>
                <w:color w:val="C00000"/>
                <w:sz w:val="24"/>
                <w:szCs w:val="24"/>
              </w:rPr>
              <w:lastRenderedPageBreak/>
              <w:t>Primjer:</w:t>
            </w:r>
            <w:r w:rsidRPr="004418A0">
              <w:rPr>
                <w:rFonts w:asciiTheme="minorHAnsi" w:hAnsiTheme="minorHAnsi"/>
                <w:color w:val="C00000"/>
                <w:sz w:val="24"/>
                <w:szCs w:val="24"/>
              </w:rPr>
              <w:t xml:space="preserve"> </w:t>
            </w:r>
            <w:r w:rsidRPr="004418A0">
              <w:rPr>
                <w:rFonts w:asciiTheme="minorHAnsi" w:hAnsiTheme="minorHAnsi"/>
                <w:sz w:val="24"/>
                <w:szCs w:val="24"/>
              </w:rPr>
              <w:t>Državna obveznica RHMF-O-17BA</w:t>
            </w:r>
            <w:r w:rsidR="006946EB">
              <w:rPr>
                <w:rFonts w:asciiTheme="minorHAnsi" w:hAnsiTheme="minorHAnsi"/>
                <w:sz w:val="24"/>
                <w:szCs w:val="24"/>
              </w:rPr>
              <w:t>*</w:t>
            </w:r>
          </w:p>
          <w:p w:rsidR="00186582" w:rsidRDefault="002A433E" w:rsidP="00865866">
            <w:pPr>
              <w:autoSpaceDE w:val="0"/>
              <w:autoSpaceDN w:val="0"/>
              <w:adjustRightInd w:val="0"/>
              <w:spacing w:after="100" w:line="269" w:lineRule="auto"/>
              <w:jc w:val="both"/>
            </w:pPr>
            <w:r>
              <w:rPr>
                <w:rFonts w:asciiTheme="minorHAnsi" w:eastAsiaTheme="minorHAnsi" w:hAnsiTheme="minorHAnsi" w:cstheme="minorBidi"/>
                <w:sz w:val="22"/>
                <w:szCs w:val="22"/>
                <w:lang w:eastAsia="en-US"/>
              </w:rPr>
              <w:object w:dxaOrig="10710" w:dyaOrig="5355">
                <v:shape id="_x0000_i1106" type="#_x0000_t75" style="width:453pt;height:225.75pt" o:ole="">
                  <v:imagedata r:id="rId308" o:title=""/>
                </v:shape>
                <o:OLEObject Type="Embed" ProgID="PBrush" ShapeID="_x0000_i1106" DrawAspect="Content" ObjectID="_1505681434" r:id="rId309"/>
              </w:object>
            </w:r>
          </w:p>
          <w:p w:rsidR="00186582" w:rsidRDefault="00186582" w:rsidP="002A433E">
            <w:pPr>
              <w:autoSpaceDE w:val="0"/>
              <w:autoSpaceDN w:val="0"/>
              <w:adjustRightInd w:val="0"/>
              <w:spacing w:line="269" w:lineRule="auto"/>
              <w:jc w:val="both"/>
            </w:pPr>
            <w:r>
              <w:rPr>
                <w:rFonts w:asciiTheme="minorHAnsi" w:eastAsiaTheme="minorHAnsi" w:hAnsiTheme="minorHAnsi" w:cstheme="minorBidi"/>
                <w:sz w:val="22"/>
                <w:szCs w:val="22"/>
                <w:lang w:eastAsia="en-US"/>
              </w:rPr>
              <w:object w:dxaOrig="6210" w:dyaOrig="2385">
                <v:shape id="_x0000_i1107" type="#_x0000_t75" style="width:310.5pt;height:119.25pt" o:ole="">
                  <v:imagedata r:id="rId310" o:title=""/>
                </v:shape>
                <o:OLEObject Type="Embed" ProgID="PBrush" ShapeID="_x0000_i1107" DrawAspect="Content" ObjectID="_1505681435" r:id="rId311"/>
              </w:object>
            </w:r>
          </w:p>
          <w:p w:rsidR="004418A0" w:rsidRPr="002A433E" w:rsidRDefault="004418A0" w:rsidP="00865866">
            <w:pPr>
              <w:autoSpaceDE w:val="0"/>
              <w:autoSpaceDN w:val="0"/>
              <w:adjustRightInd w:val="0"/>
              <w:spacing w:after="100" w:line="269" w:lineRule="auto"/>
              <w:jc w:val="both"/>
              <w:rPr>
                <w:rFonts w:asciiTheme="minorHAnsi" w:hAnsiTheme="minorHAnsi"/>
                <w:color w:val="C00000"/>
                <w:sz w:val="24"/>
                <w:szCs w:val="24"/>
              </w:rPr>
            </w:pPr>
            <w:r w:rsidRPr="002A433E">
              <w:rPr>
                <w:rFonts w:asciiTheme="minorHAnsi" w:hAnsiTheme="minorHAnsi"/>
                <w:color w:val="C00000"/>
                <w:sz w:val="24"/>
                <w:szCs w:val="24"/>
              </w:rPr>
              <w:t>Izdvojeno iz Prospekta obveznice</w:t>
            </w:r>
            <w:r w:rsidR="006946EB" w:rsidRPr="002A433E">
              <w:rPr>
                <w:rFonts w:asciiTheme="minorHAnsi" w:hAnsiTheme="minorHAnsi"/>
                <w:color w:val="C00000"/>
                <w:sz w:val="24"/>
                <w:szCs w:val="24"/>
              </w:rPr>
              <w:t>**</w:t>
            </w:r>
            <w:r w:rsidRPr="002A433E">
              <w:rPr>
                <w:rFonts w:asciiTheme="minorHAnsi" w:hAnsiTheme="minorHAnsi"/>
                <w:color w:val="C00000"/>
                <w:sz w:val="24"/>
                <w:szCs w:val="24"/>
              </w:rPr>
              <w:t>:</w:t>
            </w:r>
          </w:p>
          <w:p w:rsidR="002A433E" w:rsidRDefault="002A433E" w:rsidP="00865866">
            <w:pPr>
              <w:autoSpaceDE w:val="0"/>
              <w:autoSpaceDN w:val="0"/>
              <w:adjustRightInd w:val="0"/>
              <w:spacing w:after="100" w:line="269" w:lineRule="auto"/>
              <w:jc w:val="both"/>
            </w:pPr>
            <w:r>
              <w:rPr>
                <w:rFonts w:asciiTheme="minorHAnsi" w:eastAsiaTheme="minorHAnsi" w:hAnsiTheme="minorHAnsi" w:cstheme="minorBidi"/>
                <w:sz w:val="22"/>
                <w:szCs w:val="22"/>
                <w:lang w:eastAsia="en-US"/>
              </w:rPr>
              <w:object w:dxaOrig="9075" w:dyaOrig="570">
                <v:shape id="_x0000_i1108" type="#_x0000_t75" style="width:441pt;height:27.75pt" o:ole="">
                  <v:imagedata r:id="rId312" o:title=""/>
                </v:shape>
                <o:OLEObject Type="Embed" ProgID="PBrush" ShapeID="_x0000_i1108" DrawAspect="Content" ObjectID="_1505681436" r:id="rId313"/>
              </w:object>
            </w:r>
            <w:r>
              <w:rPr>
                <w:rFonts w:asciiTheme="minorHAnsi" w:eastAsiaTheme="minorHAnsi" w:hAnsiTheme="minorHAnsi" w:cstheme="minorBidi"/>
                <w:sz w:val="22"/>
                <w:szCs w:val="22"/>
                <w:lang w:eastAsia="en-US"/>
              </w:rPr>
              <w:object w:dxaOrig="9240" w:dyaOrig="795">
                <v:shape id="_x0000_i1109" type="#_x0000_t75" style="width:441pt;height:38.25pt" o:ole="">
                  <v:imagedata r:id="rId314" o:title=""/>
                </v:shape>
                <o:OLEObject Type="Embed" ProgID="PBrush" ShapeID="_x0000_i1109" DrawAspect="Content" ObjectID="_1505681437" r:id="rId315"/>
              </w:object>
            </w:r>
          </w:p>
          <w:p w:rsidR="002A433E" w:rsidRDefault="002A433E" w:rsidP="00865866">
            <w:pPr>
              <w:autoSpaceDE w:val="0"/>
              <w:autoSpaceDN w:val="0"/>
              <w:adjustRightInd w:val="0"/>
              <w:spacing w:after="100" w:line="269" w:lineRule="auto"/>
              <w:jc w:val="both"/>
            </w:pPr>
            <w:r>
              <w:rPr>
                <w:rFonts w:asciiTheme="minorHAnsi" w:eastAsiaTheme="minorHAnsi" w:hAnsiTheme="minorHAnsi" w:cstheme="minorBidi"/>
                <w:sz w:val="22"/>
                <w:szCs w:val="22"/>
                <w:lang w:eastAsia="en-US"/>
              </w:rPr>
              <w:object w:dxaOrig="9255" w:dyaOrig="870">
                <v:shape id="_x0000_i1110" type="#_x0000_t75" style="width:441pt;height:42pt" o:ole="">
                  <v:imagedata r:id="rId316" o:title=""/>
                </v:shape>
                <o:OLEObject Type="Embed" ProgID="PBrush" ShapeID="_x0000_i1110" DrawAspect="Content" ObjectID="_1505681438" r:id="rId317"/>
              </w:object>
            </w:r>
          </w:p>
          <w:p w:rsidR="004418A0" w:rsidRDefault="004418A0" w:rsidP="002A433E">
            <w:pPr>
              <w:autoSpaceDE w:val="0"/>
              <w:autoSpaceDN w:val="0"/>
              <w:adjustRightInd w:val="0"/>
              <w:spacing w:line="269" w:lineRule="auto"/>
              <w:jc w:val="both"/>
            </w:pPr>
            <w:r>
              <w:rPr>
                <w:rFonts w:asciiTheme="minorHAnsi" w:eastAsiaTheme="minorHAnsi" w:hAnsiTheme="minorHAnsi" w:cstheme="minorBidi"/>
                <w:sz w:val="22"/>
                <w:szCs w:val="22"/>
                <w:lang w:eastAsia="en-US"/>
              </w:rPr>
              <w:object w:dxaOrig="10515" w:dyaOrig="3345">
                <v:shape id="_x0000_i1111" type="#_x0000_t75" style="width:453pt;height:2in" o:ole="">
                  <v:imagedata r:id="rId318" o:title=""/>
                </v:shape>
                <o:OLEObject Type="Embed" ProgID="PBrush" ShapeID="_x0000_i1111" DrawAspect="Content" ObjectID="_1505681439" r:id="rId319"/>
              </w:object>
            </w:r>
          </w:p>
          <w:p w:rsidR="006946EB" w:rsidRPr="006946EB" w:rsidRDefault="006946EB" w:rsidP="00865866">
            <w:pPr>
              <w:autoSpaceDE w:val="0"/>
              <w:autoSpaceDN w:val="0"/>
              <w:adjustRightInd w:val="0"/>
              <w:spacing w:after="100" w:line="269" w:lineRule="auto"/>
              <w:jc w:val="both"/>
              <w:rPr>
                <w:rFonts w:asciiTheme="minorHAnsi" w:hAnsiTheme="minorHAnsi"/>
              </w:rPr>
            </w:pPr>
            <w:r w:rsidRPr="006946EB">
              <w:rPr>
                <w:rFonts w:asciiTheme="minorHAnsi" w:hAnsiTheme="minorHAnsi"/>
              </w:rPr>
              <w:t>* Izvor: preuzeto sa ZSE, dostupno na: http://zse.hr/default.aspx?id=10006&amp;dionica=RHMF-O-17BA</w:t>
            </w:r>
          </w:p>
          <w:p w:rsidR="004418A0" w:rsidRDefault="006946EB" w:rsidP="00865866">
            <w:pPr>
              <w:autoSpaceDE w:val="0"/>
              <w:autoSpaceDN w:val="0"/>
              <w:adjustRightInd w:val="0"/>
              <w:spacing w:after="100" w:line="269" w:lineRule="auto"/>
              <w:jc w:val="both"/>
            </w:pPr>
            <w:r w:rsidRPr="006946EB">
              <w:rPr>
                <w:rFonts w:asciiTheme="minorHAnsi" w:hAnsiTheme="minorHAnsi"/>
              </w:rPr>
              <w:t>** Izvor: http://zse.hr/userdocsimages/prospekti/RHMF-O-17BAProspekt-25112010153849.pdf</w:t>
            </w:r>
          </w:p>
        </w:tc>
      </w:tr>
    </w:tbl>
    <w:p w:rsidR="00FC6BB5" w:rsidRDefault="00241CFB" w:rsidP="00241CFB">
      <w:pPr>
        <w:autoSpaceDE w:val="0"/>
        <w:autoSpaceDN w:val="0"/>
        <w:adjustRightInd w:val="0"/>
        <w:jc w:val="both"/>
        <w:rPr>
          <w:b/>
          <w:bCs/>
          <w:sz w:val="24"/>
          <w:szCs w:val="24"/>
        </w:rPr>
      </w:pPr>
      <w:r>
        <w:rPr>
          <w:b/>
          <w:bCs/>
          <w:sz w:val="24"/>
          <w:szCs w:val="24"/>
        </w:rPr>
        <w:lastRenderedPageBreak/>
        <w:t xml:space="preserve">7. </w:t>
      </w:r>
      <w:r w:rsidRPr="00241CFB">
        <w:rPr>
          <w:b/>
          <w:bCs/>
          <w:sz w:val="24"/>
          <w:szCs w:val="24"/>
        </w:rPr>
        <w:t>MIROVINSKO OSIGURANJE I PLANIRANJE FINANCIJSKE POZICIJE U BUDUĆNOSTI</w:t>
      </w:r>
    </w:p>
    <w:p w:rsidR="00241CFB" w:rsidRDefault="00241CFB" w:rsidP="00241CFB">
      <w:pPr>
        <w:autoSpaceDE w:val="0"/>
        <w:autoSpaceDN w:val="0"/>
        <w:adjustRightInd w:val="0"/>
        <w:jc w:val="both"/>
        <w:rPr>
          <w:bCs/>
          <w:sz w:val="24"/>
          <w:szCs w:val="24"/>
        </w:rPr>
      </w:pPr>
      <w:r>
        <w:rPr>
          <w:bCs/>
          <w:sz w:val="24"/>
          <w:szCs w:val="24"/>
        </w:rPr>
        <w:t>Mirovinsko osiguranje predstavlja specifični oblik osiguranja koji se ne ostvaruje preko društava za osiguranje nego preko drugih institucija</w:t>
      </w:r>
      <w:r w:rsidR="006B2696">
        <w:rPr>
          <w:bCs/>
          <w:sz w:val="24"/>
          <w:szCs w:val="24"/>
        </w:rPr>
        <w:t>. U</w:t>
      </w:r>
      <w:r>
        <w:rPr>
          <w:bCs/>
          <w:sz w:val="24"/>
          <w:szCs w:val="24"/>
        </w:rPr>
        <w:t xml:space="preserve"> većini zemalja je uređeno posebnom zakonskom regulativom i organizirano (u cijelosti ili djelomično) od strane države</w:t>
      </w:r>
      <w:r w:rsidR="00E920BB">
        <w:rPr>
          <w:bCs/>
          <w:sz w:val="24"/>
          <w:szCs w:val="24"/>
        </w:rPr>
        <w:t xml:space="preserve">, </w:t>
      </w:r>
      <w:r w:rsidR="006B2696">
        <w:rPr>
          <w:bCs/>
          <w:sz w:val="24"/>
          <w:szCs w:val="24"/>
        </w:rPr>
        <w:t xml:space="preserve">bilo </w:t>
      </w:r>
      <w:r w:rsidR="00E920BB">
        <w:rPr>
          <w:bCs/>
          <w:sz w:val="24"/>
          <w:szCs w:val="24"/>
        </w:rPr>
        <w:t>kao obvezno osiguranje ili kao kombinacija obveznog i dobrovoljnog osiguranja</w:t>
      </w:r>
      <w:r>
        <w:rPr>
          <w:bCs/>
          <w:sz w:val="24"/>
          <w:szCs w:val="24"/>
        </w:rPr>
        <w:t>.</w:t>
      </w:r>
      <w:r w:rsidR="00E920BB">
        <w:rPr>
          <w:rStyle w:val="Referencafusnote"/>
          <w:bCs/>
          <w:sz w:val="24"/>
          <w:szCs w:val="24"/>
        </w:rPr>
        <w:footnoteReference w:id="110"/>
      </w:r>
      <w:r>
        <w:rPr>
          <w:bCs/>
          <w:sz w:val="24"/>
          <w:szCs w:val="24"/>
        </w:rPr>
        <w:t xml:space="preserve"> Za adekvatno razumijevanje </w:t>
      </w:r>
      <w:r w:rsidR="006B2696">
        <w:rPr>
          <w:bCs/>
          <w:sz w:val="24"/>
          <w:szCs w:val="24"/>
        </w:rPr>
        <w:t xml:space="preserve">obilježja mirovinskog osiguranja </w:t>
      </w:r>
      <w:r>
        <w:rPr>
          <w:bCs/>
          <w:sz w:val="24"/>
          <w:szCs w:val="24"/>
        </w:rPr>
        <w:t>nužno je poznavanje brojnih tematskih cjelina koje su obrađene kr</w:t>
      </w:r>
      <w:r w:rsidR="00746B38">
        <w:rPr>
          <w:bCs/>
          <w:sz w:val="24"/>
          <w:szCs w:val="24"/>
        </w:rPr>
        <w:t>oz većinu prethodnih poglavlja, a u ovom dijelu dodatno nadograđene informacijama koje su specifične za organizaciju, funkcioniranje, financiranje i alokaciju sredstava mirovinske štednje i sustava mirovinskog osiguranja u Hrvatskoj.</w:t>
      </w:r>
    </w:p>
    <w:p w:rsidR="00746B38" w:rsidRPr="00746B38" w:rsidRDefault="00746B38" w:rsidP="00746B38">
      <w:pPr>
        <w:pStyle w:val="StandardWeb"/>
        <w:spacing w:before="0" w:beforeAutospacing="0" w:after="0" w:afterAutospacing="0"/>
        <w:jc w:val="both"/>
        <w:rPr>
          <w:rFonts w:asciiTheme="minorHAnsi" w:eastAsiaTheme="minorHAnsi" w:hAnsiTheme="minorHAnsi" w:cstheme="minorBidi"/>
          <w:b/>
          <w:bCs/>
          <w:lang w:eastAsia="en-US"/>
        </w:rPr>
      </w:pPr>
      <w:r w:rsidRPr="00746B38">
        <w:rPr>
          <w:rFonts w:asciiTheme="minorHAnsi" w:eastAsiaTheme="minorHAnsi" w:hAnsiTheme="minorHAnsi" w:cstheme="minorBidi"/>
          <w:b/>
          <w:bCs/>
          <w:lang w:eastAsia="en-US"/>
        </w:rPr>
        <w:t xml:space="preserve">7.1. Mirovinski sustav osiguranja u </w:t>
      </w:r>
      <w:r>
        <w:rPr>
          <w:rFonts w:asciiTheme="minorHAnsi" w:eastAsiaTheme="minorHAnsi" w:hAnsiTheme="minorHAnsi" w:cstheme="minorBidi"/>
          <w:b/>
          <w:bCs/>
          <w:lang w:eastAsia="en-US"/>
        </w:rPr>
        <w:t>H</w:t>
      </w:r>
      <w:r w:rsidRPr="00746B38">
        <w:rPr>
          <w:rFonts w:asciiTheme="minorHAnsi" w:eastAsiaTheme="minorHAnsi" w:hAnsiTheme="minorHAnsi" w:cstheme="minorBidi"/>
          <w:b/>
          <w:bCs/>
          <w:lang w:eastAsia="en-US"/>
        </w:rPr>
        <w:t>rvatskoj</w:t>
      </w:r>
    </w:p>
    <w:p w:rsidR="00746B38" w:rsidRPr="0065102E" w:rsidRDefault="007E0FCD" w:rsidP="0065102E">
      <w:pPr>
        <w:spacing w:before="240" w:after="0"/>
        <w:jc w:val="both"/>
        <w:rPr>
          <w:bCs/>
          <w:sz w:val="24"/>
          <w:szCs w:val="24"/>
        </w:rPr>
      </w:pPr>
      <w:r w:rsidRPr="0065102E">
        <w:rPr>
          <w:rFonts w:cs="Lucida Sans Unicode"/>
          <w:color w:val="424242"/>
          <w:sz w:val="24"/>
          <w:szCs w:val="24"/>
          <w:shd w:val="clear" w:color="auto" w:fill="FFFFFF"/>
        </w:rPr>
        <w:t xml:space="preserve">Sustav mirovinskog osiguranja u Hrvatskoj </w:t>
      </w:r>
      <w:r w:rsidRPr="00A24D89">
        <w:rPr>
          <w:rFonts w:cs="Lucida Sans Unicode"/>
          <w:color w:val="C00000"/>
          <w:sz w:val="24"/>
          <w:szCs w:val="24"/>
          <w:shd w:val="clear" w:color="auto" w:fill="FFFFFF"/>
        </w:rPr>
        <w:t>zasniva se na tri stupa osiguranja</w:t>
      </w:r>
      <w:r w:rsidRPr="0065102E">
        <w:rPr>
          <w:rFonts w:cs="Lucida Sans Unicode"/>
          <w:color w:val="424242"/>
          <w:sz w:val="24"/>
          <w:szCs w:val="24"/>
          <w:shd w:val="clear" w:color="auto" w:fill="FFFFFF"/>
        </w:rPr>
        <w:t>, od kojih su prva dva obvezna, a treći je dobrovoljan</w:t>
      </w:r>
      <w:r w:rsidR="00746B38" w:rsidRPr="0065102E">
        <w:rPr>
          <w:bCs/>
          <w:sz w:val="24"/>
          <w:szCs w:val="24"/>
        </w:rPr>
        <w:t>:</w:t>
      </w:r>
    </w:p>
    <w:p w:rsidR="00746B38" w:rsidRPr="0065102E" w:rsidRDefault="00746B38" w:rsidP="00C86D78">
      <w:pPr>
        <w:numPr>
          <w:ilvl w:val="0"/>
          <w:numId w:val="96"/>
        </w:numPr>
        <w:spacing w:before="120" w:after="0" w:line="240" w:lineRule="auto"/>
        <w:ind w:left="714" w:hanging="357"/>
        <w:jc w:val="both"/>
        <w:rPr>
          <w:bCs/>
          <w:sz w:val="24"/>
          <w:szCs w:val="24"/>
        </w:rPr>
      </w:pPr>
      <w:r w:rsidRPr="0065102E">
        <w:rPr>
          <w:bCs/>
          <w:color w:val="C00000"/>
          <w:sz w:val="24"/>
          <w:szCs w:val="24"/>
        </w:rPr>
        <w:t xml:space="preserve">Prvi stup: </w:t>
      </w:r>
      <w:r w:rsidRPr="0065102E">
        <w:rPr>
          <w:bCs/>
          <w:sz w:val="24"/>
          <w:szCs w:val="24"/>
        </w:rPr>
        <w:t xml:space="preserve">obvezno mirovinsko osiguranje na temelju </w:t>
      </w:r>
      <w:r w:rsidR="00D744C7">
        <w:rPr>
          <w:bCs/>
          <w:sz w:val="24"/>
          <w:szCs w:val="24"/>
        </w:rPr>
        <w:t>među</w:t>
      </w:r>
      <w:r w:rsidRPr="0065102E">
        <w:rPr>
          <w:bCs/>
          <w:sz w:val="24"/>
          <w:szCs w:val="24"/>
        </w:rPr>
        <w:t>generacijske solidarnosti – ostvaruje se posredstvom Hrvatskog zavoda za mirovinsko osiguranje (HZMO).</w:t>
      </w:r>
    </w:p>
    <w:p w:rsidR="00746B38" w:rsidRPr="0065102E" w:rsidRDefault="00746B38" w:rsidP="00C86D78">
      <w:pPr>
        <w:numPr>
          <w:ilvl w:val="0"/>
          <w:numId w:val="96"/>
        </w:numPr>
        <w:spacing w:before="120" w:after="0" w:line="240" w:lineRule="auto"/>
        <w:ind w:left="714" w:hanging="357"/>
        <w:jc w:val="both"/>
        <w:rPr>
          <w:bCs/>
          <w:sz w:val="24"/>
          <w:szCs w:val="24"/>
        </w:rPr>
      </w:pPr>
      <w:r w:rsidRPr="0065102E">
        <w:rPr>
          <w:bCs/>
          <w:color w:val="C00000"/>
          <w:sz w:val="24"/>
          <w:szCs w:val="24"/>
        </w:rPr>
        <w:t xml:space="preserve">Drugi stup: </w:t>
      </w:r>
      <w:r w:rsidRPr="0065102E">
        <w:rPr>
          <w:bCs/>
          <w:sz w:val="24"/>
          <w:szCs w:val="24"/>
        </w:rPr>
        <w:t>obvezno mirovinsko osiguranje na temelju individualne kapitalizirane štednje – ostvaruje se posredstvom obveznih mirovinskih fondova.</w:t>
      </w:r>
    </w:p>
    <w:p w:rsidR="00746B38" w:rsidRPr="0065102E" w:rsidRDefault="00746B38" w:rsidP="00C86D78">
      <w:pPr>
        <w:numPr>
          <w:ilvl w:val="0"/>
          <w:numId w:val="96"/>
        </w:numPr>
        <w:spacing w:before="120" w:after="0" w:line="240" w:lineRule="auto"/>
        <w:ind w:left="714" w:hanging="357"/>
        <w:jc w:val="both"/>
        <w:rPr>
          <w:bCs/>
          <w:sz w:val="24"/>
          <w:szCs w:val="24"/>
        </w:rPr>
      </w:pPr>
      <w:r w:rsidRPr="0065102E">
        <w:rPr>
          <w:bCs/>
          <w:color w:val="C00000"/>
          <w:sz w:val="24"/>
          <w:szCs w:val="24"/>
        </w:rPr>
        <w:t xml:space="preserve">Treći stup: </w:t>
      </w:r>
      <w:r w:rsidRPr="0065102E">
        <w:rPr>
          <w:bCs/>
          <w:sz w:val="24"/>
          <w:szCs w:val="24"/>
        </w:rPr>
        <w:t>dobrovoljno mirovinsko osiguranje na temelju individualne kapitalizirane štednje – ostvaruje se posredstvom dobrovoljnih mirovinskih fondova (radi se o dobrovoljnoj mirovinskoj štednji</w:t>
      </w:r>
      <w:r w:rsidR="00C35DDE">
        <w:rPr>
          <w:bCs/>
          <w:sz w:val="24"/>
          <w:szCs w:val="24"/>
        </w:rPr>
        <w:t xml:space="preserve"> kao obliku štedno-ulagačkog proizvoda</w:t>
      </w:r>
      <w:r w:rsidRPr="0065102E">
        <w:rPr>
          <w:bCs/>
          <w:sz w:val="24"/>
          <w:szCs w:val="24"/>
        </w:rPr>
        <w:t>).</w:t>
      </w:r>
    </w:p>
    <w:p w:rsidR="00746B38" w:rsidRPr="0065102E" w:rsidRDefault="00746B38" w:rsidP="0065102E">
      <w:pPr>
        <w:spacing w:before="240"/>
        <w:jc w:val="both"/>
        <w:rPr>
          <w:bCs/>
          <w:sz w:val="24"/>
          <w:szCs w:val="24"/>
        </w:rPr>
      </w:pPr>
      <w:r w:rsidRPr="00A24D89">
        <w:rPr>
          <w:bCs/>
          <w:color w:val="C00000"/>
          <w:sz w:val="24"/>
          <w:szCs w:val="24"/>
        </w:rPr>
        <w:t xml:space="preserve">Prvi stup </w:t>
      </w:r>
      <w:r w:rsidR="00D744C7" w:rsidRPr="00A24D89">
        <w:rPr>
          <w:bCs/>
          <w:color w:val="C00000"/>
          <w:sz w:val="24"/>
          <w:szCs w:val="24"/>
        </w:rPr>
        <w:t xml:space="preserve">obveznog </w:t>
      </w:r>
      <w:r w:rsidRPr="00A24D89">
        <w:rPr>
          <w:bCs/>
          <w:color w:val="C00000"/>
          <w:sz w:val="24"/>
          <w:szCs w:val="24"/>
        </w:rPr>
        <w:t xml:space="preserve">mirovinskog </w:t>
      </w:r>
      <w:r w:rsidRPr="00D744C7">
        <w:rPr>
          <w:bCs/>
          <w:sz w:val="24"/>
          <w:szCs w:val="24"/>
        </w:rPr>
        <w:t xml:space="preserve">osiguranja </w:t>
      </w:r>
      <w:r w:rsidR="00D744C7" w:rsidRPr="00A24D89">
        <w:rPr>
          <w:bCs/>
          <w:color w:val="C00000"/>
          <w:sz w:val="24"/>
          <w:szCs w:val="24"/>
        </w:rPr>
        <w:t xml:space="preserve">na temelju međugeneracijske solidarnosti </w:t>
      </w:r>
      <w:r w:rsidR="00D744C7" w:rsidRPr="00D744C7">
        <w:rPr>
          <w:bCs/>
          <w:sz w:val="24"/>
          <w:szCs w:val="24"/>
        </w:rPr>
        <w:t>o</w:t>
      </w:r>
      <w:r w:rsidRPr="00746B38">
        <w:rPr>
          <w:bCs/>
          <w:sz w:val="24"/>
          <w:szCs w:val="24"/>
        </w:rPr>
        <w:t>stvaruje se preko Hrvatskog zavoda za mirovinsko osiguranje (HZMO). Sredstva se formiraju kroz uplate obveznih doprinosa koji se izdvajaju iz bruto plać</w:t>
      </w:r>
      <w:r w:rsidR="0065102E">
        <w:rPr>
          <w:bCs/>
          <w:sz w:val="24"/>
          <w:szCs w:val="24"/>
        </w:rPr>
        <w:t>a</w:t>
      </w:r>
      <w:r w:rsidRPr="00746B38">
        <w:rPr>
          <w:bCs/>
          <w:sz w:val="24"/>
          <w:szCs w:val="24"/>
        </w:rPr>
        <w:t xml:space="preserve"> zaposlenih građana (osiguranika</w:t>
      </w:r>
      <w:r w:rsidRPr="0065102E">
        <w:rPr>
          <w:bCs/>
          <w:sz w:val="24"/>
          <w:szCs w:val="24"/>
        </w:rPr>
        <w:t>), a obračunava</w:t>
      </w:r>
      <w:r w:rsidR="00FF44DA">
        <w:rPr>
          <w:bCs/>
          <w:sz w:val="24"/>
          <w:szCs w:val="24"/>
        </w:rPr>
        <w:t>ju</w:t>
      </w:r>
      <w:r w:rsidRPr="0065102E">
        <w:rPr>
          <w:bCs/>
          <w:sz w:val="24"/>
          <w:szCs w:val="24"/>
        </w:rPr>
        <w:t xml:space="preserve"> ih i uplaćuj</w:t>
      </w:r>
      <w:r w:rsidR="00FF44DA">
        <w:rPr>
          <w:bCs/>
          <w:sz w:val="24"/>
          <w:szCs w:val="24"/>
        </w:rPr>
        <w:t>u</w:t>
      </w:r>
      <w:r w:rsidRPr="0065102E">
        <w:rPr>
          <w:bCs/>
          <w:sz w:val="24"/>
          <w:szCs w:val="24"/>
        </w:rPr>
        <w:t xml:space="preserve"> poslodavc</w:t>
      </w:r>
      <w:r w:rsidR="00FF44DA">
        <w:rPr>
          <w:bCs/>
          <w:sz w:val="24"/>
          <w:szCs w:val="24"/>
        </w:rPr>
        <w:t>i</w:t>
      </w:r>
      <w:r w:rsidRPr="0065102E">
        <w:rPr>
          <w:bCs/>
          <w:sz w:val="24"/>
          <w:szCs w:val="24"/>
        </w:rPr>
        <w:t xml:space="preserve"> u korist sredstava državnog proračuna. </w:t>
      </w:r>
      <w:r w:rsidR="00FF44DA">
        <w:rPr>
          <w:bCs/>
          <w:sz w:val="24"/>
          <w:szCs w:val="24"/>
        </w:rPr>
        <w:t xml:space="preserve">Dodatno formiraju se i </w:t>
      </w:r>
      <w:r w:rsidR="00A721DD">
        <w:rPr>
          <w:bCs/>
          <w:sz w:val="24"/>
          <w:szCs w:val="24"/>
        </w:rPr>
        <w:t xml:space="preserve">iz </w:t>
      </w:r>
      <w:r w:rsidR="00FF44DA">
        <w:rPr>
          <w:bCs/>
          <w:sz w:val="24"/>
          <w:szCs w:val="24"/>
        </w:rPr>
        <w:t xml:space="preserve">doprinosa drugih obveznika doprinosa kada je to predviđeno zakonom. </w:t>
      </w:r>
      <w:r w:rsidR="007A055C">
        <w:rPr>
          <w:bCs/>
          <w:sz w:val="24"/>
          <w:szCs w:val="24"/>
        </w:rPr>
        <w:t>P</w:t>
      </w:r>
      <w:r w:rsidR="00A721DD">
        <w:rPr>
          <w:bCs/>
          <w:sz w:val="24"/>
          <w:szCs w:val="24"/>
        </w:rPr>
        <w:t>rvi stup p</w:t>
      </w:r>
      <w:r w:rsidR="007A055C">
        <w:rPr>
          <w:bCs/>
          <w:sz w:val="24"/>
          <w:szCs w:val="24"/>
        </w:rPr>
        <w:t xml:space="preserve">očiva na </w:t>
      </w:r>
      <w:r w:rsidR="007A055C" w:rsidRPr="00A721DD">
        <w:rPr>
          <w:bCs/>
          <w:color w:val="C00000"/>
          <w:sz w:val="24"/>
          <w:szCs w:val="24"/>
        </w:rPr>
        <w:t xml:space="preserve">načelima uzajamnosti i solidarnosti </w:t>
      </w:r>
      <w:r w:rsidR="007A055C">
        <w:rPr>
          <w:bCs/>
          <w:sz w:val="24"/>
          <w:szCs w:val="24"/>
        </w:rPr>
        <w:t xml:space="preserve">kroz osiguranje prava za slučaj rizika starosti, smanjene radne sposobnosti, tjelesnog oštećenja te osiguranje </w:t>
      </w:r>
      <w:r w:rsidR="00A721DD">
        <w:rPr>
          <w:bCs/>
          <w:sz w:val="24"/>
          <w:szCs w:val="24"/>
        </w:rPr>
        <w:t xml:space="preserve">(zakonom predviđenih) </w:t>
      </w:r>
      <w:r w:rsidR="007A055C">
        <w:rPr>
          <w:bCs/>
          <w:sz w:val="24"/>
          <w:szCs w:val="24"/>
        </w:rPr>
        <w:t xml:space="preserve">prava članova obitelji za slučaj smrti osiguranika. Prava iz mirovinskog osiguranja ne mogu se prenijeti na drugu osobu niti se mogu naslijediti (izuzetak su dospjela novčana primanja koja nisu isplaćena do smrti korisnika kojem je priznato pravo na mirovinu). </w:t>
      </w:r>
      <w:r w:rsidRPr="0065102E">
        <w:rPr>
          <w:bCs/>
          <w:sz w:val="24"/>
          <w:szCs w:val="24"/>
        </w:rPr>
        <w:t>Postotak izdvajanja obveznih doprinosa za mirovinsko osiguranje na temelju generacijske solidarnosti iznosi :</w:t>
      </w:r>
    </w:p>
    <w:p w:rsidR="00746B38" w:rsidRPr="0065102E" w:rsidRDefault="00746B38" w:rsidP="00C86D78">
      <w:pPr>
        <w:numPr>
          <w:ilvl w:val="0"/>
          <w:numId w:val="97"/>
        </w:numPr>
        <w:spacing w:before="120" w:after="120" w:line="240" w:lineRule="auto"/>
        <w:ind w:left="714" w:hanging="357"/>
        <w:jc w:val="both"/>
        <w:rPr>
          <w:bCs/>
          <w:sz w:val="24"/>
          <w:szCs w:val="24"/>
        </w:rPr>
      </w:pPr>
      <w:r w:rsidRPr="00332427">
        <w:rPr>
          <w:bCs/>
          <w:color w:val="C00000"/>
          <w:sz w:val="24"/>
          <w:szCs w:val="24"/>
        </w:rPr>
        <w:t xml:space="preserve">20% bruto plaće </w:t>
      </w:r>
      <w:r w:rsidRPr="0065102E">
        <w:rPr>
          <w:bCs/>
          <w:sz w:val="24"/>
          <w:szCs w:val="24"/>
        </w:rPr>
        <w:t xml:space="preserve">- ako </w:t>
      </w:r>
      <w:r w:rsidR="0065102E" w:rsidRPr="0065102E">
        <w:rPr>
          <w:bCs/>
          <w:sz w:val="24"/>
          <w:szCs w:val="24"/>
        </w:rPr>
        <w:t xml:space="preserve">je </w:t>
      </w:r>
      <w:r w:rsidRPr="0065102E">
        <w:rPr>
          <w:bCs/>
          <w:sz w:val="24"/>
          <w:szCs w:val="24"/>
        </w:rPr>
        <w:t xml:space="preserve">osiguranik uključen </w:t>
      </w:r>
      <w:r w:rsidR="0065102E" w:rsidRPr="0065102E">
        <w:rPr>
          <w:bCs/>
          <w:sz w:val="24"/>
          <w:szCs w:val="24"/>
        </w:rPr>
        <w:t>samo u prvi</w:t>
      </w:r>
      <w:r w:rsidRPr="0065102E">
        <w:rPr>
          <w:bCs/>
          <w:sz w:val="24"/>
          <w:szCs w:val="24"/>
        </w:rPr>
        <w:t xml:space="preserve"> stup obveznog mirovinskog osiguranja</w:t>
      </w:r>
      <w:r w:rsidR="0065102E" w:rsidRPr="0065102E">
        <w:rPr>
          <w:bCs/>
          <w:sz w:val="24"/>
          <w:szCs w:val="24"/>
        </w:rPr>
        <w:t xml:space="preserve"> (uključujući osobe </w:t>
      </w:r>
      <w:r w:rsidR="0065102E" w:rsidRPr="0065102E">
        <w:rPr>
          <w:rFonts w:cs="Lucida Sans Unicode"/>
          <w:color w:val="424242"/>
          <w:sz w:val="24"/>
          <w:szCs w:val="24"/>
          <w:shd w:val="clear" w:color="auto" w:fill="FFFFFF"/>
        </w:rPr>
        <w:t xml:space="preserve">koje su 2002. godine, u vrijeme uvođenja drugog stupa imale više od 50 godina ili osobe koje su imale manje od 50, a više od 40 godina života, a nisu se dobrovoljno uključile u II. </w:t>
      </w:r>
      <w:r w:rsidR="00332427" w:rsidRPr="0065102E">
        <w:rPr>
          <w:rFonts w:cs="Lucida Sans Unicode"/>
          <w:color w:val="424242"/>
          <w:sz w:val="24"/>
          <w:szCs w:val="24"/>
          <w:shd w:val="clear" w:color="auto" w:fill="FFFFFF"/>
        </w:rPr>
        <w:t>S</w:t>
      </w:r>
      <w:r w:rsidR="0065102E" w:rsidRPr="0065102E">
        <w:rPr>
          <w:rFonts w:cs="Lucida Sans Unicode"/>
          <w:color w:val="424242"/>
          <w:sz w:val="24"/>
          <w:szCs w:val="24"/>
          <w:shd w:val="clear" w:color="auto" w:fill="FFFFFF"/>
        </w:rPr>
        <w:t>tup</w:t>
      </w:r>
      <w:r w:rsidR="00332427">
        <w:rPr>
          <w:rFonts w:cs="Lucida Sans Unicode"/>
          <w:color w:val="424242"/>
          <w:sz w:val="24"/>
          <w:szCs w:val="24"/>
          <w:shd w:val="clear" w:color="auto" w:fill="FFFFFF"/>
        </w:rPr>
        <w:t>)</w:t>
      </w:r>
      <w:r w:rsidRPr="0065102E">
        <w:rPr>
          <w:bCs/>
          <w:sz w:val="24"/>
          <w:szCs w:val="24"/>
        </w:rPr>
        <w:t>;</w:t>
      </w:r>
    </w:p>
    <w:p w:rsidR="00746B38" w:rsidRPr="00746B38" w:rsidRDefault="00746B38" w:rsidP="00C86D78">
      <w:pPr>
        <w:numPr>
          <w:ilvl w:val="0"/>
          <w:numId w:val="97"/>
        </w:numPr>
        <w:spacing w:before="120" w:after="120" w:line="240" w:lineRule="auto"/>
        <w:ind w:left="714" w:hanging="357"/>
        <w:jc w:val="both"/>
        <w:rPr>
          <w:bCs/>
          <w:sz w:val="24"/>
          <w:szCs w:val="24"/>
        </w:rPr>
      </w:pPr>
      <w:r w:rsidRPr="00332427">
        <w:rPr>
          <w:bCs/>
          <w:color w:val="C00000"/>
          <w:sz w:val="24"/>
          <w:szCs w:val="24"/>
        </w:rPr>
        <w:lastRenderedPageBreak/>
        <w:t xml:space="preserve">ili 15% bruto plaće </w:t>
      </w:r>
      <w:r w:rsidRPr="00746B38">
        <w:rPr>
          <w:bCs/>
          <w:sz w:val="24"/>
          <w:szCs w:val="24"/>
        </w:rPr>
        <w:t xml:space="preserve">- ako je osiguranik uključen u drugi stup </w:t>
      </w:r>
      <w:r w:rsidR="00332427">
        <w:rPr>
          <w:bCs/>
          <w:sz w:val="24"/>
          <w:szCs w:val="24"/>
        </w:rPr>
        <w:t>obveznog mirovinskog osiguranja (za</w:t>
      </w:r>
      <w:r w:rsidR="00332427" w:rsidRPr="00332427">
        <w:rPr>
          <w:bCs/>
          <w:sz w:val="24"/>
          <w:szCs w:val="24"/>
        </w:rPr>
        <w:t xml:space="preserve">  zaposlene mlađe od 40 godina, kao i za one između 40 i 50 godina koji se dobrovoljno odluče za štednju u drugom mirovinskom stupu</w:t>
      </w:r>
      <w:r w:rsidR="00332427">
        <w:rPr>
          <w:bCs/>
          <w:sz w:val="24"/>
          <w:szCs w:val="24"/>
        </w:rPr>
        <w:t>).</w:t>
      </w:r>
    </w:p>
    <w:p w:rsidR="00D744C7" w:rsidRDefault="00746B38" w:rsidP="00965648">
      <w:pPr>
        <w:spacing w:before="240"/>
        <w:jc w:val="both"/>
        <w:rPr>
          <w:bCs/>
          <w:sz w:val="24"/>
          <w:szCs w:val="24"/>
        </w:rPr>
      </w:pPr>
      <w:r w:rsidRPr="00746B38">
        <w:rPr>
          <w:bCs/>
          <w:sz w:val="24"/>
          <w:szCs w:val="24"/>
        </w:rPr>
        <w:t>Uplaćeni doprinosi svih osiguranika u prvom stu</w:t>
      </w:r>
      <w:r w:rsidR="0065102E">
        <w:rPr>
          <w:bCs/>
          <w:sz w:val="24"/>
          <w:szCs w:val="24"/>
        </w:rPr>
        <w:t>pu koriste za isplatu mirovina današnjih</w:t>
      </w:r>
      <w:r w:rsidRPr="00746B38">
        <w:rPr>
          <w:bCs/>
          <w:sz w:val="24"/>
          <w:szCs w:val="24"/>
        </w:rPr>
        <w:t xml:space="preserve"> umirovljenika koji ostvaruju mirovine preko HZMO-a. Mirovine se isplaćuju kada osiguranici steknu uvjete za mirovinu, dok je visina mirovina tek djelomično određena iznosom uplaćenih doprinosa</w:t>
      </w:r>
      <w:r w:rsidR="00A721DD">
        <w:rPr>
          <w:bCs/>
          <w:sz w:val="24"/>
          <w:szCs w:val="24"/>
        </w:rPr>
        <w:t xml:space="preserve"> tijekom radnog vijeka</w:t>
      </w:r>
      <w:r w:rsidRPr="00746B38">
        <w:rPr>
          <w:bCs/>
          <w:sz w:val="24"/>
          <w:szCs w:val="24"/>
        </w:rPr>
        <w:t xml:space="preserve">, a </w:t>
      </w:r>
      <w:r w:rsidR="00F063D2">
        <w:rPr>
          <w:bCs/>
          <w:sz w:val="24"/>
          <w:szCs w:val="24"/>
        </w:rPr>
        <w:t xml:space="preserve">dijelom ovisi o kapacitetima financiranja te </w:t>
      </w:r>
      <w:r w:rsidR="0065102E">
        <w:rPr>
          <w:bCs/>
          <w:sz w:val="24"/>
          <w:szCs w:val="24"/>
        </w:rPr>
        <w:t xml:space="preserve">zakonskoj regulativi </w:t>
      </w:r>
      <w:r w:rsidRPr="00746B38">
        <w:rPr>
          <w:bCs/>
          <w:sz w:val="24"/>
          <w:szCs w:val="24"/>
        </w:rPr>
        <w:t>visin</w:t>
      </w:r>
      <w:r w:rsidR="0065102E">
        <w:rPr>
          <w:bCs/>
          <w:sz w:val="24"/>
          <w:szCs w:val="24"/>
        </w:rPr>
        <w:t>a</w:t>
      </w:r>
      <w:r w:rsidRPr="00746B38">
        <w:rPr>
          <w:bCs/>
          <w:sz w:val="24"/>
          <w:szCs w:val="24"/>
        </w:rPr>
        <w:t xml:space="preserve"> mirovina </w:t>
      </w:r>
      <w:r w:rsidR="00F063D2">
        <w:rPr>
          <w:bCs/>
          <w:sz w:val="24"/>
          <w:szCs w:val="24"/>
        </w:rPr>
        <w:t xml:space="preserve">različitih kategorija </w:t>
      </w:r>
      <w:r w:rsidR="0065102E">
        <w:rPr>
          <w:bCs/>
          <w:sz w:val="24"/>
          <w:szCs w:val="24"/>
        </w:rPr>
        <w:t>(vidjeti prilog popisa zakonske i podzakonske regulative</w:t>
      </w:r>
      <w:r w:rsidR="00D744C7">
        <w:rPr>
          <w:bCs/>
          <w:sz w:val="24"/>
          <w:szCs w:val="24"/>
        </w:rPr>
        <w:t xml:space="preserve"> vezane uz sustav mirovinskog osiguranja u Hrvatskoj</w:t>
      </w:r>
      <w:r w:rsidR="0065102E">
        <w:rPr>
          <w:bCs/>
          <w:sz w:val="24"/>
          <w:szCs w:val="24"/>
        </w:rPr>
        <w:t>)</w:t>
      </w:r>
      <w:r w:rsidRPr="00746B38">
        <w:rPr>
          <w:bCs/>
          <w:sz w:val="24"/>
          <w:szCs w:val="24"/>
        </w:rPr>
        <w:t xml:space="preserve">. </w:t>
      </w:r>
    </w:p>
    <w:p w:rsidR="00965648" w:rsidRDefault="00965648" w:rsidP="00965648">
      <w:pPr>
        <w:spacing w:before="240"/>
        <w:jc w:val="both"/>
        <w:rPr>
          <w:bCs/>
          <w:sz w:val="24"/>
          <w:szCs w:val="24"/>
        </w:rPr>
      </w:pPr>
      <w:r>
        <w:rPr>
          <w:bCs/>
          <w:sz w:val="24"/>
          <w:szCs w:val="24"/>
        </w:rPr>
        <w:t xml:space="preserve">Mirovina osiguranika koji su </w:t>
      </w:r>
      <w:r w:rsidR="00A721DD">
        <w:rPr>
          <w:bCs/>
          <w:sz w:val="24"/>
          <w:szCs w:val="24"/>
        </w:rPr>
        <w:t xml:space="preserve">tijekom radnog vijeka </w:t>
      </w:r>
      <w:r w:rsidR="0065102E" w:rsidRPr="0065102E">
        <w:rPr>
          <w:bCs/>
          <w:sz w:val="24"/>
          <w:szCs w:val="24"/>
        </w:rPr>
        <w:t xml:space="preserve">bili osigurani samo u I. stupu mirovinskog osiguranja određuje se na temelju </w:t>
      </w:r>
      <w:r w:rsidR="0065102E" w:rsidRPr="00965648">
        <w:rPr>
          <w:bCs/>
          <w:i/>
          <w:sz w:val="24"/>
          <w:szCs w:val="24"/>
        </w:rPr>
        <w:t>Zakona o mirovinskom osiguranju</w:t>
      </w:r>
      <w:r w:rsidR="0065102E" w:rsidRPr="0065102E">
        <w:rPr>
          <w:bCs/>
          <w:sz w:val="24"/>
          <w:szCs w:val="24"/>
        </w:rPr>
        <w:t xml:space="preserve">, a za osiguranike osigurane u </w:t>
      </w:r>
      <w:r>
        <w:rPr>
          <w:bCs/>
          <w:sz w:val="24"/>
          <w:szCs w:val="24"/>
        </w:rPr>
        <w:t xml:space="preserve">prvom i drugom stupu (koji iz </w:t>
      </w:r>
      <w:r w:rsidR="0065102E" w:rsidRPr="0065102E">
        <w:rPr>
          <w:bCs/>
          <w:sz w:val="24"/>
          <w:szCs w:val="24"/>
        </w:rPr>
        <w:t>prvog stupa ostvaruj</w:t>
      </w:r>
      <w:r>
        <w:rPr>
          <w:bCs/>
          <w:sz w:val="24"/>
          <w:szCs w:val="24"/>
        </w:rPr>
        <w:t xml:space="preserve">u </w:t>
      </w:r>
      <w:r w:rsidR="0065102E" w:rsidRPr="0065102E">
        <w:rPr>
          <w:bCs/>
          <w:sz w:val="24"/>
          <w:szCs w:val="24"/>
        </w:rPr>
        <w:t>osnovn</w:t>
      </w:r>
      <w:r>
        <w:rPr>
          <w:bCs/>
          <w:sz w:val="24"/>
          <w:szCs w:val="24"/>
        </w:rPr>
        <w:t>u</w:t>
      </w:r>
      <w:r w:rsidR="0065102E" w:rsidRPr="0065102E">
        <w:rPr>
          <w:bCs/>
          <w:sz w:val="24"/>
          <w:szCs w:val="24"/>
        </w:rPr>
        <w:t xml:space="preserve"> mirovin</w:t>
      </w:r>
      <w:r>
        <w:rPr>
          <w:bCs/>
          <w:sz w:val="24"/>
          <w:szCs w:val="24"/>
        </w:rPr>
        <w:t>u</w:t>
      </w:r>
      <w:r w:rsidR="0065102E" w:rsidRPr="0065102E">
        <w:rPr>
          <w:bCs/>
          <w:sz w:val="24"/>
          <w:szCs w:val="24"/>
        </w:rPr>
        <w:t>, a iz drugog stupa mirovin</w:t>
      </w:r>
      <w:r>
        <w:rPr>
          <w:bCs/>
          <w:sz w:val="24"/>
          <w:szCs w:val="24"/>
        </w:rPr>
        <w:t>u</w:t>
      </w:r>
      <w:r w:rsidR="0065102E" w:rsidRPr="0065102E">
        <w:rPr>
          <w:bCs/>
          <w:sz w:val="24"/>
          <w:szCs w:val="24"/>
        </w:rPr>
        <w:t xml:space="preserve"> na temelju individualne kapitalizirane štednje</w:t>
      </w:r>
      <w:r>
        <w:rPr>
          <w:bCs/>
          <w:sz w:val="24"/>
          <w:szCs w:val="24"/>
        </w:rPr>
        <w:t xml:space="preserve">) određuje se </w:t>
      </w:r>
      <w:r w:rsidR="0065102E" w:rsidRPr="0065102E">
        <w:rPr>
          <w:bCs/>
          <w:sz w:val="24"/>
          <w:szCs w:val="24"/>
        </w:rPr>
        <w:t xml:space="preserve">na temelju </w:t>
      </w:r>
      <w:r w:rsidR="0065102E" w:rsidRPr="00965648">
        <w:rPr>
          <w:bCs/>
          <w:i/>
          <w:sz w:val="24"/>
          <w:szCs w:val="24"/>
        </w:rPr>
        <w:t>Z</w:t>
      </w:r>
      <w:r w:rsidRPr="00965648">
        <w:rPr>
          <w:bCs/>
          <w:i/>
          <w:sz w:val="24"/>
          <w:szCs w:val="24"/>
        </w:rPr>
        <w:t>akona o mirovinskom osiguranju</w:t>
      </w:r>
      <w:r>
        <w:rPr>
          <w:bCs/>
          <w:sz w:val="24"/>
          <w:szCs w:val="24"/>
        </w:rPr>
        <w:t xml:space="preserve"> i </w:t>
      </w:r>
      <w:r w:rsidRPr="00965648">
        <w:rPr>
          <w:bCs/>
          <w:i/>
          <w:sz w:val="24"/>
          <w:szCs w:val="24"/>
        </w:rPr>
        <w:t>Zakon o obveznim mirovinskim fondovima</w:t>
      </w:r>
      <w:r w:rsidRPr="00965648">
        <w:rPr>
          <w:bCs/>
          <w:sz w:val="24"/>
          <w:szCs w:val="24"/>
        </w:rPr>
        <w:t>.</w:t>
      </w:r>
      <w:r>
        <w:rPr>
          <w:bCs/>
          <w:sz w:val="24"/>
          <w:szCs w:val="24"/>
        </w:rPr>
        <w:t xml:space="preserve"> </w:t>
      </w:r>
      <w:r w:rsidR="00D744C7">
        <w:rPr>
          <w:bCs/>
          <w:sz w:val="24"/>
          <w:szCs w:val="24"/>
        </w:rPr>
        <w:t xml:space="preserve">Dodatno, </w:t>
      </w:r>
      <w:r>
        <w:rPr>
          <w:bCs/>
          <w:sz w:val="24"/>
          <w:szCs w:val="24"/>
        </w:rPr>
        <w:t>s obzirom na specifičnosti koje se uzimaju u obzir kod određivanja mirovine bitni su uvjeti propisani nizom zakonske i podzakonske regulative koja se kao dodatak nabraja u nastavku.</w:t>
      </w:r>
    </w:p>
    <w:tbl>
      <w:tblPr>
        <w:tblStyle w:val="Reetkatablice"/>
        <w:tblW w:w="0" w:type="auto"/>
        <w:tblInd w:w="108" w:type="dxa"/>
        <w:tblLook w:val="04A0" w:firstRow="1" w:lastRow="0" w:firstColumn="1" w:lastColumn="0" w:noHBand="0" w:noVBand="1"/>
      </w:tblPr>
      <w:tblGrid>
        <w:gridCol w:w="9180"/>
      </w:tblGrid>
      <w:tr w:rsidR="00746B38" w:rsidTr="0065102E">
        <w:tc>
          <w:tcPr>
            <w:tcW w:w="9180" w:type="dxa"/>
          </w:tcPr>
          <w:p w:rsidR="00746B38" w:rsidRPr="00965648" w:rsidRDefault="00746B38" w:rsidP="00746B38">
            <w:pPr>
              <w:jc w:val="both"/>
              <w:rPr>
                <w:rFonts w:asciiTheme="minorHAnsi" w:hAnsiTheme="minorHAnsi"/>
                <w:color w:val="C00000"/>
                <w:sz w:val="24"/>
                <w:szCs w:val="24"/>
              </w:rPr>
            </w:pPr>
            <w:r w:rsidRPr="00965648">
              <w:rPr>
                <w:rFonts w:asciiTheme="minorHAnsi" w:hAnsiTheme="minorHAnsi"/>
                <w:color w:val="C00000"/>
                <w:sz w:val="24"/>
                <w:szCs w:val="24"/>
              </w:rPr>
              <w:t xml:space="preserve">Popis zakonske </w:t>
            </w:r>
            <w:r w:rsidR="00B964F8" w:rsidRPr="00965648">
              <w:rPr>
                <w:rFonts w:asciiTheme="minorHAnsi" w:hAnsiTheme="minorHAnsi"/>
                <w:color w:val="C00000"/>
                <w:sz w:val="24"/>
                <w:szCs w:val="24"/>
              </w:rPr>
              <w:t>i podzakonske regulative vezane (prema stanju početkom rujna 2015.)</w:t>
            </w:r>
          </w:p>
          <w:p w:rsidR="00B964F8" w:rsidRPr="007A055C" w:rsidRDefault="00B964F8" w:rsidP="00680446">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r w:rsidRPr="007A055C">
              <w:rPr>
                <w:rStyle w:val="Naglaeno"/>
                <w:rFonts w:asciiTheme="minorHAnsi" w:hAnsiTheme="minorHAnsi" w:cs="Arial"/>
                <w:color w:val="3E454A"/>
                <w:sz w:val="20"/>
                <w:szCs w:val="20"/>
              </w:rPr>
              <w:t>Opće zakonodavstvo</w:t>
            </w:r>
          </w:p>
          <w:p w:rsidR="00B964F8" w:rsidRPr="007A055C" w:rsidRDefault="00B964F8" w:rsidP="00C86D78">
            <w:pPr>
              <w:numPr>
                <w:ilvl w:val="0"/>
                <w:numId w:val="99"/>
              </w:numPr>
              <w:shd w:val="clear" w:color="auto" w:fill="FFFFFF"/>
              <w:spacing w:after="100" w:afterAutospacing="1" w:line="270" w:lineRule="atLeast"/>
              <w:ind w:left="714" w:hanging="357"/>
              <w:rPr>
                <w:rFonts w:asciiTheme="minorHAnsi" w:hAnsiTheme="minorHAnsi" w:cs="Arial"/>
                <w:color w:val="3E454A"/>
              </w:rPr>
            </w:pPr>
            <w:r w:rsidRPr="007A055C">
              <w:rPr>
                <w:rFonts w:asciiTheme="minorHAnsi" w:hAnsiTheme="minorHAnsi" w:cs="Arial"/>
                <w:color w:val="3E454A"/>
              </w:rPr>
              <w:t>Zakon o mirovinskom osiguranju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157/2013,</w:t>
            </w:r>
            <w:r w:rsidRPr="007A055C">
              <w:rPr>
                <w:rStyle w:val="apple-converted-space"/>
                <w:rFonts w:asciiTheme="minorHAnsi" w:hAnsiTheme="minorHAnsi" w:cs="Arial"/>
                <w:color w:val="3E454A"/>
              </w:rPr>
              <w:t> </w:t>
            </w:r>
            <w:r w:rsidRPr="007A055C">
              <w:rPr>
                <w:rFonts w:asciiTheme="minorHAnsi" w:hAnsiTheme="minorHAnsi" w:cs="Arial"/>
                <w:color w:val="3E454A"/>
              </w:rPr>
              <w:t>151/2014, 33/2015 i93/2015)</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Zakonu o najvišoj mirovini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162/98</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82/01)</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stažu osiguranja s povećanim trajanjem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71/99,</w:t>
            </w:r>
            <w:r w:rsidRPr="007A055C">
              <w:rPr>
                <w:rStyle w:val="apple-converted-space"/>
                <w:rFonts w:asciiTheme="minorHAnsi" w:hAnsiTheme="minorHAnsi" w:cs="Arial"/>
                <w:color w:val="3E454A"/>
              </w:rPr>
              <w:t> </w:t>
            </w:r>
            <w:r w:rsidRPr="007A055C">
              <w:rPr>
                <w:rFonts w:asciiTheme="minorHAnsi" w:hAnsiTheme="minorHAnsi" w:cs="Arial"/>
                <w:color w:val="3E454A"/>
              </w:rPr>
              <w:t>46/07 i 41/08)</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isplati mirovina korisnicima koji su mirovinu ostvarili u republikama bivše SFRJ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96/93)</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prenošenju sredstava državnog proračuna fondovima mirovinskog i invalidskog osiguranja te usklađivanje mirovina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102/98)</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povećanju mirovina radi otklanjanja razlika u razini mirovina ostvarenih u različitim razdobljima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127/00)</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izvršavanju Državnog proračuna Republike Hrvatske za 2014. godinu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152/13,</w:t>
            </w:r>
            <w:r w:rsidRPr="007A055C">
              <w:rPr>
                <w:rStyle w:val="apple-converted-space"/>
                <w:rFonts w:asciiTheme="minorHAnsi" w:hAnsiTheme="minorHAnsi" w:cs="Arial"/>
                <w:color w:val="3E454A"/>
              </w:rPr>
              <w:t> </w:t>
            </w:r>
            <w:r w:rsidRPr="007A055C">
              <w:rPr>
                <w:rFonts w:asciiTheme="minorHAnsi" w:hAnsiTheme="minorHAnsi" w:cs="Arial"/>
                <w:color w:val="3E454A"/>
              </w:rPr>
              <w:t>39/14</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141/14)</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izvršavanju Državnog proračuna Republike Hrvatske za 2015. godinu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148/14)</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naplati dospjelih a nenaplaćenih poreza, carina, doprinosa i državnih jamstava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117/01</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19/03)</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pravu na dodatak uz mirovinu određenih kategorija korisnika mirovine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45/02)</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doprinosima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84/08,</w:t>
            </w:r>
            <w:r w:rsidRPr="007A055C">
              <w:rPr>
                <w:rStyle w:val="apple-converted-space"/>
                <w:rFonts w:asciiTheme="minorHAnsi" w:hAnsiTheme="minorHAnsi" w:cs="Arial"/>
                <w:color w:val="3E454A"/>
              </w:rPr>
              <w:t> </w:t>
            </w:r>
            <w:r w:rsidRPr="007A055C">
              <w:rPr>
                <w:rFonts w:asciiTheme="minorHAnsi" w:hAnsiTheme="minorHAnsi" w:cs="Arial"/>
                <w:color w:val="3E454A"/>
              </w:rPr>
              <w:t>152/08,</w:t>
            </w:r>
            <w:r w:rsidRPr="007A055C">
              <w:rPr>
                <w:rStyle w:val="apple-converted-space"/>
                <w:rFonts w:asciiTheme="minorHAnsi" w:hAnsiTheme="minorHAnsi" w:cs="Arial"/>
                <w:color w:val="3E454A"/>
              </w:rPr>
              <w:t> </w:t>
            </w:r>
            <w:r w:rsidRPr="007A055C">
              <w:rPr>
                <w:rFonts w:asciiTheme="minorHAnsi" w:hAnsiTheme="minorHAnsi" w:cs="Arial"/>
                <w:color w:val="3E454A"/>
              </w:rPr>
              <w:t>94/09,</w:t>
            </w:r>
            <w:r w:rsidRPr="007A055C">
              <w:rPr>
                <w:rStyle w:val="apple-converted-space"/>
                <w:rFonts w:asciiTheme="minorHAnsi" w:hAnsiTheme="minorHAnsi" w:cs="Arial"/>
                <w:color w:val="3E454A"/>
              </w:rPr>
              <w:t> </w:t>
            </w:r>
            <w:r w:rsidRPr="007A055C">
              <w:rPr>
                <w:rFonts w:asciiTheme="minorHAnsi" w:hAnsiTheme="minorHAnsi" w:cs="Arial"/>
                <w:color w:val="3E454A"/>
              </w:rPr>
              <w:t>18/11,</w:t>
            </w:r>
            <w:r w:rsidRPr="007A055C">
              <w:rPr>
                <w:rStyle w:val="apple-converted-space"/>
                <w:rFonts w:asciiTheme="minorHAnsi" w:hAnsiTheme="minorHAnsi" w:cs="Arial"/>
                <w:color w:val="3E454A"/>
              </w:rPr>
              <w:t> </w:t>
            </w:r>
            <w:r w:rsidRPr="007A055C">
              <w:rPr>
                <w:rFonts w:asciiTheme="minorHAnsi" w:hAnsiTheme="minorHAnsi" w:cs="Arial"/>
                <w:color w:val="3E454A"/>
              </w:rPr>
              <w:t>22/12,</w:t>
            </w:r>
            <w:r w:rsidRPr="007A055C">
              <w:rPr>
                <w:rStyle w:val="apple-converted-space"/>
                <w:rFonts w:asciiTheme="minorHAnsi" w:hAnsiTheme="minorHAnsi" w:cs="Arial"/>
                <w:color w:val="3E454A"/>
              </w:rPr>
              <w:t> </w:t>
            </w:r>
            <w:r w:rsidRPr="007A055C">
              <w:rPr>
                <w:rFonts w:asciiTheme="minorHAnsi" w:hAnsiTheme="minorHAnsi" w:cs="Arial"/>
                <w:color w:val="3E454A"/>
              </w:rPr>
              <w:t>144/12,148/13,</w:t>
            </w:r>
            <w:r w:rsidRPr="007A055C">
              <w:rPr>
                <w:rStyle w:val="apple-converted-space"/>
                <w:rFonts w:asciiTheme="minorHAnsi" w:hAnsiTheme="minorHAnsi" w:cs="Arial"/>
                <w:color w:val="3E454A"/>
              </w:rPr>
              <w:t> </w:t>
            </w:r>
            <w:r w:rsidRPr="007A055C">
              <w:rPr>
                <w:rFonts w:asciiTheme="minorHAnsi" w:hAnsiTheme="minorHAnsi" w:cs="Arial"/>
                <w:color w:val="3E454A"/>
              </w:rPr>
              <w:t>41/14 i</w:t>
            </w:r>
            <w:r w:rsidRPr="007A055C">
              <w:rPr>
                <w:rStyle w:val="apple-converted-space"/>
                <w:rFonts w:asciiTheme="minorHAnsi" w:hAnsiTheme="minorHAnsi" w:cs="Arial"/>
                <w:color w:val="3E454A"/>
              </w:rPr>
              <w:t> </w:t>
            </w:r>
            <w:r w:rsidRPr="007A055C">
              <w:rPr>
                <w:rFonts w:asciiTheme="minorHAnsi" w:hAnsiTheme="minorHAnsi" w:cs="Arial"/>
                <w:color w:val="3E454A"/>
              </w:rPr>
              <w:t>143/14)</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provođenju Odluke Ustavnog suda Republike Hrvatske od 12. svibnja 1998.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105/04 i</w:t>
            </w:r>
            <w:r w:rsidRPr="007A055C">
              <w:rPr>
                <w:rStyle w:val="apple-converted-space"/>
                <w:rFonts w:asciiTheme="minorHAnsi" w:hAnsiTheme="minorHAnsi" w:cs="Arial"/>
                <w:color w:val="3E454A"/>
              </w:rPr>
              <w:t> </w:t>
            </w:r>
            <w:r w:rsidRPr="007A055C">
              <w:rPr>
                <w:rFonts w:asciiTheme="minorHAnsi" w:hAnsiTheme="minorHAnsi" w:cs="Arial"/>
                <w:color w:val="3E454A"/>
              </w:rPr>
              <w:t>19/07)</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Umirovljeničkom fondu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93/05)</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doprinosima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02/09, ispravak</w:t>
            </w:r>
            <w:r w:rsidRPr="007A055C">
              <w:rPr>
                <w:rStyle w:val="apple-converted-space"/>
                <w:rFonts w:asciiTheme="minorHAnsi" w:hAnsiTheme="minorHAnsi" w:cs="Arial"/>
                <w:color w:val="3E454A"/>
              </w:rPr>
              <w:t> </w:t>
            </w:r>
            <w:r w:rsidRPr="007A055C">
              <w:rPr>
                <w:rFonts w:asciiTheme="minorHAnsi" w:hAnsiTheme="minorHAnsi" w:cs="Arial"/>
                <w:color w:val="3E454A"/>
              </w:rPr>
              <w:t>09/09, 97/09 ,</w:t>
            </w:r>
            <w:r w:rsidRPr="007A055C">
              <w:rPr>
                <w:rStyle w:val="apple-converted-space"/>
                <w:rFonts w:asciiTheme="minorHAnsi" w:hAnsiTheme="minorHAnsi" w:cs="Arial"/>
                <w:color w:val="3E454A"/>
              </w:rPr>
              <w:t> </w:t>
            </w:r>
            <w:r w:rsidRPr="007A055C">
              <w:rPr>
                <w:rFonts w:asciiTheme="minorHAnsi" w:hAnsiTheme="minorHAnsi" w:cs="Arial"/>
                <w:color w:val="3E454A"/>
              </w:rPr>
              <w:t>25/11,61/12</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86/13) </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utvrđivanju staža osiguranja na temelju plaćenih doprinosa za mirovinsko osiguranje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12/14)</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lastRenderedPageBreak/>
              <w:t>Naredba o iznosima osnovica za obračun doprinosa za obvezna osiguranja za 2014. godinu ('Narodne novine', broj </w:t>
            </w:r>
            <w:r w:rsidRPr="007A055C">
              <w:rPr>
                <w:rStyle w:val="apple-converted-space"/>
                <w:rFonts w:asciiTheme="minorHAnsi" w:hAnsiTheme="minorHAnsi" w:cs="Arial"/>
                <w:color w:val="3E454A"/>
              </w:rPr>
              <w:t> </w:t>
            </w:r>
            <w:r w:rsidRPr="007A055C">
              <w:rPr>
                <w:rFonts w:asciiTheme="minorHAnsi" w:hAnsiTheme="minorHAnsi" w:cs="Arial"/>
                <w:color w:val="3E454A"/>
              </w:rPr>
              <w:t>157/13)</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Uredba o načinu provedbe plaćanja doprinosa prema plaći, primicima uz plaću, odnosno mjesečnoj osnovici za obračun doprinosa na temelju radnog odnosa('Narodne novine', broj </w:t>
            </w:r>
            <w:r w:rsidRPr="007A055C">
              <w:rPr>
                <w:rStyle w:val="apple-converted-space"/>
                <w:rFonts w:asciiTheme="minorHAnsi" w:hAnsiTheme="minorHAnsi" w:cs="Arial"/>
                <w:color w:val="3E454A"/>
              </w:rPr>
              <w:t> </w:t>
            </w:r>
            <w:r w:rsidRPr="007A055C">
              <w:rPr>
                <w:rFonts w:asciiTheme="minorHAnsi" w:hAnsiTheme="minorHAnsi" w:cs="Arial"/>
                <w:color w:val="3E454A"/>
              </w:rPr>
              <w:t>49/12)</w:t>
            </w:r>
          </w:p>
          <w:p w:rsidR="00B964F8" w:rsidRPr="007A055C" w:rsidRDefault="00B964F8" w:rsidP="00C86D78">
            <w:pPr>
              <w:numPr>
                <w:ilvl w:val="0"/>
                <w:numId w:val="99"/>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Naredba o načinu uplaćivanja prihoda proračuna, obveznih doprinosa te prihoda za financiranje drugih javnih potreba u 2015. godini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12/2015)</w:t>
            </w:r>
          </w:p>
          <w:p w:rsidR="00B964F8" w:rsidRPr="007A055C" w:rsidRDefault="00B964F8" w:rsidP="00C86D78">
            <w:pPr>
              <w:numPr>
                <w:ilvl w:val="0"/>
                <w:numId w:val="99"/>
              </w:numPr>
              <w:shd w:val="clear" w:color="auto" w:fill="FFFFFF"/>
              <w:spacing w:before="100" w:beforeAutospacing="1" w:line="270" w:lineRule="atLeast"/>
              <w:ind w:left="714" w:hanging="357"/>
              <w:rPr>
                <w:rFonts w:asciiTheme="minorHAnsi" w:hAnsiTheme="minorHAnsi" w:cs="Arial"/>
                <w:color w:val="3E454A"/>
              </w:rPr>
            </w:pPr>
            <w:r w:rsidRPr="007A055C">
              <w:rPr>
                <w:rFonts w:asciiTheme="minorHAnsi" w:hAnsiTheme="minorHAnsi" w:cs="Arial"/>
                <w:color w:val="3E454A"/>
              </w:rPr>
              <w:t>Zakon o dodatku na mirovine ostvarene prema Zakonu o mirovinskom osiguranju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79/07 i</w:t>
            </w:r>
            <w:r w:rsidRPr="007A055C">
              <w:rPr>
                <w:rStyle w:val="apple-converted-space"/>
                <w:rFonts w:asciiTheme="minorHAnsi" w:hAnsiTheme="minorHAnsi" w:cs="Arial"/>
                <w:color w:val="3E454A"/>
              </w:rPr>
              <w:t> </w:t>
            </w:r>
            <w:r w:rsidRPr="007A055C">
              <w:rPr>
                <w:rFonts w:asciiTheme="minorHAnsi" w:hAnsiTheme="minorHAnsi" w:cs="Arial"/>
                <w:color w:val="3E454A"/>
              </w:rPr>
              <w:t>114/11)</w:t>
            </w:r>
          </w:p>
          <w:p w:rsidR="00B964F8" w:rsidRPr="007A055C" w:rsidRDefault="00B964F8" w:rsidP="00680446">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bookmarkStart w:id="0" w:name="posebnizakoni"/>
            <w:bookmarkEnd w:id="0"/>
            <w:r w:rsidRPr="007A055C">
              <w:rPr>
                <w:rStyle w:val="Naglaeno"/>
                <w:rFonts w:asciiTheme="minorHAnsi" w:hAnsiTheme="minorHAnsi" w:cs="Arial"/>
                <w:color w:val="3E454A"/>
                <w:sz w:val="20"/>
                <w:szCs w:val="20"/>
              </w:rPr>
              <w:t>Posebni zakoni</w:t>
            </w:r>
          </w:p>
          <w:p w:rsidR="00B964F8" w:rsidRPr="007A055C" w:rsidRDefault="00B964F8" w:rsidP="00C86D78">
            <w:pPr>
              <w:numPr>
                <w:ilvl w:val="0"/>
                <w:numId w:val="100"/>
              </w:numPr>
              <w:shd w:val="clear" w:color="auto" w:fill="FFFFFF"/>
              <w:spacing w:line="270" w:lineRule="atLeast"/>
              <w:rPr>
                <w:rFonts w:asciiTheme="minorHAnsi" w:hAnsiTheme="minorHAnsi" w:cs="Arial"/>
                <w:color w:val="3E454A"/>
              </w:rPr>
            </w:pPr>
            <w:r w:rsidRPr="007A055C">
              <w:rPr>
                <w:rFonts w:asciiTheme="minorHAnsi" w:hAnsiTheme="minorHAnsi" w:cs="Arial"/>
                <w:color w:val="3E454A"/>
              </w:rPr>
              <w:t>Zakon o smanjenju mirovina određenih, odnosno ostvarenih prema posebnim propisima o mirovinskom osiguranju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71/10 ,</w:t>
            </w:r>
            <w:r w:rsidRPr="007A055C">
              <w:rPr>
                <w:rStyle w:val="apple-converted-space"/>
                <w:rFonts w:asciiTheme="minorHAnsi" w:hAnsiTheme="minorHAnsi" w:cs="Arial"/>
                <w:color w:val="3E454A"/>
              </w:rPr>
              <w:t> </w:t>
            </w:r>
            <w:r w:rsidRPr="007A055C">
              <w:rPr>
                <w:rFonts w:asciiTheme="minorHAnsi" w:hAnsiTheme="minorHAnsi" w:cs="Arial"/>
                <w:color w:val="3E454A"/>
              </w:rPr>
              <w:t>130/11 i</w:t>
            </w:r>
            <w:r w:rsidRPr="007A055C">
              <w:rPr>
                <w:rStyle w:val="apple-converted-space"/>
                <w:rFonts w:asciiTheme="minorHAnsi" w:hAnsiTheme="minorHAnsi" w:cs="Arial"/>
                <w:color w:val="3E454A"/>
              </w:rPr>
              <w:t> </w:t>
            </w:r>
            <w:r w:rsidRPr="007A055C">
              <w:rPr>
                <w:rFonts w:asciiTheme="minorHAnsi" w:hAnsiTheme="minorHAnsi" w:cs="Arial"/>
                <w:color w:val="3E454A"/>
              </w:rPr>
              <w:t>157/13)</w:t>
            </w:r>
          </w:p>
          <w:p w:rsidR="00B964F8" w:rsidRPr="007A055C" w:rsidRDefault="00B964F8" w:rsidP="00C86D78">
            <w:pPr>
              <w:numPr>
                <w:ilvl w:val="0"/>
                <w:numId w:val="100"/>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posebnom porezu na plaće, mirovine i druge primitke ('Narodne novine', broj 94/09 i</w:t>
            </w:r>
            <w:r w:rsidRPr="007A055C">
              <w:rPr>
                <w:rStyle w:val="apple-converted-space"/>
                <w:rFonts w:asciiTheme="minorHAnsi" w:hAnsiTheme="minorHAnsi" w:cs="Arial"/>
                <w:color w:val="3E454A"/>
              </w:rPr>
              <w:t> </w:t>
            </w:r>
            <w:r w:rsidRPr="007A055C">
              <w:rPr>
                <w:rFonts w:asciiTheme="minorHAnsi" w:hAnsiTheme="minorHAnsi" w:cs="Arial"/>
                <w:color w:val="3E454A"/>
              </w:rPr>
              <w:t>56/10)</w:t>
            </w:r>
          </w:p>
          <w:p w:rsidR="00B964F8" w:rsidRPr="007A055C" w:rsidRDefault="00B964F8" w:rsidP="00C86D78">
            <w:pPr>
              <w:numPr>
                <w:ilvl w:val="0"/>
                <w:numId w:val="100"/>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posebnom porezu na plaće, mirovine i druge primitke ('Narodne novine', broj96/09 i 91/10</w:t>
            </w:r>
            <w:r w:rsidRPr="007A055C">
              <w:rPr>
                <w:rStyle w:val="apple-converted-space"/>
                <w:rFonts w:asciiTheme="minorHAnsi" w:hAnsiTheme="minorHAnsi" w:cs="Arial"/>
                <w:color w:val="3E454A"/>
              </w:rPr>
              <w:t> </w:t>
            </w:r>
            <w:r w:rsidRPr="007A055C">
              <w:rPr>
                <w:rFonts w:asciiTheme="minorHAnsi" w:hAnsiTheme="minorHAnsi" w:cs="Arial"/>
                <w:color w:val="3E454A"/>
              </w:rPr>
              <w:t>)</w:t>
            </w:r>
          </w:p>
          <w:p w:rsidR="00B964F8" w:rsidRPr="007A055C" w:rsidRDefault="00B964F8" w:rsidP="00C86D78">
            <w:pPr>
              <w:numPr>
                <w:ilvl w:val="0"/>
                <w:numId w:val="100"/>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pravima bivših političkih zatvorenika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34/95,</w:t>
            </w:r>
            <w:r w:rsidRPr="007A055C">
              <w:rPr>
                <w:rStyle w:val="apple-converted-space"/>
                <w:rFonts w:asciiTheme="minorHAnsi" w:hAnsiTheme="minorHAnsi" w:cs="Arial"/>
                <w:color w:val="3E454A"/>
              </w:rPr>
              <w:t> </w:t>
            </w:r>
            <w:r w:rsidRPr="007A055C">
              <w:rPr>
                <w:rFonts w:asciiTheme="minorHAnsi" w:hAnsiTheme="minorHAnsi" w:cs="Arial"/>
                <w:color w:val="3E454A"/>
              </w:rPr>
              <w:t>164/98</w:t>
            </w:r>
            <w:r w:rsidRPr="007A055C">
              <w:rPr>
                <w:rStyle w:val="apple-converted-space"/>
                <w:rFonts w:asciiTheme="minorHAnsi" w:hAnsiTheme="minorHAnsi" w:cs="Arial"/>
                <w:color w:val="3E454A"/>
              </w:rPr>
              <w:t> </w:t>
            </w:r>
            <w:r w:rsidRPr="007A055C">
              <w:rPr>
                <w:rFonts w:asciiTheme="minorHAnsi" w:hAnsiTheme="minorHAnsi" w:cs="Arial"/>
                <w:color w:val="3E454A"/>
              </w:rPr>
              <w:t>i109/01)</w:t>
            </w:r>
          </w:p>
          <w:p w:rsidR="00B964F8" w:rsidRPr="007A055C" w:rsidRDefault="00B964F8" w:rsidP="00C86D78">
            <w:pPr>
              <w:numPr>
                <w:ilvl w:val="0"/>
                <w:numId w:val="100"/>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pravima iz mirovinskog osiguranja djelatnih vojnih osoba, policijskih službenika i ovlaštenih službenih osoba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128/99,</w:t>
            </w:r>
            <w:r w:rsidRPr="007A055C">
              <w:rPr>
                <w:rStyle w:val="apple-converted-space"/>
                <w:rFonts w:asciiTheme="minorHAnsi" w:hAnsiTheme="minorHAnsi" w:cs="Arial"/>
                <w:color w:val="3E454A"/>
              </w:rPr>
              <w:t> </w:t>
            </w:r>
            <w:r w:rsidRPr="007A055C">
              <w:rPr>
                <w:rFonts w:asciiTheme="minorHAnsi" w:hAnsiTheme="minorHAnsi" w:cs="Arial"/>
                <w:color w:val="3E454A"/>
              </w:rPr>
              <w:t>16/01,</w:t>
            </w:r>
            <w:r w:rsidRPr="007A055C">
              <w:rPr>
                <w:rStyle w:val="apple-converted-space"/>
                <w:rFonts w:asciiTheme="minorHAnsi" w:hAnsiTheme="minorHAnsi" w:cs="Arial"/>
                <w:color w:val="3E454A"/>
              </w:rPr>
              <w:t> </w:t>
            </w:r>
            <w:r w:rsidRPr="007A055C">
              <w:rPr>
                <w:rFonts w:asciiTheme="minorHAnsi" w:hAnsiTheme="minorHAnsi" w:cs="Arial"/>
                <w:color w:val="3E454A"/>
              </w:rPr>
              <w:t>16/01,22/02, 41/08 i</w:t>
            </w:r>
            <w:r w:rsidRPr="007A055C">
              <w:rPr>
                <w:rStyle w:val="apple-converted-space"/>
                <w:rFonts w:asciiTheme="minorHAnsi" w:hAnsiTheme="minorHAnsi" w:cs="Arial"/>
                <w:color w:val="3E454A"/>
              </w:rPr>
              <w:t> </w:t>
            </w:r>
            <w:r w:rsidRPr="007A055C">
              <w:rPr>
                <w:rFonts w:asciiTheme="minorHAnsi" w:hAnsiTheme="minorHAnsi" w:cs="Arial"/>
                <w:color w:val="3E454A"/>
              </w:rPr>
              <w:t>118/12)</w:t>
            </w:r>
          </w:p>
          <w:p w:rsidR="00B964F8" w:rsidRPr="007A055C" w:rsidRDefault="00B964F8" w:rsidP="00C86D78">
            <w:pPr>
              <w:numPr>
                <w:ilvl w:val="0"/>
                <w:numId w:val="100"/>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pravima i dužnostima zastupnika u Hrvatskom državnom saboru ('Narodne novine', broj</w:t>
            </w:r>
            <w:r w:rsidRPr="007A055C">
              <w:rPr>
                <w:rStyle w:val="apple-converted-space"/>
                <w:rFonts w:asciiTheme="minorHAnsi" w:hAnsiTheme="minorHAnsi" w:cs="Arial"/>
                <w:color w:val="3E454A"/>
              </w:rPr>
              <w:t xml:space="preserve">  </w:t>
            </w:r>
            <w:r w:rsidRPr="007A055C">
              <w:rPr>
                <w:rFonts w:asciiTheme="minorHAnsi" w:hAnsiTheme="minorHAnsi" w:cs="Arial"/>
                <w:color w:val="3E454A"/>
              </w:rPr>
              <w:t>55/00,</w:t>
            </w:r>
            <w:r w:rsidRPr="007A055C">
              <w:rPr>
                <w:rStyle w:val="apple-converted-space"/>
                <w:rFonts w:asciiTheme="minorHAnsi" w:hAnsiTheme="minorHAnsi" w:cs="Arial"/>
                <w:color w:val="3E454A"/>
              </w:rPr>
              <w:t> </w:t>
            </w:r>
            <w:r w:rsidRPr="007A055C">
              <w:rPr>
                <w:rFonts w:asciiTheme="minorHAnsi" w:hAnsiTheme="minorHAnsi" w:cs="Arial"/>
                <w:color w:val="3E454A"/>
              </w:rPr>
              <w:t>107/01,</w:t>
            </w:r>
            <w:r w:rsidRPr="007A055C">
              <w:rPr>
                <w:rStyle w:val="apple-converted-space"/>
                <w:rFonts w:asciiTheme="minorHAnsi" w:hAnsiTheme="minorHAnsi" w:cs="Arial"/>
                <w:color w:val="3E454A"/>
              </w:rPr>
              <w:t> </w:t>
            </w:r>
            <w:r w:rsidRPr="007A055C">
              <w:rPr>
                <w:rFonts w:asciiTheme="minorHAnsi" w:hAnsiTheme="minorHAnsi" w:cs="Arial"/>
                <w:color w:val="3E454A"/>
              </w:rPr>
              <w:t>86/09,</w:t>
            </w:r>
            <w:r w:rsidRPr="007A055C">
              <w:rPr>
                <w:rStyle w:val="apple-converted-space"/>
                <w:rFonts w:asciiTheme="minorHAnsi" w:hAnsiTheme="minorHAnsi" w:cs="Arial"/>
                <w:color w:val="3E454A"/>
              </w:rPr>
              <w:t> </w:t>
            </w:r>
            <w:r w:rsidRPr="007A055C">
              <w:rPr>
                <w:rFonts w:asciiTheme="minorHAnsi" w:hAnsiTheme="minorHAnsi" w:cs="Arial"/>
                <w:color w:val="3E454A"/>
              </w:rPr>
              <w:t>91/10,</w:t>
            </w:r>
            <w:r w:rsidRPr="007A055C">
              <w:rPr>
                <w:rStyle w:val="apple-converted-space"/>
                <w:rFonts w:asciiTheme="minorHAnsi" w:hAnsiTheme="minorHAnsi" w:cs="Arial"/>
                <w:color w:val="3E454A"/>
              </w:rPr>
              <w:t> </w:t>
            </w:r>
            <w:r w:rsidRPr="007A055C">
              <w:rPr>
                <w:rFonts w:asciiTheme="minorHAnsi" w:hAnsiTheme="minorHAnsi" w:cs="Arial"/>
                <w:color w:val="3E454A"/>
              </w:rPr>
              <w:t>49/11</w:t>
            </w:r>
            <w:r w:rsidRPr="007A055C">
              <w:rPr>
                <w:rStyle w:val="apple-converted-space"/>
                <w:rFonts w:asciiTheme="minorHAnsi" w:hAnsiTheme="minorHAnsi" w:cs="Arial"/>
                <w:color w:val="3E454A"/>
              </w:rPr>
              <w:t> </w:t>
            </w:r>
            <w:r w:rsidRPr="007A055C">
              <w:rPr>
                <w:rFonts w:asciiTheme="minorHAnsi" w:hAnsiTheme="minorHAnsi" w:cs="Arial"/>
                <w:color w:val="3E454A"/>
              </w:rPr>
              <w:t>i</w:t>
            </w:r>
            <w:r w:rsidRPr="007A055C">
              <w:rPr>
                <w:rStyle w:val="apple-converted-space"/>
                <w:rFonts w:asciiTheme="minorHAnsi" w:hAnsiTheme="minorHAnsi" w:cs="Arial"/>
                <w:color w:val="3E454A"/>
              </w:rPr>
              <w:t> </w:t>
            </w:r>
            <w:r w:rsidRPr="007A055C">
              <w:rPr>
                <w:rFonts w:asciiTheme="minorHAnsi" w:hAnsiTheme="minorHAnsi" w:cs="Arial"/>
                <w:color w:val="3E454A"/>
              </w:rPr>
              <w:t>12/12) </w:t>
            </w:r>
          </w:p>
          <w:p w:rsidR="00B964F8" w:rsidRPr="007A055C" w:rsidRDefault="00B964F8" w:rsidP="00C86D78">
            <w:pPr>
              <w:numPr>
                <w:ilvl w:val="0"/>
                <w:numId w:val="100"/>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smanjenju mirovina određenih prema Zakonu o pravima i dužnostima zastupnika u Hrvatskom saboru ('Narodne novine', broj </w:t>
            </w:r>
            <w:r w:rsidRPr="007A055C">
              <w:rPr>
                <w:rStyle w:val="apple-converted-space"/>
                <w:rFonts w:asciiTheme="minorHAnsi" w:hAnsiTheme="minorHAnsi" w:cs="Arial"/>
                <w:color w:val="3E454A"/>
              </w:rPr>
              <w:t> </w:t>
            </w:r>
            <w:r w:rsidRPr="007A055C">
              <w:rPr>
                <w:rFonts w:asciiTheme="minorHAnsi" w:hAnsiTheme="minorHAnsi" w:cs="Arial"/>
                <w:color w:val="3E454A"/>
              </w:rPr>
              <w:t>86/09)</w:t>
            </w:r>
          </w:p>
          <w:p w:rsidR="00B964F8" w:rsidRPr="007A055C" w:rsidRDefault="00B964F8" w:rsidP="00C86D78">
            <w:pPr>
              <w:numPr>
                <w:ilvl w:val="0"/>
                <w:numId w:val="100"/>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pravima hrvatskih branitelja iz Domovinskog rata i članova njihovih obitelji ('Narodne novine',</w:t>
            </w:r>
            <w:r w:rsidRPr="007A055C">
              <w:rPr>
                <w:rStyle w:val="apple-converted-space"/>
                <w:rFonts w:asciiTheme="minorHAnsi" w:hAnsiTheme="minorHAnsi" w:cs="Arial"/>
                <w:color w:val="3E454A"/>
              </w:rPr>
              <w:t> </w:t>
            </w:r>
            <w:r w:rsidRPr="007A055C">
              <w:rPr>
                <w:rFonts w:asciiTheme="minorHAnsi" w:hAnsiTheme="minorHAnsi" w:cs="Arial"/>
                <w:color w:val="3E454A"/>
              </w:rPr>
              <w:t>174/04,</w:t>
            </w:r>
            <w:r w:rsidRPr="007A055C">
              <w:rPr>
                <w:rStyle w:val="apple-converted-space"/>
                <w:rFonts w:asciiTheme="minorHAnsi" w:hAnsiTheme="minorHAnsi" w:cs="Arial"/>
                <w:color w:val="3E454A"/>
              </w:rPr>
              <w:t> </w:t>
            </w:r>
            <w:r w:rsidRPr="007A055C">
              <w:rPr>
                <w:rFonts w:asciiTheme="minorHAnsi" w:hAnsiTheme="minorHAnsi" w:cs="Arial"/>
                <w:color w:val="3E454A"/>
              </w:rPr>
              <w:t>92/05,</w:t>
            </w:r>
            <w:r w:rsidRPr="007A055C">
              <w:rPr>
                <w:rStyle w:val="apple-converted-space"/>
                <w:rFonts w:asciiTheme="minorHAnsi" w:hAnsiTheme="minorHAnsi" w:cs="Arial"/>
                <w:color w:val="3E454A"/>
              </w:rPr>
              <w:t> </w:t>
            </w:r>
            <w:r w:rsidRPr="007A055C">
              <w:rPr>
                <w:rFonts w:asciiTheme="minorHAnsi" w:hAnsiTheme="minorHAnsi" w:cs="Arial"/>
                <w:color w:val="3E454A"/>
              </w:rPr>
              <w:t>2/07,</w:t>
            </w:r>
            <w:r w:rsidRPr="007A055C">
              <w:rPr>
                <w:rStyle w:val="apple-converted-space"/>
                <w:rFonts w:asciiTheme="minorHAnsi" w:hAnsiTheme="minorHAnsi" w:cs="Arial"/>
                <w:color w:val="3E454A"/>
              </w:rPr>
              <w:t> </w:t>
            </w:r>
            <w:r w:rsidRPr="007A055C">
              <w:rPr>
                <w:rFonts w:asciiTheme="minorHAnsi" w:hAnsiTheme="minorHAnsi" w:cs="Arial"/>
                <w:color w:val="3E454A"/>
              </w:rPr>
              <w:t>107/07,</w:t>
            </w:r>
            <w:r w:rsidRPr="007A055C">
              <w:rPr>
                <w:rStyle w:val="apple-converted-space"/>
                <w:rFonts w:asciiTheme="minorHAnsi" w:hAnsiTheme="minorHAnsi" w:cs="Arial"/>
                <w:color w:val="3E454A"/>
              </w:rPr>
              <w:t> </w:t>
            </w:r>
            <w:r w:rsidRPr="007A055C">
              <w:rPr>
                <w:rFonts w:asciiTheme="minorHAnsi" w:hAnsiTheme="minorHAnsi" w:cs="Arial"/>
                <w:color w:val="3E454A"/>
              </w:rPr>
              <w:t>65/09,</w:t>
            </w:r>
            <w:r w:rsidRPr="007A055C">
              <w:rPr>
                <w:rStyle w:val="apple-converted-space"/>
                <w:rFonts w:asciiTheme="minorHAnsi" w:hAnsiTheme="minorHAnsi" w:cs="Arial"/>
                <w:color w:val="3E454A"/>
              </w:rPr>
              <w:t> </w:t>
            </w:r>
            <w:r w:rsidRPr="007A055C">
              <w:rPr>
                <w:rFonts w:asciiTheme="minorHAnsi" w:hAnsiTheme="minorHAnsi" w:cs="Arial"/>
                <w:color w:val="3E454A"/>
              </w:rPr>
              <w:t>137/09,</w:t>
            </w:r>
            <w:r w:rsidRPr="007A055C">
              <w:rPr>
                <w:rStyle w:val="apple-converted-space"/>
                <w:rFonts w:asciiTheme="minorHAnsi" w:hAnsiTheme="minorHAnsi" w:cs="Arial"/>
                <w:color w:val="3E454A"/>
              </w:rPr>
              <w:t> </w:t>
            </w:r>
            <w:r w:rsidRPr="007A055C">
              <w:rPr>
                <w:rFonts w:asciiTheme="minorHAnsi" w:hAnsiTheme="minorHAnsi" w:cs="Arial"/>
                <w:color w:val="3E454A"/>
              </w:rPr>
              <w:t>146/10,</w:t>
            </w:r>
            <w:r w:rsidRPr="007A055C">
              <w:rPr>
                <w:rStyle w:val="apple-converted-space"/>
                <w:rFonts w:asciiTheme="minorHAnsi" w:hAnsiTheme="minorHAnsi" w:cs="Arial"/>
                <w:color w:val="3E454A"/>
              </w:rPr>
              <w:t> </w:t>
            </w:r>
            <w:r w:rsidRPr="007A055C">
              <w:rPr>
                <w:rFonts w:asciiTheme="minorHAnsi" w:hAnsiTheme="minorHAnsi" w:cs="Arial"/>
                <w:color w:val="3E454A"/>
              </w:rPr>
              <w:t>55/11,</w:t>
            </w:r>
            <w:r w:rsidRPr="007A055C">
              <w:rPr>
                <w:rStyle w:val="apple-converted-space"/>
                <w:rFonts w:asciiTheme="minorHAnsi" w:hAnsiTheme="minorHAnsi" w:cs="Arial"/>
                <w:color w:val="3E454A"/>
              </w:rPr>
              <w:t> </w:t>
            </w:r>
            <w:r w:rsidRPr="007A055C">
              <w:rPr>
                <w:rFonts w:asciiTheme="minorHAnsi" w:hAnsiTheme="minorHAnsi" w:cs="Arial"/>
                <w:color w:val="3E454A"/>
              </w:rPr>
              <w:t>140/12,19/13,</w:t>
            </w:r>
            <w:r w:rsidRPr="007A055C">
              <w:rPr>
                <w:rStyle w:val="apple-converted-space"/>
                <w:rFonts w:asciiTheme="minorHAnsi" w:hAnsiTheme="minorHAnsi" w:cs="Arial"/>
                <w:color w:val="3E454A"/>
              </w:rPr>
              <w:t> </w:t>
            </w:r>
            <w:r w:rsidRPr="007A055C">
              <w:rPr>
                <w:rFonts w:asciiTheme="minorHAnsi" w:hAnsiTheme="minorHAnsi" w:cs="Arial"/>
                <w:color w:val="3E454A"/>
              </w:rPr>
              <w:t>33/13, 148/13)</w:t>
            </w:r>
          </w:p>
          <w:p w:rsidR="00B964F8" w:rsidRPr="007A055C" w:rsidRDefault="00B964F8" w:rsidP="00C86D78">
            <w:pPr>
              <w:numPr>
                <w:ilvl w:val="0"/>
                <w:numId w:val="100"/>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Hrvatskoj akademiji znanosti i umjetnosti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34/91,</w:t>
            </w:r>
            <w:r w:rsidRPr="007A055C">
              <w:rPr>
                <w:rStyle w:val="apple-converted-space"/>
                <w:rFonts w:asciiTheme="minorHAnsi" w:hAnsiTheme="minorHAnsi" w:cs="Arial"/>
                <w:color w:val="3E454A"/>
              </w:rPr>
              <w:t> </w:t>
            </w:r>
            <w:r w:rsidRPr="007A055C">
              <w:rPr>
                <w:rFonts w:asciiTheme="minorHAnsi" w:hAnsiTheme="minorHAnsi" w:cs="Arial"/>
                <w:color w:val="3E454A"/>
              </w:rPr>
              <w:t>43/96,150/02,</w:t>
            </w:r>
            <w:r w:rsidRPr="007A055C">
              <w:rPr>
                <w:rStyle w:val="apple-converted-space"/>
                <w:rFonts w:asciiTheme="minorHAnsi" w:hAnsiTheme="minorHAnsi" w:cs="Arial"/>
                <w:color w:val="3E454A"/>
              </w:rPr>
              <w:t> </w:t>
            </w:r>
            <w:r w:rsidRPr="007A055C">
              <w:rPr>
                <w:rFonts w:asciiTheme="minorHAnsi" w:hAnsiTheme="minorHAnsi" w:cs="Arial"/>
                <w:color w:val="3E454A"/>
              </w:rPr>
              <w:t>65/09)</w:t>
            </w:r>
          </w:p>
          <w:p w:rsidR="00B964F8" w:rsidRPr="007A055C" w:rsidRDefault="00B964F8" w:rsidP="00C86D78">
            <w:pPr>
              <w:numPr>
                <w:ilvl w:val="0"/>
                <w:numId w:val="100"/>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 Zakon o uvjetima za stjecanje prava na starosnu mirovinu radnika profesionalno izloženih azbestu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79/07, </w:t>
            </w:r>
            <w:r w:rsidRPr="007A055C">
              <w:rPr>
                <w:rStyle w:val="apple-converted-space"/>
                <w:rFonts w:asciiTheme="minorHAnsi" w:hAnsiTheme="minorHAnsi" w:cs="Arial"/>
                <w:color w:val="3E454A"/>
              </w:rPr>
              <w:t> </w:t>
            </w:r>
            <w:r w:rsidRPr="007A055C">
              <w:rPr>
                <w:rFonts w:asciiTheme="minorHAnsi" w:hAnsiTheme="minorHAnsi" w:cs="Arial"/>
                <w:color w:val="3E454A"/>
              </w:rPr>
              <w:t>149/09,</w:t>
            </w:r>
            <w:r w:rsidRPr="007A055C">
              <w:rPr>
                <w:rStyle w:val="apple-converted-space"/>
                <w:rFonts w:asciiTheme="minorHAnsi" w:hAnsiTheme="minorHAnsi" w:cs="Arial"/>
                <w:color w:val="3E454A"/>
              </w:rPr>
              <w:t> </w:t>
            </w:r>
            <w:r w:rsidRPr="007A055C">
              <w:rPr>
                <w:rFonts w:asciiTheme="minorHAnsi" w:hAnsiTheme="minorHAnsi" w:cs="Arial"/>
                <w:color w:val="3E454A"/>
              </w:rPr>
              <w:t>139/10)</w:t>
            </w:r>
          </w:p>
          <w:p w:rsidR="00B964F8" w:rsidRPr="007A055C" w:rsidRDefault="00B964F8" w:rsidP="00A721DD">
            <w:pPr>
              <w:numPr>
                <w:ilvl w:val="0"/>
                <w:numId w:val="100"/>
              </w:numPr>
              <w:shd w:val="clear" w:color="auto" w:fill="FFFFFF"/>
              <w:spacing w:before="100" w:beforeAutospacing="1" w:line="270" w:lineRule="atLeast"/>
              <w:ind w:left="714" w:hanging="357"/>
              <w:rPr>
                <w:rFonts w:asciiTheme="minorHAnsi" w:hAnsiTheme="minorHAnsi" w:cs="Arial"/>
                <w:color w:val="3E454A"/>
              </w:rPr>
            </w:pPr>
            <w:r w:rsidRPr="007A055C">
              <w:rPr>
                <w:rFonts w:asciiTheme="minorHAnsi" w:hAnsiTheme="minorHAnsi" w:cs="Arial"/>
                <w:color w:val="3E454A"/>
              </w:rPr>
              <w:t>Zakon o doživotnoj otpremnini odnosno dokupu mirovine ('Narodne novine', broj153/13)</w:t>
            </w:r>
          </w:p>
          <w:p w:rsidR="007E0FCD" w:rsidRPr="007A055C" w:rsidRDefault="007E0FCD" w:rsidP="00A721DD">
            <w:pPr>
              <w:pStyle w:val="StandardWeb"/>
              <w:shd w:val="clear" w:color="auto" w:fill="FFFFFF"/>
              <w:spacing w:before="120" w:beforeAutospacing="0" w:after="0" w:afterAutospacing="0" w:line="270" w:lineRule="atLeast"/>
              <w:rPr>
                <w:rStyle w:val="Naglaeno"/>
                <w:rFonts w:asciiTheme="minorHAnsi" w:hAnsiTheme="minorHAnsi" w:cs="Arial"/>
                <w:color w:val="3E454A"/>
                <w:sz w:val="20"/>
                <w:szCs w:val="20"/>
              </w:rPr>
            </w:pPr>
            <w:r w:rsidRPr="007A055C">
              <w:rPr>
                <w:rStyle w:val="Naglaeno"/>
                <w:rFonts w:asciiTheme="minorHAnsi" w:hAnsiTheme="minorHAnsi" w:cs="Arial"/>
                <w:color w:val="3E454A"/>
                <w:sz w:val="20"/>
                <w:szCs w:val="20"/>
              </w:rPr>
              <w:t>Međunarodni ugovori</w:t>
            </w:r>
          </w:p>
          <w:p w:rsidR="007E0FCD" w:rsidRPr="007A055C" w:rsidRDefault="007E0FCD" w:rsidP="00C86D78">
            <w:pPr>
              <w:pStyle w:val="StandardWeb"/>
              <w:numPr>
                <w:ilvl w:val="0"/>
                <w:numId w:val="90"/>
              </w:numPr>
              <w:shd w:val="clear" w:color="auto" w:fill="FFFFFF"/>
              <w:spacing w:before="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b w:val="0"/>
                <w:color w:val="3E454A"/>
                <w:sz w:val="20"/>
                <w:szCs w:val="20"/>
              </w:rPr>
              <w:t>Vidjeti opširnije na: http://www.mirovinsko.hr/default.aspx?ID=1382#opcezakonodavstvo</w:t>
            </w:r>
            <w:r w:rsidRPr="007A055C">
              <w:rPr>
                <w:rFonts w:asciiTheme="minorHAnsi" w:hAnsiTheme="minorHAnsi" w:cs="Arial"/>
                <w:b/>
                <w:color w:val="3E454A"/>
                <w:sz w:val="20"/>
                <w:szCs w:val="20"/>
              </w:rPr>
              <w:t> </w:t>
            </w:r>
          </w:p>
          <w:p w:rsidR="007E0FCD" w:rsidRPr="007A055C" w:rsidRDefault="007E0FCD" w:rsidP="00965648">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bookmarkStart w:id="1" w:name="medicinskovjestacenje"/>
            <w:bookmarkEnd w:id="1"/>
            <w:r w:rsidRPr="007A055C">
              <w:rPr>
                <w:rStyle w:val="Naglaeno"/>
                <w:rFonts w:asciiTheme="minorHAnsi" w:hAnsiTheme="minorHAnsi" w:cs="Arial"/>
                <w:color w:val="3E454A"/>
                <w:sz w:val="20"/>
                <w:szCs w:val="20"/>
              </w:rPr>
              <w:t>Medicinsko vještačenje</w:t>
            </w:r>
          </w:p>
          <w:p w:rsidR="0065102E" w:rsidRPr="007A055C" w:rsidRDefault="0065102E" w:rsidP="00C86D78">
            <w:pPr>
              <w:pStyle w:val="StandardWeb"/>
              <w:numPr>
                <w:ilvl w:val="0"/>
                <w:numId w:val="90"/>
              </w:numPr>
              <w:shd w:val="clear" w:color="auto" w:fill="FFFFFF"/>
              <w:spacing w:before="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b w:val="0"/>
                <w:color w:val="3E454A"/>
                <w:sz w:val="20"/>
                <w:szCs w:val="20"/>
              </w:rPr>
              <w:t>Vidjeti opširnije na: http://www.mirovinsko.hr/default.aspx?ID=1382#opcezakonodavstvo</w:t>
            </w:r>
            <w:r w:rsidRPr="007A055C">
              <w:rPr>
                <w:rFonts w:asciiTheme="minorHAnsi" w:hAnsiTheme="minorHAnsi" w:cs="Arial"/>
                <w:b/>
                <w:color w:val="3E454A"/>
                <w:sz w:val="20"/>
                <w:szCs w:val="20"/>
              </w:rPr>
              <w:t> </w:t>
            </w:r>
          </w:p>
          <w:p w:rsidR="007E0FCD" w:rsidRPr="007A055C" w:rsidRDefault="007E0FCD" w:rsidP="00965648">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bookmarkStart w:id="2" w:name="konvalidacija"/>
            <w:bookmarkEnd w:id="2"/>
            <w:r w:rsidRPr="007A055C">
              <w:rPr>
                <w:rStyle w:val="Naglaeno"/>
                <w:rFonts w:asciiTheme="minorHAnsi" w:hAnsiTheme="minorHAnsi" w:cs="Arial"/>
                <w:color w:val="3E454A"/>
                <w:sz w:val="20"/>
                <w:szCs w:val="20"/>
              </w:rPr>
              <w:t>Konvalidacija</w:t>
            </w:r>
          </w:p>
          <w:p w:rsidR="00965648" w:rsidRPr="007A055C" w:rsidRDefault="007E0FCD" w:rsidP="00C86D78">
            <w:pPr>
              <w:pStyle w:val="StandardWeb"/>
              <w:numPr>
                <w:ilvl w:val="0"/>
                <w:numId w:val="90"/>
              </w:numPr>
              <w:shd w:val="clear" w:color="auto" w:fill="FFFFFF"/>
              <w:spacing w:before="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b w:val="0"/>
                <w:color w:val="3E454A"/>
                <w:sz w:val="20"/>
                <w:szCs w:val="20"/>
              </w:rPr>
              <w:t>Vidjeti opširnije na: http://www.mirovinsko.hr/default.aspx?ID=1382#opcezakonodavstvo</w:t>
            </w:r>
            <w:r w:rsidRPr="007A055C">
              <w:rPr>
                <w:rFonts w:asciiTheme="minorHAnsi" w:hAnsiTheme="minorHAnsi" w:cs="Arial"/>
                <w:b/>
                <w:color w:val="3E454A"/>
                <w:sz w:val="20"/>
                <w:szCs w:val="20"/>
              </w:rPr>
              <w:t> </w:t>
            </w:r>
            <w:bookmarkStart w:id="3" w:name="reformamirovinskogsustavaiistup"/>
            <w:bookmarkEnd w:id="3"/>
          </w:p>
          <w:p w:rsidR="007E0FCD" w:rsidRPr="007A055C" w:rsidRDefault="007E0FCD" w:rsidP="00A721DD">
            <w:pPr>
              <w:pStyle w:val="StandardWeb"/>
              <w:shd w:val="clear" w:color="auto" w:fill="FFFFFF"/>
              <w:spacing w:before="12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color w:val="3E454A"/>
                <w:sz w:val="20"/>
                <w:szCs w:val="20"/>
              </w:rPr>
              <w:t>Reforma mirovinskog sustava - II. stup</w:t>
            </w:r>
          </w:p>
          <w:p w:rsidR="007E0FCD" w:rsidRPr="007A055C" w:rsidRDefault="007E0FCD" w:rsidP="00C86D78">
            <w:pPr>
              <w:numPr>
                <w:ilvl w:val="0"/>
                <w:numId w:val="101"/>
              </w:numPr>
              <w:shd w:val="clear" w:color="auto" w:fill="FFFFFF"/>
              <w:spacing w:line="270" w:lineRule="atLeast"/>
              <w:rPr>
                <w:rFonts w:asciiTheme="minorHAnsi" w:hAnsiTheme="minorHAnsi" w:cs="Arial"/>
                <w:color w:val="3E454A"/>
              </w:rPr>
            </w:pPr>
            <w:r w:rsidRPr="007A055C">
              <w:rPr>
                <w:rFonts w:asciiTheme="minorHAnsi" w:hAnsiTheme="minorHAnsi" w:cs="Arial"/>
                <w:color w:val="3E454A"/>
              </w:rPr>
              <w:t>Zakon o obveznim mirovinskim fondovima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19/14 i</w:t>
            </w:r>
            <w:r w:rsidRPr="007A055C">
              <w:rPr>
                <w:rStyle w:val="apple-converted-space"/>
                <w:rFonts w:asciiTheme="minorHAnsi" w:hAnsiTheme="minorHAnsi" w:cs="Arial"/>
                <w:color w:val="3E454A"/>
              </w:rPr>
              <w:t> </w:t>
            </w:r>
            <w:r w:rsidRPr="007A055C">
              <w:rPr>
                <w:rFonts w:asciiTheme="minorHAnsi" w:hAnsiTheme="minorHAnsi" w:cs="Arial"/>
                <w:color w:val="3E454A"/>
              </w:rPr>
              <w:t>93/15)</w:t>
            </w:r>
          </w:p>
          <w:p w:rsidR="007E0FCD" w:rsidRPr="007A055C" w:rsidRDefault="007E0FCD" w:rsidP="00C86D78">
            <w:pPr>
              <w:numPr>
                <w:ilvl w:val="0"/>
                <w:numId w:val="101"/>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dobrovoljnim mirovinskim fondovima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19/14)</w:t>
            </w:r>
          </w:p>
          <w:p w:rsidR="007E0FCD" w:rsidRPr="007A055C" w:rsidRDefault="007E0FCD" w:rsidP="00C86D78">
            <w:pPr>
              <w:numPr>
                <w:ilvl w:val="0"/>
                <w:numId w:val="101"/>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mirovinskim osiguravajućim društvima ('Narodne novine', br.</w:t>
            </w:r>
            <w:r w:rsidRPr="007A055C">
              <w:rPr>
                <w:rStyle w:val="apple-converted-space"/>
                <w:rFonts w:asciiTheme="minorHAnsi" w:hAnsiTheme="minorHAnsi" w:cs="Arial"/>
                <w:color w:val="3E454A"/>
              </w:rPr>
              <w:t> </w:t>
            </w:r>
            <w:r w:rsidRPr="007A055C">
              <w:rPr>
                <w:rFonts w:asciiTheme="minorHAnsi" w:hAnsiTheme="minorHAnsi" w:cs="Arial"/>
                <w:color w:val="3E454A"/>
              </w:rPr>
              <w:t>22/14)</w:t>
            </w:r>
          </w:p>
          <w:p w:rsidR="007E0FCD" w:rsidRPr="007A055C" w:rsidRDefault="007E0FCD" w:rsidP="00C86D78">
            <w:pPr>
              <w:numPr>
                <w:ilvl w:val="0"/>
                <w:numId w:val="101"/>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Zakon o prikupljanju, obradi, povezivanju, korištenju i razmjeni podataka o primicima i javnim davanjima po osiguranicima (“Narodne novine”, broj 157/13 i</w:t>
            </w:r>
            <w:r w:rsidRPr="007A055C">
              <w:rPr>
                <w:rStyle w:val="apple-converted-space"/>
                <w:rFonts w:asciiTheme="minorHAnsi" w:hAnsiTheme="minorHAnsi" w:cs="Arial"/>
                <w:color w:val="3E454A"/>
              </w:rPr>
              <w:t> </w:t>
            </w:r>
            <w:r w:rsidRPr="007A055C">
              <w:rPr>
                <w:rFonts w:asciiTheme="minorHAnsi" w:hAnsiTheme="minorHAnsi" w:cs="Arial"/>
                <w:color w:val="3E454A"/>
              </w:rPr>
              <w:t>154/14)</w:t>
            </w:r>
          </w:p>
          <w:p w:rsidR="007E0FCD" w:rsidRPr="007A055C" w:rsidRDefault="007E0FCD" w:rsidP="00C86D78">
            <w:pPr>
              <w:numPr>
                <w:ilvl w:val="0"/>
                <w:numId w:val="101"/>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doprinosima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2/09,</w:t>
            </w:r>
            <w:r w:rsidRPr="007A055C">
              <w:rPr>
                <w:rStyle w:val="apple-converted-space"/>
                <w:rFonts w:asciiTheme="minorHAnsi" w:hAnsiTheme="minorHAnsi" w:cs="Arial"/>
                <w:color w:val="3E454A"/>
              </w:rPr>
              <w:t> </w:t>
            </w:r>
            <w:r w:rsidRPr="007A055C">
              <w:rPr>
                <w:rFonts w:asciiTheme="minorHAnsi" w:hAnsiTheme="minorHAnsi" w:cs="Arial"/>
                <w:color w:val="3E454A"/>
              </w:rPr>
              <w:t>9/09</w:t>
            </w:r>
            <w:r w:rsidRPr="007A055C">
              <w:rPr>
                <w:rStyle w:val="apple-converted-space"/>
                <w:rFonts w:asciiTheme="minorHAnsi" w:hAnsiTheme="minorHAnsi" w:cs="Arial"/>
                <w:color w:val="2F6DAE"/>
              </w:rPr>
              <w:t> </w:t>
            </w:r>
            <w:r w:rsidRPr="007A055C">
              <w:rPr>
                <w:rFonts w:asciiTheme="minorHAnsi" w:hAnsiTheme="minorHAnsi" w:cs="Arial"/>
                <w:color w:val="3E454A"/>
              </w:rPr>
              <w:t>- ispravak,</w:t>
            </w:r>
            <w:r w:rsidRPr="007A055C">
              <w:rPr>
                <w:rStyle w:val="apple-converted-space"/>
                <w:rFonts w:asciiTheme="minorHAnsi" w:hAnsiTheme="minorHAnsi" w:cs="Arial"/>
                <w:color w:val="3E454A"/>
              </w:rPr>
              <w:t> </w:t>
            </w:r>
            <w:r w:rsidRPr="007A055C">
              <w:rPr>
                <w:rFonts w:asciiTheme="minorHAnsi" w:hAnsiTheme="minorHAnsi" w:cs="Arial"/>
                <w:color w:val="3E454A"/>
              </w:rPr>
              <w:t>97/09</w:t>
            </w:r>
            <w:r w:rsidRPr="007A055C">
              <w:rPr>
                <w:rStyle w:val="apple-converted-space"/>
                <w:rFonts w:asciiTheme="minorHAnsi" w:hAnsiTheme="minorHAnsi" w:cs="Arial"/>
                <w:color w:val="2F6DAE"/>
              </w:rPr>
              <w:t> </w:t>
            </w:r>
            <w:r w:rsidRPr="007A055C">
              <w:rPr>
                <w:rFonts w:asciiTheme="minorHAnsi" w:hAnsiTheme="minorHAnsi" w:cs="Arial"/>
                <w:color w:val="3E454A"/>
              </w:rPr>
              <w:t>,</w:t>
            </w:r>
            <w:r w:rsidRPr="007A055C">
              <w:rPr>
                <w:rStyle w:val="apple-converted-space"/>
                <w:rFonts w:asciiTheme="minorHAnsi" w:hAnsiTheme="minorHAnsi" w:cs="Arial"/>
                <w:color w:val="3E454A"/>
              </w:rPr>
              <w:t> </w:t>
            </w:r>
            <w:r w:rsidRPr="007A055C">
              <w:rPr>
                <w:rFonts w:asciiTheme="minorHAnsi" w:hAnsiTheme="minorHAnsi" w:cs="Arial"/>
                <w:color w:val="3E454A"/>
              </w:rPr>
              <w:t>86/2013</w:t>
            </w:r>
            <w:r w:rsidRPr="007A055C">
              <w:rPr>
                <w:rStyle w:val="apple-converted-space"/>
                <w:rFonts w:asciiTheme="minorHAnsi" w:hAnsiTheme="minorHAnsi" w:cs="Arial"/>
                <w:color w:val="2F6DAE"/>
              </w:rPr>
              <w:t> </w:t>
            </w:r>
            <w:r w:rsidRPr="007A055C">
              <w:rPr>
                <w:rFonts w:asciiTheme="minorHAnsi" w:hAnsiTheme="minorHAnsi" w:cs="Arial"/>
                <w:color w:val="3E454A"/>
              </w:rPr>
              <w:t>i157/2014) </w:t>
            </w:r>
          </w:p>
          <w:p w:rsidR="007E0FCD" w:rsidRPr="007A055C" w:rsidRDefault="007E0FCD" w:rsidP="00C86D78">
            <w:pPr>
              <w:numPr>
                <w:ilvl w:val="0"/>
                <w:numId w:val="101"/>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načinu plaćanja doprinosa za obvezno mirovinsko osiguranje na temelju individualne kapitalizirane štednje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1/05, ispravak</w:t>
            </w:r>
            <w:r w:rsidRPr="007A055C">
              <w:rPr>
                <w:rStyle w:val="apple-converted-space"/>
                <w:rFonts w:asciiTheme="minorHAnsi" w:hAnsiTheme="minorHAnsi" w:cs="Arial"/>
                <w:color w:val="3E454A"/>
              </w:rPr>
              <w:t> </w:t>
            </w:r>
            <w:r w:rsidRPr="007A055C">
              <w:rPr>
                <w:rFonts w:asciiTheme="minorHAnsi" w:hAnsiTheme="minorHAnsi" w:cs="Arial"/>
                <w:color w:val="3E454A"/>
              </w:rPr>
              <w:t>29/05</w:t>
            </w:r>
            <w:r w:rsidRPr="007A055C">
              <w:rPr>
                <w:rStyle w:val="apple-converted-space"/>
                <w:rFonts w:asciiTheme="minorHAnsi" w:hAnsiTheme="minorHAnsi" w:cs="Arial"/>
                <w:color w:val="3E454A"/>
              </w:rPr>
              <w:t> </w:t>
            </w:r>
            <w:r w:rsidRPr="007A055C">
              <w:rPr>
                <w:rFonts w:asciiTheme="minorHAnsi" w:hAnsiTheme="minorHAnsi" w:cs="Arial"/>
                <w:color w:val="3E454A"/>
              </w:rPr>
              <w:t>)</w:t>
            </w:r>
          </w:p>
          <w:p w:rsidR="007E0FCD" w:rsidRPr="007A055C" w:rsidRDefault="007E0FCD" w:rsidP="00C86D78">
            <w:pPr>
              <w:numPr>
                <w:ilvl w:val="0"/>
                <w:numId w:val="101"/>
              </w:numPr>
              <w:shd w:val="clear" w:color="auto" w:fill="FFFFFF"/>
              <w:spacing w:before="100" w:beforeAutospacing="1" w:after="100" w:afterAutospacing="1" w:line="270" w:lineRule="atLeast"/>
              <w:rPr>
                <w:rFonts w:asciiTheme="minorHAnsi" w:hAnsiTheme="minorHAnsi" w:cs="Arial"/>
                <w:color w:val="3E454A"/>
              </w:rPr>
            </w:pPr>
            <w:r w:rsidRPr="007A055C">
              <w:rPr>
                <w:rFonts w:asciiTheme="minorHAnsi" w:hAnsiTheme="minorHAnsi" w:cs="Arial"/>
                <w:color w:val="3E454A"/>
              </w:rPr>
              <w:t>Pravilnik o obrascu R-Sm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38/05,</w:t>
            </w:r>
            <w:r w:rsidRPr="007A055C">
              <w:rPr>
                <w:rStyle w:val="apple-converted-space"/>
                <w:rFonts w:asciiTheme="minorHAnsi" w:hAnsiTheme="minorHAnsi" w:cs="Arial"/>
                <w:color w:val="3E454A"/>
              </w:rPr>
              <w:t> </w:t>
            </w:r>
            <w:r w:rsidRPr="007A055C">
              <w:rPr>
                <w:rFonts w:asciiTheme="minorHAnsi" w:hAnsiTheme="minorHAnsi" w:cs="Arial"/>
                <w:color w:val="3E454A"/>
              </w:rPr>
              <w:t>42/05</w:t>
            </w:r>
            <w:r w:rsidRPr="007A055C">
              <w:rPr>
                <w:rStyle w:val="apple-converted-space"/>
                <w:rFonts w:asciiTheme="minorHAnsi" w:hAnsiTheme="minorHAnsi" w:cs="Arial"/>
                <w:color w:val="3E454A"/>
              </w:rPr>
              <w:t> </w:t>
            </w:r>
            <w:r w:rsidRPr="007A055C">
              <w:rPr>
                <w:rFonts w:asciiTheme="minorHAnsi" w:hAnsiTheme="minorHAnsi" w:cs="Arial"/>
                <w:color w:val="3E454A"/>
              </w:rPr>
              <w:t>- ispravak, </w:t>
            </w:r>
            <w:r w:rsidRPr="007A055C">
              <w:rPr>
                <w:rStyle w:val="apple-converted-space"/>
                <w:rFonts w:asciiTheme="minorHAnsi" w:hAnsiTheme="minorHAnsi" w:cs="Arial"/>
                <w:color w:val="3E454A"/>
              </w:rPr>
              <w:t> </w:t>
            </w:r>
            <w:r w:rsidRPr="007A055C">
              <w:rPr>
                <w:rFonts w:asciiTheme="minorHAnsi" w:hAnsiTheme="minorHAnsi" w:cs="Arial"/>
                <w:color w:val="3E454A"/>
              </w:rPr>
              <w:t>64/05</w:t>
            </w:r>
            <w:r w:rsidRPr="007A055C">
              <w:rPr>
                <w:rStyle w:val="apple-converted-space"/>
                <w:rFonts w:asciiTheme="minorHAnsi" w:hAnsiTheme="minorHAnsi" w:cs="Arial"/>
                <w:color w:val="3E454A"/>
              </w:rPr>
              <w:t> </w:t>
            </w:r>
            <w:r w:rsidRPr="007A055C">
              <w:rPr>
                <w:rFonts w:asciiTheme="minorHAnsi" w:hAnsiTheme="minorHAnsi" w:cs="Arial"/>
                <w:color w:val="3E454A"/>
              </w:rPr>
              <w:t>- ispravak i</w:t>
            </w:r>
            <w:r w:rsidRPr="007A055C">
              <w:rPr>
                <w:rStyle w:val="apple-converted-space"/>
                <w:rFonts w:asciiTheme="minorHAnsi" w:hAnsiTheme="minorHAnsi" w:cs="Arial"/>
                <w:color w:val="3E454A"/>
              </w:rPr>
              <w:t> </w:t>
            </w:r>
            <w:r w:rsidRPr="007A055C">
              <w:rPr>
                <w:rFonts w:asciiTheme="minorHAnsi" w:hAnsiTheme="minorHAnsi" w:cs="Arial"/>
                <w:color w:val="3E454A"/>
              </w:rPr>
              <w:t>73/05</w:t>
            </w:r>
            <w:r w:rsidRPr="007A055C">
              <w:rPr>
                <w:rStyle w:val="apple-converted-space"/>
                <w:rFonts w:asciiTheme="minorHAnsi" w:hAnsiTheme="minorHAnsi" w:cs="Arial"/>
                <w:color w:val="3E454A"/>
              </w:rPr>
              <w:t> </w:t>
            </w:r>
            <w:r w:rsidRPr="007A055C">
              <w:rPr>
                <w:rFonts w:asciiTheme="minorHAnsi" w:hAnsiTheme="minorHAnsi" w:cs="Arial"/>
                <w:color w:val="3E454A"/>
              </w:rPr>
              <w:t>- ispravak,</w:t>
            </w:r>
            <w:r w:rsidRPr="007A055C">
              <w:rPr>
                <w:rStyle w:val="apple-converted-space"/>
                <w:rFonts w:asciiTheme="minorHAnsi" w:hAnsiTheme="minorHAnsi" w:cs="Arial"/>
                <w:color w:val="3E454A"/>
              </w:rPr>
              <w:t> </w:t>
            </w:r>
            <w:r w:rsidRPr="007A055C">
              <w:rPr>
                <w:rFonts w:asciiTheme="minorHAnsi" w:hAnsiTheme="minorHAnsi" w:cs="Arial"/>
                <w:color w:val="3E454A"/>
              </w:rPr>
              <w:t>116/06,</w:t>
            </w:r>
            <w:r w:rsidRPr="007A055C">
              <w:rPr>
                <w:rStyle w:val="apple-converted-space"/>
                <w:rFonts w:asciiTheme="minorHAnsi" w:hAnsiTheme="minorHAnsi" w:cs="Arial"/>
                <w:color w:val="3E454A"/>
              </w:rPr>
              <w:t> </w:t>
            </w:r>
            <w:r w:rsidRPr="007A055C">
              <w:rPr>
                <w:rFonts w:asciiTheme="minorHAnsi" w:hAnsiTheme="minorHAnsi" w:cs="Arial"/>
                <w:color w:val="3E454A"/>
              </w:rPr>
              <w:t>135/06,</w:t>
            </w:r>
            <w:r w:rsidRPr="007A055C">
              <w:rPr>
                <w:rStyle w:val="apple-converted-space"/>
                <w:rFonts w:asciiTheme="minorHAnsi" w:hAnsiTheme="minorHAnsi" w:cs="Arial"/>
                <w:color w:val="3E454A"/>
              </w:rPr>
              <w:t> </w:t>
            </w:r>
            <w:r w:rsidRPr="007A055C">
              <w:rPr>
                <w:rFonts w:asciiTheme="minorHAnsi" w:hAnsiTheme="minorHAnsi" w:cs="Arial"/>
                <w:color w:val="3E454A"/>
              </w:rPr>
              <w:t>126/07 i</w:t>
            </w:r>
            <w:r w:rsidRPr="007A055C">
              <w:rPr>
                <w:rStyle w:val="apple-converted-space"/>
                <w:rFonts w:asciiTheme="minorHAnsi" w:hAnsiTheme="minorHAnsi" w:cs="Arial"/>
                <w:color w:val="3E454A"/>
              </w:rPr>
              <w:t> </w:t>
            </w:r>
            <w:r w:rsidRPr="007A055C">
              <w:rPr>
                <w:rFonts w:asciiTheme="minorHAnsi" w:hAnsiTheme="minorHAnsi" w:cs="Arial"/>
                <w:color w:val="3E454A"/>
              </w:rPr>
              <w:t>135/09)</w:t>
            </w:r>
          </w:p>
          <w:p w:rsidR="007E0FCD" w:rsidRPr="007A055C" w:rsidRDefault="007E0FCD" w:rsidP="00C86D78">
            <w:pPr>
              <w:numPr>
                <w:ilvl w:val="0"/>
                <w:numId w:val="101"/>
              </w:numPr>
              <w:shd w:val="clear" w:color="auto" w:fill="FFFFFF"/>
              <w:spacing w:line="270" w:lineRule="atLeast"/>
              <w:ind w:left="714" w:hanging="357"/>
              <w:rPr>
                <w:rFonts w:asciiTheme="minorHAnsi" w:hAnsiTheme="minorHAnsi" w:cs="Arial"/>
                <w:color w:val="3E454A"/>
              </w:rPr>
            </w:pPr>
            <w:r w:rsidRPr="007A055C">
              <w:rPr>
                <w:rFonts w:asciiTheme="minorHAnsi" w:hAnsiTheme="minorHAnsi" w:cs="Arial"/>
                <w:color w:val="3E454A"/>
              </w:rPr>
              <w:t>Pravilnik o Registru Središnjeg registra osiguranika ('Narodne novine', broj</w:t>
            </w:r>
            <w:r w:rsidRPr="007A055C">
              <w:rPr>
                <w:rStyle w:val="apple-converted-space"/>
                <w:rFonts w:asciiTheme="minorHAnsi" w:hAnsiTheme="minorHAnsi" w:cs="Arial"/>
                <w:color w:val="3E454A"/>
              </w:rPr>
              <w:t> </w:t>
            </w:r>
            <w:r w:rsidRPr="007A055C">
              <w:rPr>
                <w:rFonts w:asciiTheme="minorHAnsi" w:hAnsiTheme="minorHAnsi" w:cs="Arial"/>
                <w:color w:val="3E454A"/>
              </w:rPr>
              <w:t>22/2014)</w:t>
            </w:r>
          </w:p>
          <w:p w:rsidR="007E0FCD" w:rsidRPr="007A055C" w:rsidRDefault="007E0FCD" w:rsidP="00965648">
            <w:pPr>
              <w:pStyle w:val="StandardWeb"/>
              <w:shd w:val="clear" w:color="auto" w:fill="FFFFFF"/>
              <w:spacing w:before="120" w:beforeAutospacing="0" w:after="0" w:afterAutospacing="0" w:line="270" w:lineRule="atLeast"/>
              <w:rPr>
                <w:rFonts w:asciiTheme="minorHAnsi" w:hAnsiTheme="minorHAnsi" w:cs="Arial"/>
                <w:color w:val="3E454A"/>
                <w:sz w:val="20"/>
                <w:szCs w:val="20"/>
              </w:rPr>
            </w:pPr>
            <w:r w:rsidRPr="007A055C">
              <w:rPr>
                <w:rStyle w:val="Naglaeno"/>
                <w:rFonts w:asciiTheme="minorHAnsi" w:hAnsiTheme="minorHAnsi" w:cs="Arial"/>
                <w:color w:val="3E454A"/>
                <w:sz w:val="20"/>
                <w:szCs w:val="20"/>
              </w:rPr>
              <w:t>Ostalo</w:t>
            </w:r>
          </w:p>
          <w:p w:rsidR="00B964F8" w:rsidRPr="007A055C" w:rsidRDefault="00680446" w:rsidP="00965648">
            <w:pPr>
              <w:pStyle w:val="StandardWeb"/>
              <w:shd w:val="clear" w:color="auto" w:fill="FFFFFF"/>
              <w:spacing w:before="0" w:beforeAutospacing="0" w:after="0" w:afterAutospacing="0" w:line="270" w:lineRule="atLeast"/>
              <w:rPr>
                <w:rFonts w:asciiTheme="minorHAnsi" w:hAnsiTheme="minorHAnsi" w:cs="Arial"/>
                <w:b/>
                <w:color w:val="3E454A"/>
                <w:sz w:val="20"/>
                <w:szCs w:val="20"/>
              </w:rPr>
            </w:pPr>
            <w:r w:rsidRPr="007A055C">
              <w:rPr>
                <w:rStyle w:val="Naglaeno"/>
                <w:rFonts w:asciiTheme="minorHAnsi" w:hAnsiTheme="minorHAnsi" w:cs="Arial"/>
                <w:b w:val="0"/>
                <w:color w:val="3E454A"/>
                <w:sz w:val="20"/>
                <w:szCs w:val="20"/>
              </w:rPr>
              <w:t xml:space="preserve">        </w:t>
            </w:r>
            <w:r w:rsidR="00965648" w:rsidRPr="007A055C">
              <w:rPr>
                <w:rStyle w:val="Naglaeno"/>
                <w:rFonts w:asciiTheme="minorHAnsi" w:hAnsiTheme="minorHAnsi" w:cs="Arial"/>
                <w:b w:val="0"/>
                <w:color w:val="3E454A"/>
                <w:sz w:val="20"/>
                <w:szCs w:val="20"/>
              </w:rPr>
              <w:t xml:space="preserve">- </w:t>
            </w:r>
            <w:r w:rsidR="007E0FCD" w:rsidRPr="007A055C">
              <w:rPr>
                <w:rStyle w:val="Naglaeno"/>
                <w:rFonts w:asciiTheme="minorHAnsi" w:hAnsiTheme="minorHAnsi" w:cs="Arial"/>
                <w:b w:val="0"/>
                <w:color w:val="3E454A"/>
                <w:sz w:val="20"/>
                <w:szCs w:val="20"/>
              </w:rPr>
              <w:t>Vidjeti opširnije na: http://www.mirovinsko.hr/default.aspx?ID=1382#opcezakonodavstvo</w:t>
            </w:r>
            <w:r w:rsidR="007E0FCD" w:rsidRPr="007A055C">
              <w:rPr>
                <w:rFonts w:asciiTheme="minorHAnsi" w:hAnsiTheme="minorHAnsi" w:cs="Arial"/>
                <w:b/>
                <w:color w:val="3E454A"/>
                <w:sz w:val="20"/>
                <w:szCs w:val="20"/>
              </w:rPr>
              <w:t> </w:t>
            </w:r>
          </w:p>
          <w:p w:rsidR="00B964F8" w:rsidRPr="00965648" w:rsidRDefault="007E0FCD" w:rsidP="000E2654">
            <w:pPr>
              <w:pStyle w:val="StandardWeb"/>
              <w:shd w:val="clear" w:color="auto" w:fill="FFFFFF"/>
              <w:spacing w:before="0" w:beforeAutospacing="0" w:after="150" w:afterAutospacing="0" w:line="270" w:lineRule="atLeast"/>
              <w:rPr>
                <w:b/>
                <w:sz w:val="20"/>
                <w:szCs w:val="20"/>
              </w:rPr>
            </w:pPr>
            <w:r w:rsidRPr="007A055C">
              <w:rPr>
                <w:rFonts w:asciiTheme="minorHAnsi" w:hAnsiTheme="minorHAnsi" w:cs="Arial"/>
                <w:color w:val="3E454A"/>
                <w:sz w:val="20"/>
                <w:szCs w:val="20"/>
              </w:rPr>
              <w:t xml:space="preserve"> </w:t>
            </w:r>
            <w:r w:rsidR="000E2654" w:rsidRPr="007A055C">
              <w:rPr>
                <w:rFonts w:asciiTheme="minorHAnsi" w:hAnsiTheme="minorHAnsi" w:cs="Arial"/>
                <w:color w:val="3E454A"/>
                <w:sz w:val="20"/>
                <w:szCs w:val="20"/>
              </w:rPr>
              <w:t>Izvor: HZMO</w:t>
            </w:r>
            <w:r w:rsidR="000E2654" w:rsidRPr="007A055C">
              <w:rPr>
                <w:rFonts w:asciiTheme="minorHAnsi" w:hAnsiTheme="minorHAnsi" w:cs="Arial"/>
                <w:b/>
                <w:color w:val="3E454A"/>
                <w:sz w:val="20"/>
                <w:szCs w:val="20"/>
              </w:rPr>
              <w:t>, p</w:t>
            </w:r>
            <w:r w:rsidRPr="007A055C">
              <w:rPr>
                <w:rFonts w:asciiTheme="minorHAnsi" w:hAnsiTheme="minorHAnsi" w:cs="Arial"/>
                <w:color w:val="3E454A"/>
                <w:sz w:val="20"/>
                <w:szCs w:val="20"/>
              </w:rPr>
              <w:t>reuzeto sa:</w:t>
            </w:r>
            <w:r w:rsidRPr="007A055C">
              <w:rPr>
                <w:rFonts w:asciiTheme="minorHAnsi" w:hAnsiTheme="minorHAnsi" w:cs="Arial"/>
                <w:b/>
                <w:color w:val="3E454A"/>
                <w:sz w:val="20"/>
                <w:szCs w:val="20"/>
              </w:rPr>
              <w:t xml:space="preserve"> </w:t>
            </w:r>
            <w:r w:rsidRPr="007A055C">
              <w:rPr>
                <w:rStyle w:val="Naglaeno"/>
                <w:rFonts w:asciiTheme="minorHAnsi" w:hAnsiTheme="minorHAnsi" w:cs="Arial"/>
                <w:b w:val="0"/>
                <w:color w:val="3E454A"/>
                <w:sz w:val="20"/>
                <w:szCs w:val="20"/>
              </w:rPr>
              <w:t>http://www.mirovinsko.hr/default.aspx?ID=1382#opcezakonodavstvo</w:t>
            </w:r>
            <w:r w:rsidRPr="00965648">
              <w:rPr>
                <w:rFonts w:ascii="Arial" w:hAnsi="Arial" w:cs="Arial"/>
                <w:b/>
                <w:color w:val="3E454A"/>
                <w:sz w:val="20"/>
                <w:szCs w:val="20"/>
              </w:rPr>
              <w:t> </w:t>
            </w:r>
          </w:p>
        </w:tc>
      </w:tr>
    </w:tbl>
    <w:p w:rsidR="00C35DDE" w:rsidRPr="00D84398" w:rsidRDefault="00D84398" w:rsidP="00D84398">
      <w:pPr>
        <w:pStyle w:val="StandardWeb"/>
        <w:shd w:val="clear" w:color="auto" w:fill="FFFFFF"/>
        <w:spacing w:before="0" w:beforeAutospacing="0" w:after="0" w:afterAutospacing="0" w:line="276" w:lineRule="auto"/>
        <w:jc w:val="both"/>
        <w:rPr>
          <w:rFonts w:asciiTheme="minorHAnsi" w:hAnsiTheme="minorHAnsi"/>
          <w:bCs/>
          <w:color w:val="C00000"/>
        </w:rPr>
      </w:pPr>
      <w:r w:rsidRPr="00D84398">
        <w:rPr>
          <w:rFonts w:asciiTheme="minorHAnsi" w:eastAsiaTheme="minorHAnsi" w:hAnsiTheme="minorHAnsi" w:cstheme="minorBidi"/>
          <w:bCs/>
          <w:lang w:eastAsia="en-US"/>
        </w:rPr>
        <w:lastRenderedPageBreak/>
        <w:t xml:space="preserve">U skladu sa </w:t>
      </w:r>
      <w:r w:rsidR="00680446" w:rsidRPr="00A721DD">
        <w:rPr>
          <w:rFonts w:asciiTheme="minorHAnsi" w:eastAsiaTheme="minorHAnsi" w:hAnsiTheme="minorHAnsi" w:cstheme="minorBidi"/>
          <w:bCs/>
          <w:i/>
          <w:lang w:eastAsia="en-US"/>
        </w:rPr>
        <w:t>Zakon</w:t>
      </w:r>
      <w:r w:rsidRPr="00A721DD">
        <w:rPr>
          <w:rFonts w:asciiTheme="minorHAnsi" w:eastAsiaTheme="minorHAnsi" w:hAnsiTheme="minorHAnsi" w:cstheme="minorBidi"/>
          <w:bCs/>
          <w:i/>
          <w:lang w:eastAsia="en-US"/>
        </w:rPr>
        <w:t>om o</w:t>
      </w:r>
      <w:r w:rsidR="00680446" w:rsidRPr="00A721DD">
        <w:rPr>
          <w:rFonts w:asciiTheme="minorHAnsi" w:eastAsiaTheme="minorHAnsi" w:hAnsiTheme="minorHAnsi" w:cstheme="minorBidi"/>
          <w:bCs/>
          <w:i/>
          <w:lang w:eastAsia="en-US"/>
        </w:rPr>
        <w:t xml:space="preserve"> mirovinskom osiguranju</w:t>
      </w:r>
      <w:r w:rsidR="00680446" w:rsidRPr="00D84398">
        <w:rPr>
          <w:rFonts w:asciiTheme="minorHAnsi" w:eastAsiaTheme="minorHAnsi" w:hAnsiTheme="minorHAnsi" w:cstheme="minorBidi"/>
          <w:bCs/>
          <w:lang w:eastAsia="en-US"/>
        </w:rPr>
        <w:t xml:space="preserve"> </w:t>
      </w:r>
      <w:r w:rsidRPr="00D84398">
        <w:rPr>
          <w:rFonts w:asciiTheme="minorHAnsi" w:eastAsiaTheme="minorHAnsi" w:hAnsiTheme="minorHAnsi" w:cstheme="minorBidi"/>
          <w:bCs/>
          <w:lang w:eastAsia="en-US"/>
        </w:rPr>
        <w:t xml:space="preserve">osiguranici (članovi obitelji) </w:t>
      </w:r>
      <w:r w:rsidR="00680446" w:rsidRPr="00D84398">
        <w:rPr>
          <w:rFonts w:asciiTheme="minorHAnsi" w:eastAsiaTheme="minorHAnsi" w:hAnsiTheme="minorHAnsi" w:cstheme="minorBidi"/>
          <w:bCs/>
          <w:lang w:eastAsia="en-US"/>
        </w:rPr>
        <w:t>mogu</w:t>
      </w:r>
      <w:r w:rsidRPr="00D84398">
        <w:rPr>
          <w:rFonts w:asciiTheme="minorHAnsi" w:eastAsiaTheme="minorHAnsi" w:hAnsiTheme="minorHAnsi" w:cstheme="minorBidi"/>
          <w:bCs/>
          <w:lang w:eastAsia="en-US"/>
        </w:rPr>
        <w:t xml:space="preserve"> po propisanim uvjetima</w:t>
      </w:r>
      <w:r w:rsidR="00680446" w:rsidRPr="00D84398">
        <w:rPr>
          <w:rFonts w:asciiTheme="minorHAnsi" w:eastAsiaTheme="minorHAnsi" w:hAnsiTheme="minorHAnsi" w:cstheme="minorBidi"/>
          <w:bCs/>
          <w:lang w:eastAsia="en-US"/>
        </w:rPr>
        <w:t xml:space="preserve"> ostvariti pravo na: mirovinu i naknadu zbog tjelesnog oštećenja.</w:t>
      </w:r>
      <w:r w:rsidR="00680446" w:rsidRPr="00D84398">
        <w:rPr>
          <w:rFonts w:asciiTheme="minorHAnsi" w:hAnsiTheme="minorHAnsi" w:cstheme="minorBidi"/>
          <w:bCs/>
        </w:rPr>
        <w:t xml:space="preserve"> </w:t>
      </w:r>
      <w:r w:rsidR="00680446" w:rsidRPr="00D84398">
        <w:rPr>
          <w:rFonts w:asciiTheme="minorHAnsi" w:hAnsiTheme="minorHAnsi" w:cstheme="minorBidi"/>
          <w:bCs/>
          <w:color w:val="C00000"/>
        </w:rPr>
        <w:t>Mirovina može biti:  </w:t>
      </w:r>
    </w:p>
    <w:p w:rsidR="00C35DDE" w:rsidRPr="00D84398" w:rsidRDefault="00680446" w:rsidP="00C86D78">
      <w:pPr>
        <w:pStyle w:val="Odlomakpopisa"/>
        <w:numPr>
          <w:ilvl w:val="0"/>
          <w:numId w:val="90"/>
        </w:numPr>
        <w:shd w:val="clear" w:color="auto" w:fill="FFFFFF"/>
        <w:spacing w:line="240" w:lineRule="auto"/>
        <w:ind w:left="816" w:hanging="357"/>
        <w:jc w:val="both"/>
        <w:rPr>
          <w:bCs/>
          <w:sz w:val="24"/>
          <w:szCs w:val="24"/>
        </w:rPr>
      </w:pPr>
      <w:r w:rsidRPr="00D84398">
        <w:rPr>
          <w:bCs/>
          <w:sz w:val="24"/>
          <w:szCs w:val="24"/>
        </w:rPr>
        <w:t xml:space="preserve">starosna, </w:t>
      </w:r>
    </w:p>
    <w:p w:rsidR="00C35DDE" w:rsidRPr="00D84398" w:rsidRDefault="00680446" w:rsidP="00C86D78">
      <w:pPr>
        <w:pStyle w:val="Odlomakpopisa"/>
        <w:numPr>
          <w:ilvl w:val="0"/>
          <w:numId w:val="90"/>
        </w:numPr>
        <w:shd w:val="clear" w:color="auto" w:fill="FFFFFF"/>
        <w:spacing w:line="240" w:lineRule="auto"/>
        <w:ind w:left="816" w:hanging="357"/>
        <w:jc w:val="both"/>
        <w:rPr>
          <w:bCs/>
          <w:sz w:val="24"/>
          <w:szCs w:val="24"/>
        </w:rPr>
      </w:pPr>
      <w:r w:rsidRPr="00D84398">
        <w:rPr>
          <w:bCs/>
          <w:sz w:val="24"/>
          <w:szCs w:val="24"/>
        </w:rPr>
        <w:t xml:space="preserve">prijevremena starosna mirovina, </w:t>
      </w:r>
    </w:p>
    <w:p w:rsidR="00C35DDE" w:rsidRPr="00D84398" w:rsidRDefault="00680446" w:rsidP="00C86D78">
      <w:pPr>
        <w:pStyle w:val="Odlomakpopisa"/>
        <w:numPr>
          <w:ilvl w:val="0"/>
          <w:numId w:val="90"/>
        </w:numPr>
        <w:shd w:val="clear" w:color="auto" w:fill="FFFFFF"/>
        <w:spacing w:line="240" w:lineRule="auto"/>
        <w:ind w:left="816" w:hanging="357"/>
        <w:jc w:val="both"/>
        <w:rPr>
          <w:bCs/>
          <w:sz w:val="24"/>
          <w:szCs w:val="24"/>
        </w:rPr>
      </w:pPr>
      <w:r w:rsidRPr="00D84398">
        <w:rPr>
          <w:bCs/>
          <w:sz w:val="24"/>
          <w:szCs w:val="24"/>
        </w:rPr>
        <w:t>invalidska m</w:t>
      </w:r>
      <w:r w:rsidRPr="000763DE">
        <w:rPr>
          <w:bCs/>
          <w:sz w:val="24"/>
          <w:szCs w:val="24"/>
        </w:rPr>
        <w:t>irovin</w:t>
      </w:r>
      <w:r w:rsidRPr="00D84398">
        <w:rPr>
          <w:bCs/>
          <w:sz w:val="24"/>
          <w:szCs w:val="24"/>
        </w:rPr>
        <w:t>a</w:t>
      </w:r>
      <w:r w:rsidR="00D84398" w:rsidRPr="00D84398">
        <w:rPr>
          <w:bCs/>
          <w:sz w:val="24"/>
          <w:szCs w:val="24"/>
        </w:rPr>
        <w:t xml:space="preserve"> (uz </w:t>
      </w:r>
      <w:r w:rsidR="00D84398" w:rsidRPr="00D84398">
        <w:rPr>
          <w:rFonts w:cs="Arial"/>
          <w:color w:val="3E454A"/>
          <w:sz w:val="24"/>
          <w:szCs w:val="24"/>
          <w:shd w:val="clear" w:color="auto" w:fill="FFFFFF"/>
        </w:rPr>
        <w:t>postojanje djelomičnog ili potpunog gubitka radne sposobnosti i uvjete staža)</w:t>
      </w:r>
      <w:r w:rsidRPr="00D84398">
        <w:rPr>
          <w:bCs/>
          <w:sz w:val="24"/>
          <w:szCs w:val="24"/>
        </w:rPr>
        <w:t xml:space="preserve">, </w:t>
      </w:r>
    </w:p>
    <w:p w:rsidR="00C35DDE" w:rsidRPr="00D84398" w:rsidRDefault="00680446" w:rsidP="00C86D78">
      <w:pPr>
        <w:pStyle w:val="Odlomakpopisa"/>
        <w:numPr>
          <w:ilvl w:val="0"/>
          <w:numId w:val="90"/>
        </w:numPr>
        <w:shd w:val="clear" w:color="auto" w:fill="FFFFFF"/>
        <w:spacing w:line="240" w:lineRule="auto"/>
        <w:ind w:left="816" w:hanging="357"/>
        <w:jc w:val="both"/>
        <w:rPr>
          <w:bCs/>
          <w:sz w:val="24"/>
          <w:szCs w:val="24"/>
        </w:rPr>
      </w:pPr>
      <w:r w:rsidRPr="00D84398">
        <w:rPr>
          <w:bCs/>
          <w:sz w:val="24"/>
          <w:szCs w:val="24"/>
        </w:rPr>
        <w:t xml:space="preserve">privremena invalidska mirovina </w:t>
      </w:r>
      <w:r w:rsidR="00D84398" w:rsidRPr="00D84398">
        <w:rPr>
          <w:bCs/>
          <w:sz w:val="24"/>
          <w:szCs w:val="24"/>
        </w:rPr>
        <w:t xml:space="preserve">(uz </w:t>
      </w:r>
      <w:r w:rsidR="00D84398" w:rsidRPr="00D84398">
        <w:rPr>
          <w:rFonts w:cs="Arial"/>
          <w:color w:val="3E454A"/>
          <w:sz w:val="24"/>
          <w:szCs w:val="24"/>
          <w:shd w:val="clear" w:color="auto" w:fill="FFFFFF"/>
        </w:rPr>
        <w:t>postojanje djelomičnog ili potpunog gubitka radne sposobnosti i uvjete staža)</w:t>
      </w:r>
      <w:r w:rsidR="00D84398">
        <w:rPr>
          <w:rFonts w:cs="Arial"/>
          <w:color w:val="3E454A"/>
          <w:sz w:val="24"/>
          <w:szCs w:val="24"/>
          <w:shd w:val="clear" w:color="auto" w:fill="FFFFFF"/>
        </w:rPr>
        <w:t>,</w:t>
      </w:r>
      <w:r w:rsidRPr="00D84398">
        <w:rPr>
          <w:bCs/>
          <w:sz w:val="24"/>
          <w:szCs w:val="24"/>
        </w:rPr>
        <w:t xml:space="preserve"> </w:t>
      </w:r>
    </w:p>
    <w:p w:rsidR="00680446" w:rsidRPr="00D84398" w:rsidRDefault="00D84398" w:rsidP="00C86D78">
      <w:pPr>
        <w:pStyle w:val="Odlomakpopisa"/>
        <w:numPr>
          <w:ilvl w:val="0"/>
          <w:numId w:val="90"/>
        </w:numPr>
        <w:shd w:val="clear" w:color="auto" w:fill="FFFFFF"/>
        <w:spacing w:line="240" w:lineRule="auto"/>
        <w:ind w:left="816" w:hanging="357"/>
        <w:jc w:val="both"/>
        <w:rPr>
          <w:bCs/>
          <w:sz w:val="24"/>
          <w:szCs w:val="24"/>
        </w:rPr>
      </w:pPr>
      <w:r w:rsidRPr="00D84398">
        <w:rPr>
          <w:bCs/>
          <w:sz w:val="24"/>
          <w:szCs w:val="24"/>
        </w:rPr>
        <w:t xml:space="preserve">ili </w:t>
      </w:r>
      <w:r w:rsidR="00680446" w:rsidRPr="00D84398">
        <w:rPr>
          <w:bCs/>
          <w:sz w:val="24"/>
          <w:szCs w:val="24"/>
        </w:rPr>
        <w:t>obiteljska mirovina</w:t>
      </w:r>
      <w:r>
        <w:rPr>
          <w:bCs/>
          <w:sz w:val="24"/>
          <w:szCs w:val="24"/>
        </w:rPr>
        <w:t xml:space="preserve"> (odnosi se na članove obitelji, uključujući: </w:t>
      </w:r>
      <w:r w:rsidR="002837E8">
        <w:rPr>
          <w:bCs/>
          <w:sz w:val="24"/>
          <w:szCs w:val="24"/>
        </w:rPr>
        <w:t xml:space="preserve">dijete mlađe od 15 godina, odnosno 18 godina ako nije zaposleno, odnosno do navršenih 26 godina života za dijete koje se redovno školuje, odnosno duže u slučaju djeteta s gubitkom radne sposobnosti; nadalje u slučaju </w:t>
      </w:r>
      <w:r>
        <w:rPr>
          <w:bCs/>
          <w:sz w:val="24"/>
          <w:szCs w:val="24"/>
        </w:rPr>
        <w:t>bračnog/ izvanbračnog druga, životnog partnera … starijeg od 50 godina života u trenutku smrti osiguranika ili mlađeg kod kojih je nastupio potpuni gubitak radne sposobnosti</w:t>
      </w:r>
      <w:r w:rsidR="002837E8">
        <w:rPr>
          <w:bCs/>
          <w:sz w:val="24"/>
          <w:szCs w:val="24"/>
        </w:rPr>
        <w:t>)</w:t>
      </w:r>
      <w:r w:rsidR="00680446" w:rsidRPr="00D84398">
        <w:rPr>
          <w:bCs/>
          <w:sz w:val="24"/>
          <w:szCs w:val="24"/>
        </w:rPr>
        <w:t>.</w:t>
      </w:r>
    </w:p>
    <w:p w:rsidR="003F109A" w:rsidRPr="000763DE" w:rsidRDefault="00680446" w:rsidP="00D744C7">
      <w:pPr>
        <w:shd w:val="clear" w:color="auto" w:fill="FFFFFF"/>
        <w:jc w:val="both"/>
        <w:rPr>
          <w:rFonts w:eastAsia="Times New Roman" w:cs="Arial"/>
          <w:i/>
          <w:sz w:val="24"/>
          <w:szCs w:val="24"/>
          <w:lang w:eastAsia="hr-HR"/>
        </w:rPr>
      </w:pPr>
      <w:r w:rsidRPr="000763DE">
        <w:rPr>
          <w:rFonts w:eastAsia="Times New Roman" w:cs="Arial"/>
          <w:sz w:val="24"/>
          <w:szCs w:val="24"/>
          <w:lang w:eastAsia="hr-HR"/>
        </w:rPr>
        <w:t xml:space="preserve">Prema regulativi koja je na snazi do 31.12.2030. pravo </w:t>
      </w:r>
      <w:r w:rsidRPr="00680446">
        <w:rPr>
          <w:rFonts w:eastAsia="Times New Roman" w:cs="Arial"/>
          <w:color w:val="3E454A"/>
          <w:sz w:val="24"/>
          <w:szCs w:val="24"/>
          <w:lang w:eastAsia="hr-HR"/>
        </w:rPr>
        <w:t>na</w:t>
      </w:r>
      <w:r w:rsidRPr="00D744C7">
        <w:rPr>
          <w:rFonts w:eastAsia="Times New Roman" w:cs="Arial"/>
          <w:color w:val="3E454A"/>
          <w:sz w:val="24"/>
          <w:szCs w:val="24"/>
          <w:lang w:eastAsia="hr-HR"/>
        </w:rPr>
        <w:t> </w:t>
      </w:r>
      <w:r w:rsidRPr="00D744C7">
        <w:rPr>
          <w:rFonts w:eastAsia="Times New Roman" w:cs="Arial"/>
          <w:bCs/>
          <w:color w:val="C00000"/>
          <w:sz w:val="24"/>
          <w:szCs w:val="24"/>
          <w:lang w:eastAsia="hr-HR"/>
        </w:rPr>
        <w:t>starosnu mirovinu</w:t>
      </w:r>
      <w:r w:rsidRPr="00D744C7">
        <w:rPr>
          <w:rFonts w:eastAsia="Times New Roman" w:cs="Arial"/>
          <w:b/>
          <w:bCs/>
          <w:color w:val="C00000"/>
          <w:sz w:val="24"/>
          <w:szCs w:val="24"/>
          <w:lang w:eastAsia="hr-HR"/>
        </w:rPr>
        <w:t> </w:t>
      </w:r>
      <w:r w:rsidRPr="000763DE">
        <w:rPr>
          <w:rFonts w:eastAsia="Times New Roman" w:cs="Arial"/>
          <w:sz w:val="24"/>
          <w:szCs w:val="24"/>
          <w:lang w:eastAsia="hr-HR"/>
        </w:rPr>
        <w:t>stječe osiguranik kada navrši </w:t>
      </w:r>
      <w:r w:rsidRPr="000763DE">
        <w:rPr>
          <w:rFonts w:eastAsia="Times New Roman" w:cs="Arial"/>
          <w:bCs/>
          <w:sz w:val="24"/>
          <w:szCs w:val="24"/>
          <w:lang w:eastAsia="hr-HR"/>
        </w:rPr>
        <w:t>65 godina života i 15 godina mirovinskog staža, pri čemu u</w:t>
      </w:r>
      <w:r w:rsidRPr="000763DE">
        <w:rPr>
          <w:rFonts w:eastAsia="Times New Roman" w:cs="Arial"/>
          <w:b/>
          <w:bCs/>
          <w:sz w:val="24"/>
          <w:szCs w:val="24"/>
          <w:lang w:eastAsia="hr-HR"/>
        </w:rPr>
        <w:t xml:space="preserve">  </w:t>
      </w:r>
      <w:r w:rsidRPr="000763DE">
        <w:rPr>
          <w:rFonts w:eastAsia="Times New Roman" w:cs="Arial"/>
          <w:sz w:val="24"/>
          <w:szCs w:val="24"/>
          <w:lang w:eastAsia="hr-HR"/>
        </w:rPr>
        <w:t xml:space="preserve">prijelaznom razdoblju od  2014. do 2029. godine </w:t>
      </w:r>
      <w:r w:rsidR="003F109A" w:rsidRPr="000763DE">
        <w:rPr>
          <w:rFonts w:eastAsia="Times New Roman" w:cs="Arial"/>
          <w:i/>
          <w:sz w:val="24"/>
          <w:szCs w:val="24"/>
          <w:lang w:eastAsia="hr-HR"/>
        </w:rPr>
        <w:t>„</w:t>
      </w:r>
      <w:r w:rsidRPr="000763DE">
        <w:rPr>
          <w:rFonts w:eastAsia="Times New Roman" w:cs="Arial"/>
          <w:i/>
          <w:sz w:val="24"/>
          <w:szCs w:val="24"/>
          <w:lang w:eastAsia="hr-HR"/>
        </w:rPr>
        <w:t>žene ostvaruju pravo na starosnu mirovinu prema povoljnijim uvjetima, s nižom starosnom dobi</w:t>
      </w:r>
      <w:r w:rsidR="003F109A" w:rsidRPr="000763DE">
        <w:rPr>
          <w:rFonts w:eastAsia="Times New Roman" w:cs="Arial"/>
          <w:i/>
          <w:sz w:val="24"/>
          <w:szCs w:val="24"/>
          <w:lang w:eastAsia="hr-HR"/>
        </w:rPr>
        <w:t>:</w:t>
      </w:r>
    </w:p>
    <w:tbl>
      <w:tblPr>
        <w:tblStyle w:val="Reetkatablice"/>
        <w:tblW w:w="0" w:type="auto"/>
        <w:tblInd w:w="108" w:type="dxa"/>
        <w:tblLook w:val="04A0" w:firstRow="1" w:lastRow="0" w:firstColumn="1" w:lastColumn="0" w:noHBand="0" w:noVBand="1"/>
      </w:tblPr>
      <w:tblGrid>
        <w:gridCol w:w="6426"/>
        <w:gridCol w:w="2646"/>
      </w:tblGrid>
      <w:tr w:rsidR="00D744C7" w:rsidTr="00D744C7">
        <w:tc>
          <w:tcPr>
            <w:tcW w:w="6426" w:type="dxa"/>
          </w:tcPr>
          <w:p w:rsidR="00D744C7" w:rsidRDefault="00D744C7" w:rsidP="003F109A">
            <w:pPr>
              <w:spacing w:before="100" w:beforeAutospacing="1" w:after="100" w:afterAutospacing="1" w:line="270" w:lineRule="atLeast"/>
              <w:rPr>
                <w:rFonts w:ascii="Arial" w:hAnsi="Arial" w:cs="Arial"/>
                <w:color w:val="3E454A"/>
                <w:sz w:val="18"/>
                <w:szCs w:val="18"/>
              </w:rPr>
            </w:pPr>
            <w:r>
              <w:rPr>
                <w:rFonts w:ascii="Arial" w:hAnsi="Arial" w:cs="Arial"/>
                <w:noProof/>
                <w:color w:val="3E454A"/>
                <w:sz w:val="18"/>
                <w:szCs w:val="18"/>
              </w:rPr>
              <w:drawing>
                <wp:inline distT="0" distB="0" distL="0" distR="0" wp14:anchorId="0F3ECA10" wp14:editId="76DA84E0">
                  <wp:extent cx="3943350" cy="2809875"/>
                  <wp:effectExtent l="0" t="0" r="0" b="9525"/>
                  <wp:docPr id="29701" name="Slika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943350" cy="2809875"/>
                          </a:xfrm>
                          <a:prstGeom prst="rect">
                            <a:avLst/>
                          </a:prstGeom>
                          <a:noFill/>
                          <a:ln>
                            <a:noFill/>
                          </a:ln>
                        </pic:spPr>
                      </pic:pic>
                    </a:graphicData>
                  </a:graphic>
                </wp:inline>
              </w:drawing>
            </w:r>
          </w:p>
        </w:tc>
        <w:tc>
          <w:tcPr>
            <w:tcW w:w="2646" w:type="dxa"/>
          </w:tcPr>
          <w:p w:rsidR="00D744C7" w:rsidRPr="00C35DDE" w:rsidRDefault="00D744C7" w:rsidP="00D84398">
            <w:pPr>
              <w:spacing w:before="100" w:beforeAutospacing="1" w:after="100" w:afterAutospacing="1" w:line="270" w:lineRule="atLeast"/>
              <w:rPr>
                <w:rFonts w:asciiTheme="minorHAnsi" w:hAnsiTheme="minorHAnsi" w:cs="Arial"/>
                <w:i/>
                <w:color w:val="3E454A"/>
                <w:sz w:val="24"/>
                <w:szCs w:val="24"/>
              </w:rPr>
            </w:pPr>
            <w:r w:rsidRPr="00680446">
              <w:rPr>
                <w:rFonts w:asciiTheme="minorHAnsi" w:hAnsiTheme="minorHAnsi" w:cs="Arial"/>
                <w:color w:val="3E454A"/>
                <w:sz w:val="24"/>
                <w:szCs w:val="24"/>
              </w:rPr>
              <w:t> </w:t>
            </w:r>
            <w:r w:rsidRPr="000763DE">
              <w:rPr>
                <w:rFonts w:asciiTheme="minorHAnsi" w:hAnsiTheme="minorHAnsi" w:cs="Arial"/>
                <w:i/>
                <w:sz w:val="24"/>
                <w:szCs w:val="24"/>
              </w:rPr>
              <w:t xml:space="preserve">U razdoblju od 1. siječnja 2031. do 31. prosinca 2037., i muškarcu i ženi,  uvjet starosne dobi za starosnu mirovinu povećava se za tri mjeseca svake godine, a </w:t>
            </w:r>
            <w:r w:rsidRPr="00680446">
              <w:rPr>
                <w:rFonts w:asciiTheme="minorHAnsi" w:hAnsiTheme="minorHAnsi" w:cs="Arial"/>
                <w:i/>
                <w:color w:val="C00000"/>
                <w:sz w:val="24"/>
                <w:szCs w:val="24"/>
              </w:rPr>
              <w:t xml:space="preserve">od 1. siječnja 2038. </w:t>
            </w:r>
            <w:r w:rsidRPr="000763DE">
              <w:rPr>
                <w:rFonts w:asciiTheme="minorHAnsi" w:hAnsiTheme="minorHAnsi" w:cs="Arial"/>
                <w:i/>
                <w:sz w:val="24"/>
                <w:szCs w:val="24"/>
              </w:rPr>
              <w:t xml:space="preserve">pravo na starosnu mirovinu ima </w:t>
            </w:r>
            <w:r w:rsidRPr="00680446">
              <w:rPr>
                <w:rFonts w:asciiTheme="minorHAnsi" w:hAnsiTheme="minorHAnsi" w:cs="Arial"/>
                <w:i/>
                <w:color w:val="C00000"/>
                <w:sz w:val="24"/>
                <w:szCs w:val="24"/>
              </w:rPr>
              <w:t>osiguranik kada navrši 67 godina života i 15 godina mirovinskog staža</w:t>
            </w:r>
            <w:r w:rsidRPr="00680446">
              <w:rPr>
                <w:rFonts w:asciiTheme="minorHAnsi" w:hAnsiTheme="minorHAnsi" w:cs="Arial"/>
                <w:i/>
                <w:color w:val="3E454A"/>
                <w:sz w:val="24"/>
                <w:szCs w:val="24"/>
              </w:rPr>
              <w:t xml:space="preserve">, </w:t>
            </w:r>
            <w:r w:rsidRPr="000763DE">
              <w:rPr>
                <w:rFonts w:asciiTheme="minorHAnsi" w:hAnsiTheme="minorHAnsi" w:cs="Arial"/>
                <w:i/>
                <w:sz w:val="24"/>
                <w:szCs w:val="24"/>
              </w:rPr>
              <w:t>bez obzira na spol.“</w:t>
            </w:r>
            <w:r w:rsidR="00D84398" w:rsidRPr="000763DE">
              <w:rPr>
                <w:rStyle w:val="Referencafusnote"/>
                <w:bCs/>
                <w:i/>
                <w:sz w:val="24"/>
                <w:szCs w:val="24"/>
              </w:rPr>
              <w:t xml:space="preserve"> </w:t>
            </w:r>
            <w:r w:rsidR="00D84398" w:rsidRPr="000763DE">
              <w:rPr>
                <w:rStyle w:val="Referencafusnote"/>
                <w:bCs/>
                <w:i/>
                <w:sz w:val="24"/>
                <w:szCs w:val="24"/>
              </w:rPr>
              <w:footnoteReference w:id="111"/>
            </w:r>
          </w:p>
        </w:tc>
      </w:tr>
    </w:tbl>
    <w:p w:rsidR="00680446" w:rsidRPr="000763DE" w:rsidRDefault="003F109A" w:rsidP="00D744C7">
      <w:pPr>
        <w:shd w:val="clear" w:color="auto" w:fill="FFFFFF"/>
        <w:spacing w:before="240"/>
        <w:jc w:val="both"/>
        <w:rPr>
          <w:rFonts w:eastAsia="Times New Roman" w:cs="Arial"/>
          <w:sz w:val="24"/>
          <w:szCs w:val="24"/>
          <w:lang w:eastAsia="hr-HR"/>
        </w:rPr>
      </w:pPr>
      <w:r w:rsidRPr="000763DE">
        <w:rPr>
          <w:rFonts w:eastAsia="Times New Roman" w:cs="Arial"/>
          <w:sz w:val="24"/>
          <w:szCs w:val="24"/>
          <w:lang w:eastAsia="hr-HR"/>
        </w:rPr>
        <w:t xml:space="preserve">Pri tome postoji mogućnost snižene dobne granice za starosnu mirovinu, npr. u slučaju osoba koje rade na osobito teškim i za zdravlje/ radnu sposobnost štetnim radnim mjestima, radnim mjestima na kojima nakon određenih godina života narav/ težina posla onemogućava njegovo uspješno obavljan, kao i u slučaju osoba s invaliditetom. </w:t>
      </w:r>
      <w:r w:rsidR="00680446" w:rsidRPr="000763DE">
        <w:rPr>
          <w:rFonts w:eastAsia="Times New Roman" w:cs="Arial"/>
          <w:sz w:val="24"/>
          <w:szCs w:val="24"/>
          <w:lang w:eastAsia="hr-HR"/>
        </w:rPr>
        <w:t>Pravo na </w:t>
      </w:r>
      <w:r w:rsidR="00C35DDE" w:rsidRPr="000763DE">
        <w:rPr>
          <w:rFonts w:eastAsia="Times New Roman" w:cs="Arial"/>
          <w:sz w:val="24"/>
          <w:szCs w:val="24"/>
          <w:lang w:eastAsia="hr-HR"/>
        </w:rPr>
        <w:t>„</w:t>
      </w:r>
      <w:r w:rsidR="00680446" w:rsidRPr="000763DE">
        <w:rPr>
          <w:rFonts w:eastAsia="Times New Roman" w:cs="Arial"/>
          <w:bCs/>
          <w:sz w:val="24"/>
          <w:szCs w:val="24"/>
          <w:lang w:eastAsia="hr-HR"/>
        </w:rPr>
        <w:t>starosnu mirovinu za dugogodišnjeg osiguranika</w:t>
      </w:r>
      <w:r w:rsidR="00C35DDE" w:rsidRPr="000763DE">
        <w:rPr>
          <w:rFonts w:eastAsia="Times New Roman" w:cs="Arial"/>
          <w:bCs/>
          <w:sz w:val="24"/>
          <w:szCs w:val="24"/>
          <w:lang w:eastAsia="hr-HR"/>
        </w:rPr>
        <w:t>“</w:t>
      </w:r>
      <w:r w:rsidR="00680446" w:rsidRPr="000763DE">
        <w:rPr>
          <w:rFonts w:eastAsia="Times New Roman" w:cs="Arial"/>
          <w:b/>
          <w:bCs/>
          <w:sz w:val="24"/>
          <w:szCs w:val="24"/>
          <w:lang w:eastAsia="hr-HR"/>
        </w:rPr>
        <w:t> </w:t>
      </w:r>
      <w:r w:rsidR="00680446" w:rsidRPr="000763DE">
        <w:rPr>
          <w:rFonts w:eastAsia="Times New Roman" w:cs="Arial"/>
          <w:sz w:val="24"/>
          <w:szCs w:val="24"/>
          <w:lang w:eastAsia="hr-HR"/>
        </w:rPr>
        <w:t>ima osiguranik kada navrši 60 godina života i 41 godinu staža</w:t>
      </w:r>
      <w:r w:rsidR="00D744C7" w:rsidRPr="000763DE">
        <w:rPr>
          <w:rFonts w:eastAsia="Times New Roman" w:cs="Arial"/>
          <w:sz w:val="24"/>
          <w:szCs w:val="24"/>
          <w:lang w:eastAsia="hr-HR"/>
        </w:rPr>
        <w:t xml:space="preserve"> (ali navedeno pravo ne može steći ako</w:t>
      </w:r>
      <w:r w:rsidR="00680446" w:rsidRPr="000763DE">
        <w:rPr>
          <w:rFonts w:eastAsia="Times New Roman" w:cs="Arial"/>
          <w:sz w:val="24"/>
          <w:szCs w:val="24"/>
          <w:lang w:eastAsia="hr-HR"/>
        </w:rPr>
        <w:t xml:space="preserve"> ispunjava uvjete za redovitu starosnu mirovinu</w:t>
      </w:r>
      <w:r w:rsidR="00D744C7" w:rsidRPr="000763DE">
        <w:rPr>
          <w:rFonts w:eastAsia="Times New Roman" w:cs="Arial"/>
          <w:sz w:val="24"/>
          <w:szCs w:val="24"/>
          <w:lang w:eastAsia="hr-HR"/>
        </w:rPr>
        <w:t>).</w:t>
      </w:r>
      <w:r w:rsidR="00680446" w:rsidRPr="000763DE">
        <w:rPr>
          <w:rFonts w:eastAsia="Times New Roman" w:cs="Arial"/>
          <w:sz w:val="24"/>
          <w:szCs w:val="24"/>
          <w:lang w:eastAsia="hr-HR"/>
        </w:rPr>
        <w:t> </w:t>
      </w:r>
    </w:p>
    <w:p w:rsidR="00493A18" w:rsidRPr="000763DE" w:rsidRDefault="00C35DDE" w:rsidP="00493A18">
      <w:pPr>
        <w:shd w:val="clear" w:color="auto" w:fill="FFFFFF"/>
        <w:jc w:val="both"/>
        <w:rPr>
          <w:rFonts w:eastAsia="Times New Roman"/>
          <w:b/>
          <w:bCs/>
          <w:sz w:val="24"/>
          <w:szCs w:val="24"/>
          <w:lang w:eastAsia="hr-HR"/>
        </w:rPr>
      </w:pPr>
      <w:r w:rsidRPr="000763DE">
        <w:rPr>
          <w:rFonts w:eastAsia="Times New Roman" w:cs="Arial"/>
          <w:sz w:val="24"/>
          <w:szCs w:val="24"/>
          <w:lang w:eastAsia="hr-HR"/>
        </w:rPr>
        <w:lastRenderedPageBreak/>
        <w:t xml:space="preserve">Do kraja 2030. godine, pravo na </w:t>
      </w:r>
      <w:r w:rsidRPr="00C35DDE">
        <w:rPr>
          <w:rFonts w:eastAsia="Times New Roman" w:cs="Arial"/>
          <w:color w:val="C00000"/>
          <w:sz w:val="24"/>
          <w:szCs w:val="24"/>
          <w:lang w:eastAsia="hr-HR"/>
        </w:rPr>
        <w:t xml:space="preserve">prijevremenu starosnu mirovinu </w:t>
      </w:r>
      <w:r w:rsidRPr="000763DE">
        <w:rPr>
          <w:rFonts w:eastAsia="Times New Roman" w:cs="Arial"/>
          <w:sz w:val="24"/>
          <w:szCs w:val="24"/>
          <w:lang w:eastAsia="hr-HR"/>
        </w:rPr>
        <w:t>stječe osiguranik kada navrši</w:t>
      </w:r>
      <w:r w:rsidRPr="000763DE">
        <w:rPr>
          <w:rFonts w:eastAsia="Times New Roman"/>
          <w:sz w:val="24"/>
          <w:szCs w:val="24"/>
          <w:lang w:eastAsia="hr-HR"/>
        </w:rPr>
        <w:t> </w:t>
      </w:r>
      <w:r w:rsidRPr="000763DE">
        <w:rPr>
          <w:rFonts w:eastAsia="Times New Roman"/>
          <w:bCs/>
          <w:sz w:val="24"/>
          <w:szCs w:val="24"/>
          <w:lang w:eastAsia="hr-HR"/>
        </w:rPr>
        <w:t xml:space="preserve">60 godina života i 35 godina mirovinskog staža, a do 2020. </w:t>
      </w:r>
      <w:r w:rsidRPr="000763DE">
        <w:rPr>
          <w:rFonts w:eastAsia="Times New Roman" w:cs="Arial"/>
          <w:sz w:val="24"/>
          <w:szCs w:val="24"/>
          <w:lang w:eastAsia="hr-HR"/>
        </w:rPr>
        <w:t>žene ostvaruju pravo na prijevremenu starosnu mirovinu prema povoljnijim uvjetima, s nižom starosnom dobi. U prijelaznom razdoblju od početka 2031. do kraja 2037. uvjet starosne dobi  povećava se za tri mjeseca svake godine, a od 1. siječnja 2038. pravo na prijevremenu  starosnu mirovinu ima osiguranik kada navrši 62 godine života i 35 godina mirovinskog staža, bez obzira na spol. Prijevremene starosne mirovine niže su od starosnih mirovina jer se trajno umanjuju za svaki mjesec ranijeg ostvarivanja prava na mirovinu.</w:t>
      </w:r>
      <w:r w:rsidR="00493A18" w:rsidRPr="000763DE">
        <w:rPr>
          <w:rFonts w:eastAsia="Times New Roman" w:cs="Arial"/>
          <w:sz w:val="24"/>
          <w:szCs w:val="24"/>
          <w:lang w:eastAsia="hr-HR"/>
        </w:rPr>
        <w:t xml:space="preserve"> Posebnu kategoriju predstavljaju „</w:t>
      </w:r>
      <w:r w:rsidRPr="000763DE">
        <w:rPr>
          <w:rFonts w:eastAsia="Times New Roman" w:cs="Arial"/>
          <w:sz w:val="24"/>
          <w:szCs w:val="24"/>
          <w:lang w:eastAsia="hr-HR"/>
        </w:rPr>
        <w:t>prijevremen</w:t>
      </w:r>
      <w:r w:rsidR="00493A18" w:rsidRPr="000763DE">
        <w:rPr>
          <w:rFonts w:eastAsia="Times New Roman" w:cs="Arial"/>
          <w:sz w:val="24"/>
          <w:szCs w:val="24"/>
          <w:lang w:eastAsia="hr-HR"/>
        </w:rPr>
        <w:t>e</w:t>
      </w:r>
      <w:r w:rsidRPr="000763DE">
        <w:rPr>
          <w:rFonts w:eastAsia="Times New Roman" w:cs="Arial"/>
          <w:sz w:val="24"/>
          <w:szCs w:val="24"/>
          <w:lang w:eastAsia="hr-HR"/>
        </w:rPr>
        <w:t xml:space="preserve"> starosn</w:t>
      </w:r>
      <w:r w:rsidR="00493A18" w:rsidRPr="000763DE">
        <w:rPr>
          <w:rFonts w:eastAsia="Times New Roman" w:cs="Arial"/>
          <w:sz w:val="24"/>
          <w:szCs w:val="24"/>
          <w:lang w:eastAsia="hr-HR"/>
        </w:rPr>
        <w:t>e</w:t>
      </w:r>
      <w:r w:rsidRPr="000763DE">
        <w:rPr>
          <w:rFonts w:eastAsia="Times New Roman" w:cs="Arial"/>
          <w:sz w:val="24"/>
          <w:szCs w:val="24"/>
          <w:lang w:eastAsia="hr-HR"/>
        </w:rPr>
        <w:t xml:space="preserve"> mirovin</w:t>
      </w:r>
      <w:r w:rsidR="00493A18" w:rsidRPr="000763DE">
        <w:rPr>
          <w:rFonts w:eastAsia="Times New Roman" w:cs="Arial"/>
          <w:sz w:val="24"/>
          <w:szCs w:val="24"/>
          <w:lang w:eastAsia="hr-HR"/>
        </w:rPr>
        <w:t>e</w:t>
      </w:r>
      <w:r w:rsidRPr="000763DE">
        <w:rPr>
          <w:rFonts w:eastAsia="Times New Roman" w:cs="Arial"/>
          <w:sz w:val="24"/>
          <w:szCs w:val="24"/>
          <w:lang w:eastAsia="hr-HR"/>
        </w:rPr>
        <w:t xml:space="preserve"> zbog stečaja poslodavca</w:t>
      </w:r>
      <w:r w:rsidR="00493A18" w:rsidRPr="000763DE">
        <w:rPr>
          <w:rFonts w:eastAsia="Times New Roman" w:cs="Arial"/>
          <w:sz w:val="24"/>
          <w:szCs w:val="24"/>
          <w:lang w:eastAsia="hr-HR"/>
        </w:rPr>
        <w:t>“.</w:t>
      </w:r>
      <w:r w:rsidR="00493A18" w:rsidRPr="000763DE">
        <w:rPr>
          <w:rStyle w:val="Referencafusnote"/>
          <w:rFonts w:eastAsia="Times New Roman"/>
          <w:sz w:val="24"/>
          <w:szCs w:val="24"/>
          <w:lang w:eastAsia="hr-HR"/>
        </w:rPr>
        <w:footnoteReference w:id="112"/>
      </w:r>
    </w:p>
    <w:tbl>
      <w:tblPr>
        <w:tblStyle w:val="Reetkatablice"/>
        <w:tblW w:w="0" w:type="auto"/>
        <w:tblInd w:w="108" w:type="dxa"/>
        <w:tblLook w:val="04A0" w:firstRow="1" w:lastRow="0" w:firstColumn="1" w:lastColumn="0" w:noHBand="0" w:noVBand="1"/>
      </w:tblPr>
      <w:tblGrid>
        <w:gridCol w:w="9072"/>
      </w:tblGrid>
      <w:tr w:rsidR="00493A18" w:rsidRPr="000763DE" w:rsidTr="00493A18">
        <w:tc>
          <w:tcPr>
            <w:tcW w:w="9072" w:type="dxa"/>
            <w:shd w:val="clear" w:color="auto" w:fill="FFFFFF" w:themeFill="background1"/>
          </w:tcPr>
          <w:p w:rsidR="00493A18" w:rsidRPr="000763DE" w:rsidRDefault="00493A18" w:rsidP="00493A18">
            <w:pPr>
              <w:shd w:val="clear" w:color="auto" w:fill="FFFFFF"/>
              <w:spacing w:before="120" w:after="120"/>
              <w:jc w:val="both"/>
              <w:rPr>
                <w:rFonts w:asciiTheme="minorHAnsi" w:hAnsiTheme="minorHAnsi" w:cs="Arial"/>
                <w:sz w:val="24"/>
                <w:szCs w:val="24"/>
              </w:rPr>
            </w:pPr>
            <w:r w:rsidRPr="000763DE">
              <w:rPr>
                <w:rFonts w:asciiTheme="minorHAnsi" w:hAnsiTheme="minorHAnsi" w:cs="Arial"/>
                <w:sz w:val="24"/>
                <w:szCs w:val="24"/>
              </w:rPr>
              <w:t>Pravo na starosnu i prijevremenu starosnu mirovinu osiguranik stječe od dana kada su ispunjeni uvjeti za mirovinu, s tim što se to pravo može ostvariti tek nakon prestanka osiguranja (zaposlenje, obavljanje obrtničke ili poljoprivredne djelatnosti i dr.).</w:t>
            </w:r>
          </w:p>
          <w:p w:rsidR="00493A18" w:rsidRPr="000763DE" w:rsidRDefault="00493A18" w:rsidP="00493A18">
            <w:pPr>
              <w:shd w:val="clear" w:color="auto" w:fill="FFFFFF"/>
              <w:spacing w:before="120" w:after="120"/>
              <w:jc w:val="both"/>
              <w:rPr>
                <w:b/>
                <w:bCs/>
                <w:sz w:val="24"/>
                <w:szCs w:val="24"/>
              </w:rPr>
            </w:pPr>
            <w:r w:rsidRPr="000763DE">
              <w:rPr>
                <w:rFonts w:asciiTheme="minorHAnsi" w:hAnsiTheme="minorHAnsi" w:cs="Arial"/>
                <w:sz w:val="24"/>
                <w:szCs w:val="24"/>
              </w:rPr>
              <w:t>Međutim, iznimka postoji u slučaju osiguranika koji su je na osnovi izmijenjenog ugovora o radu nastavili raditi, ali do polovice punog radnog vremena  mogu i bez prestanka radnog odnosa steći pravo na starosnu mirovinu.</w:t>
            </w:r>
          </w:p>
        </w:tc>
      </w:tr>
    </w:tbl>
    <w:p w:rsidR="002837E8" w:rsidRPr="000763DE" w:rsidRDefault="00680446" w:rsidP="002837E8">
      <w:pPr>
        <w:shd w:val="clear" w:color="auto" w:fill="FFFFFF"/>
        <w:spacing w:before="240"/>
        <w:jc w:val="both"/>
        <w:rPr>
          <w:rFonts w:eastAsia="Times New Roman" w:cs="Arial"/>
          <w:sz w:val="24"/>
          <w:szCs w:val="24"/>
          <w:lang w:eastAsia="hr-HR"/>
        </w:rPr>
      </w:pPr>
      <w:r w:rsidRPr="000763DE">
        <w:rPr>
          <w:rFonts w:eastAsia="Times New Roman" w:cs="Arial"/>
          <w:sz w:val="24"/>
          <w:szCs w:val="24"/>
          <w:lang w:eastAsia="hr-HR"/>
        </w:rPr>
        <w:t xml:space="preserve">Pojedine </w:t>
      </w:r>
      <w:r w:rsidR="002837E8" w:rsidRPr="000763DE">
        <w:rPr>
          <w:rFonts w:eastAsia="Times New Roman" w:cs="Arial"/>
          <w:sz w:val="24"/>
          <w:szCs w:val="24"/>
          <w:lang w:eastAsia="hr-HR"/>
        </w:rPr>
        <w:t xml:space="preserve">kategorije </w:t>
      </w:r>
      <w:r w:rsidRPr="000763DE">
        <w:rPr>
          <w:rFonts w:eastAsia="Times New Roman" w:cs="Arial"/>
          <w:sz w:val="24"/>
          <w:szCs w:val="24"/>
          <w:lang w:eastAsia="hr-HR"/>
        </w:rPr>
        <w:t>osiguranika</w:t>
      </w:r>
      <w:r w:rsidR="002837E8" w:rsidRPr="000763DE">
        <w:rPr>
          <w:rFonts w:eastAsia="Times New Roman" w:cs="Arial"/>
          <w:sz w:val="24"/>
          <w:szCs w:val="24"/>
          <w:lang w:eastAsia="hr-HR"/>
        </w:rPr>
        <w:t>,</w:t>
      </w:r>
      <w:r w:rsidRPr="000763DE">
        <w:rPr>
          <w:rFonts w:eastAsia="Times New Roman" w:cs="Arial"/>
          <w:sz w:val="24"/>
          <w:szCs w:val="24"/>
          <w:lang w:eastAsia="hr-HR"/>
        </w:rPr>
        <w:t xml:space="preserve"> </w:t>
      </w:r>
      <w:r w:rsidR="002837E8" w:rsidRPr="000763DE">
        <w:rPr>
          <w:rFonts w:eastAsia="Times New Roman" w:cs="Arial"/>
          <w:sz w:val="24"/>
          <w:szCs w:val="24"/>
          <w:lang w:eastAsia="hr-HR"/>
        </w:rPr>
        <w:t xml:space="preserve">osim prema odredbama ZOMO-a,imaju </w:t>
      </w:r>
      <w:r w:rsidRPr="00A24D89">
        <w:rPr>
          <w:rFonts w:eastAsia="Times New Roman" w:cs="Arial"/>
          <w:color w:val="C00000"/>
          <w:sz w:val="24"/>
          <w:szCs w:val="24"/>
          <w:lang w:eastAsia="hr-HR"/>
        </w:rPr>
        <w:t>pravo na mirovinu</w:t>
      </w:r>
      <w:r w:rsidR="002837E8" w:rsidRPr="00A24D89">
        <w:rPr>
          <w:rFonts w:eastAsia="Times New Roman" w:cs="Arial"/>
          <w:color w:val="C00000"/>
          <w:sz w:val="24"/>
          <w:szCs w:val="24"/>
          <w:lang w:eastAsia="hr-HR"/>
        </w:rPr>
        <w:t xml:space="preserve"> „</w:t>
      </w:r>
      <w:r w:rsidRPr="00A24D89">
        <w:rPr>
          <w:rFonts w:eastAsia="Times New Roman" w:cs="Arial"/>
          <w:color w:val="C00000"/>
          <w:sz w:val="24"/>
          <w:szCs w:val="24"/>
          <w:lang w:eastAsia="hr-HR"/>
        </w:rPr>
        <w:t>pod povoljnijim uvjetima</w:t>
      </w:r>
      <w:r w:rsidR="002837E8" w:rsidRPr="00A24D89">
        <w:rPr>
          <w:rFonts w:eastAsia="Times New Roman" w:cs="Arial"/>
          <w:color w:val="C00000"/>
          <w:sz w:val="24"/>
          <w:szCs w:val="24"/>
          <w:lang w:eastAsia="hr-HR"/>
        </w:rPr>
        <w:t xml:space="preserve">“ </w:t>
      </w:r>
      <w:r w:rsidR="002837E8" w:rsidRPr="000763DE">
        <w:rPr>
          <w:rFonts w:eastAsia="Times New Roman" w:cs="Arial"/>
          <w:sz w:val="24"/>
          <w:szCs w:val="24"/>
          <w:lang w:eastAsia="hr-HR"/>
        </w:rPr>
        <w:t>(blaže uvjete za stjecanje prava i/ili povoljniji način određivanja mirovina</w:t>
      </w:r>
      <w:r w:rsidR="002837E8" w:rsidRPr="000763DE">
        <w:rPr>
          <w:rFonts w:eastAsia="Times New Roman"/>
          <w:sz w:val="24"/>
          <w:szCs w:val="24"/>
          <w:lang w:eastAsia="hr-HR"/>
        </w:rPr>
        <w:t> </w:t>
      </w:r>
      <w:r w:rsidR="002837E8" w:rsidRPr="000763DE">
        <w:rPr>
          <w:rFonts w:eastAsia="Times New Roman" w:cs="Arial"/>
          <w:sz w:val="24"/>
          <w:szCs w:val="24"/>
          <w:lang w:eastAsia="hr-HR"/>
        </w:rPr>
        <w:t xml:space="preserve">) koji su propisani </w:t>
      </w:r>
      <w:r w:rsidR="002837E8" w:rsidRPr="00A24D89">
        <w:rPr>
          <w:rFonts w:eastAsia="Times New Roman" w:cs="Arial"/>
          <w:color w:val="C00000"/>
          <w:sz w:val="24"/>
          <w:szCs w:val="24"/>
          <w:lang w:eastAsia="hr-HR"/>
        </w:rPr>
        <w:t>posebnim propisima</w:t>
      </w:r>
      <w:r w:rsidR="00A24D89" w:rsidRPr="000763DE">
        <w:rPr>
          <w:rFonts w:eastAsia="Times New Roman" w:cs="Arial"/>
          <w:sz w:val="24"/>
          <w:szCs w:val="24"/>
          <w:lang w:eastAsia="hr-HR"/>
        </w:rPr>
        <w:t xml:space="preserve">, </w:t>
      </w:r>
      <w:r w:rsidR="002837E8" w:rsidRPr="000763DE">
        <w:rPr>
          <w:rFonts w:eastAsia="Times New Roman" w:cs="Arial"/>
          <w:sz w:val="24"/>
          <w:szCs w:val="24"/>
          <w:lang w:eastAsia="hr-HR"/>
        </w:rPr>
        <w:t>uključujući sljedeće korisnike: djelatne vojne osobe, policijske službenike i ovlaštene službene osobe pravosuđa, radnike na poslovima razminiranja, hrvatske branitelje iz Domovinskog rata, zastupnike u Hrvatskom saboru, članove Vlade, suce Ustavnog suda, predsjednika Republike, bivše političke zatvorenike, redovite članove HAZU-a, službenike u saveznim tijelima bivše SFRJ, radnike izložene azbestu</w:t>
      </w:r>
      <w:r w:rsidR="00F521C7" w:rsidRPr="000763DE">
        <w:rPr>
          <w:rFonts w:eastAsia="Times New Roman" w:cs="Arial"/>
          <w:sz w:val="24"/>
          <w:szCs w:val="24"/>
          <w:lang w:eastAsia="hr-HR"/>
        </w:rPr>
        <w:t xml:space="preserve">, radnike ugljenokopa "Tupljak", pojedine kategorije </w:t>
      </w:r>
      <w:r w:rsidR="002837E8" w:rsidRPr="000763DE">
        <w:rPr>
          <w:rFonts w:eastAsia="Times New Roman" w:cs="Arial"/>
          <w:sz w:val="24"/>
          <w:szCs w:val="24"/>
          <w:lang w:eastAsia="hr-HR"/>
        </w:rPr>
        <w:t>osob</w:t>
      </w:r>
      <w:r w:rsidR="00F521C7" w:rsidRPr="000763DE">
        <w:rPr>
          <w:rFonts w:eastAsia="Times New Roman" w:cs="Arial"/>
          <w:sz w:val="24"/>
          <w:szCs w:val="24"/>
          <w:lang w:eastAsia="hr-HR"/>
        </w:rPr>
        <w:t>a</w:t>
      </w:r>
      <w:r w:rsidR="002837E8" w:rsidRPr="000763DE">
        <w:rPr>
          <w:rFonts w:eastAsia="Times New Roman" w:cs="Arial"/>
          <w:sz w:val="24"/>
          <w:szCs w:val="24"/>
          <w:lang w:eastAsia="hr-HR"/>
        </w:rPr>
        <w:t xml:space="preserve"> koje su ostvarile povoljnija prava prema ranije važećim propisima iz mirovinskog osiguranja (borci NOR-a, pripadnici Hrvatske domovinske vojske od 1941. do 1945. i pripadnici bivše</w:t>
      </w:r>
      <w:r w:rsidR="00F521C7" w:rsidRPr="000763DE">
        <w:rPr>
          <w:rFonts w:eastAsia="Times New Roman" w:cs="Arial"/>
          <w:sz w:val="24"/>
          <w:szCs w:val="24"/>
          <w:lang w:eastAsia="hr-HR"/>
        </w:rPr>
        <w:t xml:space="preserve"> </w:t>
      </w:r>
      <w:r w:rsidR="002837E8" w:rsidRPr="000763DE">
        <w:rPr>
          <w:rFonts w:eastAsia="Times New Roman" w:cs="Arial"/>
          <w:sz w:val="24"/>
          <w:szCs w:val="24"/>
          <w:lang w:eastAsia="hr-HR"/>
        </w:rPr>
        <w:t>JNA)</w:t>
      </w:r>
      <w:r w:rsidR="00F521C7" w:rsidRPr="000763DE">
        <w:rPr>
          <w:rFonts w:eastAsia="Times New Roman" w:cs="Arial"/>
          <w:sz w:val="24"/>
          <w:szCs w:val="24"/>
          <w:lang w:eastAsia="hr-HR"/>
        </w:rPr>
        <w:t xml:space="preserve"> te pripadnike</w:t>
      </w:r>
      <w:r w:rsidR="002837E8" w:rsidRPr="000763DE">
        <w:rPr>
          <w:rFonts w:eastAsia="Times New Roman" w:cs="Arial"/>
          <w:sz w:val="24"/>
          <w:szCs w:val="24"/>
          <w:lang w:eastAsia="hr-HR"/>
        </w:rPr>
        <w:t xml:space="preserve"> Hrvatskog vijeća obrane.</w:t>
      </w:r>
      <w:r w:rsidR="00897610" w:rsidRPr="000763DE">
        <w:rPr>
          <w:rStyle w:val="Referencafusnote"/>
          <w:rFonts w:eastAsia="Times New Roman" w:cs="Arial"/>
          <w:sz w:val="24"/>
          <w:szCs w:val="24"/>
          <w:lang w:eastAsia="hr-HR"/>
        </w:rPr>
        <w:footnoteReference w:id="113"/>
      </w:r>
      <w:r w:rsidR="002837E8" w:rsidRPr="000763DE">
        <w:rPr>
          <w:rFonts w:eastAsia="Times New Roman" w:cs="Arial"/>
          <w:sz w:val="24"/>
          <w:szCs w:val="24"/>
          <w:lang w:eastAsia="hr-HR"/>
        </w:rPr>
        <w:t xml:space="preserve"> </w:t>
      </w:r>
    </w:p>
    <w:p w:rsidR="00AE71A1" w:rsidRDefault="00A24D89" w:rsidP="001E4B0F">
      <w:pPr>
        <w:shd w:val="clear" w:color="auto" w:fill="FFFFFF"/>
        <w:spacing w:before="240"/>
        <w:jc w:val="both"/>
        <w:rPr>
          <w:rFonts w:cs="Arial"/>
          <w:sz w:val="24"/>
          <w:szCs w:val="24"/>
        </w:rPr>
      </w:pPr>
      <w:r w:rsidRPr="00E303A1">
        <w:rPr>
          <w:rFonts w:cs="Arial"/>
          <w:sz w:val="24"/>
          <w:szCs w:val="24"/>
        </w:rPr>
        <w:t xml:space="preserve">Iz sveg do sada navedenog vidljivo je da je </w:t>
      </w:r>
      <w:r w:rsidRPr="00E303A1">
        <w:rPr>
          <w:rFonts w:cs="Arial"/>
          <w:color w:val="C00000"/>
          <w:sz w:val="24"/>
          <w:szCs w:val="24"/>
        </w:rPr>
        <w:t xml:space="preserve">mirovinski sustav </w:t>
      </w:r>
      <w:r w:rsidR="00827701" w:rsidRPr="00E303A1">
        <w:rPr>
          <w:rFonts w:cs="Arial"/>
          <w:color w:val="C00000"/>
          <w:sz w:val="24"/>
          <w:szCs w:val="24"/>
        </w:rPr>
        <w:t xml:space="preserve">RH </w:t>
      </w:r>
      <w:r w:rsidRPr="00E303A1">
        <w:rPr>
          <w:rFonts w:cs="Arial"/>
          <w:color w:val="C00000"/>
          <w:sz w:val="24"/>
          <w:szCs w:val="24"/>
        </w:rPr>
        <w:t>vrlo kompleksan</w:t>
      </w:r>
      <w:r w:rsidRPr="00E303A1">
        <w:rPr>
          <w:rFonts w:cs="Arial"/>
          <w:sz w:val="24"/>
          <w:szCs w:val="24"/>
        </w:rPr>
        <w:t>, a posebno u dijelu mirovina čiju isplatu osigurava država kroz prvi stup mirovinskog osiguranja. Već dugi niz godina u Hrvatskoj se razmatra</w:t>
      </w:r>
      <w:r w:rsidRPr="00E303A1">
        <w:rPr>
          <w:rFonts w:cs="Arial"/>
          <w:color w:val="3E454A"/>
          <w:sz w:val="24"/>
          <w:szCs w:val="24"/>
        </w:rPr>
        <w:t xml:space="preserve"> </w:t>
      </w:r>
      <w:r w:rsidRPr="00E303A1">
        <w:rPr>
          <w:rFonts w:cs="Arial"/>
          <w:color w:val="C00000"/>
          <w:sz w:val="24"/>
          <w:szCs w:val="24"/>
        </w:rPr>
        <w:t>o</w:t>
      </w:r>
      <w:r w:rsidR="00F063D2">
        <w:rPr>
          <w:rFonts w:cs="Arial"/>
          <w:color w:val="C00000"/>
          <w:sz w:val="24"/>
          <w:szCs w:val="24"/>
        </w:rPr>
        <w:t xml:space="preserve">drživost mirovinskog osiguranja, posebno dijela </w:t>
      </w:r>
      <w:r w:rsidRPr="00E303A1">
        <w:rPr>
          <w:rFonts w:cs="Arial"/>
          <w:color w:val="C00000"/>
          <w:sz w:val="24"/>
          <w:szCs w:val="24"/>
        </w:rPr>
        <w:t>koji funkcionira po principu međugeneracijske solidarnosti</w:t>
      </w:r>
      <w:r w:rsidRPr="00E303A1">
        <w:rPr>
          <w:rFonts w:cs="Arial"/>
          <w:color w:val="3E454A"/>
          <w:sz w:val="24"/>
          <w:szCs w:val="24"/>
        </w:rPr>
        <w:t xml:space="preserve"> </w:t>
      </w:r>
      <w:r w:rsidRPr="00E303A1">
        <w:rPr>
          <w:rFonts w:cs="Arial"/>
          <w:sz w:val="24"/>
          <w:szCs w:val="24"/>
        </w:rPr>
        <w:t xml:space="preserve">jer postoji niz faktora koji navedeno </w:t>
      </w:r>
      <w:r w:rsidRPr="00F063D2">
        <w:rPr>
          <w:rFonts w:cs="Arial"/>
          <w:sz w:val="24"/>
          <w:szCs w:val="24"/>
        </w:rPr>
        <w:t xml:space="preserve">dovode u pitanje. </w:t>
      </w:r>
      <w:r w:rsidR="00F063D2">
        <w:rPr>
          <w:rFonts w:cs="Arial"/>
          <w:sz w:val="24"/>
          <w:szCs w:val="24"/>
        </w:rPr>
        <w:t xml:space="preserve">Na prvom mjestu to su </w:t>
      </w:r>
      <w:r w:rsidR="00887AAD" w:rsidRPr="00E303A1">
        <w:rPr>
          <w:rFonts w:cs="Arial"/>
          <w:sz w:val="24"/>
          <w:szCs w:val="24"/>
        </w:rPr>
        <w:t>nepovoljna dobna struktura stanovništva</w:t>
      </w:r>
      <w:r w:rsidR="00AE71A1">
        <w:rPr>
          <w:rFonts w:cs="Arial"/>
          <w:sz w:val="24"/>
          <w:szCs w:val="24"/>
        </w:rPr>
        <w:t>, negativni prirodni prirast stanovništva (-11.273 osobe prema podacima DZS-a za kraj 2014.)</w:t>
      </w:r>
      <w:r w:rsidR="00887AAD">
        <w:rPr>
          <w:rFonts w:cs="Arial"/>
          <w:sz w:val="24"/>
          <w:szCs w:val="24"/>
        </w:rPr>
        <w:t xml:space="preserve"> i</w:t>
      </w:r>
      <w:r w:rsidR="00887AAD" w:rsidRPr="00E303A1">
        <w:rPr>
          <w:rFonts w:cs="Arial"/>
          <w:sz w:val="24"/>
          <w:szCs w:val="24"/>
        </w:rPr>
        <w:t xml:space="preserve"> </w:t>
      </w:r>
      <w:r w:rsidRPr="00E303A1">
        <w:rPr>
          <w:rFonts w:cs="Arial"/>
          <w:sz w:val="24"/>
          <w:szCs w:val="24"/>
        </w:rPr>
        <w:t xml:space="preserve">velik broj umirovljenika u odnosu na </w:t>
      </w:r>
      <w:r w:rsidR="00887AAD">
        <w:rPr>
          <w:rFonts w:cs="Arial"/>
          <w:sz w:val="24"/>
          <w:szCs w:val="24"/>
        </w:rPr>
        <w:t xml:space="preserve">broj </w:t>
      </w:r>
      <w:r w:rsidRPr="00E303A1">
        <w:rPr>
          <w:rFonts w:cs="Arial"/>
          <w:sz w:val="24"/>
          <w:szCs w:val="24"/>
        </w:rPr>
        <w:t>zaposlen</w:t>
      </w:r>
      <w:r w:rsidR="00887AAD">
        <w:rPr>
          <w:rFonts w:cs="Arial"/>
          <w:sz w:val="24"/>
          <w:szCs w:val="24"/>
        </w:rPr>
        <w:t>ih</w:t>
      </w:r>
      <w:r w:rsidRPr="00E303A1">
        <w:rPr>
          <w:rFonts w:cs="Arial"/>
          <w:sz w:val="24"/>
          <w:szCs w:val="24"/>
        </w:rPr>
        <w:t xml:space="preserve"> osob</w:t>
      </w:r>
      <w:r w:rsidR="00887AAD">
        <w:rPr>
          <w:rFonts w:cs="Arial"/>
          <w:sz w:val="24"/>
          <w:szCs w:val="24"/>
        </w:rPr>
        <w:t>a. Nadalje to je</w:t>
      </w:r>
      <w:r w:rsidRPr="00E303A1">
        <w:rPr>
          <w:rFonts w:cs="Arial"/>
          <w:sz w:val="24"/>
          <w:szCs w:val="24"/>
        </w:rPr>
        <w:t xml:space="preserve"> </w:t>
      </w:r>
      <w:r w:rsidRPr="00887AAD">
        <w:rPr>
          <w:rFonts w:cs="Arial"/>
          <w:color w:val="C00000"/>
          <w:sz w:val="24"/>
          <w:szCs w:val="24"/>
        </w:rPr>
        <w:t>ni</w:t>
      </w:r>
      <w:r w:rsidR="00F063D2" w:rsidRPr="00887AAD">
        <w:rPr>
          <w:rFonts w:cs="Arial"/>
          <w:color w:val="C00000"/>
          <w:sz w:val="24"/>
          <w:szCs w:val="24"/>
        </w:rPr>
        <w:t xml:space="preserve">ska stopa aktivnosti radno sposobnog stanovništva </w:t>
      </w:r>
      <w:r w:rsidR="00F063D2">
        <w:rPr>
          <w:rFonts w:cs="Arial"/>
          <w:sz w:val="24"/>
          <w:szCs w:val="24"/>
        </w:rPr>
        <w:t>(</w:t>
      </w:r>
      <w:r w:rsidR="00887AAD">
        <w:rPr>
          <w:rFonts w:cs="Arial"/>
          <w:sz w:val="24"/>
          <w:szCs w:val="24"/>
        </w:rPr>
        <w:t xml:space="preserve">uzimajući u obzir zaposlene i nezaposlene u odnosu na radno sposobno stanovništvo starije do 15 godina, odnosno prema EU metodologiji u dobi 15-64 godine) </w:t>
      </w:r>
      <w:r w:rsidR="00887AAD" w:rsidRPr="00887AAD">
        <w:rPr>
          <w:rFonts w:cs="Arial"/>
          <w:color w:val="C00000"/>
          <w:sz w:val="24"/>
          <w:szCs w:val="24"/>
        </w:rPr>
        <w:t xml:space="preserve">- </w:t>
      </w:r>
      <w:r w:rsidR="00F063D2" w:rsidRPr="00887AAD">
        <w:rPr>
          <w:rFonts w:cs="Arial"/>
          <w:color w:val="C00000"/>
          <w:sz w:val="24"/>
          <w:szCs w:val="24"/>
        </w:rPr>
        <w:t>jedna od najnižih među članicama Europske unije</w:t>
      </w:r>
      <w:r w:rsidR="002A2165">
        <w:rPr>
          <w:rFonts w:cs="Arial"/>
          <w:color w:val="C00000"/>
          <w:sz w:val="24"/>
          <w:szCs w:val="24"/>
        </w:rPr>
        <w:t xml:space="preserve">. </w:t>
      </w:r>
      <w:r w:rsidR="002A2165" w:rsidRPr="002A2165">
        <w:rPr>
          <w:rFonts w:cs="Arial"/>
          <w:sz w:val="24"/>
          <w:szCs w:val="24"/>
        </w:rPr>
        <w:t>Niskoj stopi aktivnosti</w:t>
      </w:r>
      <w:r w:rsidR="002A2165">
        <w:rPr>
          <w:rFonts w:cs="Arial"/>
          <w:sz w:val="24"/>
          <w:szCs w:val="24"/>
        </w:rPr>
        <w:t xml:space="preserve"> na </w:t>
      </w:r>
      <w:r w:rsidR="002A2165">
        <w:rPr>
          <w:rFonts w:cs="Arial"/>
          <w:sz w:val="24"/>
          <w:szCs w:val="24"/>
        </w:rPr>
        <w:lastRenderedPageBreak/>
        <w:t>prosječnoj razini 52,1% (odnosno 58,8% kod muškaraca te svega 46,1% kod žena) pridonos</w:t>
      </w:r>
      <w:r w:rsidR="00887AAD">
        <w:rPr>
          <w:rFonts w:cs="Arial"/>
          <w:sz w:val="24"/>
          <w:szCs w:val="24"/>
        </w:rPr>
        <w:t>i praksa „preranog umirovljenja“, velik broj tzv. obeshrabrenih radnika koji nakon dugotrajne nezaposlenosti prestaju tražiti posao, nepovoljna obrazovna struktura u dobi 50+, nedovoljna aktivnost žena te produljeno školovanje mladih u dobi 15-</w:t>
      </w:r>
      <w:r w:rsidR="002A2165">
        <w:rPr>
          <w:rFonts w:cs="Arial"/>
          <w:sz w:val="24"/>
          <w:szCs w:val="24"/>
        </w:rPr>
        <w:t>2</w:t>
      </w:r>
      <w:r w:rsidR="00887AAD">
        <w:rPr>
          <w:rFonts w:cs="Arial"/>
          <w:sz w:val="24"/>
          <w:szCs w:val="24"/>
        </w:rPr>
        <w:t>4 godine</w:t>
      </w:r>
      <w:r w:rsidRPr="00E303A1">
        <w:rPr>
          <w:rFonts w:cs="Arial"/>
          <w:sz w:val="24"/>
          <w:szCs w:val="24"/>
        </w:rPr>
        <w:t xml:space="preserve">. </w:t>
      </w:r>
      <w:r w:rsidR="00AE71A1">
        <w:rPr>
          <w:rFonts w:cs="Arial"/>
          <w:sz w:val="24"/>
          <w:szCs w:val="24"/>
        </w:rPr>
        <w:t xml:space="preserve">Nadalje, problemi financiranja mirovina dolaze do izražaja i zbog velikog broja </w:t>
      </w:r>
      <w:r w:rsidR="0094234E">
        <w:rPr>
          <w:rFonts w:cs="Arial"/>
          <w:sz w:val="24"/>
          <w:szCs w:val="24"/>
        </w:rPr>
        <w:t xml:space="preserve">potencijalno radno aktivnih </w:t>
      </w:r>
      <w:r w:rsidR="00AE71A1">
        <w:rPr>
          <w:rFonts w:cs="Arial"/>
          <w:sz w:val="24"/>
          <w:szCs w:val="24"/>
        </w:rPr>
        <w:t xml:space="preserve">osoba koje su se u godinama recesije odselile iz Hrvatske (pa je tako saldo migracije s inozemstvom negativan i iznosi </w:t>
      </w:r>
      <w:r w:rsidR="0094234E">
        <w:rPr>
          <w:rFonts w:cs="Arial"/>
          <w:sz w:val="24"/>
          <w:szCs w:val="24"/>
        </w:rPr>
        <w:t xml:space="preserve">-10.220 osoba, a svemu navedenom treba dodati i velik broj nezaposlenih osoba </w:t>
      </w:r>
      <w:r w:rsidR="0094234E">
        <w:t>256.748 (krajem kolovoza 2015.)</w:t>
      </w:r>
    </w:p>
    <w:p w:rsidR="00E303A1" w:rsidRPr="001E4B0F" w:rsidRDefault="001303F0" w:rsidP="00D22046">
      <w:pPr>
        <w:shd w:val="clear" w:color="auto" w:fill="FFFFFF"/>
        <w:spacing w:before="240"/>
        <w:jc w:val="both"/>
        <w:rPr>
          <w:rFonts w:cs="Arial"/>
          <w:sz w:val="20"/>
          <w:szCs w:val="20"/>
        </w:rPr>
      </w:pPr>
      <w:r>
        <w:rPr>
          <w:rFonts w:cs="Arial"/>
          <w:sz w:val="24"/>
          <w:szCs w:val="24"/>
        </w:rPr>
        <w:t xml:space="preserve">Problemi </w:t>
      </w:r>
      <w:r w:rsidR="0094234E">
        <w:rPr>
          <w:rFonts w:cs="Arial"/>
          <w:sz w:val="24"/>
          <w:szCs w:val="24"/>
        </w:rPr>
        <w:t xml:space="preserve">vrlo niskih prosječnih mirovina, </w:t>
      </w:r>
      <w:r>
        <w:rPr>
          <w:rFonts w:cs="Arial"/>
          <w:sz w:val="24"/>
          <w:szCs w:val="24"/>
        </w:rPr>
        <w:t xml:space="preserve">neodrživosti mirovinskog sustava, uz istodobno neodržive javne financije </w:t>
      </w:r>
      <w:r w:rsidR="00A24D89" w:rsidRPr="00E303A1">
        <w:rPr>
          <w:rFonts w:cs="Arial"/>
          <w:sz w:val="24"/>
          <w:szCs w:val="24"/>
        </w:rPr>
        <w:t>predstavlja</w:t>
      </w:r>
      <w:r>
        <w:rPr>
          <w:rFonts w:cs="Arial"/>
          <w:sz w:val="24"/>
          <w:szCs w:val="24"/>
        </w:rPr>
        <w:t>ju</w:t>
      </w:r>
      <w:r w:rsidR="00A24D89" w:rsidRPr="00E303A1">
        <w:rPr>
          <w:rFonts w:cs="Arial"/>
          <w:sz w:val="24"/>
          <w:szCs w:val="24"/>
        </w:rPr>
        <w:t xml:space="preserve"> jedn</w:t>
      </w:r>
      <w:r>
        <w:rPr>
          <w:rFonts w:cs="Arial"/>
          <w:sz w:val="24"/>
          <w:szCs w:val="24"/>
        </w:rPr>
        <w:t>e</w:t>
      </w:r>
      <w:r w:rsidR="00A24D89" w:rsidRPr="00E303A1">
        <w:rPr>
          <w:rFonts w:cs="Arial"/>
          <w:sz w:val="24"/>
          <w:szCs w:val="24"/>
        </w:rPr>
        <w:t xml:space="preserve"> u nizu strukturnih problema hrvatske ekonomije, </w:t>
      </w:r>
      <w:r>
        <w:rPr>
          <w:rFonts w:cs="Arial"/>
          <w:sz w:val="24"/>
          <w:szCs w:val="24"/>
        </w:rPr>
        <w:t xml:space="preserve">ali </w:t>
      </w:r>
      <w:r w:rsidR="00A24D89" w:rsidRPr="00E303A1">
        <w:rPr>
          <w:rFonts w:cs="Arial"/>
          <w:sz w:val="24"/>
          <w:szCs w:val="24"/>
        </w:rPr>
        <w:t>i faktor visokih troškova rada u Hrvatskoj</w:t>
      </w:r>
      <w:r>
        <w:rPr>
          <w:rFonts w:cs="Arial"/>
          <w:sz w:val="24"/>
          <w:szCs w:val="24"/>
        </w:rPr>
        <w:t xml:space="preserve"> (</w:t>
      </w:r>
      <w:r w:rsidR="002A2165">
        <w:rPr>
          <w:rFonts w:cs="Arial"/>
          <w:sz w:val="24"/>
          <w:szCs w:val="24"/>
        </w:rPr>
        <w:t xml:space="preserve">pa posljedično </w:t>
      </w:r>
      <w:r>
        <w:rPr>
          <w:rFonts w:cs="Arial"/>
          <w:sz w:val="24"/>
          <w:szCs w:val="24"/>
        </w:rPr>
        <w:t>nedovoljne konkurentnosti hrvatske proizvodnje i izvoza</w:t>
      </w:r>
      <w:r w:rsidR="002A2165">
        <w:rPr>
          <w:rFonts w:cs="Arial"/>
          <w:sz w:val="24"/>
          <w:szCs w:val="24"/>
        </w:rPr>
        <w:t>, uz istodobno visoku stopu produktivnosti rada</w:t>
      </w:r>
      <w:r>
        <w:rPr>
          <w:rFonts w:cs="Arial"/>
          <w:sz w:val="24"/>
          <w:szCs w:val="24"/>
        </w:rPr>
        <w:t>)</w:t>
      </w:r>
      <w:r w:rsidR="002A2165">
        <w:rPr>
          <w:rFonts w:cs="Arial"/>
          <w:sz w:val="24"/>
          <w:szCs w:val="24"/>
        </w:rPr>
        <w:t xml:space="preserve">. Sve navedeno odražava se na </w:t>
      </w:r>
      <w:r w:rsidR="00A24D89" w:rsidRPr="00E303A1">
        <w:rPr>
          <w:rFonts w:cs="Arial"/>
          <w:sz w:val="24"/>
          <w:szCs w:val="24"/>
        </w:rPr>
        <w:t>prosječn</w:t>
      </w:r>
      <w:r w:rsidR="002A2165">
        <w:rPr>
          <w:rFonts w:cs="Arial"/>
          <w:sz w:val="24"/>
          <w:szCs w:val="24"/>
        </w:rPr>
        <w:t>o niske</w:t>
      </w:r>
      <w:r w:rsidR="00A24D89" w:rsidRPr="00E303A1">
        <w:rPr>
          <w:rFonts w:cs="Arial"/>
          <w:sz w:val="24"/>
          <w:szCs w:val="24"/>
        </w:rPr>
        <w:t xml:space="preserve"> mirovine </w:t>
      </w:r>
      <w:r>
        <w:rPr>
          <w:rFonts w:cs="Arial"/>
          <w:sz w:val="24"/>
          <w:szCs w:val="24"/>
        </w:rPr>
        <w:t>zbog čega su umirovljenici značajnim dij</w:t>
      </w:r>
      <w:r w:rsidR="002A2165">
        <w:rPr>
          <w:rFonts w:cs="Arial"/>
          <w:sz w:val="24"/>
          <w:szCs w:val="24"/>
        </w:rPr>
        <w:t xml:space="preserve">elom izloženi riziku siromaštva. Kako se povijest ne bi ponavljala, od </w:t>
      </w:r>
      <w:r w:rsidR="002A2165" w:rsidRPr="00AE71A1">
        <w:rPr>
          <w:rFonts w:cs="Arial"/>
          <w:color w:val="000000" w:themeColor="text1"/>
          <w:sz w:val="24"/>
          <w:szCs w:val="24"/>
        </w:rPr>
        <w:t xml:space="preserve">novih generacija mladih i osoba u srednjoj dobi očekuje da </w:t>
      </w:r>
      <w:r w:rsidR="002A2165" w:rsidRPr="002A2165">
        <w:rPr>
          <w:rFonts w:cs="Arial"/>
          <w:color w:val="C00000"/>
          <w:sz w:val="24"/>
          <w:szCs w:val="24"/>
        </w:rPr>
        <w:t>na vrijeme poduzmu akcije za kumuliranje vlastite štednje za starost</w:t>
      </w:r>
      <w:r w:rsidR="002A2165">
        <w:rPr>
          <w:rFonts w:cs="Arial"/>
          <w:sz w:val="24"/>
          <w:szCs w:val="24"/>
        </w:rPr>
        <w:t xml:space="preserve">, odnosno pristupe </w:t>
      </w:r>
      <w:r w:rsidR="00AE71A1">
        <w:rPr>
          <w:rFonts w:cs="Arial"/>
          <w:color w:val="C00000"/>
          <w:sz w:val="24"/>
          <w:szCs w:val="24"/>
        </w:rPr>
        <w:t>izradi osobnih</w:t>
      </w:r>
      <w:r w:rsidR="002A2165" w:rsidRPr="002A2165">
        <w:rPr>
          <w:rFonts w:cs="Arial"/>
          <w:color w:val="C00000"/>
          <w:sz w:val="24"/>
          <w:szCs w:val="24"/>
        </w:rPr>
        <w:t xml:space="preserve"> mirovinskih planova </w:t>
      </w:r>
      <w:r w:rsidR="002A2165" w:rsidRPr="00AE71A1">
        <w:rPr>
          <w:rFonts w:cs="Arial"/>
          <w:color w:val="000000" w:themeColor="text1"/>
          <w:sz w:val="24"/>
          <w:szCs w:val="24"/>
        </w:rPr>
        <w:t>čijim ostvarivanjem će osigurati financijski sigurniju starost.</w:t>
      </w:r>
      <w:r w:rsidR="0094234E">
        <w:rPr>
          <w:rFonts w:cs="Arial"/>
          <w:color w:val="000000" w:themeColor="text1"/>
          <w:sz w:val="24"/>
          <w:szCs w:val="24"/>
        </w:rPr>
        <w:t xml:space="preserve"> </w:t>
      </w:r>
      <w:r w:rsidR="00AE71A1">
        <w:rPr>
          <w:rFonts w:cs="Arial"/>
          <w:sz w:val="24"/>
          <w:szCs w:val="24"/>
        </w:rPr>
        <w:t>U protivnom, z</w:t>
      </w:r>
      <w:r w:rsidR="002A2165" w:rsidRPr="000763DE">
        <w:rPr>
          <w:rFonts w:cs="Arial"/>
          <w:sz w:val="24"/>
          <w:szCs w:val="24"/>
        </w:rPr>
        <w:t>a</w:t>
      </w:r>
      <w:r w:rsidR="002A2165">
        <w:rPr>
          <w:rFonts w:cs="Arial"/>
          <w:color w:val="3E454A"/>
          <w:sz w:val="24"/>
          <w:szCs w:val="24"/>
        </w:rPr>
        <w:t xml:space="preserve"> </w:t>
      </w:r>
      <w:r w:rsidR="002A2165" w:rsidRPr="00AE71A1">
        <w:rPr>
          <w:rFonts w:cs="Arial"/>
          <w:color w:val="000000" w:themeColor="text1"/>
          <w:sz w:val="24"/>
          <w:szCs w:val="24"/>
        </w:rPr>
        <w:t>buduće umirovljenike koji se oslanjaju jedino na mirovine stečene kroz sustav obveznog mirovinskog osiguranja prilično je izvjesno da će većin</w:t>
      </w:r>
      <w:r w:rsidR="00AE71A1">
        <w:rPr>
          <w:rFonts w:cs="Arial"/>
          <w:color w:val="000000" w:themeColor="text1"/>
          <w:sz w:val="24"/>
          <w:szCs w:val="24"/>
        </w:rPr>
        <w:t>a</w:t>
      </w:r>
      <w:r w:rsidR="002A2165" w:rsidRPr="00AE71A1">
        <w:rPr>
          <w:rFonts w:cs="Arial"/>
          <w:color w:val="000000" w:themeColor="text1"/>
          <w:sz w:val="24"/>
          <w:szCs w:val="24"/>
        </w:rPr>
        <w:t xml:space="preserve"> njih </w:t>
      </w:r>
      <w:r w:rsidR="00AE71A1">
        <w:rPr>
          <w:rFonts w:cs="Arial"/>
          <w:color w:val="000000" w:themeColor="text1"/>
          <w:sz w:val="24"/>
          <w:szCs w:val="24"/>
        </w:rPr>
        <w:t xml:space="preserve">imati </w:t>
      </w:r>
      <w:r w:rsidR="002A2165" w:rsidRPr="000763DE">
        <w:rPr>
          <w:rFonts w:cs="Arial"/>
          <w:sz w:val="24"/>
          <w:szCs w:val="24"/>
        </w:rPr>
        <w:t xml:space="preserve">niske </w:t>
      </w:r>
      <w:r w:rsidR="00AE71A1">
        <w:rPr>
          <w:rFonts w:cs="Arial"/>
          <w:sz w:val="24"/>
          <w:szCs w:val="24"/>
        </w:rPr>
        <w:t xml:space="preserve">mirovine </w:t>
      </w:r>
      <w:r w:rsidR="002A2165" w:rsidRPr="00E303A1">
        <w:rPr>
          <w:rFonts w:cs="Arial"/>
          <w:sz w:val="24"/>
          <w:szCs w:val="24"/>
        </w:rPr>
        <w:t xml:space="preserve">(osim ukoliko </w:t>
      </w:r>
      <w:r w:rsidR="00AE71A1">
        <w:rPr>
          <w:rFonts w:cs="Arial"/>
          <w:sz w:val="24"/>
          <w:szCs w:val="24"/>
        </w:rPr>
        <w:t xml:space="preserve">eventualno </w:t>
      </w:r>
      <w:r w:rsidR="002A2165" w:rsidRPr="00E303A1">
        <w:rPr>
          <w:rFonts w:cs="Arial"/>
          <w:sz w:val="24"/>
          <w:szCs w:val="24"/>
        </w:rPr>
        <w:t>dođe do značajnog rasta broja zaposlenih i zna</w:t>
      </w:r>
      <w:r w:rsidR="00AE71A1">
        <w:rPr>
          <w:rFonts w:cs="Arial"/>
          <w:sz w:val="24"/>
          <w:szCs w:val="24"/>
        </w:rPr>
        <w:t>čajnijih demografskih promjena te</w:t>
      </w:r>
      <w:r w:rsidR="002A2165" w:rsidRPr="00E303A1">
        <w:rPr>
          <w:rFonts w:cs="Arial"/>
          <w:sz w:val="24"/>
          <w:szCs w:val="24"/>
        </w:rPr>
        <w:t xml:space="preserve"> </w:t>
      </w:r>
      <w:r w:rsidR="00AE71A1">
        <w:rPr>
          <w:rFonts w:cs="Arial"/>
          <w:sz w:val="24"/>
          <w:szCs w:val="24"/>
        </w:rPr>
        <w:t xml:space="preserve">izraženijih </w:t>
      </w:r>
      <w:r w:rsidR="002A2165" w:rsidRPr="00E303A1">
        <w:rPr>
          <w:rFonts w:cs="Arial"/>
          <w:sz w:val="24"/>
          <w:szCs w:val="24"/>
        </w:rPr>
        <w:t>migracijskih procesa</w:t>
      </w:r>
      <w:r w:rsidR="002A2165" w:rsidRPr="00827701">
        <w:rPr>
          <w:rFonts w:cs="Arial"/>
          <w:color w:val="C00000"/>
          <w:sz w:val="24"/>
          <w:szCs w:val="24"/>
        </w:rPr>
        <w:t xml:space="preserve"> </w:t>
      </w:r>
      <w:r w:rsidR="002A2165" w:rsidRPr="000763DE">
        <w:rPr>
          <w:rFonts w:cs="Arial"/>
          <w:sz w:val="24"/>
          <w:szCs w:val="24"/>
        </w:rPr>
        <w:t xml:space="preserve">koji bi pridonijeli rastu prirodnog priraštaja stanovništva </w:t>
      </w:r>
      <w:r w:rsidR="00AE71A1">
        <w:rPr>
          <w:rFonts w:cs="Arial"/>
          <w:sz w:val="24"/>
          <w:szCs w:val="24"/>
        </w:rPr>
        <w:t xml:space="preserve">RH </w:t>
      </w:r>
      <w:r w:rsidR="002A2165" w:rsidRPr="000763DE">
        <w:rPr>
          <w:rFonts w:cs="Arial"/>
          <w:sz w:val="24"/>
          <w:szCs w:val="24"/>
        </w:rPr>
        <w:t>uz rast broja mladih zaposlenih osoba u radno aktivnoj dobi u odnosu na umirovljenike</w:t>
      </w:r>
      <w:r w:rsidR="00AE71A1">
        <w:rPr>
          <w:rFonts w:cs="Arial"/>
          <w:sz w:val="24"/>
          <w:szCs w:val="24"/>
        </w:rPr>
        <w:t xml:space="preserve">, odnosno pod pretpostavkom </w:t>
      </w:r>
      <w:r w:rsidR="002A2165" w:rsidRPr="000763DE">
        <w:rPr>
          <w:rFonts w:cs="Arial"/>
          <w:sz w:val="24"/>
          <w:szCs w:val="24"/>
        </w:rPr>
        <w:t>stvaranj</w:t>
      </w:r>
      <w:r w:rsidR="00AE71A1">
        <w:rPr>
          <w:rFonts w:cs="Arial"/>
          <w:sz w:val="24"/>
          <w:szCs w:val="24"/>
        </w:rPr>
        <w:t xml:space="preserve">a znatno </w:t>
      </w:r>
      <w:r w:rsidR="002A2165" w:rsidRPr="000763DE">
        <w:rPr>
          <w:rFonts w:cs="Arial"/>
          <w:sz w:val="24"/>
          <w:szCs w:val="24"/>
        </w:rPr>
        <w:t xml:space="preserve">veće dodane vrijednosti i </w:t>
      </w:r>
      <w:r w:rsidR="00AE71A1">
        <w:rPr>
          <w:rFonts w:cs="Arial"/>
          <w:sz w:val="24"/>
          <w:szCs w:val="24"/>
        </w:rPr>
        <w:t xml:space="preserve">znatno većih </w:t>
      </w:r>
      <w:r w:rsidR="002A2165" w:rsidRPr="000763DE">
        <w:rPr>
          <w:rFonts w:cs="Arial"/>
          <w:sz w:val="24"/>
          <w:szCs w:val="24"/>
        </w:rPr>
        <w:t>uplata</w:t>
      </w:r>
      <w:r w:rsidR="00AE71A1">
        <w:rPr>
          <w:rFonts w:cs="Arial"/>
          <w:sz w:val="24"/>
          <w:szCs w:val="24"/>
        </w:rPr>
        <w:t xml:space="preserve"> </w:t>
      </w:r>
      <w:r w:rsidR="002A2165" w:rsidRPr="000763DE">
        <w:rPr>
          <w:rFonts w:cs="Arial"/>
          <w:sz w:val="24"/>
          <w:szCs w:val="24"/>
        </w:rPr>
        <w:t>obveznih mirovinskih doprinosa</w:t>
      </w:r>
      <w:r w:rsidR="002A2165">
        <w:rPr>
          <w:rFonts w:cs="Arial"/>
          <w:sz w:val="24"/>
          <w:szCs w:val="24"/>
        </w:rPr>
        <w:t>)</w:t>
      </w:r>
      <w:r w:rsidR="002A2165" w:rsidRPr="000763DE">
        <w:rPr>
          <w:rFonts w:cs="Arial"/>
          <w:sz w:val="24"/>
          <w:szCs w:val="24"/>
        </w:rPr>
        <w:t xml:space="preserve">. </w:t>
      </w:r>
    </w:p>
    <w:p w:rsidR="00D22046" w:rsidRPr="000763DE" w:rsidRDefault="00D22046" w:rsidP="00D22046">
      <w:pPr>
        <w:shd w:val="clear" w:color="auto" w:fill="FFFFFF"/>
        <w:spacing w:before="240" w:line="271" w:lineRule="auto"/>
        <w:jc w:val="both"/>
        <w:rPr>
          <w:rFonts w:cs="Arial"/>
          <w:sz w:val="24"/>
          <w:szCs w:val="24"/>
        </w:rPr>
      </w:pPr>
      <w:r w:rsidRPr="000763DE">
        <w:rPr>
          <w:rFonts w:cs="Arial"/>
          <w:sz w:val="24"/>
          <w:szCs w:val="24"/>
        </w:rPr>
        <w:t>Rizici dugovječnosti, siromaštva, dohotka i niz drugih sve više se</w:t>
      </w:r>
      <w:r w:rsidRPr="00E22E96">
        <w:rPr>
          <w:rFonts w:cs="Arial"/>
          <w:sz w:val="24"/>
          <w:szCs w:val="24"/>
        </w:rPr>
        <w:t xml:space="preserve"> </w:t>
      </w:r>
      <w:r w:rsidRPr="00827701">
        <w:rPr>
          <w:rFonts w:cs="Arial"/>
          <w:color w:val="C00000"/>
          <w:sz w:val="24"/>
          <w:szCs w:val="24"/>
        </w:rPr>
        <w:t>individualiziraju i zahtijevaju od pojedinca formiranje dodatne vlastite štednje za starost</w:t>
      </w:r>
      <w:r>
        <w:rPr>
          <w:rFonts w:cs="Arial"/>
          <w:color w:val="3E454A"/>
          <w:sz w:val="24"/>
          <w:szCs w:val="24"/>
        </w:rPr>
        <w:t xml:space="preserve">. </w:t>
      </w:r>
      <w:r w:rsidRPr="000763DE">
        <w:rPr>
          <w:rFonts w:cs="Arial"/>
          <w:sz w:val="24"/>
          <w:szCs w:val="24"/>
        </w:rPr>
        <w:t>U tome mogu biti od koristi svi do sada spominjani postupci povećanja vlastite štednje i bogatstva pojedinca</w:t>
      </w:r>
      <w:r>
        <w:rPr>
          <w:rFonts w:cs="Arial"/>
          <w:sz w:val="24"/>
          <w:szCs w:val="24"/>
        </w:rPr>
        <w:t xml:space="preserve"> (dobre financijske navike)</w:t>
      </w:r>
      <w:r w:rsidRPr="000763DE">
        <w:rPr>
          <w:rFonts w:cs="Arial"/>
          <w:sz w:val="24"/>
          <w:szCs w:val="24"/>
        </w:rPr>
        <w:t>, korištenje štedno-ulagačkih proizvoda, ali i sredstva kapitalizirana kroz financijske investicije (uključujući i ulaganja u dionice) ili ulaganja u realnu imovinu (nekretnine, zlato itd.) koja se po potrebi mogu unovčiti u godinama starosti i umirovljenja te tada predstavljati dodatan izvor primitaka u budžetu kućanstva.</w:t>
      </w:r>
      <w:r>
        <w:rPr>
          <w:rFonts w:cs="Arial"/>
          <w:sz w:val="24"/>
          <w:szCs w:val="24"/>
        </w:rPr>
        <w:t xml:space="preserve"> Koliko je važno na vrijeme početi voditi računa o ovim pitanjima najbolje pokazuju podaci o kretanju visina postojećih mirovina u Hrvatskoj, kao i ranije spominjani podaci o stopi rizika siromaštva kod starijih, a posebno starijih samačkih kućanstva. </w:t>
      </w:r>
    </w:p>
    <w:p w:rsidR="00D22046" w:rsidRDefault="00D22046" w:rsidP="00D22046">
      <w:pPr>
        <w:pStyle w:val="StandardWeb"/>
        <w:shd w:val="clear" w:color="auto" w:fill="FFFFFF"/>
        <w:spacing w:before="0" w:beforeAutospacing="0" w:after="120" w:afterAutospacing="0" w:line="276" w:lineRule="auto"/>
        <w:jc w:val="both"/>
        <w:rPr>
          <w:rFonts w:asciiTheme="minorHAnsi" w:eastAsiaTheme="minorHAnsi" w:hAnsiTheme="minorHAnsi" w:cs="Arial"/>
          <w:lang w:eastAsia="en-US"/>
        </w:rPr>
      </w:pPr>
      <w:r>
        <w:rPr>
          <w:rFonts w:asciiTheme="minorHAnsi" w:eastAsiaTheme="minorHAnsi" w:hAnsiTheme="minorHAnsi" w:cs="Arial"/>
          <w:lang w:eastAsia="en-US"/>
        </w:rPr>
        <w:t xml:space="preserve">Prosječna mirovina u Hrvatskoj (koja se isplaćuje temeljem Zakona o mirovinskom osiguranju, neovisno o vrsti) iznosi 2.233,31 kunu, a kada se uzmu u obzir i mirovine po posebnim propisima 2.419.41 kunu (tablica 23). Pri tome prosječna starosna mirovina iznosi svega 2.467,49 kuna, što čini oko 42% prosječne neto plaće prema podacima za lipanj 2015. </w:t>
      </w:r>
    </w:p>
    <w:p w:rsidR="00D22046" w:rsidRDefault="00D22046" w:rsidP="00D22046">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p>
    <w:p w:rsidR="00D22046" w:rsidRPr="00F901A6" w:rsidRDefault="00D22046" w:rsidP="00D22046">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r w:rsidRPr="00F901A6">
        <w:rPr>
          <w:rFonts w:asciiTheme="minorHAnsi" w:eastAsiaTheme="minorHAnsi" w:hAnsiTheme="minorHAnsi" w:cs="Arial"/>
          <w:b/>
          <w:lang w:eastAsia="en-US"/>
        </w:rPr>
        <w:lastRenderedPageBreak/>
        <w:t>Tablica 23: Pregled osnovnih podataka o stanju u mirovinskom sustavu Hrvatske</w:t>
      </w:r>
    </w:p>
    <w:p w:rsidR="00D22046" w:rsidRPr="00E22E96" w:rsidRDefault="00D22046" w:rsidP="00D22046">
      <w:pPr>
        <w:pStyle w:val="StandardWeb"/>
        <w:shd w:val="clear" w:color="auto" w:fill="FFFFFF"/>
        <w:spacing w:before="0" w:beforeAutospacing="0" w:after="150" w:afterAutospacing="0" w:line="240" w:lineRule="atLeast"/>
        <w:rPr>
          <w:rFonts w:asciiTheme="minorHAnsi" w:eastAsiaTheme="minorHAnsi" w:hAnsiTheme="minorHAnsi" w:cs="Arial"/>
          <w:lang w:eastAsia="en-US"/>
        </w:rPr>
      </w:pPr>
      <w:r>
        <w:rPr>
          <w:rFonts w:asciiTheme="minorHAnsi" w:eastAsiaTheme="minorHAnsi" w:hAnsiTheme="minorHAnsi" w:cs="Arial"/>
          <w:noProof/>
        </w:rPr>
        <w:drawing>
          <wp:inline distT="0" distB="0" distL="0" distR="0" wp14:anchorId="4E8E84C8" wp14:editId="4C88DAE0">
            <wp:extent cx="5753100" cy="2152650"/>
            <wp:effectExtent l="0" t="0" r="0" b="0"/>
            <wp:docPr id="29704" name="Slika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53100" cy="2152650"/>
                    </a:xfrm>
                    <a:prstGeom prst="rect">
                      <a:avLst/>
                    </a:prstGeom>
                    <a:noFill/>
                    <a:ln>
                      <a:noFill/>
                    </a:ln>
                  </pic:spPr>
                </pic:pic>
              </a:graphicData>
            </a:graphic>
          </wp:inline>
        </w:drawing>
      </w:r>
    </w:p>
    <w:p w:rsidR="00D22046" w:rsidRDefault="00D22046" w:rsidP="00D22046">
      <w:pPr>
        <w:pStyle w:val="StandardWeb"/>
        <w:shd w:val="clear" w:color="auto" w:fill="FFFFFF"/>
        <w:spacing w:before="0" w:beforeAutospacing="0" w:after="150" w:afterAutospacing="0" w:line="240" w:lineRule="atLeast"/>
        <w:jc w:val="center"/>
        <w:rPr>
          <w:rFonts w:asciiTheme="minorHAnsi" w:eastAsiaTheme="minorHAnsi" w:hAnsiTheme="minorHAnsi" w:cs="Arial"/>
          <w:sz w:val="20"/>
          <w:szCs w:val="20"/>
          <w:lang w:eastAsia="en-US"/>
        </w:rPr>
      </w:pPr>
      <w:r>
        <w:rPr>
          <w:rFonts w:asciiTheme="minorHAnsi" w:eastAsiaTheme="minorHAnsi" w:hAnsiTheme="minorHAnsi" w:cs="Arial"/>
          <w:b/>
          <w:noProof/>
        </w:rPr>
        <w:drawing>
          <wp:inline distT="0" distB="0" distL="0" distR="0" wp14:anchorId="3941A4A2" wp14:editId="2655ABDA">
            <wp:extent cx="4281003" cy="2369702"/>
            <wp:effectExtent l="0" t="0" r="5715" b="0"/>
            <wp:docPr id="29705" name="Slika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284348" cy="2371553"/>
                    </a:xfrm>
                    <a:prstGeom prst="rect">
                      <a:avLst/>
                    </a:prstGeom>
                    <a:noFill/>
                    <a:ln>
                      <a:noFill/>
                    </a:ln>
                  </pic:spPr>
                </pic:pic>
              </a:graphicData>
            </a:graphic>
          </wp:inline>
        </w:drawing>
      </w:r>
    </w:p>
    <w:p w:rsidR="00D22046" w:rsidRPr="001E4B0F" w:rsidRDefault="00D22046" w:rsidP="00D22046">
      <w:pPr>
        <w:pStyle w:val="StandardWeb"/>
        <w:shd w:val="clear" w:color="auto" w:fill="FFFFFF"/>
        <w:spacing w:before="0" w:beforeAutospacing="0" w:after="150" w:afterAutospacing="0" w:line="240" w:lineRule="atLeast"/>
        <w:rPr>
          <w:rFonts w:asciiTheme="minorHAnsi" w:eastAsiaTheme="minorHAnsi" w:hAnsiTheme="minorHAnsi" w:cs="Arial"/>
          <w:sz w:val="20"/>
          <w:szCs w:val="20"/>
          <w:lang w:eastAsia="en-US"/>
        </w:rPr>
      </w:pPr>
      <w:r w:rsidRPr="001E4B0F">
        <w:rPr>
          <w:rFonts w:asciiTheme="minorHAnsi" w:eastAsiaTheme="minorHAnsi" w:hAnsiTheme="minorHAnsi" w:cs="Arial"/>
          <w:sz w:val="20"/>
          <w:szCs w:val="20"/>
          <w:lang w:eastAsia="en-US"/>
        </w:rPr>
        <w:t>Izvor: HZMO</w:t>
      </w:r>
      <w:r>
        <w:rPr>
          <w:rFonts w:asciiTheme="minorHAnsi" w:eastAsiaTheme="minorHAnsi" w:hAnsiTheme="minorHAnsi" w:cs="Arial"/>
          <w:sz w:val="20"/>
          <w:szCs w:val="20"/>
          <w:lang w:eastAsia="en-US"/>
        </w:rPr>
        <w:t xml:space="preserve"> (srpanj 2015.)</w:t>
      </w:r>
      <w:r w:rsidRPr="001E4B0F">
        <w:rPr>
          <w:rFonts w:asciiTheme="minorHAnsi" w:eastAsiaTheme="minorHAnsi" w:hAnsiTheme="minorHAnsi" w:cs="Arial"/>
          <w:sz w:val="20"/>
          <w:szCs w:val="20"/>
          <w:lang w:eastAsia="en-US"/>
        </w:rPr>
        <w:t>, dostupno na: http://www.mirovinsko.hr/UserDocsImages/Osnovni%20podaci%202015/osnovni%20podaci%202015-08%20HR.pdf</w:t>
      </w:r>
    </w:p>
    <w:p w:rsidR="00D22046" w:rsidRDefault="00D22046" w:rsidP="00D22046">
      <w:pPr>
        <w:pStyle w:val="StandardWeb"/>
        <w:shd w:val="clear" w:color="auto" w:fill="FFFFFF"/>
        <w:spacing w:before="0" w:beforeAutospacing="0" w:after="120" w:afterAutospacing="0" w:line="276" w:lineRule="auto"/>
        <w:jc w:val="both"/>
        <w:rPr>
          <w:rFonts w:asciiTheme="minorHAnsi" w:eastAsiaTheme="minorHAnsi" w:hAnsiTheme="minorHAnsi" w:cs="Arial"/>
          <w:lang w:eastAsia="en-US"/>
        </w:rPr>
      </w:pPr>
      <w:r>
        <w:rPr>
          <w:rFonts w:asciiTheme="minorHAnsi" w:eastAsiaTheme="minorHAnsi" w:hAnsiTheme="minorHAnsi" w:cs="Arial"/>
          <w:lang w:eastAsia="en-US"/>
        </w:rPr>
        <w:t xml:space="preserve">Situacija je nešto bolja u slučaju prosječnih starosnih mirovina s 40 i više godina radnog staža koje iznose </w:t>
      </w:r>
      <w:r w:rsidRPr="001E4B0F">
        <w:rPr>
          <w:rFonts w:asciiTheme="minorHAnsi" w:eastAsiaTheme="minorHAnsi" w:hAnsiTheme="minorHAnsi" w:cs="Arial"/>
          <w:lang w:eastAsia="en-US"/>
        </w:rPr>
        <w:t xml:space="preserve">3.374,08 kuna te su na razini oko 58% neto plaće (pri čemu korisnici takvih mirovina čine svega 19,39% ukupnog broja korisnika starosnih mirovina. </w:t>
      </w:r>
    </w:p>
    <w:p w:rsidR="001E4B0F" w:rsidRDefault="00E303A1" w:rsidP="00996DCF">
      <w:pPr>
        <w:pStyle w:val="StandardWeb"/>
        <w:shd w:val="clear" w:color="auto" w:fill="FFFFFF"/>
        <w:spacing w:before="120" w:beforeAutospacing="0" w:after="120" w:afterAutospacing="0" w:line="276" w:lineRule="auto"/>
        <w:jc w:val="both"/>
        <w:rPr>
          <w:rFonts w:asciiTheme="minorHAnsi" w:eastAsiaTheme="minorHAnsi" w:hAnsiTheme="minorHAnsi" w:cs="Arial"/>
          <w:lang w:eastAsia="en-US"/>
        </w:rPr>
      </w:pPr>
      <w:r w:rsidRPr="00996DCF">
        <w:rPr>
          <w:rFonts w:asciiTheme="minorHAnsi" w:eastAsiaTheme="minorHAnsi" w:hAnsiTheme="minorHAnsi" w:cs="Arial"/>
          <w:lang w:eastAsia="en-US"/>
        </w:rPr>
        <w:t xml:space="preserve">Prosječan </w:t>
      </w:r>
      <w:r w:rsidR="00996DCF" w:rsidRPr="00996DCF">
        <w:rPr>
          <w:rFonts w:asciiTheme="minorHAnsi" w:eastAsiaTheme="minorHAnsi" w:hAnsiTheme="minorHAnsi" w:cs="Arial"/>
          <w:lang w:eastAsia="en-US"/>
        </w:rPr>
        <w:t>radni</w:t>
      </w:r>
      <w:r w:rsidRPr="00996DCF">
        <w:rPr>
          <w:rFonts w:asciiTheme="minorHAnsi" w:eastAsiaTheme="minorHAnsi" w:hAnsiTheme="minorHAnsi" w:cs="Arial"/>
          <w:lang w:eastAsia="en-US"/>
        </w:rPr>
        <w:t xml:space="preserve"> staž korisnika starosnih mirovina niži je u slučaju žena, nego muškaraca</w:t>
      </w:r>
      <w:r w:rsidR="00996DCF" w:rsidRPr="00996DCF">
        <w:rPr>
          <w:rFonts w:asciiTheme="minorHAnsi" w:eastAsiaTheme="minorHAnsi" w:hAnsiTheme="minorHAnsi" w:cs="Arial"/>
          <w:lang w:eastAsia="en-US"/>
        </w:rPr>
        <w:t xml:space="preserve">, a u prosjeku za oba spola iznosi 31 godinu, 8 mjeseci i 20 dana. U slučaju invalidskih mirovina prosječni radni staž iznosi 22 godine, 4 mjeseca i 13 dana. S druge strane prema podacima za srpanj 2015. postojeći umirovljenici koriste mirovinu u prosjeku već 20 godina i 5 mjeseci, dok je to kod muškaraca 18 godina i 9 mjeseci, a kod žena 23 godine i 1 mjesec.  </w:t>
      </w:r>
    </w:p>
    <w:p w:rsidR="00D22046" w:rsidRDefault="00D22046" w:rsidP="00996DCF">
      <w:pPr>
        <w:pStyle w:val="StandardWeb"/>
        <w:shd w:val="clear" w:color="auto" w:fill="FFFFFF"/>
        <w:spacing w:before="120" w:beforeAutospacing="0" w:after="120" w:afterAutospacing="0" w:line="276" w:lineRule="auto"/>
        <w:jc w:val="both"/>
        <w:rPr>
          <w:rFonts w:asciiTheme="minorHAnsi" w:eastAsiaTheme="minorHAnsi" w:hAnsiTheme="minorHAnsi" w:cs="Arial"/>
          <w:lang w:eastAsia="en-US"/>
        </w:rPr>
      </w:pPr>
      <w:r>
        <w:rPr>
          <w:rFonts w:asciiTheme="minorHAnsi" w:eastAsiaTheme="minorHAnsi" w:hAnsiTheme="minorHAnsi" w:cs="Arial"/>
          <w:lang w:eastAsia="en-US"/>
        </w:rPr>
        <w:t xml:space="preserve">Podaci u tablici 24 ukazuju da je kod korisnika starosnih mirovina koji su pravo ostvarili u 2015. godini zabilježen prosječni radni staž 30 godina 11 mjeseci i 2 dana uz prosječnu dob odlaska u mirovinu s 63 godine i 10 mjeseci. Pri tome je dob odlaska u prijevremenu </w:t>
      </w:r>
      <w:r w:rsidR="004D0C2C">
        <w:rPr>
          <w:rFonts w:asciiTheme="minorHAnsi" w:eastAsiaTheme="minorHAnsi" w:hAnsiTheme="minorHAnsi" w:cs="Arial"/>
          <w:lang w:eastAsia="en-US"/>
        </w:rPr>
        <w:t xml:space="preserve">starosnu </w:t>
      </w:r>
      <w:r>
        <w:rPr>
          <w:rFonts w:asciiTheme="minorHAnsi" w:eastAsiaTheme="minorHAnsi" w:hAnsiTheme="minorHAnsi" w:cs="Arial"/>
          <w:lang w:eastAsia="en-US"/>
        </w:rPr>
        <w:t xml:space="preserve">mirovinu </w:t>
      </w:r>
      <w:r w:rsidR="004D0C2C">
        <w:rPr>
          <w:rFonts w:asciiTheme="minorHAnsi" w:eastAsiaTheme="minorHAnsi" w:hAnsiTheme="minorHAnsi" w:cs="Arial"/>
          <w:lang w:eastAsia="en-US"/>
        </w:rPr>
        <w:t xml:space="preserve">i prijevremenu starosnu mirovinu </w:t>
      </w:r>
      <w:r>
        <w:rPr>
          <w:rFonts w:asciiTheme="minorHAnsi" w:eastAsiaTheme="minorHAnsi" w:hAnsiTheme="minorHAnsi" w:cs="Arial"/>
          <w:lang w:eastAsia="en-US"/>
        </w:rPr>
        <w:t xml:space="preserve">zbog stečaja </w:t>
      </w:r>
      <w:r w:rsidR="004D0C2C">
        <w:rPr>
          <w:rFonts w:asciiTheme="minorHAnsi" w:eastAsiaTheme="minorHAnsi" w:hAnsiTheme="minorHAnsi" w:cs="Arial"/>
          <w:lang w:eastAsia="en-US"/>
        </w:rPr>
        <w:t xml:space="preserve">poslodavca (uz berem dvije godine traženja posla i registrirane nezaposlenosti) prosječno  59 godina. </w:t>
      </w:r>
    </w:p>
    <w:p w:rsidR="00A721DD" w:rsidRPr="00996DCF" w:rsidRDefault="00A721DD" w:rsidP="00996DCF">
      <w:pPr>
        <w:pStyle w:val="StandardWeb"/>
        <w:shd w:val="clear" w:color="auto" w:fill="FFFFFF"/>
        <w:spacing w:before="120" w:beforeAutospacing="0" w:after="120" w:afterAutospacing="0" w:line="276" w:lineRule="auto"/>
        <w:jc w:val="both"/>
        <w:rPr>
          <w:rFonts w:asciiTheme="minorHAnsi" w:eastAsiaTheme="minorHAnsi" w:hAnsiTheme="minorHAnsi" w:cs="Arial"/>
          <w:lang w:eastAsia="en-US"/>
        </w:rPr>
      </w:pPr>
    </w:p>
    <w:p w:rsidR="001E4B0F" w:rsidRDefault="00E303A1" w:rsidP="0088486C">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r>
        <w:rPr>
          <w:rFonts w:asciiTheme="minorHAnsi" w:eastAsiaTheme="minorHAnsi" w:hAnsiTheme="minorHAnsi" w:cs="Arial"/>
          <w:b/>
          <w:lang w:eastAsia="en-US"/>
        </w:rPr>
        <w:lastRenderedPageBreak/>
        <w:t>Tablica 2</w:t>
      </w:r>
      <w:r w:rsidR="00D22046">
        <w:rPr>
          <w:rFonts w:asciiTheme="minorHAnsi" w:eastAsiaTheme="minorHAnsi" w:hAnsiTheme="minorHAnsi" w:cs="Arial"/>
          <w:b/>
          <w:lang w:eastAsia="en-US"/>
        </w:rPr>
        <w:t>4</w:t>
      </w:r>
      <w:r>
        <w:rPr>
          <w:rFonts w:asciiTheme="minorHAnsi" w:eastAsiaTheme="minorHAnsi" w:hAnsiTheme="minorHAnsi" w:cs="Arial"/>
          <w:b/>
          <w:lang w:eastAsia="en-US"/>
        </w:rPr>
        <w:t xml:space="preserve">: </w:t>
      </w:r>
      <w:r w:rsidRPr="00E303A1">
        <w:rPr>
          <w:rFonts w:asciiTheme="minorHAnsi" w:eastAsiaTheme="minorHAnsi" w:hAnsiTheme="minorHAnsi" w:cs="Arial"/>
          <w:b/>
          <w:lang w:eastAsia="en-US"/>
        </w:rPr>
        <w:t xml:space="preserve">Obilježja korisnika mirovina </w:t>
      </w:r>
      <w:r w:rsidR="009A670E">
        <w:rPr>
          <w:rFonts w:asciiTheme="minorHAnsi" w:eastAsiaTheme="minorHAnsi" w:hAnsiTheme="minorHAnsi" w:cs="Arial"/>
          <w:b/>
          <w:lang w:eastAsia="en-US"/>
        </w:rPr>
        <w:t xml:space="preserve">preko HZMO </w:t>
      </w:r>
      <w:r>
        <w:rPr>
          <w:rFonts w:asciiTheme="minorHAnsi" w:eastAsiaTheme="minorHAnsi" w:hAnsiTheme="minorHAnsi" w:cs="Arial"/>
          <w:b/>
          <w:lang w:eastAsia="en-US"/>
        </w:rPr>
        <w:t>koji su pravo ostvarili do srpnja 2015.</w:t>
      </w:r>
    </w:p>
    <w:p w:rsidR="00E303A1" w:rsidRDefault="00E303A1" w:rsidP="0088486C">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r>
        <w:rPr>
          <w:rFonts w:asciiTheme="minorHAnsi" w:eastAsiaTheme="minorHAnsi" w:hAnsiTheme="minorHAnsi" w:cs="Arial"/>
          <w:b/>
          <w:noProof/>
        </w:rPr>
        <w:drawing>
          <wp:inline distT="0" distB="0" distL="0" distR="0" wp14:anchorId="3FAE8B3C" wp14:editId="262049C0">
            <wp:extent cx="5762625" cy="6143625"/>
            <wp:effectExtent l="0" t="0" r="9525" b="9525"/>
            <wp:docPr id="29710" name="Slika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62625" cy="6143625"/>
                    </a:xfrm>
                    <a:prstGeom prst="rect">
                      <a:avLst/>
                    </a:prstGeom>
                    <a:noFill/>
                    <a:ln>
                      <a:noFill/>
                    </a:ln>
                  </pic:spPr>
                </pic:pic>
              </a:graphicData>
            </a:graphic>
          </wp:inline>
        </w:drawing>
      </w:r>
    </w:p>
    <w:p w:rsidR="00E303A1" w:rsidRPr="009B50E4" w:rsidRDefault="00E303A1" w:rsidP="00E303A1">
      <w:pPr>
        <w:pStyle w:val="StandardWeb"/>
        <w:shd w:val="clear" w:color="auto" w:fill="FFFFFF"/>
        <w:spacing w:before="0" w:beforeAutospacing="0" w:after="150" w:afterAutospacing="0" w:line="240" w:lineRule="atLeast"/>
        <w:rPr>
          <w:rFonts w:asciiTheme="minorHAnsi" w:eastAsiaTheme="minorHAnsi" w:hAnsiTheme="minorHAnsi" w:cs="Arial"/>
          <w:sz w:val="20"/>
          <w:szCs w:val="20"/>
          <w:lang w:eastAsia="en-US"/>
        </w:rPr>
      </w:pPr>
      <w:r w:rsidRPr="009B50E4">
        <w:rPr>
          <w:rFonts w:asciiTheme="minorHAnsi" w:eastAsiaTheme="minorHAnsi" w:hAnsiTheme="minorHAnsi" w:cs="Arial"/>
          <w:sz w:val="20"/>
          <w:szCs w:val="20"/>
          <w:lang w:eastAsia="en-US"/>
        </w:rPr>
        <w:t>Izvor: HZMO (srpanj 2015.)</w:t>
      </w:r>
      <w:r w:rsidR="006826C0">
        <w:rPr>
          <w:rFonts w:asciiTheme="minorHAnsi" w:eastAsiaTheme="minorHAnsi" w:hAnsiTheme="minorHAnsi" w:cs="Arial"/>
          <w:sz w:val="20"/>
          <w:szCs w:val="20"/>
          <w:lang w:eastAsia="en-US"/>
        </w:rPr>
        <w:t>, dostupno na :h</w:t>
      </w:r>
      <w:r w:rsidRPr="009B50E4">
        <w:rPr>
          <w:rFonts w:asciiTheme="minorHAnsi" w:eastAsiaTheme="minorHAnsi" w:hAnsiTheme="minorHAnsi" w:cs="Arial"/>
          <w:sz w:val="20"/>
          <w:szCs w:val="20"/>
          <w:lang w:eastAsia="en-US"/>
        </w:rPr>
        <w:t>ttp://www.mirovinsko.hr/UserDocsImages/Osnovni%20podac</w:t>
      </w:r>
      <w:r w:rsidR="006826C0">
        <w:rPr>
          <w:rFonts w:asciiTheme="minorHAnsi" w:eastAsiaTheme="minorHAnsi" w:hAnsiTheme="minorHAnsi" w:cs="Arial"/>
          <w:sz w:val="20"/>
          <w:szCs w:val="20"/>
          <w:lang w:eastAsia="en-US"/>
        </w:rPr>
        <w:t xml:space="preserve"> </w:t>
      </w:r>
      <w:r w:rsidRPr="009B50E4">
        <w:rPr>
          <w:rFonts w:asciiTheme="minorHAnsi" w:eastAsiaTheme="minorHAnsi" w:hAnsiTheme="minorHAnsi" w:cs="Arial"/>
          <w:sz w:val="20"/>
          <w:szCs w:val="20"/>
          <w:lang w:eastAsia="en-US"/>
        </w:rPr>
        <w:t>i%202015/osnovni%20podaci%202015-08%20HR.pdf</w:t>
      </w:r>
    </w:p>
    <w:p w:rsidR="00822AFE" w:rsidRPr="00E519CF" w:rsidRDefault="001E4B0F" w:rsidP="006826C0">
      <w:pPr>
        <w:pStyle w:val="StandardWeb"/>
        <w:shd w:val="clear" w:color="auto" w:fill="FFFFFF"/>
        <w:spacing w:before="0" w:beforeAutospacing="0" w:after="200" w:afterAutospacing="0" w:line="276" w:lineRule="auto"/>
        <w:jc w:val="both"/>
        <w:rPr>
          <w:rFonts w:asciiTheme="minorHAnsi" w:eastAsiaTheme="minorHAnsi" w:hAnsiTheme="minorHAnsi" w:cs="Arial"/>
          <w:color w:val="C00000"/>
          <w:lang w:eastAsia="en-US"/>
        </w:rPr>
      </w:pPr>
      <w:r w:rsidRPr="009B50E4">
        <w:rPr>
          <w:rFonts w:asciiTheme="minorHAnsi" w:eastAsiaTheme="minorHAnsi" w:hAnsiTheme="minorHAnsi" w:cs="Arial"/>
          <w:lang w:eastAsia="en-US"/>
        </w:rPr>
        <w:t>Prema podacima HZMO za kraj srpnja 2015. u Zavodu je registrirano 1.481.193 osiguranika</w:t>
      </w:r>
      <w:r w:rsidR="00E303A1" w:rsidRPr="009B50E4">
        <w:rPr>
          <w:rFonts w:asciiTheme="minorHAnsi" w:eastAsiaTheme="minorHAnsi" w:hAnsiTheme="minorHAnsi" w:cs="Arial"/>
          <w:lang w:eastAsia="en-US"/>
        </w:rPr>
        <w:t xml:space="preserve"> (</w:t>
      </w:r>
      <w:r w:rsidR="004D0C2C">
        <w:rPr>
          <w:rFonts w:asciiTheme="minorHAnsi" w:eastAsiaTheme="minorHAnsi" w:hAnsiTheme="minorHAnsi" w:cs="Arial"/>
          <w:lang w:eastAsia="en-US"/>
        </w:rPr>
        <w:t xml:space="preserve">uključujući </w:t>
      </w:r>
      <w:r w:rsidR="00E303A1" w:rsidRPr="009B50E4">
        <w:rPr>
          <w:rFonts w:asciiTheme="minorHAnsi" w:eastAsiaTheme="minorHAnsi" w:hAnsiTheme="minorHAnsi" w:cs="Arial"/>
          <w:lang w:eastAsia="en-US"/>
        </w:rPr>
        <w:t>zaposlen</w:t>
      </w:r>
      <w:r w:rsidR="004D0C2C">
        <w:rPr>
          <w:rFonts w:asciiTheme="minorHAnsi" w:eastAsiaTheme="minorHAnsi" w:hAnsiTheme="minorHAnsi" w:cs="Arial"/>
          <w:lang w:eastAsia="en-US"/>
        </w:rPr>
        <w:t>e</w:t>
      </w:r>
      <w:r w:rsidR="00E303A1" w:rsidRPr="009B50E4">
        <w:rPr>
          <w:rFonts w:asciiTheme="minorHAnsi" w:eastAsiaTheme="minorHAnsi" w:hAnsiTheme="minorHAnsi" w:cs="Arial"/>
          <w:lang w:eastAsia="en-US"/>
        </w:rPr>
        <w:t xml:space="preserve"> osob</w:t>
      </w:r>
      <w:r w:rsidR="004D0C2C">
        <w:rPr>
          <w:rFonts w:asciiTheme="minorHAnsi" w:eastAsiaTheme="minorHAnsi" w:hAnsiTheme="minorHAnsi" w:cs="Arial"/>
          <w:lang w:eastAsia="en-US"/>
        </w:rPr>
        <w:t>e</w:t>
      </w:r>
      <w:r w:rsidR="00E303A1" w:rsidRPr="009B50E4">
        <w:rPr>
          <w:rFonts w:asciiTheme="minorHAnsi" w:eastAsiaTheme="minorHAnsi" w:hAnsiTheme="minorHAnsi" w:cs="Arial"/>
          <w:lang w:eastAsia="en-US"/>
        </w:rPr>
        <w:t xml:space="preserve"> iz čijih bruto primanja se izdvajaju mirovinski doprinosi)</w:t>
      </w:r>
      <w:r w:rsidRPr="009B50E4">
        <w:rPr>
          <w:rFonts w:asciiTheme="minorHAnsi" w:eastAsiaTheme="minorHAnsi" w:hAnsiTheme="minorHAnsi" w:cs="Arial"/>
          <w:lang w:eastAsia="en-US"/>
        </w:rPr>
        <w:t xml:space="preserve">, </w:t>
      </w:r>
      <w:r w:rsidRPr="00E519CF">
        <w:rPr>
          <w:rFonts w:asciiTheme="minorHAnsi" w:eastAsiaTheme="minorHAnsi" w:hAnsiTheme="minorHAnsi" w:cs="Arial"/>
          <w:color w:val="C00000"/>
          <w:lang w:eastAsia="en-US"/>
        </w:rPr>
        <w:t xml:space="preserve">dok omjer korisnika mirovina (umirovljenika) i osiguranika  iznosi 1: 1,21. </w:t>
      </w:r>
    </w:p>
    <w:p w:rsidR="00822AFE" w:rsidRPr="009B50E4" w:rsidRDefault="00996DCF" w:rsidP="006826C0">
      <w:pPr>
        <w:pStyle w:val="StandardWeb"/>
        <w:shd w:val="clear" w:color="auto" w:fill="FFFFFF"/>
        <w:spacing w:before="0" w:beforeAutospacing="0" w:after="200" w:afterAutospacing="0" w:line="276" w:lineRule="auto"/>
        <w:jc w:val="both"/>
        <w:rPr>
          <w:rFonts w:asciiTheme="minorHAnsi" w:eastAsiaTheme="minorHAnsi" w:hAnsiTheme="minorHAnsi" w:cs="Arial"/>
          <w:lang w:eastAsia="en-US"/>
        </w:rPr>
      </w:pPr>
      <w:r w:rsidRPr="009B50E4">
        <w:rPr>
          <w:rFonts w:asciiTheme="minorHAnsi" w:eastAsiaTheme="minorHAnsi" w:hAnsiTheme="minorHAnsi" w:cs="Arial"/>
          <w:lang w:eastAsia="en-US"/>
        </w:rPr>
        <w:t>U usporedbi s</w:t>
      </w:r>
      <w:r w:rsidR="006B2696">
        <w:rPr>
          <w:rFonts w:asciiTheme="minorHAnsi" w:eastAsiaTheme="minorHAnsi" w:hAnsiTheme="minorHAnsi" w:cs="Arial"/>
          <w:lang w:eastAsia="en-US"/>
        </w:rPr>
        <w:t xml:space="preserve">a stanjem na </w:t>
      </w:r>
      <w:r w:rsidRPr="009B50E4">
        <w:rPr>
          <w:rFonts w:asciiTheme="minorHAnsi" w:eastAsiaTheme="minorHAnsi" w:hAnsiTheme="minorHAnsi" w:cs="Arial"/>
          <w:lang w:eastAsia="en-US"/>
        </w:rPr>
        <w:t>kraj</w:t>
      </w:r>
      <w:r w:rsidR="006B2696">
        <w:rPr>
          <w:rFonts w:asciiTheme="minorHAnsi" w:eastAsiaTheme="minorHAnsi" w:hAnsiTheme="minorHAnsi" w:cs="Arial"/>
          <w:lang w:eastAsia="en-US"/>
        </w:rPr>
        <w:t>u</w:t>
      </w:r>
      <w:r w:rsidRPr="009B50E4">
        <w:rPr>
          <w:rFonts w:asciiTheme="minorHAnsi" w:eastAsiaTheme="minorHAnsi" w:hAnsiTheme="minorHAnsi" w:cs="Arial"/>
          <w:lang w:eastAsia="en-US"/>
        </w:rPr>
        <w:t xml:space="preserve"> 2007. </w:t>
      </w:r>
      <w:r w:rsidR="001F564F" w:rsidRPr="009B50E4">
        <w:rPr>
          <w:rFonts w:asciiTheme="minorHAnsi" w:eastAsiaTheme="minorHAnsi" w:hAnsiTheme="minorHAnsi" w:cs="Arial"/>
          <w:lang w:eastAsia="en-US"/>
        </w:rPr>
        <w:t>vidljivo je da se omjer značajno pogoršao s učincima na rizik neodrživosti mirovinskog sustava, odnosno sposobnost</w:t>
      </w:r>
      <w:r w:rsidR="006B2696">
        <w:rPr>
          <w:rFonts w:asciiTheme="minorHAnsi" w:eastAsiaTheme="minorHAnsi" w:hAnsiTheme="minorHAnsi" w:cs="Arial"/>
          <w:lang w:eastAsia="en-US"/>
        </w:rPr>
        <w:t>i</w:t>
      </w:r>
      <w:r w:rsidR="001F564F" w:rsidRPr="009B50E4">
        <w:rPr>
          <w:rFonts w:asciiTheme="minorHAnsi" w:eastAsiaTheme="minorHAnsi" w:hAnsiTheme="minorHAnsi" w:cs="Arial"/>
          <w:lang w:eastAsia="en-US"/>
        </w:rPr>
        <w:t xml:space="preserve"> financiranja iz namjenskih mirovinskih doprinosa, zbog čega se dio mirovina u novijoj povijesti financira i iz drugih izvora (poreza, zaduživanja itd.). </w:t>
      </w:r>
      <w:r w:rsidR="00822AFE" w:rsidRPr="009B50E4">
        <w:rPr>
          <w:rFonts w:asciiTheme="minorHAnsi" w:eastAsiaTheme="minorHAnsi" w:hAnsiTheme="minorHAnsi" w:cs="Arial"/>
          <w:lang w:eastAsia="en-US"/>
        </w:rPr>
        <w:t>Faktori ko</w:t>
      </w:r>
      <w:r w:rsidR="006826C0">
        <w:rPr>
          <w:rFonts w:asciiTheme="minorHAnsi" w:eastAsiaTheme="minorHAnsi" w:hAnsiTheme="minorHAnsi" w:cs="Arial"/>
          <w:lang w:eastAsia="en-US"/>
        </w:rPr>
        <w:t>ji su tome posebno pridonijeli su</w:t>
      </w:r>
      <w:r w:rsidR="00822AFE" w:rsidRPr="009B50E4">
        <w:rPr>
          <w:rFonts w:asciiTheme="minorHAnsi" w:eastAsiaTheme="minorHAnsi" w:hAnsiTheme="minorHAnsi" w:cs="Arial"/>
          <w:lang w:eastAsia="en-US"/>
        </w:rPr>
        <w:t xml:space="preserve"> pad zaposlenosti u godinama recesije </w:t>
      </w:r>
      <w:r w:rsidR="006826C0">
        <w:rPr>
          <w:rFonts w:asciiTheme="minorHAnsi" w:eastAsiaTheme="minorHAnsi" w:hAnsiTheme="minorHAnsi" w:cs="Arial"/>
          <w:lang w:eastAsia="en-US"/>
        </w:rPr>
        <w:t xml:space="preserve">(negativnih stopa rasta) </w:t>
      </w:r>
      <w:r w:rsidR="00822AFE" w:rsidRPr="009B50E4">
        <w:rPr>
          <w:rFonts w:asciiTheme="minorHAnsi" w:eastAsiaTheme="minorHAnsi" w:hAnsiTheme="minorHAnsi" w:cs="Arial"/>
          <w:lang w:eastAsia="en-US"/>
        </w:rPr>
        <w:t xml:space="preserve">uz istodobni pad isplaćenih plaća zaposlenima. </w:t>
      </w:r>
    </w:p>
    <w:p w:rsidR="006826C0" w:rsidRPr="00E22E96" w:rsidRDefault="004D0C2C" w:rsidP="006826C0">
      <w:pPr>
        <w:pStyle w:val="StandardWeb"/>
        <w:shd w:val="clear" w:color="auto" w:fill="FFFFFF"/>
        <w:spacing w:before="0" w:beforeAutospacing="0" w:after="150" w:afterAutospacing="0" w:line="240" w:lineRule="atLeast"/>
        <w:rPr>
          <w:rFonts w:asciiTheme="minorHAnsi" w:eastAsiaTheme="minorHAnsi" w:hAnsiTheme="minorHAnsi" w:cs="Arial"/>
          <w:b/>
          <w:lang w:eastAsia="en-US"/>
        </w:rPr>
      </w:pPr>
      <w:r>
        <w:rPr>
          <w:rFonts w:asciiTheme="minorHAnsi" w:eastAsiaTheme="minorHAnsi" w:hAnsiTheme="minorHAnsi" w:cs="Arial"/>
          <w:b/>
          <w:lang w:eastAsia="en-US"/>
        </w:rPr>
        <w:lastRenderedPageBreak/>
        <w:t>Tablica 25</w:t>
      </w:r>
      <w:r w:rsidR="006826C0" w:rsidRPr="00E22E96">
        <w:rPr>
          <w:rFonts w:asciiTheme="minorHAnsi" w:eastAsiaTheme="minorHAnsi" w:hAnsiTheme="minorHAnsi" w:cs="Arial"/>
          <w:b/>
          <w:lang w:eastAsia="en-US"/>
        </w:rPr>
        <w:t xml:space="preserve">. Broj osiguranika </w:t>
      </w:r>
      <w:r w:rsidR="000E2654">
        <w:rPr>
          <w:rFonts w:asciiTheme="minorHAnsi" w:eastAsiaTheme="minorHAnsi" w:hAnsiTheme="minorHAnsi" w:cs="Arial"/>
          <w:b/>
          <w:lang w:eastAsia="en-US"/>
        </w:rPr>
        <w:t xml:space="preserve">u prvom stupu mirovinskog sustava </w:t>
      </w:r>
    </w:p>
    <w:tbl>
      <w:tblPr>
        <w:tblW w:w="2550" w:type="dxa"/>
        <w:tblCellSpacing w:w="0" w:type="dxa"/>
        <w:shd w:val="clear" w:color="auto" w:fill="FFFFFF"/>
        <w:tblCellMar>
          <w:left w:w="0" w:type="dxa"/>
          <w:right w:w="0" w:type="dxa"/>
        </w:tblCellMar>
        <w:tblLook w:val="04A0" w:firstRow="1" w:lastRow="0" w:firstColumn="1" w:lastColumn="0" w:noHBand="0" w:noVBand="1"/>
      </w:tblPr>
      <w:tblGrid>
        <w:gridCol w:w="8805"/>
        <w:gridCol w:w="6"/>
      </w:tblGrid>
      <w:tr w:rsidR="006826C0" w:rsidRPr="0088486C" w:rsidTr="00FF44DA">
        <w:trPr>
          <w:tblCellSpacing w:w="0" w:type="dxa"/>
        </w:trPr>
        <w:tc>
          <w:tcPr>
            <w:tcW w:w="750" w:type="dxa"/>
            <w:shd w:val="clear" w:color="auto" w:fill="FFFFFF"/>
            <w:tcMar>
              <w:top w:w="0" w:type="dxa"/>
              <w:left w:w="0" w:type="dxa"/>
              <w:bottom w:w="75" w:type="dxa"/>
              <w:right w:w="150" w:type="dxa"/>
            </w:tcMar>
          </w:tcPr>
          <w:p w:rsidR="006826C0" w:rsidRPr="0088486C" w:rsidRDefault="006826C0" w:rsidP="00FF44DA">
            <w:pPr>
              <w:spacing w:after="0" w:line="240" w:lineRule="atLeast"/>
              <w:rPr>
                <w:rFonts w:ascii="Arial" w:eastAsia="Times New Roman" w:hAnsi="Arial" w:cs="Arial"/>
                <w:b/>
                <w:bCs/>
                <w:color w:val="3E454A"/>
                <w:sz w:val="17"/>
                <w:szCs w:val="17"/>
                <w:lang w:eastAsia="hr-HR"/>
              </w:rPr>
            </w:pPr>
            <w:r>
              <w:object w:dxaOrig="8655" w:dyaOrig="3690">
                <v:shape id="_x0000_i1112" type="#_x0000_t75" style="width:432.75pt;height:184.5pt" o:ole="">
                  <v:imagedata r:id="rId324" o:title=""/>
                </v:shape>
                <o:OLEObject Type="Embed" ProgID="PBrush" ShapeID="_x0000_i1112" DrawAspect="Content" ObjectID="_1505681440" r:id="rId325"/>
              </w:object>
            </w:r>
          </w:p>
        </w:tc>
        <w:tc>
          <w:tcPr>
            <w:tcW w:w="0" w:type="auto"/>
            <w:shd w:val="clear" w:color="auto" w:fill="FFFFFF"/>
            <w:tcMar>
              <w:top w:w="0" w:type="dxa"/>
              <w:left w:w="0" w:type="dxa"/>
              <w:bottom w:w="75" w:type="dxa"/>
              <w:right w:w="0" w:type="dxa"/>
            </w:tcMar>
          </w:tcPr>
          <w:p w:rsidR="006826C0" w:rsidRPr="0088486C" w:rsidRDefault="006826C0" w:rsidP="00FF44DA">
            <w:pPr>
              <w:spacing w:after="0" w:line="240" w:lineRule="atLeast"/>
              <w:rPr>
                <w:rFonts w:ascii="Arial" w:eastAsia="Times New Roman" w:hAnsi="Arial" w:cs="Arial"/>
                <w:color w:val="3E454A"/>
                <w:sz w:val="17"/>
                <w:szCs w:val="17"/>
                <w:lang w:eastAsia="hr-HR"/>
              </w:rPr>
            </w:pPr>
          </w:p>
        </w:tc>
      </w:tr>
    </w:tbl>
    <w:p w:rsidR="006826C0" w:rsidRPr="006826C0" w:rsidRDefault="006826C0" w:rsidP="006826C0">
      <w:pPr>
        <w:pStyle w:val="StandardWeb"/>
        <w:shd w:val="clear" w:color="auto" w:fill="FFFFFF"/>
        <w:spacing w:before="0" w:beforeAutospacing="0" w:after="0" w:afterAutospacing="0"/>
        <w:jc w:val="both"/>
        <w:rPr>
          <w:rFonts w:asciiTheme="minorHAnsi" w:eastAsiaTheme="minorHAnsi" w:hAnsiTheme="minorHAnsi" w:cs="Arial"/>
          <w:sz w:val="20"/>
          <w:szCs w:val="20"/>
          <w:lang w:eastAsia="en-US"/>
        </w:rPr>
      </w:pPr>
      <w:r w:rsidRPr="006826C0">
        <w:rPr>
          <w:rFonts w:asciiTheme="minorHAnsi" w:eastAsiaTheme="minorHAnsi" w:hAnsiTheme="minorHAnsi" w:cs="Arial"/>
          <w:sz w:val="20"/>
          <w:szCs w:val="20"/>
          <w:lang w:eastAsia="en-US"/>
        </w:rPr>
        <w:t>Izvor: HZMO, preuzeto sa: http://www.mirovinsko.hr/UserDocsImages/osiguranici-2015/osiguranici8za7.pdf</w:t>
      </w:r>
    </w:p>
    <w:p w:rsidR="00996DCF" w:rsidRDefault="001F564F" w:rsidP="006826C0">
      <w:pPr>
        <w:pStyle w:val="StandardWeb"/>
        <w:shd w:val="clear" w:color="auto" w:fill="FFFFFF"/>
        <w:spacing w:before="240" w:beforeAutospacing="0" w:after="200" w:afterAutospacing="0" w:line="276" w:lineRule="auto"/>
        <w:jc w:val="both"/>
        <w:rPr>
          <w:rStyle w:val="Naglaeno"/>
          <w:rFonts w:ascii="Arial" w:hAnsi="Arial" w:cs="Arial"/>
          <w:sz w:val="17"/>
          <w:szCs w:val="17"/>
          <w:shd w:val="clear" w:color="auto" w:fill="FFFFFF"/>
        </w:rPr>
      </w:pPr>
      <w:r w:rsidRPr="009B50E4">
        <w:rPr>
          <w:rFonts w:asciiTheme="minorHAnsi" w:eastAsiaTheme="minorHAnsi" w:hAnsiTheme="minorHAnsi" w:cs="Arial"/>
          <w:lang w:eastAsia="en-US"/>
        </w:rPr>
        <w:t xml:space="preserve">Prema podacima za prosinac 2007. na jednog umirovljenika dolazilo 1,42 osiguranika. Prosječna mirovina koja se isplaćuje prema Zakonu o mirovinskom osiguranju iznosila je 1.998,91 kunu (čineći 41,04% neto plaće). Danas prosječna mirovina iznosi 2.233,31 kunu, što čini rast od 11,7%, dok su u međuvremenu cijene roba i usluga (prema kojima se mjeri inflacija) porasle kumulativno 13,8%. </w:t>
      </w:r>
      <w:r w:rsidR="00822AFE" w:rsidRPr="009B50E4">
        <w:rPr>
          <w:rFonts w:asciiTheme="minorHAnsi" w:hAnsiTheme="minorHAnsi" w:cs="Arial"/>
        </w:rPr>
        <w:t xml:space="preserve">Prema podacima za kraj 2007. </w:t>
      </w:r>
      <w:r w:rsidR="00996DCF" w:rsidRPr="009B50E4">
        <w:rPr>
          <w:rFonts w:asciiTheme="minorHAnsi" w:hAnsiTheme="minorHAnsi" w:cs="Arial"/>
        </w:rPr>
        <w:t xml:space="preserve">za isplatu mirovina i mirovinskih primanja </w:t>
      </w:r>
      <w:r w:rsidR="00822AFE" w:rsidRPr="009B50E4">
        <w:rPr>
          <w:rFonts w:asciiTheme="minorHAnsi" w:hAnsiTheme="minorHAnsi" w:cs="Arial"/>
        </w:rPr>
        <w:t xml:space="preserve">trebao je iznos </w:t>
      </w:r>
      <w:r w:rsidR="00996DCF" w:rsidRPr="009B50E4">
        <w:rPr>
          <w:rFonts w:asciiTheme="minorHAnsi" w:hAnsiTheme="minorHAnsi" w:cs="Arial"/>
          <w:bCs/>
        </w:rPr>
        <w:t>2.586.012.05</w:t>
      </w:r>
      <w:r w:rsidR="00822AFE" w:rsidRPr="009B50E4">
        <w:rPr>
          <w:rFonts w:asciiTheme="minorHAnsi" w:hAnsiTheme="minorHAnsi" w:cs="Arial"/>
          <w:bCs/>
        </w:rPr>
        <w:t xml:space="preserve"> </w:t>
      </w:r>
      <w:r w:rsidR="00822AFE" w:rsidRPr="009B50E4">
        <w:rPr>
          <w:rFonts w:asciiTheme="minorHAnsi" w:hAnsiTheme="minorHAnsi" w:cs="Arial"/>
        </w:rPr>
        <w:t xml:space="preserve">kn, a danas iznosi </w:t>
      </w:r>
      <w:r w:rsidR="00822AFE" w:rsidRPr="009B50E4">
        <w:rPr>
          <w:rStyle w:val="Naglaeno"/>
          <w:rFonts w:asciiTheme="minorHAnsi" w:hAnsiTheme="minorHAnsi" w:cs="Arial"/>
          <w:b w:val="0"/>
          <w:shd w:val="clear" w:color="auto" w:fill="FFFFFF"/>
        </w:rPr>
        <w:t xml:space="preserve">3.048.000.00 kn što je rast </w:t>
      </w:r>
      <w:r w:rsidR="006826C0">
        <w:rPr>
          <w:rStyle w:val="Naglaeno"/>
          <w:rFonts w:asciiTheme="minorHAnsi" w:hAnsiTheme="minorHAnsi" w:cs="Arial"/>
          <w:b w:val="0"/>
          <w:shd w:val="clear" w:color="auto" w:fill="FFFFFF"/>
        </w:rPr>
        <w:t xml:space="preserve">te kategorije javnih rashoda </w:t>
      </w:r>
      <w:r w:rsidR="00822AFE" w:rsidRPr="009B50E4">
        <w:rPr>
          <w:rStyle w:val="Naglaeno"/>
          <w:rFonts w:asciiTheme="minorHAnsi" w:hAnsiTheme="minorHAnsi" w:cs="Arial"/>
          <w:b w:val="0"/>
          <w:shd w:val="clear" w:color="auto" w:fill="FFFFFF"/>
        </w:rPr>
        <w:t>od 17,8%</w:t>
      </w:r>
      <w:r w:rsidR="006826C0">
        <w:rPr>
          <w:rStyle w:val="Naglaeno"/>
          <w:rFonts w:asciiTheme="minorHAnsi" w:hAnsiTheme="minorHAnsi" w:cs="Arial"/>
          <w:b w:val="0"/>
          <w:shd w:val="clear" w:color="auto" w:fill="FFFFFF"/>
        </w:rPr>
        <w:t xml:space="preserve"> i to u </w:t>
      </w:r>
      <w:r w:rsidR="00822AFE" w:rsidRPr="009B50E4">
        <w:rPr>
          <w:rStyle w:val="Naglaeno"/>
          <w:rFonts w:asciiTheme="minorHAnsi" w:hAnsiTheme="minorHAnsi" w:cs="Arial"/>
          <w:b w:val="0"/>
          <w:shd w:val="clear" w:color="auto" w:fill="FFFFFF"/>
        </w:rPr>
        <w:t>godinama kada je nominalni BDP (u tekući cijenama) bilježio stagnaciju</w:t>
      </w:r>
      <w:r w:rsidR="006826C0">
        <w:rPr>
          <w:rStyle w:val="Naglaeno"/>
          <w:rFonts w:asciiTheme="minorHAnsi" w:hAnsiTheme="minorHAnsi" w:cs="Arial"/>
          <w:b w:val="0"/>
          <w:shd w:val="clear" w:color="auto" w:fill="FFFFFF"/>
        </w:rPr>
        <w:t xml:space="preserve">, </w:t>
      </w:r>
      <w:r w:rsidR="00822AFE" w:rsidRPr="009B50E4">
        <w:rPr>
          <w:rStyle w:val="Naglaeno"/>
          <w:rFonts w:asciiTheme="minorHAnsi" w:hAnsiTheme="minorHAnsi" w:cs="Arial"/>
          <w:b w:val="0"/>
          <w:shd w:val="clear" w:color="auto" w:fill="FFFFFF"/>
        </w:rPr>
        <w:t xml:space="preserve">dok je u terminima rasta realnog BDP-a zabilježen </w:t>
      </w:r>
      <w:r w:rsidR="006826C0">
        <w:rPr>
          <w:rStyle w:val="Naglaeno"/>
          <w:rFonts w:asciiTheme="minorHAnsi" w:hAnsiTheme="minorHAnsi" w:cs="Arial"/>
          <w:b w:val="0"/>
          <w:shd w:val="clear" w:color="auto" w:fill="FFFFFF"/>
        </w:rPr>
        <w:t>velik</w:t>
      </w:r>
      <w:r w:rsidR="00822AFE" w:rsidRPr="009B50E4">
        <w:rPr>
          <w:rStyle w:val="Naglaeno"/>
          <w:rFonts w:asciiTheme="minorHAnsi" w:hAnsiTheme="minorHAnsi" w:cs="Arial"/>
          <w:b w:val="0"/>
          <w:shd w:val="clear" w:color="auto" w:fill="FFFFFF"/>
        </w:rPr>
        <w:t xml:space="preserve"> pad.</w:t>
      </w:r>
      <w:r w:rsidR="00822AFE" w:rsidRPr="009B50E4">
        <w:rPr>
          <w:rStyle w:val="Naglaeno"/>
          <w:rFonts w:ascii="Arial" w:hAnsi="Arial" w:cs="Arial"/>
          <w:sz w:val="17"/>
          <w:szCs w:val="17"/>
          <w:shd w:val="clear" w:color="auto" w:fill="FFFFFF"/>
        </w:rPr>
        <w:t xml:space="preserve">  </w:t>
      </w:r>
    </w:p>
    <w:p w:rsidR="00DA20DD" w:rsidRDefault="00DA20DD" w:rsidP="00DA20DD">
      <w:pPr>
        <w:shd w:val="clear" w:color="auto" w:fill="FFFFFF"/>
        <w:spacing w:after="100" w:afterAutospacing="1" w:line="240" w:lineRule="auto"/>
        <w:jc w:val="both"/>
        <w:rPr>
          <w:rFonts w:cs="Arial"/>
          <w:b/>
          <w:sz w:val="24"/>
          <w:szCs w:val="24"/>
        </w:rPr>
      </w:pPr>
      <w:r w:rsidRPr="00D25AB0">
        <w:rPr>
          <w:rFonts w:cs="Arial"/>
          <w:b/>
          <w:sz w:val="24"/>
          <w:szCs w:val="24"/>
        </w:rPr>
        <w:t>Slika 4</w:t>
      </w:r>
      <w:r>
        <w:rPr>
          <w:rFonts w:cs="Arial"/>
          <w:b/>
          <w:sz w:val="24"/>
          <w:szCs w:val="24"/>
        </w:rPr>
        <w:t>4</w:t>
      </w:r>
      <w:r w:rsidRPr="00D25AB0">
        <w:rPr>
          <w:rFonts w:cs="Arial"/>
          <w:b/>
          <w:sz w:val="24"/>
          <w:szCs w:val="24"/>
        </w:rPr>
        <w:t xml:space="preserve">. Struktura osiguranika </w:t>
      </w:r>
      <w:r>
        <w:rPr>
          <w:rFonts w:cs="Arial"/>
          <w:b/>
          <w:sz w:val="24"/>
          <w:szCs w:val="24"/>
        </w:rPr>
        <w:t xml:space="preserve">u prvom stupu mirovinskog osiguranja </w:t>
      </w:r>
      <w:r w:rsidRPr="00D25AB0">
        <w:rPr>
          <w:rFonts w:cs="Arial"/>
          <w:b/>
          <w:sz w:val="24"/>
          <w:szCs w:val="24"/>
        </w:rPr>
        <w:t>prema godinama života</w:t>
      </w:r>
    </w:p>
    <w:p w:rsidR="00DA20DD" w:rsidRDefault="00DA20DD" w:rsidP="00DA20DD">
      <w:pPr>
        <w:shd w:val="clear" w:color="auto" w:fill="FFFFFF"/>
        <w:spacing w:after="0" w:line="240" w:lineRule="auto"/>
        <w:jc w:val="center"/>
        <w:rPr>
          <w:rFonts w:cs="Arial"/>
          <w:b/>
          <w:sz w:val="24"/>
          <w:szCs w:val="24"/>
        </w:rPr>
      </w:pPr>
      <w:r>
        <w:rPr>
          <w:rFonts w:cs="Arial"/>
          <w:noProof/>
          <w:color w:val="3E454A"/>
          <w:sz w:val="24"/>
          <w:szCs w:val="24"/>
          <w:lang w:eastAsia="hr-HR"/>
        </w:rPr>
        <w:drawing>
          <wp:inline distT="0" distB="0" distL="0" distR="0" wp14:anchorId="71C76F3A" wp14:editId="0B02EFD2">
            <wp:extent cx="4216233" cy="3038475"/>
            <wp:effectExtent l="0" t="0" r="0" b="0"/>
            <wp:docPr id="29702" name="Slika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16233" cy="3038475"/>
                    </a:xfrm>
                    <a:prstGeom prst="rect">
                      <a:avLst/>
                    </a:prstGeom>
                    <a:noFill/>
                    <a:ln>
                      <a:noFill/>
                    </a:ln>
                  </pic:spPr>
                </pic:pic>
              </a:graphicData>
            </a:graphic>
          </wp:inline>
        </w:drawing>
      </w:r>
      <w:r w:rsidRPr="00680446">
        <w:rPr>
          <w:rFonts w:cs="Arial"/>
          <w:color w:val="3E454A"/>
          <w:sz w:val="24"/>
          <w:szCs w:val="24"/>
        </w:rPr>
        <w:br/>
      </w:r>
    </w:p>
    <w:p w:rsidR="00DA20DD" w:rsidRPr="00E519CF" w:rsidRDefault="00DA20DD" w:rsidP="00DA20DD">
      <w:pPr>
        <w:jc w:val="both"/>
        <w:rPr>
          <w:sz w:val="20"/>
          <w:szCs w:val="20"/>
        </w:rPr>
      </w:pPr>
      <w:r w:rsidRPr="00E519CF">
        <w:rPr>
          <w:sz w:val="20"/>
          <w:szCs w:val="20"/>
        </w:rPr>
        <w:t>Izvor: HZMO, preuzeto sa: http://www.mirovinsko.hr/UserDocsImages/osiguranici-2015/osiguranici8za7.pdf</w:t>
      </w:r>
    </w:p>
    <w:p w:rsidR="00680446" w:rsidRPr="00D25AB0" w:rsidRDefault="00D25AB0" w:rsidP="00E519CF">
      <w:pPr>
        <w:shd w:val="clear" w:color="auto" w:fill="FFFFFF"/>
        <w:spacing w:after="0" w:line="240" w:lineRule="auto"/>
        <w:jc w:val="both"/>
        <w:rPr>
          <w:rFonts w:cs="Arial"/>
          <w:b/>
          <w:sz w:val="24"/>
          <w:szCs w:val="24"/>
        </w:rPr>
      </w:pPr>
      <w:r w:rsidRPr="00D25AB0">
        <w:rPr>
          <w:rFonts w:cs="Arial"/>
          <w:b/>
          <w:sz w:val="24"/>
          <w:szCs w:val="24"/>
        </w:rPr>
        <w:lastRenderedPageBreak/>
        <w:t>Slika 4</w:t>
      </w:r>
      <w:r w:rsidR="00DA20DD">
        <w:rPr>
          <w:rFonts w:cs="Arial"/>
          <w:b/>
          <w:sz w:val="24"/>
          <w:szCs w:val="24"/>
        </w:rPr>
        <w:t>5</w:t>
      </w:r>
      <w:r w:rsidRPr="00D25AB0">
        <w:rPr>
          <w:rFonts w:cs="Arial"/>
          <w:b/>
          <w:sz w:val="24"/>
          <w:szCs w:val="24"/>
        </w:rPr>
        <w:t xml:space="preserve">: Osiguranici </w:t>
      </w:r>
      <w:r w:rsidR="000E2654">
        <w:rPr>
          <w:rFonts w:cs="Arial"/>
          <w:b/>
          <w:sz w:val="24"/>
          <w:szCs w:val="24"/>
        </w:rPr>
        <w:t xml:space="preserve">u prvom stupu mirovinskog osiguranja </w:t>
      </w:r>
      <w:r w:rsidRPr="00D25AB0">
        <w:rPr>
          <w:rFonts w:cs="Arial"/>
          <w:b/>
          <w:sz w:val="24"/>
          <w:szCs w:val="24"/>
        </w:rPr>
        <w:t>prema županijama</w:t>
      </w:r>
      <w:r w:rsidR="00E519CF">
        <w:rPr>
          <w:rFonts w:cs="Arial"/>
          <w:b/>
          <w:sz w:val="24"/>
          <w:szCs w:val="24"/>
        </w:rPr>
        <w:t xml:space="preserve"> </w:t>
      </w:r>
    </w:p>
    <w:p w:rsidR="00680446" w:rsidRDefault="00680446" w:rsidP="00680446">
      <w:pPr>
        <w:pStyle w:val="StandardWeb"/>
        <w:shd w:val="clear" w:color="auto" w:fill="FFFFFF"/>
        <w:spacing w:before="0" w:beforeAutospacing="0" w:after="150" w:afterAutospacing="0" w:line="270" w:lineRule="atLeast"/>
        <w:rPr>
          <w:rFonts w:ascii="Arial" w:hAnsi="Arial" w:cs="Arial"/>
          <w:noProof/>
          <w:color w:val="3E454A"/>
          <w:sz w:val="18"/>
          <w:szCs w:val="18"/>
        </w:rPr>
      </w:pPr>
    </w:p>
    <w:p w:rsidR="00E519CF" w:rsidRDefault="00E519CF" w:rsidP="000E2654">
      <w:pPr>
        <w:pStyle w:val="StandardWeb"/>
        <w:shd w:val="clear" w:color="auto" w:fill="FFFFFF"/>
        <w:spacing w:before="0" w:beforeAutospacing="0" w:after="150" w:afterAutospacing="0" w:line="270" w:lineRule="atLeast"/>
        <w:jc w:val="center"/>
        <w:rPr>
          <w:rFonts w:ascii="Arial" w:hAnsi="Arial" w:cs="Arial"/>
          <w:color w:val="3E454A"/>
          <w:sz w:val="18"/>
          <w:szCs w:val="18"/>
        </w:rPr>
      </w:pPr>
      <w:r>
        <w:rPr>
          <w:rFonts w:ascii="Arial" w:hAnsi="Arial" w:cs="Arial"/>
          <w:noProof/>
          <w:color w:val="3E454A"/>
          <w:sz w:val="18"/>
          <w:szCs w:val="18"/>
        </w:rPr>
        <w:drawing>
          <wp:inline distT="0" distB="0" distL="0" distR="0" wp14:anchorId="0AB70669" wp14:editId="2A7DA9AF">
            <wp:extent cx="5267325" cy="3647950"/>
            <wp:effectExtent l="0" t="0" r="0" b="0"/>
            <wp:docPr id="29712" name="Slika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267458" cy="3648042"/>
                    </a:xfrm>
                    <a:prstGeom prst="rect">
                      <a:avLst/>
                    </a:prstGeom>
                    <a:noFill/>
                    <a:ln>
                      <a:noFill/>
                    </a:ln>
                  </pic:spPr>
                </pic:pic>
              </a:graphicData>
            </a:graphic>
          </wp:inline>
        </w:drawing>
      </w:r>
      <w:r>
        <w:rPr>
          <w:rFonts w:ascii="Arial" w:hAnsi="Arial" w:cs="Arial"/>
          <w:noProof/>
          <w:color w:val="3E454A"/>
          <w:sz w:val="18"/>
          <w:szCs w:val="18"/>
        </w:rPr>
        <w:drawing>
          <wp:inline distT="0" distB="0" distL="0" distR="0" wp14:anchorId="31E3799D" wp14:editId="7EBD4A1B">
            <wp:extent cx="5569340" cy="3752850"/>
            <wp:effectExtent l="0" t="0" r="0" b="0"/>
            <wp:docPr id="29713" name="Slika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576548" cy="3757707"/>
                    </a:xfrm>
                    <a:prstGeom prst="rect">
                      <a:avLst/>
                    </a:prstGeom>
                    <a:noFill/>
                    <a:ln>
                      <a:noFill/>
                    </a:ln>
                  </pic:spPr>
                </pic:pic>
              </a:graphicData>
            </a:graphic>
          </wp:inline>
        </w:drawing>
      </w:r>
    </w:p>
    <w:p w:rsidR="00680446" w:rsidRPr="00E519CF" w:rsidRDefault="00680446" w:rsidP="00680446">
      <w:pPr>
        <w:jc w:val="both"/>
        <w:rPr>
          <w:sz w:val="20"/>
          <w:szCs w:val="20"/>
        </w:rPr>
      </w:pPr>
      <w:r w:rsidRPr="00E519CF">
        <w:rPr>
          <w:sz w:val="20"/>
          <w:szCs w:val="20"/>
        </w:rPr>
        <w:t xml:space="preserve"> </w:t>
      </w:r>
      <w:r w:rsidR="00E519CF" w:rsidRPr="00E519CF">
        <w:rPr>
          <w:sz w:val="20"/>
          <w:szCs w:val="20"/>
        </w:rPr>
        <w:t>Izvor: HZMO, preuzeto sa: http://www.mirovinsko.hr/UserDocsImages/osiguranici-2015/osiguranici8za7.pdf</w:t>
      </w:r>
    </w:p>
    <w:p w:rsidR="000E2654" w:rsidRDefault="000E2654" w:rsidP="00E519CF">
      <w:pPr>
        <w:shd w:val="clear" w:color="auto" w:fill="FFFFFF"/>
        <w:spacing w:after="100" w:afterAutospacing="1" w:line="240" w:lineRule="auto"/>
        <w:jc w:val="both"/>
        <w:rPr>
          <w:rFonts w:cs="Arial"/>
          <w:b/>
          <w:sz w:val="24"/>
          <w:szCs w:val="24"/>
        </w:rPr>
      </w:pPr>
    </w:p>
    <w:p w:rsidR="00DA20DD" w:rsidRDefault="00DA20DD" w:rsidP="00E519CF">
      <w:pPr>
        <w:shd w:val="clear" w:color="auto" w:fill="FFFFFF"/>
        <w:spacing w:after="100" w:afterAutospacing="1" w:line="240" w:lineRule="auto"/>
        <w:jc w:val="both"/>
        <w:rPr>
          <w:rFonts w:cs="Arial"/>
          <w:b/>
          <w:sz w:val="24"/>
          <w:szCs w:val="24"/>
        </w:rPr>
      </w:pPr>
    </w:p>
    <w:p w:rsidR="00746B38" w:rsidRPr="00746B38" w:rsidRDefault="004D0C2C" w:rsidP="00680446">
      <w:pPr>
        <w:jc w:val="both"/>
        <w:rPr>
          <w:b/>
          <w:sz w:val="24"/>
          <w:szCs w:val="24"/>
        </w:rPr>
      </w:pPr>
      <w:r>
        <w:rPr>
          <w:b/>
          <w:sz w:val="24"/>
          <w:szCs w:val="24"/>
        </w:rPr>
        <w:lastRenderedPageBreak/>
        <w:t xml:space="preserve">7.2. </w:t>
      </w:r>
      <w:r w:rsidR="00746B38" w:rsidRPr="00746B38">
        <w:rPr>
          <w:b/>
          <w:sz w:val="24"/>
          <w:szCs w:val="24"/>
        </w:rPr>
        <w:t xml:space="preserve">Drugi stup mirovinskog osiguranja </w:t>
      </w:r>
      <w:r w:rsidR="004C668C">
        <w:rPr>
          <w:b/>
          <w:sz w:val="24"/>
          <w:szCs w:val="24"/>
        </w:rPr>
        <w:t>i obilježja obveznih mirovinskih fondova</w:t>
      </w:r>
      <w:r w:rsidR="00746B38" w:rsidRPr="00746B38">
        <w:rPr>
          <w:b/>
          <w:sz w:val="24"/>
          <w:szCs w:val="24"/>
        </w:rPr>
        <w:t xml:space="preserve"> </w:t>
      </w:r>
    </w:p>
    <w:p w:rsidR="005F2C0D" w:rsidRDefault="00746B38" w:rsidP="005F2C0D">
      <w:pPr>
        <w:jc w:val="both"/>
        <w:rPr>
          <w:bCs/>
          <w:sz w:val="24"/>
          <w:szCs w:val="24"/>
        </w:rPr>
      </w:pPr>
      <w:r w:rsidRPr="00746B38">
        <w:rPr>
          <w:bCs/>
          <w:sz w:val="24"/>
          <w:szCs w:val="24"/>
        </w:rPr>
        <w:t xml:space="preserve">Drugi stup </w:t>
      </w:r>
      <w:r w:rsidR="004D0C2C">
        <w:rPr>
          <w:bCs/>
          <w:sz w:val="24"/>
          <w:szCs w:val="24"/>
        </w:rPr>
        <w:t xml:space="preserve">mirovinskog osiguranja </w:t>
      </w:r>
      <w:r w:rsidRPr="00746B38">
        <w:rPr>
          <w:bCs/>
          <w:sz w:val="24"/>
          <w:szCs w:val="24"/>
        </w:rPr>
        <w:t>čini obvezno mirovinsko osiguranje koja se formira na temelju obveznih mirovinskih doprinosa na temelju individualne kapitalizirane štednje</w:t>
      </w:r>
      <w:r w:rsidR="004F4F6B">
        <w:rPr>
          <w:bCs/>
          <w:sz w:val="24"/>
          <w:szCs w:val="24"/>
        </w:rPr>
        <w:t>, a</w:t>
      </w:r>
      <w:r w:rsidRPr="00746B38">
        <w:rPr>
          <w:bCs/>
          <w:sz w:val="24"/>
          <w:szCs w:val="24"/>
        </w:rPr>
        <w:t xml:space="preserve"> koji se izdvajaju iz bruto </w:t>
      </w:r>
      <w:r w:rsidR="007A055C">
        <w:rPr>
          <w:bCs/>
          <w:sz w:val="24"/>
          <w:szCs w:val="24"/>
        </w:rPr>
        <w:t>p</w:t>
      </w:r>
      <w:r w:rsidR="00332427">
        <w:rPr>
          <w:bCs/>
          <w:sz w:val="24"/>
          <w:szCs w:val="24"/>
        </w:rPr>
        <w:t>laće</w:t>
      </w:r>
      <w:r w:rsidR="007A055C">
        <w:rPr>
          <w:bCs/>
          <w:sz w:val="24"/>
          <w:szCs w:val="24"/>
        </w:rPr>
        <w:t xml:space="preserve"> </w:t>
      </w:r>
      <w:r w:rsidRPr="00746B38">
        <w:rPr>
          <w:bCs/>
          <w:sz w:val="24"/>
          <w:szCs w:val="24"/>
        </w:rPr>
        <w:t xml:space="preserve">(5% bruto plaće) zaposlenika/osiguranika </w:t>
      </w:r>
      <w:r w:rsidR="004F4F6B">
        <w:rPr>
          <w:bCs/>
          <w:sz w:val="24"/>
          <w:szCs w:val="24"/>
        </w:rPr>
        <w:t xml:space="preserve">uključenog </w:t>
      </w:r>
      <w:r w:rsidRPr="00746B38">
        <w:rPr>
          <w:bCs/>
          <w:sz w:val="24"/>
          <w:szCs w:val="24"/>
        </w:rPr>
        <w:t xml:space="preserve">u drugi stup mirovinskog osiguranja. </w:t>
      </w:r>
      <w:bookmarkStart w:id="4" w:name="OLE_LINK1"/>
      <w:bookmarkStart w:id="5" w:name="OLE_LINK2"/>
      <w:r w:rsidRPr="00746B38">
        <w:rPr>
          <w:bCs/>
          <w:sz w:val="24"/>
          <w:szCs w:val="24"/>
        </w:rPr>
        <w:t xml:space="preserve">Sredstva mirovinskih doprinosa iz drugog stupa uplaćuje poslodavac na prolazni račun Središnjeg registra osiguranika </w:t>
      </w:r>
      <w:r w:rsidR="00363DE8">
        <w:rPr>
          <w:bCs/>
          <w:sz w:val="24"/>
          <w:szCs w:val="24"/>
        </w:rPr>
        <w:t xml:space="preserve">– </w:t>
      </w:r>
      <w:r w:rsidRPr="00746B38">
        <w:rPr>
          <w:bCs/>
          <w:sz w:val="24"/>
          <w:szCs w:val="24"/>
        </w:rPr>
        <w:t>Regos</w:t>
      </w:r>
      <w:r w:rsidR="00363DE8">
        <w:rPr>
          <w:bCs/>
          <w:sz w:val="24"/>
          <w:szCs w:val="24"/>
        </w:rPr>
        <w:t xml:space="preserve"> (dok poljoprivrednici i obrtnici uplate izvršavaju samostalno)</w:t>
      </w:r>
      <w:r w:rsidRPr="00746B38">
        <w:rPr>
          <w:bCs/>
          <w:sz w:val="24"/>
          <w:szCs w:val="24"/>
        </w:rPr>
        <w:t xml:space="preserve">. U nastavku Regos nakon obrade i kontrole uplate doprinosa, </w:t>
      </w:r>
      <w:r w:rsidRPr="004F4F6B">
        <w:rPr>
          <w:bCs/>
          <w:color w:val="C00000"/>
          <w:sz w:val="24"/>
          <w:szCs w:val="24"/>
        </w:rPr>
        <w:t xml:space="preserve">umanjuje iznose za ulaznu naknadu </w:t>
      </w:r>
      <w:r w:rsidR="00A721DD">
        <w:rPr>
          <w:bCs/>
          <w:color w:val="C00000"/>
          <w:sz w:val="24"/>
          <w:szCs w:val="24"/>
        </w:rPr>
        <w:t>obveznog</w:t>
      </w:r>
      <w:r w:rsidR="000714E5">
        <w:rPr>
          <w:bCs/>
          <w:color w:val="C00000"/>
          <w:sz w:val="24"/>
          <w:szCs w:val="24"/>
        </w:rPr>
        <w:t xml:space="preserve"> mirovinskog fonda/ društva </w:t>
      </w:r>
      <w:r w:rsidRPr="00746B38">
        <w:rPr>
          <w:bCs/>
          <w:sz w:val="24"/>
          <w:szCs w:val="24"/>
        </w:rPr>
        <w:t xml:space="preserve">te sredstva prosljeđuje na </w:t>
      </w:r>
      <w:r w:rsidRPr="00332427">
        <w:rPr>
          <w:bCs/>
          <w:color w:val="C00000"/>
          <w:sz w:val="24"/>
          <w:szCs w:val="24"/>
        </w:rPr>
        <w:t xml:space="preserve">osobni račun člana </w:t>
      </w:r>
      <w:r w:rsidRPr="00746B38">
        <w:rPr>
          <w:bCs/>
          <w:sz w:val="24"/>
          <w:szCs w:val="24"/>
        </w:rPr>
        <w:t>određenog fonda (kojeg je osoba individualno izabrala).</w:t>
      </w:r>
      <w:r w:rsidR="00332427">
        <w:rPr>
          <w:bCs/>
          <w:sz w:val="24"/>
          <w:szCs w:val="24"/>
        </w:rPr>
        <w:t xml:space="preserve"> </w:t>
      </w:r>
    </w:p>
    <w:p w:rsidR="00505396" w:rsidRDefault="00505396" w:rsidP="00505396">
      <w:pPr>
        <w:jc w:val="both"/>
        <w:rPr>
          <w:bCs/>
          <w:sz w:val="24"/>
          <w:szCs w:val="24"/>
        </w:rPr>
      </w:pPr>
      <w:r w:rsidRPr="00505396">
        <w:rPr>
          <w:bCs/>
          <w:sz w:val="24"/>
          <w:szCs w:val="24"/>
        </w:rPr>
        <w:t>Uplaćeni doprinosi u mirovinski fond</w:t>
      </w:r>
      <w:r>
        <w:rPr>
          <w:bCs/>
          <w:sz w:val="24"/>
          <w:szCs w:val="24"/>
        </w:rPr>
        <w:t xml:space="preserve"> (</w:t>
      </w:r>
      <w:r w:rsidRPr="00505396">
        <w:rPr>
          <w:bCs/>
          <w:sz w:val="24"/>
          <w:szCs w:val="24"/>
        </w:rPr>
        <w:t>kao i preneseni računi u fond</w:t>
      </w:r>
      <w:r>
        <w:rPr>
          <w:bCs/>
          <w:sz w:val="24"/>
          <w:szCs w:val="24"/>
        </w:rPr>
        <w:t>)</w:t>
      </w:r>
      <w:r w:rsidRPr="00505396">
        <w:rPr>
          <w:bCs/>
          <w:sz w:val="24"/>
          <w:szCs w:val="24"/>
        </w:rPr>
        <w:t xml:space="preserve">, konvertiraju se u </w:t>
      </w:r>
      <w:r w:rsidRPr="00505396">
        <w:rPr>
          <w:bCs/>
          <w:color w:val="C00000"/>
          <w:sz w:val="24"/>
          <w:szCs w:val="24"/>
        </w:rPr>
        <w:t>obračunske jedinice</w:t>
      </w:r>
      <w:r w:rsidRPr="00505396">
        <w:rPr>
          <w:bCs/>
          <w:sz w:val="24"/>
          <w:szCs w:val="24"/>
        </w:rPr>
        <w:t>. Za potrebe vrednovanja, svaka obračunska jedinica predstavlja proporcionalni udjel u neto ukupnoj imovini mirovinskog fonda</w:t>
      </w:r>
      <w:r>
        <w:rPr>
          <w:bCs/>
          <w:sz w:val="24"/>
          <w:szCs w:val="24"/>
        </w:rPr>
        <w:t>, dok je u</w:t>
      </w:r>
      <w:r w:rsidRPr="00505396">
        <w:rPr>
          <w:bCs/>
          <w:sz w:val="24"/>
          <w:szCs w:val="24"/>
        </w:rPr>
        <w:t>kupna vrijednost svih obračunskih jedinica mirovinskog fonda jednaka ukupnoj neto imovinskoj vrijednosti fonda</w:t>
      </w:r>
      <w:r>
        <w:rPr>
          <w:bCs/>
          <w:sz w:val="24"/>
          <w:szCs w:val="24"/>
        </w:rPr>
        <w:t>.</w:t>
      </w:r>
    </w:p>
    <w:p w:rsidR="00983612" w:rsidRDefault="00332427" w:rsidP="00983612">
      <w:pPr>
        <w:jc w:val="both"/>
        <w:rPr>
          <w:bCs/>
          <w:sz w:val="24"/>
          <w:szCs w:val="24"/>
        </w:rPr>
      </w:pPr>
      <w:r w:rsidRPr="00332427">
        <w:rPr>
          <w:bCs/>
          <w:sz w:val="24"/>
          <w:szCs w:val="24"/>
        </w:rPr>
        <w:t>U</w:t>
      </w:r>
      <w:r>
        <w:rPr>
          <w:bCs/>
          <w:sz w:val="24"/>
          <w:szCs w:val="24"/>
        </w:rPr>
        <w:t xml:space="preserve">lazak u drugi stup mirovinskog osiguranja </w:t>
      </w:r>
      <w:r w:rsidRPr="00332427">
        <w:rPr>
          <w:bCs/>
          <w:sz w:val="24"/>
          <w:szCs w:val="24"/>
        </w:rPr>
        <w:t>obvez</w:t>
      </w:r>
      <w:r>
        <w:rPr>
          <w:bCs/>
          <w:sz w:val="24"/>
          <w:szCs w:val="24"/>
        </w:rPr>
        <w:t>a</w:t>
      </w:r>
      <w:r w:rsidRPr="00332427">
        <w:rPr>
          <w:bCs/>
          <w:sz w:val="24"/>
          <w:szCs w:val="24"/>
        </w:rPr>
        <w:t>n je za sve zaposlene mlađe od 40 godina, kao i za one između 40 i 50 godina koji se dobrovoljno odluče za štednju u drugom mirovinskom stupu.</w:t>
      </w:r>
      <w:r w:rsidR="005F2C0D">
        <w:rPr>
          <w:bCs/>
          <w:sz w:val="24"/>
          <w:szCs w:val="24"/>
        </w:rPr>
        <w:t xml:space="preserve"> Izlazak iz drugog stupa mirovinskog osiguranja moguć je za osiguranike (članove fonda) </w:t>
      </w:r>
      <w:r w:rsidR="005F2C0D" w:rsidRPr="005F2C0D">
        <w:rPr>
          <w:bCs/>
          <w:sz w:val="24"/>
          <w:szCs w:val="24"/>
        </w:rPr>
        <w:t>koji su po svom izboru (dobrovoljno) pristupili u obvezno mirovinsko osiguranje na temelju individualne kapitalizirane štednje.</w:t>
      </w:r>
      <w:r w:rsidR="00983612">
        <w:rPr>
          <w:bCs/>
          <w:sz w:val="24"/>
          <w:szCs w:val="24"/>
        </w:rPr>
        <w:t xml:space="preserve"> </w:t>
      </w:r>
      <w:r w:rsidR="00983612" w:rsidRPr="00746B38">
        <w:rPr>
          <w:bCs/>
          <w:sz w:val="24"/>
          <w:szCs w:val="24"/>
        </w:rPr>
        <w:t>Izbor obveznog mirovinskog fonda osiguranik obavlja na šalterima Središnjeg registra osiguranika (Regos) u poslovnicama Financijske agencije (Fina). Osiguranik može u svakom trenutku provjeriti visinu ušteđenih i oplođenih sredstava na svom osobnom mirovinskom računu</w:t>
      </w:r>
      <w:r w:rsidR="00983612">
        <w:rPr>
          <w:bCs/>
          <w:sz w:val="24"/>
          <w:szCs w:val="24"/>
        </w:rPr>
        <w:t xml:space="preserve">. </w:t>
      </w:r>
    </w:p>
    <w:bookmarkEnd w:id="4"/>
    <w:bookmarkEnd w:id="5"/>
    <w:p w:rsidR="00746B38" w:rsidRDefault="007A055C" w:rsidP="00746B38">
      <w:pPr>
        <w:jc w:val="both"/>
        <w:rPr>
          <w:bCs/>
          <w:sz w:val="24"/>
          <w:szCs w:val="24"/>
        </w:rPr>
      </w:pPr>
      <w:r>
        <w:rPr>
          <w:bCs/>
          <w:sz w:val="24"/>
          <w:szCs w:val="24"/>
        </w:rPr>
        <w:t xml:space="preserve">Slično poput otvorenog investicijskog fonda, </w:t>
      </w:r>
      <w:r w:rsidRPr="00332427">
        <w:rPr>
          <w:bCs/>
          <w:color w:val="C00000"/>
          <w:sz w:val="24"/>
          <w:szCs w:val="24"/>
        </w:rPr>
        <w:t>obvezni mirovinski fond je zasebna imovina bez pravne osobnosti</w:t>
      </w:r>
      <w:r>
        <w:rPr>
          <w:bCs/>
          <w:sz w:val="24"/>
          <w:szCs w:val="24"/>
        </w:rPr>
        <w:t xml:space="preserve"> u vlasništvu svojih članova (osiguranika) čija se pojedinačna vlasnička prava određuju razmjerno iznosu sredstava na njihovom osobnom računu. </w:t>
      </w:r>
      <w:r w:rsidR="00746B38" w:rsidRPr="00746B38">
        <w:rPr>
          <w:bCs/>
          <w:sz w:val="24"/>
          <w:szCs w:val="24"/>
        </w:rPr>
        <w:t xml:space="preserve">Imovinom obveznog mirovinskog fonda upravlja </w:t>
      </w:r>
      <w:r w:rsidR="00746B38" w:rsidRPr="007A055C">
        <w:rPr>
          <w:bCs/>
          <w:color w:val="C00000"/>
          <w:sz w:val="24"/>
          <w:szCs w:val="24"/>
        </w:rPr>
        <w:t xml:space="preserve">mirovinsko društvo </w:t>
      </w:r>
      <w:r w:rsidR="00746B38" w:rsidRPr="00746B38">
        <w:rPr>
          <w:bCs/>
          <w:sz w:val="24"/>
          <w:szCs w:val="24"/>
        </w:rPr>
        <w:t>(</w:t>
      </w:r>
      <w:r w:rsidR="00E004AC">
        <w:rPr>
          <w:bCs/>
          <w:sz w:val="24"/>
          <w:szCs w:val="24"/>
        </w:rPr>
        <w:t>ranije uglavnom nazivano „</w:t>
      </w:r>
      <w:r w:rsidR="00746B38" w:rsidRPr="00746B38">
        <w:rPr>
          <w:bCs/>
          <w:sz w:val="24"/>
          <w:szCs w:val="24"/>
        </w:rPr>
        <w:t>društvo za upravljanje obveznim mirovinskim fondom</w:t>
      </w:r>
      <w:r w:rsidR="00E004AC">
        <w:rPr>
          <w:bCs/>
          <w:sz w:val="24"/>
          <w:szCs w:val="24"/>
        </w:rPr>
        <w:t>“</w:t>
      </w:r>
      <w:r w:rsidR="00746B38" w:rsidRPr="00746B38">
        <w:rPr>
          <w:bCs/>
          <w:sz w:val="24"/>
          <w:szCs w:val="24"/>
        </w:rPr>
        <w:t>)</w:t>
      </w:r>
      <w:r w:rsidR="00FF44DA">
        <w:rPr>
          <w:bCs/>
          <w:sz w:val="24"/>
          <w:szCs w:val="24"/>
        </w:rPr>
        <w:t xml:space="preserve"> </w:t>
      </w:r>
      <w:r w:rsidR="00FF44DA" w:rsidRPr="007A055C">
        <w:rPr>
          <w:bCs/>
          <w:sz w:val="24"/>
          <w:szCs w:val="24"/>
        </w:rPr>
        <w:t>koje je u privatnom vlasništvu, a pod nadzorom Hrvatske agencije za nadzor financijskih usluga (Hanfa).</w:t>
      </w:r>
      <w:r w:rsidR="00FF44DA">
        <w:rPr>
          <w:rFonts w:ascii="Lucida Sans Unicode" w:hAnsi="Lucida Sans Unicode" w:cs="Lucida Sans Unicode"/>
          <w:color w:val="424242"/>
          <w:sz w:val="21"/>
          <w:szCs w:val="21"/>
          <w:shd w:val="clear" w:color="auto" w:fill="FFFFFF"/>
        </w:rPr>
        <w:t> </w:t>
      </w:r>
      <w:r w:rsidR="00746B38" w:rsidRPr="00746B38">
        <w:rPr>
          <w:bCs/>
          <w:sz w:val="24"/>
          <w:szCs w:val="24"/>
        </w:rPr>
        <w:t xml:space="preserve"> Sredstva fonda </w:t>
      </w:r>
      <w:r w:rsidR="004D0C2C">
        <w:rPr>
          <w:bCs/>
          <w:sz w:val="24"/>
          <w:szCs w:val="24"/>
        </w:rPr>
        <w:t>u</w:t>
      </w:r>
      <w:r w:rsidR="00746B38" w:rsidRPr="00746B38">
        <w:rPr>
          <w:bCs/>
          <w:sz w:val="24"/>
          <w:szCs w:val="24"/>
        </w:rPr>
        <w:t xml:space="preserve">lažu </w:t>
      </w:r>
      <w:r w:rsidR="004D0C2C">
        <w:rPr>
          <w:bCs/>
          <w:sz w:val="24"/>
          <w:szCs w:val="24"/>
        </w:rPr>
        <w:t xml:space="preserve">se pretežno </w:t>
      </w:r>
      <w:r w:rsidR="00746B38" w:rsidRPr="00746B38">
        <w:rPr>
          <w:bCs/>
          <w:sz w:val="24"/>
          <w:szCs w:val="24"/>
        </w:rPr>
        <w:t xml:space="preserve">na tržištima kapitala i na njih društvo koje upravlja mirovinskim fondom ostvaruje prinos u korist članova fonda (uvećavajući mirovinsku štednju kroz ulaganja u državne obveznice, korporativne obveznice, dionice i druge instrumente financijskih tržišta u zemlji i inozemstvu) – kapitalizacija štednje. </w:t>
      </w:r>
    </w:p>
    <w:p w:rsidR="00FF44DA" w:rsidRPr="00FF44DA" w:rsidRDefault="00FF44DA" w:rsidP="00ED6B5F">
      <w:pPr>
        <w:spacing w:before="120" w:after="120"/>
        <w:jc w:val="both"/>
        <w:rPr>
          <w:rFonts w:eastAsia="Times New Roman" w:cs="Times New Roman"/>
          <w:color w:val="000000" w:themeColor="text1"/>
          <w:sz w:val="24"/>
          <w:szCs w:val="24"/>
          <w:lang w:eastAsia="hr-HR"/>
        </w:rPr>
      </w:pPr>
      <w:r w:rsidRPr="00FF44DA">
        <w:rPr>
          <w:rFonts w:eastAsia="Times New Roman" w:cs="Arial"/>
          <w:color w:val="000000" w:themeColor="text1"/>
          <w:sz w:val="24"/>
          <w:szCs w:val="24"/>
          <w:shd w:val="clear" w:color="auto" w:fill="FFFFFF"/>
          <w:lang w:eastAsia="hr-HR"/>
        </w:rPr>
        <w:t xml:space="preserve">Izmjenom Zakona o obveznim mirovinskim fondovima </w:t>
      </w:r>
      <w:r w:rsidR="00D41C79">
        <w:rPr>
          <w:rFonts w:eastAsia="Times New Roman" w:cs="Arial"/>
          <w:color w:val="000000" w:themeColor="text1"/>
          <w:sz w:val="24"/>
          <w:szCs w:val="24"/>
          <w:shd w:val="clear" w:color="auto" w:fill="FFFFFF"/>
          <w:lang w:eastAsia="hr-HR"/>
        </w:rPr>
        <w:t xml:space="preserve">u </w:t>
      </w:r>
      <w:r w:rsidR="00332427">
        <w:rPr>
          <w:rFonts w:eastAsia="Times New Roman" w:cs="Arial"/>
          <w:color w:val="000000" w:themeColor="text1"/>
          <w:sz w:val="24"/>
          <w:szCs w:val="24"/>
          <w:shd w:val="clear" w:color="auto" w:fill="FFFFFF"/>
          <w:lang w:eastAsia="hr-HR"/>
        </w:rPr>
        <w:t xml:space="preserve">2014. </w:t>
      </w:r>
      <w:r w:rsidR="00D41C79">
        <w:rPr>
          <w:rFonts w:eastAsia="Times New Roman" w:cs="Arial"/>
          <w:color w:val="000000" w:themeColor="text1"/>
          <w:sz w:val="24"/>
          <w:szCs w:val="24"/>
          <w:shd w:val="clear" w:color="auto" w:fill="FFFFFF"/>
          <w:lang w:eastAsia="hr-HR"/>
        </w:rPr>
        <w:t>go</w:t>
      </w:r>
      <w:r w:rsidR="00332427">
        <w:rPr>
          <w:rFonts w:eastAsia="Times New Roman" w:cs="Arial"/>
          <w:color w:val="000000" w:themeColor="text1"/>
          <w:sz w:val="24"/>
          <w:szCs w:val="24"/>
          <w:shd w:val="clear" w:color="auto" w:fill="FFFFFF"/>
          <w:lang w:eastAsia="hr-HR"/>
        </w:rPr>
        <w:t>din</w:t>
      </w:r>
      <w:r w:rsidR="00D41C79">
        <w:rPr>
          <w:rFonts w:eastAsia="Times New Roman" w:cs="Arial"/>
          <w:color w:val="000000" w:themeColor="text1"/>
          <w:sz w:val="24"/>
          <w:szCs w:val="24"/>
          <w:shd w:val="clear" w:color="auto" w:fill="FFFFFF"/>
          <w:lang w:eastAsia="hr-HR"/>
        </w:rPr>
        <w:t xml:space="preserve">i, </w:t>
      </w:r>
      <w:r w:rsidR="00332427">
        <w:rPr>
          <w:rFonts w:eastAsia="Times New Roman" w:cs="Arial"/>
          <w:color w:val="000000" w:themeColor="text1"/>
          <w:sz w:val="24"/>
          <w:szCs w:val="24"/>
          <w:shd w:val="clear" w:color="auto" w:fill="FFFFFF"/>
          <w:lang w:eastAsia="hr-HR"/>
        </w:rPr>
        <w:t xml:space="preserve">svako </w:t>
      </w:r>
      <w:r w:rsidRPr="00FF44DA">
        <w:rPr>
          <w:rFonts w:eastAsia="Times New Roman" w:cs="Arial"/>
          <w:color w:val="000000" w:themeColor="text1"/>
          <w:sz w:val="24"/>
          <w:szCs w:val="24"/>
          <w:shd w:val="clear" w:color="auto" w:fill="FFFFFF"/>
          <w:lang w:eastAsia="hr-HR"/>
        </w:rPr>
        <w:t xml:space="preserve"> mirovinsko društvo koje je dobilo suglasnost i odobrenje za rad </w:t>
      </w:r>
      <w:r w:rsidRPr="00692C10">
        <w:rPr>
          <w:rFonts w:eastAsia="Times New Roman" w:cs="Arial"/>
          <w:color w:val="C00000"/>
          <w:sz w:val="24"/>
          <w:szCs w:val="24"/>
          <w:shd w:val="clear" w:color="auto" w:fill="FFFFFF"/>
          <w:lang w:eastAsia="hr-HR"/>
        </w:rPr>
        <w:t xml:space="preserve">upravlja s tri mirovinska fonda </w:t>
      </w:r>
      <w:r w:rsidRPr="00FF44DA">
        <w:rPr>
          <w:rFonts w:eastAsia="Times New Roman" w:cs="Arial"/>
          <w:color w:val="000000" w:themeColor="text1"/>
          <w:sz w:val="24"/>
          <w:szCs w:val="24"/>
          <w:shd w:val="clear" w:color="auto" w:fill="FFFFFF"/>
          <w:lang w:eastAsia="hr-HR"/>
        </w:rPr>
        <w:t>i to:</w:t>
      </w:r>
    </w:p>
    <w:p w:rsidR="00FF44DA" w:rsidRPr="00B4638B" w:rsidRDefault="00FF44DA" w:rsidP="00C86D78">
      <w:pPr>
        <w:numPr>
          <w:ilvl w:val="0"/>
          <w:numId w:val="102"/>
        </w:numPr>
        <w:shd w:val="clear" w:color="auto" w:fill="FFFFFF"/>
        <w:spacing w:before="120" w:after="120" w:line="240" w:lineRule="auto"/>
        <w:ind w:left="714" w:hanging="357"/>
        <w:rPr>
          <w:rFonts w:eastAsia="Times New Roman" w:cs="Arial"/>
          <w:color w:val="000000" w:themeColor="text1"/>
          <w:sz w:val="24"/>
          <w:szCs w:val="24"/>
          <w:lang w:eastAsia="hr-HR"/>
        </w:rPr>
      </w:pPr>
      <w:r w:rsidRPr="00363DE8">
        <w:rPr>
          <w:rFonts w:eastAsia="Times New Roman" w:cs="Arial"/>
          <w:color w:val="C00000"/>
          <w:sz w:val="24"/>
          <w:szCs w:val="24"/>
          <w:lang w:eastAsia="hr-HR"/>
        </w:rPr>
        <w:t>obveznim mirovinskim fondom kategorije A</w:t>
      </w:r>
      <w:r w:rsidR="00505396" w:rsidRPr="00363DE8">
        <w:rPr>
          <w:rFonts w:eastAsia="Times New Roman" w:cs="Arial"/>
          <w:color w:val="C00000"/>
          <w:sz w:val="24"/>
          <w:szCs w:val="24"/>
          <w:lang w:eastAsia="hr-HR"/>
        </w:rPr>
        <w:t xml:space="preserve"> </w:t>
      </w:r>
      <w:r w:rsidR="003421BB" w:rsidRPr="00363DE8">
        <w:rPr>
          <w:rFonts w:eastAsia="Times New Roman" w:cs="Arial"/>
          <w:color w:val="000000" w:themeColor="text1"/>
          <w:sz w:val="24"/>
          <w:szCs w:val="24"/>
          <w:lang w:eastAsia="hr-HR"/>
        </w:rPr>
        <w:t xml:space="preserve">(uz uvažavanje zakonskih ograničenja ulaganja pripada kategoriji više </w:t>
      </w:r>
      <w:r w:rsidR="00505396" w:rsidRPr="00363DE8">
        <w:rPr>
          <w:color w:val="111111"/>
          <w:sz w:val="24"/>
          <w:szCs w:val="24"/>
        </w:rPr>
        <w:t xml:space="preserve">rizičnih </w:t>
      </w:r>
      <w:r w:rsidR="003421BB" w:rsidRPr="00363DE8">
        <w:rPr>
          <w:color w:val="111111"/>
          <w:sz w:val="24"/>
          <w:szCs w:val="24"/>
        </w:rPr>
        <w:t>mirovinskih fondova kod kojih se očekuje veći prinos u dugom roku</w:t>
      </w:r>
      <w:r w:rsidR="00692C10" w:rsidRPr="00B4638B">
        <w:rPr>
          <w:color w:val="111111"/>
          <w:sz w:val="24"/>
          <w:szCs w:val="24"/>
        </w:rPr>
        <w:t xml:space="preserve">; </w:t>
      </w:r>
      <w:r w:rsidR="003421BB" w:rsidRPr="00B4638B">
        <w:rPr>
          <w:color w:val="111111"/>
          <w:sz w:val="24"/>
          <w:szCs w:val="24"/>
        </w:rPr>
        <w:t>namijenjen je mlađim osiguranicima</w:t>
      </w:r>
      <w:r w:rsidR="00363DE8" w:rsidRPr="00B4638B">
        <w:rPr>
          <w:color w:val="111111"/>
          <w:sz w:val="24"/>
          <w:szCs w:val="24"/>
        </w:rPr>
        <w:t xml:space="preserve"> kod koji</w:t>
      </w:r>
      <w:r w:rsidR="000714E5">
        <w:rPr>
          <w:color w:val="111111"/>
          <w:sz w:val="24"/>
          <w:szCs w:val="24"/>
        </w:rPr>
        <w:t>h</w:t>
      </w:r>
      <w:r w:rsidR="00363DE8" w:rsidRPr="00B4638B">
        <w:rPr>
          <w:color w:val="111111"/>
          <w:sz w:val="24"/>
          <w:szCs w:val="24"/>
        </w:rPr>
        <w:t xml:space="preserve"> značajniji pad </w:t>
      </w:r>
      <w:r w:rsidR="00363DE8" w:rsidRPr="00B4638B">
        <w:rPr>
          <w:color w:val="111111"/>
          <w:sz w:val="24"/>
          <w:szCs w:val="24"/>
        </w:rPr>
        <w:lastRenderedPageBreak/>
        <w:t xml:space="preserve">vrijednosti portfelja ne bi znatno djelovao na visinu ukupno </w:t>
      </w:r>
      <w:r w:rsidR="000714E5">
        <w:rPr>
          <w:color w:val="111111"/>
          <w:sz w:val="24"/>
          <w:szCs w:val="24"/>
        </w:rPr>
        <w:t xml:space="preserve">kumuliranih </w:t>
      </w:r>
      <w:r w:rsidR="00363DE8" w:rsidRPr="00B4638B">
        <w:rPr>
          <w:color w:val="111111"/>
          <w:sz w:val="24"/>
          <w:szCs w:val="24"/>
        </w:rPr>
        <w:t>sredstava na dugi rok</w:t>
      </w:r>
      <w:r w:rsidR="000714E5">
        <w:rPr>
          <w:color w:val="111111"/>
          <w:sz w:val="24"/>
          <w:szCs w:val="24"/>
        </w:rPr>
        <w:t>, odnosno koji</w:t>
      </w:r>
      <w:r w:rsidR="00363DE8" w:rsidRPr="00B4638B">
        <w:rPr>
          <w:color w:val="111111"/>
          <w:sz w:val="24"/>
          <w:szCs w:val="24"/>
        </w:rPr>
        <w:t xml:space="preserve"> imaju pred sobom dugi budući vremenski horizont štednje</w:t>
      </w:r>
      <w:r w:rsidR="003421BB" w:rsidRPr="00B4638B">
        <w:rPr>
          <w:color w:val="111111"/>
          <w:sz w:val="24"/>
          <w:szCs w:val="24"/>
        </w:rPr>
        <w:t>);</w:t>
      </w:r>
      <w:r w:rsidRPr="00B4638B">
        <w:rPr>
          <w:rFonts w:eastAsia="Times New Roman" w:cs="Arial"/>
          <w:color w:val="000000" w:themeColor="text1"/>
          <w:sz w:val="24"/>
          <w:szCs w:val="24"/>
          <w:lang w:eastAsia="hr-HR"/>
        </w:rPr>
        <w:t>,</w:t>
      </w:r>
    </w:p>
    <w:p w:rsidR="00FF44DA" w:rsidRPr="00363DE8" w:rsidRDefault="00FF44DA" w:rsidP="00C86D78">
      <w:pPr>
        <w:numPr>
          <w:ilvl w:val="0"/>
          <w:numId w:val="102"/>
        </w:numPr>
        <w:shd w:val="clear" w:color="auto" w:fill="FFFFFF"/>
        <w:spacing w:before="120" w:after="120" w:line="240" w:lineRule="auto"/>
        <w:ind w:left="714" w:hanging="357"/>
        <w:rPr>
          <w:rFonts w:eastAsia="Times New Roman" w:cs="Arial"/>
          <w:color w:val="000000" w:themeColor="text1"/>
          <w:sz w:val="24"/>
          <w:szCs w:val="24"/>
          <w:lang w:eastAsia="hr-HR"/>
        </w:rPr>
      </w:pPr>
      <w:r w:rsidRPr="00363DE8">
        <w:rPr>
          <w:rFonts w:eastAsia="Times New Roman" w:cs="Arial"/>
          <w:color w:val="C00000"/>
          <w:sz w:val="24"/>
          <w:szCs w:val="24"/>
          <w:lang w:eastAsia="hr-HR"/>
        </w:rPr>
        <w:t xml:space="preserve">obveznim mirovinskim fondom kategorije B </w:t>
      </w:r>
      <w:r w:rsidR="003421BB" w:rsidRPr="00363DE8">
        <w:rPr>
          <w:rFonts w:eastAsia="Times New Roman" w:cs="Arial"/>
          <w:color w:val="000000" w:themeColor="text1"/>
          <w:sz w:val="24"/>
          <w:szCs w:val="24"/>
          <w:lang w:eastAsia="hr-HR"/>
        </w:rPr>
        <w:t xml:space="preserve">(s obzirom na strukturu portfelja imovine ima </w:t>
      </w:r>
      <w:r w:rsidR="003421BB" w:rsidRPr="00363DE8">
        <w:rPr>
          <w:color w:val="111111"/>
          <w:sz w:val="24"/>
          <w:szCs w:val="24"/>
        </w:rPr>
        <w:t>umjereno konzervativni profil rizičnosti dok su očekivani prinosi veći nego kod fondova kategorije C i manji od fondova kategorije A</w:t>
      </w:r>
      <w:r w:rsidR="00692C10">
        <w:rPr>
          <w:color w:val="111111"/>
          <w:sz w:val="24"/>
          <w:szCs w:val="24"/>
        </w:rPr>
        <w:t>;</w:t>
      </w:r>
      <w:r w:rsidR="003421BB" w:rsidRPr="00363DE8">
        <w:rPr>
          <w:color w:val="111111"/>
          <w:sz w:val="24"/>
          <w:szCs w:val="24"/>
        </w:rPr>
        <w:t xml:space="preserve">); </w:t>
      </w:r>
    </w:p>
    <w:p w:rsidR="00F43E19" w:rsidRDefault="00FF44DA" w:rsidP="00C86D78">
      <w:pPr>
        <w:numPr>
          <w:ilvl w:val="0"/>
          <w:numId w:val="102"/>
        </w:numPr>
        <w:shd w:val="clear" w:color="auto" w:fill="FFFFFF"/>
        <w:spacing w:before="120" w:after="120" w:line="240" w:lineRule="auto"/>
        <w:jc w:val="both"/>
        <w:rPr>
          <w:color w:val="111111"/>
          <w:sz w:val="24"/>
          <w:szCs w:val="24"/>
        </w:rPr>
      </w:pPr>
      <w:r w:rsidRPr="00363DE8">
        <w:rPr>
          <w:rFonts w:eastAsia="Times New Roman" w:cs="Arial"/>
          <w:color w:val="C00000"/>
          <w:sz w:val="24"/>
          <w:szCs w:val="24"/>
          <w:lang w:eastAsia="hr-HR"/>
        </w:rPr>
        <w:t>obveznim mirovinskim fondom kategorije C</w:t>
      </w:r>
      <w:r w:rsidR="003421BB" w:rsidRPr="00363DE8">
        <w:rPr>
          <w:rFonts w:eastAsia="Times New Roman" w:cs="Arial"/>
          <w:color w:val="C00000"/>
          <w:sz w:val="24"/>
          <w:szCs w:val="24"/>
          <w:lang w:eastAsia="hr-HR"/>
        </w:rPr>
        <w:t xml:space="preserve"> </w:t>
      </w:r>
      <w:r w:rsidR="003421BB" w:rsidRPr="00363DE8">
        <w:rPr>
          <w:rFonts w:eastAsia="Times New Roman" w:cs="Arial"/>
          <w:color w:val="000000" w:themeColor="text1"/>
          <w:sz w:val="24"/>
          <w:szCs w:val="24"/>
          <w:lang w:eastAsia="hr-HR"/>
        </w:rPr>
        <w:t>(uz uvažavanje zakonskih ograničenja ulaganja</w:t>
      </w:r>
      <w:r w:rsidR="003421BB" w:rsidRPr="00363DE8">
        <w:rPr>
          <w:color w:val="111111"/>
          <w:sz w:val="24"/>
          <w:szCs w:val="24"/>
        </w:rPr>
        <w:t xml:space="preserve"> fond pripada kategoriji najmanje rizičnih mirovinskih fondova kod kojih se očekuje niži prinos</w:t>
      </w:r>
      <w:r w:rsidR="00ED6B5F" w:rsidRPr="00363DE8">
        <w:rPr>
          <w:color w:val="111111"/>
          <w:sz w:val="24"/>
          <w:szCs w:val="24"/>
        </w:rPr>
        <w:t>;</w:t>
      </w:r>
      <w:r w:rsidR="00B4638B">
        <w:rPr>
          <w:color w:val="111111"/>
          <w:sz w:val="24"/>
          <w:szCs w:val="24"/>
        </w:rPr>
        <w:t>;</w:t>
      </w:r>
      <w:r w:rsidR="00B4638B" w:rsidRPr="00363DE8">
        <w:rPr>
          <w:color w:val="111111"/>
          <w:sz w:val="24"/>
          <w:szCs w:val="24"/>
        </w:rPr>
        <w:t xml:space="preserve"> </w:t>
      </w:r>
      <w:r w:rsidR="00ED6B5F" w:rsidRPr="00363DE8">
        <w:rPr>
          <w:color w:val="111111"/>
          <w:sz w:val="24"/>
          <w:szCs w:val="24"/>
        </w:rPr>
        <w:t>namijenjen je osobama koje uskoro odlaze u mirovinu</w:t>
      </w:r>
      <w:r w:rsidR="00363DE8" w:rsidRPr="00363DE8">
        <w:rPr>
          <w:color w:val="111111"/>
          <w:sz w:val="24"/>
          <w:szCs w:val="24"/>
        </w:rPr>
        <w:t xml:space="preserve"> a kroz radni staž su kumulirale značajne iznose sredstava te bi bili visoko izloženi u slučaju pada vrijednosti portfelja – imaju pred sobom kratak budući vremenski horizont</w:t>
      </w:r>
      <w:r w:rsidR="000714E5">
        <w:rPr>
          <w:color w:val="111111"/>
          <w:sz w:val="24"/>
          <w:szCs w:val="24"/>
        </w:rPr>
        <w:t>).</w:t>
      </w:r>
      <w:r w:rsidR="00363DE8" w:rsidRPr="00363DE8">
        <w:rPr>
          <w:color w:val="111111"/>
          <w:sz w:val="24"/>
          <w:szCs w:val="24"/>
        </w:rPr>
        <w:t xml:space="preserve"> </w:t>
      </w:r>
    </w:p>
    <w:p w:rsidR="00F43E19" w:rsidRPr="00F43E19" w:rsidRDefault="00D41C79" w:rsidP="000714E5">
      <w:pPr>
        <w:shd w:val="clear" w:color="auto" w:fill="FFFFFF"/>
        <w:spacing w:before="240" w:after="0"/>
        <w:jc w:val="both"/>
        <w:rPr>
          <w:color w:val="111111"/>
          <w:sz w:val="24"/>
          <w:szCs w:val="24"/>
        </w:rPr>
      </w:pPr>
      <w:r>
        <w:rPr>
          <w:color w:val="111111"/>
          <w:sz w:val="24"/>
          <w:szCs w:val="24"/>
        </w:rPr>
        <w:t xml:space="preserve">Kada je </w:t>
      </w:r>
      <w:r w:rsidR="00F43E19" w:rsidRPr="00F43E19">
        <w:rPr>
          <w:color w:val="111111"/>
          <w:sz w:val="24"/>
          <w:szCs w:val="24"/>
        </w:rPr>
        <w:t xml:space="preserve">članu fonda do dana ispunjenja starosnih uvjeta za stjecanje prava na starosnu mirovinu </w:t>
      </w:r>
      <w:r>
        <w:rPr>
          <w:color w:val="111111"/>
          <w:sz w:val="24"/>
          <w:szCs w:val="24"/>
        </w:rPr>
        <w:t>(</w:t>
      </w:r>
      <w:r w:rsidR="00F43E19" w:rsidRPr="00F43E19">
        <w:rPr>
          <w:color w:val="111111"/>
          <w:sz w:val="24"/>
          <w:szCs w:val="24"/>
        </w:rPr>
        <w:t xml:space="preserve">prema </w:t>
      </w:r>
      <w:r w:rsidR="00F43E19">
        <w:rPr>
          <w:color w:val="111111"/>
          <w:sz w:val="24"/>
          <w:szCs w:val="24"/>
        </w:rPr>
        <w:t>Zakonu o mirovinskom osiguranju</w:t>
      </w:r>
      <w:r>
        <w:rPr>
          <w:color w:val="111111"/>
          <w:sz w:val="24"/>
          <w:szCs w:val="24"/>
        </w:rPr>
        <w:t>)</w:t>
      </w:r>
      <w:r w:rsidR="00F43E19">
        <w:rPr>
          <w:color w:val="111111"/>
          <w:sz w:val="24"/>
          <w:szCs w:val="24"/>
        </w:rPr>
        <w:t>:</w:t>
      </w:r>
    </w:p>
    <w:p w:rsidR="00F43E19" w:rsidRPr="00F43E19" w:rsidRDefault="00F43E19" w:rsidP="00C86D78">
      <w:pPr>
        <w:numPr>
          <w:ilvl w:val="0"/>
          <w:numId w:val="102"/>
        </w:numPr>
        <w:shd w:val="clear" w:color="auto" w:fill="FFFFFF"/>
        <w:spacing w:before="120" w:after="120" w:line="240" w:lineRule="auto"/>
        <w:jc w:val="both"/>
        <w:rPr>
          <w:color w:val="111111"/>
          <w:sz w:val="24"/>
          <w:szCs w:val="24"/>
        </w:rPr>
      </w:pPr>
      <w:r w:rsidRPr="00F43E19">
        <w:rPr>
          <w:color w:val="C00000"/>
          <w:sz w:val="24"/>
          <w:szCs w:val="24"/>
        </w:rPr>
        <w:t>ostalo manje od 5 godina</w:t>
      </w:r>
      <w:r w:rsidRPr="00F43E19">
        <w:rPr>
          <w:color w:val="111111"/>
          <w:sz w:val="24"/>
          <w:szCs w:val="24"/>
        </w:rPr>
        <w:t>, član će prema Zakonu o obveznim mirovinskim fondovima biti raspoređen u fond kategorije C.</w:t>
      </w:r>
    </w:p>
    <w:p w:rsidR="00F43E19" w:rsidRPr="00F43E19" w:rsidRDefault="00F43E19" w:rsidP="00C86D78">
      <w:pPr>
        <w:numPr>
          <w:ilvl w:val="0"/>
          <w:numId w:val="102"/>
        </w:numPr>
        <w:shd w:val="clear" w:color="auto" w:fill="FFFFFF"/>
        <w:spacing w:before="120" w:after="120" w:line="240" w:lineRule="auto"/>
        <w:jc w:val="both"/>
        <w:rPr>
          <w:color w:val="111111"/>
          <w:sz w:val="24"/>
          <w:szCs w:val="24"/>
        </w:rPr>
      </w:pPr>
      <w:r w:rsidRPr="00F43E19">
        <w:rPr>
          <w:color w:val="C00000"/>
          <w:sz w:val="24"/>
          <w:szCs w:val="24"/>
        </w:rPr>
        <w:t>ostalo 5 do 10 godina</w:t>
      </w:r>
      <w:r w:rsidRPr="00F43E19">
        <w:rPr>
          <w:color w:val="111111"/>
          <w:sz w:val="24"/>
          <w:szCs w:val="24"/>
        </w:rPr>
        <w:t>, član može samostalno odlučiti o promjeni kategorije fonda iz B u C, ali nema mogućnost promjene u kategoriju A.</w:t>
      </w:r>
    </w:p>
    <w:p w:rsidR="00F43E19" w:rsidRPr="00F43E19" w:rsidRDefault="00F43E19" w:rsidP="00C86D78">
      <w:pPr>
        <w:numPr>
          <w:ilvl w:val="0"/>
          <w:numId w:val="102"/>
        </w:numPr>
        <w:shd w:val="clear" w:color="auto" w:fill="FFFFFF"/>
        <w:spacing w:before="120" w:after="120" w:line="240" w:lineRule="auto"/>
        <w:jc w:val="both"/>
        <w:rPr>
          <w:color w:val="111111"/>
          <w:sz w:val="24"/>
          <w:szCs w:val="24"/>
        </w:rPr>
      </w:pPr>
      <w:r w:rsidRPr="00F43E19">
        <w:rPr>
          <w:color w:val="111111"/>
          <w:sz w:val="24"/>
          <w:szCs w:val="24"/>
        </w:rPr>
        <w:t xml:space="preserve"> </w:t>
      </w:r>
      <w:r w:rsidRPr="00F43E19">
        <w:rPr>
          <w:color w:val="C00000"/>
          <w:sz w:val="24"/>
          <w:szCs w:val="24"/>
        </w:rPr>
        <w:t>ostalo više od 10 godina</w:t>
      </w:r>
      <w:r w:rsidRPr="00F43E19">
        <w:rPr>
          <w:color w:val="111111"/>
          <w:sz w:val="24"/>
          <w:szCs w:val="24"/>
        </w:rPr>
        <w:t>, član može samostalno odlučiti o promjeni k</w:t>
      </w:r>
      <w:r>
        <w:rPr>
          <w:color w:val="111111"/>
          <w:sz w:val="24"/>
          <w:szCs w:val="24"/>
        </w:rPr>
        <w:t>ategorije fonda iz B u A ili C.</w:t>
      </w:r>
    </w:p>
    <w:p w:rsidR="00F43E19" w:rsidRPr="000714E5" w:rsidRDefault="00F43E19" w:rsidP="00983612">
      <w:pPr>
        <w:shd w:val="clear" w:color="auto" w:fill="FFFFFF"/>
        <w:spacing w:before="240"/>
        <w:jc w:val="both"/>
        <w:rPr>
          <w:bCs/>
          <w:sz w:val="24"/>
          <w:szCs w:val="24"/>
        </w:rPr>
      </w:pPr>
      <w:r w:rsidRPr="000714E5">
        <w:rPr>
          <w:color w:val="111111"/>
          <w:sz w:val="24"/>
          <w:szCs w:val="24"/>
        </w:rPr>
        <w:t xml:space="preserve">Svi osiguranici koji nisu </w:t>
      </w:r>
      <w:r w:rsidR="00983612" w:rsidRPr="000714E5">
        <w:rPr>
          <w:color w:val="111111"/>
          <w:sz w:val="24"/>
          <w:szCs w:val="24"/>
        </w:rPr>
        <w:t xml:space="preserve">do 07.08.2014. </w:t>
      </w:r>
      <w:r w:rsidRPr="000714E5">
        <w:rPr>
          <w:color w:val="111111"/>
          <w:sz w:val="24"/>
          <w:szCs w:val="24"/>
        </w:rPr>
        <w:t>samostalno izabrali kategoriju mirovinskog fonda, raspoređeni su u mirovinski fond kategorije B.</w:t>
      </w:r>
      <w:r w:rsidR="00983612" w:rsidRPr="000714E5">
        <w:rPr>
          <w:bCs/>
          <w:sz w:val="24"/>
          <w:szCs w:val="24"/>
        </w:rPr>
        <w:t xml:space="preserve"> Pri tome, </w:t>
      </w:r>
      <w:r w:rsidR="00983612" w:rsidRPr="000714E5">
        <w:rPr>
          <w:color w:val="111111"/>
          <w:sz w:val="24"/>
          <w:szCs w:val="24"/>
        </w:rPr>
        <w:t xml:space="preserve">Zakon o obveznim mirovinskim fondovima propisuje da se (nakon isteka inicijalnog roka za odabir fonda, 07.08.2014.), </w:t>
      </w:r>
      <w:r w:rsidR="00983612" w:rsidRPr="000714E5">
        <w:rPr>
          <w:color w:val="C00000"/>
          <w:sz w:val="24"/>
          <w:szCs w:val="24"/>
        </w:rPr>
        <w:t>kategorija fonda može promijeniti samo jednom u tri godine</w:t>
      </w:r>
      <w:r w:rsidR="00983612" w:rsidRPr="000714E5">
        <w:rPr>
          <w:color w:val="111111"/>
          <w:sz w:val="24"/>
          <w:szCs w:val="24"/>
        </w:rPr>
        <w:t>.</w:t>
      </w:r>
      <w:r w:rsidRPr="000714E5">
        <w:rPr>
          <w:rStyle w:val="Referencafusnote"/>
          <w:bCs/>
          <w:sz w:val="24"/>
          <w:szCs w:val="24"/>
        </w:rPr>
        <w:footnoteReference w:id="114"/>
      </w:r>
    </w:p>
    <w:p w:rsidR="00DA20DD" w:rsidRDefault="00DA20DD" w:rsidP="00DA20DD">
      <w:pPr>
        <w:shd w:val="clear" w:color="auto" w:fill="FFFFFF"/>
        <w:jc w:val="both"/>
        <w:rPr>
          <w:bCs/>
          <w:sz w:val="24"/>
          <w:szCs w:val="24"/>
        </w:rPr>
      </w:pPr>
      <w:r w:rsidRPr="003421BB">
        <w:rPr>
          <w:bCs/>
          <w:sz w:val="24"/>
          <w:szCs w:val="24"/>
        </w:rPr>
        <w:t xml:space="preserve">U svrhu upravljanja imovinom fonda društvo naplaćuje </w:t>
      </w:r>
      <w:r w:rsidRPr="003421BB">
        <w:rPr>
          <w:bCs/>
          <w:color w:val="C00000"/>
          <w:sz w:val="24"/>
          <w:szCs w:val="24"/>
        </w:rPr>
        <w:t xml:space="preserve">naknadu za upravljanje </w:t>
      </w:r>
      <w:r w:rsidRPr="003421BB">
        <w:rPr>
          <w:bCs/>
          <w:sz w:val="24"/>
          <w:szCs w:val="24"/>
        </w:rPr>
        <w:t xml:space="preserve">(na primjer 0,45% godišnje od ukupne imovine mirovinskog fonda). </w:t>
      </w:r>
      <w:r w:rsidRPr="003421BB">
        <w:rPr>
          <w:bCs/>
          <w:color w:val="C00000"/>
          <w:sz w:val="24"/>
          <w:szCs w:val="24"/>
        </w:rPr>
        <w:t xml:space="preserve">Naknada depozitaru </w:t>
      </w:r>
      <w:r w:rsidRPr="003421BB">
        <w:rPr>
          <w:bCs/>
          <w:sz w:val="24"/>
          <w:szCs w:val="24"/>
        </w:rPr>
        <w:t>može iznositi najviše 0,10% prosječne godišnje imovine fonda (a u praksi je i znatno niža</w:t>
      </w:r>
      <w:r>
        <w:rPr>
          <w:bCs/>
          <w:sz w:val="24"/>
          <w:szCs w:val="24"/>
        </w:rPr>
        <w:t xml:space="preserve"> oko 0,03% godišnje</w:t>
      </w:r>
      <w:r w:rsidRPr="003421BB">
        <w:rPr>
          <w:bCs/>
          <w:sz w:val="24"/>
          <w:szCs w:val="24"/>
        </w:rPr>
        <w:t xml:space="preserve">). Dodatno postoji </w:t>
      </w:r>
      <w:r w:rsidRPr="003421BB">
        <w:rPr>
          <w:bCs/>
          <w:color w:val="C00000"/>
          <w:sz w:val="24"/>
          <w:szCs w:val="24"/>
        </w:rPr>
        <w:t xml:space="preserve">ulazna naknada </w:t>
      </w:r>
      <w:r w:rsidRPr="003421BB">
        <w:rPr>
          <w:bCs/>
          <w:sz w:val="24"/>
          <w:szCs w:val="24"/>
        </w:rPr>
        <w:t xml:space="preserve">koja iznosi najviše do 0,8% iznosa (tekućeg) uplaćenog mirovinskog doprinosa (kroz duže članstvo, npr dvije godine ulazna naknada može biti i niža, ali najniža ulazna naknada ne može biti niža od 0,5% uplaćenih doprinosa). </w:t>
      </w:r>
      <w:r w:rsidRPr="003421BB">
        <w:rPr>
          <w:bCs/>
          <w:color w:val="C00000"/>
          <w:sz w:val="24"/>
          <w:szCs w:val="24"/>
        </w:rPr>
        <w:t xml:space="preserve">Izlazna naknada </w:t>
      </w:r>
      <w:r w:rsidRPr="003421BB">
        <w:rPr>
          <w:bCs/>
          <w:sz w:val="24"/>
          <w:szCs w:val="24"/>
        </w:rPr>
        <w:t>obračunava se ukoliko član napušta fond ili promjeni fond prije isteka treće godine članstva. Veća je u prvoj godini npr. 0,8%, a niža u naredne dvije godine)</w:t>
      </w:r>
      <w:r>
        <w:rPr>
          <w:bCs/>
          <w:sz w:val="24"/>
          <w:szCs w:val="24"/>
        </w:rPr>
        <w:t>.</w:t>
      </w:r>
    </w:p>
    <w:p w:rsidR="00150DB6" w:rsidRDefault="00150DB6" w:rsidP="00DA20DD">
      <w:pPr>
        <w:shd w:val="clear" w:color="auto" w:fill="FFFFFF"/>
        <w:jc w:val="both"/>
        <w:rPr>
          <w:bCs/>
          <w:sz w:val="24"/>
          <w:szCs w:val="24"/>
        </w:rPr>
      </w:pPr>
      <w:r>
        <w:rPr>
          <w:bCs/>
          <w:sz w:val="24"/>
          <w:szCs w:val="24"/>
        </w:rPr>
        <w:t xml:space="preserve">U slučaju smrti člana obveznog mirovinskog fonda prije ostvarivanja prava na mirovinu, postoji mogućnost </w:t>
      </w:r>
      <w:r w:rsidRPr="00866662">
        <w:rPr>
          <w:bCs/>
          <w:color w:val="C00000"/>
          <w:sz w:val="24"/>
          <w:szCs w:val="24"/>
        </w:rPr>
        <w:t>obiteljske mirovine</w:t>
      </w:r>
      <w:r>
        <w:rPr>
          <w:bCs/>
          <w:sz w:val="24"/>
          <w:szCs w:val="24"/>
        </w:rPr>
        <w:t xml:space="preserve">. Također postoji i mogućnosti </w:t>
      </w:r>
      <w:r w:rsidRPr="00866662">
        <w:rPr>
          <w:bCs/>
          <w:color w:val="C00000"/>
          <w:sz w:val="24"/>
          <w:szCs w:val="24"/>
        </w:rPr>
        <w:t>invalidske mirovine</w:t>
      </w:r>
      <w:r w:rsidRPr="000714E5">
        <w:rPr>
          <w:bCs/>
          <w:sz w:val="24"/>
          <w:szCs w:val="24"/>
        </w:rPr>
        <w:t>. U oba slučaja</w:t>
      </w:r>
      <w:r>
        <w:rPr>
          <w:bCs/>
          <w:sz w:val="24"/>
          <w:szCs w:val="24"/>
        </w:rPr>
        <w:t>, ovisno o dobi osiguranika one se mogu isplaćivati putem HZMO ili mirovinskog osiguravajućeg društva. U slučaju smrti osiguranika kada članovi obitelji nemaju pravo na obiteljsku mirovinu, s</w:t>
      </w:r>
      <w:r w:rsidRPr="00746B38">
        <w:rPr>
          <w:bCs/>
          <w:sz w:val="24"/>
          <w:szCs w:val="24"/>
        </w:rPr>
        <w:t xml:space="preserve">redstva </w:t>
      </w:r>
      <w:r>
        <w:rPr>
          <w:bCs/>
          <w:sz w:val="24"/>
          <w:szCs w:val="24"/>
        </w:rPr>
        <w:t xml:space="preserve">kapitalizirana </w:t>
      </w:r>
      <w:r w:rsidRPr="00746B38">
        <w:rPr>
          <w:bCs/>
          <w:sz w:val="24"/>
          <w:szCs w:val="24"/>
        </w:rPr>
        <w:t xml:space="preserve">na osobnom mirovinskom računu </w:t>
      </w:r>
      <w:r>
        <w:rPr>
          <w:bCs/>
          <w:sz w:val="24"/>
          <w:szCs w:val="24"/>
        </w:rPr>
        <w:t xml:space="preserve">člana fonda (osiguranika) </w:t>
      </w:r>
      <w:r w:rsidRPr="00746B38">
        <w:rPr>
          <w:bCs/>
          <w:sz w:val="24"/>
          <w:szCs w:val="24"/>
        </w:rPr>
        <w:t>su</w:t>
      </w:r>
      <w:r w:rsidRPr="005F2C0D">
        <w:rPr>
          <w:bCs/>
          <w:color w:val="C00000"/>
          <w:sz w:val="24"/>
          <w:szCs w:val="24"/>
        </w:rPr>
        <w:t xml:space="preserve"> nasljedna </w:t>
      </w:r>
      <w:r w:rsidRPr="00746B38">
        <w:rPr>
          <w:bCs/>
          <w:sz w:val="24"/>
          <w:szCs w:val="24"/>
        </w:rPr>
        <w:t>i pripadaju zakonskim nasljednicima prema posebnim zakonima</w:t>
      </w:r>
      <w:r>
        <w:rPr>
          <w:bCs/>
          <w:sz w:val="24"/>
          <w:szCs w:val="24"/>
        </w:rPr>
        <w:t xml:space="preserve"> (a </w:t>
      </w:r>
      <w:r w:rsidRPr="00505396">
        <w:rPr>
          <w:bCs/>
          <w:sz w:val="24"/>
          <w:szCs w:val="24"/>
        </w:rPr>
        <w:lastRenderedPageBreak/>
        <w:t>nasljednici su dužni kao imovinu ostavitelja navesti i račun u obveznom i/ili dobrovoljnom mirovinskom fondu</w:t>
      </w:r>
      <w:r>
        <w:rPr>
          <w:bCs/>
          <w:sz w:val="24"/>
          <w:szCs w:val="24"/>
        </w:rPr>
        <w:t xml:space="preserve"> uz naznaku broja računa i naziv fond</w:t>
      </w:r>
      <w:r w:rsidRPr="00746B38">
        <w:rPr>
          <w:bCs/>
          <w:sz w:val="24"/>
          <w:szCs w:val="24"/>
        </w:rPr>
        <w:t>)</w:t>
      </w:r>
      <w:r>
        <w:rPr>
          <w:bCs/>
          <w:sz w:val="24"/>
          <w:szCs w:val="24"/>
        </w:rPr>
        <w:t>.</w:t>
      </w:r>
    </w:p>
    <w:p w:rsidR="0057316C" w:rsidRPr="0057316C" w:rsidRDefault="0057316C" w:rsidP="00DA20DD">
      <w:pPr>
        <w:shd w:val="clear" w:color="auto" w:fill="FFFFFF"/>
        <w:jc w:val="both"/>
        <w:rPr>
          <w:b/>
          <w:bCs/>
          <w:sz w:val="24"/>
          <w:szCs w:val="24"/>
        </w:rPr>
      </w:pPr>
      <w:r w:rsidRPr="0057316C">
        <w:rPr>
          <w:b/>
          <w:bCs/>
          <w:sz w:val="24"/>
          <w:szCs w:val="24"/>
        </w:rPr>
        <w:t>Tablica 26: Struktura ulaganja obveznih mirovinskih fondova u Hrvatskoj, kolovoz 2015.</w:t>
      </w:r>
    </w:p>
    <w:p w:rsidR="0057316C" w:rsidRDefault="0057316C" w:rsidP="00DA20DD">
      <w:pPr>
        <w:shd w:val="clear" w:color="auto" w:fill="FFFFFF"/>
        <w:spacing w:after="0"/>
        <w:jc w:val="both"/>
        <w:rPr>
          <w:bCs/>
          <w:sz w:val="24"/>
          <w:szCs w:val="24"/>
        </w:rPr>
      </w:pPr>
      <w:r w:rsidRPr="0057316C">
        <w:rPr>
          <w:noProof/>
          <w:lang w:eastAsia="hr-HR"/>
        </w:rPr>
        <w:drawing>
          <wp:inline distT="0" distB="0" distL="0" distR="0" wp14:anchorId="3ED0F85A" wp14:editId="71D468FD">
            <wp:extent cx="5760720" cy="4949102"/>
            <wp:effectExtent l="0" t="0" r="0" b="4445"/>
            <wp:docPr id="29714" name="Slika 2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60720" cy="4949102"/>
                    </a:xfrm>
                    <a:prstGeom prst="rect">
                      <a:avLst/>
                    </a:prstGeom>
                    <a:noFill/>
                    <a:ln>
                      <a:noFill/>
                    </a:ln>
                  </pic:spPr>
                </pic:pic>
              </a:graphicData>
            </a:graphic>
          </wp:inline>
        </w:drawing>
      </w:r>
    </w:p>
    <w:p w:rsidR="0057316C" w:rsidRDefault="0057316C" w:rsidP="00983612">
      <w:pPr>
        <w:shd w:val="clear" w:color="auto" w:fill="FFFFFF"/>
        <w:jc w:val="both"/>
        <w:rPr>
          <w:bCs/>
          <w:sz w:val="20"/>
          <w:szCs w:val="20"/>
        </w:rPr>
      </w:pPr>
      <w:r w:rsidRPr="0057316C">
        <w:rPr>
          <w:bCs/>
          <w:sz w:val="20"/>
          <w:szCs w:val="20"/>
        </w:rPr>
        <w:t>Izvor podataka: Hanfa</w:t>
      </w:r>
    </w:p>
    <w:p w:rsidR="0041504F" w:rsidRDefault="00404543" w:rsidP="0041504F">
      <w:pPr>
        <w:shd w:val="clear" w:color="auto" w:fill="FFFFFF"/>
        <w:spacing w:after="0"/>
        <w:jc w:val="both"/>
        <w:rPr>
          <w:bCs/>
          <w:sz w:val="24"/>
          <w:szCs w:val="24"/>
        </w:rPr>
      </w:pPr>
      <w:r>
        <w:rPr>
          <w:bCs/>
          <w:sz w:val="24"/>
          <w:szCs w:val="24"/>
        </w:rPr>
        <w:t>U Hrvatskoj djeluju četiri mirovinska društva</w:t>
      </w:r>
      <w:r w:rsidR="0041504F">
        <w:rPr>
          <w:bCs/>
          <w:sz w:val="24"/>
          <w:szCs w:val="24"/>
        </w:rPr>
        <w:t xml:space="preserve"> (za upravljanje obveznim mirovinskim fondovima)</w:t>
      </w:r>
      <w:r>
        <w:rPr>
          <w:bCs/>
          <w:sz w:val="24"/>
          <w:szCs w:val="24"/>
        </w:rPr>
        <w:t xml:space="preserve">, a svako od njih upravlja s tri kategorije </w:t>
      </w:r>
      <w:r w:rsidR="0041504F">
        <w:rPr>
          <w:bCs/>
          <w:sz w:val="24"/>
          <w:szCs w:val="24"/>
        </w:rPr>
        <w:t xml:space="preserve">obveznih </w:t>
      </w:r>
      <w:r>
        <w:rPr>
          <w:bCs/>
          <w:sz w:val="24"/>
          <w:szCs w:val="24"/>
        </w:rPr>
        <w:t xml:space="preserve">mirovinskih fondova </w:t>
      </w:r>
      <w:r w:rsidR="0041504F">
        <w:rPr>
          <w:bCs/>
          <w:sz w:val="24"/>
          <w:szCs w:val="24"/>
        </w:rPr>
        <w:t xml:space="preserve">tipa </w:t>
      </w:r>
      <w:r>
        <w:rPr>
          <w:bCs/>
          <w:sz w:val="24"/>
          <w:szCs w:val="24"/>
        </w:rPr>
        <w:t xml:space="preserve">A, B i C. Prema podacima za 2015. </w:t>
      </w:r>
      <w:r w:rsidRPr="0066157A">
        <w:rPr>
          <w:bCs/>
          <w:color w:val="C00000"/>
          <w:sz w:val="24"/>
          <w:szCs w:val="24"/>
        </w:rPr>
        <w:t>prinosi obveznih mirovinski</w:t>
      </w:r>
      <w:r w:rsidR="0041504F" w:rsidRPr="0066157A">
        <w:rPr>
          <w:bCs/>
          <w:color w:val="C00000"/>
          <w:sz w:val="24"/>
          <w:szCs w:val="24"/>
        </w:rPr>
        <w:t>h fondova</w:t>
      </w:r>
      <w:r w:rsidR="0041504F">
        <w:rPr>
          <w:bCs/>
          <w:sz w:val="24"/>
          <w:szCs w:val="24"/>
        </w:rPr>
        <w:t xml:space="preserve">: </w:t>
      </w:r>
    </w:p>
    <w:p w:rsidR="0041504F" w:rsidRPr="0041504F" w:rsidRDefault="00404543" w:rsidP="0009271B">
      <w:pPr>
        <w:pStyle w:val="Odlomakpopisa"/>
        <w:numPr>
          <w:ilvl w:val="0"/>
          <w:numId w:val="119"/>
        </w:numPr>
        <w:shd w:val="clear" w:color="auto" w:fill="FFFFFF"/>
        <w:jc w:val="both"/>
        <w:rPr>
          <w:bCs/>
          <w:sz w:val="24"/>
          <w:szCs w:val="24"/>
        </w:rPr>
      </w:pPr>
      <w:r w:rsidRPr="0041504F">
        <w:rPr>
          <w:bCs/>
          <w:sz w:val="24"/>
          <w:szCs w:val="24"/>
        </w:rPr>
        <w:t>kategorije A kreću se od 4</w:t>
      </w:r>
      <w:r w:rsidR="0041504F">
        <w:rPr>
          <w:bCs/>
          <w:sz w:val="24"/>
          <w:szCs w:val="24"/>
        </w:rPr>
        <w:t>,</w:t>
      </w:r>
      <w:r w:rsidRPr="0041504F">
        <w:rPr>
          <w:bCs/>
          <w:sz w:val="24"/>
          <w:szCs w:val="24"/>
        </w:rPr>
        <w:t>07% do 6,99%, dok se njihov prosječni godišnji prinos kreće od 8,77% do 10,44%</w:t>
      </w:r>
      <w:r w:rsidR="0041504F" w:rsidRPr="0041504F">
        <w:rPr>
          <w:bCs/>
          <w:sz w:val="24"/>
          <w:szCs w:val="24"/>
        </w:rPr>
        <w:t>;</w:t>
      </w:r>
      <w:r w:rsidRPr="0041504F">
        <w:rPr>
          <w:bCs/>
          <w:sz w:val="24"/>
          <w:szCs w:val="24"/>
        </w:rPr>
        <w:t xml:space="preserve"> </w:t>
      </w:r>
    </w:p>
    <w:p w:rsidR="0041504F" w:rsidRPr="0041504F" w:rsidRDefault="0041504F" w:rsidP="0009271B">
      <w:pPr>
        <w:pStyle w:val="Odlomakpopisa"/>
        <w:numPr>
          <w:ilvl w:val="0"/>
          <w:numId w:val="119"/>
        </w:numPr>
        <w:shd w:val="clear" w:color="auto" w:fill="FFFFFF"/>
        <w:jc w:val="both"/>
        <w:rPr>
          <w:bCs/>
          <w:sz w:val="24"/>
          <w:szCs w:val="24"/>
        </w:rPr>
      </w:pPr>
      <w:r>
        <w:rPr>
          <w:bCs/>
          <w:sz w:val="24"/>
          <w:szCs w:val="24"/>
        </w:rPr>
        <w:t>kategorije B</w:t>
      </w:r>
      <w:r w:rsidRPr="0041504F">
        <w:rPr>
          <w:bCs/>
          <w:sz w:val="24"/>
          <w:szCs w:val="24"/>
        </w:rPr>
        <w:t xml:space="preserve"> kreću se od </w:t>
      </w:r>
      <w:r>
        <w:rPr>
          <w:bCs/>
          <w:sz w:val="24"/>
          <w:szCs w:val="24"/>
        </w:rPr>
        <w:t>3,82</w:t>
      </w:r>
      <w:r w:rsidRPr="0041504F">
        <w:rPr>
          <w:bCs/>
          <w:sz w:val="24"/>
          <w:szCs w:val="24"/>
        </w:rPr>
        <w:t xml:space="preserve">% do </w:t>
      </w:r>
      <w:r>
        <w:rPr>
          <w:bCs/>
          <w:sz w:val="24"/>
          <w:szCs w:val="24"/>
        </w:rPr>
        <w:t>4,67</w:t>
      </w:r>
      <w:r w:rsidRPr="0041504F">
        <w:rPr>
          <w:bCs/>
          <w:sz w:val="24"/>
          <w:szCs w:val="24"/>
        </w:rPr>
        <w:t>%</w:t>
      </w:r>
      <w:r>
        <w:rPr>
          <w:bCs/>
          <w:sz w:val="24"/>
          <w:szCs w:val="24"/>
        </w:rPr>
        <w:t xml:space="preserve">, </w:t>
      </w:r>
      <w:r w:rsidRPr="0041504F">
        <w:rPr>
          <w:bCs/>
          <w:sz w:val="24"/>
          <w:szCs w:val="24"/>
        </w:rPr>
        <w:t xml:space="preserve">dok se njihov prosječni godišnji prinos kreće od </w:t>
      </w:r>
      <w:r>
        <w:rPr>
          <w:bCs/>
          <w:sz w:val="24"/>
          <w:szCs w:val="24"/>
        </w:rPr>
        <w:t>5,11</w:t>
      </w:r>
      <w:r w:rsidRPr="0041504F">
        <w:rPr>
          <w:bCs/>
          <w:sz w:val="24"/>
          <w:szCs w:val="24"/>
        </w:rPr>
        <w:t xml:space="preserve">% do </w:t>
      </w:r>
      <w:r>
        <w:rPr>
          <w:bCs/>
          <w:sz w:val="24"/>
          <w:szCs w:val="24"/>
        </w:rPr>
        <w:t>6,0</w:t>
      </w:r>
      <w:r w:rsidRPr="0041504F">
        <w:rPr>
          <w:bCs/>
          <w:sz w:val="24"/>
          <w:szCs w:val="24"/>
        </w:rPr>
        <w:t xml:space="preserve">%;  </w:t>
      </w:r>
    </w:p>
    <w:p w:rsidR="0041504F" w:rsidRDefault="0041504F" w:rsidP="0009271B">
      <w:pPr>
        <w:pStyle w:val="Odlomakpopisa"/>
        <w:numPr>
          <w:ilvl w:val="0"/>
          <w:numId w:val="119"/>
        </w:numPr>
        <w:shd w:val="clear" w:color="auto" w:fill="FFFFFF"/>
        <w:jc w:val="both"/>
        <w:rPr>
          <w:bCs/>
          <w:sz w:val="24"/>
          <w:szCs w:val="24"/>
        </w:rPr>
      </w:pPr>
      <w:r w:rsidRPr="0041504F">
        <w:rPr>
          <w:bCs/>
          <w:sz w:val="24"/>
          <w:szCs w:val="24"/>
        </w:rPr>
        <w:t xml:space="preserve">kategorije </w:t>
      </w:r>
      <w:r>
        <w:rPr>
          <w:bCs/>
          <w:sz w:val="24"/>
          <w:szCs w:val="24"/>
        </w:rPr>
        <w:t>C</w:t>
      </w:r>
      <w:r w:rsidRPr="0041504F">
        <w:rPr>
          <w:bCs/>
          <w:sz w:val="24"/>
          <w:szCs w:val="24"/>
        </w:rPr>
        <w:t xml:space="preserve"> kreću se od </w:t>
      </w:r>
      <w:r>
        <w:rPr>
          <w:bCs/>
          <w:sz w:val="24"/>
          <w:szCs w:val="24"/>
        </w:rPr>
        <w:t>3,45</w:t>
      </w:r>
      <w:r w:rsidRPr="0041504F">
        <w:rPr>
          <w:bCs/>
          <w:sz w:val="24"/>
          <w:szCs w:val="24"/>
        </w:rPr>
        <w:t xml:space="preserve">% do </w:t>
      </w:r>
      <w:r>
        <w:rPr>
          <w:bCs/>
          <w:sz w:val="24"/>
          <w:szCs w:val="24"/>
        </w:rPr>
        <w:t>7</w:t>
      </w:r>
      <w:r w:rsidRPr="0041504F">
        <w:rPr>
          <w:bCs/>
          <w:sz w:val="24"/>
          <w:szCs w:val="24"/>
        </w:rPr>
        <w:t>,</w:t>
      </w:r>
      <w:r>
        <w:rPr>
          <w:bCs/>
          <w:sz w:val="24"/>
          <w:szCs w:val="24"/>
        </w:rPr>
        <w:t>02</w:t>
      </w:r>
      <w:r w:rsidRPr="0041504F">
        <w:rPr>
          <w:bCs/>
          <w:sz w:val="24"/>
          <w:szCs w:val="24"/>
        </w:rPr>
        <w:t xml:space="preserve">%, dok se njihov prosječni godišnji prinos kreće od </w:t>
      </w:r>
      <w:r>
        <w:rPr>
          <w:bCs/>
          <w:sz w:val="24"/>
          <w:szCs w:val="24"/>
        </w:rPr>
        <w:t>5</w:t>
      </w:r>
      <w:r w:rsidRPr="0041504F">
        <w:rPr>
          <w:bCs/>
          <w:sz w:val="24"/>
          <w:szCs w:val="24"/>
        </w:rPr>
        <w:t>,</w:t>
      </w:r>
      <w:r>
        <w:rPr>
          <w:bCs/>
          <w:sz w:val="24"/>
          <w:szCs w:val="24"/>
        </w:rPr>
        <w:t>12</w:t>
      </w:r>
      <w:r w:rsidRPr="0041504F">
        <w:rPr>
          <w:bCs/>
          <w:sz w:val="24"/>
          <w:szCs w:val="24"/>
        </w:rPr>
        <w:t>% do 10,</w:t>
      </w:r>
      <w:r>
        <w:rPr>
          <w:bCs/>
          <w:sz w:val="24"/>
          <w:szCs w:val="24"/>
        </w:rPr>
        <w:t>29</w:t>
      </w:r>
      <w:r w:rsidRPr="0041504F">
        <w:rPr>
          <w:bCs/>
          <w:sz w:val="24"/>
          <w:szCs w:val="24"/>
        </w:rPr>
        <w:t>%</w:t>
      </w:r>
      <w:r>
        <w:rPr>
          <w:bCs/>
          <w:sz w:val="24"/>
          <w:szCs w:val="24"/>
        </w:rPr>
        <w:t>.</w:t>
      </w:r>
    </w:p>
    <w:p w:rsidR="0041504F" w:rsidRPr="0041504F" w:rsidRDefault="0041504F" w:rsidP="0041504F">
      <w:pPr>
        <w:shd w:val="clear" w:color="auto" w:fill="FFFFFF"/>
        <w:jc w:val="both"/>
        <w:rPr>
          <w:bCs/>
          <w:sz w:val="24"/>
          <w:szCs w:val="24"/>
        </w:rPr>
      </w:pPr>
      <w:r>
        <w:rPr>
          <w:bCs/>
          <w:sz w:val="24"/>
          <w:szCs w:val="24"/>
        </w:rPr>
        <w:t>Pri tome treba biti svjestan da prinosi pojedinačnih fondova ostvareni u prošlosti nisu garancija prinosa u budućnosti.</w:t>
      </w:r>
    </w:p>
    <w:p w:rsidR="00150DB6" w:rsidRDefault="00150DB6" w:rsidP="00150DB6">
      <w:pPr>
        <w:shd w:val="clear" w:color="auto" w:fill="FFFFFF"/>
        <w:jc w:val="both"/>
        <w:rPr>
          <w:bCs/>
          <w:sz w:val="24"/>
          <w:szCs w:val="24"/>
        </w:rPr>
      </w:pPr>
      <w:r w:rsidRPr="00746B38">
        <w:rPr>
          <w:bCs/>
          <w:sz w:val="24"/>
          <w:szCs w:val="24"/>
        </w:rPr>
        <w:lastRenderedPageBreak/>
        <w:t xml:space="preserve">Kada </w:t>
      </w:r>
      <w:r>
        <w:rPr>
          <w:bCs/>
          <w:sz w:val="24"/>
          <w:szCs w:val="24"/>
        </w:rPr>
        <w:t xml:space="preserve">član fonda </w:t>
      </w:r>
      <w:r w:rsidRPr="00D41C79">
        <w:rPr>
          <w:bCs/>
          <w:color w:val="C00000"/>
          <w:sz w:val="24"/>
          <w:szCs w:val="24"/>
        </w:rPr>
        <w:t>stekne uvjete za mirovinu</w:t>
      </w:r>
      <w:r w:rsidRPr="00746B38">
        <w:rPr>
          <w:bCs/>
          <w:sz w:val="24"/>
          <w:szCs w:val="24"/>
        </w:rPr>
        <w:t xml:space="preserve">, odabire i sklapa ugovor s </w:t>
      </w:r>
      <w:r w:rsidRPr="00D41C79">
        <w:rPr>
          <w:bCs/>
          <w:color w:val="C00000"/>
          <w:sz w:val="24"/>
          <w:szCs w:val="24"/>
        </w:rPr>
        <w:t xml:space="preserve">mirovinskim osiguravajućim društvom </w:t>
      </w:r>
      <w:r w:rsidRPr="00746B38">
        <w:rPr>
          <w:bCs/>
          <w:sz w:val="24"/>
          <w:szCs w:val="24"/>
        </w:rPr>
        <w:t>koje će mu isplaćivati mirovinu</w:t>
      </w:r>
      <w:r>
        <w:rPr>
          <w:bCs/>
          <w:sz w:val="24"/>
          <w:szCs w:val="24"/>
        </w:rPr>
        <w:t xml:space="preserve"> (u Hrvatskoj postoji samo jedno mirovinsko osiguravajuće društvo) te navedeno treba prijaviti </w:t>
      </w:r>
      <w:r w:rsidRPr="008771AA">
        <w:rPr>
          <w:bCs/>
          <w:sz w:val="24"/>
          <w:szCs w:val="24"/>
        </w:rPr>
        <w:t xml:space="preserve">Središnjem registru osiguranika (REGOS) koji pokreće </w:t>
      </w:r>
      <w:r w:rsidRPr="00D41C79">
        <w:rPr>
          <w:bCs/>
          <w:color w:val="C00000"/>
          <w:sz w:val="24"/>
          <w:szCs w:val="24"/>
        </w:rPr>
        <w:t>postupak za zatvaranje osobnog računa osiguranika</w:t>
      </w:r>
      <w:r w:rsidRPr="00746B38">
        <w:rPr>
          <w:bCs/>
          <w:sz w:val="24"/>
          <w:szCs w:val="24"/>
        </w:rPr>
        <w:t>.</w:t>
      </w:r>
      <w:r>
        <w:rPr>
          <w:bCs/>
          <w:sz w:val="24"/>
          <w:szCs w:val="24"/>
        </w:rPr>
        <w:t xml:space="preserve"> „</w:t>
      </w:r>
      <w:r w:rsidRPr="00ED6B5F">
        <w:rPr>
          <w:bCs/>
          <w:i/>
          <w:sz w:val="24"/>
          <w:szCs w:val="24"/>
        </w:rPr>
        <w:t>REGOS izračunava iznos sredstava za prijenos izabranom osiguravajućem društvu na način da ukupan broj obračunskih jedinica na osobnom računu člana fonda čiji se osobni račun zatvara množi s vrijednošću obračunske jedinice na dan pokretanja postupka zatvaranja osobnog računa.</w:t>
      </w:r>
      <w:r w:rsidRPr="008771AA">
        <w:rPr>
          <w:bCs/>
          <w:sz w:val="24"/>
          <w:szCs w:val="24"/>
        </w:rPr>
        <w:t>“</w:t>
      </w:r>
      <w:r w:rsidRPr="00ED6B5F">
        <w:rPr>
          <w:bCs/>
          <w:sz w:val="24"/>
          <w:szCs w:val="24"/>
          <w:vertAlign w:val="superscript"/>
        </w:rPr>
        <w:footnoteReference w:id="115"/>
      </w:r>
      <w:r w:rsidRPr="008771AA">
        <w:rPr>
          <w:bCs/>
          <w:sz w:val="24"/>
          <w:szCs w:val="24"/>
        </w:rPr>
        <w:t xml:space="preserve"> Podatak o izračunatom iznosu REGOS dostavlja obveznom mirovinskom društvu te sredstva prosljeđuje mirovinskom osiguravajućem društvu. </w:t>
      </w:r>
      <w:r>
        <w:rPr>
          <w:bCs/>
          <w:sz w:val="24"/>
          <w:szCs w:val="24"/>
        </w:rPr>
        <w:t xml:space="preserve">Time ujedno prestaje članstvo pojedinca u obveznom mirovinskom fondu. </w:t>
      </w:r>
      <w:r w:rsidRPr="00746B38">
        <w:rPr>
          <w:bCs/>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78"/>
      </w:tblGrid>
      <w:tr w:rsidR="00746B38" w:rsidRPr="00746B38" w:rsidTr="004D0C2C">
        <w:tc>
          <w:tcPr>
            <w:tcW w:w="9178" w:type="dxa"/>
            <w:shd w:val="clear" w:color="auto" w:fill="F2F2F2" w:themeFill="background1" w:themeFillShade="F2"/>
          </w:tcPr>
          <w:p w:rsidR="008771AA" w:rsidRPr="008771AA" w:rsidRDefault="00746B38" w:rsidP="008771AA">
            <w:pPr>
              <w:spacing w:before="120" w:after="120" w:line="240" w:lineRule="auto"/>
              <w:jc w:val="both"/>
              <w:rPr>
                <w:bCs/>
                <w:color w:val="C00000"/>
                <w:sz w:val="24"/>
                <w:szCs w:val="24"/>
              </w:rPr>
            </w:pPr>
            <w:r w:rsidRPr="00746B38">
              <w:rPr>
                <w:bCs/>
                <w:sz w:val="24"/>
                <w:szCs w:val="24"/>
              </w:rPr>
              <w:t xml:space="preserve"> </w:t>
            </w:r>
            <w:r w:rsidRPr="008771AA">
              <w:rPr>
                <w:bCs/>
                <w:color w:val="C00000"/>
                <w:sz w:val="24"/>
                <w:szCs w:val="24"/>
              </w:rPr>
              <w:t xml:space="preserve">Mirovinsko osiguravajuće društvo </w:t>
            </w:r>
            <w:r w:rsidRPr="00746B38">
              <w:rPr>
                <w:bCs/>
                <w:sz w:val="24"/>
                <w:szCs w:val="24"/>
              </w:rPr>
              <w:t xml:space="preserve">koje isplaćuje mirovine u sklopu obveznog mirovinskog osiguranja na temelju individualne kapitalizirane štednje obvezno je ponuditi sljedeće </w:t>
            </w:r>
            <w:r w:rsidRPr="008771AA">
              <w:rPr>
                <w:bCs/>
                <w:color w:val="C00000"/>
                <w:sz w:val="24"/>
                <w:szCs w:val="24"/>
              </w:rPr>
              <w:t xml:space="preserve">vrste mirovina: </w:t>
            </w:r>
          </w:p>
          <w:p w:rsidR="008771AA" w:rsidRPr="008771AA" w:rsidRDefault="00746B38" w:rsidP="00C86D78">
            <w:pPr>
              <w:pStyle w:val="Odlomakpopisa"/>
              <w:numPr>
                <w:ilvl w:val="0"/>
                <w:numId w:val="103"/>
              </w:numPr>
              <w:spacing w:before="120" w:after="120" w:line="240" w:lineRule="auto"/>
              <w:jc w:val="both"/>
              <w:rPr>
                <w:bCs/>
                <w:sz w:val="24"/>
                <w:szCs w:val="24"/>
              </w:rPr>
            </w:pPr>
            <w:r w:rsidRPr="008771AA">
              <w:rPr>
                <w:bCs/>
                <w:sz w:val="24"/>
                <w:szCs w:val="24"/>
              </w:rPr>
              <w:t xml:space="preserve">doživotnu mjesečnu starosnu, odnosno prijevremenu starosnu mirovinu, </w:t>
            </w:r>
          </w:p>
          <w:p w:rsidR="008771AA" w:rsidRPr="008771AA" w:rsidRDefault="00746B38" w:rsidP="00C86D78">
            <w:pPr>
              <w:pStyle w:val="Odlomakpopisa"/>
              <w:numPr>
                <w:ilvl w:val="0"/>
                <w:numId w:val="103"/>
              </w:numPr>
              <w:spacing w:before="120" w:after="120" w:line="240" w:lineRule="auto"/>
              <w:jc w:val="both"/>
              <w:rPr>
                <w:bCs/>
                <w:sz w:val="24"/>
                <w:szCs w:val="24"/>
              </w:rPr>
            </w:pPr>
            <w:r w:rsidRPr="008771AA">
              <w:rPr>
                <w:bCs/>
                <w:sz w:val="24"/>
                <w:szCs w:val="24"/>
              </w:rPr>
              <w:t xml:space="preserve">doživotnu mjesečnu invalidsku mirovinu </w:t>
            </w:r>
          </w:p>
          <w:p w:rsidR="00746B38" w:rsidRPr="008771AA" w:rsidRDefault="00746B38" w:rsidP="00C86D78">
            <w:pPr>
              <w:pStyle w:val="Odlomakpopisa"/>
              <w:numPr>
                <w:ilvl w:val="0"/>
                <w:numId w:val="103"/>
              </w:numPr>
              <w:spacing w:before="120" w:after="120" w:line="240" w:lineRule="auto"/>
              <w:jc w:val="both"/>
              <w:rPr>
                <w:bCs/>
                <w:sz w:val="24"/>
                <w:szCs w:val="24"/>
              </w:rPr>
            </w:pPr>
            <w:r w:rsidRPr="008771AA">
              <w:rPr>
                <w:bCs/>
                <w:sz w:val="24"/>
                <w:szCs w:val="24"/>
              </w:rPr>
              <w:t xml:space="preserve">i obiteljsku mjesečnu mirovinu. </w:t>
            </w:r>
          </w:p>
          <w:p w:rsidR="00746B38" w:rsidRPr="00746B38" w:rsidRDefault="00746B38" w:rsidP="008771AA">
            <w:pPr>
              <w:spacing w:before="120" w:after="120" w:line="240" w:lineRule="auto"/>
              <w:jc w:val="both"/>
              <w:rPr>
                <w:bCs/>
                <w:sz w:val="24"/>
                <w:szCs w:val="24"/>
              </w:rPr>
            </w:pPr>
            <w:r w:rsidRPr="00746B38">
              <w:rPr>
                <w:bCs/>
                <w:sz w:val="24"/>
                <w:szCs w:val="24"/>
              </w:rPr>
              <w:t>Mirovinsko osiguravajuće društvo isplaćuje mirovine iz obveznog mirovinskog osiguranja u jednom od sljedećih oblika:</w:t>
            </w:r>
          </w:p>
          <w:p w:rsidR="00746B38" w:rsidRPr="00746B38" w:rsidRDefault="00746B38" w:rsidP="00C86D78">
            <w:pPr>
              <w:numPr>
                <w:ilvl w:val="0"/>
                <w:numId w:val="98"/>
              </w:numPr>
              <w:tabs>
                <w:tab w:val="clear" w:pos="1440"/>
                <w:tab w:val="num" w:pos="885"/>
              </w:tabs>
              <w:spacing w:before="120" w:after="120" w:line="240" w:lineRule="auto"/>
              <w:ind w:left="885" w:hanging="426"/>
              <w:jc w:val="both"/>
              <w:rPr>
                <w:bCs/>
                <w:sz w:val="24"/>
                <w:szCs w:val="24"/>
              </w:rPr>
            </w:pPr>
            <w:r w:rsidRPr="00746B38">
              <w:rPr>
                <w:bCs/>
                <w:sz w:val="24"/>
                <w:szCs w:val="24"/>
              </w:rPr>
              <w:t>pojedinačna mjesečna mirovina koja se doživotno isplaćuje korisniku mirovine;</w:t>
            </w:r>
          </w:p>
          <w:p w:rsidR="00746B38" w:rsidRPr="00746B38" w:rsidRDefault="00746B38" w:rsidP="00C86D78">
            <w:pPr>
              <w:numPr>
                <w:ilvl w:val="0"/>
                <w:numId w:val="98"/>
              </w:numPr>
              <w:tabs>
                <w:tab w:val="clear" w:pos="1440"/>
                <w:tab w:val="num" w:pos="885"/>
              </w:tabs>
              <w:spacing w:before="120" w:after="120" w:line="240" w:lineRule="auto"/>
              <w:ind w:left="885" w:hanging="426"/>
              <w:jc w:val="both"/>
              <w:rPr>
                <w:bCs/>
                <w:sz w:val="24"/>
                <w:szCs w:val="24"/>
              </w:rPr>
            </w:pPr>
            <w:r w:rsidRPr="00746B38">
              <w:rPr>
                <w:bCs/>
                <w:sz w:val="24"/>
                <w:szCs w:val="24"/>
              </w:rPr>
              <w:t>zajednička mjesečna mirovina koja se doživotno isplaćuje korisniku mirovine, a u slučaju smrti isplaćuje se doživotno bračnom drugu koji nadživi korisnika;</w:t>
            </w:r>
          </w:p>
          <w:p w:rsidR="00746B38" w:rsidRPr="00746B38" w:rsidRDefault="00746B38" w:rsidP="00C86D78">
            <w:pPr>
              <w:numPr>
                <w:ilvl w:val="0"/>
                <w:numId w:val="98"/>
              </w:numPr>
              <w:tabs>
                <w:tab w:val="clear" w:pos="1440"/>
                <w:tab w:val="num" w:pos="885"/>
              </w:tabs>
              <w:spacing w:before="120" w:after="120" w:line="240" w:lineRule="auto"/>
              <w:ind w:left="885" w:hanging="426"/>
              <w:jc w:val="both"/>
              <w:rPr>
                <w:bCs/>
                <w:sz w:val="24"/>
                <w:szCs w:val="24"/>
              </w:rPr>
            </w:pPr>
            <w:r w:rsidRPr="00746B38">
              <w:rPr>
                <w:bCs/>
                <w:sz w:val="24"/>
                <w:szCs w:val="24"/>
              </w:rPr>
              <w:t>pojedinačna mjesečna mirovina sa zajamčenim razdobljem koja se isplaćuje korisniku, s tim da se u slučaju smrti korisnika mirovine prije isteka zajamčenog razdoblja isplata nastavi imenovanom korisniku do isteka zajamčenog razdoblja;</w:t>
            </w:r>
          </w:p>
          <w:p w:rsidR="00746B38" w:rsidRDefault="00746B38" w:rsidP="00C86D78">
            <w:pPr>
              <w:numPr>
                <w:ilvl w:val="0"/>
                <w:numId w:val="98"/>
              </w:numPr>
              <w:tabs>
                <w:tab w:val="clear" w:pos="1440"/>
                <w:tab w:val="num" w:pos="885"/>
              </w:tabs>
              <w:spacing w:before="120" w:after="120" w:line="240" w:lineRule="auto"/>
              <w:ind w:left="885" w:hanging="426"/>
              <w:jc w:val="both"/>
              <w:rPr>
                <w:bCs/>
                <w:sz w:val="24"/>
                <w:szCs w:val="24"/>
              </w:rPr>
            </w:pPr>
            <w:r w:rsidRPr="00746B38">
              <w:rPr>
                <w:bCs/>
                <w:sz w:val="24"/>
                <w:szCs w:val="24"/>
              </w:rPr>
              <w:t xml:space="preserve">zajednička mjesečna mirovina sa zajamčenim razdobljem isplaćuje se doživotno korisniku mirovine, odnosno doživotno bračnom drugu koji nadživi korisnika (ako oboje umru unutar zajamčenog razdoblja, mirovina se isplaćuje imenovanom korisniku). </w:t>
            </w:r>
          </w:p>
          <w:p w:rsidR="008771AA" w:rsidRPr="00746B38" w:rsidRDefault="00746B38" w:rsidP="008771AA">
            <w:pPr>
              <w:spacing w:before="120" w:after="120" w:line="240" w:lineRule="auto"/>
              <w:jc w:val="both"/>
              <w:rPr>
                <w:bCs/>
                <w:sz w:val="24"/>
                <w:szCs w:val="24"/>
              </w:rPr>
            </w:pPr>
            <w:r w:rsidRPr="00746B38">
              <w:rPr>
                <w:bCs/>
                <w:sz w:val="24"/>
                <w:szCs w:val="24"/>
              </w:rPr>
              <w:t>Jednom kada osoba sklopi ugovor o mirovini s određenim mirovinskim osiguravajućim društvom, ona ne može raskinuti takav ugovor niti sklopiti ugovor o mirovini s drugim mirovinskim osiguravajućim društvom ili odabrati drugi oblik isplate mirovine.</w:t>
            </w:r>
          </w:p>
        </w:tc>
      </w:tr>
    </w:tbl>
    <w:p w:rsidR="00746B38" w:rsidRPr="00746B38" w:rsidRDefault="001F787C" w:rsidP="00150DB6">
      <w:pPr>
        <w:spacing w:before="240"/>
        <w:jc w:val="both"/>
        <w:rPr>
          <w:b/>
          <w:sz w:val="24"/>
          <w:szCs w:val="24"/>
        </w:rPr>
      </w:pPr>
      <w:r w:rsidRPr="001F787C">
        <w:rPr>
          <w:b/>
          <w:bCs/>
          <w:sz w:val="24"/>
          <w:szCs w:val="24"/>
        </w:rPr>
        <w:t>7.3.</w:t>
      </w:r>
      <w:r>
        <w:rPr>
          <w:bCs/>
          <w:sz w:val="24"/>
          <w:szCs w:val="24"/>
        </w:rPr>
        <w:t xml:space="preserve"> </w:t>
      </w:r>
      <w:r w:rsidRPr="001F787C">
        <w:rPr>
          <w:b/>
          <w:bCs/>
          <w:sz w:val="24"/>
          <w:szCs w:val="24"/>
        </w:rPr>
        <w:t>D</w:t>
      </w:r>
      <w:r>
        <w:rPr>
          <w:b/>
          <w:sz w:val="24"/>
          <w:szCs w:val="24"/>
        </w:rPr>
        <w:t>obrovoljno mirovinsko osiguranje</w:t>
      </w:r>
      <w:r w:rsidR="00746B38" w:rsidRPr="00746B38">
        <w:rPr>
          <w:b/>
          <w:sz w:val="24"/>
          <w:szCs w:val="24"/>
        </w:rPr>
        <w:t> </w:t>
      </w:r>
      <w:r>
        <w:rPr>
          <w:b/>
          <w:sz w:val="24"/>
          <w:szCs w:val="24"/>
        </w:rPr>
        <w:t>– dobrovoljna mirovinska štednja</w:t>
      </w:r>
    </w:p>
    <w:p w:rsidR="00843FB5" w:rsidRPr="000C1825" w:rsidRDefault="001F787C" w:rsidP="000C1825">
      <w:pPr>
        <w:shd w:val="clear" w:color="auto" w:fill="FFFFFF"/>
        <w:jc w:val="both"/>
        <w:textAlignment w:val="top"/>
        <w:outlineLvl w:val="2"/>
        <w:rPr>
          <w:sz w:val="24"/>
          <w:szCs w:val="24"/>
        </w:rPr>
      </w:pPr>
      <w:r w:rsidRPr="000C1825">
        <w:rPr>
          <w:bCs/>
          <w:sz w:val="24"/>
          <w:szCs w:val="24"/>
        </w:rPr>
        <w:t>Treći stup mirovinskog osiguranja u Hrvatskoj č</w:t>
      </w:r>
      <w:r w:rsidR="00746B38" w:rsidRPr="000C1825">
        <w:rPr>
          <w:bCs/>
          <w:sz w:val="24"/>
          <w:szCs w:val="24"/>
        </w:rPr>
        <w:t>ini dobrovoljno mirovinsko osiguranje na temelju individualne kapitalizirane štednje</w:t>
      </w:r>
      <w:r w:rsidR="00843FB5" w:rsidRPr="000C1825">
        <w:rPr>
          <w:bCs/>
          <w:sz w:val="24"/>
          <w:szCs w:val="24"/>
        </w:rPr>
        <w:t xml:space="preserve">, popularno zvano i </w:t>
      </w:r>
      <w:r w:rsidR="00843FB5" w:rsidRPr="000C1825">
        <w:rPr>
          <w:bCs/>
          <w:color w:val="C00000"/>
          <w:sz w:val="24"/>
          <w:szCs w:val="24"/>
        </w:rPr>
        <w:t>dobrovoljna mirovinska štednja</w:t>
      </w:r>
      <w:r w:rsidRPr="000C1825">
        <w:rPr>
          <w:bCs/>
          <w:sz w:val="24"/>
          <w:szCs w:val="24"/>
        </w:rPr>
        <w:t>. Ostvaruje se</w:t>
      </w:r>
      <w:r w:rsidR="00746B38" w:rsidRPr="000C1825">
        <w:rPr>
          <w:bCs/>
          <w:sz w:val="24"/>
          <w:szCs w:val="24"/>
        </w:rPr>
        <w:t xml:space="preserve"> putem dobrovoljnih mirovinskih fondova, kojima upravlja</w:t>
      </w:r>
      <w:r w:rsidR="000C1825" w:rsidRPr="000C1825">
        <w:rPr>
          <w:bCs/>
          <w:sz w:val="24"/>
          <w:szCs w:val="24"/>
        </w:rPr>
        <w:t>ju</w:t>
      </w:r>
      <w:r w:rsidR="00746B38" w:rsidRPr="000C1825">
        <w:rPr>
          <w:bCs/>
          <w:sz w:val="24"/>
          <w:szCs w:val="24"/>
        </w:rPr>
        <w:t xml:space="preserve"> mirovinsk</w:t>
      </w:r>
      <w:r w:rsidRPr="000C1825">
        <w:rPr>
          <w:bCs/>
          <w:sz w:val="24"/>
          <w:szCs w:val="24"/>
        </w:rPr>
        <w:t>a</w:t>
      </w:r>
      <w:r w:rsidR="00746B38" w:rsidRPr="000C1825">
        <w:rPr>
          <w:bCs/>
          <w:sz w:val="24"/>
          <w:szCs w:val="24"/>
        </w:rPr>
        <w:t xml:space="preserve"> društvo (</w:t>
      </w:r>
      <w:r w:rsidR="00377DFD">
        <w:rPr>
          <w:bCs/>
          <w:sz w:val="24"/>
          <w:szCs w:val="24"/>
        </w:rPr>
        <w:t xml:space="preserve">ranije zvana </w:t>
      </w:r>
      <w:r w:rsidR="00746B38" w:rsidRPr="000C1825">
        <w:rPr>
          <w:bCs/>
          <w:sz w:val="24"/>
          <w:szCs w:val="24"/>
        </w:rPr>
        <w:t>društv</w:t>
      </w:r>
      <w:r w:rsidR="000C1825" w:rsidRPr="000C1825">
        <w:rPr>
          <w:bCs/>
          <w:sz w:val="24"/>
          <w:szCs w:val="24"/>
        </w:rPr>
        <w:t>a</w:t>
      </w:r>
      <w:r w:rsidR="00746B38" w:rsidRPr="000C1825">
        <w:rPr>
          <w:bCs/>
          <w:sz w:val="24"/>
          <w:szCs w:val="24"/>
        </w:rPr>
        <w:t xml:space="preserve"> za upravljanje dobrovoljnim mirovinskim fondovima). </w:t>
      </w:r>
      <w:r w:rsidR="00843FB5" w:rsidRPr="000C1825">
        <w:rPr>
          <w:sz w:val="24"/>
          <w:szCs w:val="24"/>
        </w:rPr>
        <w:t xml:space="preserve">Pri tome </w:t>
      </w:r>
      <w:r w:rsidR="00843FB5" w:rsidRPr="000C1825">
        <w:rPr>
          <w:sz w:val="24"/>
          <w:szCs w:val="24"/>
        </w:rPr>
        <w:lastRenderedPageBreak/>
        <w:t xml:space="preserve">isto društvo može osnovati i upravljati portfeljem imovine većeg broja dobrovoljnih mirovinskih fondova različitih obilježja (otvoreni, zatvoreni). </w:t>
      </w:r>
    </w:p>
    <w:p w:rsidR="00843FB5" w:rsidRPr="000C1825" w:rsidRDefault="00746B38" w:rsidP="000C1825">
      <w:pPr>
        <w:jc w:val="both"/>
        <w:rPr>
          <w:sz w:val="24"/>
          <w:szCs w:val="24"/>
        </w:rPr>
      </w:pPr>
      <w:r w:rsidRPr="000C1825">
        <w:rPr>
          <w:bCs/>
          <w:sz w:val="24"/>
          <w:szCs w:val="24"/>
        </w:rPr>
        <w:t xml:space="preserve">Visinu buduće mirovine određuje visina mjesečnih uloga </w:t>
      </w:r>
      <w:r w:rsidR="00377DFD">
        <w:rPr>
          <w:bCs/>
          <w:sz w:val="24"/>
          <w:szCs w:val="24"/>
        </w:rPr>
        <w:t xml:space="preserve">i ukupno kumuliranih sredstava koja je </w:t>
      </w:r>
      <w:r w:rsidRPr="000C1825">
        <w:rPr>
          <w:bCs/>
          <w:sz w:val="24"/>
          <w:szCs w:val="24"/>
        </w:rPr>
        <w:t>pojedinac upla</w:t>
      </w:r>
      <w:r w:rsidR="00377DFD">
        <w:rPr>
          <w:bCs/>
          <w:sz w:val="24"/>
          <w:szCs w:val="24"/>
        </w:rPr>
        <w:t>tio</w:t>
      </w:r>
      <w:r w:rsidRPr="000C1825">
        <w:rPr>
          <w:bCs/>
          <w:sz w:val="24"/>
          <w:szCs w:val="24"/>
        </w:rPr>
        <w:t xml:space="preserve"> na poseban račun u dobrovoljnim mirovinskim fondovima te prinos koji ostvaruje portfelj imovine fonda.  </w:t>
      </w:r>
      <w:r w:rsidR="00843FB5" w:rsidRPr="000C1825">
        <w:rPr>
          <w:bCs/>
          <w:sz w:val="24"/>
          <w:szCs w:val="24"/>
        </w:rPr>
        <w:t xml:space="preserve">Radi se o obliku štedno-ulagačkog proizvoda kod kojeg se </w:t>
      </w:r>
      <w:r w:rsidR="00843FB5" w:rsidRPr="000C1825">
        <w:rPr>
          <w:sz w:val="24"/>
          <w:szCs w:val="24"/>
        </w:rPr>
        <w:t xml:space="preserve">sredstva formiraju višegodišnjim dobrovoljnim uplatama doprinosa na osobni račun člana, a sa ciljem da osoba (pojedinac) formira dodatni izvori </w:t>
      </w:r>
      <w:r w:rsidR="002B2E34">
        <w:rPr>
          <w:sz w:val="24"/>
          <w:szCs w:val="24"/>
        </w:rPr>
        <w:t xml:space="preserve">štednje </w:t>
      </w:r>
      <w:r w:rsidR="00843FB5" w:rsidRPr="000C1825">
        <w:rPr>
          <w:sz w:val="24"/>
          <w:szCs w:val="24"/>
        </w:rPr>
        <w:t xml:space="preserve">za starost odnosno godine umirovljenja. </w:t>
      </w:r>
    </w:p>
    <w:p w:rsidR="002B2E34" w:rsidRDefault="000C1825" w:rsidP="00985A6B">
      <w:pPr>
        <w:jc w:val="both"/>
        <w:rPr>
          <w:sz w:val="24"/>
          <w:szCs w:val="24"/>
        </w:rPr>
      </w:pPr>
      <w:r w:rsidRPr="000C1825">
        <w:rPr>
          <w:sz w:val="24"/>
          <w:szCs w:val="24"/>
        </w:rPr>
        <w:t xml:space="preserve">Zasnivanje članstva u fondu osoba (pojedinac) može ostvariti podnoseći </w:t>
      </w:r>
      <w:r w:rsidRPr="000C1825">
        <w:rPr>
          <w:color w:val="C00000"/>
          <w:sz w:val="24"/>
          <w:szCs w:val="24"/>
        </w:rPr>
        <w:t>ponudu za sklapanje ugovora o dobrovoljnoj mirovinskoj štednji</w:t>
      </w:r>
      <w:r w:rsidRPr="000C1825">
        <w:rPr>
          <w:sz w:val="24"/>
          <w:szCs w:val="24"/>
        </w:rPr>
        <w:t xml:space="preserve">, a potom </w:t>
      </w:r>
      <w:r w:rsidR="002B2E34">
        <w:rPr>
          <w:sz w:val="24"/>
          <w:szCs w:val="24"/>
        </w:rPr>
        <w:t xml:space="preserve">u određenom iznosu </w:t>
      </w:r>
      <w:r w:rsidRPr="000C1825">
        <w:rPr>
          <w:sz w:val="24"/>
          <w:szCs w:val="24"/>
        </w:rPr>
        <w:t>ugovorenom dinamikom vrši uplatu sredstava. P</w:t>
      </w:r>
      <w:r w:rsidR="002B2E34">
        <w:rPr>
          <w:sz w:val="24"/>
          <w:szCs w:val="24"/>
        </w:rPr>
        <w:t>ri tome p</w:t>
      </w:r>
      <w:r w:rsidRPr="000C1825">
        <w:rPr>
          <w:sz w:val="24"/>
          <w:szCs w:val="24"/>
        </w:rPr>
        <w:t>restanak uplat</w:t>
      </w:r>
      <w:r w:rsidR="002B2E34">
        <w:rPr>
          <w:sz w:val="24"/>
          <w:szCs w:val="24"/>
        </w:rPr>
        <w:t>a</w:t>
      </w:r>
      <w:r w:rsidRPr="000C1825">
        <w:rPr>
          <w:sz w:val="24"/>
          <w:szCs w:val="24"/>
        </w:rPr>
        <w:t xml:space="preserve"> ili privremeni prestanak uplata doprinosa nema nepovoljne učinke na gubitak uloženih sredstava, dok se ranije uplaćena sredstva se i dalje kapitaliziraju. </w:t>
      </w:r>
    </w:p>
    <w:p w:rsidR="002B2E34" w:rsidRPr="002B2E34" w:rsidRDefault="000C1825" w:rsidP="00985A6B">
      <w:pPr>
        <w:jc w:val="both"/>
        <w:rPr>
          <w:i/>
          <w:sz w:val="24"/>
          <w:szCs w:val="24"/>
        </w:rPr>
      </w:pPr>
      <w:r w:rsidRPr="000C1825">
        <w:rPr>
          <w:sz w:val="24"/>
          <w:szCs w:val="24"/>
        </w:rPr>
        <w:t>Sredstva ušteđena na osobnom mirovinskom računu su nasljedna i nakon smrti osiguranika pripadaju zakonskim nasljednicima ili imenovanom nasljedniku</w:t>
      </w:r>
      <w:r w:rsidR="002B2E34">
        <w:rPr>
          <w:sz w:val="24"/>
          <w:szCs w:val="24"/>
        </w:rPr>
        <w:t xml:space="preserve"> kojeg imenuje </w:t>
      </w:r>
      <w:r w:rsidR="002B2E34" w:rsidRPr="002B2E34">
        <w:rPr>
          <w:sz w:val="24"/>
          <w:szCs w:val="24"/>
        </w:rPr>
        <w:t xml:space="preserve">član fonda prilikom zaključenja ugovora o dobrovoljnom mirovinskom osiguranju. </w:t>
      </w:r>
      <w:r w:rsidR="002B2E34" w:rsidRPr="002B2E34">
        <w:rPr>
          <w:i/>
          <w:sz w:val="24"/>
          <w:szCs w:val="24"/>
        </w:rPr>
        <w:t xml:space="preserve">„Sredstva na računu u dobrovoljnome mirovinskom fondu osobna su imovina člana i ne mogu biti predmetom ovrhe ili osiguranja protiv člana fonda, depozitara i/ili mirovinskoga društva, kao ni dio stečajne i/ili likvidacijske mase člana fonda, depozitara i mirovinskoga društva. </w:t>
      </w:r>
      <w:r w:rsidR="002B2E34" w:rsidRPr="002B2E34">
        <w:rPr>
          <w:i/>
          <w:sz w:val="24"/>
          <w:szCs w:val="24"/>
        </w:rPr>
        <w:br/>
        <w:t>Sredstva na osobnom računu člana fonda ne mogu se opteretiti, dati u zalog, ni prenijeti u korist ikoga drugog.“</w:t>
      </w:r>
      <w:r w:rsidR="007708A3">
        <w:rPr>
          <w:rStyle w:val="Referencafusnote"/>
          <w:i/>
          <w:sz w:val="24"/>
          <w:szCs w:val="24"/>
        </w:rPr>
        <w:footnoteReference w:id="116"/>
      </w:r>
    </w:p>
    <w:p w:rsidR="00985A6B" w:rsidRPr="00985A6B" w:rsidRDefault="000C1825" w:rsidP="00985A6B">
      <w:pPr>
        <w:jc w:val="both"/>
        <w:rPr>
          <w:sz w:val="24"/>
          <w:szCs w:val="24"/>
        </w:rPr>
      </w:pPr>
      <w:r w:rsidRPr="000C1825">
        <w:rPr>
          <w:bCs/>
          <w:sz w:val="24"/>
          <w:szCs w:val="24"/>
        </w:rPr>
        <w:t xml:space="preserve">Država svakom osiguraniku u trećem stupu daje poticaj za taj oblik mirovinske štednje. Prema podacima u runju 2015. godine, </w:t>
      </w:r>
      <w:r w:rsidRPr="00B02208">
        <w:rPr>
          <w:bCs/>
          <w:color w:val="C00000"/>
          <w:sz w:val="24"/>
          <w:szCs w:val="24"/>
        </w:rPr>
        <w:t xml:space="preserve">državna poticajna sredstva </w:t>
      </w:r>
      <w:r w:rsidRPr="000C1825">
        <w:rPr>
          <w:bCs/>
          <w:sz w:val="24"/>
          <w:szCs w:val="24"/>
        </w:rPr>
        <w:t>(DPS) iznose 15% godišnje uplaćenih sredstva</w:t>
      </w:r>
      <w:r w:rsidRPr="006F65C3">
        <w:rPr>
          <w:bCs/>
          <w:sz w:val="24"/>
          <w:szCs w:val="24"/>
        </w:rPr>
        <w:t xml:space="preserve">, </w:t>
      </w:r>
      <w:r w:rsidR="006F65C3" w:rsidRPr="006F65C3">
        <w:rPr>
          <w:bCs/>
          <w:sz w:val="24"/>
          <w:szCs w:val="24"/>
        </w:rPr>
        <w:t xml:space="preserve">a </w:t>
      </w:r>
      <w:r w:rsidRPr="00985A6B">
        <w:rPr>
          <w:bCs/>
          <w:color w:val="C00000"/>
          <w:sz w:val="24"/>
          <w:szCs w:val="24"/>
        </w:rPr>
        <w:t xml:space="preserve">najviše do 750 kuna godišnje </w:t>
      </w:r>
      <w:r w:rsidRPr="000C1825">
        <w:rPr>
          <w:bCs/>
          <w:sz w:val="24"/>
          <w:szCs w:val="24"/>
        </w:rPr>
        <w:t>(15% od 5.000,00 kuna).</w:t>
      </w:r>
      <w:r w:rsidR="006F65C3">
        <w:rPr>
          <w:bCs/>
          <w:sz w:val="24"/>
          <w:szCs w:val="24"/>
        </w:rPr>
        <w:t xml:space="preserve"> D</w:t>
      </w:r>
      <w:r w:rsidRPr="000C1825">
        <w:rPr>
          <w:bCs/>
          <w:sz w:val="24"/>
          <w:szCs w:val="24"/>
        </w:rPr>
        <w:t xml:space="preserve">ržavna poticajna sredstva na ime dobrovoljnog mirovinskog osiguranja član </w:t>
      </w:r>
      <w:r w:rsidR="00985A6B">
        <w:rPr>
          <w:bCs/>
          <w:sz w:val="24"/>
          <w:szCs w:val="24"/>
        </w:rPr>
        <w:t xml:space="preserve">fonda </w:t>
      </w:r>
      <w:r w:rsidRPr="000C1825">
        <w:rPr>
          <w:bCs/>
          <w:sz w:val="24"/>
          <w:szCs w:val="24"/>
        </w:rPr>
        <w:t xml:space="preserve">može ostvariti neovisno da li istodobno ostvaruje </w:t>
      </w:r>
      <w:r w:rsidR="006F65C3">
        <w:rPr>
          <w:bCs/>
          <w:sz w:val="24"/>
          <w:szCs w:val="24"/>
        </w:rPr>
        <w:t xml:space="preserve">DPS </w:t>
      </w:r>
      <w:r w:rsidRPr="000C1825">
        <w:rPr>
          <w:bCs/>
          <w:sz w:val="24"/>
          <w:szCs w:val="24"/>
        </w:rPr>
        <w:t>s osnove stambene štednje.</w:t>
      </w:r>
      <w:r w:rsidR="00985A6B">
        <w:rPr>
          <w:bCs/>
          <w:sz w:val="24"/>
          <w:szCs w:val="24"/>
        </w:rPr>
        <w:t xml:space="preserve"> </w:t>
      </w:r>
      <w:r w:rsidR="006F65C3">
        <w:rPr>
          <w:bCs/>
          <w:sz w:val="24"/>
          <w:szCs w:val="24"/>
        </w:rPr>
        <w:t>T</w:t>
      </w:r>
      <w:r w:rsidR="00B02208" w:rsidRPr="00985A6B">
        <w:rPr>
          <w:sz w:val="24"/>
          <w:szCs w:val="24"/>
        </w:rPr>
        <w:t>ijekom razdoblja uplata doprinosa</w:t>
      </w:r>
      <w:r w:rsidR="00985A6B" w:rsidRPr="00985A6B">
        <w:rPr>
          <w:sz w:val="24"/>
          <w:szCs w:val="24"/>
        </w:rPr>
        <w:t xml:space="preserve"> dobrovoljne mirovinske štednje</w:t>
      </w:r>
      <w:r w:rsidR="00B02208" w:rsidRPr="00985A6B">
        <w:rPr>
          <w:sz w:val="24"/>
          <w:szCs w:val="24"/>
        </w:rPr>
        <w:t xml:space="preserve">, uplate </w:t>
      </w:r>
      <w:r w:rsidR="00985A6B" w:rsidRPr="00985A6B">
        <w:rPr>
          <w:sz w:val="24"/>
          <w:szCs w:val="24"/>
        </w:rPr>
        <w:t xml:space="preserve">koje izvršava </w:t>
      </w:r>
      <w:r w:rsidR="00B02208" w:rsidRPr="00985A6B">
        <w:rPr>
          <w:sz w:val="24"/>
          <w:szCs w:val="24"/>
        </w:rPr>
        <w:t>poslodav</w:t>
      </w:r>
      <w:r w:rsidR="00985A6B" w:rsidRPr="00985A6B">
        <w:rPr>
          <w:sz w:val="24"/>
          <w:szCs w:val="24"/>
        </w:rPr>
        <w:t>a</w:t>
      </w:r>
      <w:r w:rsidR="00B02208" w:rsidRPr="00985A6B">
        <w:rPr>
          <w:sz w:val="24"/>
          <w:szCs w:val="24"/>
        </w:rPr>
        <w:t>c</w:t>
      </w:r>
      <w:r w:rsidR="00985A6B" w:rsidRPr="00985A6B">
        <w:rPr>
          <w:sz w:val="24"/>
          <w:szCs w:val="24"/>
        </w:rPr>
        <w:t xml:space="preserve"> za zaposlenika (ili samostalno obrtnici, poljoprivrednici i sl. samostalno) </w:t>
      </w:r>
      <w:r w:rsidR="00B02208" w:rsidRPr="00985A6B">
        <w:rPr>
          <w:sz w:val="24"/>
          <w:szCs w:val="24"/>
        </w:rPr>
        <w:t xml:space="preserve"> ne smatraju se plaćom do iznosa </w:t>
      </w:r>
      <w:r w:rsidR="00B02208" w:rsidRPr="00985A6B">
        <w:rPr>
          <w:color w:val="C00000"/>
          <w:sz w:val="24"/>
          <w:szCs w:val="24"/>
        </w:rPr>
        <w:t>od 500 kuna mjese</w:t>
      </w:r>
      <w:r w:rsidR="00985A6B" w:rsidRPr="00985A6B">
        <w:rPr>
          <w:color w:val="C00000"/>
          <w:sz w:val="24"/>
          <w:szCs w:val="24"/>
        </w:rPr>
        <w:t>čno</w:t>
      </w:r>
      <w:r w:rsidR="00985A6B" w:rsidRPr="00985A6B">
        <w:rPr>
          <w:sz w:val="24"/>
          <w:szCs w:val="24"/>
        </w:rPr>
        <w:t xml:space="preserve">, odnosno 6.000 kuna godišnje te stoga za poreznog obveznika poreza na dohodak predstavljaju </w:t>
      </w:r>
      <w:r w:rsidR="00B02208" w:rsidRPr="00985A6B">
        <w:rPr>
          <w:color w:val="C00000"/>
          <w:sz w:val="24"/>
          <w:szCs w:val="24"/>
        </w:rPr>
        <w:t>porezno priznat izdatak</w:t>
      </w:r>
      <w:r w:rsidR="00B02208" w:rsidRPr="00985A6B">
        <w:rPr>
          <w:sz w:val="24"/>
          <w:szCs w:val="24"/>
        </w:rPr>
        <w:t xml:space="preserve">, </w:t>
      </w:r>
      <w:r w:rsidR="00985A6B" w:rsidRPr="00985A6B">
        <w:rPr>
          <w:sz w:val="24"/>
          <w:szCs w:val="24"/>
        </w:rPr>
        <w:t xml:space="preserve">a za poslodavca porezno priznati </w:t>
      </w:r>
      <w:r w:rsidR="00B02208" w:rsidRPr="00985A6B">
        <w:rPr>
          <w:sz w:val="24"/>
          <w:szCs w:val="24"/>
        </w:rPr>
        <w:t>rashod.</w:t>
      </w:r>
      <w:r w:rsidR="00985A6B">
        <w:rPr>
          <w:sz w:val="24"/>
          <w:szCs w:val="24"/>
        </w:rPr>
        <w:t xml:space="preserve"> Treća pogodnost je </w:t>
      </w:r>
      <w:r w:rsidR="006F65C3">
        <w:rPr>
          <w:sz w:val="24"/>
          <w:szCs w:val="24"/>
        </w:rPr>
        <w:t xml:space="preserve">ta što se </w:t>
      </w:r>
      <w:r w:rsidR="00985A6B">
        <w:rPr>
          <w:sz w:val="24"/>
          <w:szCs w:val="24"/>
        </w:rPr>
        <w:t xml:space="preserve">na prihode ostvarene kapitalizacijom </w:t>
      </w:r>
      <w:r w:rsidR="00985A6B" w:rsidRPr="00985A6B">
        <w:rPr>
          <w:sz w:val="24"/>
          <w:szCs w:val="24"/>
        </w:rPr>
        <w:t>dobrovoljne mirovinske štednje ne plaća se porez.</w:t>
      </w:r>
    </w:p>
    <w:p w:rsidR="00843FB5" w:rsidRPr="000C1825" w:rsidRDefault="00843FB5" w:rsidP="000C1825">
      <w:pPr>
        <w:pStyle w:val="StandardWeb"/>
        <w:spacing w:before="0" w:beforeAutospacing="0" w:after="200" w:afterAutospacing="0" w:line="276" w:lineRule="auto"/>
        <w:jc w:val="both"/>
        <w:rPr>
          <w:rFonts w:asciiTheme="minorHAnsi" w:hAnsiTheme="minorHAnsi"/>
          <w:color w:val="C00000"/>
        </w:rPr>
      </w:pPr>
      <w:r w:rsidRPr="000C1825">
        <w:rPr>
          <w:rFonts w:asciiTheme="minorHAnsi" w:hAnsiTheme="minorHAnsi"/>
          <w:color w:val="C00000"/>
        </w:rPr>
        <w:t xml:space="preserve">Dobrovoljni mirovinski fond može biti otvorene i zatvorene naravi. </w:t>
      </w:r>
    </w:p>
    <w:p w:rsidR="00843FB5" w:rsidRPr="000C1825" w:rsidRDefault="00843FB5" w:rsidP="00C86D78">
      <w:pPr>
        <w:pStyle w:val="StandardWeb"/>
        <w:numPr>
          <w:ilvl w:val="0"/>
          <w:numId w:val="104"/>
        </w:numPr>
        <w:spacing w:before="0" w:beforeAutospacing="0" w:after="0" w:afterAutospacing="0"/>
        <w:ind w:left="357" w:hanging="357"/>
        <w:jc w:val="both"/>
        <w:rPr>
          <w:rFonts w:asciiTheme="minorHAnsi" w:hAnsiTheme="minorHAnsi"/>
        </w:rPr>
      </w:pPr>
      <w:r w:rsidRPr="000C1825">
        <w:rPr>
          <w:rFonts w:asciiTheme="minorHAnsi" w:hAnsiTheme="minorHAnsi"/>
        </w:rPr>
        <w:t xml:space="preserve">Član otvorenog dobrovoljnog mirovinskog fonda može biti bilo koja osoba koja ima prebivalište u Republici Hrvatskoj. </w:t>
      </w:r>
    </w:p>
    <w:p w:rsidR="00843FB5" w:rsidRPr="000C1825" w:rsidRDefault="00843FB5" w:rsidP="00C86D78">
      <w:pPr>
        <w:pStyle w:val="StandardWeb"/>
        <w:numPr>
          <w:ilvl w:val="0"/>
          <w:numId w:val="104"/>
        </w:numPr>
        <w:spacing w:before="0" w:beforeAutospacing="0" w:after="0" w:afterAutospacing="0"/>
        <w:ind w:left="357" w:hanging="357"/>
        <w:jc w:val="both"/>
        <w:rPr>
          <w:rFonts w:asciiTheme="minorHAnsi" w:hAnsiTheme="minorHAnsi"/>
        </w:rPr>
      </w:pPr>
      <w:r w:rsidRPr="000C1825">
        <w:rPr>
          <w:rFonts w:asciiTheme="minorHAnsi" w:hAnsiTheme="minorHAnsi"/>
        </w:rPr>
        <w:lastRenderedPageBreak/>
        <w:t>Zatvorene dobrovoljne mirovinske fondove mogu osnovati poslodavci, sindikati i profesionalne udruge (samostalnih djelatnosti), a koji se u tom slučaju javljaju kao pokrovitelji fonda te uplaćuju doprinose u ime članova određenog fonda.</w:t>
      </w:r>
    </w:p>
    <w:p w:rsidR="000C1825" w:rsidRPr="000C1825" w:rsidRDefault="00843FB5" w:rsidP="000C1825">
      <w:pPr>
        <w:shd w:val="clear" w:color="auto" w:fill="FFFFFF"/>
        <w:spacing w:before="240"/>
        <w:jc w:val="both"/>
        <w:textAlignment w:val="top"/>
        <w:rPr>
          <w:sz w:val="24"/>
          <w:szCs w:val="24"/>
        </w:rPr>
      </w:pPr>
      <w:r w:rsidRPr="000C1825">
        <w:rPr>
          <w:sz w:val="24"/>
          <w:szCs w:val="24"/>
        </w:rPr>
        <w:t xml:space="preserve">Društvo koje upravlja dobrovoljnim mirovinskim fondom ima pravo (od člana) naplatiti naknade za pokriće svog poslovanja, uključujući: ulaznu naknadu, naknadu za upravljanje i izlaznu naknadu (ako član napušta fond i prenosi sredstva u drugi dobrovoljni mirovinski fond kojim ne upravlja isto društvo). </w:t>
      </w:r>
    </w:p>
    <w:p w:rsidR="000C1825" w:rsidRPr="000C1825" w:rsidRDefault="00843FB5" w:rsidP="000C1825">
      <w:pPr>
        <w:jc w:val="both"/>
        <w:rPr>
          <w:sz w:val="24"/>
          <w:szCs w:val="24"/>
        </w:rPr>
      </w:pPr>
      <w:r w:rsidRPr="000C1825">
        <w:rPr>
          <w:sz w:val="24"/>
          <w:szCs w:val="24"/>
        </w:rPr>
        <w:t>Visina kumulirane štednje i budućih mirovina osiguranika primarno ovisi o visini mjesečnih uloga koje oni uplaćuju na poseban račun. Dodatno ovisi o uspješnosti društva u upravljanju imovinom fonda, na način da je ona uložena u one oblike imovine koja uz dani rizik i likvidnost donosi najveći mogući prinos od ulaganja.</w:t>
      </w:r>
      <w:r w:rsidR="000C1825" w:rsidRPr="000C1825">
        <w:rPr>
          <w:sz w:val="24"/>
          <w:szCs w:val="24"/>
        </w:rPr>
        <w:t xml:space="preserve"> Uplaćeni doprinosi u korist osobnog računa svih članova određenog dobrovoljnog mirovinskog fonda, ulažu se kao portfelj imovine u različite financijske instrumenate (državne obveznice, dionice, udjele u otvorenim investicijskim fondovima i drugo) te se tako štednja građana </w:t>
      </w:r>
      <w:r w:rsidR="000C1825" w:rsidRPr="000C1825">
        <w:rPr>
          <w:color w:val="C00000"/>
          <w:sz w:val="24"/>
          <w:szCs w:val="24"/>
        </w:rPr>
        <w:t xml:space="preserve">kapitalizira </w:t>
      </w:r>
      <w:r w:rsidR="000C1825" w:rsidRPr="000C1825">
        <w:rPr>
          <w:sz w:val="24"/>
          <w:szCs w:val="24"/>
        </w:rPr>
        <w:t>kroz prinose i kapitalne dobitke od ulaganja. Na opisani način postiže se diverzifikacija ulaganja i smanjuje osobni rizik ulaganja pojedinca.</w:t>
      </w:r>
      <w:r w:rsidR="00AD5204">
        <w:rPr>
          <w:sz w:val="24"/>
          <w:szCs w:val="24"/>
        </w:rPr>
        <w:t xml:space="preserve"> Prema podacima za 2015. prinosi šest dobrovoljnih mirovinskih fondova u Hrvatskoj kretali su se od 0,32% do 4,95% godišnje dok se njihov prosječni godišnji prinos kreće od 3,3% do 7,7%. </w:t>
      </w:r>
    </w:p>
    <w:p w:rsidR="00843FB5" w:rsidRPr="000C1825" w:rsidRDefault="00843FB5" w:rsidP="000C1825">
      <w:pPr>
        <w:autoSpaceDE w:val="0"/>
        <w:autoSpaceDN w:val="0"/>
        <w:adjustRightInd w:val="0"/>
        <w:jc w:val="both"/>
        <w:rPr>
          <w:sz w:val="24"/>
          <w:szCs w:val="24"/>
        </w:rPr>
      </w:pPr>
      <w:r w:rsidRPr="000C1825">
        <w:rPr>
          <w:sz w:val="24"/>
          <w:szCs w:val="24"/>
        </w:rPr>
        <w:t xml:space="preserve">Član dobrovoljnog mirovinskog fonda može </w:t>
      </w:r>
      <w:r w:rsidRPr="000C1825">
        <w:rPr>
          <w:color w:val="C00000"/>
          <w:sz w:val="24"/>
          <w:szCs w:val="24"/>
        </w:rPr>
        <w:t>ostvariti prava iz dobrovoljnog mirovinskog osiguranja (raspolagati štednjom) najranije s navršenih 50 godina života</w:t>
      </w:r>
      <w:r w:rsidRPr="000C1825">
        <w:rPr>
          <w:sz w:val="24"/>
          <w:szCs w:val="24"/>
        </w:rPr>
        <w:t xml:space="preserve">. Iznimno, u slučaju smrti ili invalidnosti člana, mirovinska prava se mogu ostvariti i ranije (u skladu s zakonskim rješenjima i odredbama ugovora o članstvu u fondu). </w:t>
      </w:r>
    </w:p>
    <w:p w:rsidR="0044260D" w:rsidRDefault="00843FB5" w:rsidP="00BC3B55">
      <w:pPr>
        <w:jc w:val="both"/>
        <w:rPr>
          <w:sz w:val="24"/>
          <w:szCs w:val="24"/>
        </w:rPr>
      </w:pPr>
      <w:r w:rsidRPr="000C1825">
        <w:rPr>
          <w:sz w:val="24"/>
          <w:szCs w:val="24"/>
        </w:rPr>
        <w:t>Mirovina se</w:t>
      </w:r>
      <w:r w:rsidR="005F28EE">
        <w:rPr>
          <w:sz w:val="24"/>
          <w:szCs w:val="24"/>
        </w:rPr>
        <w:t xml:space="preserve"> </w:t>
      </w:r>
      <w:r w:rsidRPr="000C1825">
        <w:rPr>
          <w:sz w:val="24"/>
          <w:szCs w:val="24"/>
        </w:rPr>
        <w:t xml:space="preserve">može isplaćivati temeljem </w:t>
      </w:r>
      <w:r w:rsidRPr="000C1825">
        <w:rPr>
          <w:color w:val="C00000"/>
          <w:sz w:val="24"/>
          <w:szCs w:val="24"/>
        </w:rPr>
        <w:t xml:space="preserve">ugovora o mirovini </w:t>
      </w:r>
      <w:r w:rsidRPr="000C1825">
        <w:rPr>
          <w:sz w:val="24"/>
          <w:szCs w:val="24"/>
        </w:rPr>
        <w:t xml:space="preserve">koji član fonda sklapa s određenim </w:t>
      </w:r>
      <w:r w:rsidRPr="000C1825">
        <w:rPr>
          <w:color w:val="C00000"/>
          <w:sz w:val="24"/>
          <w:szCs w:val="24"/>
        </w:rPr>
        <w:t xml:space="preserve">mirovinskim osiguravajućim društvom </w:t>
      </w:r>
      <w:r w:rsidRPr="000C1825">
        <w:rPr>
          <w:sz w:val="24"/>
          <w:szCs w:val="24"/>
        </w:rPr>
        <w:t>(po izboru člana</w:t>
      </w:r>
      <w:r w:rsidR="000C1825" w:rsidRPr="000C1825">
        <w:rPr>
          <w:sz w:val="24"/>
          <w:szCs w:val="24"/>
        </w:rPr>
        <w:t>, iako u Hrvatskoj djeluje samo jedno mirovinsko osiguravajuće društvo</w:t>
      </w:r>
      <w:r w:rsidRPr="000C1825">
        <w:rPr>
          <w:sz w:val="24"/>
          <w:szCs w:val="24"/>
        </w:rPr>
        <w:t>)</w:t>
      </w:r>
      <w:r w:rsidR="005F28EE">
        <w:rPr>
          <w:sz w:val="24"/>
          <w:szCs w:val="24"/>
        </w:rPr>
        <w:t xml:space="preserve"> pri čemu se sva do tada prikupljena sredstva s osobnog računa člana fonda prenose na račun mirovinskog osiguravajućeg društva</w:t>
      </w:r>
      <w:r w:rsidR="005F28EE">
        <w:t xml:space="preserve">. </w:t>
      </w:r>
      <w:r w:rsidRPr="000C1825">
        <w:rPr>
          <w:sz w:val="24"/>
          <w:szCs w:val="24"/>
        </w:rPr>
        <w:t xml:space="preserve">Ugovorom se definira isplata mirovine u jednom od nekoliko mogućih oblika: doživotna starosna mirovina, prijevremena starosna mirovina, promjenjiva mirovina i drugi oblici mirovinskih isplata koje mirovinsko osiguravajuće društvo nudi u svom portfelju financijskih usluga. </w:t>
      </w:r>
      <w:r w:rsidR="00311DA1">
        <w:rPr>
          <w:sz w:val="24"/>
          <w:szCs w:val="24"/>
        </w:rPr>
        <w:t xml:space="preserve">Konkretno u ponudi za sada jedinog mirovinskog osiguravajućeg društva </w:t>
      </w:r>
      <w:r w:rsidR="005F28EE">
        <w:rPr>
          <w:sz w:val="24"/>
          <w:szCs w:val="24"/>
        </w:rPr>
        <w:t xml:space="preserve">u Hrvatskoj </w:t>
      </w:r>
      <w:r w:rsidR="00311DA1">
        <w:rPr>
          <w:sz w:val="24"/>
          <w:szCs w:val="24"/>
        </w:rPr>
        <w:t>spominju se:</w:t>
      </w:r>
    </w:p>
    <w:p w:rsidR="00311DA1" w:rsidRPr="005F28EE" w:rsidRDefault="00311DA1" w:rsidP="00311DA1">
      <w:pPr>
        <w:pStyle w:val="Odlomakpopisa"/>
        <w:numPr>
          <w:ilvl w:val="0"/>
          <w:numId w:val="122"/>
        </w:numPr>
        <w:spacing w:after="0" w:line="252" w:lineRule="atLeast"/>
        <w:jc w:val="both"/>
        <w:rPr>
          <w:i/>
          <w:sz w:val="24"/>
          <w:szCs w:val="24"/>
        </w:rPr>
      </w:pPr>
      <w:r w:rsidRPr="005F28EE">
        <w:rPr>
          <w:i/>
          <w:sz w:val="24"/>
          <w:szCs w:val="24"/>
        </w:rPr>
        <w:t>„</w:t>
      </w:r>
      <w:r w:rsidRPr="007E004C">
        <w:rPr>
          <w:i/>
          <w:color w:val="C00000"/>
          <w:sz w:val="24"/>
          <w:szCs w:val="24"/>
        </w:rPr>
        <w:t xml:space="preserve">Privremena starosna mirovina </w:t>
      </w:r>
      <w:r w:rsidRPr="005F28EE">
        <w:rPr>
          <w:i/>
          <w:sz w:val="24"/>
          <w:szCs w:val="24"/>
        </w:rPr>
        <w:t xml:space="preserve">koja se isplaćuje tijekom 5 do 15 godina. </w:t>
      </w:r>
      <w:r w:rsidRPr="005F28EE">
        <w:rPr>
          <w:i/>
          <w:sz w:val="24"/>
          <w:szCs w:val="24"/>
        </w:rPr>
        <w:br/>
        <w:t>Početni iznos mirovine ovisi o iznosu jednokratne uplate, postotku jednokratne isplate i ugovorenom trajanju isplate privremene starosne mirovine. U slučaju smrti korisnika mirovine isplata preostalih iznosa izvršit će se imenovanomu korisniku ili zakonskim nasljednicima.</w:t>
      </w:r>
    </w:p>
    <w:p w:rsidR="00311DA1" w:rsidRPr="005F28EE" w:rsidRDefault="00311DA1" w:rsidP="00311DA1">
      <w:pPr>
        <w:pStyle w:val="Odlomakpopisa"/>
        <w:numPr>
          <w:ilvl w:val="0"/>
          <w:numId w:val="122"/>
        </w:numPr>
        <w:spacing w:after="0" w:line="252" w:lineRule="atLeast"/>
        <w:jc w:val="both"/>
        <w:rPr>
          <w:i/>
          <w:sz w:val="24"/>
          <w:szCs w:val="24"/>
        </w:rPr>
      </w:pPr>
      <w:r w:rsidRPr="007E004C">
        <w:rPr>
          <w:i/>
          <w:color w:val="C00000"/>
          <w:sz w:val="24"/>
          <w:szCs w:val="24"/>
        </w:rPr>
        <w:t xml:space="preserve">Pojedinačna doživotna mirovina sa zajamčenim razdobljem </w:t>
      </w:r>
      <w:r w:rsidRPr="005F28EE">
        <w:rPr>
          <w:i/>
          <w:sz w:val="24"/>
          <w:szCs w:val="24"/>
        </w:rPr>
        <w:t>korisniku mirovine omogućuje doživotno primanje mirovine, uz izbor zajamčenog razdoblja od 5 do 15 godina.</w:t>
      </w:r>
      <w:r w:rsidR="007D3A1C">
        <w:rPr>
          <w:i/>
          <w:sz w:val="24"/>
          <w:szCs w:val="24"/>
        </w:rPr>
        <w:t xml:space="preserve"> </w:t>
      </w:r>
      <w:r w:rsidRPr="005F28EE">
        <w:rPr>
          <w:i/>
          <w:sz w:val="24"/>
          <w:szCs w:val="24"/>
        </w:rPr>
        <w:t xml:space="preserve">Zajamčeno razdoblje znači da će se, u slučaju da korisnik mirovine umre prije isteka zajamčenog razdoblja isplate, imenovanomu korisniku ugovoreni postotak </w:t>
      </w:r>
      <w:r w:rsidRPr="005F28EE">
        <w:rPr>
          <w:i/>
          <w:sz w:val="24"/>
          <w:szCs w:val="24"/>
        </w:rPr>
        <w:lastRenderedPageBreak/>
        <w:t>mirovine obvezno isplatiti do kraja ugovorenog razdoblja. Izborom ove mirovine korisnik mirovine prima mirovinu doživotno, a u slučaju smrti određuje nasljednika mirovine u ugovorenom razdoblju. Početni iznos mirovine ovisi o iznosu jednokratne uplate, postotku jednokratne isplate, trajanju zajamčenog razdoblja, postotku mirovine koji se isplaćuje imenovanomu korisniku mirovine te o dobi korisnika mirovine.</w:t>
      </w:r>
    </w:p>
    <w:p w:rsidR="00311DA1" w:rsidRPr="005F28EE" w:rsidRDefault="00311DA1" w:rsidP="00311DA1">
      <w:pPr>
        <w:pStyle w:val="Odlomakpopisa"/>
        <w:numPr>
          <w:ilvl w:val="0"/>
          <w:numId w:val="122"/>
        </w:numPr>
        <w:spacing w:after="0" w:line="252" w:lineRule="atLeast"/>
        <w:jc w:val="both"/>
        <w:rPr>
          <w:i/>
          <w:sz w:val="24"/>
          <w:szCs w:val="24"/>
        </w:rPr>
      </w:pPr>
      <w:r w:rsidRPr="007E004C">
        <w:rPr>
          <w:i/>
          <w:color w:val="C00000"/>
          <w:sz w:val="24"/>
          <w:szCs w:val="24"/>
        </w:rPr>
        <w:t xml:space="preserve">Zajednička doživotna mirovina sa zajamčenim razdobljem </w:t>
      </w:r>
      <w:r w:rsidRPr="005F28EE">
        <w:rPr>
          <w:i/>
          <w:sz w:val="24"/>
          <w:szCs w:val="24"/>
        </w:rPr>
        <w:t>korisniku mirovine i njegovu bračnom drugu omogućuje doživotno primanje mirovine, uz izbor zajamčenog razdoblja od 5 do 15 godina. Zajamčeno razdoblje znači da će se, u slučaju da korisnik mirovine i njegov bračni drug umru prije isteka zajamčenog razdoblja isplate, imenovanomu korisniku mirovine ugovoreni postotak mirovine obvezno isplatiti do kraja ugovorenog razdoblja. Izborom ove mirovine korisnik mirovine i njegov bračni drug mirovinu primaju doživotno, a u slučaju smrti određuju nasljednika mirovine u ugovorenom razdoblju. Početni iznos mirovine ovisi o iznosu jednokratne uplate, postotku jednokratne isplate, trajanju zajamčenog razdoblja, postotku mirovine koji se isplaćuje imenovanomu korisniku mirovine te o dobi korisnika mirovine i njegovoga bračnog druga.</w:t>
      </w:r>
      <w:r w:rsidR="005F28EE">
        <w:rPr>
          <w:i/>
          <w:sz w:val="24"/>
          <w:szCs w:val="24"/>
        </w:rPr>
        <w:t>“</w:t>
      </w:r>
      <w:r w:rsidR="005F28EE" w:rsidRPr="005F28EE">
        <w:rPr>
          <w:rStyle w:val="Referencafusnote"/>
          <w:i/>
          <w:sz w:val="24"/>
          <w:szCs w:val="24"/>
        </w:rPr>
        <w:t xml:space="preserve"> </w:t>
      </w:r>
      <w:r w:rsidR="005F28EE">
        <w:rPr>
          <w:rStyle w:val="Referencafusnote"/>
          <w:i/>
          <w:sz w:val="24"/>
          <w:szCs w:val="24"/>
        </w:rPr>
        <w:footnoteReference w:id="117"/>
      </w:r>
    </w:p>
    <w:p w:rsidR="00311DA1" w:rsidRDefault="005F28EE" w:rsidP="00311DA1">
      <w:pPr>
        <w:pStyle w:val="Odlomakpopisa"/>
        <w:numPr>
          <w:ilvl w:val="0"/>
          <w:numId w:val="122"/>
        </w:numPr>
        <w:spacing w:after="0" w:line="252" w:lineRule="atLeast"/>
        <w:jc w:val="both"/>
        <w:rPr>
          <w:i/>
          <w:sz w:val="24"/>
          <w:szCs w:val="24"/>
        </w:rPr>
      </w:pPr>
      <w:r>
        <w:rPr>
          <w:sz w:val="24"/>
          <w:szCs w:val="24"/>
        </w:rPr>
        <w:t>Ovisno o aktualnoj ponudi postoje i drugi modaliteti isplate mirovina</w:t>
      </w:r>
      <w:r w:rsidR="00311DA1" w:rsidRPr="005F28EE">
        <w:rPr>
          <w:i/>
          <w:sz w:val="24"/>
          <w:szCs w:val="24"/>
        </w:rPr>
        <w:t>.</w:t>
      </w:r>
    </w:p>
    <w:p w:rsidR="00A77704" w:rsidRDefault="00A77704" w:rsidP="00A77704">
      <w:pPr>
        <w:spacing w:after="0" w:line="252" w:lineRule="atLeast"/>
        <w:jc w:val="both"/>
        <w:rPr>
          <w:bCs/>
          <w:i/>
          <w:sz w:val="24"/>
          <w:szCs w:val="24"/>
        </w:rPr>
      </w:pPr>
    </w:p>
    <w:p w:rsidR="00A77704" w:rsidRPr="00A77704" w:rsidRDefault="00A77704" w:rsidP="00A77704">
      <w:pPr>
        <w:spacing w:after="0" w:line="252" w:lineRule="atLeast"/>
        <w:jc w:val="both"/>
        <w:rPr>
          <w:i/>
          <w:sz w:val="24"/>
          <w:szCs w:val="24"/>
        </w:rPr>
      </w:pPr>
      <w:r>
        <w:rPr>
          <w:bCs/>
          <w:i/>
          <w:sz w:val="24"/>
          <w:szCs w:val="24"/>
        </w:rPr>
        <w:t>„</w:t>
      </w:r>
      <w:r w:rsidRPr="00A77704">
        <w:rPr>
          <w:bCs/>
          <w:i/>
          <w:sz w:val="24"/>
          <w:szCs w:val="24"/>
        </w:rPr>
        <w:t>Kod svih dobrovoljnih mirovina na temelju doznake iz dobrovoljnog mirovinskog fonda prilikom početka korištenja mirovine moguća je djelomična jednokratna isplata u iznosu do 30% od ukupno uplaćenih sredstava.</w:t>
      </w:r>
      <w:r>
        <w:rPr>
          <w:bCs/>
          <w:i/>
          <w:sz w:val="24"/>
          <w:szCs w:val="24"/>
        </w:rPr>
        <w:t>“</w:t>
      </w:r>
      <w:r>
        <w:rPr>
          <w:rStyle w:val="Referencafusnote"/>
          <w:bCs/>
          <w:i/>
          <w:sz w:val="24"/>
          <w:szCs w:val="24"/>
        </w:rPr>
        <w:footnoteReference w:id="118"/>
      </w:r>
    </w:p>
    <w:p w:rsidR="0044260D" w:rsidRPr="0044260D" w:rsidRDefault="0044260D" w:rsidP="0044260D">
      <w:pPr>
        <w:spacing w:before="240"/>
        <w:jc w:val="both"/>
        <w:rPr>
          <w:i/>
          <w:sz w:val="24"/>
          <w:szCs w:val="24"/>
        </w:rPr>
      </w:pPr>
      <w:r w:rsidRPr="0044260D">
        <w:rPr>
          <w:i/>
          <w:sz w:val="24"/>
          <w:szCs w:val="24"/>
        </w:rPr>
        <w:t xml:space="preserve">„Iznos mirovine koja će vam se isplaćivati određuje se na temelju ukupnog iznosa svih kapitaliziranih uplata koje ste ostvarili u fondu i/ili na temelju izravnih jednokratnih uplata na račun mirovinskog osiguravajućeg društva. Naravno, </w:t>
      </w:r>
      <w:r w:rsidRPr="00A21D56">
        <w:rPr>
          <w:i/>
          <w:color w:val="C00000"/>
          <w:sz w:val="24"/>
          <w:szCs w:val="24"/>
        </w:rPr>
        <w:t>uz to se uzimaju u obzir i vaše godine na dan ostvarivanja prava na mirovinu, vrsta i oblik mirovine koja će se isplaćivati i drugi elementi značajni za isplatu mirovine</w:t>
      </w:r>
      <w:r w:rsidRPr="0044260D">
        <w:rPr>
          <w:i/>
          <w:sz w:val="24"/>
          <w:szCs w:val="24"/>
        </w:rPr>
        <w:t>. Ugovor o mirovini mora biti sastavljen u pisanom obliku i sadržavati podatke koji su značajni za isplatu mirovine, a uključuju podatke o mirovinskom osiguravajućem društvu koje vam isplaćuje mirovinu, sve vaše osobne podatke, kao i podatke o vašem bračnom drugu, imenovanom korisniku i staratelju za imenovanog korisnika obiteljske mirovine kada su ovisno o vrsti i obliku mirovine potrebni takvi podaci. Imajte na umu da ugovor također mora sadržavati podatke o visini naknade koju morate platiti mirovinskom osiguravajućem društvu, o iznosu i načinu isplate mirovine, kao i sve druge podatke koji su značajni za isplatu mirovine.“</w:t>
      </w:r>
      <w:r w:rsidR="00BC3B55" w:rsidRPr="00BC3B55">
        <w:rPr>
          <w:rStyle w:val="Referencafusnote"/>
          <w:i/>
          <w:sz w:val="24"/>
          <w:szCs w:val="24"/>
        </w:rPr>
        <w:t xml:space="preserve"> </w:t>
      </w:r>
      <w:r w:rsidR="00BC3B55">
        <w:rPr>
          <w:rStyle w:val="Referencafusnote"/>
          <w:i/>
          <w:sz w:val="24"/>
          <w:szCs w:val="24"/>
        </w:rPr>
        <w:footnoteReference w:id="119"/>
      </w:r>
      <w:r w:rsidRPr="0044260D">
        <w:rPr>
          <w:i/>
          <w:sz w:val="24"/>
          <w:szCs w:val="24"/>
        </w:rPr>
        <w:t xml:space="preserve"> </w:t>
      </w:r>
    </w:p>
    <w:p w:rsidR="0044260D" w:rsidRDefault="0044260D" w:rsidP="0044260D">
      <w:pPr>
        <w:spacing w:before="240"/>
        <w:jc w:val="both"/>
        <w:rPr>
          <w:i/>
          <w:sz w:val="24"/>
          <w:szCs w:val="24"/>
        </w:rPr>
      </w:pPr>
      <w:r w:rsidRPr="0044260D">
        <w:rPr>
          <w:i/>
          <w:sz w:val="24"/>
          <w:szCs w:val="24"/>
        </w:rPr>
        <w:t>„</w:t>
      </w:r>
      <w:r w:rsidRPr="00A21D56">
        <w:rPr>
          <w:i/>
          <w:color w:val="C00000"/>
          <w:sz w:val="24"/>
          <w:szCs w:val="24"/>
        </w:rPr>
        <w:t>Za pokrivanje troškova svog poslovanja mirovinsko osiguravajuće društvo zaračunat će vam odgovarajuću naknadu od uplaćenih sredstava</w:t>
      </w:r>
      <w:r w:rsidRPr="0044260D">
        <w:rPr>
          <w:i/>
          <w:sz w:val="24"/>
          <w:szCs w:val="24"/>
        </w:rPr>
        <w:t xml:space="preserve">. Ona može iznositi najviše 5% od primljene doznake iz obveznog mirovinskog fonda, pri čemu odluku o najvišoj naknadi za svaku godinu donosi Hanfa. Važno je naglasiti da je odluka o iznosu naknade koju zaračunava mirovinsko osiguravajuće društvo od primljene doznake iz dobrovoljnog mirovinskog fonda definirana </w:t>
      </w:r>
      <w:r w:rsidRPr="0044260D">
        <w:rPr>
          <w:i/>
          <w:sz w:val="24"/>
          <w:szCs w:val="24"/>
        </w:rPr>
        <w:lastRenderedPageBreak/>
        <w:t>ugovorom o mirovini koji vi kao korisnik mirovine sklapate s mirovinskim osiguravajućim društvom. Također, ako se u okviru dobrovoljnog mirovinskog osiguranja odlučite za djelomičnu jednokratnu isplatu, koja može iznositi najviše 30% od ukupno primljene doznake, mirovinsko osiguravajuće društvo ne naplaćuje naknadu za dio sredstava koja su jednokratno isplaćena.“</w:t>
      </w:r>
      <w:r w:rsidR="00A21D56">
        <w:rPr>
          <w:rStyle w:val="Referencafusnote"/>
          <w:i/>
          <w:sz w:val="24"/>
          <w:szCs w:val="24"/>
        </w:rPr>
        <w:footnoteReference w:id="120"/>
      </w:r>
    </w:p>
    <w:p w:rsidR="00A21D56" w:rsidRPr="00A21D56" w:rsidRDefault="00A21D56" w:rsidP="00A21D56">
      <w:pPr>
        <w:spacing w:before="240" w:after="0"/>
        <w:jc w:val="both"/>
        <w:rPr>
          <w:sz w:val="24"/>
          <w:szCs w:val="24"/>
        </w:rPr>
      </w:pPr>
      <w:r w:rsidRPr="00A21D56">
        <w:rPr>
          <w:sz w:val="24"/>
          <w:szCs w:val="24"/>
        </w:rPr>
        <w:t xml:space="preserve">Iznimno mirovinu može isplatiti mirovinsko društvo (društvo za upravljanje dobrovoljnim mirovinskim osiguranjem) ali jedino ako </w:t>
      </w:r>
      <w:r>
        <w:rPr>
          <w:sz w:val="24"/>
          <w:szCs w:val="24"/>
        </w:rPr>
        <w:t>su zadovoljeni sljedeći uvjeti:</w:t>
      </w:r>
    </w:p>
    <w:p w:rsidR="00A21D56" w:rsidRPr="00A21D56" w:rsidRDefault="00A21D56" w:rsidP="00A21D56">
      <w:pPr>
        <w:pStyle w:val="Odlomakpopisa"/>
        <w:numPr>
          <w:ilvl w:val="0"/>
          <w:numId w:val="116"/>
        </w:numPr>
        <w:spacing w:after="0" w:line="240" w:lineRule="auto"/>
        <w:jc w:val="both"/>
        <w:rPr>
          <w:i/>
        </w:rPr>
      </w:pPr>
      <w:r w:rsidRPr="00A21D56">
        <w:rPr>
          <w:i/>
        </w:rPr>
        <w:t xml:space="preserve">„ako vam je vrijednost imovine na računu u trenutku ostvarivanja prava na mirovine niža od 50.000,00 kn </w:t>
      </w:r>
    </w:p>
    <w:p w:rsidR="00A21D56" w:rsidRPr="00A21D56" w:rsidRDefault="00A21D56" w:rsidP="00A21D56">
      <w:pPr>
        <w:pStyle w:val="Odlomakpopisa"/>
        <w:numPr>
          <w:ilvl w:val="0"/>
          <w:numId w:val="116"/>
        </w:numPr>
        <w:spacing w:after="0" w:line="240" w:lineRule="auto"/>
        <w:jc w:val="both"/>
        <w:rPr>
          <w:i/>
        </w:rPr>
      </w:pPr>
      <w:r w:rsidRPr="00A21D56">
        <w:rPr>
          <w:i/>
        </w:rPr>
        <w:t>ako je isplata predviđena prospektom fonda</w:t>
      </w:r>
    </w:p>
    <w:p w:rsidR="00A21D56" w:rsidRPr="00A21D56" w:rsidRDefault="00A21D56" w:rsidP="00A21D56">
      <w:pPr>
        <w:pStyle w:val="Odlomakpopisa"/>
        <w:numPr>
          <w:ilvl w:val="0"/>
          <w:numId w:val="116"/>
        </w:numPr>
        <w:spacing w:after="0" w:line="240" w:lineRule="auto"/>
        <w:jc w:val="both"/>
        <w:rPr>
          <w:i/>
        </w:rPr>
      </w:pPr>
      <w:r w:rsidRPr="00A21D56">
        <w:rPr>
          <w:i/>
        </w:rPr>
        <w:t xml:space="preserve">ako je trajanje isplate ugovoreno na najmanje pet godina </w:t>
      </w:r>
    </w:p>
    <w:p w:rsidR="00A21D56" w:rsidRPr="00A21D56" w:rsidRDefault="00A21D56" w:rsidP="00A21D56">
      <w:pPr>
        <w:pStyle w:val="Odlomakpopisa"/>
        <w:numPr>
          <w:ilvl w:val="0"/>
          <w:numId w:val="116"/>
        </w:numPr>
        <w:spacing w:after="0" w:line="240" w:lineRule="auto"/>
        <w:jc w:val="both"/>
        <w:rPr>
          <w:i/>
        </w:rPr>
      </w:pPr>
      <w:r w:rsidRPr="00A21D56">
        <w:rPr>
          <w:i/>
        </w:rPr>
        <w:t xml:space="preserve">ako su isplate periodične </w:t>
      </w:r>
    </w:p>
    <w:p w:rsidR="00A21D56" w:rsidRPr="00A21D56" w:rsidRDefault="00A21D56" w:rsidP="00A21D56">
      <w:pPr>
        <w:pStyle w:val="Odlomakpopisa"/>
        <w:numPr>
          <w:ilvl w:val="0"/>
          <w:numId w:val="116"/>
        </w:numPr>
        <w:spacing w:after="0" w:line="240" w:lineRule="auto"/>
        <w:jc w:val="both"/>
        <w:rPr>
          <w:i/>
        </w:rPr>
      </w:pPr>
      <w:r w:rsidRPr="00A21D56">
        <w:rPr>
          <w:i/>
        </w:rPr>
        <w:t xml:space="preserve">ako se sredstva isplaćuju u protuvrijednosti unaprijed određenog broja udjela prema cijeni udjela na dan isplate. </w:t>
      </w:r>
    </w:p>
    <w:p w:rsidR="00A21D56" w:rsidRDefault="00A21D56" w:rsidP="0044260D">
      <w:pPr>
        <w:spacing w:before="240"/>
        <w:jc w:val="both"/>
        <w:rPr>
          <w:i/>
        </w:rPr>
      </w:pPr>
      <w:r w:rsidRPr="00A21D56">
        <w:rPr>
          <w:i/>
        </w:rPr>
        <w:t>Pritom s mirovinskim društvom morate sklopiti zaseban ugovor o uvjetima isplate mirovine. Mirovinsko društvo može vam isplatiti dio mirovine u obliku jednokratne isplate u visini od najviše 30% iznosa na računu, a može i u većem postotku, ali maksimalno do iznosa od 10.000,00 kn. Jednako tako, ako po isteku roka određenog ugovorom o članstvu na svojem osobnom računu imate imovinu u vrijednosti nižoj od 10.000,00 kn, mirovinsko društvo može vam jednokratno isplatiti ukupno ostvarena sredstva u punom iznosu.“</w:t>
      </w:r>
      <w:r>
        <w:rPr>
          <w:rStyle w:val="Referencafusnote"/>
          <w:i/>
        </w:rPr>
        <w:footnoteReference w:id="121"/>
      </w:r>
    </w:p>
    <w:p w:rsidR="00CC7001" w:rsidRDefault="00CC7001" w:rsidP="00A77704">
      <w:pPr>
        <w:pStyle w:val="Odlomakpopisa"/>
        <w:ind w:left="0"/>
        <w:jc w:val="both"/>
        <w:rPr>
          <w:b/>
          <w:sz w:val="24"/>
          <w:szCs w:val="24"/>
        </w:rPr>
      </w:pPr>
      <w:r w:rsidRPr="00CC7001">
        <w:rPr>
          <w:b/>
          <w:sz w:val="24"/>
          <w:szCs w:val="24"/>
        </w:rPr>
        <w:t>7.4</w:t>
      </w:r>
      <w:r w:rsidRPr="00E15EC8">
        <w:rPr>
          <w:b/>
          <w:sz w:val="24"/>
          <w:szCs w:val="24"/>
        </w:rPr>
        <w:t>.</w:t>
      </w:r>
      <w:r w:rsidRPr="00E15EC8">
        <w:rPr>
          <w:sz w:val="24"/>
          <w:szCs w:val="24"/>
        </w:rPr>
        <w:t xml:space="preserve"> </w:t>
      </w:r>
      <w:r w:rsidRPr="00E15EC8">
        <w:rPr>
          <w:b/>
          <w:sz w:val="24"/>
          <w:szCs w:val="24"/>
        </w:rPr>
        <w:t>Hipotetički</w:t>
      </w:r>
      <w:r w:rsidRPr="00674831">
        <w:rPr>
          <w:b/>
          <w:sz w:val="24"/>
          <w:szCs w:val="24"/>
        </w:rPr>
        <w:t xml:space="preserve"> primjer </w:t>
      </w:r>
      <w:r>
        <w:rPr>
          <w:b/>
          <w:sz w:val="24"/>
          <w:szCs w:val="24"/>
        </w:rPr>
        <w:t xml:space="preserve">planiranja financijske pozicije u budućnosti </w:t>
      </w:r>
    </w:p>
    <w:p w:rsidR="00A77704" w:rsidRDefault="00A77704" w:rsidP="00A77704">
      <w:pPr>
        <w:pStyle w:val="Odlomakpopisa"/>
        <w:spacing w:before="240"/>
        <w:ind w:left="0"/>
        <w:jc w:val="both"/>
        <w:rPr>
          <w:sz w:val="24"/>
          <w:szCs w:val="24"/>
        </w:rPr>
      </w:pPr>
    </w:p>
    <w:p w:rsidR="00CC7001" w:rsidRDefault="00CC7001" w:rsidP="00A77704">
      <w:pPr>
        <w:pStyle w:val="Odlomakpopisa"/>
        <w:spacing w:before="240"/>
        <w:ind w:left="0"/>
        <w:jc w:val="both"/>
        <w:rPr>
          <w:sz w:val="24"/>
          <w:szCs w:val="24"/>
        </w:rPr>
      </w:pPr>
      <w:r w:rsidRPr="00674831">
        <w:rPr>
          <w:sz w:val="24"/>
          <w:szCs w:val="24"/>
        </w:rPr>
        <w:t xml:space="preserve">Osoba na koju se odnosi analiza financijskih ciljeva i aktivnosti u nastavku </w:t>
      </w:r>
      <w:r>
        <w:rPr>
          <w:sz w:val="24"/>
          <w:szCs w:val="24"/>
        </w:rPr>
        <w:t xml:space="preserve">te izrada štedno ulagačkog plana </w:t>
      </w:r>
      <w:r w:rsidRPr="00674831">
        <w:rPr>
          <w:sz w:val="24"/>
          <w:szCs w:val="24"/>
        </w:rPr>
        <w:t xml:space="preserve">je </w:t>
      </w:r>
      <w:r>
        <w:rPr>
          <w:sz w:val="24"/>
          <w:szCs w:val="24"/>
        </w:rPr>
        <w:t xml:space="preserve">žena u radnom odnosu. </w:t>
      </w:r>
      <w:r w:rsidRPr="00CC7001">
        <w:rPr>
          <w:sz w:val="24"/>
          <w:szCs w:val="24"/>
        </w:rPr>
        <w:t xml:space="preserve">Ima 35 godina, udana je i u majka dvoje djece. Zaposlena je na radnom mjestu internog revizora stabilne i profitabilne tvrtke. Svaki mjesec nakon što podmiri izdatke za otplatu stambenog kredita i rashode za životne potrebe kućanstva preostaje joj 2.000,00 kn. Na taj način formirala je štednju </w:t>
      </w:r>
      <w:r w:rsidR="00FC5A7F">
        <w:rPr>
          <w:sz w:val="24"/>
          <w:szCs w:val="24"/>
        </w:rPr>
        <w:t>u iznosu</w:t>
      </w:r>
      <w:r w:rsidRPr="00CC7001">
        <w:rPr>
          <w:sz w:val="24"/>
          <w:szCs w:val="24"/>
        </w:rPr>
        <w:t xml:space="preserve"> 54.000,00 kuna i taj je</w:t>
      </w:r>
      <w:r w:rsidRPr="00CC7001" w:rsidDel="00974D86">
        <w:rPr>
          <w:sz w:val="24"/>
          <w:szCs w:val="24"/>
        </w:rPr>
        <w:t xml:space="preserve"> </w:t>
      </w:r>
      <w:r w:rsidRPr="00CC7001">
        <w:rPr>
          <w:sz w:val="24"/>
          <w:szCs w:val="24"/>
        </w:rPr>
        <w:t>novac voljna uložiti u štedne oblike koji omoguć</w:t>
      </w:r>
      <w:r w:rsidR="001070D5">
        <w:rPr>
          <w:sz w:val="24"/>
          <w:szCs w:val="24"/>
        </w:rPr>
        <w:t>avaju</w:t>
      </w:r>
      <w:r w:rsidRPr="00CC7001">
        <w:rPr>
          <w:sz w:val="24"/>
          <w:szCs w:val="24"/>
        </w:rPr>
        <w:t xml:space="preserve"> kapitalizaciju uz relativno nizak rizik</w:t>
      </w:r>
      <w:r w:rsidR="00A34438">
        <w:rPr>
          <w:sz w:val="24"/>
          <w:szCs w:val="24"/>
        </w:rPr>
        <w:t xml:space="preserve"> i visoku likvidnost</w:t>
      </w:r>
      <w:r w:rsidRPr="00CC7001">
        <w:rPr>
          <w:sz w:val="24"/>
          <w:szCs w:val="24"/>
        </w:rPr>
        <w:t xml:space="preserve">. Zainteresirana je za nastavak štednje u istom iznosu </w:t>
      </w:r>
      <w:r w:rsidR="001070D5" w:rsidRPr="00CC7001">
        <w:rPr>
          <w:sz w:val="24"/>
          <w:szCs w:val="24"/>
        </w:rPr>
        <w:t xml:space="preserve">2.000,00 kn </w:t>
      </w:r>
      <w:r w:rsidRPr="00CC7001">
        <w:rPr>
          <w:sz w:val="24"/>
          <w:szCs w:val="24"/>
        </w:rPr>
        <w:t xml:space="preserve">u narednim mjesecima. Međutim, u dugoročne ugovorne štedne proizvode (poput mješovitog životnog osiguranja i dobrovoljnog mirovinskog osiguranja) želi ulagati najviše 550,00 kuna mjesečno. </w:t>
      </w:r>
      <w:r w:rsidR="00C61D62">
        <w:rPr>
          <w:sz w:val="24"/>
          <w:szCs w:val="24"/>
        </w:rPr>
        <w:t>Financijski c</w:t>
      </w:r>
      <w:r w:rsidRPr="00CC7001">
        <w:rPr>
          <w:sz w:val="24"/>
          <w:szCs w:val="24"/>
        </w:rPr>
        <w:t xml:space="preserve">iljevi koje je </w:t>
      </w:r>
      <w:r w:rsidR="00C61D62">
        <w:rPr>
          <w:sz w:val="24"/>
          <w:szCs w:val="24"/>
        </w:rPr>
        <w:t>p</w:t>
      </w:r>
      <w:r w:rsidRPr="00CC7001">
        <w:rPr>
          <w:sz w:val="24"/>
          <w:szCs w:val="24"/>
        </w:rPr>
        <w:t>ostavila su</w:t>
      </w:r>
      <w:r w:rsidR="00A77704">
        <w:rPr>
          <w:sz w:val="24"/>
          <w:szCs w:val="24"/>
        </w:rPr>
        <w:t>:</w:t>
      </w:r>
    </w:p>
    <w:p w:rsidR="00CC7001" w:rsidRPr="00CC7001" w:rsidRDefault="00CC7001" w:rsidP="00CC7001">
      <w:pPr>
        <w:pStyle w:val="Odlomakpopisa"/>
        <w:numPr>
          <w:ilvl w:val="0"/>
          <w:numId w:val="24"/>
        </w:numPr>
        <w:spacing w:after="0" w:line="240" w:lineRule="auto"/>
        <w:jc w:val="both"/>
        <w:rPr>
          <w:sz w:val="24"/>
          <w:szCs w:val="24"/>
        </w:rPr>
      </w:pPr>
      <w:r w:rsidRPr="00CC7001">
        <w:rPr>
          <w:sz w:val="24"/>
          <w:szCs w:val="24"/>
        </w:rPr>
        <w:t>zadržavanje potrebnog iznosa „štednje za crne dane“ u iznosu 36.000,00 kuna</w:t>
      </w:r>
      <w:r w:rsidR="00824181">
        <w:rPr>
          <w:sz w:val="24"/>
          <w:szCs w:val="24"/>
        </w:rPr>
        <w:t xml:space="preserve"> narednih pet godina</w:t>
      </w:r>
      <w:r w:rsidRPr="00CC7001">
        <w:rPr>
          <w:sz w:val="24"/>
          <w:szCs w:val="24"/>
        </w:rPr>
        <w:t>,</w:t>
      </w:r>
    </w:p>
    <w:p w:rsidR="00CC7001" w:rsidRPr="00CC7001" w:rsidRDefault="00CC7001" w:rsidP="00CC7001">
      <w:pPr>
        <w:pStyle w:val="Odlomakpopisa"/>
        <w:numPr>
          <w:ilvl w:val="0"/>
          <w:numId w:val="24"/>
        </w:numPr>
        <w:spacing w:after="0" w:line="240" w:lineRule="auto"/>
        <w:jc w:val="both"/>
        <w:rPr>
          <w:sz w:val="24"/>
          <w:szCs w:val="24"/>
        </w:rPr>
      </w:pPr>
      <w:r w:rsidRPr="00CC7001">
        <w:rPr>
          <w:sz w:val="24"/>
          <w:szCs w:val="24"/>
        </w:rPr>
        <w:t>kupovina novog automobila u vrijednosti 100.000 kn za 5 godina, uz minimalno potrebno korištenje kredita banke</w:t>
      </w:r>
    </w:p>
    <w:p w:rsidR="00A21D56" w:rsidRDefault="00CC7001" w:rsidP="00AD5204">
      <w:pPr>
        <w:pStyle w:val="Odlomakpopisa"/>
        <w:numPr>
          <w:ilvl w:val="0"/>
          <w:numId w:val="24"/>
        </w:numPr>
        <w:spacing w:after="0" w:line="240" w:lineRule="auto"/>
        <w:ind w:left="1434" w:hanging="357"/>
        <w:jc w:val="both"/>
        <w:rPr>
          <w:sz w:val="24"/>
          <w:szCs w:val="24"/>
        </w:rPr>
      </w:pPr>
      <w:r w:rsidRPr="00CC7001">
        <w:rPr>
          <w:sz w:val="24"/>
          <w:szCs w:val="24"/>
        </w:rPr>
        <w:t xml:space="preserve">i formiranje kapitalizirane štednje u iznosu oko 120.000 kuna kojom želi raspolagati za 20 godina. </w:t>
      </w:r>
    </w:p>
    <w:p w:rsidR="00FC5A7F" w:rsidRPr="00AD5204" w:rsidRDefault="00FC5A7F" w:rsidP="00AD5204">
      <w:pPr>
        <w:pStyle w:val="Odlomakpopisa"/>
        <w:numPr>
          <w:ilvl w:val="0"/>
          <w:numId w:val="24"/>
        </w:numPr>
        <w:spacing w:after="0" w:line="240" w:lineRule="auto"/>
        <w:ind w:left="1434" w:hanging="357"/>
        <w:jc w:val="both"/>
        <w:rPr>
          <w:sz w:val="24"/>
          <w:szCs w:val="24"/>
        </w:rPr>
      </w:pPr>
    </w:p>
    <w:tbl>
      <w:tblPr>
        <w:tblStyle w:val="Reetkatablice"/>
        <w:tblW w:w="0" w:type="auto"/>
        <w:tblLook w:val="04A0" w:firstRow="1" w:lastRow="0" w:firstColumn="1" w:lastColumn="0" w:noHBand="0" w:noVBand="1"/>
      </w:tblPr>
      <w:tblGrid>
        <w:gridCol w:w="9288"/>
      </w:tblGrid>
      <w:tr w:rsidR="00CC7001" w:rsidRPr="00C61D62" w:rsidTr="009B6597">
        <w:tc>
          <w:tcPr>
            <w:tcW w:w="9288" w:type="dxa"/>
          </w:tcPr>
          <w:p w:rsidR="00CC7001" w:rsidRDefault="00CC7001" w:rsidP="009B6597">
            <w:pPr>
              <w:jc w:val="both"/>
              <w:rPr>
                <w:rFonts w:asciiTheme="minorHAnsi" w:hAnsiTheme="minorHAnsi"/>
                <w:b/>
                <w:sz w:val="24"/>
                <w:szCs w:val="24"/>
              </w:rPr>
            </w:pPr>
            <w:r w:rsidRPr="00C61D62">
              <w:rPr>
                <w:rFonts w:asciiTheme="minorHAnsi" w:hAnsiTheme="minorHAnsi"/>
                <w:b/>
                <w:sz w:val="24"/>
                <w:szCs w:val="24"/>
              </w:rPr>
              <w:lastRenderedPageBreak/>
              <w:t>ŠTEDNJA ZA CRNE DANE</w:t>
            </w:r>
          </w:p>
          <w:p w:rsidR="008D6E60" w:rsidRDefault="005C08A0" w:rsidP="008D6E60">
            <w:pPr>
              <w:spacing w:before="120"/>
              <w:jc w:val="both"/>
              <w:rPr>
                <w:rFonts w:asciiTheme="minorHAnsi" w:hAnsiTheme="minorHAnsi"/>
                <w:sz w:val="24"/>
                <w:szCs w:val="24"/>
              </w:rPr>
            </w:pPr>
            <w:r w:rsidRPr="005C08A0">
              <w:rPr>
                <w:rFonts w:asciiTheme="minorHAnsi" w:hAnsiTheme="minorHAnsi"/>
                <w:sz w:val="24"/>
                <w:szCs w:val="24"/>
              </w:rPr>
              <w:t xml:space="preserve">Pretpostavimo sljedeće uvjete iz ponude štednje banaka. Kamatna stopa na a vista štednju </w:t>
            </w:r>
            <w:r w:rsidR="008D6E60">
              <w:rPr>
                <w:rFonts w:asciiTheme="minorHAnsi" w:hAnsiTheme="minorHAnsi"/>
                <w:sz w:val="24"/>
                <w:szCs w:val="24"/>
              </w:rPr>
              <w:t xml:space="preserve">je </w:t>
            </w:r>
            <w:r w:rsidRPr="005C08A0">
              <w:rPr>
                <w:rFonts w:asciiTheme="minorHAnsi" w:hAnsiTheme="minorHAnsi"/>
                <w:sz w:val="24"/>
                <w:szCs w:val="24"/>
              </w:rPr>
              <w:t xml:space="preserve">0,15% godišnje, </w:t>
            </w:r>
            <w:r w:rsidR="008D6E60">
              <w:rPr>
                <w:rFonts w:asciiTheme="minorHAnsi" w:hAnsiTheme="minorHAnsi"/>
                <w:sz w:val="24"/>
                <w:szCs w:val="24"/>
              </w:rPr>
              <w:t xml:space="preserve">a </w:t>
            </w:r>
            <w:r w:rsidRPr="005C08A0">
              <w:rPr>
                <w:rFonts w:asciiTheme="minorHAnsi" w:hAnsiTheme="minorHAnsi"/>
                <w:sz w:val="24"/>
                <w:szCs w:val="24"/>
              </w:rPr>
              <w:t xml:space="preserve">na oročene depozite 2,25% godišnje. </w:t>
            </w:r>
            <w:r w:rsidR="00CC7001" w:rsidRPr="00C61D62">
              <w:rPr>
                <w:rFonts w:asciiTheme="minorHAnsi" w:hAnsiTheme="minorHAnsi"/>
                <w:sz w:val="24"/>
                <w:szCs w:val="24"/>
              </w:rPr>
              <w:t xml:space="preserve">Štednju za crne dane prikladno je držati u likvidnim i sigurnim oblicima imovine. </w:t>
            </w:r>
            <w:r w:rsidR="006F65C3">
              <w:rPr>
                <w:rFonts w:asciiTheme="minorHAnsi" w:hAnsiTheme="minorHAnsi"/>
                <w:sz w:val="24"/>
                <w:szCs w:val="24"/>
              </w:rPr>
              <w:t xml:space="preserve">Mogući izbor je </w:t>
            </w:r>
            <w:r w:rsidR="00CC7001" w:rsidRPr="00C61D62">
              <w:rPr>
                <w:rFonts w:asciiTheme="minorHAnsi" w:hAnsiTheme="minorHAnsi"/>
                <w:sz w:val="24"/>
                <w:szCs w:val="24"/>
              </w:rPr>
              <w:t>štednja dostupna po viđenju uz kamatnu stopu 0,15%, ali što je manje od stope inflacije 2,25% te nije dobar odabir</w:t>
            </w:r>
            <w:r>
              <w:rPr>
                <w:rFonts w:asciiTheme="minorHAnsi" w:hAnsiTheme="minorHAnsi"/>
                <w:sz w:val="24"/>
                <w:szCs w:val="24"/>
              </w:rPr>
              <w:t xml:space="preserve"> jer je realna kamatna stopa </w:t>
            </w:r>
            <w:r w:rsidR="008D6E60">
              <w:rPr>
                <w:rFonts w:asciiTheme="minorHAnsi" w:hAnsiTheme="minorHAnsi"/>
                <w:sz w:val="24"/>
                <w:szCs w:val="24"/>
              </w:rPr>
              <w:t>negativna</w:t>
            </w:r>
            <w:r w:rsidR="00CC7001" w:rsidRPr="00C61D62">
              <w:rPr>
                <w:rFonts w:asciiTheme="minorHAnsi" w:hAnsiTheme="minorHAnsi"/>
                <w:sz w:val="24"/>
                <w:szCs w:val="24"/>
              </w:rPr>
              <w:t>. Drugo je oročena štednja uz kamatnu stopu 2,25% koja pokriva rizik inflacije</w:t>
            </w:r>
            <w:r w:rsidR="008D6E60">
              <w:rPr>
                <w:rFonts w:asciiTheme="minorHAnsi" w:hAnsiTheme="minorHAnsi"/>
                <w:sz w:val="24"/>
                <w:szCs w:val="24"/>
              </w:rPr>
              <w:t>, ali je realni prinos jednak nuli.</w:t>
            </w:r>
            <w:r w:rsidR="00CC7001" w:rsidRPr="00C61D62">
              <w:rPr>
                <w:rFonts w:asciiTheme="minorHAnsi" w:hAnsiTheme="minorHAnsi"/>
                <w:sz w:val="24"/>
                <w:szCs w:val="24"/>
              </w:rPr>
              <w:t xml:space="preserve"> </w:t>
            </w:r>
            <w:r w:rsidR="008D6E60">
              <w:rPr>
                <w:rFonts w:asciiTheme="minorHAnsi" w:hAnsiTheme="minorHAnsi"/>
                <w:sz w:val="24"/>
                <w:szCs w:val="24"/>
              </w:rPr>
              <w:t xml:space="preserve">U oba slučaja depoziti </w:t>
            </w:r>
            <w:r w:rsidR="00D64AF7">
              <w:rPr>
                <w:rFonts w:asciiTheme="minorHAnsi" w:hAnsiTheme="minorHAnsi"/>
                <w:sz w:val="24"/>
                <w:szCs w:val="24"/>
              </w:rPr>
              <w:t xml:space="preserve">u bankama </w:t>
            </w:r>
            <w:r w:rsidR="00F74A9B">
              <w:rPr>
                <w:rFonts w:asciiTheme="minorHAnsi" w:hAnsiTheme="minorHAnsi"/>
                <w:sz w:val="24"/>
                <w:szCs w:val="24"/>
              </w:rPr>
              <w:t>su osigurani te predstavljaju vrlo likvidne i niskorizične oblike štednje.</w:t>
            </w:r>
          </w:p>
          <w:p w:rsidR="00CC7001" w:rsidRDefault="00CC7001" w:rsidP="008D6E60">
            <w:pPr>
              <w:spacing w:before="120"/>
              <w:jc w:val="both"/>
              <w:rPr>
                <w:rFonts w:asciiTheme="minorHAnsi" w:hAnsiTheme="minorHAnsi"/>
                <w:sz w:val="24"/>
                <w:szCs w:val="24"/>
              </w:rPr>
            </w:pPr>
            <w:r w:rsidRPr="00C61D62">
              <w:rPr>
                <w:rFonts w:asciiTheme="minorHAnsi" w:hAnsiTheme="minorHAnsi"/>
                <w:sz w:val="24"/>
                <w:szCs w:val="24"/>
              </w:rPr>
              <w:t xml:space="preserve">Treće su ulaganja u otvorene novčane investicijske fondove </w:t>
            </w:r>
            <w:r w:rsidR="008D6E60">
              <w:rPr>
                <w:rFonts w:asciiTheme="minorHAnsi" w:hAnsiTheme="minorHAnsi"/>
                <w:sz w:val="24"/>
                <w:szCs w:val="24"/>
              </w:rPr>
              <w:t xml:space="preserve">koji također predstavljaju nisko-rizičan i likvidan oblik imovine, a u primjeru se </w:t>
            </w:r>
            <w:r w:rsidR="005C08A0">
              <w:rPr>
                <w:rFonts w:asciiTheme="minorHAnsi" w:hAnsiTheme="minorHAnsi"/>
                <w:sz w:val="24"/>
                <w:szCs w:val="24"/>
              </w:rPr>
              <w:t xml:space="preserve">pretpostavlja da </w:t>
            </w:r>
            <w:r w:rsidR="00C61D62">
              <w:rPr>
                <w:rFonts w:asciiTheme="minorHAnsi" w:hAnsiTheme="minorHAnsi"/>
                <w:sz w:val="24"/>
                <w:szCs w:val="24"/>
              </w:rPr>
              <w:t xml:space="preserve">donose </w:t>
            </w:r>
            <w:r w:rsidRPr="00C61D62">
              <w:rPr>
                <w:rFonts w:asciiTheme="minorHAnsi" w:hAnsiTheme="minorHAnsi"/>
                <w:sz w:val="24"/>
                <w:szCs w:val="24"/>
              </w:rPr>
              <w:t xml:space="preserve">godišnji prinos </w:t>
            </w:r>
            <w:r w:rsidR="005C08A0">
              <w:rPr>
                <w:rFonts w:asciiTheme="minorHAnsi" w:hAnsiTheme="minorHAnsi"/>
                <w:sz w:val="24"/>
                <w:szCs w:val="24"/>
              </w:rPr>
              <w:t>3</w:t>
            </w:r>
            <w:r w:rsidR="008D6E60">
              <w:rPr>
                <w:rFonts w:asciiTheme="minorHAnsi" w:hAnsiTheme="minorHAnsi"/>
                <w:sz w:val="24"/>
                <w:szCs w:val="24"/>
              </w:rPr>
              <w:t xml:space="preserve">%. No kada se taj prinos promatra u realnim terminima realni prinos je </w:t>
            </w:r>
            <w:r w:rsidR="003E2E76">
              <w:rPr>
                <w:rFonts w:asciiTheme="minorHAnsi" w:hAnsiTheme="minorHAnsi"/>
                <w:sz w:val="24"/>
                <w:szCs w:val="24"/>
              </w:rPr>
              <w:t xml:space="preserve">oko </w:t>
            </w:r>
            <w:r w:rsidR="008D6E60">
              <w:rPr>
                <w:rFonts w:asciiTheme="minorHAnsi" w:hAnsiTheme="minorHAnsi"/>
                <w:sz w:val="24"/>
                <w:szCs w:val="24"/>
              </w:rPr>
              <w:t xml:space="preserve">0,5% godišnje pri čemu </w:t>
            </w:r>
            <w:r w:rsidR="005C08A0">
              <w:rPr>
                <w:rFonts w:asciiTheme="minorHAnsi" w:hAnsiTheme="minorHAnsi"/>
                <w:sz w:val="24"/>
                <w:szCs w:val="24"/>
              </w:rPr>
              <w:t xml:space="preserve">prinos u narednom razdoblju može biti veći </w:t>
            </w:r>
            <w:r w:rsidR="00F74A9B">
              <w:rPr>
                <w:rFonts w:asciiTheme="minorHAnsi" w:hAnsiTheme="minorHAnsi"/>
                <w:sz w:val="24"/>
                <w:szCs w:val="24"/>
              </w:rPr>
              <w:t xml:space="preserve">ali </w:t>
            </w:r>
            <w:r w:rsidR="005C08A0">
              <w:rPr>
                <w:rFonts w:asciiTheme="minorHAnsi" w:hAnsiTheme="minorHAnsi"/>
                <w:sz w:val="24"/>
                <w:szCs w:val="24"/>
              </w:rPr>
              <w:t>ili manji</w:t>
            </w:r>
            <w:r w:rsidR="009C6AC2">
              <w:rPr>
                <w:rFonts w:asciiTheme="minorHAnsi" w:hAnsiTheme="minorHAnsi"/>
                <w:sz w:val="24"/>
                <w:szCs w:val="24"/>
              </w:rPr>
              <w:t>,</w:t>
            </w:r>
            <w:r w:rsidR="005C08A0">
              <w:rPr>
                <w:rFonts w:asciiTheme="minorHAnsi" w:hAnsiTheme="minorHAnsi"/>
                <w:sz w:val="24"/>
                <w:szCs w:val="24"/>
              </w:rPr>
              <w:t xml:space="preserve"> dok takva štednja nije osigurana</w:t>
            </w:r>
            <w:r w:rsidR="008D6E60">
              <w:rPr>
                <w:rFonts w:asciiTheme="minorHAnsi" w:hAnsiTheme="minorHAnsi"/>
                <w:sz w:val="24"/>
                <w:szCs w:val="24"/>
              </w:rPr>
              <w:t>,</w:t>
            </w:r>
            <w:r w:rsidR="00F74A9B">
              <w:rPr>
                <w:rFonts w:asciiTheme="minorHAnsi" w:hAnsiTheme="minorHAnsi"/>
                <w:sz w:val="24"/>
                <w:szCs w:val="24"/>
              </w:rPr>
              <w:t xml:space="preserve"> a </w:t>
            </w:r>
            <w:r w:rsidR="00E15EC8">
              <w:rPr>
                <w:rFonts w:asciiTheme="minorHAnsi" w:hAnsiTheme="minorHAnsi"/>
                <w:sz w:val="24"/>
                <w:szCs w:val="24"/>
              </w:rPr>
              <w:t xml:space="preserve">dobra strana je što se kod </w:t>
            </w:r>
            <w:r w:rsidR="009C6AC2">
              <w:rPr>
                <w:rFonts w:asciiTheme="minorHAnsi" w:hAnsiTheme="minorHAnsi"/>
                <w:sz w:val="24"/>
                <w:szCs w:val="24"/>
              </w:rPr>
              <w:t xml:space="preserve">brojnih </w:t>
            </w:r>
            <w:r w:rsidR="00E15EC8">
              <w:rPr>
                <w:rFonts w:asciiTheme="minorHAnsi" w:hAnsiTheme="minorHAnsi"/>
                <w:sz w:val="24"/>
                <w:szCs w:val="24"/>
              </w:rPr>
              <w:t xml:space="preserve">novčanih fondova ne naplaćuju ni ulazne ni </w:t>
            </w:r>
            <w:r w:rsidR="008D6E60">
              <w:rPr>
                <w:rFonts w:asciiTheme="minorHAnsi" w:hAnsiTheme="minorHAnsi"/>
                <w:sz w:val="24"/>
                <w:szCs w:val="24"/>
              </w:rPr>
              <w:t xml:space="preserve">izlazne naknade. Kao </w:t>
            </w:r>
            <w:r w:rsidR="00B40F86">
              <w:rPr>
                <w:rFonts w:asciiTheme="minorHAnsi" w:hAnsiTheme="minorHAnsi"/>
                <w:sz w:val="24"/>
                <w:szCs w:val="24"/>
              </w:rPr>
              <w:t xml:space="preserve">četvrti izbor javlja </w:t>
            </w:r>
            <w:r w:rsidR="008D6E60">
              <w:rPr>
                <w:rFonts w:asciiTheme="minorHAnsi" w:hAnsiTheme="minorHAnsi"/>
                <w:sz w:val="24"/>
                <w:szCs w:val="24"/>
              </w:rPr>
              <w:t xml:space="preserve">se </w:t>
            </w:r>
            <w:r w:rsidR="00B40F86">
              <w:rPr>
                <w:rFonts w:asciiTheme="minorHAnsi" w:hAnsiTheme="minorHAnsi"/>
                <w:sz w:val="24"/>
                <w:szCs w:val="24"/>
              </w:rPr>
              <w:t xml:space="preserve">ulaganje u </w:t>
            </w:r>
            <w:r w:rsidRPr="00C61D62">
              <w:rPr>
                <w:rFonts w:asciiTheme="minorHAnsi" w:hAnsiTheme="minorHAnsi"/>
                <w:sz w:val="24"/>
                <w:szCs w:val="24"/>
              </w:rPr>
              <w:t xml:space="preserve">relativno manje rizične mješovite </w:t>
            </w:r>
            <w:r w:rsidR="00C61D62">
              <w:rPr>
                <w:rFonts w:asciiTheme="minorHAnsi" w:hAnsiTheme="minorHAnsi"/>
                <w:sz w:val="24"/>
                <w:szCs w:val="24"/>
              </w:rPr>
              <w:t xml:space="preserve">investicijske </w:t>
            </w:r>
            <w:r w:rsidRPr="00C61D62">
              <w:rPr>
                <w:rFonts w:asciiTheme="minorHAnsi" w:hAnsiTheme="minorHAnsi"/>
                <w:sz w:val="24"/>
                <w:szCs w:val="24"/>
              </w:rPr>
              <w:t xml:space="preserve">fondove s očekivanim godišnji prinosom </w:t>
            </w:r>
            <w:r w:rsidR="008D6E60">
              <w:rPr>
                <w:rFonts w:asciiTheme="minorHAnsi" w:hAnsiTheme="minorHAnsi"/>
                <w:sz w:val="24"/>
                <w:szCs w:val="24"/>
              </w:rPr>
              <w:t>4</w:t>
            </w:r>
            <w:r w:rsidRPr="00C61D62">
              <w:rPr>
                <w:rFonts w:asciiTheme="minorHAnsi" w:hAnsiTheme="minorHAnsi"/>
                <w:sz w:val="24"/>
                <w:szCs w:val="24"/>
              </w:rPr>
              <w:t>%</w:t>
            </w:r>
            <w:r w:rsidR="008D6E60">
              <w:rPr>
                <w:rFonts w:asciiTheme="minorHAnsi" w:hAnsiTheme="minorHAnsi"/>
                <w:sz w:val="24"/>
                <w:szCs w:val="24"/>
              </w:rPr>
              <w:t xml:space="preserve"> što također pokriva rizik inflacije i donosi pozitivan realni prinos, ali je </w:t>
            </w:r>
            <w:r w:rsidR="009C6AC2">
              <w:rPr>
                <w:rFonts w:asciiTheme="minorHAnsi" w:hAnsiTheme="minorHAnsi"/>
                <w:sz w:val="24"/>
                <w:szCs w:val="24"/>
              </w:rPr>
              <w:t xml:space="preserve">moguće </w:t>
            </w:r>
            <w:r w:rsidR="008D6E60">
              <w:rPr>
                <w:rFonts w:asciiTheme="minorHAnsi" w:hAnsiTheme="minorHAnsi"/>
                <w:sz w:val="24"/>
                <w:szCs w:val="24"/>
              </w:rPr>
              <w:t xml:space="preserve">da </w:t>
            </w:r>
            <w:r w:rsidR="009C6AC2">
              <w:rPr>
                <w:rFonts w:asciiTheme="minorHAnsi" w:hAnsiTheme="minorHAnsi"/>
                <w:sz w:val="24"/>
                <w:szCs w:val="24"/>
              </w:rPr>
              <w:t>će npr. u</w:t>
            </w:r>
            <w:r w:rsidR="008D6E60">
              <w:rPr>
                <w:rFonts w:asciiTheme="minorHAnsi" w:hAnsiTheme="minorHAnsi"/>
                <w:sz w:val="24"/>
                <w:szCs w:val="24"/>
              </w:rPr>
              <w:t xml:space="preserve"> budućnosti prinos biti znatno niži</w:t>
            </w:r>
            <w:r w:rsidR="009C6AC2">
              <w:rPr>
                <w:rFonts w:asciiTheme="minorHAnsi" w:hAnsiTheme="minorHAnsi"/>
                <w:sz w:val="24"/>
                <w:szCs w:val="24"/>
              </w:rPr>
              <w:t>, a dodatno postoje i</w:t>
            </w:r>
            <w:r w:rsidR="00F74A9B">
              <w:rPr>
                <w:rFonts w:asciiTheme="minorHAnsi" w:hAnsiTheme="minorHAnsi"/>
                <w:sz w:val="24"/>
                <w:szCs w:val="24"/>
              </w:rPr>
              <w:t xml:space="preserve"> izlazne naknade</w:t>
            </w:r>
            <w:r w:rsidRPr="00C61D62">
              <w:rPr>
                <w:rFonts w:asciiTheme="minorHAnsi" w:hAnsiTheme="minorHAnsi"/>
                <w:sz w:val="24"/>
                <w:szCs w:val="24"/>
              </w:rPr>
              <w:t xml:space="preserve">. </w:t>
            </w:r>
            <w:r w:rsidR="008D6E60">
              <w:rPr>
                <w:rFonts w:asciiTheme="minorHAnsi" w:hAnsiTheme="minorHAnsi"/>
                <w:sz w:val="24"/>
                <w:szCs w:val="24"/>
              </w:rPr>
              <w:t xml:space="preserve">S obzirom da </w:t>
            </w:r>
            <w:r w:rsidR="00F74A9B">
              <w:rPr>
                <w:rFonts w:asciiTheme="minorHAnsi" w:hAnsiTheme="minorHAnsi"/>
                <w:sz w:val="24"/>
                <w:szCs w:val="24"/>
              </w:rPr>
              <w:t xml:space="preserve">držanje štednje za crne dane </w:t>
            </w:r>
            <w:r w:rsidR="008D6E60">
              <w:rPr>
                <w:rFonts w:asciiTheme="minorHAnsi" w:hAnsiTheme="minorHAnsi"/>
                <w:sz w:val="24"/>
                <w:szCs w:val="24"/>
              </w:rPr>
              <w:t>traž</w:t>
            </w:r>
            <w:r w:rsidR="009C6AC2">
              <w:rPr>
                <w:rFonts w:asciiTheme="minorHAnsi" w:hAnsiTheme="minorHAnsi"/>
                <w:sz w:val="24"/>
                <w:szCs w:val="24"/>
              </w:rPr>
              <w:t>i</w:t>
            </w:r>
            <w:r w:rsidR="008D6E60">
              <w:rPr>
                <w:rFonts w:asciiTheme="minorHAnsi" w:hAnsiTheme="minorHAnsi"/>
                <w:sz w:val="24"/>
                <w:szCs w:val="24"/>
              </w:rPr>
              <w:t xml:space="preserve"> niže rizična ulaganja</w:t>
            </w:r>
            <w:r w:rsidR="009C6AC2">
              <w:rPr>
                <w:rFonts w:asciiTheme="minorHAnsi" w:hAnsiTheme="minorHAnsi"/>
                <w:sz w:val="24"/>
                <w:szCs w:val="24"/>
              </w:rPr>
              <w:t>,</w:t>
            </w:r>
            <w:r w:rsidR="008D6E60">
              <w:rPr>
                <w:rFonts w:asciiTheme="minorHAnsi" w:hAnsiTheme="minorHAnsi"/>
                <w:sz w:val="24"/>
                <w:szCs w:val="24"/>
              </w:rPr>
              <w:t xml:space="preserve"> </w:t>
            </w:r>
            <w:r w:rsidR="00F74A9B">
              <w:rPr>
                <w:rFonts w:asciiTheme="minorHAnsi" w:hAnsiTheme="minorHAnsi"/>
                <w:sz w:val="24"/>
                <w:szCs w:val="24"/>
              </w:rPr>
              <w:t xml:space="preserve">pogodan oblik nisu niti </w:t>
            </w:r>
            <w:r w:rsidR="008D6E60">
              <w:rPr>
                <w:rFonts w:asciiTheme="minorHAnsi" w:hAnsiTheme="minorHAnsi"/>
                <w:sz w:val="24"/>
                <w:szCs w:val="24"/>
              </w:rPr>
              <w:t>dioničk</w:t>
            </w:r>
            <w:r w:rsidR="00F74A9B">
              <w:rPr>
                <w:rFonts w:asciiTheme="minorHAnsi" w:hAnsiTheme="minorHAnsi"/>
                <w:sz w:val="24"/>
                <w:szCs w:val="24"/>
              </w:rPr>
              <w:t>i</w:t>
            </w:r>
            <w:r w:rsidR="008D6E60">
              <w:rPr>
                <w:rFonts w:asciiTheme="minorHAnsi" w:hAnsiTheme="minorHAnsi"/>
                <w:sz w:val="24"/>
                <w:szCs w:val="24"/>
              </w:rPr>
              <w:t xml:space="preserve"> fondov</w:t>
            </w:r>
            <w:r w:rsidR="00F74A9B">
              <w:rPr>
                <w:rFonts w:asciiTheme="minorHAnsi" w:hAnsiTheme="minorHAnsi"/>
                <w:sz w:val="24"/>
                <w:szCs w:val="24"/>
              </w:rPr>
              <w:t>i</w:t>
            </w:r>
            <w:r w:rsidR="008D6E60">
              <w:rPr>
                <w:rFonts w:asciiTheme="minorHAnsi" w:hAnsiTheme="minorHAnsi"/>
                <w:sz w:val="24"/>
                <w:szCs w:val="24"/>
              </w:rPr>
              <w:t xml:space="preserve"> iako su njihovi pr</w:t>
            </w:r>
            <w:r w:rsidR="00F74A9B">
              <w:rPr>
                <w:rFonts w:asciiTheme="minorHAnsi" w:hAnsiTheme="minorHAnsi"/>
                <w:sz w:val="24"/>
                <w:szCs w:val="24"/>
              </w:rPr>
              <w:t>inosi na razini 5% te s aspekta realnog prinosa predstavljaju najbolju opciju</w:t>
            </w:r>
            <w:r w:rsidR="003E2E76">
              <w:rPr>
                <w:rFonts w:asciiTheme="minorHAnsi" w:hAnsiTheme="minorHAnsi"/>
                <w:sz w:val="24"/>
                <w:szCs w:val="24"/>
              </w:rPr>
              <w:t>. N</w:t>
            </w:r>
            <w:r w:rsidR="00E15EC8">
              <w:rPr>
                <w:rFonts w:asciiTheme="minorHAnsi" w:hAnsiTheme="minorHAnsi"/>
                <w:sz w:val="24"/>
                <w:szCs w:val="24"/>
              </w:rPr>
              <w:t>o</w:t>
            </w:r>
            <w:r w:rsidR="003E2E76">
              <w:rPr>
                <w:rFonts w:asciiTheme="minorHAnsi" w:hAnsiTheme="minorHAnsi"/>
                <w:sz w:val="24"/>
                <w:szCs w:val="24"/>
              </w:rPr>
              <w:t>,</w:t>
            </w:r>
            <w:r w:rsidR="00E15EC8">
              <w:rPr>
                <w:rFonts w:asciiTheme="minorHAnsi" w:hAnsiTheme="minorHAnsi"/>
                <w:sz w:val="24"/>
                <w:szCs w:val="24"/>
              </w:rPr>
              <w:t xml:space="preserve"> ako se sredstva povlače u razdoblju kraćem od šest mjeseci od dana kupovine udjela naplaćuje se izlazna naknada u visini </w:t>
            </w:r>
            <w:r w:rsidR="0050012D">
              <w:rPr>
                <w:rFonts w:asciiTheme="minorHAnsi" w:hAnsiTheme="minorHAnsi"/>
                <w:sz w:val="24"/>
                <w:szCs w:val="24"/>
              </w:rPr>
              <w:t xml:space="preserve">npr. </w:t>
            </w:r>
            <w:r w:rsidR="00E15EC8">
              <w:rPr>
                <w:rFonts w:asciiTheme="minorHAnsi" w:hAnsiTheme="minorHAnsi"/>
                <w:sz w:val="24"/>
                <w:szCs w:val="24"/>
              </w:rPr>
              <w:t>1,5%.</w:t>
            </w:r>
          </w:p>
          <w:p w:rsidR="008D6E60" w:rsidRDefault="008D6E60" w:rsidP="00F74A9B">
            <w:pPr>
              <w:spacing w:before="120"/>
              <w:jc w:val="both"/>
              <w:rPr>
                <w:rFonts w:asciiTheme="minorHAnsi" w:hAnsiTheme="minorHAnsi"/>
                <w:sz w:val="24"/>
                <w:szCs w:val="24"/>
              </w:rPr>
            </w:pPr>
            <w:r>
              <w:rPr>
                <w:rFonts w:asciiTheme="minorHAnsi" w:hAnsiTheme="minorHAnsi"/>
                <w:sz w:val="24"/>
                <w:szCs w:val="24"/>
              </w:rPr>
              <w:t xml:space="preserve">Peta opcija je </w:t>
            </w:r>
            <w:r w:rsidR="00D64AF7">
              <w:rPr>
                <w:rFonts w:asciiTheme="minorHAnsi" w:hAnsiTheme="minorHAnsi"/>
                <w:sz w:val="24"/>
                <w:szCs w:val="24"/>
              </w:rPr>
              <w:t xml:space="preserve">ugovorena </w:t>
            </w:r>
            <w:r>
              <w:rPr>
                <w:rFonts w:asciiTheme="minorHAnsi" w:hAnsiTheme="minorHAnsi"/>
                <w:sz w:val="24"/>
                <w:szCs w:val="24"/>
              </w:rPr>
              <w:t xml:space="preserve">stambena štednja na </w:t>
            </w:r>
            <w:r w:rsidR="00D64AF7">
              <w:rPr>
                <w:rFonts w:asciiTheme="minorHAnsi" w:hAnsiTheme="minorHAnsi"/>
                <w:sz w:val="24"/>
                <w:szCs w:val="24"/>
              </w:rPr>
              <w:t xml:space="preserve">2 ili </w:t>
            </w:r>
            <w:r>
              <w:rPr>
                <w:rFonts w:asciiTheme="minorHAnsi" w:hAnsiTheme="minorHAnsi"/>
                <w:sz w:val="24"/>
                <w:szCs w:val="24"/>
              </w:rPr>
              <w:t>5 godina</w:t>
            </w:r>
            <w:r w:rsidR="00D64AF7">
              <w:rPr>
                <w:rFonts w:asciiTheme="minorHAnsi" w:hAnsiTheme="minorHAnsi"/>
                <w:sz w:val="24"/>
                <w:szCs w:val="24"/>
              </w:rPr>
              <w:t xml:space="preserve"> kod koje također postoji osiguranje depozita te se radi o niskorizičnom obliku ulaganja, ali kako </w:t>
            </w:r>
            <w:r w:rsidR="003E2E76">
              <w:rPr>
                <w:rFonts w:asciiTheme="minorHAnsi" w:hAnsiTheme="minorHAnsi"/>
                <w:sz w:val="24"/>
                <w:szCs w:val="24"/>
              </w:rPr>
              <w:t xml:space="preserve">se </w:t>
            </w:r>
            <w:r w:rsidR="00F74A9B">
              <w:rPr>
                <w:rFonts w:asciiTheme="minorHAnsi" w:hAnsiTheme="minorHAnsi"/>
                <w:sz w:val="24"/>
                <w:szCs w:val="24"/>
              </w:rPr>
              <w:t xml:space="preserve">za potrebe štednje za crne dane traži financijski instrument koji će omogućiti </w:t>
            </w:r>
            <w:r w:rsidR="00D64AF7">
              <w:rPr>
                <w:rFonts w:asciiTheme="minorHAnsi" w:hAnsiTheme="minorHAnsi"/>
                <w:sz w:val="24"/>
                <w:szCs w:val="24"/>
              </w:rPr>
              <w:t>trenutn</w:t>
            </w:r>
            <w:r w:rsidR="00F74A9B">
              <w:rPr>
                <w:rFonts w:asciiTheme="minorHAnsi" w:hAnsiTheme="minorHAnsi"/>
                <w:sz w:val="24"/>
                <w:szCs w:val="24"/>
              </w:rPr>
              <w:t>u</w:t>
            </w:r>
            <w:r w:rsidR="00D64AF7">
              <w:rPr>
                <w:rFonts w:asciiTheme="minorHAnsi" w:hAnsiTheme="minorHAnsi"/>
                <w:sz w:val="24"/>
                <w:szCs w:val="24"/>
              </w:rPr>
              <w:t xml:space="preserve"> dostupn</w:t>
            </w:r>
            <w:r w:rsidR="00F74A9B">
              <w:rPr>
                <w:rFonts w:asciiTheme="minorHAnsi" w:hAnsiTheme="minorHAnsi"/>
                <w:sz w:val="24"/>
                <w:szCs w:val="24"/>
              </w:rPr>
              <w:t>ost štednje</w:t>
            </w:r>
            <w:r w:rsidR="00D64AF7">
              <w:rPr>
                <w:rFonts w:asciiTheme="minorHAnsi" w:hAnsiTheme="minorHAnsi"/>
                <w:sz w:val="24"/>
                <w:szCs w:val="24"/>
              </w:rPr>
              <w:t xml:space="preserve"> (vrlo likvidna</w:t>
            </w:r>
            <w:r w:rsidR="00F74A9B">
              <w:rPr>
                <w:rFonts w:asciiTheme="minorHAnsi" w:hAnsiTheme="minorHAnsi"/>
                <w:sz w:val="24"/>
                <w:szCs w:val="24"/>
              </w:rPr>
              <w:t xml:space="preserve"> imovina</w:t>
            </w:r>
            <w:r w:rsidR="00D64AF7">
              <w:rPr>
                <w:rFonts w:asciiTheme="minorHAnsi" w:hAnsiTheme="minorHAnsi"/>
                <w:sz w:val="24"/>
                <w:szCs w:val="24"/>
              </w:rPr>
              <w:t xml:space="preserve">), ova opcija se ne razmatra s aspekta štednje za crne dane. </w:t>
            </w:r>
          </w:p>
          <w:p w:rsidR="00F74A9B" w:rsidRPr="00C61D62" w:rsidRDefault="00F74A9B" w:rsidP="00FC5A7F">
            <w:pPr>
              <w:spacing w:after="200" w:line="252" w:lineRule="auto"/>
              <w:jc w:val="both"/>
              <w:rPr>
                <w:rFonts w:asciiTheme="minorHAnsi" w:hAnsiTheme="minorHAnsi"/>
                <w:sz w:val="24"/>
                <w:szCs w:val="24"/>
              </w:rPr>
            </w:pPr>
            <w:r>
              <w:rPr>
                <w:rFonts w:asciiTheme="minorHAnsi" w:hAnsiTheme="minorHAnsi"/>
                <w:sz w:val="24"/>
                <w:szCs w:val="24"/>
              </w:rPr>
              <w:t>Pretpostavimo stoga da je za držanje štednje za crne dane najbolja opcija oročena štednja u banci uz koju se sredstva mogu prijevremeno razročiti bez plaćanja premije (što uglavnom nudi većina banaka u Hrvatskoj), a kamate se obračunavaju za izdržano razdoblje štednje</w:t>
            </w:r>
            <w:r w:rsidR="0050012D">
              <w:rPr>
                <w:rFonts w:asciiTheme="minorHAnsi" w:hAnsiTheme="minorHAnsi"/>
                <w:sz w:val="24"/>
                <w:szCs w:val="24"/>
              </w:rPr>
              <w:t>. Š</w:t>
            </w:r>
            <w:r w:rsidR="00E15EC8">
              <w:rPr>
                <w:rFonts w:asciiTheme="minorHAnsi" w:hAnsiTheme="minorHAnsi"/>
                <w:sz w:val="24"/>
                <w:szCs w:val="24"/>
              </w:rPr>
              <w:t>tednja</w:t>
            </w:r>
            <w:r w:rsidR="0050012D">
              <w:rPr>
                <w:rFonts w:asciiTheme="minorHAnsi" w:hAnsiTheme="minorHAnsi"/>
                <w:sz w:val="24"/>
                <w:szCs w:val="24"/>
              </w:rPr>
              <w:t xml:space="preserve"> je</w:t>
            </w:r>
            <w:r w:rsidR="00E15EC8">
              <w:rPr>
                <w:rFonts w:asciiTheme="minorHAnsi" w:hAnsiTheme="minorHAnsi"/>
                <w:sz w:val="24"/>
                <w:szCs w:val="24"/>
              </w:rPr>
              <w:t xml:space="preserve"> osigurana i ne postoji tržišni rizik smanjenja vrijednosti uloženih sredstava</w:t>
            </w:r>
            <w:r w:rsidR="003E2E76">
              <w:rPr>
                <w:rFonts w:asciiTheme="minorHAnsi" w:hAnsiTheme="minorHAnsi"/>
                <w:sz w:val="24"/>
                <w:szCs w:val="24"/>
              </w:rPr>
              <w:t xml:space="preserve"> (glavnice depozita)</w:t>
            </w:r>
            <w:r>
              <w:rPr>
                <w:rFonts w:asciiTheme="minorHAnsi" w:hAnsiTheme="minorHAnsi"/>
                <w:sz w:val="24"/>
                <w:szCs w:val="24"/>
              </w:rPr>
              <w:t>.</w:t>
            </w:r>
            <w:r w:rsidR="003E2E76">
              <w:rPr>
                <w:rFonts w:asciiTheme="minorHAnsi" w:hAnsiTheme="minorHAnsi"/>
                <w:sz w:val="24"/>
                <w:szCs w:val="24"/>
              </w:rPr>
              <w:t xml:space="preserve"> Ono što umanjuj</w:t>
            </w:r>
            <w:r w:rsidR="0050012D">
              <w:rPr>
                <w:rFonts w:asciiTheme="minorHAnsi" w:hAnsiTheme="minorHAnsi"/>
                <w:sz w:val="24"/>
                <w:szCs w:val="24"/>
              </w:rPr>
              <w:t xml:space="preserve">e atraktivnost štednje u banci </w:t>
            </w:r>
            <w:r w:rsidR="003E2E76">
              <w:rPr>
                <w:rFonts w:asciiTheme="minorHAnsi" w:hAnsiTheme="minorHAnsi"/>
                <w:sz w:val="24"/>
                <w:szCs w:val="24"/>
              </w:rPr>
              <w:t>je oporezivanje kamata koje je u Hrvatskoj uvedeno 2015. godine. Kada se ukalkuliraju obveze poreza i prireza na dohodak</w:t>
            </w:r>
            <w:r w:rsidR="0067594F">
              <w:rPr>
                <w:rFonts w:asciiTheme="minorHAnsi" w:hAnsiTheme="minorHAnsi"/>
                <w:sz w:val="24"/>
                <w:szCs w:val="24"/>
              </w:rPr>
              <w:t xml:space="preserve"> od kamata realni neto prinos na štednju u banci u ovom primjeru je negativan. No da ne kvarimo raspoloženje i entuzijazam štediša, u nastavku se ne kalkuliraju umanjenja neto prihoda od kamata zbog učinka poreza i prireza.</w:t>
            </w:r>
            <w:r w:rsidR="00FC5A7F">
              <w:rPr>
                <w:rFonts w:asciiTheme="minorHAnsi" w:hAnsiTheme="minorHAnsi"/>
                <w:sz w:val="24"/>
                <w:szCs w:val="24"/>
              </w:rPr>
              <w:t xml:space="preserve"> Ali u praksi se ne smije zaboraviti!</w:t>
            </w:r>
          </w:p>
        </w:tc>
      </w:tr>
      <w:tr w:rsidR="00CC7001" w:rsidRPr="00C61D62" w:rsidTr="009B6597">
        <w:tc>
          <w:tcPr>
            <w:tcW w:w="9288" w:type="dxa"/>
          </w:tcPr>
          <w:p w:rsidR="00CC7001" w:rsidRPr="00C61D62" w:rsidRDefault="00CC7001" w:rsidP="0067594F">
            <w:pPr>
              <w:spacing w:before="120" w:after="120"/>
              <w:jc w:val="both"/>
              <w:rPr>
                <w:rFonts w:asciiTheme="minorHAnsi" w:hAnsiTheme="minorHAnsi"/>
                <w:b/>
                <w:sz w:val="24"/>
                <w:szCs w:val="24"/>
              </w:rPr>
            </w:pPr>
            <w:r w:rsidRPr="00C61D62">
              <w:rPr>
                <w:rFonts w:asciiTheme="minorHAnsi" w:hAnsiTheme="minorHAnsi"/>
                <w:b/>
                <w:sz w:val="24"/>
                <w:szCs w:val="24"/>
              </w:rPr>
              <w:t>ULAGANJE/ ŠTEDNJA KROZ 5 GODINA</w:t>
            </w:r>
          </w:p>
          <w:p w:rsidR="00CC7001" w:rsidRPr="00C61D62" w:rsidRDefault="00CC7001" w:rsidP="0067594F">
            <w:pPr>
              <w:spacing w:before="120" w:after="120"/>
              <w:jc w:val="both"/>
              <w:rPr>
                <w:rFonts w:asciiTheme="minorHAnsi" w:hAnsiTheme="minorHAnsi"/>
                <w:b/>
                <w:sz w:val="24"/>
                <w:szCs w:val="24"/>
              </w:rPr>
            </w:pPr>
            <w:r w:rsidRPr="00C61D62">
              <w:rPr>
                <w:rFonts w:asciiTheme="minorHAnsi" w:hAnsiTheme="minorHAnsi"/>
                <w:b/>
                <w:sz w:val="24"/>
                <w:szCs w:val="24"/>
              </w:rPr>
              <w:t>Oročena štednja u banci</w:t>
            </w:r>
          </w:p>
          <w:p w:rsidR="00CC7001" w:rsidRPr="00C61D62" w:rsidRDefault="00CC7001" w:rsidP="005F28EE">
            <w:pPr>
              <w:spacing w:after="200" w:line="252" w:lineRule="auto"/>
              <w:jc w:val="both"/>
              <w:rPr>
                <w:rFonts w:asciiTheme="minorHAnsi" w:hAnsiTheme="minorHAnsi"/>
                <w:sz w:val="24"/>
                <w:szCs w:val="24"/>
              </w:rPr>
            </w:pPr>
            <w:r w:rsidRPr="00C61D62">
              <w:rPr>
                <w:rFonts w:asciiTheme="minorHAnsi" w:hAnsiTheme="minorHAnsi"/>
                <w:sz w:val="24"/>
                <w:szCs w:val="24"/>
              </w:rPr>
              <w:t xml:space="preserve">Iznos od 54.000 kuna osoba može jednokratno oročiti </w:t>
            </w:r>
            <w:r w:rsidR="003E2E76">
              <w:rPr>
                <w:rFonts w:asciiTheme="minorHAnsi" w:hAnsiTheme="minorHAnsi"/>
                <w:sz w:val="24"/>
                <w:szCs w:val="24"/>
              </w:rPr>
              <w:t xml:space="preserve">u banci </w:t>
            </w:r>
            <w:r w:rsidRPr="00C61D62">
              <w:rPr>
                <w:rFonts w:asciiTheme="minorHAnsi" w:hAnsiTheme="minorHAnsi"/>
                <w:sz w:val="24"/>
                <w:szCs w:val="24"/>
              </w:rPr>
              <w:t>na pet godina te uz kamatnu stopu 2,25% formirati štednju u visini 60.354,60 kn (što je više od postavljenog</w:t>
            </w:r>
            <w:r w:rsidR="0050012D">
              <w:rPr>
                <w:rFonts w:asciiTheme="minorHAnsi" w:hAnsiTheme="minorHAnsi"/>
                <w:sz w:val="24"/>
                <w:szCs w:val="24"/>
              </w:rPr>
              <w:t xml:space="preserve"> cilja</w:t>
            </w:r>
            <w:r w:rsidRPr="00C61D62">
              <w:rPr>
                <w:rFonts w:asciiTheme="minorHAnsi" w:hAnsiTheme="minorHAnsi"/>
                <w:sz w:val="24"/>
                <w:szCs w:val="24"/>
              </w:rPr>
              <w:t xml:space="preserve"> održavanja štednje za crne dane u likvidnom i sigurnom obliku imovine).</w:t>
            </w:r>
            <w:r w:rsidR="00D64AF7">
              <w:rPr>
                <w:rFonts w:asciiTheme="minorHAnsi" w:hAnsiTheme="minorHAnsi"/>
                <w:sz w:val="24"/>
                <w:szCs w:val="24"/>
              </w:rPr>
              <w:t xml:space="preserve"> Alternativno osoba može 36.000 kuna oročiti u banci uz kamatnu stopu </w:t>
            </w:r>
            <w:r w:rsidR="00F74A9B">
              <w:rPr>
                <w:rFonts w:asciiTheme="minorHAnsi" w:hAnsiTheme="minorHAnsi"/>
                <w:sz w:val="24"/>
                <w:szCs w:val="24"/>
              </w:rPr>
              <w:t>2,25%</w:t>
            </w:r>
            <w:r w:rsidR="00E15EC8">
              <w:rPr>
                <w:rFonts w:asciiTheme="minorHAnsi" w:hAnsiTheme="minorHAnsi"/>
                <w:sz w:val="24"/>
                <w:szCs w:val="24"/>
              </w:rPr>
              <w:t xml:space="preserve"> što će čuvati realnu vrijednost imovine u funkciji štednje za crne dane (ali ne donosi pozitivan realni prinos)</w:t>
            </w:r>
            <w:r w:rsidR="00F74A9B">
              <w:rPr>
                <w:rFonts w:asciiTheme="minorHAnsi" w:hAnsiTheme="minorHAnsi"/>
                <w:sz w:val="24"/>
                <w:szCs w:val="24"/>
              </w:rPr>
              <w:t>, a preostali iznos 18.000 kuna uložiti u dionički fond</w:t>
            </w:r>
            <w:r w:rsidR="00E15EC8">
              <w:rPr>
                <w:rFonts w:asciiTheme="minorHAnsi" w:hAnsiTheme="minorHAnsi"/>
                <w:sz w:val="24"/>
                <w:szCs w:val="24"/>
              </w:rPr>
              <w:t xml:space="preserve"> te ostvariti veće realne prinose (jasno pod pretpostavkom odabra „dobrog“ i uspješnog fonda te povoljne situacije za dionička ulaganja </w:t>
            </w:r>
            <w:r w:rsidR="00E15EC8">
              <w:rPr>
                <w:rFonts w:asciiTheme="minorHAnsi" w:hAnsiTheme="minorHAnsi"/>
                <w:sz w:val="24"/>
                <w:szCs w:val="24"/>
              </w:rPr>
              <w:lastRenderedPageBreak/>
              <w:t>u narednih pet godina).</w:t>
            </w:r>
            <w:r w:rsidR="00181584">
              <w:rPr>
                <w:rFonts w:asciiTheme="minorHAnsi" w:hAnsiTheme="minorHAnsi"/>
                <w:sz w:val="24"/>
                <w:szCs w:val="24"/>
              </w:rPr>
              <w:t xml:space="preserve"> Naime, iako je prinos dioničkog fonda u primjeru pretpostavljen na tekućoj razini 5% godišnje, u narednim razdobljima može biti i veći i manji pa čak i negativan što otežava planiranje na rok 5 godina</w:t>
            </w:r>
            <w:r w:rsidR="003E2E76">
              <w:rPr>
                <w:rFonts w:asciiTheme="minorHAnsi" w:hAnsiTheme="minorHAnsi"/>
                <w:sz w:val="24"/>
                <w:szCs w:val="24"/>
              </w:rPr>
              <w:t>, dok dodatno postoji i mogućnost plaćanja izlazne naknade (npr. ako se sredstva povlače u razdoblju kraćem od šest mjeseci od početnog ulaganja)</w:t>
            </w:r>
            <w:r w:rsidR="00181584">
              <w:rPr>
                <w:rFonts w:asciiTheme="minorHAnsi" w:hAnsiTheme="minorHAnsi"/>
                <w:sz w:val="24"/>
                <w:szCs w:val="24"/>
              </w:rPr>
              <w:t xml:space="preserve">. </w:t>
            </w:r>
            <w:r w:rsidR="0067594F">
              <w:rPr>
                <w:rFonts w:asciiTheme="minorHAnsi" w:hAnsiTheme="minorHAnsi"/>
                <w:sz w:val="24"/>
                <w:szCs w:val="24"/>
              </w:rPr>
              <w:t xml:space="preserve">Međutim, čak i da prinos ostane na 5%, a stopa inflacije na razini 2,25% što daje realni prinos od 2,75% ne smijemo zaboraviti da od 2016. u Hrvatskoj vrijedi oporezivanje kapitalnih dobitaka tako da (ako se imovina prodaje u razdoblju kraćem od tri godine od dana stjecanja) realni neto prinos može biti i manji. No, kako ne bi kvarili raspoloženje i </w:t>
            </w:r>
            <w:r w:rsidR="0050012D">
              <w:rPr>
                <w:rFonts w:asciiTheme="minorHAnsi" w:hAnsiTheme="minorHAnsi"/>
                <w:sz w:val="24"/>
                <w:szCs w:val="24"/>
              </w:rPr>
              <w:t xml:space="preserve">volju </w:t>
            </w:r>
            <w:r w:rsidR="0067594F">
              <w:rPr>
                <w:rFonts w:asciiTheme="minorHAnsi" w:hAnsiTheme="minorHAnsi"/>
                <w:sz w:val="24"/>
                <w:szCs w:val="24"/>
              </w:rPr>
              <w:t xml:space="preserve">štediša /ulagača u nastavku </w:t>
            </w:r>
            <w:r w:rsidR="0050012D">
              <w:rPr>
                <w:rFonts w:asciiTheme="minorHAnsi" w:hAnsiTheme="minorHAnsi"/>
                <w:sz w:val="24"/>
                <w:szCs w:val="24"/>
              </w:rPr>
              <w:t>se ignorira</w:t>
            </w:r>
            <w:r w:rsidR="0067594F">
              <w:rPr>
                <w:rFonts w:asciiTheme="minorHAnsi" w:hAnsiTheme="minorHAnsi"/>
                <w:sz w:val="24"/>
                <w:szCs w:val="24"/>
              </w:rPr>
              <w:t xml:space="preserve">  oporezivanje dohotka od kapitala. </w:t>
            </w:r>
            <w:r w:rsidR="0050012D">
              <w:rPr>
                <w:rFonts w:asciiTheme="minorHAnsi" w:hAnsiTheme="minorHAnsi"/>
                <w:sz w:val="24"/>
                <w:szCs w:val="24"/>
              </w:rPr>
              <w:t xml:space="preserve">Ali </w:t>
            </w:r>
            <w:r w:rsidR="00FC5A7F">
              <w:rPr>
                <w:rFonts w:asciiTheme="minorHAnsi" w:hAnsiTheme="minorHAnsi"/>
                <w:sz w:val="24"/>
                <w:szCs w:val="24"/>
              </w:rPr>
              <w:t>u praksi se ne smije zaboraviti!</w:t>
            </w:r>
          </w:p>
          <w:p w:rsidR="00CC7001" w:rsidRDefault="00CC7001" w:rsidP="005F28EE">
            <w:pPr>
              <w:spacing w:after="200" w:line="252" w:lineRule="auto"/>
              <w:jc w:val="both"/>
              <w:rPr>
                <w:rFonts w:asciiTheme="minorHAnsi" w:hAnsiTheme="minorHAnsi"/>
                <w:sz w:val="24"/>
                <w:szCs w:val="24"/>
              </w:rPr>
            </w:pPr>
            <w:r w:rsidRPr="00C61D62">
              <w:rPr>
                <w:rFonts w:asciiTheme="minorHAnsi" w:hAnsiTheme="minorHAnsi"/>
                <w:sz w:val="24"/>
                <w:szCs w:val="24"/>
              </w:rPr>
              <w:t xml:space="preserve">Dodatno, ako </w:t>
            </w:r>
            <w:r w:rsidR="00E15EC8">
              <w:rPr>
                <w:rFonts w:asciiTheme="minorHAnsi" w:hAnsiTheme="minorHAnsi"/>
                <w:sz w:val="24"/>
                <w:szCs w:val="24"/>
              </w:rPr>
              <w:t xml:space="preserve">osoba iz primjera </w:t>
            </w:r>
            <w:r w:rsidRPr="00C61D62">
              <w:rPr>
                <w:rFonts w:asciiTheme="minorHAnsi" w:hAnsiTheme="minorHAnsi"/>
                <w:sz w:val="24"/>
                <w:szCs w:val="24"/>
              </w:rPr>
              <w:t xml:space="preserve">uz kamatnu stopu 2,25% </w:t>
            </w:r>
            <w:r w:rsidR="004A4FA8">
              <w:rPr>
                <w:rFonts w:asciiTheme="minorHAnsi" w:hAnsiTheme="minorHAnsi"/>
                <w:sz w:val="24"/>
                <w:szCs w:val="24"/>
              </w:rPr>
              <w:t xml:space="preserve">(koja je ujedno i nominalna i efektivna kamatna stopa) </w:t>
            </w:r>
            <w:r w:rsidRPr="00C61D62">
              <w:rPr>
                <w:rFonts w:asciiTheme="minorHAnsi" w:hAnsiTheme="minorHAnsi"/>
                <w:sz w:val="24"/>
                <w:szCs w:val="24"/>
              </w:rPr>
              <w:t xml:space="preserve">svaki mjesec na otvorenu štednju </w:t>
            </w:r>
            <w:r w:rsidR="005340AF">
              <w:rPr>
                <w:rFonts w:asciiTheme="minorHAnsi" w:hAnsiTheme="minorHAnsi"/>
                <w:sz w:val="24"/>
                <w:szCs w:val="24"/>
              </w:rPr>
              <w:t>u</w:t>
            </w:r>
            <w:r w:rsidRPr="00C61D62">
              <w:rPr>
                <w:rFonts w:asciiTheme="minorHAnsi" w:hAnsiTheme="minorHAnsi"/>
                <w:sz w:val="24"/>
                <w:szCs w:val="24"/>
              </w:rPr>
              <w:t xml:space="preserve"> banci ulaže 1.450,00 kuna kroz pet godina imat će štednju u visini 92.109,42 kn. Nakon što od ukupne štednje izdvoji 36.000 kuna „za crne dane“, za ostale svrhe ima raspoloživo </w:t>
            </w:r>
            <w:r w:rsidR="0050012D">
              <w:rPr>
                <w:rFonts w:asciiTheme="minorHAnsi" w:hAnsiTheme="minorHAnsi"/>
                <w:sz w:val="24"/>
                <w:szCs w:val="24"/>
              </w:rPr>
              <w:t xml:space="preserve">oko </w:t>
            </w:r>
            <w:r w:rsidRPr="00C61D62">
              <w:rPr>
                <w:rFonts w:asciiTheme="minorHAnsi" w:hAnsiTheme="minorHAnsi"/>
                <w:sz w:val="24"/>
                <w:szCs w:val="24"/>
              </w:rPr>
              <w:t>116.464,02 kn (što je jednako 152.464,02 – 36.000,00</w:t>
            </w:r>
            <w:r w:rsidR="00181584">
              <w:rPr>
                <w:rFonts w:asciiTheme="minorHAnsi" w:hAnsiTheme="minorHAnsi"/>
                <w:sz w:val="24"/>
                <w:szCs w:val="24"/>
              </w:rPr>
              <w:t>, odnosno može biti i više ako se dio sredstva uspješnije oplodi u dioničkom fondu</w:t>
            </w:r>
            <w:r w:rsidR="0050012D">
              <w:rPr>
                <w:rFonts w:asciiTheme="minorHAnsi" w:hAnsiTheme="minorHAnsi"/>
                <w:sz w:val="24"/>
                <w:szCs w:val="24"/>
              </w:rPr>
              <w:t>, jasno može biti i manje u slučaju negativnog prinosa fonda</w:t>
            </w:r>
            <w:r w:rsidRPr="00C61D62">
              <w:rPr>
                <w:rFonts w:asciiTheme="minorHAnsi" w:hAnsiTheme="minorHAnsi"/>
                <w:sz w:val="24"/>
                <w:szCs w:val="24"/>
              </w:rPr>
              <w:t>)</w:t>
            </w:r>
            <w:r w:rsidR="00F77113">
              <w:rPr>
                <w:rFonts w:asciiTheme="minorHAnsi" w:hAnsiTheme="minorHAnsi"/>
                <w:sz w:val="24"/>
                <w:szCs w:val="24"/>
              </w:rPr>
              <w:t>.</w:t>
            </w:r>
            <w:r w:rsidRPr="00C61D62">
              <w:rPr>
                <w:rFonts w:asciiTheme="minorHAnsi" w:hAnsiTheme="minorHAnsi"/>
                <w:sz w:val="24"/>
                <w:szCs w:val="24"/>
              </w:rPr>
              <w:t xml:space="preserve"> U 40 godini života ima dostatna sredstva za kupnju automobila u iznosu 100.000 kuna (bez kredita</w:t>
            </w:r>
            <w:r w:rsidR="00FC5A7F">
              <w:rPr>
                <w:rFonts w:asciiTheme="minorHAnsi" w:hAnsiTheme="minorHAnsi"/>
                <w:sz w:val="24"/>
                <w:szCs w:val="24"/>
              </w:rPr>
              <w:t xml:space="preserve"> – ako je ikako moguće automobil nije poželjno kupovati na kredit</w:t>
            </w:r>
            <w:r w:rsidRPr="00C61D62">
              <w:rPr>
                <w:rFonts w:asciiTheme="minorHAnsi" w:hAnsiTheme="minorHAnsi"/>
                <w:sz w:val="24"/>
                <w:szCs w:val="24"/>
              </w:rPr>
              <w:t xml:space="preserve">), a razliku </w:t>
            </w:r>
            <w:r w:rsidR="00181584">
              <w:rPr>
                <w:rFonts w:asciiTheme="minorHAnsi" w:hAnsiTheme="minorHAnsi"/>
                <w:sz w:val="24"/>
                <w:szCs w:val="24"/>
              </w:rPr>
              <w:t xml:space="preserve">(od barem) </w:t>
            </w:r>
            <w:r w:rsidRPr="00C61D62">
              <w:rPr>
                <w:rFonts w:asciiTheme="minorHAnsi" w:hAnsiTheme="minorHAnsi"/>
                <w:sz w:val="24"/>
                <w:szCs w:val="24"/>
              </w:rPr>
              <w:t xml:space="preserve">16.464,02 kuna može dalje oročavati u banci ili uložiti u druge oblike imovine. </w:t>
            </w:r>
          </w:p>
          <w:p w:rsidR="00FC5A7F" w:rsidRDefault="003E2E76" w:rsidP="008D6124">
            <w:pPr>
              <w:spacing w:after="200" w:line="252" w:lineRule="auto"/>
              <w:jc w:val="both"/>
              <w:rPr>
                <w:rFonts w:asciiTheme="minorHAnsi" w:hAnsiTheme="minorHAnsi"/>
                <w:sz w:val="24"/>
                <w:szCs w:val="24"/>
              </w:rPr>
            </w:pPr>
            <w:r>
              <w:rPr>
                <w:rFonts w:asciiTheme="minorHAnsi" w:hAnsiTheme="minorHAnsi"/>
                <w:sz w:val="24"/>
                <w:szCs w:val="24"/>
              </w:rPr>
              <w:t xml:space="preserve">Alternativno štednja u iznosu 1.450,00 kuna mjesečno može se oročavati kroz model stambene štednje. Kamatna stopa na stambenu štednju je npr. 3,1%. što </w:t>
            </w:r>
            <w:r w:rsidR="0067594F">
              <w:rPr>
                <w:rFonts w:asciiTheme="minorHAnsi" w:hAnsiTheme="minorHAnsi"/>
                <w:sz w:val="24"/>
                <w:szCs w:val="24"/>
              </w:rPr>
              <w:t xml:space="preserve">bi trebalo </w:t>
            </w:r>
            <w:r>
              <w:rPr>
                <w:rFonts w:asciiTheme="minorHAnsi" w:hAnsiTheme="minorHAnsi"/>
                <w:sz w:val="24"/>
                <w:szCs w:val="24"/>
              </w:rPr>
              <w:t>znači</w:t>
            </w:r>
            <w:r w:rsidR="0067594F">
              <w:rPr>
                <w:rFonts w:asciiTheme="minorHAnsi" w:hAnsiTheme="minorHAnsi"/>
                <w:sz w:val="24"/>
                <w:szCs w:val="24"/>
              </w:rPr>
              <w:t>ti</w:t>
            </w:r>
            <w:r>
              <w:rPr>
                <w:rFonts w:asciiTheme="minorHAnsi" w:hAnsiTheme="minorHAnsi"/>
                <w:sz w:val="24"/>
                <w:szCs w:val="24"/>
              </w:rPr>
              <w:t xml:space="preserve"> realni prinos oko </w:t>
            </w:r>
            <w:r w:rsidR="0067594F">
              <w:rPr>
                <w:rFonts w:asciiTheme="minorHAnsi" w:hAnsiTheme="minorHAnsi"/>
                <w:sz w:val="24"/>
                <w:szCs w:val="24"/>
              </w:rPr>
              <w:t>0,85, no na stambenu štednju se uglavnom plaća ulazna naknada (</w:t>
            </w:r>
            <w:r w:rsidR="005F28EE">
              <w:rPr>
                <w:rFonts w:asciiTheme="minorHAnsi" w:hAnsiTheme="minorHAnsi"/>
                <w:sz w:val="24"/>
                <w:szCs w:val="24"/>
              </w:rPr>
              <w:t xml:space="preserve">iako </w:t>
            </w:r>
            <w:r w:rsidR="0067594F">
              <w:rPr>
                <w:rFonts w:asciiTheme="minorHAnsi" w:hAnsiTheme="minorHAnsi"/>
                <w:sz w:val="24"/>
                <w:szCs w:val="24"/>
              </w:rPr>
              <w:t xml:space="preserve"> to nije slučaj kod svih stambenih štedionica, kod </w:t>
            </w:r>
            <w:r w:rsidR="005F28EE">
              <w:rPr>
                <w:rFonts w:asciiTheme="minorHAnsi" w:hAnsiTheme="minorHAnsi"/>
                <w:sz w:val="24"/>
                <w:szCs w:val="24"/>
              </w:rPr>
              <w:t xml:space="preserve">pojedinih štedionica </w:t>
            </w:r>
            <w:r w:rsidR="0067594F">
              <w:rPr>
                <w:rFonts w:asciiTheme="minorHAnsi" w:hAnsiTheme="minorHAnsi"/>
                <w:sz w:val="24"/>
                <w:szCs w:val="24"/>
              </w:rPr>
              <w:t>nema ulazne naknade). Ukoliko je ulazna naknada 1% od ugovorenog iznosa, koji bi u ovom slučaju iznosi</w:t>
            </w:r>
            <w:r w:rsidR="004A4FA8">
              <w:rPr>
                <w:rFonts w:asciiTheme="minorHAnsi" w:hAnsiTheme="minorHAnsi"/>
                <w:sz w:val="24"/>
                <w:szCs w:val="24"/>
              </w:rPr>
              <w:t>o</w:t>
            </w:r>
            <w:r w:rsidR="0067594F">
              <w:rPr>
                <w:rFonts w:asciiTheme="minorHAnsi" w:hAnsiTheme="minorHAnsi"/>
                <w:sz w:val="24"/>
                <w:szCs w:val="24"/>
              </w:rPr>
              <w:t xml:space="preserve"> </w:t>
            </w:r>
            <w:r w:rsidR="0067594F" w:rsidRPr="0067594F">
              <w:rPr>
                <w:rFonts w:asciiTheme="minorHAnsi" w:hAnsiTheme="minorHAnsi"/>
                <w:sz w:val="24"/>
                <w:szCs w:val="24"/>
              </w:rPr>
              <w:t>228.900,00</w:t>
            </w:r>
            <w:r w:rsidR="004A4FA8">
              <w:rPr>
                <w:rFonts w:asciiTheme="minorHAnsi" w:hAnsiTheme="minorHAnsi"/>
                <w:sz w:val="24"/>
                <w:szCs w:val="24"/>
              </w:rPr>
              <w:t xml:space="preserve"> kn (uključujući i iznos stambenog kredita koji čini 60% ugovorenog iznosa </w:t>
            </w:r>
            <w:r w:rsidR="0050012D">
              <w:rPr>
                <w:rFonts w:asciiTheme="minorHAnsi" w:hAnsiTheme="minorHAnsi"/>
                <w:sz w:val="24"/>
                <w:szCs w:val="24"/>
              </w:rPr>
              <w:t>–</w:t>
            </w:r>
            <w:r w:rsidR="004A4FA8">
              <w:rPr>
                <w:rFonts w:asciiTheme="minorHAnsi" w:hAnsiTheme="minorHAnsi"/>
                <w:sz w:val="24"/>
                <w:szCs w:val="24"/>
              </w:rPr>
              <w:t xml:space="preserve"> </w:t>
            </w:r>
            <w:r w:rsidR="0050012D">
              <w:rPr>
                <w:rFonts w:asciiTheme="minorHAnsi" w:hAnsiTheme="minorHAnsi"/>
                <w:sz w:val="24"/>
                <w:szCs w:val="24"/>
              </w:rPr>
              <w:t xml:space="preserve">iako se u ovom primjeru </w:t>
            </w:r>
            <w:r w:rsidR="004A4FA8">
              <w:rPr>
                <w:rFonts w:asciiTheme="minorHAnsi" w:hAnsiTheme="minorHAnsi"/>
                <w:sz w:val="24"/>
                <w:szCs w:val="24"/>
              </w:rPr>
              <w:t>stambeni kredit ne namjerava koristiti) efektivna kamatna stopa bila bi svega 2,05% (preuzeto iz kalkulatora jedne stambene štedionice u Hrvatskoj). Uz pretpostavljenu stopu inflacije 2,25% realni prinos je negativan, a realni neto prinos još manji zbog oporezivanja kamata</w:t>
            </w:r>
            <w:r w:rsidR="00FC5A7F">
              <w:rPr>
                <w:rFonts w:asciiTheme="minorHAnsi" w:hAnsiTheme="minorHAnsi"/>
                <w:sz w:val="24"/>
                <w:szCs w:val="24"/>
              </w:rPr>
              <w:t xml:space="preserve"> (ali kao što je rečeno u izračunima se efekt poreza zanemaruje)</w:t>
            </w:r>
            <w:r w:rsidR="004A4FA8">
              <w:rPr>
                <w:rFonts w:asciiTheme="minorHAnsi" w:hAnsiTheme="minorHAnsi"/>
                <w:sz w:val="24"/>
                <w:szCs w:val="24"/>
              </w:rPr>
              <w:t xml:space="preserve">. </w:t>
            </w:r>
          </w:p>
          <w:p w:rsidR="008D6124" w:rsidRDefault="0050012D" w:rsidP="008D6124">
            <w:pPr>
              <w:spacing w:after="200" w:line="252" w:lineRule="auto"/>
              <w:jc w:val="both"/>
              <w:rPr>
                <w:rFonts w:asciiTheme="minorHAnsi" w:hAnsiTheme="minorHAnsi"/>
                <w:sz w:val="24"/>
                <w:szCs w:val="24"/>
              </w:rPr>
            </w:pPr>
            <w:r>
              <w:rPr>
                <w:rFonts w:asciiTheme="minorHAnsi" w:hAnsiTheme="minorHAnsi"/>
                <w:sz w:val="24"/>
                <w:szCs w:val="24"/>
              </w:rPr>
              <w:t>U</w:t>
            </w:r>
            <w:r w:rsidR="004A4FA8">
              <w:rPr>
                <w:rFonts w:asciiTheme="minorHAnsi" w:hAnsiTheme="minorHAnsi"/>
                <w:sz w:val="24"/>
                <w:szCs w:val="24"/>
              </w:rPr>
              <w:t xml:space="preserve"> ovom modelu štednje</w:t>
            </w:r>
            <w:r w:rsidR="005F28EE">
              <w:rPr>
                <w:rFonts w:asciiTheme="minorHAnsi" w:hAnsiTheme="minorHAnsi"/>
                <w:sz w:val="24"/>
                <w:szCs w:val="24"/>
              </w:rPr>
              <w:t>,</w:t>
            </w:r>
            <w:r w:rsidR="004A4FA8">
              <w:rPr>
                <w:rFonts w:asciiTheme="minorHAnsi" w:hAnsiTheme="minorHAnsi"/>
                <w:sz w:val="24"/>
                <w:szCs w:val="24"/>
              </w:rPr>
              <w:t xml:space="preserve"> osoba može kroz pet godina kumulirati vlastitu štednju u iznosu od </w:t>
            </w:r>
            <w:r w:rsidR="004A4FA8" w:rsidRPr="004A4FA8">
              <w:rPr>
                <w:rFonts w:asciiTheme="minorHAnsi" w:hAnsiTheme="minorHAnsi"/>
                <w:sz w:val="24"/>
                <w:szCs w:val="24"/>
              </w:rPr>
              <w:t>91.590,46</w:t>
            </w:r>
            <w:r w:rsidR="004A4FA8">
              <w:rPr>
                <w:rFonts w:asciiTheme="minorHAnsi" w:hAnsiTheme="minorHAnsi"/>
                <w:sz w:val="24"/>
                <w:szCs w:val="24"/>
              </w:rPr>
              <w:t xml:space="preserve"> kuna (što je manje nego u slučaju štednje u banci). </w:t>
            </w:r>
            <w:r>
              <w:rPr>
                <w:rFonts w:asciiTheme="minorHAnsi" w:hAnsiTheme="minorHAnsi"/>
                <w:sz w:val="24"/>
                <w:szCs w:val="24"/>
              </w:rPr>
              <w:t>Međutim, d</w:t>
            </w:r>
            <w:r w:rsidR="004A4FA8">
              <w:rPr>
                <w:rFonts w:asciiTheme="minorHAnsi" w:hAnsiTheme="minorHAnsi"/>
                <w:sz w:val="24"/>
                <w:szCs w:val="24"/>
              </w:rPr>
              <w:t xml:space="preserve">a je osoba u našem primjeru htjela koristiti stambeni kredit npr. po fiksnoj kamatnoj stopi 5,44% možda bi joj stambena štednja bila atraktivnija, dok bi svakako trebalo istražiti tržište i pronaći koja od stambenih štedionica u danom momentu ima određenu akciju ili uopće ne naplaćuje ulaznu naknadu </w:t>
            </w:r>
            <w:r w:rsidR="005F28EE">
              <w:rPr>
                <w:rFonts w:asciiTheme="minorHAnsi" w:hAnsiTheme="minorHAnsi"/>
                <w:sz w:val="24"/>
                <w:szCs w:val="24"/>
              </w:rPr>
              <w:t xml:space="preserve">pa </w:t>
            </w:r>
            <w:r w:rsidR="004A4FA8">
              <w:rPr>
                <w:rFonts w:asciiTheme="minorHAnsi" w:hAnsiTheme="minorHAnsi"/>
                <w:sz w:val="24"/>
                <w:szCs w:val="24"/>
              </w:rPr>
              <w:t xml:space="preserve">bi se eventualno nakon pet godina štednje moglo kumulirati </w:t>
            </w:r>
            <w:r w:rsidR="00FC5A7F">
              <w:rPr>
                <w:rFonts w:asciiTheme="minorHAnsi" w:hAnsiTheme="minorHAnsi"/>
                <w:sz w:val="24"/>
                <w:szCs w:val="24"/>
              </w:rPr>
              <w:t xml:space="preserve">ukamačenu </w:t>
            </w:r>
            <w:r w:rsidR="004A4FA8">
              <w:rPr>
                <w:rFonts w:asciiTheme="minorHAnsi" w:hAnsiTheme="minorHAnsi"/>
                <w:sz w:val="24"/>
                <w:szCs w:val="24"/>
              </w:rPr>
              <w:t>štednju i u većem iznosu nego u slučaju štednje kod banke</w:t>
            </w:r>
            <w:r w:rsidR="00FC5A7F">
              <w:rPr>
                <w:rFonts w:asciiTheme="minorHAnsi" w:hAnsiTheme="minorHAnsi"/>
                <w:sz w:val="24"/>
                <w:szCs w:val="24"/>
              </w:rPr>
              <w:t>.</w:t>
            </w:r>
            <w:r w:rsidR="00905095">
              <w:rPr>
                <w:rFonts w:asciiTheme="minorHAnsi" w:hAnsiTheme="minorHAnsi"/>
                <w:sz w:val="24"/>
                <w:szCs w:val="24"/>
              </w:rPr>
              <w:t xml:space="preserve"> (</w:t>
            </w:r>
            <w:r w:rsidR="00FC5A7F">
              <w:rPr>
                <w:rFonts w:asciiTheme="minorHAnsi" w:hAnsiTheme="minorHAnsi"/>
                <w:sz w:val="24"/>
                <w:szCs w:val="24"/>
              </w:rPr>
              <w:t>N</w:t>
            </w:r>
            <w:r w:rsidR="00905095">
              <w:rPr>
                <w:rFonts w:asciiTheme="minorHAnsi" w:hAnsiTheme="minorHAnsi"/>
                <w:sz w:val="24"/>
                <w:szCs w:val="24"/>
              </w:rPr>
              <w:t>o u tom slučaju moguće je da je kamatna stopa na stambenu štednju ipak nešto niža od one koja se navodi u ovom primjeru</w:t>
            </w:r>
            <w:r w:rsidR="00FC5A7F">
              <w:rPr>
                <w:rFonts w:asciiTheme="minorHAnsi" w:hAnsiTheme="minorHAnsi"/>
                <w:sz w:val="24"/>
                <w:szCs w:val="24"/>
              </w:rPr>
              <w:t>.</w:t>
            </w:r>
            <w:r w:rsidR="00905095">
              <w:rPr>
                <w:rFonts w:asciiTheme="minorHAnsi" w:hAnsiTheme="minorHAnsi"/>
                <w:sz w:val="24"/>
                <w:szCs w:val="24"/>
              </w:rPr>
              <w:t>)</w:t>
            </w:r>
            <w:r w:rsidR="004A4FA8">
              <w:rPr>
                <w:rFonts w:asciiTheme="minorHAnsi" w:hAnsiTheme="minorHAnsi"/>
                <w:sz w:val="24"/>
                <w:szCs w:val="24"/>
              </w:rPr>
              <w:t xml:space="preserve"> </w:t>
            </w:r>
            <w:r>
              <w:rPr>
                <w:rFonts w:asciiTheme="minorHAnsi" w:hAnsiTheme="minorHAnsi"/>
                <w:sz w:val="24"/>
                <w:szCs w:val="24"/>
              </w:rPr>
              <w:t xml:space="preserve">Istraživanje uvjeta na tržištu je osobito važno jer se zbog konkurencije u privlačenju klijenata </w:t>
            </w:r>
            <w:r w:rsidR="00FC5A7F">
              <w:rPr>
                <w:rFonts w:asciiTheme="minorHAnsi" w:hAnsiTheme="minorHAnsi"/>
                <w:sz w:val="24"/>
                <w:szCs w:val="24"/>
              </w:rPr>
              <w:t xml:space="preserve">uvjeti štednje (kamatne stope), kao i uvjeti zaduživanja </w:t>
            </w:r>
            <w:r>
              <w:rPr>
                <w:rFonts w:asciiTheme="minorHAnsi" w:hAnsiTheme="minorHAnsi"/>
                <w:sz w:val="24"/>
                <w:szCs w:val="24"/>
              </w:rPr>
              <w:t xml:space="preserve">povremeno bitno razlikuju od jedne financijske institucije do druge. </w:t>
            </w:r>
          </w:p>
          <w:p w:rsidR="008D6124" w:rsidRDefault="00FC5A7F" w:rsidP="008D6124">
            <w:pPr>
              <w:spacing w:after="200" w:line="252" w:lineRule="auto"/>
              <w:jc w:val="both"/>
              <w:rPr>
                <w:rFonts w:asciiTheme="minorHAnsi" w:hAnsiTheme="minorHAnsi"/>
                <w:sz w:val="24"/>
                <w:szCs w:val="24"/>
              </w:rPr>
            </w:pPr>
            <w:r w:rsidRPr="00FC5A7F">
              <w:rPr>
                <w:rFonts w:asciiTheme="minorHAnsi" w:hAnsiTheme="minorHAnsi"/>
                <w:b/>
                <w:sz w:val="24"/>
                <w:szCs w:val="24"/>
              </w:rPr>
              <w:t>Napomena:</w:t>
            </w:r>
            <w:r w:rsidRPr="00FC5A7F">
              <w:rPr>
                <w:rFonts w:asciiTheme="minorHAnsi" w:hAnsiTheme="minorHAnsi"/>
                <w:sz w:val="24"/>
                <w:szCs w:val="24"/>
              </w:rPr>
              <w:t xml:space="preserve"> </w:t>
            </w:r>
            <w:r w:rsidR="00905095" w:rsidRPr="005F28EE">
              <w:rPr>
                <w:rFonts w:asciiTheme="minorHAnsi" w:hAnsiTheme="minorHAnsi"/>
                <w:color w:val="C00000"/>
                <w:sz w:val="24"/>
                <w:szCs w:val="24"/>
              </w:rPr>
              <w:t>Smisao primjera ni</w:t>
            </w:r>
            <w:r w:rsidR="007D3A1C">
              <w:rPr>
                <w:rFonts w:asciiTheme="minorHAnsi" w:hAnsiTheme="minorHAnsi"/>
                <w:color w:val="C00000"/>
                <w:sz w:val="24"/>
                <w:szCs w:val="24"/>
              </w:rPr>
              <w:t>je</w:t>
            </w:r>
            <w:r w:rsidR="00905095" w:rsidRPr="005F28EE">
              <w:rPr>
                <w:rFonts w:asciiTheme="minorHAnsi" w:hAnsiTheme="minorHAnsi"/>
                <w:color w:val="C00000"/>
                <w:sz w:val="24"/>
                <w:szCs w:val="24"/>
              </w:rPr>
              <w:t xml:space="preserve"> da daje gotova rješenja nego da potakne na izučavanje </w:t>
            </w:r>
            <w:r w:rsidR="00905095" w:rsidRPr="005F28EE">
              <w:rPr>
                <w:rFonts w:asciiTheme="minorHAnsi" w:hAnsiTheme="minorHAnsi"/>
                <w:color w:val="C00000"/>
                <w:sz w:val="24"/>
                <w:szCs w:val="24"/>
              </w:rPr>
              <w:lastRenderedPageBreak/>
              <w:t>bitnih činjenica o kojima treba voditi računa pri ugovaranju financijskih proizvoda</w:t>
            </w:r>
            <w:r w:rsidR="00905095">
              <w:rPr>
                <w:rFonts w:asciiTheme="minorHAnsi" w:hAnsiTheme="minorHAnsi"/>
                <w:sz w:val="24"/>
                <w:szCs w:val="24"/>
              </w:rPr>
              <w:t xml:space="preserve">. Nadalje uvjeti kamatnih stopa na štednju se mijenjaju tijekom vremena tako da su povremeno atraktivne jedne mogućnosti, </w:t>
            </w:r>
            <w:r>
              <w:rPr>
                <w:rFonts w:asciiTheme="minorHAnsi" w:hAnsiTheme="minorHAnsi"/>
                <w:sz w:val="24"/>
                <w:szCs w:val="24"/>
              </w:rPr>
              <w:t xml:space="preserve">a </w:t>
            </w:r>
            <w:r w:rsidR="00905095">
              <w:rPr>
                <w:rFonts w:asciiTheme="minorHAnsi" w:hAnsiTheme="minorHAnsi"/>
                <w:sz w:val="24"/>
                <w:szCs w:val="24"/>
              </w:rPr>
              <w:t>povremeno druge. Npr. kamatne stope na štednju u bankama su vrlo niske u posljednje vrijeme (niže nego što se pretpostavlja u primjeru, dok je u trenutku pisanja ovog teksta umjesto inflacije prisutna deflacija, a što će biti kroz koju godinu priličn</w:t>
            </w:r>
            <w:r w:rsidR="008D6124">
              <w:rPr>
                <w:rFonts w:asciiTheme="minorHAnsi" w:hAnsiTheme="minorHAnsi"/>
                <w:sz w:val="24"/>
                <w:szCs w:val="24"/>
              </w:rPr>
              <w:t>o</w:t>
            </w:r>
            <w:r w:rsidR="00905095">
              <w:rPr>
                <w:rFonts w:asciiTheme="minorHAnsi" w:hAnsiTheme="minorHAnsi"/>
                <w:sz w:val="24"/>
                <w:szCs w:val="24"/>
              </w:rPr>
              <w:t xml:space="preserve"> je neizvjesno</w:t>
            </w:r>
            <w:r>
              <w:rPr>
                <w:rFonts w:asciiTheme="minorHAnsi" w:hAnsiTheme="minorHAnsi"/>
                <w:sz w:val="24"/>
                <w:szCs w:val="24"/>
              </w:rPr>
              <w:t>)</w:t>
            </w:r>
            <w:r w:rsidR="00905095">
              <w:rPr>
                <w:rFonts w:asciiTheme="minorHAnsi" w:hAnsiTheme="minorHAnsi"/>
                <w:sz w:val="24"/>
                <w:szCs w:val="24"/>
              </w:rPr>
              <w:t xml:space="preserve">. Dodatno uvjeti visine kamatnih stopa na štednju povremeno se bitno razlikuju od jedne do druge banke. </w:t>
            </w:r>
            <w:r w:rsidR="008D6124">
              <w:rPr>
                <w:rFonts w:asciiTheme="minorHAnsi" w:hAnsiTheme="minorHAnsi"/>
                <w:sz w:val="24"/>
                <w:szCs w:val="24"/>
              </w:rPr>
              <w:t xml:space="preserve">Kako bi se informacijska efikasnost povećala ponekad je prikladno koristiti usluge </w:t>
            </w:r>
            <w:r w:rsidR="008D6124" w:rsidRPr="00FC5A7F">
              <w:rPr>
                <w:rFonts w:asciiTheme="minorHAnsi" w:hAnsiTheme="minorHAnsi"/>
                <w:color w:val="C00000"/>
                <w:sz w:val="24"/>
                <w:szCs w:val="24"/>
              </w:rPr>
              <w:t xml:space="preserve">ureda za financijsko posredovanje </w:t>
            </w:r>
            <w:r w:rsidR="008D6124">
              <w:rPr>
                <w:rFonts w:asciiTheme="minorHAnsi" w:hAnsiTheme="minorHAnsi"/>
                <w:sz w:val="24"/>
                <w:szCs w:val="24"/>
              </w:rPr>
              <w:t>(odnosno vanjskih kanala prodaje financijskih institucija), pod pretpostavkom da imaju dobar ugled na tržištu, da djeluju profesionalno u interesu svojih klijenata (a ne pojedinačnih financijskih institucija) te da troškovi posredovanja nisu previsoki, odnosno da se ne prevaljuju na klijent</w:t>
            </w:r>
            <w:r>
              <w:rPr>
                <w:rFonts w:asciiTheme="minorHAnsi" w:hAnsiTheme="minorHAnsi"/>
                <w:sz w:val="24"/>
                <w:szCs w:val="24"/>
              </w:rPr>
              <w:t>a</w:t>
            </w:r>
            <w:r w:rsidR="008D6124">
              <w:rPr>
                <w:rFonts w:asciiTheme="minorHAnsi" w:hAnsiTheme="minorHAnsi"/>
                <w:sz w:val="24"/>
                <w:szCs w:val="24"/>
              </w:rPr>
              <w:t xml:space="preserve">. </w:t>
            </w:r>
          </w:p>
          <w:p w:rsidR="00B40F86" w:rsidRPr="008D6124" w:rsidRDefault="008D6124" w:rsidP="005F28EE">
            <w:pPr>
              <w:spacing w:after="200" w:line="252" w:lineRule="auto"/>
              <w:jc w:val="both"/>
              <w:rPr>
                <w:rFonts w:asciiTheme="minorHAnsi" w:hAnsiTheme="minorHAnsi"/>
              </w:rPr>
            </w:pPr>
            <w:r w:rsidRPr="00A642A7">
              <w:rPr>
                <w:rFonts w:asciiTheme="minorHAnsi" w:hAnsiTheme="minorHAnsi"/>
              </w:rPr>
              <w:t xml:space="preserve">* </w:t>
            </w:r>
            <w:r w:rsidRPr="00A642A7">
              <w:rPr>
                <w:rFonts w:asciiTheme="minorHAnsi" w:hAnsiTheme="minorHAnsi" w:cs="Arial"/>
                <w:shd w:val="clear" w:color="auto" w:fill="FFFFFF"/>
              </w:rPr>
              <w:t>Izračun je informativan i ne može se koristiti u druge svrhe</w:t>
            </w:r>
            <w:r>
              <w:rPr>
                <w:rFonts w:asciiTheme="minorHAnsi" w:hAnsiTheme="minorHAnsi"/>
              </w:rPr>
              <w:t>.</w:t>
            </w:r>
          </w:p>
        </w:tc>
      </w:tr>
    </w:tbl>
    <w:p w:rsidR="00CC7001" w:rsidRPr="00C61D62" w:rsidRDefault="00CC7001" w:rsidP="00CC7001">
      <w:pPr>
        <w:jc w:val="both"/>
        <w:rPr>
          <w:sz w:val="24"/>
          <w:szCs w:val="24"/>
        </w:rPr>
      </w:pPr>
    </w:p>
    <w:tbl>
      <w:tblPr>
        <w:tblStyle w:val="Reetkatablice"/>
        <w:tblW w:w="0" w:type="auto"/>
        <w:tblLook w:val="04A0" w:firstRow="1" w:lastRow="0" w:firstColumn="1" w:lastColumn="0" w:noHBand="0" w:noVBand="1"/>
      </w:tblPr>
      <w:tblGrid>
        <w:gridCol w:w="9288"/>
      </w:tblGrid>
      <w:tr w:rsidR="00CC7001" w:rsidRPr="00C61D62" w:rsidTr="009B6597">
        <w:tc>
          <w:tcPr>
            <w:tcW w:w="9288" w:type="dxa"/>
          </w:tcPr>
          <w:p w:rsidR="00CC7001" w:rsidRPr="00C61D62" w:rsidRDefault="00CC7001" w:rsidP="00C61D62">
            <w:pPr>
              <w:spacing w:after="200" w:line="276" w:lineRule="auto"/>
              <w:jc w:val="both"/>
              <w:rPr>
                <w:rFonts w:asciiTheme="minorHAnsi" w:hAnsiTheme="minorHAnsi"/>
                <w:b/>
                <w:sz w:val="24"/>
                <w:szCs w:val="24"/>
              </w:rPr>
            </w:pPr>
            <w:r w:rsidRPr="00C61D62">
              <w:rPr>
                <w:rFonts w:asciiTheme="minorHAnsi" w:hAnsiTheme="minorHAnsi"/>
                <w:b/>
                <w:sz w:val="24"/>
                <w:szCs w:val="24"/>
              </w:rPr>
              <w:t>ULAGANJE/ ŠTEDNJA KROZ 20 GODINA</w:t>
            </w:r>
          </w:p>
          <w:p w:rsidR="00CC7001" w:rsidRPr="00C61D62" w:rsidRDefault="00CC7001" w:rsidP="00C61D62">
            <w:pPr>
              <w:spacing w:after="200" w:line="276" w:lineRule="auto"/>
              <w:jc w:val="both"/>
              <w:rPr>
                <w:rFonts w:asciiTheme="minorHAnsi" w:hAnsiTheme="minorHAnsi"/>
                <w:b/>
                <w:sz w:val="24"/>
                <w:szCs w:val="24"/>
              </w:rPr>
            </w:pPr>
            <w:r w:rsidRPr="00C61D62">
              <w:rPr>
                <w:rFonts w:asciiTheme="minorHAnsi" w:hAnsiTheme="minorHAnsi"/>
                <w:b/>
                <w:sz w:val="24"/>
                <w:szCs w:val="24"/>
              </w:rPr>
              <w:t>Kombinacija štednje u banci, dioničkom otvorenom investicijskom fondu i dobrovoljnom mirovinskom fondu.</w:t>
            </w:r>
          </w:p>
          <w:p w:rsidR="00CC7001" w:rsidRPr="00C61D62" w:rsidRDefault="00CC7001" w:rsidP="00A77704">
            <w:pPr>
              <w:spacing w:after="200" w:line="264" w:lineRule="auto"/>
              <w:jc w:val="both"/>
              <w:rPr>
                <w:rFonts w:asciiTheme="minorHAnsi" w:hAnsiTheme="minorHAnsi"/>
                <w:sz w:val="24"/>
                <w:szCs w:val="24"/>
              </w:rPr>
            </w:pPr>
            <w:r w:rsidRPr="00C61D62">
              <w:rPr>
                <w:rFonts w:asciiTheme="minorHAnsi" w:hAnsiTheme="minorHAnsi"/>
                <w:sz w:val="24"/>
                <w:szCs w:val="24"/>
              </w:rPr>
              <w:t>Ako</w:t>
            </w:r>
            <w:r w:rsidR="00533625">
              <w:rPr>
                <w:rFonts w:asciiTheme="minorHAnsi" w:hAnsiTheme="minorHAnsi"/>
                <w:sz w:val="24"/>
                <w:szCs w:val="24"/>
              </w:rPr>
              <w:t xml:space="preserve"> osoba iz primjera u svojoj 40. godini</w:t>
            </w:r>
            <w:r w:rsidRPr="00C61D62">
              <w:rPr>
                <w:rFonts w:asciiTheme="minorHAnsi" w:hAnsiTheme="minorHAnsi"/>
                <w:sz w:val="24"/>
                <w:szCs w:val="24"/>
              </w:rPr>
              <w:t xml:space="preserve"> života uloži </w:t>
            </w:r>
            <w:r w:rsidR="00533625" w:rsidRPr="00C61D62">
              <w:rPr>
                <w:rFonts w:asciiTheme="minorHAnsi" w:hAnsiTheme="minorHAnsi"/>
                <w:sz w:val="24"/>
                <w:szCs w:val="24"/>
              </w:rPr>
              <w:t xml:space="preserve">16.464,02 kuna </w:t>
            </w:r>
            <w:r w:rsidRPr="00C61D62">
              <w:rPr>
                <w:rFonts w:asciiTheme="minorHAnsi" w:hAnsiTheme="minorHAnsi"/>
                <w:sz w:val="24"/>
                <w:szCs w:val="24"/>
              </w:rPr>
              <w:t>u banku kroz 15 godina raspolagat će iznosom 22.987,18 kn. Alternativno može 16.464,02 kuna uložiti u dionički otvoreni investicijski fond čime će uz očekivani prinos 5% godišnje za 15 godina imati oko 34.227,52 kn. Pretpost</w:t>
            </w:r>
            <w:r w:rsidR="00181584">
              <w:rPr>
                <w:rFonts w:asciiTheme="minorHAnsi" w:hAnsiTheme="minorHAnsi"/>
                <w:sz w:val="24"/>
                <w:szCs w:val="24"/>
              </w:rPr>
              <w:t>avimo da je izabrala ovu opciju iz razloga što je ne veže ograničeno razdoblje ulaganja</w:t>
            </w:r>
            <w:r w:rsidR="00533625">
              <w:rPr>
                <w:rFonts w:asciiTheme="minorHAnsi" w:hAnsiTheme="minorHAnsi"/>
                <w:sz w:val="24"/>
                <w:szCs w:val="24"/>
              </w:rPr>
              <w:t>, a privlači je veći prinos</w:t>
            </w:r>
            <w:r w:rsidR="00181584">
              <w:rPr>
                <w:rFonts w:asciiTheme="minorHAnsi" w:hAnsiTheme="minorHAnsi"/>
                <w:sz w:val="24"/>
                <w:szCs w:val="24"/>
              </w:rPr>
              <w:t xml:space="preserve">. </w:t>
            </w:r>
          </w:p>
          <w:p w:rsidR="00CC7001" w:rsidRPr="00C61D62" w:rsidRDefault="00181584" w:rsidP="00A77704">
            <w:pPr>
              <w:spacing w:after="200" w:line="264" w:lineRule="auto"/>
              <w:jc w:val="both"/>
              <w:rPr>
                <w:rFonts w:asciiTheme="minorHAnsi" w:hAnsiTheme="minorHAnsi"/>
                <w:sz w:val="24"/>
                <w:szCs w:val="24"/>
              </w:rPr>
            </w:pPr>
            <w:r>
              <w:rPr>
                <w:rFonts w:asciiTheme="minorHAnsi" w:hAnsiTheme="minorHAnsi"/>
                <w:sz w:val="24"/>
                <w:szCs w:val="24"/>
              </w:rPr>
              <w:t>Bilo bi poželjno da „preostalih“</w:t>
            </w:r>
            <w:r w:rsidR="00CC7001" w:rsidRPr="00C61D62">
              <w:rPr>
                <w:rFonts w:asciiTheme="minorHAnsi" w:hAnsiTheme="minorHAnsi"/>
                <w:sz w:val="24"/>
                <w:szCs w:val="24"/>
              </w:rPr>
              <w:t xml:space="preserve"> 36.000 kuna štednje za crne dane </w:t>
            </w:r>
            <w:r>
              <w:rPr>
                <w:rFonts w:asciiTheme="minorHAnsi" w:hAnsiTheme="minorHAnsi"/>
                <w:sz w:val="24"/>
                <w:szCs w:val="24"/>
              </w:rPr>
              <w:t>i</w:t>
            </w:r>
            <w:r w:rsidR="00CC7001" w:rsidRPr="00C61D62">
              <w:rPr>
                <w:rFonts w:asciiTheme="minorHAnsi" w:hAnsiTheme="minorHAnsi"/>
                <w:sz w:val="24"/>
                <w:szCs w:val="24"/>
              </w:rPr>
              <w:t xml:space="preserve"> dalje oročava u banci sve dok joj ta sredstva neće trebati. Kroz narednih 15 godina tako </w:t>
            </w:r>
            <w:r>
              <w:rPr>
                <w:rFonts w:asciiTheme="minorHAnsi" w:hAnsiTheme="minorHAnsi"/>
                <w:sz w:val="24"/>
                <w:szCs w:val="24"/>
              </w:rPr>
              <w:t>bi se</w:t>
            </w:r>
            <w:r w:rsidR="00CC7001" w:rsidRPr="00C61D62">
              <w:rPr>
                <w:rFonts w:asciiTheme="minorHAnsi" w:hAnsiTheme="minorHAnsi"/>
                <w:sz w:val="24"/>
                <w:szCs w:val="24"/>
              </w:rPr>
              <w:t xml:space="preserve"> formirala štednju u iznosu 50.263,44</w:t>
            </w:r>
            <w:r w:rsidR="00C61D62">
              <w:rPr>
                <w:rFonts w:asciiTheme="minorHAnsi" w:hAnsiTheme="minorHAnsi"/>
                <w:sz w:val="24"/>
                <w:szCs w:val="24"/>
              </w:rPr>
              <w:t xml:space="preserve"> kn</w:t>
            </w:r>
            <w:r w:rsidR="00824181">
              <w:rPr>
                <w:rFonts w:asciiTheme="minorHAnsi" w:hAnsiTheme="minorHAnsi"/>
                <w:sz w:val="24"/>
                <w:szCs w:val="24"/>
              </w:rPr>
              <w:t>.</w:t>
            </w:r>
            <w:r w:rsidR="008B5744">
              <w:rPr>
                <w:rFonts w:asciiTheme="minorHAnsi" w:hAnsiTheme="minorHAnsi"/>
                <w:sz w:val="24"/>
                <w:szCs w:val="24"/>
              </w:rPr>
              <w:t xml:space="preserve"> </w:t>
            </w:r>
            <w:r w:rsidR="00CC7001" w:rsidRPr="00C61D62">
              <w:rPr>
                <w:rFonts w:asciiTheme="minorHAnsi" w:hAnsiTheme="minorHAnsi"/>
                <w:sz w:val="24"/>
                <w:szCs w:val="24"/>
              </w:rPr>
              <w:t>Nakon što je kupila automobil svaki mjesec 1.450 kuna oročava u banci te tako kroz narednih 15 godina kumulira 310.121,48 kn štednje.</w:t>
            </w:r>
            <w:r w:rsidR="00A77704">
              <w:rPr>
                <w:rFonts w:asciiTheme="minorHAnsi" w:hAnsiTheme="minorHAnsi"/>
                <w:sz w:val="24"/>
                <w:szCs w:val="24"/>
              </w:rPr>
              <w:t xml:space="preserve"> </w:t>
            </w:r>
            <w:r w:rsidR="00CC7001" w:rsidRPr="00C61D62">
              <w:rPr>
                <w:rFonts w:asciiTheme="minorHAnsi" w:hAnsiTheme="minorHAnsi"/>
                <w:sz w:val="24"/>
                <w:szCs w:val="24"/>
              </w:rPr>
              <w:t>Kada se zbroje ulaganja u dionički fond, prva štednja u banci i druga štednja u banci u 55 godini života ima ukupno kumuliranu štednju u iznosu 394.612,44 kuna</w:t>
            </w:r>
            <w:r w:rsidR="00824181">
              <w:rPr>
                <w:rFonts w:asciiTheme="minorHAnsi" w:hAnsiTheme="minorHAnsi"/>
                <w:sz w:val="24"/>
                <w:szCs w:val="24"/>
              </w:rPr>
              <w:t xml:space="preserve"> (uključujući i crni fond)</w:t>
            </w:r>
            <w:r w:rsidR="00CC7001" w:rsidRPr="00C61D62">
              <w:rPr>
                <w:rFonts w:asciiTheme="minorHAnsi" w:hAnsiTheme="minorHAnsi"/>
                <w:sz w:val="24"/>
                <w:szCs w:val="24"/>
              </w:rPr>
              <w:t>. Ali to nije sve!</w:t>
            </w:r>
          </w:p>
          <w:p w:rsidR="00A77704" w:rsidRDefault="00CC7001" w:rsidP="00A77704">
            <w:pPr>
              <w:spacing w:line="264" w:lineRule="auto"/>
              <w:jc w:val="both"/>
              <w:rPr>
                <w:rFonts w:asciiTheme="minorHAnsi" w:hAnsiTheme="minorHAnsi"/>
                <w:bCs/>
                <w:sz w:val="24"/>
                <w:szCs w:val="24"/>
              </w:rPr>
            </w:pPr>
            <w:r w:rsidRPr="00C61D62">
              <w:rPr>
                <w:rFonts w:asciiTheme="minorHAnsi" w:hAnsiTheme="minorHAnsi"/>
                <w:sz w:val="24"/>
                <w:szCs w:val="24"/>
              </w:rPr>
              <w:t xml:space="preserve">S obzirom da su njene mjesečne mogućnosti štednje od 35 do 55 godine života definirane iznosom 2.000 kuna, mjesečno izdvaja 550 kuna u dobrovoljni </w:t>
            </w:r>
            <w:r w:rsidR="007D3A1C" w:rsidRPr="00C61D62">
              <w:rPr>
                <w:rFonts w:asciiTheme="minorHAnsi" w:hAnsiTheme="minorHAnsi"/>
                <w:sz w:val="24"/>
                <w:szCs w:val="24"/>
              </w:rPr>
              <w:t xml:space="preserve">mirovinski </w:t>
            </w:r>
            <w:r w:rsidRPr="00C61D62">
              <w:rPr>
                <w:rFonts w:asciiTheme="minorHAnsi" w:hAnsiTheme="minorHAnsi"/>
                <w:sz w:val="24"/>
                <w:szCs w:val="24"/>
              </w:rPr>
              <w:t xml:space="preserve">fond. </w:t>
            </w:r>
            <w:r w:rsidR="00D60ED0">
              <w:rPr>
                <w:rFonts w:asciiTheme="minorHAnsi" w:hAnsiTheme="minorHAnsi"/>
                <w:sz w:val="24"/>
                <w:szCs w:val="24"/>
              </w:rPr>
              <w:t xml:space="preserve">Uz pretpostavku da će fond u nastavku ostvarivati prosječni godišnji prinos na razini postojećeg </w:t>
            </w:r>
            <w:r w:rsidR="006E566B">
              <w:rPr>
                <w:rFonts w:asciiTheme="minorHAnsi" w:hAnsiTheme="minorHAnsi"/>
                <w:sz w:val="24"/>
                <w:szCs w:val="24"/>
              </w:rPr>
              <w:t xml:space="preserve">5%, te da će država nastaviti isplate državnih poticajnih sredstava u istom iznosu kao u rujnu 2015. </w:t>
            </w:r>
            <w:r w:rsidR="00DB4219">
              <w:rPr>
                <w:rFonts w:asciiTheme="minorHAnsi" w:hAnsiTheme="minorHAnsi"/>
                <w:sz w:val="24"/>
                <w:szCs w:val="24"/>
              </w:rPr>
              <w:t xml:space="preserve">(maksimalno 15% odnosno 750 kuna godišnje) </w:t>
            </w:r>
            <w:r w:rsidR="00D60ED0">
              <w:rPr>
                <w:rFonts w:asciiTheme="minorHAnsi" w:hAnsiTheme="minorHAnsi"/>
                <w:sz w:val="24"/>
                <w:szCs w:val="24"/>
              </w:rPr>
              <w:t>k</w:t>
            </w:r>
            <w:r w:rsidRPr="00C61D62">
              <w:rPr>
                <w:rFonts w:asciiTheme="minorHAnsi" w:hAnsiTheme="minorHAnsi"/>
                <w:sz w:val="24"/>
                <w:szCs w:val="24"/>
              </w:rPr>
              <w:t xml:space="preserve">roz 20 godina </w:t>
            </w:r>
            <w:r w:rsidR="00D60ED0">
              <w:rPr>
                <w:rFonts w:asciiTheme="minorHAnsi" w:hAnsiTheme="minorHAnsi"/>
                <w:sz w:val="24"/>
                <w:szCs w:val="24"/>
              </w:rPr>
              <w:t xml:space="preserve">mogla bi </w:t>
            </w:r>
            <w:r w:rsidRPr="00C61D62">
              <w:rPr>
                <w:rFonts w:asciiTheme="minorHAnsi" w:hAnsiTheme="minorHAnsi"/>
                <w:sz w:val="24"/>
                <w:szCs w:val="24"/>
              </w:rPr>
              <w:t>ostvari</w:t>
            </w:r>
            <w:r w:rsidR="00D60ED0">
              <w:rPr>
                <w:rFonts w:asciiTheme="minorHAnsi" w:hAnsiTheme="minorHAnsi"/>
                <w:sz w:val="24"/>
                <w:szCs w:val="24"/>
              </w:rPr>
              <w:t>ti</w:t>
            </w:r>
            <w:r w:rsidRPr="00C61D62">
              <w:rPr>
                <w:rFonts w:asciiTheme="minorHAnsi" w:hAnsiTheme="minorHAnsi"/>
                <w:sz w:val="24"/>
                <w:szCs w:val="24"/>
              </w:rPr>
              <w:t xml:space="preserve"> kapitaliziran</w:t>
            </w:r>
            <w:r w:rsidR="006E566B">
              <w:rPr>
                <w:rFonts w:asciiTheme="minorHAnsi" w:hAnsiTheme="minorHAnsi"/>
                <w:sz w:val="24"/>
                <w:szCs w:val="24"/>
              </w:rPr>
              <w:t>a</w:t>
            </w:r>
            <w:r w:rsidRPr="00C61D62">
              <w:rPr>
                <w:rFonts w:asciiTheme="minorHAnsi" w:hAnsiTheme="minorHAnsi"/>
                <w:sz w:val="24"/>
                <w:szCs w:val="24"/>
              </w:rPr>
              <w:t xml:space="preserve"> štednju u iznosu </w:t>
            </w:r>
            <w:r w:rsidR="00362746">
              <w:rPr>
                <w:rFonts w:asciiTheme="minorHAnsi" w:hAnsiTheme="minorHAnsi"/>
                <w:sz w:val="24"/>
                <w:szCs w:val="24"/>
              </w:rPr>
              <w:t xml:space="preserve">oko </w:t>
            </w:r>
            <w:r w:rsidR="00DB4219">
              <w:rPr>
                <w:rFonts w:asciiTheme="minorHAnsi" w:hAnsiTheme="minorHAnsi"/>
                <w:bCs/>
                <w:sz w:val="24"/>
                <w:szCs w:val="24"/>
              </w:rPr>
              <w:t>248.901,25 kn</w:t>
            </w:r>
            <w:r w:rsidR="007D3A1C">
              <w:rPr>
                <w:rFonts w:asciiTheme="minorHAnsi" w:hAnsiTheme="minorHAnsi"/>
                <w:bCs/>
                <w:sz w:val="24"/>
                <w:szCs w:val="24"/>
              </w:rPr>
              <w:t xml:space="preserve"> (nisu uključene naknade)</w:t>
            </w:r>
            <w:r w:rsidR="00DB4219">
              <w:rPr>
                <w:rFonts w:asciiTheme="minorHAnsi" w:hAnsiTheme="minorHAnsi"/>
                <w:bCs/>
                <w:sz w:val="24"/>
                <w:szCs w:val="24"/>
              </w:rPr>
              <w:t xml:space="preserve">. </w:t>
            </w:r>
            <w:r w:rsidRPr="00C61D62">
              <w:rPr>
                <w:rFonts w:asciiTheme="minorHAnsi" w:hAnsiTheme="minorHAnsi"/>
                <w:bCs/>
                <w:sz w:val="24"/>
                <w:szCs w:val="24"/>
              </w:rPr>
              <w:t xml:space="preserve">Sukladno uvjetima korištenja privremene starosne mirovine </w:t>
            </w:r>
            <w:r w:rsidR="00A21D56">
              <w:rPr>
                <w:rFonts w:asciiTheme="minorHAnsi" w:hAnsiTheme="minorHAnsi"/>
                <w:bCs/>
                <w:sz w:val="24"/>
                <w:szCs w:val="24"/>
              </w:rPr>
              <w:t xml:space="preserve">time bi stekla </w:t>
            </w:r>
            <w:r w:rsidRPr="00C61D62">
              <w:rPr>
                <w:rFonts w:asciiTheme="minorHAnsi" w:hAnsiTheme="minorHAnsi"/>
                <w:bCs/>
                <w:sz w:val="24"/>
                <w:szCs w:val="24"/>
              </w:rPr>
              <w:t>pravo na jednokratnu isplatu u visini 30% kapitaliziranih sredstava što iznosi 74.670,38 kuna. Dodatno kroz narednih 5 godina ima</w:t>
            </w:r>
            <w:r w:rsidR="00A21D56">
              <w:rPr>
                <w:rFonts w:asciiTheme="minorHAnsi" w:hAnsiTheme="minorHAnsi"/>
                <w:bCs/>
                <w:sz w:val="24"/>
                <w:szCs w:val="24"/>
              </w:rPr>
              <w:t xml:space="preserve">la bi </w:t>
            </w:r>
            <w:r w:rsidRPr="00C61D62">
              <w:rPr>
                <w:rFonts w:asciiTheme="minorHAnsi" w:hAnsiTheme="minorHAnsi"/>
                <w:bCs/>
                <w:sz w:val="24"/>
                <w:szCs w:val="24"/>
              </w:rPr>
              <w:t xml:space="preserve">pravo na </w:t>
            </w:r>
            <w:r w:rsidR="005340AF">
              <w:rPr>
                <w:rFonts w:asciiTheme="minorHAnsi" w:hAnsiTheme="minorHAnsi"/>
                <w:bCs/>
                <w:sz w:val="24"/>
                <w:szCs w:val="24"/>
              </w:rPr>
              <w:t>periodičnu isplatu mirovine</w:t>
            </w:r>
            <w:r w:rsidRPr="00C61D62">
              <w:rPr>
                <w:rFonts w:asciiTheme="minorHAnsi" w:hAnsiTheme="minorHAnsi"/>
                <w:bCs/>
                <w:sz w:val="24"/>
                <w:szCs w:val="24"/>
              </w:rPr>
              <w:t xml:space="preserve"> u mjesečnom iznosu 2.907,42 kune. (Kroz pet godina to će</w:t>
            </w:r>
            <w:r w:rsidR="00876F79">
              <w:rPr>
                <w:rFonts w:asciiTheme="minorHAnsi" w:hAnsiTheme="minorHAnsi"/>
                <w:bCs/>
                <w:sz w:val="24"/>
                <w:szCs w:val="24"/>
              </w:rPr>
              <w:t xml:space="preserve"> nominalno</w:t>
            </w:r>
            <w:r w:rsidRPr="00C61D62">
              <w:rPr>
                <w:rFonts w:asciiTheme="minorHAnsi" w:hAnsiTheme="minorHAnsi"/>
                <w:bCs/>
                <w:sz w:val="24"/>
                <w:szCs w:val="24"/>
              </w:rPr>
              <w:t xml:space="preserve"> iznositi </w:t>
            </w:r>
            <w:r w:rsidR="00824181">
              <w:rPr>
                <w:rFonts w:asciiTheme="minorHAnsi" w:hAnsiTheme="minorHAnsi"/>
                <w:bCs/>
                <w:sz w:val="24"/>
                <w:szCs w:val="24"/>
              </w:rPr>
              <w:t xml:space="preserve">ukupno </w:t>
            </w:r>
            <w:r w:rsidRPr="00C61D62">
              <w:rPr>
                <w:rFonts w:asciiTheme="minorHAnsi" w:hAnsiTheme="minorHAnsi"/>
                <w:bCs/>
                <w:sz w:val="24"/>
                <w:szCs w:val="24"/>
              </w:rPr>
              <w:t>174.445,20 kuna.)</w:t>
            </w:r>
            <w:r w:rsidR="00BC3B55">
              <w:rPr>
                <w:rFonts w:asciiTheme="minorHAnsi" w:hAnsiTheme="minorHAnsi"/>
                <w:bCs/>
                <w:sz w:val="24"/>
                <w:szCs w:val="24"/>
              </w:rPr>
              <w:t xml:space="preserve"> </w:t>
            </w:r>
          </w:p>
          <w:p w:rsidR="00BC316B" w:rsidRDefault="00A77704" w:rsidP="00BC316B">
            <w:pPr>
              <w:spacing w:before="120" w:line="264" w:lineRule="auto"/>
              <w:jc w:val="both"/>
              <w:rPr>
                <w:rFonts w:asciiTheme="minorHAnsi" w:hAnsiTheme="minorHAnsi"/>
                <w:sz w:val="24"/>
                <w:szCs w:val="24"/>
              </w:rPr>
            </w:pPr>
            <w:r>
              <w:rPr>
                <w:rFonts w:asciiTheme="minorHAnsi" w:hAnsiTheme="minorHAnsi"/>
                <w:bCs/>
                <w:sz w:val="24"/>
                <w:szCs w:val="24"/>
              </w:rPr>
              <w:t xml:space="preserve">Osim opisanog mogući su i drugi </w:t>
            </w:r>
            <w:r w:rsidR="00BC3B55">
              <w:rPr>
                <w:rFonts w:asciiTheme="minorHAnsi" w:hAnsiTheme="minorHAnsi"/>
                <w:bCs/>
                <w:sz w:val="24"/>
                <w:szCs w:val="24"/>
              </w:rPr>
              <w:t>modalitet</w:t>
            </w:r>
            <w:r>
              <w:rPr>
                <w:rFonts w:asciiTheme="minorHAnsi" w:hAnsiTheme="minorHAnsi"/>
                <w:bCs/>
                <w:sz w:val="24"/>
                <w:szCs w:val="24"/>
              </w:rPr>
              <w:t>i</w:t>
            </w:r>
            <w:r w:rsidR="00BC3B55">
              <w:rPr>
                <w:rFonts w:asciiTheme="minorHAnsi" w:hAnsiTheme="minorHAnsi"/>
                <w:bCs/>
                <w:sz w:val="24"/>
                <w:szCs w:val="24"/>
              </w:rPr>
              <w:t xml:space="preserve"> </w:t>
            </w:r>
            <w:r>
              <w:rPr>
                <w:rFonts w:asciiTheme="minorHAnsi" w:hAnsiTheme="minorHAnsi"/>
                <w:sz w:val="24"/>
                <w:szCs w:val="24"/>
              </w:rPr>
              <w:t xml:space="preserve">isplate mirovine npr. </w:t>
            </w:r>
            <w:r w:rsidR="008B5744">
              <w:rPr>
                <w:rFonts w:asciiTheme="minorHAnsi" w:hAnsiTheme="minorHAnsi"/>
                <w:sz w:val="24"/>
                <w:szCs w:val="24"/>
              </w:rPr>
              <w:t xml:space="preserve">privremena mirovina sa </w:t>
            </w:r>
            <w:r w:rsidR="008B5744">
              <w:rPr>
                <w:rFonts w:asciiTheme="minorHAnsi" w:hAnsiTheme="minorHAnsi"/>
                <w:sz w:val="24"/>
                <w:szCs w:val="24"/>
              </w:rPr>
              <w:lastRenderedPageBreak/>
              <w:t xml:space="preserve">zajamčenim razdobljem 15 godina, </w:t>
            </w:r>
            <w:r>
              <w:rPr>
                <w:rFonts w:asciiTheme="minorHAnsi" w:hAnsiTheme="minorHAnsi"/>
                <w:sz w:val="24"/>
                <w:szCs w:val="24"/>
              </w:rPr>
              <w:t xml:space="preserve">doživotno </w:t>
            </w:r>
            <w:r w:rsidR="008B5744">
              <w:rPr>
                <w:rFonts w:asciiTheme="minorHAnsi" w:hAnsiTheme="minorHAnsi"/>
                <w:sz w:val="24"/>
                <w:szCs w:val="24"/>
              </w:rPr>
              <w:t>sa zajamčenim razdobljem 5 godina, odnosno doživotno sa zajamčen</w:t>
            </w:r>
            <w:r w:rsidR="00362746">
              <w:rPr>
                <w:rFonts w:asciiTheme="minorHAnsi" w:hAnsiTheme="minorHAnsi"/>
                <w:sz w:val="24"/>
                <w:szCs w:val="24"/>
              </w:rPr>
              <w:t xml:space="preserve">im razdobljem 15 godina i drugo </w:t>
            </w:r>
            <w:r w:rsidR="008B5744">
              <w:rPr>
                <w:rFonts w:asciiTheme="minorHAnsi" w:hAnsiTheme="minorHAnsi"/>
                <w:sz w:val="24"/>
                <w:szCs w:val="24"/>
              </w:rPr>
              <w:t xml:space="preserve">- </w:t>
            </w:r>
            <w:r w:rsidR="008B5744" w:rsidRPr="008B5744">
              <w:rPr>
                <w:rFonts w:asciiTheme="minorHAnsi" w:hAnsiTheme="minorHAnsi"/>
                <w:color w:val="C00000"/>
                <w:sz w:val="24"/>
                <w:szCs w:val="24"/>
              </w:rPr>
              <w:t xml:space="preserve">pri čemu </w:t>
            </w:r>
            <w:r w:rsidR="008B5744">
              <w:rPr>
                <w:rFonts w:asciiTheme="minorHAnsi" w:hAnsiTheme="minorHAnsi"/>
                <w:color w:val="C00000"/>
                <w:sz w:val="24"/>
                <w:szCs w:val="24"/>
              </w:rPr>
              <w:t>i</w:t>
            </w:r>
            <w:r w:rsidR="008B5744" w:rsidRPr="008B5744">
              <w:rPr>
                <w:rFonts w:asciiTheme="minorHAnsi" w:hAnsiTheme="minorHAnsi"/>
                <w:color w:val="C00000"/>
                <w:sz w:val="24"/>
                <w:szCs w:val="24"/>
              </w:rPr>
              <w:t>znos doživotne mirovine značajno ovisio i o pristupnoj dobi korisnika mirovine</w:t>
            </w:r>
            <w:r w:rsidR="00362746">
              <w:rPr>
                <w:rFonts w:asciiTheme="minorHAnsi" w:hAnsiTheme="minorHAnsi"/>
                <w:color w:val="C00000"/>
                <w:sz w:val="24"/>
                <w:szCs w:val="24"/>
              </w:rPr>
              <w:t>, dok praktično svaki modalitet isplate mirovine znači različite iznose mjesečnih mirovina koje se isplaćuju tijekom određenog broja godina ili doživotno itd.</w:t>
            </w:r>
            <w:r w:rsidR="008B5744">
              <w:rPr>
                <w:rFonts w:asciiTheme="minorHAnsi" w:hAnsiTheme="minorHAnsi"/>
                <w:sz w:val="24"/>
                <w:szCs w:val="24"/>
              </w:rPr>
              <w:t xml:space="preserve"> </w:t>
            </w:r>
            <w:r w:rsidR="00BC316B">
              <w:rPr>
                <w:rFonts w:asciiTheme="minorHAnsi" w:hAnsiTheme="minorHAnsi"/>
                <w:sz w:val="24"/>
                <w:szCs w:val="24"/>
              </w:rPr>
              <w:t>Stoga sve moguće konkretne uvjete treba provjeriti s mirovinskim osiguravajućim društvom.</w:t>
            </w:r>
          </w:p>
          <w:p w:rsidR="00BC316B" w:rsidRDefault="00362746" w:rsidP="008B5744">
            <w:pPr>
              <w:spacing w:before="120" w:line="264" w:lineRule="auto"/>
              <w:jc w:val="both"/>
              <w:rPr>
                <w:rFonts w:asciiTheme="minorHAnsi" w:hAnsiTheme="minorHAnsi"/>
                <w:sz w:val="24"/>
                <w:szCs w:val="24"/>
              </w:rPr>
            </w:pPr>
            <w:r>
              <w:rPr>
                <w:rFonts w:asciiTheme="minorHAnsi" w:hAnsiTheme="minorHAnsi"/>
                <w:sz w:val="24"/>
                <w:szCs w:val="24"/>
              </w:rPr>
              <w:t xml:space="preserve">Na primjer u slučaju da nema jednokratne isplate (u visini 30%) privremena mirovina sa zajamčenim razdobljem isplate 5 godina iznosila bi 4.149,18 kuna mjesečno, a uz pretpostavku pristupne dobi 55 godina života korisnika mirovine </w:t>
            </w:r>
            <w:r w:rsidR="007D3A1C">
              <w:rPr>
                <w:rFonts w:asciiTheme="minorHAnsi" w:hAnsiTheme="minorHAnsi"/>
                <w:sz w:val="24"/>
                <w:szCs w:val="24"/>
              </w:rPr>
              <w:t xml:space="preserve">- </w:t>
            </w:r>
            <w:r>
              <w:rPr>
                <w:rFonts w:asciiTheme="minorHAnsi" w:hAnsiTheme="minorHAnsi"/>
                <w:sz w:val="24"/>
                <w:szCs w:val="24"/>
              </w:rPr>
              <w:t xml:space="preserve">doživotna mirovina sa zajamčenim razdobljem isplate </w:t>
            </w:r>
            <w:r w:rsidR="007D3A1C">
              <w:rPr>
                <w:rFonts w:asciiTheme="minorHAnsi" w:hAnsiTheme="minorHAnsi"/>
                <w:sz w:val="24"/>
                <w:szCs w:val="24"/>
              </w:rPr>
              <w:t xml:space="preserve">5 godina </w:t>
            </w:r>
            <w:r>
              <w:rPr>
                <w:rFonts w:asciiTheme="minorHAnsi" w:hAnsiTheme="minorHAnsi"/>
                <w:sz w:val="24"/>
                <w:szCs w:val="24"/>
              </w:rPr>
              <w:t>iznosila bi 923,92 kune mjesečno</w:t>
            </w:r>
            <w:r w:rsidR="00BC316B">
              <w:rPr>
                <w:rFonts w:asciiTheme="minorHAnsi" w:hAnsiTheme="minorHAnsi"/>
                <w:sz w:val="24"/>
                <w:szCs w:val="24"/>
              </w:rPr>
              <w:t xml:space="preserve"> </w:t>
            </w:r>
            <w:r>
              <w:rPr>
                <w:rFonts w:asciiTheme="minorHAnsi" w:hAnsiTheme="minorHAnsi"/>
                <w:sz w:val="24"/>
                <w:szCs w:val="24"/>
              </w:rPr>
              <w:t xml:space="preserve">(korišten je informativni kalkulator mirovinskog osiguravajućeg društva). U slučaju da je zajamčeno razdoblje isplate 15 godina </w:t>
            </w:r>
            <w:r w:rsidR="00BC316B">
              <w:rPr>
                <w:rFonts w:asciiTheme="minorHAnsi" w:hAnsiTheme="minorHAnsi"/>
                <w:sz w:val="24"/>
                <w:szCs w:val="24"/>
              </w:rPr>
              <w:t xml:space="preserve">privremena </w:t>
            </w:r>
            <w:r>
              <w:rPr>
                <w:rFonts w:asciiTheme="minorHAnsi" w:hAnsiTheme="minorHAnsi"/>
                <w:sz w:val="24"/>
                <w:szCs w:val="24"/>
              </w:rPr>
              <w:t xml:space="preserve">mirovina bi iznosila 1.487,68 kuna mjesečno, a uz pretpostavku pristupne dobi 55 godina života korisnika mirovine </w:t>
            </w:r>
            <w:r w:rsidR="00BC316B">
              <w:rPr>
                <w:rFonts w:asciiTheme="minorHAnsi" w:hAnsiTheme="minorHAnsi"/>
                <w:sz w:val="24"/>
                <w:szCs w:val="24"/>
              </w:rPr>
              <w:t xml:space="preserve">- </w:t>
            </w:r>
            <w:r>
              <w:rPr>
                <w:rFonts w:asciiTheme="minorHAnsi" w:hAnsiTheme="minorHAnsi"/>
                <w:sz w:val="24"/>
                <w:szCs w:val="24"/>
              </w:rPr>
              <w:t xml:space="preserve">doživotna mirovina sa zajamčenim razdobljem isplate </w:t>
            </w:r>
            <w:r w:rsidR="007D3A1C">
              <w:rPr>
                <w:rFonts w:asciiTheme="minorHAnsi" w:hAnsiTheme="minorHAnsi"/>
                <w:sz w:val="24"/>
                <w:szCs w:val="24"/>
              </w:rPr>
              <w:t xml:space="preserve">15 godina </w:t>
            </w:r>
            <w:r>
              <w:rPr>
                <w:rFonts w:asciiTheme="minorHAnsi" w:hAnsiTheme="minorHAnsi"/>
                <w:sz w:val="24"/>
                <w:szCs w:val="24"/>
              </w:rPr>
              <w:t>iznosila bi 895,80 kun</w:t>
            </w:r>
            <w:r w:rsidR="00BC316B">
              <w:rPr>
                <w:rFonts w:asciiTheme="minorHAnsi" w:hAnsiTheme="minorHAnsi"/>
                <w:sz w:val="24"/>
                <w:szCs w:val="24"/>
              </w:rPr>
              <w:t>a</w:t>
            </w:r>
            <w:r>
              <w:rPr>
                <w:rFonts w:asciiTheme="minorHAnsi" w:hAnsiTheme="minorHAnsi"/>
                <w:sz w:val="24"/>
                <w:szCs w:val="24"/>
              </w:rPr>
              <w:t xml:space="preserve">. </w:t>
            </w:r>
            <w:r w:rsidR="00BC316B">
              <w:rPr>
                <w:rFonts w:asciiTheme="minorHAnsi" w:hAnsiTheme="minorHAnsi"/>
                <w:sz w:val="24"/>
                <w:szCs w:val="24"/>
              </w:rPr>
              <w:t xml:space="preserve">Međutim, da je pristupna dob korisnika mirovine npr. 65 godina života, doživotna mirovina sa zajamčenim razdobljem isplate 5 godina bila bi oko 1.190,74 kune, dok bi u slučaju doživotne mirovine sa zajamčenim razdobljem isplate 15 godina mjesečna mirovina iznosila oko 1.089,19 kuna. </w:t>
            </w:r>
          </w:p>
          <w:p w:rsidR="007D3A1C" w:rsidRDefault="007D3A1C" w:rsidP="008B5744">
            <w:pPr>
              <w:spacing w:before="120" w:line="264" w:lineRule="auto"/>
              <w:jc w:val="both"/>
              <w:rPr>
                <w:rFonts w:asciiTheme="minorHAnsi" w:hAnsiTheme="minorHAnsi"/>
                <w:sz w:val="24"/>
                <w:szCs w:val="24"/>
              </w:rPr>
            </w:pPr>
            <w:r w:rsidRPr="00A642A7">
              <w:rPr>
                <w:rFonts w:asciiTheme="minorHAnsi" w:hAnsiTheme="minorHAnsi"/>
              </w:rPr>
              <w:t xml:space="preserve">* </w:t>
            </w:r>
            <w:r w:rsidRPr="00A642A7">
              <w:rPr>
                <w:rFonts w:asciiTheme="minorHAnsi" w:hAnsiTheme="minorHAnsi" w:cs="Arial"/>
                <w:shd w:val="clear" w:color="auto" w:fill="FFFFFF"/>
              </w:rPr>
              <w:t>Izračun je informativan i ne može se koristiti u druge svrhe</w:t>
            </w:r>
            <w:r>
              <w:rPr>
                <w:rFonts w:asciiTheme="minorHAnsi" w:hAnsiTheme="minorHAnsi"/>
              </w:rPr>
              <w:t>.</w:t>
            </w:r>
          </w:p>
          <w:p w:rsidR="009412E5" w:rsidRPr="009412E5" w:rsidRDefault="009412E5" w:rsidP="009412E5">
            <w:pPr>
              <w:spacing w:before="120" w:line="264" w:lineRule="auto"/>
              <w:jc w:val="both"/>
              <w:rPr>
                <w:rFonts w:ascii="Calibri" w:hAnsi="Calibri"/>
                <w:color w:val="000000"/>
                <w:sz w:val="24"/>
                <w:szCs w:val="24"/>
              </w:rPr>
            </w:pPr>
            <w:r w:rsidRPr="009E3AE3">
              <w:rPr>
                <w:rFonts w:asciiTheme="minorHAnsi" w:hAnsiTheme="minorHAnsi"/>
                <w:color w:val="C00000"/>
                <w:sz w:val="24"/>
                <w:szCs w:val="24"/>
              </w:rPr>
              <w:t>O budućim mirovinama treba razmišljati isključivo u terminima realne vrijednosti novca koji bi korisnik ostvario protekom određenog vremena. U protivnom nominalno veliki iznosi izračunati 20, 30 ili više godina prije početka korištenja mirovine mogu izgledati znatno veći nego što realno jesu</w:t>
            </w:r>
            <w:r w:rsidRPr="009412E5">
              <w:rPr>
                <w:rFonts w:asciiTheme="minorHAnsi" w:hAnsiTheme="minorHAnsi"/>
                <w:sz w:val="24"/>
                <w:szCs w:val="24"/>
              </w:rPr>
              <w:t xml:space="preserve">. Na primjer uz stopu inflacije 2,25% godišnje iznos od </w:t>
            </w:r>
            <w:r w:rsidRPr="009412E5">
              <w:rPr>
                <w:rFonts w:asciiTheme="minorHAnsi" w:hAnsiTheme="minorHAnsi"/>
                <w:bCs/>
                <w:sz w:val="24"/>
                <w:szCs w:val="24"/>
              </w:rPr>
              <w:t>74.670,38 kun</w:t>
            </w:r>
            <w:r w:rsidR="007D3A1C">
              <w:rPr>
                <w:rFonts w:asciiTheme="minorHAnsi" w:hAnsiTheme="minorHAnsi"/>
                <w:bCs/>
                <w:sz w:val="24"/>
                <w:szCs w:val="24"/>
              </w:rPr>
              <w:t>a</w:t>
            </w:r>
            <w:r w:rsidRPr="009412E5">
              <w:rPr>
                <w:rFonts w:asciiTheme="minorHAnsi" w:hAnsiTheme="minorHAnsi"/>
                <w:bCs/>
                <w:sz w:val="24"/>
                <w:szCs w:val="24"/>
              </w:rPr>
              <w:t xml:space="preserve"> za 20 godina realno vrijedi današnjih </w:t>
            </w:r>
            <w:r w:rsidRPr="009412E5">
              <w:rPr>
                <w:rFonts w:ascii="Calibri" w:hAnsi="Calibri"/>
                <w:color w:val="000000"/>
                <w:sz w:val="24"/>
                <w:szCs w:val="24"/>
              </w:rPr>
              <w:t xml:space="preserve">47.850,01 kuna, a mjesečna mirovina od </w:t>
            </w:r>
            <w:r w:rsidRPr="009412E5">
              <w:rPr>
                <w:rFonts w:asciiTheme="minorHAnsi" w:hAnsiTheme="minorHAnsi"/>
                <w:bCs/>
                <w:sz w:val="24"/>
                <w:szCs w:val="24"/>
              </w:rPr>
              <w:t xml:space="preserve">2.907,42 kune današnjih svega </w:t>
            </w:r>
            <w:r w:rsidRPr="009412E5">
              <w:rPr>
                <w:rFonts w:ascii="Calibri" w:hAnsi="Calibri"/>
                <w:color w:val="000000"/>
                <w:sz w:val="24"/>
                <w:szCs w:val="24"/>
              </w:rPr>
              <w:t>1.863,12 kuna. No</w:t>
            </w:r>
            <w:r w:rsidR="007D3A1C">
              <w:rPr>
                <w:rFonts w:ascii="Calibri" w:hAnsi="Calibri"/>
                <w:color w:val="000000"/>
                <w:sz w:val="24"/>
                <w:szCs w:val="24"/>
              </w:rPr>
              <w:t>,</w:t>
            </w:r>
            <w:r w:rsidRPr="009412E5">
              <w:rPr>
                <w:rFonts w:ascii="Calibri" w:hAnsi="Calibri"/>
                <w:color w:val="000000"/>
                <w:sz w:val="24"/>
                <w:szCs w:val="24"/>
              </w:rPr>
              <w:t xml:space="preserve"> za 25 godina mjesečni iznos od </w:t>
            </w:r>
            <w:r w:rsidRPr="009412E5">
              <w:rPr>
                <w:rFonts w:asciiTheme="minorHAnsi" w:hAnsiTheme="minorHAnsi"/>
                <w:bCs/>
                <w:sz w:val="24"/>
                <w:szCs w:val="24"/>
              </w:rPr>
              <w:t xml:space="preserve">2.907,42 kune realno vrijedi svega </w:t>
            </w:r>
            <w:r w:rsidRPr="009412E5">
              <w:rPr>
                <w:rFonts w:ascii="Calibri" w:hAnsi="Calibri"/>
                <w:color w:val="000000"/>
                <w:sz w:val="24"/>
                <w:szCs w:val="24"/>
              </w:rPr>
              <w:t>1.666,96 kuna.</w:t>
            </w:r>
          </w:p>
          <w:p w:rsidR="00804F36" w:rsidRPr="00804F36" w:rsidRDefault="00804F36" w:rsidP="007D3A1C">
            <w:pPr>
              <w:pStyle w:val="Default"/>
              <w:spacing w:before="120" w:after="120" w:line="264" w:lineRule="auto"/>
              <w:jc w:val="both"/>
              <w:rPr>
                <w:rFonts w:asciiTheme="minorHAnsi" w:hAnsiTheme="minorHAnsi"/>
                <w:sz w:val="20"/>
                <w:szCs w:val="20"/>
              </w:rPr>
            </w:pPr>
            <w:r w:rsidRPr="00A642A7">
              <w:rPr>
                <w:rFonts w:asciiTheme="minorHAnsi" w:hAnsiTheme="minorHAnsi"/>
                <w:sz w:val="20"/>
                <w:szCs w:val="20"/>
              </w:rPr>
              <w:t xml:space="preserve">* </w:t>
            </w:r>
            <w:r w:rsidRPr="00A642A7">
              <w:rPr>
                <w:rFonts w:asciiTheme="minorHAnsi" w:hAnsiTheme="minorHAnsi" w:cs="Arial"/>
                <w:sz w:val="20"/>
                <w:szCs w:val="20"/>
                <w:shd w:val="clear" w:color="auto" w:fill="FFFFFF"/>
              </w:rPr>
              <w:t>Izračun je informativan i ne može se koristiti u druge svrhe</w:t>
            </w:r>
            <w:r>
              <w:rPr>
                <w:rFonts w:asciiTheme="minorHAnsi" w:hAnsiTheme="minorHAnsi"/>
                <w:sz w:val="20"/>
                <w:szCs w:val="20"/>
              </w:rPr>
              <w:t>.</w:t>
            </w:r>
          </w:p>
        </w:tc>
      </w:tr>
    </w:tbl>
    <w:p w:rsidR="00CC7001" w:rsidRDefault="00CC7001" w:rsidP="00C61D62">
      <w:pPr>
        <w:jc w:val="both"/>
        <w:rPr>
          <w:sz w:val="24"/>
          <w:szCs w:val="24"/>
        </w:rPr>
      </w:pPr>
    </w:p>
    <w:tbl>
      <w:tblPr>
        <w:tblStyle w:val="Reetkatablice"/>
        <w:tblW w:w="0" w:type="auto"/>
        <w:tblLook w:val="04A0" w:firstRow="1" w:lastRow="0" w:firstColumn="1" w:lastColumn="0" w:noHBand="0" w:noVBand="1"/>
      </w:tblPr>
      <w:tblGrid>
        <w:gridCol w:w="9288"/>
      </w:tblGrid>
      <w:tr w:rsidR="00BD2553" w:rsidTr="00BD2553">
        <w:tc>
          <w:tcPr>
            <w:tcW w:w="9288" w:type="dxa"/>
          </w:tcPr>
          <w:p w:rsidR="00BD2553" w:rsidRPr="00977718" w:rsidRDefault="00BD2553" w:rsidP="00C61D62">
            <w:pPr>
              <w:jc w:val="both"/>
              <w:rPr>
                <w:rFonts w:asciiTheme="minorHAnsi" w:hAnsiTheme="minorHAnsi"/>
                <w:b/>
                <w:sz w:val="24"/>
                <w:szCs w:val="24"/>
              </w:rPr>
            </w:pPr>
            <w:r w:rsidRPr="00977718">
              <w:rPr>
                <w:rFonts w:asciiTheme="minorHAnsi" w:hAnsiTheme="minorHAnsi"/>
                <w:b/>
                <w:sz w:val="24"/>
                <w:szCs w:val="24"/>
              </w:rPr>
              <w:t>UČINAK VISINE PRINOSA FONDA NA VISINU MIROVINSKE ŠTEDNJE</w:t>
            </w:r>
          </w:p>
          <w:p w:rsidR="00BD2553" w:rsidRPr="00977718" w:rsidRDefault="00BD2553" w:rsidP="00977718">
            <w:pPr>
              <w:spacing w:before="120" w:after="120"/>
              <w:jc w:val="both"/>
              <w:rPr>
                <w:rFonts w:asciiTheme="minorHAnsi" w:hAnsiTheme="minorHAnsi"/>
                <w:sz w:val="24"/>
                <w:szCs w:val="24"/>
              </w:rPr>
            </w:pPr>
            <w:r w:rsidRPr="00977718">
              <w:rPr>
                <w:rFonts w:asciiTheme="minorHAnsi" w:hAnsiTheme="minorHAnsi"/>
                <w:sz w:val="24"/>
                <w:szCs w:val="24"/>
              </w:rPr>
              <w:t>U opisanom primjeru pretpostavljen je prosječni prinos dobrovoljnog mirovinskog fonda na razini 5% godišnje. Međutim, iznosi kumulirane mirovinske štednje kroz određeno vremensko razdoblje bili bi niži da je prosječni prinos fonda niži nego što je pretpostavljeno.</w:t>
            </w:r>
          </w:p>
          <w:p w:rsidR="00BD2553" w:rsidRPr="00977718" w:rsidRDefault="00BD2553" w:rsidP="002F0DFD">
            <w:pPr>
              <w:spacing w:before="60" w:after="60"/>
              <w:jc w:val="both"/>
              <w:rPr>
                <w:rFonts w:asciiTheme="minorHAnsi" w:hAnsiTheme="minorHAnsi"/>
                <w:sz w:val="24"/>
                <w:szCs w:val="24"/>
              </w:rPr>
            </w:pPr>
            <w:r w:rsidRPr="00977718">
              <w:rPr>
                <w:rFonts w:asciiTheme="minorHAnsi" w:hAnsiTheme="minorHAnsi"/>
                <w:sz w:val="24"/>
                <w:szCs w:val="24"/>
              </w:rPr>
              <w:t xml:space="preserve">Uz prosječni prinos fonda na razini 5% godišnje: </w:t>
            </w:r>
          </w:p>
          <w:p w:rsidR="00BD2553" w:rsidRPr="00977718" w:rsidRDefault="00BD2553" w:rsidP="002F0DFD">
            <w:pPr>
              <w:pStyle w:val="Odlomakpopisa"/>
              <w:numPr>
                <w:ilvl w:val="0"/>
                <w:numId w:val="125"/>
              </w:numPr>
              <w:spacing w:before="60" w:after="60"/>
              <w:jc w:val="both"/>
              <w:rPr>
                <w:rFonts w:asciiTheme="minorHAnsi" w:hAnsiTheme="minorHAnsi"/>
                <w:sz w:val="24"/>
                <w:szCs w:val="24"/>
              </w:rPr>
            </w:pPr>
            <w:r w:rsidRPr="00977718">
              <w:rPr>
                <w:rFonts w:asciiTheme="minorHAnsi" w:hAnsiTheme="minorHAnsi"/>
                <w:sz w:val="24"/>
                <w:szCs w:val="24"/>
              </w:rPr>
              <w:t>Ukupan iznos uplaćenih doprinosa: 132.000,00 kn</w:t>
            </w:r>
          </w:p>
          <w:p w:rsidR="00BD2553" w:rsidRPr="00977718" w:rsidRDefault="00BD2553" w:rsidP="002F0DFD">
            <w:pPr>
              <w:pStyle w:val="Odlomakpopisa"/>
              <w:numPr>
                <w:ilvl w:val="0"/>
                <w:numId w:val="125"/>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BD2553" w:rsidRPr="00977718" w:rsidRDefault="00BD2553" w:rsidP="002F0DFD">
            <w:pPr>
              <w:pStyle w:val="Odlomakpopisa"/>
              <w:numPr>
                <w:ilvl w:val="0"/>
                <w:numId w:val="125"/>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248.901,25 kn</w:t>
            </w:r>
          </w:p>
          <w:p w:rsidR="00BD2553" w:rsidRPr="00977718" w:rsidRDefault="00BD2553" w:rsidP="002F0DFD">
            <w:pPr>
              <w:spacing w:before="60" w:after="60"/>
              <w:jc w:val="both"/>
              <w:rPr>
                <w:rFonts w:asciiTheme="minorHAnsi" w:hAnsiTheme="minorHAnsi"/>
                <w:sz w:val="24"/>
                <w:szCs w:val="24"/>
              </w:rPr>
            </w:pPr>
            <w:r w:rsidRPr="00977718">
              <w:rPr>
                <w:rFonts w:asciiTheme="minorHAnsi" w:hAnsiTheme="minorHAnsi"/>
                <w:sz w:val="24"/>
                <w:szCs w:val="24"/>
              </w:rPr>
              <w:t>Uz prosječni prinos fonda na razini 4% godišnje</w:t>
            </w:r>
            <w:r w:rsidR="00977718" w:rsidRPr="00977718">
              <w:rPr>
                <w:rFonts w:asciiTheme="minorHAnsi" w:hAnsiTheme="minorHAnsi"/>
                <w:sz w:val="24"/>
                <w:szCs w:val="24"/>
              </w:rPr>
              <w:t>:</w:t>
            </w:r>
          </w:p>
          <w:p w:rsidR="00BD2553" w:rsidRPr="00977718" w:rsidRDefault="00BD2553" w:rsidP="002F0DFD">
            <w:pPr>
              <w:pStyle w:val="Odlomakpopisa"/>
              <w:numPr>
                <w:ilvl w:val="0"/>
                <w:numId w:val="126"/>
              </w:numPr>
              <w:spacing w:before="60" w:after="60"/>
              <w:jc w:val="both"/>
              <w:rPr>
                <w:rFonts w:asciiTheme="minorHAnsi" w:hAnsiTheme="minorHAnsi"/>
                <w:sz w:val="24"/>
                <w:szCs w:val="24"/>
              </w:rPr>
            </w:pPr>
            <w:r w:rsidRPr="00977718">
              <w:rPr>
                <w:rFonts w:asciiTheme="minorHAnsi" w:hAnsiTheme="minorHAnsi"/>
                <w:sz w:val="24"/>
                <w:szCs w:val="24"/>
              </w:rPr>
              <w:t>Ukupan iznos uplaćenih doprinosa: 132.000,00 kn</w:t>
            </w:r>
          </w:p>
          <w:p w:rsidR="00BD2553" w:rsidRPr="00977718" w:rsidRDefault="00BD2553" w:rsidP="002F0DFD">
            <w:pPr>
              <w:pStyle w:val="Odlomakpopisa"/>
              <w:numPr>
                <w:ilvl w:val="0"/>
                <w:numId w:val="126"/>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BD2553" w:rsidRPr="00977718" w:rsidRDefault="00BD2553" w:rsidP="002F0DFD">
            <w:pPr>
              <w:pStyle w:val="Odlomakpopisa"/>
              <w:numPr>
                <w:ilvl w:val="0"/>
                <w:numId w:val="126"/>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223.101,63 kn</w:t>
            </w:r>
          </w:p>
          <w:p w:rsidR="00977718" w:rsidRPr="00977718" w:rsidRDefault="00977718" w:rsidP="002F0DFD">
            <w:pPr>
              <w:spacing w:before="60" w:after="60"/>
              <w:jc w:val="both"/>
              <w:rPr>
                <w:rFonts w:asciiTheme="minorHAnsi" w:hAnsiTheme="minorHAnsi"/>
                <w:sz w:val="24"/>
                <w:szCs w:val="24"/>
              </w:rPr>
            </w:pPr>
            <w:r w:rsidRPr="00977718">
              <w:rPr>
                <w:rFonts w:asciiTheme="minorHAnsi" w:hAnsiTheme="minorHAnsi"/>
                <w:sz w:val="24"/>
                <w:szCs w:val="24"/>
              </w:rPr>
              <w:t>Uz prosječni prinos fonda na razini 4% godišnje</w:t>
            </w:r>
            <w:r w:rsidRPr="00977718">
              <w:rPr>
                <w:rFonts w:asciiTheme="minorHAnsi" w:hAnsiTheme="minorHAnsi"/>
                <w:sz w:val="24"/>
                <w:szCs w:val="24"/>
              </w:rPr>
              <w:t>:</w:t>
            </w:r>
          </w:p>
          <w:p w:rsidR="00BD2553" w:rsidRPr="00977718" w:rsidRDefault="00BD2553" w:rsidP="002F0DFD">
            <w:pPr>
              <w:pStyle w:val="Odlomakpopisa"/>
              <w:numPr>
                <w:ilvl w:val="0"/>
                <w:numId w:val="127"/>
              </w:numPr>
              <w:spacing w:before="60" w:after="60"/>
              <w:jc w:val="both"/>
              <w:rPr>
                <w:rFonts w:asciiTheme="minorHAnsi" w:hAnsiTheme="minorHAnsi"/>
                <w:sz w:val="24"/>
                <w:szCs w:val="24"/>
              </w:rPr>
            </w:pPr>
            <w:r w:rsidRPr="00977718">
              <w:rPr>
                <w:rFonts w:asciiTheme="minorHAnsi" w:hAnsiTheme="minorHAnsi"/>
                <w:sz w:val="24"/>
                <w:szCs w:val="24"/>
              </w:rPr>
              <w:lastRenderedPageBreak/>
              <w:t>Ukupan iznos uplaćenih doprinosa: 132.000,00 kn</w:t>
            </w:r>
          </w:p>
          <w:p w:rsidR="00BD2553" w:rsidRPr="00977718" w:rsidRDefault="00BD2553" w:rsidP="002F0DFD">
            <w:pPr>
              <w:pStyle w:val="Odlomakpopisa"/>
              <w:numPr>
                <w:ilvl w:val="0"/>
                <w:numId w:val="127"/>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BD2553" w:rsidRPr="00977718" w:rsidRDefault="00BD2553" w:rsidP="002F0DFD">
            <w:pPr>
              <w:pStyle w:val="Odlomakpopisa"/>
              <w:numPr>
                <w:ilvl w:val="0"/>
                <w:numId w:val="127"/>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200.366,09 kn</w:t>
            </w:r>
          </w:p>
          <w:p w:rsidR="00977718" w:rsidRPr="00977718" w:rsidRDefault="00977718" w:rsidP="002F0DFD">
            <w:pPr>
              <w:spacing w:before="60" w:after="60"/>
              <w:jc w:val="both"/>
              <w:rPr>
                <w:rFonts w:asciiTheme="minorHAnsi" w:hAnsiTheme="minorHAnsi"/>
                <w:sz w:val="24"/>
                <w:szCs w:val="24"/>
              </w:rPr>
            </w:pPr>
            <w:r w:rsidRPr="00977718">
              <w:rPr>
                <w:rFonts w:asciiTheme="minorHAnsi" w:hAnsiTheme="minorHAnsi"/>
                <w:sz w:val="24"/>
                <w:szCs w:val="24"/>
              </w:rPr>
              <w:t>Uz pr</w:t>
            </w:r>
            <w:r w:rsidRPr="00977718">
              <w:rPr>
                <w:rFonts w:asciiTheme="minorHAnsi" w:hAnsiTheme="minorHAnsi"/>
                <w:sz w:val="24"/>
                <w:szCs w:val="24"/>
              </w:rPr>
              <w:t>osječni prinos fonda na razini 2</w:t>
            </w:r>
            <w:r w:rsidRPr="00977718">
              <w:rPr>
                <w:rFonts w:asciiTheme="minorHAnsi" w:hAnsiTheme="minorHAnsi"/>
                <w:sz w:val="24"/>
                <w:szCs w:val="24"/>
              </w:rPr>
              <w:t>% godišnje</w:t>
            </w:r>
            <w:r w:rsidRPr="00977718">
              <w:rPr>
                <w:rFonts w:asciiTheme="minorHAnsi" w:hAnsiTheme="minorHAnsi"/>
                <w:sz w:val="24"/>
                <w:szCs w:val="24"/>
              </w:rPr>
              <w:t>:</w:t>
            </w:r>
          </w:p>
          <w:p w:rsidR="00977718" w:rsidRPr="00977718" w:rsidRDefault="00977718" w:rsidP="002F0DFD">
            <w:pPr>
              <w:pStyle w:val="Odlomakpopisa"/>
              <w:numPr>
                <w:ilvl w:val="0"/>
                <w:numId w:val="129"/>
              </w:numPr>
              <w:spacing w:before="60" w:after="60"/>
              <w:jc w:val="both"/>
              <w:rPr>
                <w:rFonts w:asciiTheme="minorHAnsi" w:hAnsiTheme="minorHAnsi"/>
                <w:sz w:val="24"/>
                <w:szCs w:val="24"/>
              </w:rPr>
            </w:pPr>
            <w:r w:rsidRPr="00977718">
              <w:rPr>
                <w:rFonts w:asciiTheme="minorHAnsi" w:hAnsiTheme="minorHAnsi"/>
                <w:sz w:val="24"/>
                <w:szCs w:val="24"/>
              </w:rPr>
              <w:t>Ukupan iznos uplaćenih doprinosa: 132.000,00 kn</w:t>
            </w:r>
          </w:p>
          <w:p w:rsidR="00977718" w:rsidRPr="00977718" w:rsidRDefault="00977718" w:rsidP="002F0DFD">
            <w:pPr>
              <w:pStyle w:val="Odlomakpopisa"/>
              <w:numPr>
                <w:ilvl w:val="0"/>
                <w:numId w:val="129"/>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977718" w:rsidRPr="00977718" w:rsidRDefault="00977718" w:rsidP="002F0DFD">
            <w:pPr>
              <w:pStyle w:val="Odlomakpopisa"/>
              <w:numPr>
                <w:ilvl w:val="0"/>
                <w:numId w:val="129"/>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180.317,67 kn</w:t>
            </w:r>
          </w:p>
          <w:p w:rsidR="00977718" w:rsidRPr="00977718" w:rsidRDefault="00977718" w:rsidP="002F0DFD">
            <w:pPr>
              <w:spacing w:before="60" w:after="60"/>
              <w:jc w:val="both"/>
              <w:rPr>
                <w:rFonts w:asciiTheme="minorHAnsi" w:hAnsiTheme="minorHAnsi"/>
                <w:sz w:val="24"/>
                <w:szCs w:val="24"/>
              </w:rPr>
            </w:pPr>
            <w:r w:rsidRPr="00977718">
              <w:rPr>
                <w:rFonts w:asciiTheme="minorHAnsi" w:hAnsiTheme="minorHAnsi"/>
                <w:sz w:val="24"/>
                <w:szCs w:val="24"/>
              </w:rPr>
              <w:t xml:space="preserve">Uz prosječni prinos fonda na razini </w:t>
            </w:r>
            <w:r w:rsidRPr="00977718">
              <w:rPr>
                <w:rFonts w:asciiTheme="minorHAnsi" w:hAnsiTheme="minorHAnsi"/>
                <w:sz w:val="24"/>
                <w:szCs w:val="24"/>
              </w:rPr>
              <w:t>1</w:t>
            </w:r>
            <w:r w:rsidRPr="00977718">
              <w:rPr>
                <w:rFonts w:asciiTheme="minorHAnsi" w:hAnsiTheme="minorHAnsi"/>
                <w:sz w:val="24"/>
                <w:szCs w:val="24"/>
              </w:rPr>
              <w:t>% godišnje:</w:t>
            </w:r>
          </w:p>
          <w:p w:rsidR="00977718" w:rsidRPr="00977718" w:rsidRDefault="00977718" w:rsidP="002F0DFD">
            <w:pPr>
              <w:pStyle w:val="Odlomakpopisa"/>
              <w:numPr>
                <w:ilvl w:val="0"/>
                <w:numId w:val="128"/>
              </w:numPr>
              <w:spacing w:before="60" w:after="60"/>
              <w:jc w:val="both"/>
              <w:rPr>
                <w:rFonts w:asciiTheme="minorHAnsi" w:hAnsiTheme="minorHAnsi"/>
                <w:sz w:val="24"/>
                <w:szCs w:val="24"/>
              </w:rPr>
            </w:pPr>
            <w:r w:rsidRPr="00977718">
              <w:rPr>
                <w:rFonts w:asciiTheme="minorHAnsi" w:hAnsiTheme="minorHAnsi"/>
                <w:sz w:val="24"/>
                <w:szCs w:val="24"/>
              </w:rPr>
              <w:t>Ukupan iznos uplaćenih doprinosa: 132.000,00 kn</w:t>
            </w:r>
          </w:p>
          <w:p w:rsidR="00977718" w:rsidRPr="00977718" w:rsidRDefault="00977718" w:rsidP="002F0DFD">
            <w:pPr>
              <w:pStyle w:val="Odlomakpopisa"/>
              <w:numPr>
                <w:ilvl w:val="0"/>
                <w:numId w:val="128"/>
              </w:numPr>
              <w:spacing w:before="60" w:after="60"/>
              <w:jc w:val="both"/>
              <w:rPr>
                <w:rFonts w:asciiTheme="minorHAnsi" w:hAnsiTheme="minorHAnsi"/>
                <w:sz w:val="24"/>
                <w:szCs w:val="24"/>
              </w:rPr>
            </w:pPr>
            <w:r w:rsidRPr="00977718">
              <w:rPr>
                <w:rFonts w:asciiTheme="minorHAnsi" w:hAnsiTheme="minorHAnsi"/>
                <w:sz w:val="24"/>
                <w:szCs w:val="24"/>
              </w:rPr>
              <w:t>Ukupna državna poticajna sredstva: 15.000,00 kn </w:t>
            </w:r>
          </w:p>
          <w:p w:rsidR="00BD2553" w:rsidRPr="00977718" w:rsidRDefault="00977718" w:rsidP="002F0DFD">
            <w:pPr>
              <w:pStyle w:val="Odlomakpopisa"/>
              <w:numPr>
                <w:ilvl w:val="0"/>
                <w:numId w:val="128"/>
              </w:numPr>
              <w:spacing w:before="60" w:after="60"/>
              <w:jc w:val="both"/>
              <w:rPr>
                <w:rFonts w:asciiTheme="minorHAnsi" w:hAnsiTheme="minorHAnsi"/>
                <w:sz w:val="24"/>
                <w:szCs w:val="24"/>
              </w:rPr>
            </w:pPr>
            <w:r w:rsidRPr="00977718">
              <w:rPr>
                <w:rFonts w:asciiTheme="minorHAnsi" w:hAnsiTheme="minorHAnsi"/>
                <w:sz w:val="24"/>
                <w:szCs w:val="24"/>
              </w:rPr>
              <w:t>Ukupan kapitalizirani iznos na kraju štednje: 162.625,66 kn</w:t>
            </w:r>
          </w:p>
          <w:p w:rsidR="00BD2553" w:rsidRDefault="00BD2553" w:rsidP="00C61D62">
            <w:pPr>
              <w:jc w:val="both"/>
              <w:rPr>
                <w:sz w:val="24"/>
                <w:szCs w:val="24"/>
              </w:rPr>
            </w:pPr>
            <w:r>
              <w:rPr>
                <w:sz w:val="24"/>
                <w:szCs w:val="24"/>
              </w:rPr>
              <w:t xml:space="preserve"> </w:t>
            </w:r>
          </w:p>
        </w:tc>
      </w:tr>
    </w:tbl>
    <w:p w:rsidR="00BD2553" w:rsidRDefault="00BD2553" w:rsidP="00C61D62">
      <w:pPr>
        <w:jc w:val="both"/>
        <w:rPr>
          <w:sz w:val="24"/>
          <w:szCs w:val="24"/>
        </w:rPr>
      </w:pPr>
    </w:p>
    <w:tbl>
      <w:tblPr>
        <w:tblStyle w:val="Reetkatablice"/>
        <w:tblW w:w="0" w:type="auto"/>
        <w:tblLook w:val="04A0" w:firstRow="1" w:lastRow="0" w:firstColumn="1" w:lastColumn="0" w:noHBand="0" w:noVBand="1"/>
      </w:tblPr>
      <w:tblGrid>
        <w:gridCol w:w="9288"/>
      </w:tblGrid>
      <w:tr w:rsidR="00CC7001" w:rsidRPr="00C61D62" w:rsidTr="009B6597">
        <w:tc>
          <w:tcPr>
            <w:tcW w:w="9288" w:type="dxa"/>
          </w:tcPr>
          <w:p w:rsidR="00CC7001" w:rsidRPr="00C61D62" w:rsidRDefault="00CC7001" w:rsidP="00C61D62">
            <w:pPr>
              <w:spacing w:after="200" w:line="276" w:lineRule="auto"/>
              <w:jc w:val="both"/>
              <w:rPr>
                <w:rFonts w:asciiTheme="minorHAnsi" w:hAnsiTheme="minorHAnsi"/>
                <w:b/>
                <w:sz w:val="24"/>
                <w:szCs w:val="24"/>
              </w:rPr>
            </w:pPr>
            <w:r w:rsidRPr="00C61D62">
              <w:rPr>
                <w:rFonts w:asciiTheme="minorHAnsi" w:hAnsiTheme="minorHAnsi"/>
                <w:b/>
                <w:sz w:val="24"/>
                <w:szCs w:val="24"/>
              </w:rPr>
              <w:t>ULAGANJE/ ŠTEDNJA KROZ 20 GODINA</w:t>
            </w:r>
          </w:p>
          <w:p w:rsidR="00CC7001" w:rsidRPr="00C61D62" w:rsidRDefault="00CC7001" w:rsidP="002F0DFD">
            <w:pPr>
              <w:spacing w:after="200" w:line="264" w:lineRule="auto"/>
              <w:jc w:val="both"/>
              <w:rPr>
                <w:rFonts w:asciiTheme="minorHAnsi" w:hAnsiTheme="minorHAnsi"/>
                <w:b/>
                <w:sz w:val="24"/>
                <w:szCs w:val="24"/>
              </w:rPr>
            </w:pPr>
            <w:r w:rsidRPr="00C61D62">
              <w:rPr>
                <w:rFonts w:asciiTheme="minorHAnsi" w:hAnsiTheme="minorHAnsi"/>
                <w:b/>
                <w:sz w:val="24"/>
                <w:szCs w:val="24"/>
              </w:rPr>
              <w:t>Kombinacija štednje u banci, dioničkom otvorenom investicijskom fondu i mješovitom životnom osiguranju s polovičnim iznosom osigurane svote za doživljenje</w:t>
            </w:r>
          </w:p>
          <w:p w:rsidR="00D60ED0" w:rsidRDefault="00CC7001" w:rsidP="002F0DFD">
            <w:pPr>
              <w:autoSpaceDE w:val="0"/>
              <w:autoSpaceDN w:val="0"/>
              <w:adjustRightInd w:val="0"/>
              <w:spacing w:after="120" w:line="264" w:lineRule="auto"/>
              <w:jc w:val="both"/>
              <w:rPr>
                <w:rFonts w:asciiTheme="minorHAnsi" w:hAnsiTheme="minorHAnsi"/>
                <w:bCs/>
                <w:sz w:val="24"/>
                <w:szCs w:val="24"/>
              </w:rPr>
            </w:pPr>
            <w:r w:rsidRPr="00C61D62">
              <w:rPr>
                <w:rFonts w:asciiTheme="minorHAnsi" w:hAnsiTheme="minorHAnsi"/>
                <w:bCs/>
                <w:sz w:val="24"/>
                <w:szCs w:val="24"/>
              </w:rPr>
              <w:t xml:space="preserve">Da </w:t>
            </w:r>
            <w:r w:rsidR="00994B61">
              <w:rPr>
                <w:rFonts w:asciiTheme="minorHAnsi" w:hAnsiTheme="minorHAnsi"/>
                <w:bCs/>
                <w:sz w:val="24"/>
                <w:szCs w:val="24"/>
              </w:rPr>
              <w:t>je (s 35 godina života)</w:t>
            </w:r>
            <w:r w:rsidRPr="00C61D62">
              <w:rPr>
                <w:rFonts w:asciiTheme="minorHAnsi" w:hAnsiTheme="minorHAnsi"/>
                <w:bCs/>
                <w:sz w:val="24"/>
                <w:szCs w:val="24"/>
              </w:rPr>
              <w:t xml:space="preserve"> umjesto dobrovoljne mirovinske štednje </w:t>
            </w:r>
            <w:r w:rsidR="00DD4075">
              <w:rPr>
                <w:rFonts w:asciiTheme="minorHAnsi" w:hAnsiTheme="minorHAnsi"/>
                <w:bCs/>
                <w:sz w:val="24"/>
                <w:szCs w:val="24"/>
              </w:rPr>
              <w:t xml:space="preserve">osoba iz primjera </w:t>
            </w:r>
            <w:r w:rsidRPr="00C61D62">
              <w:rPr>
                <w:rFonts w:asciiTheme="minorHAnsi" w:hAnsiTheme="minorHAnsi"/>
                <w:bCs/>
                <w:sz w:val="24"/>
                <w:szCs w:val="24"/>
              </w:rPr>
              <w:t>izabrala mješovito životno osiguranje</w:t>
            </w:r>
            <w:r w:rsidR="00DD4075">
              <w:rPr>
                <w:rFonts w:asciiTheme="minorHAnsi" w:hAnsiTheme="minorHAnsi"/>
                <w:bCs/>
                <w:sz w:val="24"/>
                <w:szCs w:val="24"/>
              </w:rPr>
              <w:t xml:space="preserve"> (s jednakim iznosom osigurane svote za smrt i za doživljenje)</w:t>
            </w:r>
            <w:r w:rsidRPr="00C61D62">
              <w:rPr>
                <w:rFonts w:asciiTheme="minorHAnsi" w:hAnsiTheme="minorHAnsi"/>
                <w:bCs/>
                <w:sz w:val="24"/>
                <w:szCs w:val="24"/>
              </w:rPr>
              <w:t xml:space="preserve">, kako bi nakon 20 godina osiguranja i po doživljenju 55 godine života raspolagala kapitaliziranom štednjom u iznosu 248.901,25 kn  </w:t>
            </w:r>
            <w:r w:rsidR="00994B61">
              <w:rPr>
                <w:rFonts w:asciiTheme="minorHAnsi" w:hAnsiTheme="minorHAnsi"/>
                <w:bCs/>
                <w:sz w:val="24"/>
                <w:szCs w:val="24"/>
              </w:rPr>
              <w:t xml:space="preserve">- </w:t>
            </w:r>
            <w:r w:rsidRPr="00C61D62">
              <w:rPr>
                <w:rFonts w:asciiTheme="minorHAnsi" w:hAnsiTheme="minorHAnsi"/>
                <w:bCs/>
                <w:sz w:val="24"/>
                <w:szCs w:val="24"/>
              </w:rPr>
              <w:t xml:space="preserve">trebala bi u dobi između 35 i 55 godine života plaćati premiju u iznosu </w:t>
            </w:r>
            <w:r w:rsidRPr="00C61D62">
              <w:rPr>
                <w:rFonts w:asciiTheme="minorHAnsi" w:hAnsiTheme="minorHAnsi"/>
                <w:sz w:val="24"/>
                <w:szCs w:val="24"/>
              </w:rPr>
              <w:t>1.128,45 kuna mjesečno. To bi bio protivno njenoj želji jer je istakla da u za takvu svrhu najviše želi mjesečno izdvajati 550,00 kuna. Međutim, cijelo vrijeme trajanja osiguranja bio bi pokriven rizik smrti te bi u slučaju nastupa osiguranog sluča</w:t>
            </w:r>
            <w:r w:rsidR="00DD4075">
              <w:rPr>
                <w:rFonts w:asciiTheme="minorHAnsi" w:hAnsiTheme="minorHAnsi"/>
                <w:sz w:val="24"/>
                <w:szCs w:val="24"/>
              </w:rPr>
              <w:t xml:space="preserve">ja (smrti osobe iz primjera u ulozi </w:t>
            </w:r>
            <w:r w:rsidRPr="00C61D62">
              <w:rPr>
                <w:rFonts w:asciiTheme="minorHAnsi" w:hAnsiTheme="minorHAnsi"/>
                <w:sz w:val="24"/>
                <w:szCs w:val="24"/>
              </w:rPr>
              <w:t xml:space="preserve">osiguranika) njeni zakonski nasljednici ili drugi imenovani korisnici osiguranja imali pravo na isplatu </w:t>
            </w:r>
            <w:r w:rsidRPr="00C61D62">
              <w:rPr>
                <w:rFonts w:asciiTheme="minorHAnsi" w:hAnsiTheme="minorHAnsi"/>
                <w:bCs/>
                <w:sz w:val="24"/>
                <w:szCs w:val="24"/>
              </w:rPr>
              <w:t xml:space="preserve">248.901,25 kuna. </w:t>
            </w:r>
            <w:r w:rsidR="00D60ED0">
              <w:rPr>
                <w:rFonts w:asciiTheme="minorHAnsi" w:hAnsiTheme="minorHAnsi"/>
                <w:bCs/>
                <w:sz w:val="24"/>
                <w:szCs w:val="24"/>
              </w:rPr>
              <w:t xml:space="preserve">To osobi iz primjera može biti vrlo zanimljivo jer je roditelj djece koju treba školovati, a svjesna je i drugih financijskih rizika s kojima se njena obitelj može suočiti u slučaju njene smrti. Za velik broj osoba to je osnovi razlog zbog čega će životnom osiguranju s obilježjima štednje dati prioritet u izboru neovisno o drugim proizvodima koji za iste iznose </w:t>
            </w:r>
            <w:r w:rsidR="00CA5029">
              <w:rPr>
                <w:rFonts w:asciiTheme="minorHAnsi" w:hAnsiTheme="minorHAnsi"/>
                <w:bCs/>
                <w:sz w:val="24"/>
                <w:szCs w:val="24"/>
              </w:rPr>
              <w:t xml:space="preserve">mjesečnih </w:t>
            </w:r>
            <w:r w:rsidR="00D60ED0">
              <w:rPr>
                <w:rFonts w:asciiTheme="minorHAnsi" w:hAnsiTheme="minorHAnsi"/>
                <w:bCs/>
                <w:sz w:val="24"/>
                <w:szCs w:val="24"/>
              </w:rPr>
              <w:t xml:space="preserve">uplata omogućavaju </w:t>
            </w:r>
            <w:r w:rsidR="006E566B">
              <w:rPr>
                <w:rFonts w:asciiTheme="minorHAnsi" w:hAnsiTheme="minorHAnsi"/>
                <w:bCs/>
                <w:sz w:val="24"/>
                <w:szCs w:val="24"/>
              </w:rPr>
              <w:t xml:space="preserve">veću </w:t>
            </w:r>
            <w:r w:rsidR="00D60ED0">
              <w:rPr>
                <w:rFonts w:asciiTheme="minorHAnsi" w:hAnsiTheme="minorHAnsi"/>
                <w:bCs/>
                <w:sz w:val="24"/>
                <w:szCs w:val="24"/>
              </w:rPr>
              <w:t xml:space="preserve">kumulaciju štednje kroz određeno vremensko razdoblje. </w:t>
            </w:r>
          </w:p>
          <w:p w:rsidR="006E566B" w:rsidRDefault="00D60ED0" w:rsidP="002F0DFD">
            <w:pPr>
              <w:autoSpaceDE w:val="0"/>
              <w:autoSpaceDN w:val="0"/>
              <w:adjustRightInd w:val="0"/>
              <w:spacing w:after="200" w:line="264" w:lineRule="auto"/>
              <w:jc w:val="both"/>
              <w:rPr>
                <w:rFonts w:asciiTheme="minorHAnsi" w:hAnsiTheme="minorHAnsi"/>
                <w:sz w:val="24"/>
                <w:szCs w:val="24"/>
              </w:rPr>
            </w:pPr>
            <w:r>
              <w:rPr>
                <w:rFonts w:asciiTheme="minorHAnsi" w:hAnsiTheme="minorHAnsi"/>
                <w:bCs/>
                <w:sz w:val="24"/>
                <w:szCs w:val="24"/>
              </w:rPr>
              <w:t>Pri tome treba napomenuti da je p</w:t>
            </w:r>
            <w:r w:rsidR="009F2859">
              <w:rPr>
                <w:rFonts w:asciiTheme="minorHAnsi" w:hAnsiTheme="minorHAnsi"/>
                <w:bCs/>
                <w:sz w:val="24"/>
                <w:szCs w:val="24"/>
              </w:rPr>
              <w:t xml:space="preserve">remija </w:t>
            </w:r>
            <w:r>
              <w:rPr>
                <w:rFonts w:asciiTheme="minorHAnsi" w:hAnsiTheme="minorHAnsi"/>
                <w:bCs/>
                <w:sz w:val="24"/>
                <w:szCs w:val="24"/>
              </w:rPr>
              <w:t xml:space="preserve">u primjeru </w:t>
            </w:r>
            <w:r w:rsidR="00DD4075">
              <w:rPr>
                <w:rFonts w:asciiTheme="minorHAnsi" w:hAnsiTheme="minorHAnsi"/>
                <w:bCs/>
                <w:sz w:val="24"/>
                <w:szCs w:val="24"/>
              </w:rPr>
              <w:t>iz</w:t>
            </w:r>
            <w:r w:rsidR="00CC7001" w:rsidRPr="00C61D62">
              <w:rPr>
                <w:rFonts w:asciiTheme="minorHAnsi" w:hAnsiTheme="minorHAnsi"/>
                <w:bCs/>
                <w:sz w:val="24"/>
                <w:szCs w:val="24"/>
              </w:rPr>
              <w:t xml:space="preserve">računata s obzirom na pretpostavku da je osigurana svota za doživljenje jednaka osiguranoj svoti za slučaj smrti, </w:t>
            </w:r>
            <w:r w:rsidR="00CC7001" w:rsidRPr="00DD4075">
              <w:rPr>
                <w:rFonts w:asciiTheme="minorHAnsi" w:hAnsiTheme="minorHAnsi"/>
                <w:bCs/>
                <w:color w:val="C00000"/>
                <w:sz w:val="24"/>
                <w:szCs w:val="24"/>
              </w:rPr>
              <w:t>jer je to najčešće slučaj standardne ponude hrvatskih društava za osiguranje</w:t>
            </w:r>
            <w:r w:rsidR="00CC7001" w:rsidRPr="00C61D62">
              <w:rPr>
                <w:rFonts w:asciiTheme="minorHAnsi" w:hAnsiTheme="minorHAnsi"/>
                <w:bCs/>
                <w:sz w:val="24"/>
                <w:szCs w:val="24"/>
              </w:rPr>
              <w:t xml:space="preserve">. Alternativno moguća je </w:t>
            </w:r>
            <w:r w:rsidR="00994B61">
              <w:rPr>
                <w:rFonts w:asciiTheme="minorHAnsi" w:hAnsiTheme="minorHAnsi"/>
                <w:bCs/>
                <w:sz w:val="24"/>
                <w:szCs w:val="24"/>
              </w:rPr>
              <w:t xml:space="preserve">npr. </w:t>
            </w:r>
            <w:r w:rsidR="00CC7001" w:rsidRPr="00C61D62">
              <w:rPr>
                <w:rFonts w:asciiTheme="minorHAnsi" w:hAnsiTheme="minorHAnsi"/>
                <w:bCs/>
                <w:sz w:val="24"/>
                <w:szCs w:val="24"/>
              </w:rPr>
              <w:t xml:space="preserve">kombinacija osigurane svote za smrt u iznosu 248.901,25 kuna te osigurane svote za doživljenje u polovičnom iznosu </w:t>
            </w:r>
            <w:r w:rsidR="00CC7001" w:rsidRPr="00C61D62">
              <w:rPr>
                <w:rFonts w:asciiTheme="minorHAnsi" w:hAnsiTheme="minorHAnsi"/>
                <w:sz w:val="24"/>
                <w:szCs w:val="24"/>
              </w:rPr>
              <w:t xml:space="preserve">124.450,63 kuna. U tom slučaju mjesečna premija </w:t>
            </w:r>
            <w:r w:rsidR="00994B61">
              <w:rPr>
                <w:rFonts w:asciiTheme="minorHAnsi" w:hAnsiTheme="minorHAnsi"/>
                <w:sz w:val="24"/>
                <w:szCs w:val="24"/>
              </w:rPr>
              <w:t xml:space="preserve">kroz narednih 20 godina </w:t>
            </w:r>
            <w:r w:rsidR="00CC7001" w:rsidRPr="00C61D62">
              <w:rPr>
                <w:rFonts w:asciiTheme="minorHAnsi" w:hAnsiTheme="minorHAnsi"/>
                <w:sz w:val="24"/>
                <w:szCs w:val="24"/>
              </w:rPr>
              <w:t xml:space="preserve">iznosila bi 621,27 kuna, ali to je </w:t>
            </w:r>
            <w:r w:rsidR="00DD4075">
              <w:rPr>
                <w:rFonts w:asciiTheme="minorHAnsi" w:hAnsiTheme="minorHAnsi"/>
                <w:sz w:val="24"/>
                <w:szCs w:val="24"/>
              </w:rPr>
              <w:t xml:space="preserve">i dalje </w:t>
            </w:r>
            <w:r w:rsidR="00CC7001" w:rsidRPr="00C61D62">
              <w:rPr>
                <w:rFonts w:asciiTheme="minorHAnsi" w:hAnsiTheme="minorHAnsi"/>
                <w:sz w:val="24"/>
                <w:szCs w:val="24"/>
              </w:rPr>
              <w:t xml:space="preserve">više nego što je </w:t>
            </w:r>
            <w:r w:rsidR="00DD4075">
              <w:rPr>
                <w:rFonts w:asciiTheme="minorHAnsi" w:hAnsiTheme="minorHAnsi"/>
                <w:sz w:val="24"/>
                <w:szCs w:val="24"/>
              </w:rPr>
              <w:t xml:space="preserve">osoba </w:t>
            </w:r>
            <w:r w:rsidR="00CC7001" w:rsidRPr="00C61D62">
              <w:rPr>
                <w:rFonts w:asciiTheme="minorHAnsi" w:hAnsiTheme="minorHAnsi"/>
                <w:sz w:val="24"/>
                <w:szCs w:val="24"/>
              </w:rPr>
              <w:t>spremna mjesečno izdvajati.</w:t>
            </w:r>
            <w:r w:rsidR="00E109CB">
              <w:rPr>
                <w:rFonts w:asciiTheme="minorHAnsi" w:hAnsiTheme="minorHAnsi"/>
                <w:sz w:val="24"/>
                <w:szCs w:val="24"/>
              </w:rPr>
              <w:t xml:space="preserve"> </w:t>
            </w:r>
            <w:r w:rsidR="00CC7001" w:rsidRPr="00C61D62">
              <w:rPr>
                <w:rFonts w:asciiTheme="minorHAnsi" w:hAnsiTheme="minorHAnsi"/>
                <w:sz w:val="24"/>
                <w:szCs w:val="24"/>
              </w:rPr>
              <w:t xml:space="preserve">Međutim, uz mjesečnu premiju životnog osiguranja u iznosu </w:t>
            </w:r>
            <w:r w:rsidR="00CC7001" w:rsidRPr="00C61D62">
              <w:rPr>
                <w:rFonts w:asciiTheme="minorHAnsi" w:hAnsiTheme="minorHAnsi"/>
                <w:bCs/>
                <w:sz w:val="24"/>
                <w:szCs w:val="24"/>
              </w:rPr>
              <w:t xml:space="preserve">549,13 kuna </w:t>
            </w:r>
            <w:r w:rsidR="00994B61">
              <w:rPr>
                <w:rFonts w:asciiTheme="minorHAnsi" w:hAnsiTheme="minorHAnsi"/>
                <w:bCs/>
                <w:sz w:val="24"/>
                <w:szCs w:val="24"/>
              </w:rPr>
              <w:t xml:space="preserve">osoba </w:t>
            </w:r>
            <w:r w:rsidR="00CC7001" w:rsidRPr="00C61D62">
              <w:rPr>
                <w:rFonts w:asciiTheme="minorHAnsi" w:hAnsiTheme="minorHAnsi"/>
                <w:bCs/>
                <w:sz w:val="24"/>
                <w:szCs w:val="24"/>
              </w:rPr>
              <w:t xml:space="preserve">može ugovoriti mješovito životno osiguranje </w:t>
            </w:r>
            <w:r w:rsidR="00DD4075">
              <w:rPr>
                <w:rFonts w:asciiTheme="minorHAnsi" w:hAnsiTheme="minorHAnsi"/>
                <w:bCs/>
                <w:sz w:val="24"/>
                <w:szCs w:val="24"/>
              </w:rPr>
              <w:t xml:space="preserve">na rok 20 godina, </w:t>
            </w:r>
            <w:r w:rsidR="00CC7001" w:rsidRPr="00C61D62">
              <w:rPr>
                <w:rFonts w:asciiTheme="minorHAnsi" w:hAnsiTheme="minorHAnsi"/>
                <w:bCs/>
                <w:sz w:val="24"/>
                <w:szCs w:val="24"/>
              </w:rPr>
              <w:t>temeljem kojeg osigurana svota za doživljenje</w:t>
            </w:r>
            <w:r w:rsidR="00DD4075">
              <w:rPr>
                <w:rFonts w:asciiTheme="minorHAnsi" w:hAnsiTheme="minorHAnsi"/>
                <w:bCs/>
                <w:sz w:val="24"/>
                <w:szCs w:val="24"/>
              </w:rPr>
              <w:t xml:space="preserve"> (nakon 20 godina)</w:t>
            </w:r>
            <w:r w:rsidR="00CC7001" w:rsidRPr="00C61D62">
              <w:rPr>
                <w:rFonts w:asciiTheme="minorHAnsi" w:hAnsiTheme="minorHAnsi"/>
                <w:bCs/>
                <w:sz w:val="24"/>
                <w:szCs w:val="24"/>
              </w:rPr>
              <w:t xml:space="preserve"> iznosi 110.000,00 kuna, a osigurana svo</w:t>
            </w:r>
            <w:r w:rsidR="00DD4075">
              <w:rPr>
                <w:rFonts w:asciiTheme="minorHAnsi" w:hAnsiTheme="minorHAnsi"/>
                <w:bCs/>
                <w:sz w:val="24"/>
                <w:szCs w:val="24"/>
              </w:rPr>
              <w:t>t</w:t>
            </w:r>
            <w:r w:rsidR="00CC7001" w:rsidRPr="00C61D62">
              <w:rPr>
                <w:rFonts w:asciiTheme="minorHAnsi" w:hAnsiTheme="minorHAnsi"/>
                <w:bCs/>
                <w:sz w:val="24"/>
                <w:szCs w:val="24"/>
              </w:rPr>
              <w:t xml:space="preserve">a za smrt </w:t>
            </w:r>
            <w:r w:rsidR="00DD4075">
              <w:rPr>
                <w:rFonts w:asciiTheme="minorHAnsi" w:hAnsiTheme="minorHAnsi"/>
                <w:bCs/>
                <w:sz w:val="24"/>
                <w:szCs w:val="24"/>
              </w:rPr>
              <w:t xml:space="preserve">iznosi </w:t>
            </w:r>
            <w:r w:rsidR="00CC7001" w:rsidRPr="00C61D62">
              <w:rPr>
                <w:rFonts w:asciiTheme="minorHAnsi" w:hAnsiTheme="minorHAnsi"/>
                <w:bCs/>
                <w:sz w:val="24"/>
                <w:szCs w:val="24"/>
              </w:rPr>
              <w:t xml:space="preserve">220.000,00 kuna. </w:t>
            </w:r>
            <w:r w:rsidR="00994B61">
              <w:rPr>
                <w:rFonts w:asciiTheme="minorHAnsi" w:hAnsiTheme="minorHAnsi"/>
                <w:bCs/>
                <w:sz w:val="24"/>
                <w:szCs w:val="24"/>
              </w:rPr>
              <w:t xml:space="preserve">U ovom primjeru izračun je rađen temeljem kalkulatora </w:t>
            </w:r>
            <w:r w:rsidR="00994B61">
              <w:rPr>
                <w:rFonts w:asciiTheme="minorHAnsi" w:hAnsiTheme="minorHAnsi"/>
                <w:bCs/>
                <w:sz w:val="24"/>
                <w:szCs w:val="24"/>
              </w:rPr>
              <w:lastRenderedPageBreak/>
              <w:t xml:space="preserve">jednog hrvatskog društva za osiguranje te je pretpostavljeno je da je osiguran i rizik </w:t>
            </w:r>
            <w:r w:rsidR="00994B61" w:rsidRPr="00C61D62">
              <w:rPr>
                <w:rFonts w:asciiTheme="minorHAnsi" w:hAnsiTheme="minorHAnsi"/>
                <w:bCs/>
                <w:sz w:val="24"/>
                <w:szCs w:val="24"/>
              </w:rPr>
              <w:t>smrti kao posljedice srčanog ili moždanog udara</w:t>
            </w:r>
            <w:r w:rsidR="00994B61">
              <w:rPr>
                <w:rFonts w:asciiTheme="minorHAnsi" w:hAnsiTheme="minorHAnsi"/>
                <w:bCs/>
                <w:sz w:val="24"/>
                <w:szCs w:val="24"/>
              </w:rPr>
              <w:t xml:space="preserve"> (iako kod svih polica životnog osiguranja to nije slučaj</w:t>
            </w:r>
            <w:r w:rsidR="00994B61" w:rsidRPr="00C61D62">
              <w:rPr>
                <w:rFonts w:asciiTheme="minorHAnsi" w:hAnsiTheme="minorHAnsi"/>
                <w:bCs/>
                <w:sz w:val="24"/>
                <w:szCs w:val="24"/>
              </w:rPr>
              <w:t>)</w:t>
            </w:r>
            <w:r w:rsidR="00994B61">
              <w:rPr>
                <w:rFonts w:asciiTheme="minorHAnsi" w:hAnsiTheme="minorHAnsi"/>
                <w:bCs/>
                <w:sz w:val="24"/>
                <w:szCs w:val="24"/>
              </w:rPr>
              <w:t xml:space="preserve">. </w:t>
            </w:r>
            <w:r w:rsidR="006E566B">
              <w:rPr>
                <w:rFonts w:asciiTheme="minorHAnsi" w:hAnsiTheme="minorHAnsi"/>
                <w:sz w:val="24"/>
                <w:szCs w:val="24"/>
              </w:rPr>
              <w:t>Ovakva ponuda može biti interesantna osobama koje se prvenstveno žele osigurati od rizika smrti, a nije im toliko važna štedna komponenta osiguranja</w:t>
            </w:r>
            <w:r w:rsidR="002F0DFD">
              <w:rPr>
                <w:rFonts w:asciiTheme="minorHAnsi" w:hAnsiTheme="minorHAnsi"/>
                <w:sz w:val="24"/>
                <w:szCs w:val="24"/>
              </w:rPr>
              <w:t xml:space="preserve"> (</w:t>
            </w:r>
            <w:r w:rsidR="00AD5204">
              <w:rPr>
                <w:rFonts w:asciiTheme="minorHAnsi" w:hAnsiTheme="minorHAnsi"/>
                <w:sz w:val="24"/>
                <w:szCs w:val="24"/>
              </w:rPr>
              <w:t xml:space="preserve">dok bi suprotni ponder važnosti </w:t>
            </w:r>
            <w:r w:rsidR="002F0DFD">
              <w:rPr>
                <w:rFonts w:asciiTheme="minorHAnsi" w:hAnsiTheme="minorHAnsi"/>
                <w:sz w:val="24"/>
                <w:szCs w:val="24"/>
              </w:rPr>
              <w:t xml:space="preserve">pokrića rizika </w:t>
            </w:r>
            <w:r w:rsidR="00AD5204">
              <w:rPr>
                <w:rFonts w:asciiTheme="minorHAnsi" w:hAnsiTheme="minorHAnsi"/>
                <w:sz w:val="24"/>
                <w:szCs w:val="24"/>
              </w:rPr>
              <w:t>trebali dati oni koje zanima prvenstveno štednja</w:t>
            </w:r>
            <w:r w:rsidR="002F0DFD">
              <w:rPr>
                <w:rFonts w:asciiTheme="minorHAnsi" w:hAnsiTheme="minorHAnsi"/>
                <w:sz w:val="24"/>
                <w:szCs w:val="24"/>
              </w:rPr>
              <w:t>)</w:t>
            </w:r>
            <w:r w:rsidR="006E566B">
              <w:rPr>
                <w:rFonts w:asciiTheme="minorHAnsi" w:hAnsiTheme="minorHAnsi"/>
                <w:sz w:val="24"/>
                <w:szCs w:val="24"/>
              </w:rPr>
              <w:t>. Dodatno treba spomenuti da društvo za osiguranje također ostvaruje prinose od ulaganja na financijskim tržištima koji se nakon odbitka troškova društva za osiguranje</w:t>
            </w:r>
            <w:r w:rsidR="002F0DFD">
              <w:rPr>
                <w:rFonts w:asciiTheme="minorHAnsi" w:hAnsiTheme="minorHAnsi"/>
                <w:sz w:val="24"/>
                <w:szCs w:val="24"/>
              </w:rPr>
              <w:t>,</w:t>
            </w:r>
            <w:r w:rsidR="006E566B">
              <w:rPr>
                <w:rFonts w:asciiTheme="minorHAnsi" w:hAnsiTheme="minorHAnsi"/>
                <w:sz w:val="24"/>
                <w:szCs w:val="24"/>
              </w:rPr>
              <w:t xml:space="preserve"> kao propis dobiti pripisuju iznosu osigurane svote. Tako da i u slučaju </w:t>
            </w:r>
            <w:r w:rsidR="00E53E2C">
              <w:rPr>
                <w:rFonts w:asciiTheme="minorHAnsi" w:hAnsiTheme="minorHAnsi"/>
                <w:sz w:val="24"/>
                <w:szCs w:val="24"/>
              </w:rPr>
              <w:t xml:space="preserve">mješovitog životnog osiguranja </w:t>
            </w:r>
            <w:r w:rsidR="006E566B">
              <w:rPr>
                <w:rFonts w:asciiTheme="minorHAnsi" w:hAnsiTheme="minorHAnsi"/>
                <w:sz w:val="24"/>
                <w:szCs w:val="24"/>
              </w:rPr>
              <w:t>postoji</w:t>
            </w:r>
            <w:r w:rsidR="00AD5204">
              <w:rPr>
                <w:rFonts w:asciiTheme="minorHAnsi" w:hAnsiTheme="minorHAnsi"/>
                <w:sz w:val="24"/>
                <w:szCs w:val="24"/>
              </w:rPr>
              <w:t xml:space="preserve"> određeni </w:t>
            </w:r>
            <w:r w:rsidR="00E53E2C">
              <w:rPr>
                <w:rFonts w:asciiTheme="minorHAnsi" w:hAnsiTheme="minorHAnsi"/>
                <w:sz w:val="24"/>
                <w:szCs w:val="24"/>
              </w:rPr>
              <w:t>(uglavnom mali) „</w:t>
            </w:r>
            <w:r w:rsidR="006E566B">
              <w:rPr>
                <w:rFonts w:asciiTheme="minorHAnsi" w:hAnsiTheme="minorHAnsi"/>
                <w:sz w:val="24"/>
                <w:szCs w:val="24"/>
              </w:rPr>
              <w:t>prinos</w:t>
            </w:r>
            <w:r w:rsidR="00E53E2C">
              <w:rPr>
                <w:rFonts w:asciiTheme="minorHAnsi" w:hAnsiTheme="minorHAnsi"/>
                <w:sz w:val="24"/>
                <w:szCs w:val="24"/>
              </w:rPr>
              <w:t>“</w:t>
            </w:r>
            <w:r w:rsidR="006E566B">
              <w:rPr>
                <w:rFonts w:asciiTheme="minorHAnsi" w:hAnsiTheme="minorHAnsi"/>
                <w:sz w:val="24"/>
                <w:szCs w:val="24"/>
              </w:rPr>
              <w:t xml:space="preserve"> </w:t>
            </w:r>
            <w:r w:rsidR="00AD5204">
              <w:rPr>
                <w:rFonts w:asciiTheme="minorHAnsi" w:hAnsiTheme="minorHAnsi"/>
                <w:sz w:val="24"/>
                <w:szCs w:val="24"/>
              </w:rPr>
              <w:t xml:space="preserve">ali ne </w:t>
            </w:r>
            <w:r w:rsidR="00E53E2C">
              <w:rPr>
                <w:rFonts w:asciiTheme="minorHAnsi" w:hAnsiTheme="minorHAnsi"/>
                <w:sz w:val="24"/>
                <w:szCs w:val="24"/>
              </w:rPr>
              <w:t>i</w:t>
            </w:r>
            <w:r w:rsidR="00AD5204">
              <w:rPr>
                <w:rFonts w:asciiTheme="minorHAnsi" w:hAnsiTheme="minorHAnsi"/>
                <w:sz w:val="24"/>
                <w:szCs w:val="24"/>
              </w:rPr>
              <w:t xml:space="preserve"> javno dostupni podaci o povijesnom pregledu </w:t>
            </w:r>
            <w:r w:rsidR="00E53E2C">
              <w:rPr>
                <w:rFonts w:asciiTheme="minorHAnsi" w:hAnsiTheme="minorHAnsi"/>
                <w:sz w:val="24"/>
                <w:szCs w:val="24"/>
              </w:rPr>
              <w:t xml:space="preserve">njihova kretanja. </w:t>
            </w:r>
            <w:r w:rsidR="00AD5204">
              <w:rPr>
                <w:rFonts w:asciiTheme="minorHAnsi" w:hAnsiTheme="minorHAnsi"/>
                <w:sz w:val="24"/>
                <w:szCs w:val="24"/>
              </w:rPr>
              <w:t xml:space="preserve"> </w:t>
            </w:r>
          </w:p>
          <w:p w:rsidR="00CA5029" w:rsidRPr="00C61D62" w:rsidRDefault="00CA5029" w:rsidP="002F0DFD">
            <w:pPr>
              <w:spacing w:after="200" w:line="264" w:lineRule="auto"/>
              <w:jc w:val="both"/>
              <w:rPr>
                <w:rFonts w:asciiTheme="minorHAnsi" w:hAnsiTheme="minorHAnsi"/>
                <w:bCs/>
                <w:sz w:val="24"/>
                <w:szCs w:val="24"/>
              </w:rPr>
            </w:pPr>
            <w:r w:rsidRPr="00A642A7">
              <w:rPr>
                <w:rFonts w:asciiTheme="minorHAnsi" w:hAnsiTheme="minorHAnsi"/>
              </w:rPr>
              <w:t xml:space="preserve">* </w:t>
            </w:r>
            <w:r w:rsidRPr="00A642A7">
              <w:rPr>
                <w:rFonts w:asciiTheme="minorHAnsi" w:hAnsiTheme="minorHAnsi" w:cs="Arial"/>
                <w:shd w:val="clear" w:color="auto" w:fill="FFFFFF"/>
              </w:rPr>
              <w:t>Izračun je informativan i ne može se koristiti u druge svrhe</w:t>
            </w:r>
            <w:r>
              <w:rPr>
                <w:rFonts w:asciiTheme="minorHAnsi" w:hAnsiTheme="minorHAnsi"/>
              </w:rPr>
              <w:t>.</w:t>
            </w:r>
          </w:p>
          <w:p w:rsidR="00CC7001" w:rsidRDefault="00CC7001" w:rsidP="002F0DFD">
            <w:pPr>
              <w:spacing w:after="120" w:line="264" w:lineRule="auto"/>
              <w:jc w:val="both"/>
              <w:rPr>
                <w:rFonts w:asciiTheme="minorHAnsi" w:hAnsiTheme="minorHAnsi"/>
                <w:bCs/>
                <w:sz w:val="24"/>
                <w:szCs w:val="24"/>
              </w:rPr>
            </w:pPr>
            <w:r w:rsidRPr="00C61D62">
              <w:rPr>
                <w:rFonts w:asciiTheme="minorHAnsi" w:hAnsiTheme="minorHAnsi"/>
                <w:bCs/>
                <w:sz w:val="24"/>
                <w:szCs w:val="24"/>
              </w:rPr>
              <w:t xml:space="preserve">Vidimo da u slučaju izbora životnog osiguranja </w:t>
            </w:r>
            <w:r w:rsidR="006E566B">
              <w:rPr>
                <w:rFonts w:asciiTheme="minorHAnsi" w:hAnsiTheme="minorHAnsi"/>
                <w:bCs/>
                <w:sz w:val="24"/>
                <w:szCs w:val="24"/>
              </w:rPr>
              <w:t>(</w:t>
            </w:r>
            <w:r w:rsidRPr="00C61D62">
              <w:rPr>
                <w:rFonts w:asciiTheme="minorHAnsi" w:hAnsiTheme="minorHAnsi"/>
                <w:bCs/>
                <w:sz w:val="24"/>
                <w:szCs w:val="24"/>
              </w:rPr>
              <w:t>umjesto dobrovoljne mirovinske štednje</w:t>
            </w:r>
            <w:r w:rsidR="006E566B">
              <w:rPr>
                <w:rFonts w:asciiTheme="minorHAnsi" w:hAnsiTheme="minorHAnsi"/>
                <w:bCs/>
                <w:sz w:val="24"/>
                <w:szCs w:val="24"/>
              </w:rPr>
              <w:t>)</w:t>
            </w:r>
            <w:r w:rsidRPr="00C61D62">
              <w:rPr>
                <w:rFonts w:asciiTheme="minorHAnsi" w:hAnsiTheme="minorHAnsi"/>
                <w:bCs/>
                <w:sz w:val="24"/>
                <w:szCs w:val="24"/>
              </w:rPr>
              <w:t xml:space="preserve"> za isti iznos mjesečnih uplata </w:t>
            </w:r>
            <w:r w:rsidR="00994B61">
              <w:rPr>
                <w:rFonts w:asciiTheme="minorHAnsi" w:hAnsiTheme="minorHAnsi"/>
                <w:bCs/>
                <w:sz w:val="24"/>
                <w:szCs w:val="24"/>
              </w:rPr>
              <w:t xml:space="preserve">oko </w:t>
            </w:r>
            <w:r w:rsidRPr="00C61D62">
              <w:rPr>
                <w:rFonts w:asciiTheme="minorHAnsi" w:hAnsiTheme="minorHAnsi"/>
                <w:bCs/>
                <w:sz w:val="24"/>
                <w:szCs w:val="24"/>
              </w:rPr>
              <w:t xml:space="preserve">550 kuna, </w:t>
            </w:r>
            <w:r w:rsidR="006E566B">
              <w:rPr>
                <w:rFonts w:asciiTheme="minorHAnsi" w:hAnsiTheme="minorHAnsi"/>
                <w:bCs/>
                <w:sz w:val="24"/>
                <w:szCs w:val="24"/>
              </w:rPr>
              <w:t xml:space="preserve">osoba </w:t>
            </w:r>
            <w:r w:rsidRPr="00C61D62">
              <w:rPr>
                <w:rFonts w:asciiTheme="minorHAnsi" w:hAnsiTheme="minorHAnsi"/>
                <w:bCs/>
                <w:sz w:val="24"/>
                <w:szCs w:val="24"/>
              </w:rPr>
              <w:t xml:space="preserve">raspolaže različitim iznosima kapitalizirane štednje u svojoj 55 godini života. Pri tome u slučaju izbora životnog osiguranja nema dodatne prihode (bolje rečeno primitke) iz privremene starosne mirovine koje bi imala da je alternativno uložila u dobrovoljnu mirovinsku štednju. No ne zaboravimo, njena obitelj je imala osiguranu financijsku stabilnost tijekom trajanja životnog osiguranja u slučaju njene  prijevremene smrti. </w:t>
            </w:r>
          </w:p>
          <w:p w:rsidR="00CC7001" w:rsidRPr="00C61D62" w:rsidRDefault="00CC7001" w:rsidP="002F0DFD">
            <w:pPr>
              <w:spacing w:after="120" w:line="264" w:lineRule="auto"/>
              <w:jc w:val="both"/>
              <w:rPr>
                <w:rFonts w:asciiTheme="minorHAnsi" w:hAnsiTheme="minorHAnsi"/>
                <w:bCs/>
                <w:sz w:val="24"/>
                <w:szCs w:val="24"/>
              </w:rPr>
            </w:pPr>
            <w:r w:rsidRPr="00C61D62">
              <w:rPr>
                <w:rFonts w:asciiTheme="minorHAnsi" w:hAnsiTheme="minorHAnsi"/>
                <w:b/>
                <w:bCs/>
                <w:sz w:val="24"/>
                <w:szCs w:val="24"/>
              </w:rPr>
              <w:t>Usporedba životnog i dobrovoljnog mirovinskog osiguranja:</w:t>
            </w:r>
            <w:r w:rsidRPr="00C61D62">
              <w:rPr>
                <w:rFonts w:asciiTheme="minorHAnsi" w:hAnsiTheme="minorHAnsi"/>
                <w:bCs/>
                <w:sz w:val="24"/>
                <w:szCs w:val="24"/>
              </w:rPr>
              <w:t xml:space="preserve"> Treba voditi računa da životno osiguranje zahtjeva uredno i pravovremeno uplaćivanje premija </w:t>
            </w:r>
            <w:r w:rsidR="00994B61">
              <w:rPr>
                <w:rFonts w:asciiTheme="minorHAnsi" w:hAnsiTheme="minorHAnsi"/>
                <w:bCs/>
                <w:sz w:val="24"/>
                <w:szCs w:val="24"/>
              </w:rPr>
              <w:t xml:space="preserve">osiguranja </w:t>
            </w:r>
            <w:r w:rsidRPr="00C61D62">
              <w:rPr>
                <w:rFonts w:asciiTheme="minorHAnsi" w:hAnsiTheme="minorHAnsi"/>
                <w:bCs/>
                <w:sz w:val="24"/>
                <w:szCs w:val="24"/>
              </w:rPr>
              <w:t xml:space="preserve">jer kašnjenje s uplatama u prve tri godine </w:t>
            </w:r>
            <w:r w:rsidR="002F0DFD">
              <w:rPr>
                <w:rFonts w:asciiTheme="minorHAnsi" w:hAnsiTheme="minorHAnsi"/>
                <w:bCs/>
                <w:sz w:val="24"/>
                <w:szCs w:val="24"/>
              </w:rPr>
              <w:t xml:space="preserve">(uobičajeno) </w:t>
            </w:r>
            <w:r w:rsidRPr="00C61D62">
              <w:rPr>
                <w:rFonts w:asciiTheme="minorHAnsi" w:hAnsiTheme="minorHAnsi"/>
                <w:bCs/>
                <w:sz w:val="24"/>
                <w:szCs w:val="24"/>
              </w:rPr>
              <w:t xml:space="preserve">znači trajni gubitak uloženih sredstava, dok ako su kroz prve tri godine premije uredno i pravovremeno plaćane - kašnjenje s </w:t>
            </w:r>
            <w:r w:rsidR="00994B61">
              <w:rPr>
                <w:rFonts w:asciiTheme="minorHAnsi" w:hAnsiTheme="minorHAnsi"/>
                <w:bCs/>
                <w:sz w:val="24"/>
                <w:szCs w:val="24"/>
              </w:rPr>
              <w:t xml:space="preserve">plaćanjem daljnjih premija </w:t>
            </w:r>
            <w:r w:rsidRPr="00C61D62">
              <w:rPr>
                <w:rFonts w:asciiTheme="minorHAnsi" w:hAnsiTheme="minorHAnsi"/>
                <w:bCs/>
                <w:sz w:val="24"/>
                <w:szCs w:val="24"/>
              </w:rPr>
              <w:t xml:space="preserve">znači kapitalizaciju police i smanjenje osigurane svote na bitno nižu razinu od one koja je očekivana. Po tome se životno osiguranje bitno razlikuje od dobrovoljnog mirovinskog osiguranja kod kojeg nema takvog rizika jer na osobnom računu </w:t>
            </w:r>
            <w:r w:rsidR="00CA5029">
              <w:rPr>
                <w:rFonts w:asciiTheme="minorHAnsi" w:hAnsiTheme="minorHAnsi"/>
                <w:bCs/>
                <w:sz w:val="24"/>
                <w:szCs w:val="24"/>
              </w:rPr>
              <w:t xml:space="preserve">člana fonda </w:t>
            </w:r>
            <w:r w:rsidR="002F0DFD">
              <w:rPr>
                <w:rFonts w:asciiTheme="minorHAnsi" w:hAnsiTheme="minorHAnsi"/>
                <w:bCs/>
                <w:sz w:val="24"/>
                <w:szCs w:val="24"/>
              </w:rPr>
              <w:t xml:space="preserve">sredstva ostaju raspoloživa </w:t>
            </w:r>
            <w:r w:rsidRPr="00C61D62">
              <w:rPr>
                <w:rFonts w:asciiTheme="minorHAnsi" w:hAnsiTheme="minorHAnsi"/>
                <w:bCs/>
                <w:sz w:val="24"/>
                <w:szCs w:val="24"/>
              </w:rPr>
              <w:t xml:space="preserve">te se i dalje kapitalizira onoliko sredstava koliko je uplaćeno. </w:t>
            </w:r>
          </w:p>
          <w:p w:rsidR="00362746" w:rsidRDefault="00CC7001" w:rsidP="002F0DFD">
            <w:pPr>
              <w:spacing w:after="120" w:line="264" w:lineRule="auto"/>
              <w:jc w:val="both"/>
              <w:rPr>
                <w:rFonts w:asciiTheme="minorHAnsi" w:hAnsiTheme="minorHAnsi"/>
                <w:bCs/>
                <w:color w:val="C00000"/>
                <w:sz w:val="24"/>
                <w:szCs w:val="24"/>
              </w:rPr>
            </w:pPr>
            <w:r w:rsidRPr="00C61D62">
              <w:rPr>
                <w:rFonts w:asciiTheme="minorHAnsi" w:hAnsiTheme="minorHAnsi"/>
                <w:b/>
                <w:bCs/>
                <w:sz w:val="24"/>
                <w:szCs w:val="24"/>
              </w:rPr>
              <w:t>Napomena:</w:t>
            </w:r>
            <w:r w:rsidRPr="00C61D62">
              <w:rPr>
                <w:rFonts w:asciiTheme="minorHAnsi" w:hAnsiTheme="minorHAnsi"/>
                <w:bCs/>
                <w:sz w:val="24"/>
                <w:szCs w:val="24"/>
              </w:rPr>
              <w:t xml:space="preserve"> </w:t>
            </w:r>
            <w:r w:rsidR="00CA5029">
              <w:rPr>
                <w:rFonts w:asciiTheme="minorHAnsi" w:hAnsiTheme="minorHAnsi"/>
                <w:bCs/>
                <w:sz w:val="24"/>
                <w:szCs w:val="24"/>
              </w:rPr>
              <w:t>Iz sveg</w:t>
            </w:r>
            <w:r w:rsidR="00582DC4">
              <w:rPr>
                <w:rFonts w:asciiTheme="minorHAnsi" w:hAnsiTheme="minorHAnsi"/>
                <w:bCs/>
                <w:sz w:val="24"/>
                <w:szCs w:val="24"/>
              </w:rPr>
              <w:t>a</w:t>
            </w:r>
            <w:r w:rsidR="00CA5029">
              <w:rPr>
                <w:rFonts w:asciiTheme="minorHAnsi" w:hAnsiTheme="minorHAnsi"/>
                <w:bCs/>
                <w:sz w:val="24"/>
                <w:szCs w:val="24"/>
              </w:rPr>
              <w:t xml:space="preserve"> navedenog, vidljivo je da je </w:t>
            </w:r>
            <w:r w:rsidRPr="00C61D62">
              <w:rPr>
                <w:rFonts w:asciiTheme="minorHAnsi" w:hAnsiTheme="minorHAnsi"/>
                <w:bCs/>
                <w:sz w:val="24"/>
                <w:szCs w:val="24"/>
              </w:rPr>
              <w:t xml:space="preserve">svaki financijski proizvod specifičan, pokriva različite rizike i namijenjen je različitim klijentima </w:t>
            </w:r>
            <w:r w:rsidR="00CA5029">
              <w:rPr>
                <w:rFonts w:asciiTheme="minorHAnsi" w:hAnsiTheme="minorHAnsi"/>
                <w:bCs/>
                <w:sz w:val="24"/>
                <w:szCs w:val="24"/>
              </w:rPr>
              <w:t xml:space="preserve">(štedišama/ ulagačima) </w:t>
            </w:r>
            <w:r w:rsidRPr="00C61D62">
              <w:rPr>
                <w:rFonts w:asciiTheme="minorHAnsi" w:hAnsiTheme="minorHAnsi"/>
                <w:bCs/>
                <w:sz w:val="24"/>
                <w:szCs w:val="24"/>
              </w:rPr>
              <w:t xml:space="preserve">odnosno različitim potrebama koje </w:t>
            </w:r>
            <w:r w:rsidR="00CA5029">
              <w:rPr>
                <w:rFonts w:asciiTheme="minorHAnsi" w:hAnsiTheme="minorHAnsi"/>
                <w:bCs/>
                <w:sz w:val="24"/>
                <w:szCs w:val="24"/>
              </w:rPr>
              <w:t xml:space="preserve">osobe i kućanstva </w:t>
            </w:r>
            <w:r w:rsidRPr="00C61D62">
              <w:rPr>
                <w:rFonts w:asciiTheme="minorHAnsi" w:hAnsiTheme="minorHAnsi"/>
                <w:bCs/>
                <w:sz w:val="24"/>
                <w:szCs w:val="24"/>
              </w:rPr>
              <w:t xml:space="preserve">imaju. </w:t>
            </w:r>
            <w:r w:rsidRPr="00CA5029">
              <w:rPr>
                <w:rFonts w:asciiTheme="minorHAnsi" w:hAnsiTheme="minorHAnsi"/>
                <w:bCs/>
                <w:color w:val="C00000"/>
                <w:sz w:val="24"/>
                <w:szCs w:val="24"/>
              </w:rPr>
              <w:t>Svaki proizvod ima svog kupca i razloge zbog kojih postoji pa sukladno tome i različite mogućnosti kapitalizacije štednje</w:t>
            </w:r>
            <w:r w:rsidR="00CA5029" w:rsidRPr="00CA5029">
              <w:rPr>
                <w:rFonts w:asciiTheme="minorHAnsi" w:hAnsiTheme="minorHAnsi"/>
                <w:bCs/>
                <w:color w:val="C00000"/>
                <w:sz w:val="24"/>
                <w:szCs w:val="24"/>
              </w:rPr>
              <w:t xml:space="preserve"> te dodatne pogodnosti koje omoguć</w:t>
            </w:r>
            <w:r w:rsidR="00362746">
              <w:rPr>
                <w:rFonts w:asciiTheme="minorHAnsi" w:hAnsiTheme="minorHAnsi"/>
                <w:bCs/>
                <w:color w:val="C00000"/>
                <w:sz w:val="24"/>
                <w:szCs w:val="24"/>
              </w:rPr>
              <w:t>ava</w:t>
            </w:r>
            <w:r w:rsidRPr="00CA5029">
              <w:rPr>
                <w:rFonts w:asciiTheme="minorHAnsi" w:hAnsiTheme="minorHAnsi"/>
                <w:bCs/>
                <w:color w:val="C00000"/>
                <w:sz w:val="24"/>
                <w:szCs w:val="24"/>
              </w:rPr>
              <w:t>.</w:t>
            </w:r>
          </w:p>
          <w:p w:rsidR="00CC7001" w:rsidRPr="00CA5029" w:rsidRDefault="00582DC4" w:rsidP="002F0DFD">
            <w:pPr>
              <w:spacing w:after="120" w:line="264" w:lineRule="auto"/>
              <w:jc w:val="both"/>
              <w:rPr>
                <w:rFonts w:asciiTheme="minorHAnsi" w:hAnsiTheme="minorHAnsi"/>
                <w:bCs/>
                <w:sz w:val="24"/>
                <w:szCs w:val="24"/>
              </w:rPr>
            </w:pPr>
            <w:r>
              <w:rPr>
                <w:rFonts w:asciiTheme="minorHAnsi" w:hAnsiTheme="minorHAnsi"/>
                <w:bCs/>
                <w:sz w:val="24"/>
                <w:szCs w:val="24"/>
              </w:rPr>
              <w:t xml:space="preserve">Sveukupan tekst materijala i svi navedeni primjeri nipošto nemaju ulogu financijskog savjetovanja, niti su nagovor na kupnju, kao niti nagovor na prodaju. Smisao je edukacija o rizicima, prednostima i nedostacima, pri čemu je moguće da nisu navedene niti sve prednosti niti svi nedostaci jer se oni mijenjaju s promjenama internih i eksternih okolnosti. </w:t>
            </w:r>
            <w:r w:rsidR="00CA5029" w:rsidRPr="00582DC4">
              <w:rPr>
                <w:rFonts w:asciiTheme="minorHAnsi" w:hAnsiTheme="minorHAnsi"/>
                <w:bCs/>
                <w:color w:val="C00000"/>
                <w:sz w:val="24"/>
                <w:szCs w:val="24"/>
              </w:rPr>
              <w:t>Izbor i odluka o izboru odgovarajućeg oblika štednje</w:t>
            </w:r>
            <w:r>
              <w:rPr>
                <w:rFonts w:asciiTheme="minorHAnsi" w:hAnsiTheme="minorHAnsi"/>
                <w:bCs/>
                <w:color w:val="C00000"/>
                <w:sz w:val="24"/>
                <w:szCs w:val="24"/>
              </w:rPr>
              <w:t>/ ulaganja</w:t>
            </w:r>
            <w:r w:rsidR="00CA5029" w:rsidRPr="00582DC4">
              <w:rPr>
                <w:rFonts w:asciiTheme="minorHAnsi" w:hAnsiTheme="minorHAnsi"/>
                <w:bCs/>
                <w:color w:val="C00000"/>
                <w:sz w:val="24"/>
                <w:szCs w:val="24"/>
              </w:rPr>
              <w:t xml:space="preserve"> na kratki, srednji ili dugi rok je </w:t>
            </w:r>
            <w:r w:rsidRPr="00582DC4">
              <w:rPr>
                <w:rFonts w:asciiTheme="minorHAnsi" w:hAnsiTheme="minorHAnsi"/>
                <w:bCs/>
                <w:color w:val="C00000"/>
                <w:sz w:val="24"/>
                <w:szCs w:val="24"/>
              </w:rPr>
              <w:t>isključivo</w:t>
            </w:r>
            <w:r w:rsidR="00CA5029" w:rsidRPr="00582DC4">
              <w:rPr>
                <w:rFonts w:asciiTheme="minorHAnsi" w:hAnsiTheme="minorHAnsi"/>
                <w:bCs/>
                <w:color w:val="C00000"/>
                <w:sz w:val="24"/>
                <w:szCs w:val="24"/>
              </w:rPr>
              <w:t xml:space="preserve"> na pojedincu te je on taj koji razumijevajući prednosti i nedostatke različitih proizvoda odlučuje koji najbolje odgovara</w:t>
            </w:r>
            <w:r w:rsidRPr="00582DC4">
              <w:rPr>
                <w:rFonts w:asciiTheme="minorHAnsi" w:hAnsiTheme="minorHAnsi"/>
                <w:bCs/>
                <w:color w:val="C00000"/>
                <w:sz w:val="24"/>
                <w:szCs w:val="24"/>
              </w:rPr>
              <w:t>ju</w:t>
            </w:r>
            <w:r w:rsidR="00CA5029" w:rsidRPr="00582DC4">
              <w:rPr>
                <w:rFonts w:asciiTheme="minorHAnsi" w:hAnsiTheme="minorHAnsi"/>
                <w:bCs/>
                <w:color w:val="C00000"/>
                <w:sz w:val="24"/>
                <w:szCs w:val="24"/>
              </w:rPr>
              <w:t xml:space="preserve"> njegovim potrebama, financijskim ciljevima, </w:t>
            </w:r>
            <w:r w:rsidRPr="00582DC4">
              <w:rPr>
                <w:rFonts w:asciiTheme="minorHAnsi" w:hAnsiTheme="minorHAnsi"/>
                <w:bCs/>
                <w:color w:val="C00000"/>
                <w:sz w:val="24"/>
                <w:szCs w:val="24"/>
              </w:rPr>
              <w:t>zahtijevanom</w:t>
            </w:r>
            <w:r w:rsidR="00CA5029" w:rsidRPr="00582DC4">
              <w:rPr>
                <w:rFonts w:asciiTheme="minorHAnsi" w:hAnsiTheme="minorHAnsi"/>
                <w:bCs/>
                <w:color w:val="C00000"/>
                <w:sz w:val="24"/>
                <w:szCs w:val="24"/>
              </w:rPr>
              <w:t xml:space="preserve"> prinosu te rizicima koje je spreman preuzeti. </w:t>
            </w:r>
            <w:r w:rsidR="00CA5029">
              <w:rPr>
                <w:rFonts w:asciiTheme="minorHAnsi" w:hAnsiTheme="minorHAnsi"/>
                <w:bCs/>
                <w:sz w:val="24"/>
                <w:szCs w:val="24"/>
              </w:rPr>
              <w:t xml:space="preserve">Osim toga proizvode u funkciji štednje i investicija poželjno je kombinirati. </w:t>
            </w:r>
          </w:p>
        </w:tc>
      </w:tr>
    </w:tbl>
    <w:p w:rsidR="00CC7001" w:rsidRDefault="002F0DFD" w:rsidP="00746B38">
      <w:pPr>
        <w:jc w:val="both"/>
        <w:rPr>
          <w:b/>
        </w:rPr>
      </w:pPr>
      <w:r>
        <w:rPr>
          <w:b/>
        </w:rPr>
        <w:lastRenderedPageBreak/>
        <w:t>LITERATURA</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cs="Arial"/>
          <w:sz w:val="22"/>
          <w:szCs w:val="22"/>
          <w:shd w:val="clear" w:color="auto" w:fill="FFFFFF"/>
        </w:rPr>
        <w:t>Aronson, E. i drugi (2005): „Socijalna psihologija“, Mate, Zagreb</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Barton, D. (2011): „Capitalism for the Long Term“, Harvard Business Review, March.</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Bejaković, P. (2009):  „Vodić za socijalnu uključenost“, Institut za javne financije, 2009., str. 18</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Bejaković, P. (2009): „Vodić za socijalnu uključenost“, Institut za javne financije, str. 3</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Bejaković, P. (2010): „Osobna prezaduženost“, Projekt „Partnerstvo za socijalnu uključenost“, Institut za javne financije, str. 9</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Bejaković, P., Siromaštvo, nejednakost i socijalna isključenost u Europskoj uniji i Hrvatskoj“, dostupno na: http://www.ijf.hr/Eu2/Bejakovic.pdf  </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cs="TimesCR-Roman"/>
          <w:sz w:val="22"/>
          <w:szCs w:val="22"/>
        </w:rPr>
        <w:t>Chandler. A. (1963): „Strategy and Structure: Chapters in History of American Industrial Enterprise“. M:I:T: Press. Cambridge. Mass. str. 15-16</w:t>
      </w:r>
    </w:p>
    <w:p w:rsidR="001B3F5D" w:rsidRPr="0065489A" w:rsidRDefault="001B3F5D" w:rsidP="0065489A">
      <w:pPr>
        <w:pStyle w:val="Naslov1"/>
        <w:shd w:val="clear" w:color="auto" w:fill="FFFFFF"/>
        <w:spacing w:before="120" w:beforeAutospacing="0" w:after="120" w:afterAutospacing="0"/>
        <w:jc w:val="both"/>
        <w:textAlignment w:val="baseline"/>
        <w:rPr>
          <w:rFonts w:asciiTheme="minorHAnsi" w:hAnsiTheme="minorHAnsi" w:cs="Arial"/>
          <w:bCs w:val="0"/>
          <w:sz w:val="22"/>
          <w:szCs w:val="22"/>
        </w:rPr>
      </w:pPr>
      <w:r w:rsidRPr="0065489A">
        <w:rPr>
          <w:rFonts w:asciiTheme="minorHAnsi" w:hAnsiTheme="minorHAnsi"/>
          <w:b w:val="0"/>
          <w:sz w:val="22"/>
          <w:szCs w:val="22"/>
        </w:rPr>
        <w:t>Chansarn, S. (2014): „ T</w:t>
      </w:r>
      <w:r w:rsidRPr="0065489A">
        <w:rPr>
          <w:rFonts w:asciiTheme="minorHAnsi" w:hAnsiTheme="minorHAnsi" w:cs="Arial"/>
          <w:b w:val="0"/>
          <w:bCs w:val="0"/>
          <w:sz w:val="22"/>
          <w:szCs w:val="22"/>
        </w:rPr>
        <w:t xml:space="preserve">he Evaluation of the Sustainable Human Development: A Cross-country Analysis Employing Slack-based DEA“, </w:t>
      </w:r>
      <w:r w:rsidRPr="0065489A">
        <w:rPr>
          <w:rFonts w:asciiTheme="minorHAnsi" w:hAnsiTheme="minorHAnsi" w:cs="Arial"/>
          <w:b w:val="0"/>
          <w:sz w:val="22"/>
          <w:szCs w:val="22"/>
          <w:bdr w:val="none" w:sz="0" w:space="0" w:color="auto" w:frame="1"/>
          <w:shd w:val="clear" w:color="auto" w:fill="F9FBFC"/>
        </w:rPr>
        <w:t>Procedia Environmental Sciences</w:t>
      </w:r>
      <w:r w:rsidRPr="0065489A">
        <w:rPr>
          <w:rFonts w:asciiTheme="minorHAnsi" w:hAnsiTheme="minorHAnsi"/>
          <w:b w:val="0"/>
          <w:sz w:val="22"/>
          <w:szCs w:val="22"/>
        </w:rPr>
        <w:t>, vol. 20., 2014., pp 3-11</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Ćurak, M.; Jakovčević, D. (2007): „Osiguranje i rizici“, RRIF  Plus d.o.o., Zagreb</w:t>
      </w:r>
    </w:p>
    <w:p w:rsidR="00823BDC" w:rsidRPr="0065489A" w:rsidRDefault="00823BDC" w:rsidP="0065489A">
      <w:pPr>
        <w:spacing w:before="120" w:after="120" w:line="240" w:lineRule="auto"/>
      </w:pPr>
      <w:r w:rsidRPr="0065489A">
        <w:t>DZS (2013): „Rezultati Ankete o potrošnji kućanstva u 2011.“,, dostupno na:</w:t>
      </w:r>
    </w:p>
    <w:p w:rsidR="00823BDC" w:rsidRPr="0065489A" w:rsidRDefault="00823BDC" w:rsidP="0065489A">
      <w:pPr>
        <w:spacing w:before="120" w:after="120" w:line="240" w:lineRule="auto"/>
      </w:pPr>
      <w:r w:rsidRPr="0065489A">
        <w:t>http://www.dzs.hr/Hrv_Eng/publication/2012/SI-1484.pdf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eastAsiaTheme="minorHAnsi" w:hAnsiTheme="minorHAnsi" w:cstheme="minorBidi"/>
          <w:sz w:val="22"/>
          <w:szCs w:val="22"/>
          <w:lang w:eastAsia="en-US"/>
        </w:rPr>
        <w:t xml:space="preserve">DZS (2014): „Pokazatelji siromaštva u 2013. – končani podaci“, dostupno na: </w:t>
      </w:r>
      <w:r w:rsidRPr="0065489A">
        <w:rPr>
          <w:rFonts w:asciiTheme="minorHAnsi" w:hAnsiTheme="minorHAnsi"/>
          <w:sz w:val="22"/>
          <w:szCs w:val="22"/>
        </w:rPr>
        <w:t>http://www.dzs.hr/Hrv_Eng/publication/2014/14-01-02_01_2014.htm</w:t>
      </w:r>
    </w:p>
    <w:p w:rsidR="001B3F5D" w:rsidRPr="0065489A" w:rsidRDefault="001B3F5D" w:rsidP="0065489A">
      <w:pPr>
        <w:spacing w:before="120" w:after="120" w:line="240" w:lineRule="auto"/>
        <w:jc w:val="both"/>
      </w:pPr>
      <w:r w:rsidRPr="0065489A">
        <w:t>DZS, Priopćenje „Prosječne mjesečne isplaćene pla</w:t>
      </w:r>
      <w:r w:rsidR="0065489A" w:rsidRPr="0065489A">
        <w:t>će zaposlenih za ožujak 2015.“</w:t>
      </w:r>
    </w:p>
    <w:p w:rsidR="0065489A" w:rsidRDefault="0065489A" w:rsidP="0065489A">
      <w:pPr>
        <w:spacing w:before="120" w:after="120" w:line="240" w:lineRule="auto"/>
        <w:jc w:val="both"/>
      </w:pPr>
      <w:r w:rsidRPr="0065489A">
        <w:t xml:space="preserve">DZS (2012.): „Žene i muškarci u Hrvatskoj 2012.“, dostupno na: </w:t>
      </w:r>
      <w:r w:rsidR="00EA5DBF" w:rsidRPr="00EA5DBF">
        <w:t>http://www.dzs.hr/Hrv_Eng/menandwomen/men_and_women_2012.pdf</w:t>
      </w:r>
    </w:p>
    <w:p w:rsidR="00EA5DBF" w:rsidRPr="00EA5DBF" w:rsidRDefault="00EA5DBF" w:rsidP="00EA5DBF">
      <w:pPr>
        <w:autoSpaceDE w:val="0"/>
        <w:autoSpaceDN w:val="0"/>
        <w:adjustRightInd w:val="0"/>
        <w:spacing w:line="240" w:lineRule="auto"/>
        <w:jc w:val="both"/>
      </w:pPr>
      <w:r w:rsidRPr="00EA5DBF">
        <w:t xml:space="preserve">Elkhoury M. (2008), Credit rating agencies and their potential impact on developing countries, United Nations Conference on Trade and Development, United Nations, No. 186 </w:t>
      </w:r>
    </w:p>
    <w:p w:rsidR="001B3F5D" w:rsidRPr="0065489A" w:rsidRDefault="001B3F5D" w:rsidP="0065489A">
      <w:pPr>
        <w:autoSpaceDE w:val="0"/>
        <w:autoSpaceDN w:val="0"/>
        <w:adjustRightInd w:val="0"/>
        <w:spacing w:before="120" w:after="120" w:line="240" w:lineRule="auto"/>
        <w:jc w:val="both"/>
      </w:pPr>
      <w:r w:rsidRPr="0065489A">
        <w:rPr>
          <w:lang w:val="en-GB"/>
        </w:rPr>
        <w:t>Federal Reserve Bank of Boston: „ How do we measure standard of leaving?</w:t>
      </w:r>
      <w:r w:rsidRPr="0065489A">
        <w:t>“, dostupno na: https://www.bostonfed.org/education/ledger/ledger03/winter/measure.pdf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Fina (2015): „Pregled blokiranih građana prema vjerovnicima i ročnosti – stanje 30.6.2015.</w:t>
      </w:r>
    </w:p>
    <w:p w:rsidR="001B3F5D" w:rsidRPr="0065489A" w:rsidRDefault="001B3F5D" w:rsidP="0065489A">
      <w:pPr>
        <w:pStyle w:val="Tekstfusnote"/>
        <w:spacing w:before="120" w:after="120"/>
        <w:jc w:val="both"/>
        <w:rPr>
          <w:rFonts w:asciiTheme="minorHAnsi" w:hAnsiTheme="minorHAnsi"/>
          <w:sz w:val="22"/>
          <w:szCs w:val="22"/>
        </w:rPr>
      </w:pPr>
      <w:r w:rsidRPr="0065489A">
        <w:rPr>
          <w:rStyle w:val="addmd1"/>
          <w:rFonts w:asciiTheme="minorHAnsi" w:hAnsiTheme="minorHAnsi"/>
          <w:sz w:val="22"/>
          <w:szCs w:val="22"/>
        </w:rPr>
        <w:t xml:space="preserve">Garman, T.; Forgue, R. E. (2005): „Personal finance“, </w:t>
      </w:r>
      <w:r w:rsidRPr="0065489A">
        <w:rPr>
          <w:rFonts w:asciiTheme="minorHAnsi" w:hAnsiTheme="minorHAnsi"/>
          <w:sz w:val="22"/>
          <w:szCs w:val="22"/>
        </w:rPr>
        <w:t>Houghton Mifflin Company, dostupno na: http://books.google.hr/books?id=4lmDIw_4kpkC&amp;pg=PA5&amp;lpg=PA5&amp;dq=E.+Thomas+Garman+happiness+personal+finance&amp;source=bl&amp;ots=jOoKiWCmod&amp;sig=TLzTctIyNpSWdWrF1bBl4PvlCHg&amp;hl=hr&amp;ei=zhGWTbLYCMWCOvznxZIH&amp;sa=X&amp;oi=book_result&amp;ct=result&amp;resnum=2&amp;ved=0CCEQ6AEwAQ#v=onepage&amp;q&amp;f=false (1.4.2011.)</w:t>
      </w:r>
    </w:p>
    <w:p w:rsidR="001B3F5D" w:rsidRPr="0065489A" w:rsidRDefault="001B3F5D" w:rsidP="0065489A">
      <w:pPr>
        <w:spacing w:before="120" w:after="120" w:line="240" w:lineRule="auto"/>
        <w:jc w:val="both"/>
      </w:pPr>
      <w:r w:rsidRPr="0065489A">
        <w:t xml:space="preserve">GfK (2006): „Preferirani oblici štednje“, priopćenje 26.2.2006. Vidjeti također: http://www.gradimo.hr/clanak/gfk-hrvati-preferiraju-stednju-kupovinom-nekretnina/9953 </w:t>
      </w:r>
    </w:p>
    <w:p w:rsidR="001B3F5D" w:rsidRPr="0065489A" w:rsidRDefault="001B3F5D" w:rsidP="0065489A">
      <w:pPr>
        <w:spacing w:before="120" w:after="120" w:line="240" w:lineRule="auto"/>
        <w:jc w:val="both"/>
      </w:pPr>
      <w:r w:rsidRPr="0065489A">
        <w:rPr>
          <w:rFonts w:eastAsia="Times New Roman" w:cs="Times New Roman"/>
          <w:lang w:eastAsia="hr-HR"/>
        </w:rPr>
        <w:t>GfK: „Press release“, 28.2.2014., dostupno na: http://www.gfk.com/cz/news-and-events/news/documents/140226_gfk_press_release_cee_savings_and_loans_enfin.pdf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Hanfa (2015.): „Investicijski fondovi“, dostupno na: http://www.hanfa.hr/getfile/42495/HANFA-Inv-Fond.pdf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Hanfa: „Mirovinski sustav“, dostupno na: http://www.hanfa.hr/getfile/42493/HANFA-Mirovinski.pdf%20%7Cy%20Mirovinski%20sustav</w:t>
      </w:r>
    </w:p>
    <w:p w:rsidR="001B3F5D" w:rsidRPr="0065489A" w:rsidRDefault="001B3F5D" w:rsidP="0065489A">
      <w:pPr>
        <w:autoSpaceDE w:val="0"/>
        <w:autoSpaceDN w:val="0"/>
        <w:adjustRightInd w:val="0"/>
        <w:spacing w:before="120" w:after="120" w:line="240" w:lineRule="auto"/>
        <w:jc w:val="both"/>
      </w:pPr>
      <w:r w:rsidRPr="0065489A">
        <w:rPr>
          <w:bCs/>
        </w:rPr>
        <w:lastRenderedPageBreak/>
        <w:t xml:space="preserve">Hayo, B., Seifert, W. (2003): </w:t>
      </w:r>
      <w:r w:rsidRPr="0065489A">
        <w:t xml:space="preserve">“Subjective Economic Well-being in Eastern Europe”, </w:t>
      </w:r>
      <w:r w:rsidRPr="0065489A">
        <w:rPr>
          <w:i/>
          <w:iCs/>
        </w:rPr>
        <w:t xml:space="preserve">Journal of Economic Psychology, </w:t>
      </w:r>
      <w:r w:rsidRPr="0065489A">
        <w:t>24 (3), str.  329-348</w:t>
      </w:r>
    </w:p>
    <w:p w:rsidR="00823BDC" w:rsidRPr="0065489A" w:rsidRDefault="00823BDC" w:rsidP="0065489A">
      <w:pPr>
        <w:autoSpaceDE w:val="0"/>
        <w:autoSpaceDN w:val="0"/>
        <w:adjustRightInd w:val="0"/>
        <w:spacing w:before="120" w:after="120" w:line="240" w:lineRule="auto"/>
        <w:jc w:val="both"/>
      </w:pPr>
      <w:r w:rsidRPr="0065489A">
        <w:t>HNB, „Financijska stabilnost“, br. 15, srpanj 2015</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H</w:t>
      </w:r>
      <w:r w:rsidRPr="0065489A">
        <w:rPr>
          <w:rFonts w:asciiTheme="minorHAnsi" w:hAnsiTheme="minorHAnsi"/>
          <w:sz w:val="22"/>
          <w:szCs w:val="22"/>
        </w:rPr>
        <w:t xml:space="preserve">ZMO (2015.), dostupno na: </w:t>
      </w:r>
      <w:hyperlink r:id="rId330" w:history="1">
        <w:r w:rsidRPr="0065489A">
          <w:rPr>
            <w:rStyle w:val="Hiperveza"/>
            <w:rFonts w:asciiTheme="minorHAnsi" w:hAnsiTheme="minorHAnsi"/>
            <w:sz w:val="22"/>
            <w:szCs w:val="22"/>
          </w:rPr>
          <w:t>http://www.mirovinsko.hr/default.aspx?ID=71</w:t>
        </w:r>
      </w:hyperlink>
      <w:r w:rsidRPr="0065489A">
        <w:rPr>
          <w:rFonts w:asciiTheme="minorHAnsi" w:hAnsiTheme="minorHAnsi"/>
          <w:sz w:val="22"/>
          <w:szCs w:val="22"/>
        </w:rPr>
        <w:t xml:space="preserve"> (18.9.2015.)</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Ivanov, M. (2008): Utjecaj psiholoških čimbenika na djelotvornost financijskih tržišta, </w:t>
      </w:r>
      <w:r w:rsidRPr="0065489A">
        <w:rPr>
          <w:rFonts w:asciiTheme="minorHAnsi" w:hAnsiTheme="minorHAnsi" w:cs="Arial"/>
          <w:sz w:val="22"/>
          <w:szCs w:val="22"/>
          <w:shd w:val="clear" w:color="auto" w:fill="FFFFFF"/>
        </w:rPr>
        <w:t>Zbornik Ekonomskog fakulteta Sveučilišta u Mostaru</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Ivanov, M. (2011): „Porezna presija i blagostanje u socijalnoj državi: slučaj Hrvatske“, Ekonomija/Economisc god.18, br.1, Rifin, Zagreb, ,str. 21-38</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Ivanov, M. (2011): „Zamke eksterne financijske liberalizacije – pogled iz perspektive monetarnog sustava i modela privređivanja u Hrvatskoj“, </w:t>
      </w:r>
      <w:r w:rsidRPr="0065489A">
        <w:rPr>
          <w:rFonts w:asciiTheme="minorHAnsi" w:hAnsiTheme="minorHAnsi" w:cs="Arial"/>
          <w:sz w:val="22"/>
          <w:szCs w:val="22"/>
          <w:shd w:val="clear" w:color="auto" w:fill="FFFFFF"/>
        </w:rPr>
        <w:t>Ekonomija/Economisc god.18 br.3, Rifin, Zagreb, 2011.,str. 579-608</w:t>
      </w:r>
    </w:p>
    <w:p w:rsidR="001B3F5D" w:rsidRPr="0065489A" w:rsidRDefault="001B3F5D" w:rsidP="0065489A">
      <w:pPr>
        <w:spacing w:before="120" w:after="120" w:line="240" w:lineRule="auto"/>
        <w:jc w:val="both"/>
      </w:pPr>
      <w:r w:rsidRPr="0065489A">
        <w:rPr>
          <w:noProof/>
        </w:rPr>
        <w:t>Ivanov, M.; Maroshi, V. (2014.) „Bankarstvo i osiguranje“, radna bilježnica za treći razred srednje ekonomske škole,  Alka Script</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noProof/>
          <w:sz w:val="22"/>
          <w:szCs w:val="22"/>
        </w:rPr>
        <w:t>Ivanov, M.; Maroshi, V. (2014.) „Bankarstvo i osiguranje“, udžbenik za treći i četvrti razred srednje</w:t>
      </w:r>
      <w:r w:rsidRPr="0065489A">
        <w:rPr>
          <w:rFonts w:asciiTheme="minorHAnsi" w:hAnsiTheme="minorHAnsi"/>
          <w:noProof/>
          <w:sz w:val="22"/>
          <w:szCs w:val="22"/>
        </w:rPr>
        <w:t xml:space="preserve"> ekonomske škole,  Alka Script</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Jelčić, B. (2001): „ Javne financije“, RRiF Plus, Zagreb</w:t>
      </w:r>
    </w:p>
    <w:p w:rsidR="001B3F5D" w:rsidRPr="0065489A" w:rsidRDefault="001B3F5D" w:rsidP="0065489A">
      <w:pPr>
        <w:spacing w:before="120" w:after="120" w:line="240" w:lineRule="auto"/>
        <w:jc w:val="both"/>
      </w:pPr>
      <w:r w:rsidRPr="0065489A">
        <w:t xml:space="preserve">Kappor, J.R. i drugi (2004.) „Personal finance“, </w:t>
      </w:r>
      <w:r w:rsidRPr="0065489A">
        <w:rPr>
          <w:rFonts w:cs="Arial"/>
          <w:color w:val="333333"/>
          <w:shd w:val="clear" w:color="auto" w:fill="FFFFFF"/>
        </w:rPr>
        <w:t>McGraw-Hill</w:t>
      </w:r>
      <w:r w:rsidRPr="0065489A">
        <w:rPr>
          <w:rStyle w:val="apple-converted-space"/>
          <w:rFonts w:cs="Arial"/>
          <w:color w:val="333333"/>
          <w:shd w:val="clear" w:color="auto" w:fill="FFFFFF"/>
        </w:rPr>
        <w:t> </w:t>
      </w:r>
    </w:p>
    <w:p w:rsidR="001B3F5D" w:rsidRPr="0065489A" w:rsidRDefault="001B3F5D" w:rsidP="0065489A">
      <w:pPr>
        <w:pStyle w:val="StandardWeb"/>
        <w:spacing w:before="120" w:beforeAutospacing="0" w:after="120" w:afterAutospacing="0"/>
        <w:jc w:val="both"/>
        <w:rPr>
          <w:rFonts w:asciiTheme="minorHAnsi" w:hAnsiTheme="minorHAnsi"/>
          <w:sz w:val="22"/>
          <w:szCs w:val="22"/>
        </w:rPr>
      </w:pPr>
      <w:r w:rsidRPr="0065489A">
        <w:rPr>
          <w:rFonts w:asciiTheme="minorHAnsi" w:hAnsiTheme="minorHAnsi"/>
          <w:sz w:val="22"/>
          <w:szCs w:val="22"/>
          <w:lang w:val="en-US" w:eastAsia="en-US"/>
        </w:rPr>
        <w:t>Kasser, T. (2002): “The High Price of Materialism”, The MIT Press, Cambridge, MA</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Kindleberger, Ch. P.; Aliber, R. (2006): „</w:t>
      </w:r>
      <w:r w:rsidRPr="0065489A">
        <w:rPr>
          <w:rFonts w:asciiTheme="minorHAnsi" w:hAnsiTheme="minorHAnsi"/>
          <w:i/>
          <w:sz w:val="22"/>
          <w:szCs w:val="22"/>
        </w:rPr>
        <w:t>Najveće svjetske financijske krize: Manije, panike i slomovi</w:t>
      </w:r>
      <w:r w:rsidRPr="0065489A">
        <w:rPr>
          <w:rFonts w:asciiTheme="minorHAnsi" w:hAnsiTheme="minorHAnsi"/>
          <w:sz w:val="22"/>
          <w:szCs w:val="22"/>
        </w:rPr>
        <w:t>“, Masmedija, Zagreb</w:t>
      </w:r>
    </w:p>
    <w:p w:rsidR="0065489A" w:rsidRPr="0065489A" w:rsidRDefault="0065489A"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Legatum Institute (2015), dostupno na:  http://www.prosperity.com/summary.aspx</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Leko, V</w:t>
      </w:r>
      <w:r w:rsidRPr="0065489A">
        <w:rPr>
          <w:rFonts w:asciiTheme="minorHAnsi" w:hAnsiTheme="minorHAnsi"/>
          <w:sz w:val="22"/>
          <w:szCs w:val="22"/>
        </w:rPr>
        <w:t>. (2004): „Financijske institucije i tržišta“, Mikrorad, Zagreb</w:t>
      </w:r>
    </w:p>
    <w:p w:rsidR="001B3F5D" w:rsidRPr="0065489A" w:rsidRDefault="001B3F5D" w:rsidP="0065489A">
      <w:pPr>
        <w:pStyle w:val="Naslov1"/>
        <w:shd w:val="clear" w:color="auto" w:fill="FFFFFF"/>
        <w:spacing w:before="120" w:beforeAutospacing="0" w:after="120" w:afterAutospacing="0"/>
        <w:jc w:val="both"/>
        <w:rPr>
          <w:rFonts w:asciiTheme="minorHAnsi" w:hAnsiTheme="minorHAnsi" w:cs="Arial"/>
          <w:b w:val="0"/>
          <w:sz w:val="22"/>
          <w:szCs w:val="22"/>
        </w:rPr>
      </w:pPr>
      <w:r w:rsidRPr="0065489A">
        <w:rPr>
          <w:rFonts w:asciiTheme="minorHAnsi" w:hAnsiTheme="minorHAnsi"/>
          <w:b w:val="0"/>
          <w:sz w:val="22"/>
          <w:szCs w:val="22"/>
        </w:rPr>
        <w:t>Malkiel, B. G. (2003): „</w:t>
      </w:r>
      <w:r w:rsidRPr="0065489A">
        <w:rPr>
          <w:rStyle w:val="a-size-large"/>
          <w:rFonts w:asciiTheme="minorHAnsi" w:hAnsiTheme="minorHAnsi" w:cs="Arial"/>
          <w:b w:val="0"/>
          <w:sz w:val="22"/>
          <w:szCs w:val="22"/>
        </w:rPr>
        <w:t xml:space="preserve">A Random Walk Down Wall Street“, </w:t>
      </w:r>
      <w:r w:rsidRPr="0065489A">
        <w:rPr>
          <w:rFonts w:asciiTheme="minorHAnsi" w:hAnsiTheme="minorHAnsi" w:cs="Arial"/>
          <w:b w:val="0"/>
          <w:sz w:val="22"/>
          <w:szCs w:val="22"/>
          <w:shd w:val="clear" w:color="auto" w:fill="FFFFFF"/>
        </w:rPr>
        <w:t>W. W. Norton &amp; Company; Eighth Edition edition</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Marcus, B.K. 2006): „Počela ulaganja“, Mate, Zagreb,., str. 63-65</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Matković, T.; Štulhofer, A. (2006) „Socijalna isključenost u Hrvatskoj – empirijska analiza“, u Stare, N.; Ofak, L., Šabić, Š. (ur), „Siromaštvo, nezaposlenost, socijalna isključenost, UNDP, Zagreb</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Ministarstvo financija, Porezna uprava RH, dostupno na: http://www.porezna-uprava.hr/HR_porezni_sustav/Stranice/naslovna_tablica_psrh.aspx</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Mishkin, F. S. (2010): „Ekonomija novca, bankarstva i financijskih tržišta“, Mate, Zagrb</w:t>
      </w:r>
    </w:p>
    <w:p w:rsidR="001B3F5D"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Mishkin, F.S. i Eakins S.G. (2005): „Financijske institucije i tržišta“, Mate, Zagreb</w:t>
      </w:r>
    </w:p>
    <w:p w:rsidR="00EA5DBF" w:rsidRPr="0065489A" w:rsidRDefault="00EA5DBF" w:rsidP="0065489A">
      <w:pPr>
        <w:pStyle w:val="Tekstfusnote"/>
        <w:spacing w:before="120" w:after="120"/>
        <w:jc w:val="both"/>
        <w:rPr>
          <w:rFonts w:asciiTheme="minorHAnsi" w:hAnsiTheme="minorHAnsi"/>
          <w:sz w:val="22"/>
          <w:szCs w:val="22"/>
        </w:rPr>
      </w:pPr>
      <w:r w:rsidRPr="00EA5DBF">
        <w:rPr>
          <w:rFonts w:asciiTheme="minorHAnsi" w:hAnsiTheme="minorHAnsi"/>
          <w:sz w:val="22"/>
          <w:szCs w:val="22"/>
        </w:rPr>
        <w:t>MojeDionice.com, preuzeto sa: http://www.mojedionice.com</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OECD INFE (2011): „Measuring Financial Literacy: Questionnaire and Guidance Notes for Conducting an Internationally Comparable Survey of Financial Literacy“, Paris, OECD, dostupno na: </w:t>
      </w:r>
      <w:r w:rsidR="0065489A" w:rsidRPr="0065489A">
        <w:rPr>
          <w:rFonts w:asciiTheme="minorHAnsi" w:hAnsiTheme="minorHAnsi"/>
          <w:sz w:val="22"/>
          <w:szCs w:val="22"/>
        </w:rPr>
        <w:t>http://www.oecd.org/finance/financial-education/49319977.pdf</w:t>
      </w:r>
      <w:bookmarkStart w:id="6" w:name="_GoBack"/>
      <w:bookmarkEnd w:id="6"/>
    </w:p>
    <w:p w:rsidR="0065489A" w:rsidRPr="0065489A" w:rsidRDefault="0065489A"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Orsag, S.; Dedi, L. (2014.): „Tržište kapitala“, Alka Script</w:t>
      </w:r>
    </w:p>
    <w:p w:rsidR="001B3F5D" w:rsidRPr="0065489A" w:rsidRDefault="001B3F5D" w:rsidP="0065489A">
      <w:pPr>
        <w:autoSpaceDE w:val="0"/>
        <w:autoSpaceDN w:val="0"/>
        <w:adjustRightInd w:val="0"/>
        <w:spacing w:before="120" w:after="120" w:line="240" w:lineRule="auto"/>
        <w:jc w:val="both"/>
      </w:pPr>
      <w:r w:rsidRPr="0065489A">
        <w:rPr>
          <w:bCs/>
        </w:rPr>
        <w:t xml:space="preserve">Paul, S. (2001): </w:t>
      </w:r>
      <w:r w:rsidRPr="0065489A">
        <w:t xml:space="preserve">“A Welfare Loss Measure of Unemployment Illustration”, </w:t>
      </w:r>
      <w:r w:rsidRPr="0065489A">
        <w:rPr>
          <w:i/>
          <w:iCs/>
        </w:rPr>
        <w:t xml:space="preserve">The Manchester School, </w:t>
      </w:r>
      <w:r w:rsidRPr="0065489A">
        <w:t>69 (2), str. 148-163</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P</w:t>
      </w:r>
      <w:r w:rsidRPr="0065489A">
        <w:rPr>
          <w:rFonts w:asciiTheme="minorHAnsi" w:hAnsiTheme="minorHAnsi"/>
          <w:sz w:val="22"/>
          <w:szCs w:val="22"/>
        </w:rPr>
        <w:t>reložnjak, B. (2010): „Pravna priroda ugovora o osiguranju života vezanog uz investicijske fondove“, Zbornik PFZ, dostupno na: file:///C:/Users/mivanov/Downloads/Zbornik_PFZ_3_2011_Preloznjak.pdf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lastRenderedPageBreak/>
        <w:t xml:space="preserve">Rath, T.; </w:t>
      </w:r>
      <w:hyperlink r:id="rId331" w:anchor="#" w:history="1"/>
      <w:r w:rsidRPr="0065489A">
        <w:rPr>
          <w:rFonts w:asciiTheme="minorHAnsi" w:hAnsiTheme="minorHAnsi"/>
          <w:sz w:val="22"/>
          <w:szCs w:val="22"/>
        </w:rPr>
        <w:t>Harter, J.K. (2010): „</w:t>
      </w:r>
      <w:r w:rsidRPr="0065489A">
        <w:rPr>
          <w:rFonts w:asciiTheme="minorHAnsi" w:hAnsiTheme="minorHAnsi"/>
          <w:bCs/>
          <w:sz w:val="22"/>
          <w:szCs w:val="22"/>
        </w:rPr>
        <w:t>Wellbeing: The Five Essential Elements“</w:t>
      </w:r>
      <w:r w:rsidRPr="0065489A">
        <w:rPr>
          <w:rFonts w:asciiTheme="minorHAnsi" w:hAnsiTheme="minorHAnsi"/>
          <w:b/>
          <w:bCs/>
          <w:sz w:val="22"/>
          <w:szCs w:val="22"/>
        </w:rPr>
        <w:t xml:space="preserve">, </w:t>
      </w:r>
      <w:r w:rsidRPr="0065489A">
        <w:rPr>
          <w:rFonts w:asciiTheme="minorHAnsi" w:hAnsiTheme="minorHAnsi"/>
          <w:sz w:val="22"/>
          <w:szCs w:val="22"/>
        </w:rPr>
        <w:t>Gallup Press</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Santini, G. (2008): „Vodič za razumijevanje kućnog budžeta  i računovodstva“, Rifin, Zagreb</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Santini, G.; Bebek, S. (2005): „Vodič za razumijevanje osobnih financija“, Rifin, Zagreb</w:t>
      </w:r>
    </w:p>
    <w:p w:rsidR="000150CA" w:rsidRPr="000150CA" w:rsidRDefault="000150CA" w:rsidP="0065489A">
      <w:pPr>
        <w:pStyle w:val="Tekstfusnote"/>
        <w:spacing w:before="120" w:after="120"/>
        <w:jc w:val="both"/>
        <w:rPr>
          <w:rFonts w:asciiTheme="minorHAnsi" w:hAnsiTheme="minorHAnsi"/>
          <w:sz w:val="22"/>
          <w:szCs w:val="22"/>
        </w:rPr>
      </w:pPr>
      <w:r w:rsidRPr="000150CA">
        <w:rPr>
          <w:rFonts w:asciiTheme="minorHAnsi" w:hAnsiTheme="minorHAnsi"/>
          <w:sz w:val="22"/>
          <w:szCs w:val="22"/>
        </w:rPr>
        <w:t xml:space="preserve">SKDD, dostupno na: </w:t>
      </w:r>
      <w:r w:rsidRPr="000150CA">
        <w:rPr>
          <w:rFonts w:asciiTheme="minorHAnsi" w:hAnsiTheme="minorHAnsi"/>
          <w:sz w:val="22"/>
          <w:szCs w:val="22"/>
        </w:rPr>
        <w:t>http://www.skdd.hr/portal/f?p=100:17:0::NO:::#1</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Shiller, R. J. (1998): „Human Behavior and the Efficiency of the Financial System“, Cowles Foundation Discussion Papers No: 1172., Cowles Foundation, Yale University dostupno na: http://cowles.econ.yale.edu/P/cp/p10a/p1025.pdf</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Sumpor, M. (2002): Tržište državnih vrijednosnica, Ekonomski pregled, br. 53 (3-4), str. 319-342</w:t>
      </w:r>
    </w:p>
    <w:p w:rsidR="001B3F5D" w:rsidRPr="0065489A" w:rsidRDefault="001B3F5D" w:rsidP="0065489A">
      <w:pPr>
        <w:autoSpaceDE w:val="0"/>
        <w:autoSpaceDN w:val="0"/>
        <w:adjustRightInd w:val="0"/>
        <w:spacing w:before="120" w:after="120" w:line="240" w:lineRule="auto"/>
        <w:jc w:val="both"/>
      </w:pPr>
      <w:r w:rsidRPr="0065489A">
        <w:t>UN, Human Development Report 2014, dostupno na: http://hdr.undp.org/sites/default/files/hdr14-report-en-1.pdf</w:t>
      </w:r>
    </w:p>
    <w:p w:rsidR="001B3F5D" w:rsidRPr="0065489A" w:rsidRDefault="001B3F5D" w:rsidP="0065489A">
      <w:pPr>
        <w:autoSpaceDE w:val="0"/>
        <w:autoSpaceDN w:val="0"/>
        <w:adjustRightInd w:val="0"/>
        <w:spacing w:before="120" w:after="120" w:line="240" w:lineRule="auto"/>
        <w:jc w:val="both"/>
      </w:pPr>
      <w:r w:rsidRPr="0065489A">
        <w:rPr>
          <w:bCs/>
        </w:rPr>
        <w:t xml:space="preserve">Wolfers, J., (2003): </w:t>
      </w:r>
      <w:r w:rsidRPr="0065489A">
        <w:t xml:space="preserve">“Is Business Cycle Volatility Costly? Evidence from Surveys of  Subjective Wellbeing”, </w:t>
      </w:r>
      <w:r w:rsidRPr="0065489A">
        <w:rPr>
          <w:i/>
          <w:iCs/>
        </w:rPr>
        <w:t xml:space="preserve">International Finance, </w:t>
      </w:r>
      <w:r w:rsidRPr="0065489A">
        <w:t>6 (1), str. 1-26</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 xml:space="preserve">Zakon o porezu na dohodak, pročišćeni tekst zakona (2015.), dostupno na: </w:t>
      </w:r>
      <w:r w:rsidR="0065489A" w:rsidRPr="0065489A">
        <w:rPr>
          <w:rFonts w:asciiTheme="minorHAnsi" w:hAnsiTheme="minorHAnsi"/>
          <w:sz w:val="22"/>
          <w:szCs w:val="22"/>
        </w:rPr>
        <w:t>http://www.zakon.hr/z/85/Zakon-o-porezu-na-dohodak</w:t>
      </w:r>
    </w:p>
    <w:p w:rsidR="0065489A" w:rsidRPr="0065489A" w:rsidRDefault="0065489A" w:rsidP="0065489A">
      <w:pPr>
        <w:pStyle w:val="Tekstfusnote"/>
        <w:spacing w:before="120" w:after="120"/>
        <w:jc w:val="both"/>
        <w:rPr>
          <w:rFonts w:asciiTheme="minorHAnsi" w:hAnsiTheme="minorHAnsi"/>
          <w:sz w:val="22"/>
          <w:szCs w:val="22"/>
        </w:rPr>
      </w:pPr>
      <w:r w:rsidRPr="0065489A">
        <w:rPr>
          <w:rFonts w:asciiTheme="minorHAnsi" w:hAnsiTheme="minorHAnsi"/>
          <w:noProof/>
          <w:sz w:val="22"/>
          <w:szCs w:val="22"/>
        </w:rPr>
        <w:t>ZSE</w:t>
      </w:r>
      <w:r w:rsidRPr="0065489A">
        <w:rPr>
          <w:rFonts w:asciiTheme="minorHAnsi" w:hAnsiTheme="minorHAnsi"/>
          <w:sz w:val="22"/>
          <w:szCs w:val="22"/>
        </w:rPr>
        <w:t>: http://zse.hr</w:t>
      </w:r>
    </w:p>
    <w:p w:rsidR="001B3F5D" w:rsidRPr="0065489A" w:rsidRDefault="001B3F5D" w:rsidP="0065489A">
      <w:pPr>
        <w:pStyle w:val="Tekstfusnote"/>
        <w:spacing w:before="120" w:after="120"/>
        <w:jc w:val="both"/>
        <w:rPr>
          <w:rFonts w:asciiTheme="minorHAnsi" w:hAnsiTheme="minorHAnsi"/>
          <w:sz w:val="22"/>
          <w:szCs w:val="22"/>
        </w:rPr>
      </w:pPr>
      <w:r w:rsidRPr="0065489A">
        <w:rPr>
          <w:rFonts w:asciiTheme="minorHAnsi" w:hAnsiTheme="minorHAnsi"/>
          <w:sz w:val="22"/>
          <w:szCs w:val="22"/>
        </w:rPr>
        <w:t>Globus, broj 1295, 2015. pod naslovo</w:t>
      </w:r>
      <w:r w:rsidR="0065489A" w:rsidRPr="0065489A">
        <w:rPr>
          <w:rFonts w:asciiTheme="minorHAnsi" w:hAnsiTheme="minorHAnsi"/>
          <w:sz w:val="22"/>
          <w:szCs w:val="22"/>
        </w:rPr>
        <w:t>m„Istina o hrvatskim štedišama“</w:t>
      </w:r>
    </w:p>
    <w:p w:rsidR="0065489A" w:rsidRPr="0065489A" w:rsidRDefault="0065489A" w:rsidP="0065489A">
      <w:pPr>
        <w:spacing w:before="120" w:after="120" w:line="240" w:lineRule="auto"/>
        <w:jc w:val="both"/>
      </w:pPr>
      <w:r w:rsidRPr="0065489A">
        <w:t>http://www.banka.hr/UserDocsImages/Dokumenti/indeks_srece/index_srece_prez_10_12.pdf</w:t>
      </w:r>
    </w:p>
    <w:p w:rsidR="001B3F5D" w:rsidRPr="0065489A" w:rsidRDefault="001B3F5D" w:rsidP="0065489A">
      <w:pPr>
        <w:spacing w:before="120" w:after="120" w:line="240" w:lineRule="auto"/>
        <w:jc w:val="both"/>
      </w:pPr>
      <w:r w:rsidRPr="0065489A">
        <w:t>http://www.novilist.hr/Vijesti/Gospodarstvo/Poreza-na-kamate-nece-biti-za-stednju-do-400.000-kuna</w:t>
      </w:r>
    </w:p>
    <w:p w:rsidR="001B3F5D" w:rsidRPr="0065489A" w:rsidRDefault="001B3F5D" w:rsidP="0065489A">
      <w:pPr>
        <w:spacing w:before="120" w:after="120" w:line="240" w:lineRule="auto"/>
        <w:jc w:val="both"/>
      </w:pPr>
      <w:r w:rsidRPr="0065489A">
        <w:t>http://www.slobodnadalmacija.hr/Hrvatska/tabid/66/articleType/ArticleView/articleId/256265/Default.aspx</w:t>
      </w:r>
    </w:p>
    <w:p w:rsidR="001B3F5D" w:rsidRPr="0065489A" w:rsidRDefault="001B3F5D" w:rsidP="0065489A">
      <w:pPr>
        <w:spacing w:before="120" w:after="120" w:line="240" w:lineRule="auto"/>
        <w:jc w:val="both"/>
      </w:pPr>
      <w:r w:rsidRPr="0065489A">
        <w:t>http://www.vecernji.hr/hrvatska/vece-place-ali-i-novi-porez-za-400000-stedisa-970544</w:t>
      </w:r>
    </w:p>
    <w:p w:rsidR="001B3F5D" w:rsidRPr="007E7493" w:rsidRDefault="0065489A" w:rsidP="0065489A">
      <w:pPr>
        <w:pStyle w:val="Tekstfusnote"/>
        <w:spacing w:before="120" w:after="120"/>
        <w:jc w:val="both"/>
        <w:rPr>
          <w:rFonts w:asciiTheme="minorHAnsi" w:hAnsiTheme="minorHAnsi"/>
        </w:rPr>
      </w:pPr>
      <w:r w:rsidRPr="0065489A">
        <w:rPr>
          <w:rFonts w:asciiTheme="minorHAnsi" w:eastAsiaTheme="minorHAnsi" w:hAnsiTheme="minorHAnsi" w:cstheme="minorBidi"/>
          <w:sz w:val="22"/>
          <w:szCs w:val="22"/>
          <w:lang w:eastAsia="en-US"/>
        </w:rPr>
        <w:t>Korištena su objašnjenja i kalkulatori dostupni na web stranicama brojnih financijskih institucija u Hrvatskoj.</w:t>
      </w:r>
    </w:p>
    <w:p w:rsidR="00746B38" w:rsidRDefault="00746B38" w:rsidP="00746B38">
      <w:pPr>
        <w:jc w:val="both"/>
        <w:rPr>
          <w:b/>
        </w:rPr>
      </w:pPr>
    </w:p>
    <w:p w:rsidR="00746B38" w:rsidRPr="00241CFB" w:rsidRDefault="00746B38" w:rsidP="00241CFB">
      <w:pPr>
        <w:autoSpaceDE w:val="0"/>
        <w:autoSpaceDN w:val="0"/>
        <w:adjustRightInd w:val="0"/>
        <w:jc w:val="both"/>
        <w:rPr>
          <w:bCs/>
          <w:sz w:val="24"/>
          <w:szCs w:val="24"/>
        </w:rPr>
      </w:pPr>
    </w:p>
    <w:sectPr w:rsidR="00746B38" w:rsidRPr="00241CFB" w:rsidSect="00544EF7">
      <w:headerReference w:type="default" r:id="rId332"/>
      <w:footerReference w:type="default" r:id="rId333"/>
      <w:pgSz w:w="11906" w:h="16838"/>
      <w:pgMar w:top="1417" w:right="1417" w:bottom="1417" w:left="1417"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0B8D" w:rsidRDefault="00A40B8D" w:rsidP="003D2FC1">
      <w:pPr>
        <w:spacing w:after="0" w:line="240" w:lineRule="auto"/>
      </w:pPr>
      <w:r>
        <w:separator/>
      </w:r>
    </w:p>
  </w:endnote>
  <w:endnote w:type="continuationSeparator" w:id="0">
    <w:p w:rsidR="00A40B8D" w:rsidRDefault="00A40B8D" w:rsidP="003D2F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imesCR-Roman">
    <w:altName w:val="Times New Roman"/>
    <w:panose1 w:val="00000000000000000000"/>
    <w:charset w:val="00"/>
    <w:family w:val="auto"/>
    <w:notTrueType/>
    <w:pitch w:val="default"/>
    <w:sig w:usb0="00000007" w:usb1="00000000" w:usb2="00000000" w:usb3="00000000" w:csb0="00000003" w:csb1="00000000"/>
  </w:font>
  <w:font w:name="TimesNewRoman">
    <w:altName w:val="Times New Roman"/>
    <w:panose1 w:val="00000000000000000000"/>
    <w:charset w:val="00"/>
    <w:family w:val="auto"/>
    <w:notTrueType/>
    <w:pitch w:val="default"/>
    <w:sig w:usb0="00000007" w:usb1="00000000" w:usb2="00000000" w:usb3="00000000" w:csb0="00000003"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Cambria Math">
    <w:panose1 w:val="02040503050406030204"/>
    <w:charset w:val="EE"/>
    <w:family w:val="roman"/>
    <w:pitch w:val="variable"/>
    <w:sig w:usb0="E00002FF" w:usb1="420024FF" w:usb2="00000000" w:usb3="00000000" w:csb0="0000019F" w:csb1="00000000"/>
  </w:font>
  <w:font w:name="InfoText-BoldCaps-HR">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3089958"/>
      <w:docPartObj>
        <w:docPartGallery w:val="Page Numbers (Bottom of Page)"/>
        <w:docPartUnique/>
      </w:docPartObj>
    </w:sdtPr>
    <w:sdtContent>
      <w:p w:rsidR="00BD2553" w:rsidRDefault="00BD2553">
        <w:pPr>
          <w:pStyle w:val="Podnoje"/>
          <w:jc w:val="right"/>
        </w:pPr>
        <w:r>
          <w:fldChar w:fldCharType="begin"/>
        </w:r>
        <w:r>
          <w:instrText>PAGE   \* MERGEFORMAT</w:instrText>
        </w:r>
        <w:r>
          <w:fldChar w:fldCharType="separate"/>
        </w:r>
        <w:r w:rsidR="00486F9D">
          <w:rPr>
            <w:noProof/>
          </w:rPr>
          <w:t>348</w:t>
        </w:r>
        <w:r>
          <w:fldChar w:fldCharType="end"/>
        </w:r>
      </w:p>
    </w:sdtContent>
  </w:sdt>
  <w:p w:rsidR="00BD2553" w:rsidRDefault="00BD2553">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0B8D" w:rsidRDefault="00A40B8D" w:rsidP="003D2FC1">
      <w:pPr>
        <w:spacing w:after="0" w:line="240" w:lineRule="auto"/>
      </w:pPr>
      <w:r>
        <w:separator/>
      </w:r>
    </w:p>
  </w:footnote>
  <w:footnote w:type="continuationSeparator" w:id="0">
    <w:p w:rsidR="00A40B8D" w:rsidRDefault="00A40B8D" w:rsidP="003D2FC1">
      <w:pPr>
        <w:spacing w:after="0" w:line="240" w:lineRule="auto"/>
      </w:pPr>
      <w:r>
        <w:continuationSeparator/>
      </w:r>
    </w:p>
  </w:footnote>
  <w:footnote w:id="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Santini, G.; Bebek, S. (2005): „Vodič za razumijevanje osobnih financija“, Rifin, Zagreb</w:t>
      </w:r>
    </w:p>
  </w:footnote>
  <w:footnote w:id="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OECD INFE (2011): „Measuring Financial Literacy: Questionnaire and Guidance Notes for Conducting an Internationally Comparable Survey of Financial Literacy“, Paris, OECD, dostupno na: http://www.oecd.org/finance/financial-education/49319977.pdf</w:t>
      </w:r>
    </w:p>
  </w:footnote>
  <w:footnote w:id="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Ivanov, M. (2011): „Porezna presija i blagostanje u socijalnoj državi: slučaj Hrvatske“, Ekonomija/Economisc god.18, br.1, Rifin, Zagreb, ,str. 21-38</w:t>
      </w:r>
    </w:p>
  </w:footnote>
  <w:footnote w:id="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Jelčić, B. (2001): „ Javne financije“, RRiF Plus, Zagreb</w:t>
      </w:r>
    </w:p>
  </w:footnote>
  <w:footnote w:id="5">
    <w:p w:rsidR="00BD2553" w:rsidRPr="007E7493" w:rsidRDefault="00BD2553"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http://www.vecernji.hr/hrvatska/vece-place-ali-i-novi-porez-za-400000-stedisa-970544</w:t>
      </w:r>
    </w:p>
  </w:footnote>
  <w:footnote w:id="6">
    <w:p w:rsidR="00BD2553" w:rsidRPr="007E7493" w:rsidRDefault="00BD2553"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http://www.slobodnadalmacija.hr/Hrvatska/tabid/66/articleType/ArticleView/articleId/256265/Default.aspx</w:t>
      </w:r>
    </w:p>
  </w:footnote>
  <w:footnote w:id="7">
    <w:p w:rsidR="00BD2553" w:rsidRPr="007E7493" w:rsidRDefault="00BD2553"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http://www.novilist.hr/Vijesti/Gospodarstvo/Poreza-na-kamate-nece-biti-za-stednju-do-400.000-kuna</w:t>
      </w:r>
    </w:p>
  </w:footnote>
  <w:footnote w:id="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Objavljeno u tjedniku Globus, broj 1295, 2015. pod naslovom„Istina o hrvatskim štedišama“.</w:t>
      </w:r>
    </w:p>
  </w:footnote>
  <w:footnote w:id="9">
    <w:p w:rsidR="00BD2553" w:rsidRPr="007E7493" w:rsidRDefault="00BD2553" w:rsidP="007E7493">
      <w:pPr>
        <w:jc w:val="both"/>
        <w:rPr>
          <w:sz w:val="20"/>
          <w:szCs w:val="20"/>
        </w:rPr>
      </w:pPr>
      <w:r w:rsidRPr="007E7493">
        <w:rPr>
          <w:rStyle w:val="Referencafusnote"/>
          <w:sz w:val="20"/>
          <w:szCs w:val="20"/>
        </w:rPr>
        <w:footnoteRef/>
      </w:r>
      <w:r w:rsidRPr="007E7493">
        <w:rPr>
          <w:sz w:val="20"/>
          <w:szCs w:val="20"/>
        </w:rPr>
        <w:t xml:space="preserve"> Preuzeto sa: http://www.poslovni.hr/financijska-trzista/hrvati-stede-58-eura-mjesecno-a-austrijanci-cak-181-euro-255727</w:t>
      </w:r>
    </w:p>
    <w:p w:rsidR="00BD2553" w:rsidRPr="007E7493" w:rsidRDefault="00BD2553" w:rsidP="007E7493">
      <w:pPr>
        <w:pStyle w:val="Tekstfusnote"/>
        <w:jc w:val="both"/>
        <w:rPr>
          <w:rFonts w:asciiTheme="minorHAnsi" w:hAnsiTheme="minorHAnsi"/>
        </w:rPr>
      </w:pPr>
    </w:p>
  </w:footnote>
  <w:footnote w:id="10">
    <w:p w:rsidR="00BD2553" w:rsidRPr="007E7493" w:rsidRDefault="00BD2553"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GfK (2006): „Preferirani oblici štednje“, priopćenje 26.2.2006. Vidjeti također: http://www.gradimo.hr/clanak/gfk-hrvati-preferiraju-stednju-kupovinom-nekretnina/9953 </w:t>
      </w:r>
    </w:p>
  </w:footnote>
  <w:footnote w:id="11">
    <w:p w:rsidR="00BD2553" w:rsidRPr="007E7493" w:rsidRDefault="00BD2553"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rFonts w:eastAsia="Times New Roman" w:cs="Times New Roman"/>
          <w:sz w:val="20"/>
          <w:szCs w:val="20"/>
          <w:lang w:eastAsia="hr-HR"/>
        </w:rPr>
        <w:t>GfK: „Press release“, 28.2.2014., dostupno na: http://www.gfk.com/cz/news-and-events/news/documents/140226_gfk_press_release_cee_savings_and_loans_enfin.pdf</w:t>
      </w:r>
    </w:p>
    <w:p w:rsidR="00BD2553" w:rsidRPr="007E7493" w:rsidRDefault="00BD2553" w:rsidP="007E7493">
      <w:pPr>
        <w:pStyle w:val="Tekstfusnote"/>
        <w:jc w:val="both"/>
        <w:rPr>
          <w:rFonts w:asciiTheme="minorHAnsi" w:hAnsiTheme="minorHAnsi"/>
        </w:rPr>
      </w:pPr>
    </w:p>
  </w:footnote>
  <w:footnote w:id="1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Matković, T.; Štulhofer, A. (2006) „Socijalna isključenost u Hrvatskoj – empirijska analiza“, u Stare, N.; Ofak, L., Šabić, Š. (ur), „Siromaštvo, nezaposlenost, socijalna isključenost, UNDP, Zagreb</w:t>
      </w:r>
    </w:p>
  </w:footnote>
  <w:footnote w:id="1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 w:id="1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Centar za ekonomsku i socijalnu uključenost (Centre for Economic and Social Inclusion), dostupno na: http://www.cesi.org.uk  </w:t>
      </w:r>
    </w:p>
  </w:footnote>
  <w:footnote w:id="1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Bejaković, P. (2009): „Vodić za socijalnu uključenost“, Institut za javne financije, str. 3</w:t>
      </w:r>
    </w:p>
  </w:footnote>
  <w:footnote w:id="1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Bejaković, P., Siromaštvo, nejednakost i socijalna isključenost u Europskoj uniji i Hrvatskoj“, dostupno na: http://www.ijf.hr/Eu2/Bejakovic.pdf  </w:t>
      </w:r>
    </w:p>
  </w:footnote>
  <w:footnote w:id="17">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Bejaković, P. (2009):  „Vodić za socijalnu uključenost“, Institut za javne financije, 2009., str. 18</w:t>
      </w:r>
    </w:p>
  </w:footnote>
  <w:footnote w:id="1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Arial"/>
        </w:rPr>
        <w:t>Ukupan dohodak obuhvaća dohodak od nesamostalnog rada, dohodak od samostalnog rada, dohodak od imovine, mirovine, socijalne transfere te ostale novčane primitke koje kućanstvo prima od osoba izvan kućanstva.</w:t>
      </w:r>
    </w:p>
  </w:footnote>
  <w:footnote w:id="19">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eastAsiaTheme="minorHAnsi" w:hAnsiTheme="minorHAnsi" w:cstheme="minorBidi"/>
          <w:lang w:eastAsia="en-US"/>
        </w:rPr>
        <w:t xml:space="preserve">DZS (2014): „Pokazatelji siromaštva u 2013. – končani podaci“, dostupno na: </w:t>
      </w:r>
      <w:r w:rsidRPr="007E7493">
        <w:rPr>
          <w:rFonts w:asciiTheme="minorHAnsi" w:hAnsiTheme="minorHAnsi"/>
        </w:rPr>
        <w:t>http://www.dzs.hr/Hrv_Eng/publication/2014/14-01-02_01_2014.htm</w:t>
      </w:r>
    </w:p>
  </w:footnote>
  <w:footnote w:id="20">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Rath, T.; </w:t>
      </w:r>
      <w:hyperlink r:id="rId1" w:anchor="#" w:history="1"/>
      <w:r w:rsidRPr="007E7493">
        <w:rPr>
          <w:rFonts w:asciiTheme="minorHAnsi" w:hAnsiTheme="minorHAnsi"/>
        </w:rPr>
        <w:t>Harter, J.K. (2010): „</w:t>
      </w:r>
      <w:r w:rsidRPr="007E7493">
        <w:rPr>
          <w:rFonts w:asciiTheme="minorHAnsi" w:hAnsiTheme="minorHAnsi"/>
          <w:bCs/>
        </w:rPr>
        <w:t>Wellbeing: The Five Essential Elements“</w:t>
      </w:r>
      <w:r w:rsidRPr="007E7493">
        <w:rPr>
          <w:rFonts w:asciiTheme="minorHAnsi" w:hAnsiTheme="minorHAnsi"/>
          <w:b/>
          <w:bCs/>
        </w:rPr>
        <w:t xml:space="preserve">, </w:t>
      </w:r>
      <w:r w:rsidRPr="007E7493">
        <w:rPr>
          <w:rFonts w:asciiTheme="minorHAnsi" w:hAnsiTheme="minorHAnsi"/>
        </w:rPr>
        <w:t>Gallup Press</w:t>
      </w:r>
    </w:p>
  </w:footnote>
  <w:footnote w:id="21">
    <w:p w:rsidR="00BD2553" w:rsidRPr="007E7493" w:rsidRDefault="00BD2553" w:rsidP="007E7493">
      <w:pPr>
        <w:pStyle w:val="StandardWeb"/>
        <w:spacing w:before="0" w:beforeAutospacing="0" w:after="0" w:afterAutospacing="0"/>
        <w:jc w:val="both"/>
        <w:rPr>
          <w:rFonts w:asciiTheme="minorHAnsi" w:hAnsiTheme="minorHAnsi"/>
          <w:sz w:val="20"/>
          <w:szCs w:val="20"/>
        </w:rPr>
      </w:pPr>
      <w:r w:rsidRPr="007E7493">
        <w:rPr>
          <w:rStyle w:val="Referencafusnote"/>
          <w:rFonts w:asciiTheme="minorHAnsi" w:hAnsiTheme="minorHAnsi"/>
          <w:sz w:val="20"/>
          <w:szCs w:val="20"/>
        </w:rPr>
        <w:footnoteRef/>
      </w:r>
      <w:r w:rsidRPr="007E7493">
        <w:rPr>
          <w:rFonts w:asciiTheme="minorHAnsi" w:hAnsiTheme="minorHAnsi"/>
          <w:sz w:val="20"/>
          <w:szCs w:val="20"/>
        </w:rPr>
        <w:t xml:space="preserve"> </w:t>
      </w:r>
      <w:r w:rsidRPr="007E7493">
        <w:rPr>
          <w:rFonts w:asciiTheme="minorHAnsi" w:hAnsiTheme="minorHAnsi"/>
          <w:sz w:val="20"/>
          <w:szCs w:val="20"/>
          <w:lang w:val="en-US" w:eastAsia="en-US"/>
        </w:rPr>
        <w:t>Kasser, T. (2002): “The High Price of Materialism”, The MIT Press, Cambridge, MA</w:t>
      </w:r>
    </w:p>
  </w:footnote>
  <w:footnote w:id="2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lang w:val="en"/>
        </w:rPr>
        <w:t>A.H. Maslow (1943): “</w:t>
      </w:r>
      <w:r w:rsidRPr="007E7493">
        <w:rPr>
          <w:rFonts w:asciiTheme="minorHAnsi" w:hAnsiTheme="minorHAnsi"/>
          <w:i/>
          <w:iCs/>
          <w:lang w:val="en"/>
        </w:rPr>
        <w:t>A Theory of Human Motivation”</w:t>
      </w:r>
      <w:r w:rsidRPr="007E7493">
        <w:rPr>
          <w:rFonts w:asciiTheme="minorHAnsi" w:hAnsiTheme="minorHAnsi"/>
          <w:lang w:val="en"/>
        </w:rPr>
        <w:t>, Psychological Review 50(4), str 370-396</w:t>
      </w:r>
    </w:p>
  </w:footnote>
  <w:footnote w:id="2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Style w:val="addmd1"/>
          <w:rFonts w:asciiTheme="minorHAnsi" w:hAnsiTheme="minorHAnsi"/>
        </w:rPr>
        <w:t xml:space="preserve">Garman, T.; Forgue, R. E. (2005): „Personal finance“, </w:t>
      </w:r>
      <w:r w:rsidRPr="007E7493">
        <w:rPr>
          <w:rFonts w:asciiTheme="minorHAnsi" w:hAnsiTheme="minorHAnsi"/>
        </w:rPr>
        <w:t>Houghton Mifflin Company, dostupno na: http://books.google.hr/books?id=4lmDIw_4kpkC&amp;pg=PA5&amp;lpg=PA5&amp;dq=E.+Thomas+Garman+happiness+personal+finance&amp;source=bl&amp;ots=jOoKiWCmod&amp;sig=TLzTctIyNpSWdWrF1bBl4PvlCHg&amp;hl=hr&amp;ei=zhGWTbLYCMWCOvznxZIH&amp;sa=X&amp;oi=book_result&amp;ct=result&amp;resnum=2&amp;ved=0CCEQ6AEwAQ#v=onepage&amp;q&amp;f=false (1.4.2011.)</w:t>
      </w:r>
    </w:p>
  </w:footnote>
  <w:footnote w:id="24">
    <w:p w:rsidR="00BD2553" w:rsidRPr="007E7493" w:rsidRDefault="00BD2553"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bCs/>
          <w:sz w:val="20"/>
          <w:szCs w:val="20"/>
        </w:rPr>
        <w:t xml:space="preserve">Hayo, B., Seifert, W. (2003): </w:t>
      </w:r>
      <w:r w:rsidRPr="007E7493">
        <w:rPr>
          <w:sz w:val="20"/>
          <w:szCs w:val="20"/>
        </w:rPr>
        <w:t xml:space="preserve">“Subjective Economic Well-being in Eastern Europe”, </w:t>
      </w:r>
      <w:r w:rsidRPr="007E7493">
        <w:rPr>
          <w:i/>
          <w:iCs/>
          <w:sz w:val="20"/>
          <w:szCs w:val="20"/>
        </w:rPr>
        <w:t xml:space="preserve">Journal of Economic Psychology, </w:t>
      </w:r>
      <w:r w:rsidRPr="007E7493">
        <w:rPr>
          <w:sz w:val="20"/>
          <w:szCs w:val="20"/>
        </w:rPr>
        <w:t>24 (3), str.  329-348</w:t>
      </w:r>
    </w:p>
  </w:footnote>
  <w:footnote w:id="25">
    <w:p w:rsidR="00BD2553" w:rsidRPr="007E7493" w:rsidRDefault="00BD2553"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bCs/>
          <w:sz w:val="20"/>
          <w:szCs w:val="20"/>
        </w:rPr>
        <w:t xml:space="preserve">Paul, S. (2001): </w:t>
      </w:r>
      <w:r w:rsidRPr="007E7493">
        <w:rPr>
          <w:sz w:val="20"/>
          <w:szCs w:val="20"/>
        </w:rPr>
        <w:t xml:space="preserve">“A Welfare Loss Measure of Unemployment Illustration”, </w:t>
      </w:r>
      <w:r w:rsidRPr="007E7493">
        <w:rPr>
          <w:i/>
          <w:iCs/>
          <w:sz w:val="20"/>
          <w:szCs w:val="20"/>
        </w:rPr>
        <w:t xml:space="preserve">The Manchester School, </w:t>
      </w:r>
      <w:r w:rsidRPr="007E7493">
        <w:rPr>
          <w:sz w:val="20"/>
          <w:szCs w:val="20"/>
        </w:rPr>
        <w:t>69 (2), str. 148-163</w:t>
      </w:r>
    </w:p>
  </w:footnote>
  <w:footnote w:id="26">
    <w:p w:rsidR="00BD2553" w:rsidRPr="007E7493" w:rsidRDefault="00BD2553"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bCs/>
          <w:sz w:val="20"/>
          <w:szCs w:val="20"/>
        </w:rPr>
        <w:t xml:space="preserve">Wolfers, J., (2003): </w:t>
      </w:r>
      <w:r w:rsidRPr="007E7493">
        <w:rPr>
          <w:sz w:val="20"/>
          <w:szCs w:val="20"/>
        </w:rPr>
        <w:t xml:space="preserve">“Is Business Cycle Volatility Costly? Evidence from Surveys of  Subjective Wellbeing”, </w:t>
      </w:r>
      <w:r w:rsidRPr="007E7493">
        <w:rPr>
          <w:i/>
          <w:iCs/>
          <w:sz w:val="20"/>
          <w:szCs w:val="20"/>
        </w:rPr>
        <w:t xml:space="preserve">International Finance, </w:t>
      </w:r>
      <w:r w:rsidRPr="007E7493">
        <w:rPr>
          <w:sz w:val="20"/>
          <w:szCs w:val="20"/>
        </w:rPr>
        <w:t>6 (1), str. 1-26</w:t>
      </w:r>
    </w:p>
    <w:p w:rsidR="00BD2553" w:rsidRPr="007E7493" w:rsidRDefault="00BD2553" w:rsidP="007E7493">
      <w:pPr>
        <w:pStyle w:val="Tekstfusnote"/>
        <w:jc w:val="both"/>
        <w:rPr>
          <w:rFonts w:asciiTheme="minorHAnsi" w:hAnsiTheme="minorHAnsi"/>
        </w:rPr>
      </w:pPr>
    </w:p>
  </w:footnote>
  <w:footnote w:id="27">
    <w:p w:rsidR="00BD2553" w:rsidRPr="007E7493" w:rsidRDefault="00BD2553"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sz w:val="20"/>
          <w:szCs w:val="20"/>
          <w:lang w:val="en-GB"/>
        </w:rPr>
        <w:t>Federal Reserve Bank of Boston: „ How do we measure standard of leaving?</w:t>
      </w:r>
      <w:r w:rsidRPr="007E7493">
        <w:rPr>
          <w:sz w:val="20"/>
          <w:szCs w:val="20"/>
        </w:rPr>
        <w:t>“, dostupno na: https://www.bostonfed.org/education/ledger/ledger03/winter/measure.pdf</w:t>
      </w:r>
    </w:p>
  </w:footnote>
  <w:footnote w:id="28">
    <w:p w:rsidR="00BD2553" w:rsidRPr="007E7493" w:rsidRDefault="00BD2553"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sz w:val="20"/>
          <w:szCs w:val="20"/>
          <w:lang w:val="en-GB"/>
        </w:rPr>
        <w:t xml:space="preserve">Životni standard u pojedinoj zemlji stoga </w:t>
      </w:r>
      <w:r w:rsidRPr="007E7493">
        <w:rPr>
          <w:sz w:val="20"/>
          <w:szCs w:val="20"/>
        </w:rPr>
        <w:t>može biti i veći ili manji nego što pokazuje statistika.</w:t>
      </w:r>
    </w:p>
  </w:footnote>
  <w:footnote w:id="29">
    <w:p w:rsidR="00BD2553" w:rsidRPr="007E7493" w:rsidRDefault="00BD2553" w:rsidP="007E7493">
      <w:pPr>
        <w:autoSpaceDE w:val="0"/>
        <w:autoSpaceDN w:val="0"/>
        <w:adjustRightInd w:val="0"/>
        <w:spacing w:after="0" w:line="240" w:lineRule="auto"/>
        <w:jc w:val="both"/>
        <w:rPr>
          <w:sz w:val="20"/>
          <w:szCs w:val="20"/>
        </w:rPr>
      </w:pPr>
      <w:r w:rsidRPr="007E7493">
        <w:rPr>
          <w:rStyle w:val="Referencafusnote"/>
          <w:sz w:val="20"/>
          <w:szCs w:val="20"/>
        </w:rPr>
        <w:footnoteRef/>
      </w:r>
      <w:r w:rsidRPr="007E7493">
        <w:rPr>
          <w:sz w:val="20"/>
          <w:szCs w:val="20"/>
        </w:rPr>
        <w:t xml:space="preserve"> UN, Human Development Report 2014, dostupno na: http://hdr.undp.org/sites/default/files/hdr14-report-en-1.pdf</w:t>
      </w:r>
    </w:p>
  </w:footnote>
  <w:footnote w:id="30">
    <w:p w:rsidR="00BD2553" w:rsidRPr="007E7493" w:rsidRDefault="00BD2553" w:rsidP="007E7493">
      <w:pPr>
        <w:pStyle w:val="Naslov1"/>
        <w:shd w:val="clear" w:color="auto" w:fill="FFFFFF"/>
        <w:spacing w:before="0" w:beforeAutospacing="0" w:after="180" w:afterAutospacing="0"/>
        <w:jc w:val="both"/>
        <w:textAlignment w:val="baseline"/>
        <w:rPr>
          <w:rFonts w:asciiTheme="minorHAnsi" w:hAnsiTheme="minorHAnsi" w:cs="Arial"/>
          <w:bCs w:val="0"/>
          <w:sz w:val="20"/>
          <w:szCs w:val="20"/>
        </w:rPr>
      </w:pPr>
      <w:r w:rsidRPr="007E7493">
        <w:rPr>
          <w:rStyle w:val="Referencafusnote"/>
          <w:rFonts w:asciiTheme="minorHAnsi" w:hAnsiTheme="minorHAnsi"/>
          <w:sz w:val="20"/>
          <w:szCs w:val="20"/>
        </w:rPr>
        <w:footnoteRef/>
      </w:r>
      <w:r w:rsidRPr="007E7493">
        <w:rPr>
          <w:rFonts w:asciiTheme="minorHAnsi" w:hAnsiTheme="minorHAnsi"/>
          <w:sz w:val="20"/>
          <w:szCs w:val="20"/>
        </w:rPr>
        <w:t xml:space="preserve"> </w:t>
      </w:r>
      <w:r w:rsidRPr="007E7493">
        <w:rPr>
          <w:rFonts w:asciiTheme="minorHAnsi" w:hAnsiTheme="minorHAnsi"/>
          <w:b w:val="0"/>
          <w:sz w:val="20"/>
          <w:szCs w:val="20"/>
        </w:rPr>
        <w:t>Chansarn, S. (2014): „ T</w:t>
      </w:r>
      <w:r w:rsidRPr="007E7493">
        <w:rPr>
          <w:rFonts w:asciiTheme="minorHAnsi" w:hAnsiTheme="minorHAnsi" w:cs="Arial"/>
          <w:b w:val="0"/>
          <w:bCs w:val="0"/>
          <w:sz w:val="20"/>
          <w:szCs w:val="20"/>
        </w:rPr>
        <w:t xml:space="preserve">he Evaluation of the Sustainable Human Development: A Cross-country Analysis Employing Slack-based DEA“, </w:t>
      </w:r>
      <w:r w:rsidRPr="007E7493">
        <w:rPr>
          <w:rFonts w:asciiTheme="minorHAnsi" w:hAnsiTheme="minorHAnsi" w:cs="Arial"/>
          <w:b w:val="0"/>
          <w:sz w:val="20"/>
          <w:szCs w:val="20"/>
          <w:bdr w:val="none" w:sz="0" w:space="0" w:color="auto" w:frame="1"/>
          <w:shd w:val="clear" w:color="auto" w:fill="F9FBFC"/>
        </w:rPr>
        <w:t>Procedia Environmental Sciences</w:t>
      </w:r>
      <w:r w:rsidRPr="007E7493">
        <w:rPr>
          <w:rFonts w:asciiTheme="minorHAnsi" w:hAnsiTheme="minorHAnsi"/>
          <w:b w:val="0"/>
          <w:sz w:val="20"/>
          <w:szCs w:val="20"/>
        </w:rPr>
        <w:t>, vol. 20., 2014., pp 3-11</w:t>
      </w:r>
    </w:p>
    <w:p w:rsidR="00BD2553" w:rsidRPr="007E7493" w:rsidRDefault="00BD2553" w:rsidP="007E7493">
      <w:pPr>
        <w:autoSpaceDE w:val="0"/>
        <w:autoSpaceDN w:val="0"/>
        <w:adjustRightInd w:val="0"/>
        <w:spacing w:after="0" w:line="240" w:lineRule="auto"/>
        <w:jc w:val="both"/>
        <w:rPr>
          <w:b/>
          <w:sz w:val="20"/>
          <w:szCs w:val="20"/>
        </w:rPr>
      </w:pPr>
    </w:p>
  </w:footnote>
  <w:footnote w:id="3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Legatum Institute (2015), dostupno na:  http://www.prosperity.com/summary.aspx </w:t>
      </w:r>
    </w:p>
  </w:footnote>
  <w:footnote w:id="3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TimesCR-Roman"/>
        </w:rPr>
        <w:t>Iako je korištenje pojma „ljudski kapital“ opravdano u kontekstu vlastitog kapitala koji je ugrađen u pojedinca, sam pojam nerijetko je predmet oštre kritike javnosti koja naglašava cinizam korištenja atributa ljudskosti za opis surovog tržišnog poimanja odnosa prema čovjeku i njegovim vrijednostima, a koje se ne mogu usko svesti na novčano izražene vrijednosti u formi plaća, nadnica i drugih dohodaka ostvarenih prodajom rada na tržištu.</w:t>
      </w:r>
    </w:p>
  </w:footnote>
  <w:footnote w:id="33">
    <w:p w:rsidR="00BD2553" w:rsidRPr="007E7493" w:rsidRDefault="00BD2553" w:rsidP="007E7493">
      <w:pPr>
        <w:autoSpaceDE w:val="0"/>
        <w:autoSpaceDN w:val="0"/>
        <w:adjustRightInd w:val="0"/>
        <w:jc w:val="both"/>
        <w:rPr>
          <w:sz w:val="20"/>
          <w:szCs w:val="20"/>
        </w:rPr>
      </w:pPr>
      <w:r w:rsidRPr="007E7493">
        <w:rPr>
          <w:rStyle w:val="Referencafusnote"/>
          <w:sz w:val="20"/>
          <w:szCs w:val="20"/>
        </w:rPr>
        <w:footnoteRef/>
      </w:r>
      <w:r w:rsidRPr="007E7493">
        <w:rPr>
          <w:sz w:val="20"/>
          <w:szCs w:val="20"/>
        </w:rPr>
        <w:t xml:space="preserve"> Malešević</w:t>
      </w:r>
      <w:r w:rsidRPr="007E7493">
        <w:rPr>
          <w:b/>
          <w:sz w:val="20"/>
          <w:szCs w:val="20"/>
        </w:rPr>
        <w:t>-</w:t>
      </w:r>
      <w:r w:rsidRPr="007E7493">
        <w:rPr>
          <w:rStyle w:val="Naglaeno"/>
          <w:b w:val="0"/>
          <w:sz w:val="20"/>
          <w:szCs w:val="20"/>
        </w:rPr>
        <w:t>Perović, L. (2008):</w:t>
      </w:r>
      <w:r w:rsidRPr="007E7493">
        <w:rPr>
          <w:rStyle w:val="Naglaeno"/>
          <w:sz w:val="20"/>
          <w:szCs w:val="20"/>
        </w:rPr>
        <w:t xml:space="preserve"> </w:t>
      </w:r>
      <w:r w:rsidRPr="007E7493">
        <w:rPr>
          <w:sz w:val="20"/>
          <w:szCs w:val="20"/>
        </w:rPr>
        <w:t>Subjektivno ekonomsko zadovoljstvo u tranzicijskim zemljama: Istraživanje relativne važnosti makroekonomskih varijabli, Financijska teorija i praksa, Vol. 32 (4), str. 523-542</w:t>
      </w:r>
    </w:p>
  </w:footnote>
  <w:footnote w:id="34">
    <w:p w:rsidR="00BD2553" w:rsidRPr="007E7493" w:rsidRDefault="00BD2553" w:rsidP="007E7493">
      <w:pPr>
        <w:spacing w:after="0" w:line="240" w:lineRule="auto"/>
        <w:jc w:val="both"/>
        <w:rPr>
          <w:sz w:val="20"/>
          <w:szCs w:val="20"/>
        </w:rPr>
      </w:pPr>
      <w:r w:rsidRPr="007E7493">
        <w:rPr>
          <w:rStyle w:val="Referencafusnote"/>
          <w:sz w:val="20"/>
          <w:szCs w:val="20"/>
        </w:rPr>
        <w:footnoteRef/>
      </w:r>
      <w:r w:rsidRPr="007E7493">
        <w:rPr>
          <w:sz w:val="20"/>
          <w:szCs w:val="20"/>
        </w:rPr>
        <w:t xml:space="preserve"> DZS, Priopćenje „Prosječne mjesečne isplaćene plaće zaposlenih za ožujak 2015.“, dostupno na:</w:t>
      </w:r>
    </w:p>
    <w:p w:rsidR="00BD2553" w:rsidRPr="007E7493" w:rsidRDefault="00BD2553" w:rsidP="007E7493">
      <w:pPr>
        <w:autoSpaceDE w:val="0"/>
        <w:autoSpaceDN w:val="0"/>
        <w:adjustRightInd w:val="0"/>
        <w:spacing w:after="0" w:line="240" w:lineRule="auto"/>
        <w:jc w:val="both"/>
        <w:rPr>
          <w:sz w:val="20"/>
          <w:szCs w:val="20"/>
        </w:rPr>
      </w:pPr>
      <w:r w:rsidRPr="007E7493">
        <w:rPr>
          <w:sz w:val="20"/>
          <w:szCs w:val="20"/>
        </w:rPr>
        <w:t>http://www.dzs.hr/Hrv_Eng/publication/2015/09-01-01_03_2015.htm</w:t>
      </w:r>
    </w:p>
  </w:footnote>
  <w:footnote w:id="3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 Ivanov: „Porezna presija i blagostanje u socijalnoj državi: slučaj Hrvatske“, Ekonomija/Economisc god.18 br.1, Rifin, Zagreb, 2011.,str. 21-38</w:t>
      </w:r>
    </w:p>
  </w:footnote>
  <w:footnote w:id="3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p w:rsidR="00BD2553" w:rsidRPr="007E7493" w:rsidRDefault="00BD2553" w:rsidP="007E7493">
      <w:pPr>
        <w:spacing w:after="0" w:line="240" w:lineRule="auto"/>
        <w:jc w:val="both"/>
        <w:rPr>
          <w:sz w:val="20"/>
          <w:szCs w:val="20"/>
        </w:rPr>
      </w:pPr>
    </w:p>
  </w:footnote>
  <w:footnote w:id="37">
    <w:p w:rsidR="00BD2553" w:rsidRPr="007E7493" w:rsidRDefault="00BD2553" w:rsidP="007E7493">
      <w:pPr>
        <w:autoSpaceDE w:val="0"/>
        <w:autoSpaceDN w:val="0"/>
        <w:adjustRightInd w:val="0"/>
        <w:spacing w:line="240" w:lineRule="auto"/>
        <w:jc w:val="both"/>
        <w:rPr>
          <w:sz w:val="20"/>
          <w:szCs w:val="20"/>
        </w:rPr>
      </w:pPr>
      <w:r w:rsidRPr="007E7493">
        <w:rPr>
          <w:rStyle w:val="Referencafusnote"/>
          <w:sz w:val="20"/>
          <w:szCs w:val="20"/>
        </w:rPr>
        <w:footnoteRef/>
      </w:r>
      <w:r w:rsidRPr="007E7493">
        <w:rPr>
          <w:sz w:val="20"/>
          <w:szCs w:val="20"/>
        </w:rPr>
        <w:t xml:space="preserve"> Šira definicija budžeta (proračuna) koristi se npr. u slučaju definiranja proračuna države za narednu proračunsku (kalendarsku) godinu, dok se u tom slučaju pojam financijski plan koristi s aspekta planiranja prihoda i primitaka te rashoda i izdataka za udaljenija vremenska razdoblja kao što su naredne tri godine. </w:t>
      </w:r>
    </w:p>
    <w:p w:rsidR="00BD2553" w:rsidRPr="007E7493" w:rsidRDefault="00BD2553" w:rsidP="007E7493">
      <w:pPr>
        <w:pStyle w:val="Tekstfusnote"/>
        <w:jc w:val="both"/>
        <w:rPr>
          <w:rFonts w:asciiTheme="minorHAnsi" w:hAnsiTheme="minorHAnsi"/>
        </w:rPr>
      </w:pPr>
    </w:p>
    <w:p w:rsidR="00BD2553" w:rsidRPr="007E7493" w:rsidRDefault="00BD2553" w:rsidP="007E7493">
      <w:pPr>
        <w:spacing w:after="0" w:line="240" w:lineRule="auto"/>
        <w:jc w:val="both"/>
        <w:rPr>
          <w:sz w:val="20"/>
          <w:szCs w:val="20"/>
        </w:rPr>
      </w:pPr>
    </w:p>
  </w:footnote>
  <w:footnote w:id="38">
    <w:p w:rsidR="00BD2553" w:rsidRPr="007E7493" w:rsidRDefault="00BD2553" w:rsidP="007E7493">
      <w:pPr>
        <w:autoSpaceDE w:val="0"/>
        <w:autoSpaceDN w:val="0"/>
        <w:adjustRightInd w:val="0"/>
        <w:spacing w:line="240" w:lineRule="auto"/>
        <w:jc w:val="both"/>
        <w:rPr>
          <w:sz w:val="20"/>
          <w:szCs w:val="20"/>
        </w:rPr>
      </w:pPr>
      <w:r w:rsidRPr="007E7493">
        <w:rPr>
          <w:rStyle w:val="Referencafusnote"/>
          <w:sz w:val="20"/>
          <w:szCs w:val="20"/>
        </w:rPr>
        <w:footnoteRef/>
      </w:r>
      <w:r w:rsidRPr="007E7493">
        <w:rPr>
          <w:sz w:val="20"/>
          <w:szCs w:val="20"/>
        </w:rPr>
        <w:t xml:space="preserve"> Naime, kućanstva nisu država pa da mogu povećati poreze i silom zakona ubrati veće prihode.</w:t>
      </w:r>
    </w:p>
  </w:footnote>
  <w:footnote w:id="39">
    <w:p w:rsidR="00BD2553" w:rsidRPr="007E7493" w:rsidRDefault="00BD2553" w:rsidP="007E7493">
      <w:pPr>
        <w:tabs>
          <w:tab w:val="left" w:pos="1300"/>
        </w:tabs>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rFonts w:cs="TimesNewRoman"/>
          <w:sz w:val="20"/>
          <w:szCs w:val="20"/>
        </w:rPr>
        <w:t>Neto plaća je prihod vezan uz ostvarivanje dohotka od nesamostalnog rada, a jednaka je vrijednosti bruto plaće umanjene za doprinose, porez i prirez. Osobni prihodi (primanja kućanstva) dodatno mogu uključiti neto primitke od autorskih honorara, poduzetničke plaće, mirovine te drugih oblika prihoda od rada, ali to ne znači da svi navedeni oblici predstavljaju redoviti prihod pa stoga u financijske planove, odnosno plan budžeta za naredno razdoblje treba uključiti samo redovite prihode uključujući plaću i mirovine. U skladu s poreznom praksom u Republici Hrvatskoj svi nabrojeni oblici izvora dohotka oporezuju po odbitku, što znači da su prije konačne isplate prethodno umanjeni za pripadajuće izdatke (obvezni doprinosi) te obveze poreza i prireza, odnosno čine raspoloživ (neto) dohodak kućanstva. Zbog toga se tipično uz navedene prihode ne javljaju dodatni rashodi za porezne obveze, iako to nije pravilo jer npr. u slučaju inozemnog dohotka koji nije oporezovan pojedinac treba samostalno obračunati porez i doprinose što znači da se javljaju dodatni rashodi.</w:t>
      </w:r>
    </w:p>
  </w:footnote>
  <w:footnote w:id="40">
    <w:p w:rsidR="00BD2553" w:rsidRPr="007E7493" w:rsidRDefault="00BD2553" w:rsidP="007E7493">
      <w:pPr>
        <w:tabs>
          <w:tab w:val="left" w:pos="1300"/>
        </w:tabs>
        <w:spacing w:after="0" w:line="240" w:lineRule="auto"/>
        <w:jc w:val="both"/>
        <w:rPr>
          <w:sz w:val="20"/>
          <w:szCs w:val="20"/>
        </w:rPr>
      </w:pPr>
      <w:r w:rsidRPr="007E7493">
        <w:rPr>
          <w:rStyle w:val="Referencafusnote"/>
          <w:sz w:val="20"/>
          <w:szCs w:val="20"/>
        </w:rPr>
        <w:footnoteRef/>
      </w:r>
      <w:r w:rsidRPr="007E7493">
        <w:rPr>
          <w:sz w:val="20"/>
          <w:szCs w:val="20"/>
        </w:rPr>
        <w:t xml:space="preserve"> </w:t>
      </w:r>
      <w:r w:rsidRPr="007E7493">
        <w:rPr>
          <w:rFonts w:cs="TimesNewRoman"/>
          <w:sz w:val="20"/>
          <w:szCs w:val="20"/>
        </w:rPr>
        <w:t>U svim nabrojenim slučajevima radi se o izdacima koji uključuju iznose plaćenog poreza na dodanu vrijednost, trošarina i eventualno drugih poreza na potrošnju, što znači da se i na strani rashoda različita fiskalna davanja odražavaju na financije kućanstva.</w:t>
      </w:r>
    </w:p>
  </w:footnote>
  <w:footnote w:id="41">
    <w:p w:rsidR="00BD2553" w:rsidRPr="007E7493" w:rsidRDefault="00BD2553" w:rsidP="007E7493">
      <w:pPr>
        <w:jc w:val="both"/>
        <w:rPr>
          <w:sz w:val="20"/>
          <w:szCs w:val="20"/>
        </w:rPr>
      </w:pPr>
      <w:r w:rsidRPr="007E7493">
        <w:rPr>
          <w:rStyle w:val="Referencafusnote"/>
          <w:sz w:val="20"/>
          <w:szCs w:val="20"/>
        </w:rPr>
        <w:footnoteRef/>
      </w:r>
      <w:r w:rsidRPr="007E7493">
        <w:rPr>
          <w:sz w:val="20"/>
          <w:szCs w:val="20"/>
        </w:rPr>
        <w:t xml:space="preserve"> Prema: Kappor, J.R. i drugi (2004.) „Personal finance“, </w:t>
      </w:r>
      <w:r w:rsidRPr="007E7493">
        <w:rPr>
          <w:rFonts w:cs="Arial"/>
          <w:color w:val="333333"/>
          <w:sz w:val="20"/>
          <w:szCs w:val="20"/>
          <w:shd w:val="clear" w:color="auto" w:fill="FFFFFF"/>
        </w:rPr>
        <w:t>McGraw-Hill</w:t>
      </w:r>
      <w:r w:rsidRPr="007E7493">
        <w:rPr>
          <w:rStyle w:val="apple-converted-space"/>
          <w:rFonts w:cs="Arial"/>
          <w:color w:val="333333"/>
          <w:sz w:val="20"/>
          <w:szCs w:val="20"/>
          <w:shd w:val="clear" w:color="auto" w:fill="FFFFFF"/>
        </w:rPr>
        <w:t> </w:t>
      </w:r>
    </w:p>
    <w:p w:rsidR="00BD2553" w:rsidRPr="007E7493" w:rsidRDefault="00BD2553" w:rsidP="007E7493">
      <w:pPr>
        <w:pStyle w:val="Tekstfusnote"/>
        <w:jc w:val="both"/>
        <w:rPr>
          <w:rFonts w:asciiTheme="minorHAnsi" w:hAnsiTheme="minorHAnsi"/>
        </w:rPr>
      </w:pPr>
    </w:p>
  </w:footnote>
  <w:footnote w:id="42">
    <w:p w:rsidR="00BD2553" w:rsidRPr="007E7493" w:rsidRDefault="00BD2553" w:rsidP="007E7493">
      <w:pPr>
        <w:tabs>
          <w:tab w:val="left" w:pos="1300"/>
        </w:tabs>
        <w:spacing w:after="0" w:line="240" w:lineRule="auto"/>
        <w:jc w:val="both"/>
        <w:rPr>
          <w:sz w:val="20"/>
          <w:szCs w:val="20"/>
        </w:rPr>
      </w:pPr>
      <w:r w:rsidRPr="007E7493">
        <w:rPr>
          <w:rStyle w:val="Referencafusnote"/>
          <w:sz w:val="20"/>
          <w:szCs w:val="20"/>
        </w:rPr>
        <w:footnoteRef/>
      </w:r>
      <w:r w:rsidRPr="007E7493">
        <w:rPr>
          <w:sz w:val="20"/>
          <w:szCs w:val="20"/>
        </w:rPr>
        <w:t xml:space="preserve"> Lakšem planiranju mogućeg rasta kamatnih stopa na otplate kredita u novijoj povijesti djelomično pomaže praksa banaka da definiraju kamatnjake uz koje će se izvršavati otplata kredita u narednih šest mjeseci.</w:t>
      </w:r>
    </w:p>
  </w:footnote>
  <w:footnote w:id="4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Santini, G.; Bebek, S. (2005): „Vodič za razumijevanje osobnih financija“, Rifin, Zagreb</w:t>
      </w:r>
    </w:p>
  </w:footnote>
  <w:footnote w:id="4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TimesCR-Roman"/>
        </w:rPr>
        <w:t>Chandler. A. (1963): „Strategy and Structure: Chapters in History of American Industrial Enterprise“. M:I:T: Press. Cambridge. Mass. str. 15-16</w:t>
      </w:r>
    </w:p>
    <w:p w:rsidR="00BD2553" w:rsidRPr="007E7493" w:rsidRDefault="00BD2553" w:rsidP="007E7493">
      <w:pPr>
        <w:spacing w:after="0" w:line="240" w:lineRule="auto"/>
        <w:jc w:val="both"/>
        <w:rPr>
          <w:sz w:val="20"/>
          <w:szCs w:val="20"/>
        </w:rPr>
      </w:pPr>
    </w:p>
  </w:footnote>
  <w:footnote w:id="4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Santini, G. (2008): „Vodič za razumijevanje kućnog budžeta  i računovodstva“, Rifin, Zagreb</w:t>
      </w:r>
    </w:p>
  </w:footnote>
  <w:footnote w:id="4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Navedeno podrazumijeva učinke rashoda na formiranje neto štednje u računu financijske uspješnosti te analizu međuovisnosti salda računa financijske uspješnosti i veličine vlastitog kapitala.</w:t>
      </w:r>
    </w:p>
  </w:footnote>
  <w:footnote w:id="47">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Navedeno vrijedi i u slučaju kada pojedinci podnose godišnju porezne prijavu poreza na dohodak gdje povrat više plaćenog poreza i prireza znači izvanredne prihode, a razlika za uplatu manje plaćenog poreza i prireza znači izvanredne rashode. Međutim, kako je tipično da se porezna prijava za prethodnu kalendarsku godinu podnosi do kraja veljače tekuće godine, spomenuti izvanredni prihodi i rashodi odražavaju se na račun financijske uspješnosti s jednogodišnjim vremenskim pomakom u odnosu na prihode i rashode iz prethodnog obračunskog razdoblja. </w:t>
      </w:r>
    </w:p>
  </w:footnote>
  <w:footnote w:id="4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Santini, G. (2008): „Vodič za razumijevanje kućnog budžeta  i računovodstva“, Rifin, Zagreb. </w:t>
      </w:r>
    </w:p>
  </w:footnote>
  <w:footnote w:id="49">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Santini, G. (2008): „Vodič za razumijevanje kućnog budžeta  i računovodstva“, Rifin, Zagreb.</w:t>
      </w:r>
    </w:p>
  </w:footnote>
  <w:footnote w:id="50">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Style w:val="addmd1"/>
          <w:rFonts w:asciiTheme="minorHAnsi" w:hAnsiTheme="minorHAnsi"/>
        </w:rPr>
        <w:t xml:space="preserve">Garman, T.; Forgue, R. E. (2005): „Personal finance“, </w:t>
      </w:r>
      <w:r w:rsidRPr="007E7493">
        <w:rPr>
          <w:rFonts w:asciiTheme="minorHAnsi" w:hAnsiTheme="minorHAnsi"/>
        </w:rPr>
        <w:t>Houghton Mifflin Company, dostupno na: http://books.google.hr/books?id=4lmDIw_4kpkC&amp;pg=PA5&amp;lpg=PA5&amp;dq=E.+Thomas+Garman+happiness+personal+finance&amp;source=bl&amp;ots=jOoKiWCmod&amp;sig=TLzTctIyNpSWdWrF1bBl4PvlCHg&amp;hl=hr&amp;ei=zhGWTbLYCMWCOvznxZIH&amp;sa=X&amp;oi=book_result&amp;ct=result&amp;resnum=2&amp;ved=0CCEQ6AEwAQ#v=onepage&amp;q&amp;f=false (1.4.2011.)</w:t>
      </w:r>
    </w:p>
  </w:footnote>
  <w:footnote w:id="5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Vidjeti opširnije: Ministarstvo financija, Porezna uprava RH, dostupno na: http://www.porezna-uprava.hr/HR_porezni_sustav/Stranice/naslovna_tablica_psrh.aspx</w:t>
      </w:r>
    </w:p>
  </w:footnote>
  <w:footnote w:id="5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 w:id="5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Zakon o porezu na dohodak, pročišćeni tekst zakona (2015.), dostupno na: http://www.zakon.hr/z/85/Zakon-o-porezu-na-dohodak.</w:t>
      </w:r>
    </w:p>
  </w:footnote>
  <w:footnote w:id="5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Zakon o porezu na dohodak, pročišćeni tekst zakona (2015.), dostupno na: http://www.zakon.hr/z/85/Zakon-o-porezu-na-dohodak.</w:t>
      </w:r>
    </w:p>
  </w:footnote>
  <w:footnote w:id="5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TimesNewRoman"/>
        </w:rPr>
        <w:t>Jačina recesije može varirati, a njen ekstremni oblik predstavlja depresija (na primjer Velika depresija 1929. godine).</w:t>
      </w:r>
    </w:p>
  </w:footnote>
  <w:footnote w:id="5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U uvjetima inflacije nominalni kamatnjaci na štednju (kao i na kredite) rastu. </w:t>
      </w:r>
    </w:p>
  </w:footnote>
  <w:footnote w:id="57">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Vidjeti npr. </w:t>
      </w:r>
      <w:r w:rsidRPr="007E7493">
        <w:rPr>
          <w:rFonts w:asciiTheme="minorHAnsi" w:hAnsiTheme="minorHAnsi" w:cs="Arial"/>
          <w:shd w:val="clear" w:color="auto" w:fill="FFFFFF"/>
        </w:rPr>
        <w:t>Aronson, E. i drugi (2005): „Socijalna psihologija“, Mate, Zagreb</w:t>
      </w:r>
    </w:p>
  </w:footnote>
  <w:footnote w:id="5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Mishkin, F.S. i Eakins S.G. (2005): „Financijske institucije i tržišta“, Mate, Zagreb</w:t>
      </w:r>
    </w:p>
  </w:footnote>
  <w:footnote w:id="59">
    <w:p w:rsidR="00BD2553" w:rsidRPr="007E7493" w:rsidRDefault="00BD2553" w:rsidP="007E7493">
      <w:pPr>
        <w:spacing w:before="120" w:after="120"/>
        <w:jc w:val="both"/>
        <w:rPr>
          <w:rFonts w:eastAsia="Times New Roman" w:cs="Times New Roman"/>
          <w:sz w:val="20"/>
          <w:szCs w:val="20"/>
          <w:lang w:eastAsia="hr-HR"/>
        </w:rPr>
      </w:pPr>
      <w:r w:rsidRPr="007E7493">
        <w:rPr>
          <w:rFonts w:eastAsia="Times New Roman" w:cs="Times New Roman"/>
          <w:sz w:val="20"/>
          <w:szCs w:val="20"/>
          <w:lang w:eastAsia="hr-HR"/>
        </w:rPr>
        <w:footnoteRef/>
      </w:r>
      <w:r w:rsidRPr="007E7493">
        <w:rPr>
          <w:rFonts w:eastAsia="Times New Roman" w:cs="Times New Roman"/>
          <w:sz w:val="20"/>
          <w:szCs w:val="20"/>
          <w:lang w:eastAsia="hr-HR"/>
        </w:rPr>
        <w:t xml:space="preserve"> Neizvjesnost ostvarivanja očekivanog povrata svakoga pojedinačnog oblika imovine može se iskazati korištenjem standardne devijacije kao mjere rizika. Veća standardna devijacija znači veći rizik imovine.</w:t>
      </w:r>
    </w:p>
    <w:p w:rsidR="00BD2553" w:rsidRPr="007E7493" w:rsidRDefault="00BD2553" w:rsidP="007E7493">
      <w:pPr>
        <w:pStyle w:val="Tekstfusnote"/>
        <w:jc w:val="both"/>
        <w:rPr>
          <w:rFonts w:asciiTheme="minorHAnsi" w:hAnsiTheme="minorHAnsi"/>
        </w:rPr>
      </w:pPr>
    </w:p>
  </w:footnote>
  <w:footnote w:id="60">
    <w:p w:rsidR="00BD2553" w:rsidRPr="007E7493" w:rsidRDefault="00BD2553" w:rsidP="007E7493">
      <w:pPr>
        <w:spacing w:after="0" w:line="240" w:lineRule="auto"/>
        <w:jc w:val="both"/>
        <w:rPr>
          <w:sz w:val="20"/>
          <w:szCs w:val="20"/>
        </w:rPr>
      </w:pPr>
      <w:r w:rsidRPr="007E7493">
        <w:rPr>
          <w:rFonts w:eastAsia="Times New Roman" w:cs="Times New Roman"/>
          <w:sz w:val="20"/>
          <w:szCs w:val="20"/>
          <w:lang w:eastAsia="hr-HR"/>
        </w:rPr>
        <w:footnoteRef/>
      </w:r>
      <w:r w:rsidRPr="007E7493">
        <w:rPr>
          <w:noProof/>
          <w:sz w:val="20"/>
          <w:szCs w:val="20"/>
        </w:rPr>
        <w:t xml:space="preserve"> Ivanov, M.; Maroshi, V. (2014.) „Bankarstvo i osiguranje“, radna bilježnica za treći razred srednje ekonomske škole,  Alka Script, 2014. U izradi radne bilježnice korišena su objašnjenja iz udžbenika „Matematika“, autora Šego, B. (izdvač Neodidakta, 1998.)</w:t>
      </w:r>
    </w:p>
  </w:footnote>
  <w:footnote w:id="6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noProof/>
        </w:rPr>
        <w:t xml:space="preserve"> </w:t>
      </w:r>
      <w:r w:rsidRPr="007E7493">
        <w:rPr>
          <w:rFonts w:asciiTheme="minorHAnsi" w:hAnsiTheme="minorHAnsi" w:cs="Arial"/>
          <w:shd w:val="clear" w:color="auto" w:fill="FFFFFF"/>
        </w:rPr>
        <w:t>Aronson, E. i drugi (2005): „Socijalna psihologija“, Mate, Zagreb</w:t>
      </w:r>
    </w:p>
  </w:footnote>
  <w:footnote w:id="6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Ivanov, M.; Maroshi, V. (2014.) „Bankarstvo i osiguranje“, udžbenik za treći i četvrti razred srednje ekonomske škole,  Alka Script, 2014. U izradi ovog teksta kao i spomenutog udžbenika korištene s informacije dostupne na web stranicama brojnih banaka u Hrvatskoj.</w:t>
      </w:r>
    </w:p>
  </w:footnote>
  <w:footnote w:id="6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Ivanov, M.; Maroshi, V. (2014.) „Bankarstvo i osiguranje“, udžbenik za treći i četvrti razred srednje ekonomske škole,  Alka Script, 2014., str. 70.  U izradi ovog teksta kao i spomenutog udžbenika korištene s informacije dostupne na web stranicama brojnih banaka i kartičnih kuća u Hrvatskoj.</w:t>
      </w:r>
    </w:p>
  </w:footnote>
  <w:footnote w:id="6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Ibid., str. 67.</w:t>
      </w:r>
    </w:p>
  </w:footnote>
  <w:footnote w:id="6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Ibid., str. 68.</w:t>
      </w:r>
    </w:p>
  </w:footnote>
  <w:footnote w:id="6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Ivanov, M.; Maroshi, V. (2014.) „Bankarstvo i osiguranje“, udžbenik za treći i četvrti razred srednje ekonomske škole,  Alka Script, 2014., str. 121.  U izradi ovog teksta kao i spomenutog udžbenika korištene s informacije dostupne na web stranicama brojnih banaka i kartičnih kuća u Hrvatskoj.</w:t>
      </w:r>
    </w:p>
  </w:footnote>
  <w:footnote w:id="67">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 xml:space="preserve">Ibid., str. 127-128.  </w:t>
      </w:r>
    </w:p>
  </w:footnote>
  <w:footnote w:id="6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Izračun je informativan te se u druge svrhe ne može koristiti.</w:t>
      </w:r>
    </w:p>
  </w:footnote>
  <w:footnote w:id="69">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w:t>
      </w:r>
      <w:r w:rsidRPr="007E7493">
        <w:rPr>
          <w:rFonts w:asciiTheme="minorHAnsi" w:hAnsiTheme="minorHAnsi"/>
          <w:noProof/>
        </w:rPr>
        <w:t xml:space="preserve">vanov, M.; Maroshi, V. (2014.) „Bankarstvo i osiguranje“, udžbenik za treći i četvrti razred str. 124-125.  </w:t>
      </w:r>
    </w:p>
  </w:footnote>
  <w:footnote w:id="70">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 xml:space="preserve">Ibid., str. 124-125.  </w:t>
      </w:r>
    </w:p>
  </w:footnote>
  <w:footnote w:id="7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Otplatna kvota i otplatna rata su različiti pojmovi pa o tome treba voditi računa. </w:t>
      </w:r>
      <w:r w:rsidRPr="007E7493">
        <w:rPr>
          <w:rFonts w:asciiTheme="minorHAnsi" w:hAnsiTheme="minorHAnsi"/>
          <w:noProof/>
        </w:rPr>
        <w:t xml:space="preserve">  </w:t>
      </w:r>
    </w:p>
  </w:footnote>
  <w:footnote w:id="7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 xml:space="preserve">Ibid., str. 114-115.  </w:t>
      </w:r>
    </w:p>
  </w:footnote>
  <w:footnote w:id="7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Ovršni zakon, pročišćeni tekst, dostupno na: http://www.zakon.hr/z/74/Ovr%C5%A1ni-zakon</w:t>
      </w:r>
    </w:p>
  </w:footnote>
  <w:footnote w:id="7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 w:id="7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Bejaković, P. (2010): „Osobna prezaduženost“, Projekt „Partnerstvo za socijalnu uključenost“, Institut za javne financije, str. 9</w:t>
      </w:r>
    </w:p>
  </w:footnote>
  <w:footnote w:id="7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 str. 10</w:t>
      </w:r>
    </w:p>
  </w:footnote>
  <w:footnote w:id="77">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Fina (2015): „Pregled blokiranih građana prema vjerovnicima i ročnosti – stanje 30.6.2015.</w:t>
      </w:r>
    </w:p>
  </w:footnote>
  <w:footnote w:id="7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Arial"/>
        </w:rPr>
        <w:t>Izvor Državni zavod za statistiku, http://www.dzs.hr/</w:t>
      </w:r>
    </w:p>
  </w:footnote>
  <w:footnote w:id="79">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Arial"/>
        </w:rPr>
        <w:t>Stanje 30.6.2015., 3.569.983 građana ima u poslovnim bankama otvoren jedan ili više računa.</w:t>
      </w:r>
    </w:p>
  </w:footnote>
  <w:footnote w:id="80">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Fina (2015, op.cit. </w:t>
      </w:r>
    </w:p>
  </w:footnote>
  <w:footnote w:id="8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Ćurak, M.; Jakovčević, D. (2007): „Osiguranje i rizici“, RRIF  Plus d.o.o., Zagreb</w:t>
      </w:r>
    </w:p>
  </w:footnote>
  <w:footnote w:id="8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http://www.crosig.hr/hr/kampanje/osiguranje-imovine/</w:t>
      </w:r>
    </w:p>
  </w:footnote>
  <w:footnote w:id="8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noProof/>
        </w:rPr>
        <w:t>Ivanov, M.; Maroshi, V. (2014.) „Bankarstvo i osiguranje“, Alka Script, str. 89</w:t>
      </w:r>
    </w:p>
  </w:footnote>
  <w:footnote w:id="8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Ćurak, M.; Jakovčević, D. (2007), op.cit. </w:t>
      </w:r>
    </w:p>
  </w:footnote>
  <w:footnote w:id="8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Za razliku od npr. osiguranja stana ugovorenog  na npr. 10 godina ili dopunskog zdravstvenog osiguranja ugovorenog npr. na tri godine, kod kojih nepodmirivanje obveze plaćanja premije rezultira dodatnim troškovima zatezne kamate te mogućnošću pokretanja postupka ovrhe.</w:t>
      </w:r>
    </w:p>
  </w:footnote>
  <w:footnote w:id="8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http://www.elitaplus.hr/rjecnik.htm</w:t>
      </w:r>
    </w:p>
  </w:footnote>
  <w:footnote w:id="87">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Preložnjak, B. (2010): „Pravna priroda ugovora o osiguranju života vezanog uz investicijske fondove“, Zbornik PFZ, dostupno na: file:///C:/Users/mivanov/Downloads/Zbornik_PFZ_3_2011_Preloznjak.pdf</w:t>
      </w:r>
    </w:p>
  </w:footnote>
  <w:footnote w:id="8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Leko, </w:t>
      </w:r>
      <w:r w:rsidR="0065489A">
        <w:rPr>
          <w:rFonts w:asciiTheme="minorHAnsi" w:hAnsiTheme="minorHAnsi"/>
        </w:rPr>
        <w:t>V</w:t>
      </w:r>
      <w:r w:rsidRPr="007E7493">
        <w:rPr>
          <w:rFonts w:asciiTheme="minorHAnsi" w:hAnsiTheme="minorHAnsi"/>
        </w:rPr>
        <w:t>. (2004): „Financijske institucije i tržišta“, Mikrorad, Zagreb</w:t>
      </w:r>
    </w:p>
  </w:footnote>
  <w:footnote w:id="89">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w:t>
      </w:r>
      <w:r w:rsidRPr="007E7493">
        <w:rPr>
          <w:rFonts w:asciiTheme="minorHAnsi" w:hAnsiTheme="minorHAnsi"/>
          <w:noProof/>
        </w:rPr>
        <w:t xml:space="preserve">vanov, M.; Maroshi, V. (2014.) „Bankarstvo i osiguranje“, udžbenik za treći i četvrti razred srednje ekonomske škole,  Alka Script, 2014., str. 168-169. </w:t>
      </w:r>
    </w:p>
  </w:footnote>
  <w:footnote w:id="90">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 </w:t>
      </w:r>
      <w:r w:rsidRPr="007E7493">
        <w:rPr>
          <w:rFonts w:asciiTheme="minorHAnsi" w:hAnsiTheme="minorHAnsi"/>
          <w:noProof/>
        </w:rPr>
        <w:t xml:space="preserve"> </w:t>
      </w:r>
    </w:p>
  </w:footnote>
  <w:footnote w:id="9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 </w:t>
      </w:r>
      <w:r w:rsidRPr="007E7493">
        <w:rPr>
          <w:rFonts w:asciiTheme="minorHAnsi" w:hAnsiTheme="minorHAnsi"/>
          <w:noProof/>
        </w:rPr>
        <w:t xml:space="preserve"> </w:t>
      </w:r>
    </w:p>
  </w:footnote>
  <w:footnote w:id="9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Mishkin, F. S. (2010): „Ekonomija novca, bankarstva i financijskih tržišta“, Mate, Zagrb</w:t>
      </w:r>
    </w:p>
  </w:footnote>
  <w:footnote w:id="9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Zakon o porezu na dohodak, pročišćeni tekst zakona (2015.), dostupno na: http://www.zakon.hr/z/85/Zakon-o-porezu-na-dohodak.</w:t>
      </w:r>
    </w:p>
  </w:footnote>
  <w:footnote w:id="9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cstheme="minorBidi"/>
        </w:rPr>
        <w:t xml:space="preserve">Hanfa je nadležna i za nadzor Fonda hrvatskih branitelja iz Domovinskog rata i članova njihovih obitelji i Umirovljeničkog fonda. Vidjeti: </w:t>
      </w:r>
      <w:r w:rsidRPr="007E7493">
        <w:rPr>
          <w:rFonts w:asciiTheme="minorHAnsi" w:hAnsiTheme="minorHAnsi"/>
        </w:rPr>
        <w:t>Hanfa, http://www.hanfa.hr/nav/255/naslovni-tekst---investiciski-fondovi.html</w:t>
      </w:r>
    </w:p>
  </w:footnote>
  <w:footnote w:id="9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Prema podacima Hanfa-e, dostupno na: http://www.hanfa.hr/HR/nav/106/statistika.html#section3</w:t>
      </w:r>
    </w:p>
  </w:footnote>
  <w:footnote w:id="9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Hanfa (2015.): „Investicijski fondovi“, dostupno na: http://www.hanfa.hr/getfile/42495/HANFA-Inv-Fond.pdf</w:t>
      </w:r>
    </w:p>
  </w:footnote>
  <w:footnote w:id="97">
    <w:p w:rsidR="00BD2553" w:rsidRPr="007E7493" w:rsidRDefault="00BD2553" w:rsidP="007E7493">
      <w:pPr>
        <w:pStyle w:val="Naslov1"/>
        <w:shd w:val="clear" w:color="auto" w:fill="FFFFFF"/>
        <w:spacing w:before="0" w:beforeAutospacing="0"/>
        <w:jc w:val="both"/>
        <w:rPr>
          <w:rFonts w:asciiTheme="minorHAnsi" w:hAnsiTheme="minorHAnsi" w:cs="Arial"/>
          <w:b w:val="0"/>
          <w:sz w:val="20"/>
          <w:szCs w:val="20"/>
        </w:rPr>
      </w:pPr>
      <w:r w:rsidRPr="007E7493">
        <w:rPr>
          <w:rStyle w:val="Referencafusnote"/>
          <w:rFonts w:asciiTheme="minorHAnsi" w:hAnsiTheme="minorHAnsi"/>
          <w:b w:val="0"/>
          <w:sz w:val="20"/>
          <w:szCs w:val="20"/>
        </w:rPr>
        <w:footnoteRef/>
      </w:r>
      <w:r w:rsidRPr="007E7493">
        <w:rPr>
          <w:rFonts w:asciiTheme="minorHAnsi" w:hAnsiTheme="minorHAnsi"/>
          <w:b w:val="0"/>
          <w:sz w:val="20"/>
          <w:szCs w:val="20"/>
        </w:rPr>
        <w:t xml:space="preserve"> Malkiel, B. G. (2003): „</w:t>
      </w:r>
      <w:r w:rsidRPr="007E7493">
        <w:rPr>
          <w:rStyle w:val="a-size-large"/>
          <w:rFonts w:asciiTheme="minorHAnsi" w:hAnsiTheme="minorHAnsi" w:cs="Arial"/>
          <w:b w:val="0"/>
          <w:sz w:val="20"/>
          <w:szCs w:val="20"/>
        </w:rPr>
        <w:t xml:space="preserve">A Random Walk Down Wall Street“, </w:t>
      </w:r>
      <w:r w:rsidRPr="007E7493">
        <w:rPr>
          <w:rFonts w:asciiTheme="minorHAnsi" w:hAnsiTheme="minorHAnsi" w:cs="Arial"/>
          <w:b w:val="0"/>
          <w:sz w:val="20"/>
          <w:szCs w:val="20"/>
          <w:shd w:val="clear" w:color="auto" w:fill="FFFFFF"/>
        </w:rPr>
        <w:t>W. W. Norton &amp; Company; Eighth Edition edition</w:t>
      </w:r>
    </w:p>
    <w:p w:rsidR="00BD2553" w:rsidRPr="007E7493" w:rsidRDefault="00BD2553" w:rsidP="007E7493">
      <w:pPr>
        <w:pStyle w:val="Tekstfusnote"/>
        <w:jc w:val="both"/>
        <w:rPr>
          <w:rFonts w:asciiTheme="minorHAnsi" w:hAnsiTheme="minorHAnsi"/>
        </w:rPr>
      </w:pPr>
    </w:p>
  </w:footnote>
  <w:footnote w:id="9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eastAsiaTheme="minorHAnsi" w:hAnsiTheme="minorHAnsi" w:cstheme="minorBidi"/>
          <w:lang w:eastAsia="en-US"/>
        </w:rPr>
        <w:t>Korištene su informacije dostupne na</w:t>
      </w:r>
      <w:r w:rsidR="000150CA">
        <w:rPr>
          <w:rFonts w:asciiTheme="minorHAnsi" w:eastAsiaTheme="minorHAnsi" w:hAnsiTheme="minorHAnsi" w:cstheme="minorBidi"/>
          <w:lang w:eastAsia="en-US"/>
        </w:rPr>
        <w:t xml:space="preserve"> web stranicama jedno investicijskog društva u Hrvatskoj.</w:t>
      </w:r>
    </w:p>
  </w:footnote>
  <w:footnote w:id="99">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eastAsiaTheme="minorHAnsi" w:hAnsiTheme="minorHAnsi" w:cstheme="minorBidi"/>
          <w:lang w:eastAsia="en-US"/>
        </w:rPr>
        <w:t xml:space="preserve">Korištene su informacije dostupne na stranicama jednog investicijskog društva u Hrvatskoj. </w:t>
      </w:r>
    </w:p>
  </w:footnote>
  <w:footnote w:id="100">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Hanfa, dostupno na: http://www.hanfa.hr/getfile/39370/%C5%A0to%20je%20dionica.pdf</w:t>
      </w:r>
    </w:p>
  </w:footnote>
  <w:footnote w:id="10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Kindleberger, Ch. P.; Aliber, R. (2006): „</w:t>
      </w:r>
      <w:r w:rsidRPr="007E7493">
        <w:rPr>
          <w:rFonts w:asciiTheme="minorHAnsi" w:hAnsiTheme="minorHAnsi"/>
          <w:i/>
        </w:rPr>
        <w:t>Najveće svjetske financijske krize: Manije, panike i slomovi</w:t>
      </w:r>
      <w:r w:rsidRPr="007E7493">
        <w:rPr>
          <w:rFonts w:asciiTheme="minorHAnsi" w:hAnsiTheme="minorHAnsi"/>
        </w:rPr>
        <w:t>“, Masmedija, Zagreb</w:t>
      </w:r>
    </w:p>
  </w:footnote>
  <w:footnote w:id="10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Vidjeti sliku u poglavlju 3.5. o tržišnim rizicima promjene cijena dionica.</w:t>
      </w:r>
    </w:p>
  </w:footnote>
  <w:footnote w:id="10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Ivanov, M. (2008): Utjecaj psiholoških čimbenika na djelotvornost financijskih tržišta, </w:t>
      </w:r>
      <w:r w:rsidRPr="007E7493">
        <w:rPr>
          <w:rFonts w:asciiTheme="minorHAnsi" w:hAnsiTheme="minorHAnsi" w:cs="Arial"/>
          <w:shd w:val="clear" w:color="auto" w:fill="FFFFFF"/>
        </w:rPr>
        <w:t>Zbornik Ekonomskog fakulteta Sveučilišta u Mostaru</w:t>
      </w:r>
    </w:p>
  </w:footnote>
  <w:footnote w:id="10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Marcus, B.K. 2006): „Počela ulaganja“, Mate, Zagreb,., str. 63-65</w:t>
      </w:r>
    </w:p>
  </w:footnote>
  <w:footnote w:id="10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Shiller, R. J. (1998): „Human Behavior and the Efficiency of the Financial System“, Cowles Foundation Discussion Papers No: 1172., Cowles Foundation, Yale University dostupno na: http://cowles.econ.yale.edu/P/cp/p10a/p1025.pdf</w:t>
      </w:r>
    </w:p>
  </w:footnote>
  <w:footnote w:id="10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Vidjeti: Barton, D. (2011): „Capitalism for the Long Term“, Harvard Business Review, March.</w:t>
      </w:r>
    </w:p>
  </w:footnote>
  <w:footnote w:id="107">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Ivanov, M. (2011): „Zamke eksterne financijske liberalizacije – pogled iz perspektive monetarnog sustava i modela privređivanja u Hrvatskoj“, </w:t>
      </w:r>
      <w:r w:rsidRPr="007E7493">
        <w:rPr>
          <w:rFonts w:asciiTheme="minorHAnsi" w:hAnsiTheme="minorHAnsi" w:cs="Arial"/>
          <w:shd w:val="clear" w:color="auto" w:fill="FFFFFF"/>
        </w:rPr>
        <w:t>Ekonomija/Economisc god.18 br.3, Rifin, Zagreb, 2011.,str. 579-608</w:t>
      </w:r>
    </w:p>
  </w:footnote>
  <w:footnote w:id="10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Hanfa, dostupno na: http://www.hanfa.hr/nav/58/o-nama.html</w:t>
      </w:r>
    </w:p>
  </w:footnote>
  <w:footnote w:id="109">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Sumpor, M. (2002): Tržište državnih vrijednosnica, Ekonomski pregled, br. 53 (3-4), str. 319-342</w:t>
      </w:r>
    </w:p>
  </w:footnote>
  <w:footnote w:id="110">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w:t>
      </w:r>
      <w:r w:rsidRPr="007E7493">
        <w:rPr>
          <w:rFonts w:asciiTheme="minorHAnsi" w:hAnsiTheme="minorHAnsi"/>
          <w:bCs/>
        </w:rPr>
        <w:t>To je osnovni razlog zbog čega se mirovinsko osiguranje razmatra u zasebnom poglavlju.</w:t>
      </w:r>
    </w:p>
  </w:footnote>
  <w:footnote w:id="11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HZMO (2015.), dostupno na: </w:t>
      </w:r>
      <w:r w:rsidRPr="0065489A">
        <w:rPr>
          <w:rFonts w:asciiTheme="minorHAnsi" w:hAnsiTheme="minorHAnsi"/>
        </w:rPr>
        <w:t>http://www.mirovinsko.hr/default.aspx?ID=71</w:t>
      </w:r>
      <w:r w:rsidRPr="007E7493">
        <w:rPr>
          <w:rFonts w:asciiTheme="minorHAnsi" w:hAnsiTheme="minorHAnsi"/>
        </w:rPr>
        <w:t xml:space="preserve"> (18.9.2015.)</w:t>
      </w:r>
    </w:p>
  </w:footnote>
  <w:footnote w:id="112">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Vidjeti opširnije: HZMO, dostupno na: http://www.mirovinsko.hr/default.aspx?id=4305</w:t>
      </w:r>
    </w:p>
  </w:footnote>
  <w:footnote w:id="113">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Korišteni podaci dostupni na: http://www.mirovinsko.hr/default.aspx?ID=51</w:t>
      </w:r>
    </w:p>
  </w:footnote>
  <w:footnote w:id="114">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Korišteni su podaci dostupni na stranicama jednog mirovinskog društva u Hrvatskoj. </w:t>
      </w:r>
    </w:p>
  </w:footnote>
  <w:footnote w:id="115">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stranica jednog obveznog mirovinskog fonda u Hrvatskoj. </w:t>
      </w:r>
    </w:p>
  </w:footnote>
  <w:footnote w:id="116">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stranica jednog dobrovoljnog mirovinskog fonda u Hrvatskoj.</w:t>
      </w:r>
    </w:p>
  </w:footnote>
  <w:footnote w:id="117">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Preuzeto sa stranice mirovinskog osiguravajućeg društva.</w:t>
      </w:r>
    </w:p>
  </w:footnote>
  <w:footnote w:id="118">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 w:id="119">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Hanfa: „Mirovinski sustav“, dostupno na: http://www.hanfa.hr/getfile/42493/HANFA-Mirovinski.pdf%20%7Cy%20Mirovinski%20sustav</w:t>
      </w:r>
    </w:p>
  </w:footnote>
  <w:footnote w:id="120">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 w:id="121">
    <w:p w:rsidR="00BD2553" w:rsidRPr="007E7493" w:rsidRDefault="00BD2553" w:rsidP="007E7493">
      <w:pPr>
        <w:pStyle w:val="Tekstfusnote"/>
        <w:jc w:val="both"/>
        <w:rPr>
          <w:rFonts w:asciiTheme="minorHAnsi" w:hAnsiTheme="minorHAnsi"/>
        </w:rPr>
      </w:pPr>
      <w:r w:rsidRPr="007E7493">
        <w:rPr>
          <w:rStyle w:val="Referencafusnote"/>
          <w:rFonts w:asciiTheme="minorHAnsi" w:hAnsiTheme="minorHAnsi"/>
        </w:rPr>
        <w:footnoteRef/>
      </w:r>
      <w:r w:rsidRPr="007E7493">
        <w:rPr>
          <w:rFonts w:asciiTheme="minorHAnsi" w:hAnsiTheme="minorHAnsi"/>
        </w:rPr>
        <w:t xml:space="preserve"> Ibid.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553" w:rsidRDefault="00BD2553" w:rsidP="009B6597">
    <w:pPr>
      <w:pStyle w:val="Zaglavlje"/>
      <w:jc w:val="right"/>
      <w:rPr>
        <w:b/>
      </w:rPr>
    </w:pPr>
    <w:r w:rsidRPr="004E1BED">
      <w:rPr>
        <w:b/>
      </w:rPr>
      <w:t>Marijana Ivanov</w:t>
    </w:r>
    <w:r>
      <w:rPr>
        <w:b/>
      </w:rPr>
      <w:t>,</w:t>
    </w:r>
    <w:r w:rsidRPr="004E1BED">
      <w:rPr>
        <w:b/>
      </w:rPr>
      <w:t xml:space="preserve"> </w:t>
    </w:r>
    <w:r>
      <w:rPr>
        <w:b/>
      </w:rPr>
      <w:t>„</w:t>
    </w:r>
    <w:r w:rsidRPr="004E1BED">
      <w:rPr>
        <w:b/>
      </w:rPr>
      <w:t>OSOBNE FINANCIJE</w:t>
    </w:r>
    <w:r>
      <w:rPr>
        <w:b/>
      </w:rPr>
      <w:t xml:space="preserve">: </w:t>
    </w:r>
    <w:r w:rsidRPr="004E1BED">
      <w:rPr>
        <w:b/>
      </w:rPr>
      <w:t xml:space="preserve">NASTAVNI </w:t>
    </w:r>
    <w:r>
      <w:rPr>
        <w:b/>
      </w:rPr>
      <w:t xml:space="preserve">TEKST PREDAVANJA </w:t>
    </w:r>
    <w:r w:rsidRPr="004E1BED">
      <w:rPr>
        <w:b/>
      </w:rPr>
      <w:t>ZA STUDENTE</w:t>
    </w:r>
    <w:r>
      <w:rPr>
        <w:b/>
      </w:rPr>
      <w:t>“</w:t>
    </w:r>
    <w:r w:rsidRPr="004E1BED">
      <w:rPr>
        <w:b/>
      </w:rPr>
      <w:t xml:space="preserve"> </w:t>
    </w:r>
  </w:p>
  <w:p w:rsidR="00BD2553" w:rsidRDefault="00BD2553" w:rsidP="009B6597">
    <w:pPr>
      <w:pStyle w:val="Podnoje"/>
      <w:jc w:val="right"/>
    </w:pPr>
    <w:r>
      <w:ptab w:relativeTo="margin" w:alignment="center" w:leader="none"/>
    </w:r>
    <w:r>
      <w:t xml:space="preserve">Copyright © 2015. Sva prava pridržava autor. </w:t>
    </w:r>
  </w:p>
  <w:p w:rsidR="00BD2553" w:rsidRPr="004E1BED" w:rsidRDefault="00BD2553" w:rsidP="004E1BED">
    <w:pPr>
      <w:pStyle w:val="Zaglavlje"/>
      <w:jc w:val="right"/>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94B85"/>
    <w:multiLevelType w:val="hybridMultilevel"/>
    <w:tmpl w:val="D242A3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5815DAA"/>
    <w:multiLevelType w:val="hybridMultilevel"/>
    <w:tmpl w:val="317252F2"/>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
    <w:nsid w:val="08A83B69"/>
    <w:multiLevelType w:val="hybridMultilevel"/>
    <w:tmpl w:val="D242CF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92800EB"/>
    <w:multiLevelType w:val="hybridMultilevel"/>
    <w:tmpl w:val="D3E0BCC8"/>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
    <w:nsid w:val="092B75EE"/>
    <w:multiLevelType w:val="hybridMultilevel"/>
    <w:tmpl w:val="109A3416"/>
    <w:lvl w:ilvl="0" w:tplc="4EA6B52C">
      <w:start w:val="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09B47CD4"/>
    <w:multiLevelType w:val="hybridMultilevel"/>
    <w:tmpl w:val="C6B0C4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A1627E0"/>
    <w:multiLevelType w:val="hybridMultilevel"/>
    <w:tmpl w:val="9C82D5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B6A1325"/>
    <w:multiLevelType w:val="hybridMultilevel"/>
    <w:tmpl w:val="2A042A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0BE20E08"/>
    <w:multiLevelType w:val="hybridMultilevel"/>
    <w:tmpl w:val="F35CB6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0C5A0E15"/>
    <w:multiLevelType w:val="hybridMultilevel"/>
    <w:tmpl w:val="5A3E5AA2"/>
    <w:lvl w:ilvl="0" w:tplc="041A0001">
      <w:start w:val="1"/>
      <w:numFmt w:val="bullet"/>
      <w:lvlText w:val=""/>
      <w:lvlJc w:val="left"/>
      <w:pPr>
        <w:ind w:left="765" w:hanging="360"/>
      </w:pPr>
      <w:rPr>
        <w:rFonts w:ascii="Symbol" w:hAnsi="Symbol" w:hint="default"/>
      </w:rPr>
    </w:lvl>
    <w:lvl w:ilvl="1" w:tplc="041A0003" w:tentative="1">
      <w:start w:val="1"/>
      <w:numFmt w:val="bullet"/>
      <w:lvlText w:val="o"/>
      <w:lvlJc w:val="left"/>
      <w:pPr>
        <w:ind w:left="1485" w:hanging="360"/>
      </w:pPr>
      <w:rPr>
        <w:rFonts w:ascii="Courier New" w:hAnsi="Courier New" w:cs="Courier New" w:hint="default"/>
      </w:rPr>
    </w:lvl>
    <w:lvl w:ilvl="2" w:tplc="041A0005" w:tentative="1">
      <w:start w:val="1"/>
      <w:numFmt w:val="bullet"/>
      <w:lvlText w:val=""/>
      <w:lvlJc w:val="left"/>
      <w:pPr>
        <w:ind w:left="2205" w:hanging="360"/>
      </w:pPr>
      <w:rPr>
        <w:rFonts w:ascii="Wingdings" w:hAnsi="Wingdings" w:hint="default"/>
      </w:rPr>
    </w:lvl>
    <w:lvl w:ilvl="3" w:tplc="041A0001" w:tentative="1">
      <w:start w:val="1"/>
      <w:numFmt w:val="bullet"/>
      <w:lvlText w:val=""/>
      <w:lvlJc w:val="left"/>
      <w:pPr>
        <w:ind w:left="2925" w:hanging="360"/>
      </w:pPr>
      <w:rPr>
        <w:rFonts w:ascii="Symbol" w:hAnsi="Symbol" w:hint="default"/>
      </w:rPr>
    </w:lvl>
    <w:lvl w:ilvl="4" w:tplc="041A0003" w:tentative="1">
      <w:start w:val="1"/>
      <w:numFmt w:val="bullet"/>
      <w:lvlText w:val="o"/>
      <w:lvlJc w:val="left"/>
      <w:pPr>
        <w:ind w:left="3645" w:hanging="360"/>
      </w:pPr>
      <w:rPr>
        <w:rFonts w:ascii="Courier New" w:hAnsi="Courier New" w:cs="Courier New" w:hint="default"/>
      </w:rPr>
    </w:lvl>
    <w:lvl w:ilvl="5" w:tplc="041A0005" w:tentative="1">
      <w:start w:val="1"/>
      <w:numFmt w:val="bullet"/>
      <w:lvlText w:val=""/>
      <w:lvlJc w:val="left"/>
      <w:pPr>
        <w:ind w:left="4365" w:hanging="360"/>
      </w:pPr>
      <w:rPr>
        <w:rFonts w:ascii="Wingdings" w:hAnsi="Wingdings" w:hint="default"/>
      </w:rPr>
    </w:lvl>
    <w:lvl w:ilvl="6" w:tplc="041A0001" w:tentative="1">
      <w:start w:val="1"/>
      <w:numFmt w:val="bullet"/>
      <w:lvlText w:val=""/>
      <w:lvlJc w:val="left"/>
      <w:pPr>
        <w:ind w:left="5085" w:hanging="360"/>
      </w:pPr>
      <w:rPr>
        <w:rFonts w:ascii="Symbol" w:hAnsi="Symbol" w:hint="default"/>
      </w:rPr>
    </w:lvl>
    <w:lvl w:ilvl="7" w:tplc="041A0003" w:tentative="1">
      <w:start w:val="1"/>
      <w:numFmt w:val="bullet"/>
      <w:lvlText w:val="o"/>
      <w:lvlJc w:val="left"/>
      <w:pPr>
        <w:ind w:left="5805" w:hanging="360"/>
      </w:pPr>
      <w:rPr>
        <w:rFonts w:ascii="Courier New" w:hAnsi="Courier New" w:cs="Courier New" w:hint="default"/>
      </w:rPr>
    </w:lvl>
    <w:lvl w:ilvl="8" w:tplc="041A0005" w:tentative="1">
      <w:start w:val="1"/>
      <w:numFmt w:val="bullet"/>
      <w:lvlText w:val=""/>
      <w:lvlJc w:val="left"/>
      <w:pPr>
        <w:ind w:left="6525" w:hanging="360"/>
      </w:pPr>
      <w:rPr>
        <w:rFonts w:ascii="Wingdings" w:hAnsi="Wingdings" w:hint="default"/>
      </w:rPr>
    </w:lvl>
  </w:abstractNum>
  <w:abstractNum w:abstractNumId="10">
    <w:nsid w:val="0D7E54EA"/>
    <w:multiLevelType w:val="hybridMultilevel"/>
    <w:tmpl w:val="C1CEA2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0DB2113C"/>
    <w:multiLevelType w:val="hybridMultilevel"/>
    <w:tmpl w:val="9C086294"/>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0E451121"/>
    <w:multiLevelType w:val="hybridMultilevel"/>
    <w:tmpl w:val="9D1CE99A"/>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3">
    <w:nsid w:val="0F277664"/>
    <w:multiLevelType w:val="hybridMultilevel"/>
    <w:tmpl w:val="64E07168"/>
    <w:lvl w:ilvl="0" w:tplc="B3F07044">
      <w:start w:val="1"/>
      <w:numFmt w:val="lowerLetter"/>
      <w:lvlText w:val="%1)"/>
      <w:lvlJc w:val="left"/>
      <w:pPr>
        <w:tabs>
          <w:tab w:val="num" w:pos="1440"/>
        </w:tabs>
        <w:ind w:left="1440" w:hanging="360"/>
      </w:pPr>
      <w:rPr>
        <w:rFonts w:hint="default"/>
      </w:rPr>
    </w:lvl>
    <w:lvl w:ilvl="1" w:tplc="041A0003" w:tentative="1">
      <w:start w:val="1"/>
      <w:numFmt w:val="bullet"/>
      <w:lvlText w:val="o"/>
      <w:lvlJc w:val="left"/>
      <w:pPr>
        <w:tabs>
          <w:tab w:val="num" w:pos="2160"/>
        </w:tabs>
        <w:ind w:left="2160" w:hanging="360"/>
      </w:pPr>
      <w:rPr>
        <w:rFonts w:ascii="Courier New" w:hAnsi="Courier New" w:cs="Courier New" w:hint="default"/>
      </w:rPr>
    </w:lvl>
    <w:lvl w:ilvl="2" w:tplc="041A0005" w:tentative="1">
      <w:start w:val="1"/>
      <w:numFmt w:val="bullet"/>
      <w:lvlText w:val=""/>
      <w:lvlJc w:val="left"/>
      <w:pPr>
        <w:tabs>
          <w:tab w:val="num" w:pos="2880"/>
        </w:tabs>
        <w:ind w:left="2880" w:hanging="360"/>
      </w:pPr>
      <w:rPr>
        <w:rFonts w:ascii="Wingdings" w:hAnsi="Wingdings" w:hint="default"/>
      </w:rPr>
    </w:lvl>
    <w:lvl w:ilvl="3" w:tplc="041A0001" w:tentative="1">
      <w:start w:val="1"/>
      <w:numFmt w:val="bullet"/>
      <w:lvlText w:val=""/>
      <w:lvlJc w:val="left"/>
      <w:pPr>
        <w:tabs>
          <w:tab w:val="num" w:pos="3600"/>
        </w:tabs>
        <w:ind w:left="3600" w:hanging="360"/>
      </w:pPr>
      <w:rPr>
        <w:rFonts w:ascii="Symbol" w:hAnsi="Symbol" w:hint="default"/>
      </w:rPr>
    </w:lvl>
    <w:lvl w:ilvl="4" w:tplc="041A0003" w:tentative="1">
      <w:start w:val="1"/>
      <w:numFmt w:val="bullet"/>
      <w:lvlText w:val="o"/>
      <w:lvlJc w:val="left"/>
      <w:pPr>
        <w:tabs>
          <w:tab w:val="num" w:pos="4320"/>
        </w:tabs>
        <w:ind w:left="4320" w:hanging="360"/>
      </w:pPr>
      <w:rPr>
        <w:rFonts w:ascii="Courier New" w:hAnsi="Courier New" w:cs="Courier New" w:hint="default"/>
      </w:rPr>
    </w:lvl>
    <w:lvl w:ilvl="5" w:tplc="041A0005" w:tentative="1">
      <w:start w:val="1"/>
      <w:numFmt w:val="bullet"/>
      <w:lvlText w:val=""/>
      <w:lvlJc w:val="left"/>
      <w:pPr>
        <w:tabs>
          <w:tab w:val="num" w:pos="5040"/>
        </w:tabs>
        <w:ind w:left="5040" w:hanging="360"/>
      </w:pPr>
      <w:rPr>
        <w:rFonts w:ascii="Wingdings" w:hAnsi="Wingdings" w:hint="default"/>
      </w:rPr>
    </w:lvl>
    <w:lvl w:ilvl="6" w:tplc="041A0001" w:tentative="1">
      <w:start w:val="1"/>
      <w:numFmt w:val="bullet"/>
      <w:lvlText w:val=""/>
      <w:lvlJc w:val="left"/>
      <w:pPr>
        <w:tabs>
          <w:tab w:val="num" w:pos="5760"/>
        </w:tabs>
        <w:ind w:left="5760" w:hanging="360"/>
      </w:pPr>
      <w:rPr>
        <w:rFonts w:ascii="Symbol" w:hAnsi="Symbol" w:hint="default"/>
      </w:rPr>
    </w:lvl>
    <w:lvl w:ilvl="7" w:tplc="041A0003" w:tentative="1">
      <w:start w:val="1"/>
      <w:numFmt w:val="bullet"/>
      <w:lvlText w:val="o"/>
      <w:lvlJc w:val="left"/>
      <w:pPr>
        <w:tabs>
          <w:tab w:val="num" w:pos="6480"/>
        </w:tabs>
        <w:ind w:left="6480" w:hanging="360"/>
      </w:pPr>
      <w:rPr>
        <w:rFonts w:ascii="Courier New" w:hAnsi="Courier New" w:cs="Courier New" w:hint="default"/>
      </w:rPr>
    </w:lvl>
    <w:lvl w:ilvl="8" w:tplc="041A0005" w:tentative="1">
      <w:start w:val="1"/>
      <w:numFmt w:val="bullet"/>
      <w:lvlText w:val=""/>
      <w:lvlJc w:val="left"/>
      <w:pPr>
        <w:tabs>
          <w:tab w:val="num" w:pos="7200"/>
        </w:tabs>
        <w:ind w:left="7200" w:hanging="360"/>
      </w:pPr>
      <w:rPr>
        <w:rFonts w:ascii="Wingdings" w:hAnsi="Wingdings" w:hint="default"/>
      </w:rPr>
    </w:lvl>
  </w:abstractNum>
  <w:abstractNum w:abstractNumId="14">
    <w:nsid w:val="0F282040"/>
    <w:multiLevelType w:val="hybridMultilevel"/>
    <w:tmpl w:val="BF221B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1114702F"/>
    <w:multiLevelType w:val="multilevel"/>
    <w:tmpl w:val="FF6A3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1686D52"/>
    <w:multiLevelType w:val="hybridMultilevel"/>
    <w:tmpl w:val="870099E2"/>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119956C0"/>
    <w:multiLevelType w:val="hybridMultilevel"/>
    <w:tmpl w:val="96BAC3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11D1342A"/>
    <w:multiLevelType w:val="hybridMultilevel"/>
    <w:tmpl w:val="E00496AA"/>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13863336"/>
    <w:multiLevelType w:val="hybridMultilevel"/>
    <w:tmpl w:val="BA70E980"/>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139626F7"/>
    <w:multiLevelType w:val="hybridMultilevel"/>
    <w:tmpl w:val="28E64A4A"/>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
    <w:nsid w:val="140D73A1"/>
    <w:multiLevelType w:val="hybridMultilevel"/>
    <w:tmpl w:val="542CB286"/>
    <w:lvl w:ilvl="0" w:tplc="4EA6B52C">
      <w:start w:val="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18070873"/>
    <w:multiLevelType w:val="hybridMultilevel"/>
    <w:tmpl w:val="AAB0B1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1839734F"/>
    <w:multiLevelType w:val="hybridMultilevel"/>
    <w:tmpl w:val="CAB4E144"/>
    <w:lvl w:ilvl="0" w:tplc="041A0001">
      <w:start w:val="1"/>
      <w:numFmt w:val="bullet"/>
      <w:lvlText w:val=""/>
      <w:lvlJc w:val="left"/>
      <w:pPr>
        <w:ind w:left="765" w:hanging="360"/>
      </w:pPr>
      <w:rPr>
        <w:rFonts w:ascii="Symbol" w:hAnsi="Symbol" w:hint="default"/>
      </w:rPr>
    </w:lvl>
    <w:lvl w:ilvl="1" w:tplc="041A0003" w:tentative="1">
      <w:start w:val="1"/>
      <w:numFmt w:val="bullet"/>
      <w:lvlText w:val="o"/>
      <w:lvlJc w:val="left"/>
      <w:pPr>
        <w:ind w:left="1485" w:hanging="360"/>
      </w:pPr>
      <w:rPr>
        <w:rFonts w:ascii="Courier New" w:hAnsi="Courier New" w:cs="Courier New" w:hint="default"/>
      </w:rPr>
    </w:lvl>
    <w:lvl w:ilvl="2" w:tplc="041A0005" w:tentative="1">
      <w:start w:val="1"/>
      <w:numFmt w:val="bullet"/>
      <w:lvlText w:val=""/>
      <w:lvlJc w:val="left"/>
      <w:pPr>
        <w:ind w:left="2205" w:hanging="360"/>
      </w:pPr>
      <w:rPr>
        <w:rFonts w:ascii="Wingdings" w:hAnsi="Wingdings" w:hint="default"/>
      </w:rPr>
    </w:lvl>
    <w:lvl w:ilvl="3" w:tplc="041A0001" w:tentative="1">
      <w:start w:val="1"/>
      <w:numFmt w:val="bullet"/>
      <w:lvlText w:val=""/>
      <w:lvlJc w:val="left"/>
      <w:pPr>
        <w:ind w:left="2925" w:hanging="360"/>
      </w:pPr>
      <w:rPr>
        <w:rFonts w:ascii="Symbol" w:hAnsi="Symbol" w:hint="default"/>
      </w:rPr>
    </w:lvl>
    <w:lvl w:ilvl="4" w:tplc="041A0003" w:tentative="1">
      <w:start w:val="1"/>
      <w:numFmt w:val="bullet"/>
      <w:lvlText w:val="o"/>
      <w:lvlJc w:val="left"/>
      <w:pPr>
        <w:ind w:left="3645" w:hanging="360"/>
      </w:pPr>
      <w:rPr>
        <w:rFonts w:ascii="Courier New" w:hAnsi="Courier New" w:cs="Courier New" w:hint="default"/>
      </w:rPr>
    </w:lvl>
    <w:lvl w:ilvl="5" w:tplc="041A0005" w:tentative="1">
      <w:start w:val="1"/>
      <w:numFmt w:val="bullet"/>
      <w:lvlText w:val=""/>
      <w:lvlJc w:val="left"/>
      <w:pPr>
        <w:ind w:left="4365" w:hanging="360"/>
      </w:pPr>
      <w:rPr>
        <w:rFonts w:ascii="Wingdings" w:hAnsi="Wingdings" w:hint="default"/>
      </w:rPr>
    </w:lvl>
    <w:lvl w:ilvl="6" w:tplc="041A0001" w:tentative="1">
      <w:start w:val="1"/>
      <w:numFmt w:val="bullet"/>
      <w:lvlText w:val=""/>
      <w:lvlJc w:val="left"/>
      <w:pPr>
        <w:ind w:left="5085" w:hanging="360"/>
      </w:pPr>
      <w:rPr>
        <w:rFonts w:ascii="Symbol" w:hAnsi="Symbol" w:hint="default"/>
      </w:rPr>
    </w:lvl>
    <w:lvl w:ilvl="7" w:tplc="041A0003" w:tentative="1">
      <w:start w:val="1"/>
      <w:numFmt w:val="bullet"/>
      <w:lvlText w:val="o"/>
      <w:lvlJc w:val="left"/>
      <w:pPr>
        <w:ind w:left="5805" w:hanging="360"/>
      </w:pPr>
      <w:rPr>
        <w:rFonts w:ascii="Courier New" w:hAnsi="Courier New" w:cs="Courier New" w:hint="default"/>
      </w:rPr>
    </w:lvl>
    <w:lvl w:ilvl="8" w:tplc="041A0005" w:tentative="1">
      <w:start w:val="1"/>
      <w:numFmt w:val="bullet"/>
      <w:lvlText w:val=""/>
      <w:lvlJc w:val="left"/>
      <w:pPr>
        <w:ind w:left="6525" w:hanging="360"/>
      </w:pPr>
      <w:rPr>
        <w:rFonts w:ascii="Wingdings" w:hAnsi="Wingdings" w:hint="default"/>
      </w:rPr>
    </w:lvl>
  </w:abstractNum>
  <w:abstractNum w:abstractNumId="24">
    <w:nsid w:val="1A351D50"/>
    <w:multiLevelType w:val="hybridMultilevel"/>
    <w:tmpl w:val="66261DD2"/>
    <w:lvl w:ilvl="0" w:tplc="041A0015">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nsid w:val="1FC0536B"/>
    <w:multiLevelType w:val="multilevel"/>
    <w:tmpl w:val="D25805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20B27A1C"/>
    <w:multiLevelType w:val="hybridMultilevel"/>
    <w:tmpl w:val="FDB0123E"/>
    <w:lvl w:ilvl="0" w:tplc="4B3009C6">
      <w:start w:val="3"/>
      <w:numFmt w:val="bullet"/>
      <w:lvlText w:val="-"/>
      <w:lvlJc w:val="left"/>
      <w:pPr>
        <w:tabs>
          <w:tab w:val="num" w:pos="1440"/>
        </w:tabs>
        <w:ind w:left="1440" w:hanging="360"/>
      </w:pPr>
      <w:rPr>
        <w:rFonts w:ascii="Times New Roman" w:eastAsia="Times New Roman" w:hAnsi="Times New Roman" w:cs="Times New Roman" w:hint="default"/>
      </w:rPr>
    </w:lvl>
    <w:lvl w:ilvl="1" w:tplc="041A0003" w:tentative="1">
      <w:start w:val="1"/>
      <w:numFmt w:val="bullet"/>
      <w:lvlText w:val="o"/>
      <w:lvlJc w:val="left"/>
      <w:pPr>
        <w:tabs>
          <w:tab w:val="num" w:pos="2160"/>
        </w:tabs>
        <w:ind w:left="2160" w:hanging="360"/>
      </w:pPr>
      <w:rPr>
        <w:rFonts w:ascii="Courier New" w:hAnsi="Courier New" w:cs="Courier New" w:hint="default"/>
      </w:rPr>
    </w:lvl>
    <w:lvl w:ilvl="2" w:tplc="041A0005" w:tentative="1">
      <w:start w:val="1"/>
      <w:numFmt w:val="bullet"/>
      <w:lvlText w:val=""/>
      <w:lvlJc w:val="left"/>
      <w:pPr>
        <w:tabs>
          <w:tab w:val="num" w:pos="2880"/>
        </w:tabs>
        <w:ind w:left="2880" w:hanging="360"/>
      </w:pPr>
      <w:rPr>
        <w:rFonts w:ascii="Wingdings" w:hAnsi="Wingdings" w:hint="default"/>
      </w:rPr>
    </w:lvl>
    <w:lvl w:ilvl="3" w:tplc="041A0001" w:tentative="1">
      <w:start w:val="1"/>
      <w:numFmt w:val="bullet"/>
      <w:lvlText w:val=""/>
      <w:lvlJc w:val="left"/>
      <w:pPr>
        <w:tabs>
          <w:tab w:val="num" w:pos="3600"/>
        </w:tabs>
        <w:ind w:left="3600" w:hanging="360"/>
      </w:pPr>
      <w:rPr>
        <w:rFonts w:ascii="Symbol" w:hAnsi="Symbol" w:hint="default"/>
      </w:rPr>
    </w:lvl>
    <w:lvl w:ilvl="4" w:tplc="041A0003" w:tentative="1">
      <w:start w:val="1"/>
      <w:numFmt w:val="bullet"/>
      <w:lvlText w:val="o"/>
      <w:lvlJc w:val="left"/>
      <w:pPr>
        <w:tabs>
          <w:tab w:val="num" w:pos="4320"/>
        </w:tabs>
        <w:ind w:left="4320" w:hanging="360"/>
      </w:pPr>
      <w:rPr>
        <w:rFonts w:ascii="Courier New" w:hAnsi="Courier New" w:cs="Courier New" w:hint="default"/>
      </w:rPr>
    </w:lvl>
    <w:lvl w:ilvl="5" w:tplc="041A0005" w:tentative="1">
      <w:start w:val="1"/>
      <w:numFmt w:val="bullet"/>
      <w:lvlText w:val=""/>
      <w:lvlJc w:val="left"/>
      <w:pPr>
        <w:tabs>
          <w:tab w:val="num" w:pos="5040"/>
        </w:tabs>
        <w:ind w:left="5040" w:hanging="360"/>
      </w:pPr>
      <w:rPr>
        <w:rFonts w:ascii="Wingdings" w:hAnsi="Wingdings" w:hint="default"/>
      </w:rPr>
    </w:lvl>
    <w:lvl w:ilvl="6" w:tplc="041A0001" w:tentative="1">
      <w:start w:val="1"/>
      <w:numFmt w:val="bullet"/>
      <w:lvlText w:val=""/>
      <w:lvlJc w:val="left"/>
      <w:pPr>
        <w:tabs>
          <w:tab w:val="num" w:pos="5760"/>
        </w:tabs>
        <w:ind w:left="5760" w:hanging="360"/>
      </w:pPr>
      <w:rPr>
        <w:rFonts w:ascii="Symbol" w:hAnsi="Symbol" w:hint="default"/>
      </w:rPr>
    </w:lvl>
    <w:lvl w:ilvl="7" w:tplc="041A0003" w:tentative="1">
      <w:start w:val="1"/>
      <w:numFmt w:val="bullet"/>
      <w:lvlText w:val="o"/>
      <w:lvlJc w:val="left"/>
      <w:pPr>
        <w:tabs>
          <w:tab w:val="num" w:pos="6480"/>
        </w:tabs>
        <w:ind w:left="6480" w:hanging="360"/>
      </w:pPr>
      <w:rPr>
        <w:rFonts w:ascii="Courier New" w:hAnsi="Courier New" w:cs="Courier New" w:hint="default"/>
      </w:rPr>
    </w:lvl>
    <w:lvl w:ilvl="8" w:tplc="041A0005" w:tentative="1">
      <w:start w:val="1"/>
      <w:numFmt w:val="bullet"/>
      <w:lvlText w:val=""/>
      <w:lvlJc w:val="left"/>
      <w:pPr>
        <w:tabs>
          <w:tab w:val="num" w:pos="7200"/>
        </w:tabs>
        <w:ind w:left="7200" w:hanging="360"/>
      </w:pPr>
      <w:rPr>
        <w:rFonts w:ascii="Wingdings" w:hAnsi="Wingdings" w:hint="default"/>
      </w:rPr>
    </w:lvl>
  </w:abstractNum>
  <w:abstractNum w:abstractNumId="27">
    <w:nsid w:val="222C300B"/>
    <w:multiLevelType w:val="hybridMultilevel"/>
    <w:tmpl w:val="C5F6E74C"/>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22F602EC"/>
    <w:multiLevelType w:val="multilevel"/>
    <w:tmpl w:val="9C747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234F54F8"/>
    <w:multiLevelType w:val="hybridMultilevel"/>
    <w:tmpl w:val="1004C7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236462A8"/>
    <w:multiLevelType w:val="hybridMultilevel"/>
    <w:tmpl w:val="F29ABC90"/>
    <w:lvl w:ilvl="0" w:tplc="041A0001">
      <w:start w:val="1"/>
      <w:numFmt w:val="bullet"/>
      <w:lvlText w:val=""/>
      <w:lvlJc w:val="left"/>
      <w:pPr>
        <w:tabs>
          <w:tab w:val="num" w:pos="720"/>
        </w:tabs>
        <w:ind w:left="720" w:hanging="360"/>
      </w:pPr>
      <w:rPr>
        <w:rFonts w:ascii="Symbol" w:hAnsi="Symbol" w:hint="default"/>
      </w:rPr>
    </w:lvl>
    <w:lvl w:ilvl="1" w:tplc="041A000F">
      <w:start w:val="1"/>
      <w:numFmt w:val="decimal"/>
      <w:lvlText w:val="%2."/>
      <w:lvlJc w:val="left"/>
      <w:pPr>
        <w:tabs>
          <w:tab w:val="num" w:pos="1440"/>
        </w:tabs>
        <w:ind w:left="1440" w:hanging="360"/>
      </w:pPr>
      <w:rPr>
        <w:rFont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26217DBD"/>
    <w:multiLevelType w:val="hybridMultilevel"/>
    <w:tmpl w:val="E2FEA5BA"/>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2">
    <w:nsid w:val="2957242B"/>
    <w:multiLevelType w:val="hybridMultilevel"/>
    <w:tmpl w:val="9F96E9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2A855DB0"/>
    <w:multiLevelType w:val="hybridMultilevel"/>
    <w:tmpl w:val="D0CCA9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2A861F12"/>
    <w:multiLevelType w:val="hybridMultilevel"/>
    <w:tmpl w:val="6BA646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2B453FA1"/>
    <w:multiLevelType w:val="hybridMultilevel"/>
    <w:tmpl w:val="6E9E1D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2B505DCA"/>
    <w:multiLevelType w:val="hybridMultilevel"/>
    <w:tmpl w:val="ABC2B6DC"/>
    <w:lvl w:ilvl="0" w:tplc="C532CA7A">
      <w:start w:val="1"/>
      <w:numFmt w:val="bullet"/>
      <w:lvlText w:val="•"/>
      <w:lvlJc w:val="left"/>
      <w:pPr>
        <w:tabs>
          <w:tab w:val="num" w:pos="720"/>
        </w:tabs>
        <w:ind w:left="720" w:hanging="360"/>
      </w:pPr>
      <w:rPr>
        <w:rFonts w:ascii="Times New Roman" w:hAnsi="Times New Roman" w:hint="default"/>
      </w:rPr>
    </w:lvl>
    <w:lvl w:ilvl="1" w:tplc="44721F7A" w:tentative="1">
      <w:start w:val="1"/>
      <w:numFmt w:val="bullet"/>
      <w:lvlText w:val="•"/>
      <w:lvlJc w:val="left"/>
      <w:pPr>
        <w:tabs>
          <w:tab w:val="num" w:pos="1440"/>
        </w:tabs>
        <w:ind w:left="1440" w:hanging="360"/>
      </w:pPr>
      <w:rPr>
        <w:rFonts w:ascii="Times New Roman" w:hAnsi="Times New Roman" w:hint="default"/>
      </w:rPr>
    </w:lvl>
    <w:lvl w:ilvl="2" w:tplc="EF82E676" w:tentative="1">
      <w:start w:val="1"/>
      <w:numFmt w:val="bullet"/>
      <w:lvlText w:val="•"/>
      <w:lvlJc w:val="left"/>
      <w:pPr>
        <w:tabs>
          <w:tab w:val="num" w:pos="2160"/>
        </w:tabs>
        <w:ind w:left="2160" w:hanging="360"/>
      </w:pPr>
      <w:rPr>
        <w:rFonts w:ascii="Times New Roman" w:hAnsi="Times New Roman" w:hint="default"/>
      </w:rPr>
    </w:lvl>
    <w:lvl w:ilvl="3" w:tplc="C9F41306" w:tentative="1">
      <w:start w:val="1"/>
      <w:numFmt w:val="bullet"/>
      <w:lvlText w:val="•"/>
      <w:lvlJc w:val="left"/>
      <w:pPr>
        <w:tabs>
          <w:tab w:val="num" w:pos="2880"/>
        </w:tabs>
        <w:ind w:left="2880" w:hanging="360"/>
      </w:pPr>
      <w:rPr>
        <w:rFonts w:ascii="Times New Roman" w:hAnsi="Times New Roman" w:hint="default"/>
      </w:rPr>
    </w:lvl>
    <w:lvl w:ilvl="4" w:tplc="3EF23C92" w:tentative="1">
      <w:start w:val="1"/>
      <w:numFmt w:val="bullet"/>
      <w:lvlText w:val="•"/>
      <w:lvlJc w:val="left"/>
      <w:pPr>
        <w:tabs>
          <w:tab w:val="num" w:pos="3600"/>
        </w:tabs>
        <w:ind w:left="3600" w:hanging="360"/>
      </w:pPr>
      <w:rPr>
        <w:rFonts w:ascii="Times New Roman" w:hAnsi="Times New Roman" w:hint="default"/>
      </w:rPr>
    </w:lvl>
    <w:lvl w:ilvl="5" w:tplc="2BF84E94" w:tentative="1">
      <w:start w:val="1"/>
      <w:numFmt w:val="bullet"/>
      <w:lvlText w:val="•"/>
      <w:lvlJc w:val="left"/>
      <w:pPr>
        <w:tabs>
          <w:tab w:val="num" w:pos="4320"/>
        </w:tabs>
        <w:ind w:left="4320" w:hanging="360"/>
      </w:pPr>
      <w:rPr>
        <w:rFonts w:ascii="Times New Roman" w:hAnsi="Times New Roman" w:hint="default"/>
      </w:rPr>
    </w:lvl>
    <w:lvl w:ilvl="6" w:tplc="04929258" w:tentative="1">
      <w:start w:val="1"/>
      <w:numFmt w:val="bullet"/>
      <w:lvlText w:val="•"/>
      <w:lvlJc w:val="left"/>
      <w:pPr>
        <w:tabs>
          <w:tab w:val="num" w:pos="5040"/>
        </w:tabs>
        <w:ind w:left="5040" w:hanging="360"/>
      </w:pPr>
      <w:rPr>
        <w:rFonts w:ascii="Times New Roman" w:hAnsi="Times New Roman" w:hint="default"/>
      </w:rPr>
    </w:lvl>
    <w:lvl w:ilvl="7" w:tplc="C51C4C4A" w:tentative="1">
      <w:start w:val="1"/>
      <w:numFmt w:val="bullet"/>
      <w:lvlText w:val="•"/>
      <w:lvlJc w:val="left"/>
      <w:pPr>
        <w:tabs>
          <w:tab w:val="num" w:pos="5760"/>
        </w:tabs>
        <w:ind w:left="5760" w:hanging="360"/>
      </w:pPr>
      <w:rPr>
        <w:rFonts w:ascii="Times New Roman" w:hAnsi="Times New Roman" w:hint="default"/>
      </w:rPr>
    </w:lvl>
    <w:lvl w:ilvl="8" w:tplc="229C3EA8" w:tentative="1">
      <w:start w:val="1"/>
      <w:numFmt w:val="bullet"/>
      <w:lvlText w:val="•"/>
      <w:lvlJc w:val="left"/>
      <w:pPr>
        <w:tabs>
          <w:tab w:val="num" w:pos="6480"/>
        </w:tabs>
        <w:ind w:left="6480" w:hanging="360"/>
      </w:pPr>
      <w:rPr>
        <w:rFonts w:ascii="Times New Roman" w:hAnsi="Times New Roman" w:hint="default"/>
      </w:rPr>
    </w:lvl>
  </w:abstractNum>
  <w:abstractNum w:abstractNumId="37">
    <w:nsid w:val="2CBB4FB9"/>
    <w:multiLevelType w:val="hybridMultilevel"/>
    <w:tmpl w:val="7CBE15A8"/>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8">
    <w:nsid w:val="2CC07B6B"/>
    <w:multiLevelType w:val="multilevel"/>
    <w:tmpl w:val="FF2CC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D6835DC"/>
    <w:multiLevelType w:val="hybridMultilevel"/>
    <w:tmpl w:val="EEA258F0"/>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2D7A5865"/>
    <w:multiLevelType w:val="hybridMultilevel"/>
    <w:tmpl w:val="36E438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2DDA3E7E"/>
    <w:multiLevelType w:val="hybridMultilevel"/>
    <w:tmpl w:val="1E7C06AE"/>
    <w:lvl w:ilvl="0" w:tplc="4B3009C6">
      <w:start w:val="3"/>
      <w:numFmt w:val="bullet"/>
      <w:lvlText w:val="-"/>
      <w:lvlJc w:val="left"/>
      <w:pPr>
        <w:tabs>
          <w:tab w:val="num" w:pos="820"/>
        </w:tabs>
        <w:ind w:left="820" w:hanging="360"/>
      </w:pPr>
      <w:rPr>
        <w:rFonts w:ascii="Times New Roman" w:eastAsia="Times New Roman" w:hAnsi="Times New Roman" w:cs="Times New Roman" w:hint="default"/>
      </w:rPr>
    </w:lvl>
    <w:lvl w:ilvl="1" w:tplc="041A0003" w:tentative="1">
      <w:start w:val="1"/>
      <w:numFmt w:val="bullet"/>
      <w:lvlText w:val="o"/>
      <w:lvlJc w:val="left"/>
      <w:pPr>
        <w:tabs>
          <w:tab w:val="num" w:pos="1540"/>
        </w:tabs>
        <w:ind w:left="1540" w:hanging="360"/>
      </w:pPr>
      <w:rPr>
        <w:rFonts w:ascii="Courier New" w:hAnsi="Courier New" w:cs="Courier New" w:hint="default"/>
      </w:rPr>
    </w:lvl>
    <w:lvl w:ilvl="2" w:tplc="041A0005" w:tentative="1">
      <w:start w:val="1"/>
      <w:numFmt w:val="bullet"/>
      <w:lvlText w:val=""/>
      <w:lvlJc w:val="left"/>
      <w:pPr>
        <w:tabs>
          <w:tab w:val="num" w:pos="2260"/>
        </w:tabs>
        <w:ind w:left="2260" w:hanging="360"/>
      </w:pPr>
      <w:rPr>
        <w:rFonts w:ascii="Wingdings" w:hAnsi="Wingdings" w:hint="default"/>
      </w:rPr>
    </w:lvl>
    <w:lvl w:ilvl="3" w:tplc="041A0001" w:tentative="1">
      <w:start w:val="1"/>
      <w:numFmt w:val="bullet"/>
      <w:lvlText w:val=""/>
      <w:lvlJc w:val="left"/>
      <w:pPr>
        <w:tabs>
          <w:tab w:val="num" w:pos="2980"/>
        </w:tabs>
        <w:ind w:left="2980" w:hanging="360"/>
      </w:pPr>
      <w:rPr>
        <w:rFonts w:ascii="Symbol" w:hAnsi="Symbol" w:hint="default"/>
      </w:rPr>
    </w:lvl>
    <w:lvl w:ilvl="4" w:tplc="041A0003" w:tentative="1">
      <w:start w:val="1"/>
      <w:numFmt w:val="bullet"/>
      <w:lvlText w:val="o"/>
      <w:lvlJc w:val="left"/>
      <w:pPr>
        <w:tabs>
          <w:tab w:val="num" w:pos="3700"/>
        </w:tabs>
        <w:ind w:left="3700" w:hanging="360"/>
      </w:pPr>
      <w:rPr>
        <w:rFonts w:ascii="Courier New" w:hAnsi="Courier New" w:cs="Courier New" w:hint="default"/>
      </w:rPr>
    </w:lvl>
    <w:lvl w:ilvl="5" w:tplc="041A0005" w:tentative="1">
      <w:start w:val="1"/>
      <w:numFmt w:val="bullet"/>
      <w:lvlText w:val=""/>
      <w:lvlJc w:val="left"/>
      <w:pPr>
        <w:tabs>
          <w:tab w:val="num" w:pos="4420"/>
        </w:tabs>
        <w:ind w:left="4420" w:hanging="360"/>
      </w:pPr>
      <w:rPr>
        <w:rFonts w:ascii="Wingdings" w:hAnsi="Wingdings" w:hint="default"/>
      </w:rPr>
    </w:lvl>
    <w:lvl w:ilvl="6" w:tplc="041A0001" w:tentative="1">
      <w:start w:val="1"/>
      <w:numFmt w:val="bullet"/>
      <w:lvlText w:val=""/>
      <w:lvlJc w:val="left"/>
      <w:pPr>
        <w:tabs>
          <w:tab w:val="num" w:pos="5140"/>
        </w:tabs>
        <w:ind w:left="5140" w:hanging="360"/>
      </w:pPr>
      <w:rPr>
        <w:rFonts w:ascii="Symbol" w:hAnsi="Symbol" w:hint="default"/>
      </w:rPr>
    </w:lvl>
    <w:lvl w:ilvl="7" w:tplc="041A0003" w:tentative="1">
      <w:start w:val="1"/>
      <w:numFmt w:val="bullet"/>
      <w:lvlText w:val="o"/>
      <w:lvlJc w:val="left"/>
      <w:pPr>
        <w:tabs>
          <w:tab w:val="num" w:pos="5860"/>
        </w:tabs>
        <w:ind w:left="5860" w:hanging="360"/>
      </w:pPr>
      <w:rPr>
        <w:rFonts w:ascii="Courier New" w:hAnsi="Courier New" w:cs="Courier New" w:hint="default"/>
      </w:rPr>
    </w:lvl>
    <w:lvl w:ilvl="8" w:tplc="041A0005" w:tentative="1">
      <w:start w:val="1"/>
      <w:numFmt w:val="bullet"/>
      <w:lvlText w:val=""/>
      <w:lvlJc w:val="left"/>
      <w:pPr>
        <w:tabs>
          <w:tab w:val="num" w:pos="6580"/>
        </w:tabs>
        <w:ind w:left="6580" w:hanging="360"/>
      </w:pPr>
      <w:rPr>
        <w:rFonts w:ascii="Wingdings" w:hAnsi="Wingdings" w:hint="default"/>
      </w:rPr>
    </w:lvl>
  </w:abstractNum>
  <w:abstractNum w:abstractNumId="42">
    <w:nsid w:val="2EE12546"/>
    <w:multiLevelType w:val="hybridMultilevel"/>
    <w:tmpl w:val="744E41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nsid w:val="317061F9"/>
    <w:multiLevelType w:val="hybridMultilevel"/>
    <w:tmpl w:val="B8D2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323C7091"/>
    <w:multiLevelType w:val="hybridMultilevel"/>
    <w:tmpl w:val="84E004E8"/>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nsid w:val="35843F30"/>
    <w:multiLevelType w:val="hybridMultilevel"/>
    <w:tmpl w:val="97B6C1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36063962"/>
    <w:multiLevelType w:val="multilevel"/>
    <w:tmpl w:val="623AD57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36603FDD"/>
    <w:multiLevelType w:val="hybridMultilevel"/>
    <w:tmpl w:val="6C88FC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3699432F"/>
    <w:multiLevelType w:val="hybridMultilevel"/>
    <w:tmpl w:val="42A4EE9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nsid w:val="38BB21C2"/>
    <w:multiLevelType w:val="multilevel"/>
    <w:tmpl w:val="141CD27A"/>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nsid w:val="3A6F7196"/>
    <w:multiLevelType w:val="hybridMultilevel"/>
    <w:tmpl w:val="D3E0D8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3A7F57EE"/>
    <w:multiLevelType w:val="hybridMultilevel"/>
    <w:tmpl w:val="04EE9E0A"/>
    <w:lvl w:ilvl="0" w:tplc="4B3009C6">
      <w:start w:val="3"/>
      <w:numFmt w:val="bullet"/>
      <w:lvlText w:val="-"/>
      <w:lvlJc w:val="left"/>
      <w:pPr>
        <w:tabs>
          <w:tab w:val="num" w:pos="360"/>
        </w:tabs>
        <w:ind w:left="360" w:hanging="360"/>
      </w:pPr>
      <w:rPr>
        <w:rFonts w:ascii="Times New Roman" w:eastAsia="Times New Roman" w:hAnsi="Times New Roman" w:cs="Times New Roman" w:hint="default"/>
      </w:rPr>
    </w:lvl>
    <w:lvl w:ilvl="1" w:tplc="041A0003" w:tentative="1">
      <w:start w:val="1"/>
      <w:numFmt w:val="bullet"/>
      <w:lvlText w:val="o"/>
      <w:lvlJc w:val="left"/>
      <w:pPr>
        <w:tabs>
          <w:tab w:val="num" w:pos="1080"/>
        </w:tabs>
        <w:ind w:left="1080" w:hanging="360"/>
      </w:pPr>
      <w:rPr>
        <w:rFonts w:ascii="Courier New" w:hAnsi="Courier New" w:cs="Courier New" w:hint="default"/>
      </w:rPr>
    </w:lvl>
    <w:lvl w:ilvl="2" w:tplc="041A0005" w:tentative="1">
      <w:start w:val="1"/>
      <w:numFmt w:val="bullet"/>
      <w:lvlText w:val=""/>
      <w:lvlJc w:val="left"/>
      <w:pPr>
        <w:tabs>
          <w:tab w:val="num" w:pos="1800"/>
        </w:tabs>
        <w:ind w:left="1800" w:hanging="360"/>
      </w:pPr>
      <w:rPr>
        <w:rFonts w:ascii="Wingdings" w:hAnsi="Wingdings" w:hint="default"/>
      </w:rPr>
    </w:lvl>
    <w:lvl w:ilvl="3" w:tplc="041A0001" w:tentative="1">
      <w:start w:val="1"/>
      <w:numFmt w:val="bullet"/>
      <w:lvlText w:val=""/>
      <w:lvlJc w:val="left"/>
      <w:pPr>
        <w:tabs>
          <w:tab w:val="num" w:pos="2520"/>
        </w:tabs>
        <w:ind w:left="2520" w:hanging="360"/>
      </w:pPr>
      <w:rPr>
        <w:rFonts w:ascii="Symbol" w:hAnsi="Symbol" w:hint="default"/>
      </w:rPr>
    </w:lvl>
    <w:lvl w:ilvl="4" w:tplc="041A0003" w:tentative="1">
      <w:start w:val="1"/>
      <w:numFmt w:val="bullet"/>
      <w:lvlText w:val="o"/>
      <w:lvlJc w:val="left"/>
      <w:pPr>
        <w:tabs>
          <w:tab w:val="num" w:pos="3240"/>
        </w:tabs>
        <w:ind w:left="3240" w:hanging="360"/>
      </w:pPr>
      <w:rPr>
        <w:rFonts w:ascii="Courier New" w:hAnsi="Courier New" w:cs="Courier New" w:hint="default"/>
      </w:rPr>
    </w:lvl>
    <w:lvl w:ilvl="5" w:tplc="041A0005" w:tentative="1">
      <w:start w:val="1"/>
      <w:numFmt w:val="bullet"/>
      <w:lvlText w:val=""/>
      <w:lvlJc w:val="left"/>
      <w:pPr>
        <w:tabs>
          <w:tab w:val="num" w:pos="3960"/>
        </w:tabs>
        <w:ind w:left="3960" w:hanging="360"/>
      </w:pPr>
      <w:rPr>
        <w:rFonts w:ascii="Wingdings" w:hAnsi="Wingdings" w:hint="default"/>
      </w:rPr>
    </w:lvl>
    <w:lvl w:ilvl="6" w:tplc="041A0001" w:tentative="1">
      <w:start w:val="1"/>
      <w:numFmt w:val="bullet"/>
      <w:lvlText w:val=""/>
      <w:lvlJc w:val="left"/>
      <w:pPr>
        <w:tabs>
          <w:tab w:val="num" w:pos="4680"/>
        </w:tabs>
        <w:ind w:left="4680" w:hanging="360"/>
      </w:pPr>
      <w:rPr>
        <w:rFonts w:ascii="Symbol" w:hAnsi="Symbol" w:hint="default"/>
      </w:rPr>
    </w:lvl>
    <w:lvl w:ilvl="7" w:tplc="041A0003" w:tentative="1">
      <w:start w:val="1"/>
      <w:numFmt w:val="bullet"/>
      <w:lvlText w:val="o"/>
      <w:lvlJc w:val="left"/>
      <w:pPr>
        <w:tabs>
          <w:tab w:val="num" w:pos="5400"/>
        </w:tabs>
        <w:ind w:left="5400" w:hanging="360"/>
      </w:pPr>
      <w:rPr>
        <w:rFonts w:ascii="Courier New" w:hAnsi="Courier New" w:cs="Courier New" w:hint="default"/>
      </w:rPr>
    </w:lvl>
    <w:lvl w:ilvl="8" w:tplc="041A0005" w:tentative="1">
      <w:start w:val="1"/>
      <w:numFmt w:val="bullet"/>
      <w:lvlText w:val=""/>
      <w:lvlJc w:val="left"/>
      <w:pPr>
        <w:tabs>
          <w:tab w:val="num" w:pos="6120"/>
        </w:tabs>
        <w:ind w:left="6120" w:hanging="360"/>
      </w:pPr>
      <w:rPr>
        <w:rFonts w:ascii="Wingdings" w:hAnsi="Wingdings" w:hint="default"/>
      </w:rPr>
    </w:lvl>
  </w:abstractNum>
  <w:abstractNum w:abstractNumId="52">
    <w:nsid w:val="3E0B69C7"/>
    <w:multiLevelType w:val="hybridMultilevel"/>
    <w:tmpl w:val="A74466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nsid w:val="3E1563FC"/>
    <w:multiLevelType w:val="hybridMultilevel"/>
    <w:tmpl w:val="2B1AEFC0"/>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4">
    <w:nsid w:val="3E3B107C"/>
    <w:multiLevelType w:val="hybridMultilevel"/>
    <w:tmpl w:val="40B6F7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3FDB75DB"/>
    <w:multiLevelType w:val="hybridMultilevel"/>
    <w:tmpl w:val="5776ADD4"/>
    <w:lvl w:ilvl="0" w:tplc="0A06E90E">
      <w:start w:val="1"/>
      <w:numFmt w:val="bullet"/>
      <w:lvlText w:val="•"/>
      <w:lvlJc w:val="left"/>
      <w:pPr>
        <w:tabs>
          <w:tab w:val="num" w:pos="720"/>
        </w:tabs>
        <w:ind w:left="720" w:hanging="360"/>
      </w:pPr>
      <w:rPr>
        <w:rFonts w:ascii="Times New Roman" w:hAnsi="Times New Roman" w:hint="default"/>
      </w:rPr>
    </w:lvl>
    <w:lvl w:ilvl="1" w:tplc="735E80C2" w:tentative="1">
      <w:start w:val="1"/>
      <w:numFmt w:val="bullet"/>
      <w:lvlText w:val="•"/>
      <w:lvlJc w:val="left"/>
      <w:pPr>
        <w:tabs>
          <w:tab w:val="num" w:pos="1440"/>
        </w:tabs>
        <w:ind w:left="1440" w:hanging="360"/>
      </w:pPr>
      <w:rPr>
        <w:rFonts w:ascii="Times New Roman" w:hAnsi="Times New Roman" w:hint="default"/>
      </w:rPr>
    </w:lvl>
    <w:lvl w:ilvl="2" w:tplc="05B2C3FE" w:tentative="1">
      <w:start w:val="1"/>
      <w:numFmt w:val="bullet"/>
      <w:lvlText w:val="•"/>
      <w:lvlJc w:val="left"/>
      <w:pPr>
        <w:tabs>
          <w:tab w:val="num" w:pos="2160"/>
        </w:tabs>
        <w:ind w:left="2160" w:hanging="360"/>
      </w:pPr>
      <w:rPr>
        <w:rFonts w:ascii="Times New Roman" w:hAnsi="Times New Roman" w:hint="default"/>
      </w:rPr>
    </w:lvl>
    <w:lvl w:ilvl="3" w:tplc="9CD4E896" w:tentative="1">
      <w:start w:val="1"/>
      <w:numFmt w:val="bullet"/>
      <w:lvlText w:val="•"/>
      <w:lvlJc w:val="left"/>
      <w:pPr>
        <w:tabs>
          <w:tab w:val="num" w:pos="2880"/>
        </w:tabs>
        <w:ind w:left="2880" w:hanging="360"/>
      </w:pPr>
      <w:rPr>
        <w:rFonts w:ascii="Times New Roman" w:hAnsi="Times New Roman" w:hint="default"/>
      </w:rPr>
    </w:lvl>
    <w:lvl w:ilvl="4" w:tplc="42CE3394" w:tentative="1">
      <w:start w:val="1"/>
      <w:numFmt w:val="bullet"/>
      <w:lvlText w:val="•"/>
      <w:lvlJc w:val="left"/>
      <w:pPr>
        <w:tabs>
          <w:tab w:val="num" w:pos="3600"/>
        </w:tabs>
        <w:ind w:left="3600" w:hanging="360"/>
      </w:pPr>
      <w:rPr>
        <w:rFonts w:ascii="Times New Roman" w:hAnsi="Times New Roman" w:hint="default"/>
      </w:rPr>
    </w:lvl>
    <w:lvl w:ilvl="5" w:tplc="3C225CF0" w:tentative="1">
      <w:start w:val="1"/>
      <w:numFmt w:val="bullet"/>
      <w:lvlText w:val="•"/>
      <w:lvlJc w:val="left"/>
      <w:pPr>
        <w:tabs>
          <w:tab w:val="num" w:pos="4320"/>
        </w:tabs>
        <w:ind w:left="4320" w:hanging="360"/>
      </w:pPr>
      <w:rPr>
        <w:rFonts w:ascii="Times New Roman" w:hAnsi="Times New Roman" w:hint="default"/>
      </w:rPr>
    </w:lvl>
    <w:lvl w:ilvl="6" w:tplc="E15064F6" w:tentative="1">
      <w:start w:val="1"/>
      <w:numFmt w:val="bullet"/>
      <w:lvlText w:val="•"/>
      <w:lvlJc w:val="left"/>
      <w:pPr>
        <w:tabs>
          <w:tab w:val="num" w:pos="5040"/>
        </w:tabs>
        <w:ind w:left="5040" w:hanging="360"/>
      </w:pPr>
      <w:rPr>
        <w:rFonts w:ascii="Times New Roman" w:hAnsi="Times New Roman" w:hint="default"/>
      </w:rPr>
    </w:lvl>
    <w:lvl w:ilvl="7" w:tplc="86E44A7C" w:tentative="1">
      <w:start w:val="1"/>
      <w:numFmt w:val="bullet"/>
      <w:lvlText w:val="•"/>
      <w:lvlJc w:val="left"/>
      <w:pPr>
        <w:tabs>
          <w:tab w:val="num" w:pos="5760"/>
        </w:tabs>
        <w:ind w:left="5760" w:hanging="360"/>
      </w:pPr>
      <w:rPr>
        <w:rFonts w:ascii="Times New Roman" w:hAnsi="Times New Roman" w:hint="default"/>
      </w:rPr>
    </w:lvl>
    <w:lvl w:ilvl="8" w:tplc="C5B0943C" w:tentative="1">
      <w:start w:val="1"/>
      <w:numFmt w:val="bullet"/>
      <w:lvlText w:val="•"/>
      <w:lvlJc w:val="left"/>
      <w:pPr>
        <w:tabs>
          <w:tab w:val="num" w:pos="6480"/>
        </w:tabs>
        <w:ind w:left="6480" w:hanging="360"/>
      </w:pPr>
      <w:rPr>
        <w:rFonts w:ascii="Times New Roman" w:hAnsi="Times New Roman" w:hint="default"/>
      </w:rPr>
    </w:lvl>
  </w:abstractNum>
  <w:abstractNum w:abstractNumId="56">
    <w:nsid w:val="401A755A"/>
    <w:multiLevelType w:val="hybridMultilevel"/>
    <w:tmpl w:val="A00C7D3A"/>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7">
    <w:nsid w:val="40511E09"/>
    <w:multiLevelType w:val="hybridMultilevel"/>
    <w:tmpl w:val="C970568C"/>
    <w:lvl w:ilvl="0" w:tplc="F91A0ACC">
      <w:start w:val="1"/>
      <w:numFmt w:val="bullet"/>
      <w:lvlText w:val="•"/>
      <w:lvlJc w:val="left"/>
      <w:pPr>
        <w:tabs>
          <w:tab w:val="num" w:pos="720"/>
        </w:tabs>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42DA564E"/>
    <w:multiLevelType w:val="hybridMultilevel"/>
    <w:tmpl w:val="55D65B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nsid w:val="43DD489A"/>
    <w:multiLevelType w:val="hybridMultilevel"/>
    <w:tmpl w:val="085065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nsid w:val="454954AE"/>
    <w:multiLevelType w:val="hybridMultilevel"/>
    <w:tmpl w:val="CC2EA6C2"/>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1">
    <w:nsid w:val="45F75980"/>
    <w:multiLevelType w:val="hybridMultilevel"/>
    <w:tmpl w:val="A4B06F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nsid w:val="46AB46E6"/>
    <w:multiLevelType w:val="hybridMultilevel"/>
    <w:tmpl w:val="3BEE9032"/>
    <w:lvl w:ilvl="0" w:tplc="56F8D548">
      <w:start w:val="1"/>
      <w:numFmt w:val="bullet"/>
      <w:lvlText w:val="•"/>
      <w:lvlJc w:val="left"/>
      <w:pPr>
        <w:tabs>
          <w:tab w:val="num" w:pos="720"/>
        </w:tabs>
        <w:ind w:left="720" w:hanging="360"/>
      </w:pPr>
      <w:rPr>
        <w:rFonts w:ascii="Times New Roman" w:hAnsi="Times New Roman" w:hint="default"/>
      </w:rPr>
    </w:lvl>
    <w:lvl w:ilvl="1" w:tplc="C02AA9AE" w:tentative="1">
      <w:start w:val="1"/>
      <w:numFmt w:val="bullet"/>
      <w:lvlText w:val="•"/>
      <w:lvlJc w:val="left"/>
      <w:pPr>
        <w:tabs>
          <w:tab w:val="num" w:pos="1440"/>
        </w:tabs>
        <w:ind w:left="1440" w:hanging="360"/>
      </w:pPr>
      <w:rPr>
        <w:rFonts w:ascii="Times New Roman" w:hAnsi="Times New Roman" w:hint="default"/>
      </w:rPr>
    </w:lvl>
    <w:lvl w:ilvl="2" w:tplc="F16EB318" w:tentative="1">
      <w:start w:val="1"/>
      <w:numFmt w:val="bullet"/>
      <w:lvlText w:val="•"/>
      <w:lvlJc w:val="left"/>
      <w:pPr>
        <w:tabs>
          <w:tab w:val="num" w:pos="2160"/>
        </w:tabs>
        <w:ind w:left="2160" w:hanging="360"/>
      </w:pPr>
      <w:rPr>
        <w:rFonts w:ascii="Times New Roman" w:hAnsi="Times New Roman" w:hint="default"/>
      </w:rPr>
    </w:lvl>
    <w:lvl w:ilvl="3" w:tplc="0D967CD8" w:tentative="1">
      <w:start w:val="1"/>
      <w:numFmt w:val="bullet"/>
      <w:lvlText w:val="•"/>
      <w:lvlJc w:val="left"/>
      <w:pPr>
        <w:tabs>
          <w:tab w:val="num" w:pos="2880"/>
        </w:tabs>
        <w:ind w:left="2880" w:hanging="360"/>
      </w:pPr>
      <w:rPr>
        <w:rFonts w:ascii="Times New Roman" w:hAnsi="Times New Roman" w:hint="default"/>
      </w:rPr>
    </w:lvl>
    <w:lvl w:ilvl="4" w:tplc="C8DC2122" w:tentative="1">
      <w:start w:val="1"/>
      <w:numFmt w:val="bullet"/>
      <w:lvlText w:val="•"/>
      <w:lvlJc w:val="left"/>
      <w:pPr>
        <w:tabs>
          <w:tab w:val="num" w:pos="3600"/>
        </w:tabs>
        <w:ind w:left="3600" w:hanging="360"/>
      </w:pPr>
      <w:rPr>
        <w:rFonts w:ascii="Times New Roman" w:hAnsi="Times New Roman" w:hint="default"/>
      </w:rPr>
    </w:lvl>
    <w:lvl w:ilvl="5" w:tplc="5BFADA62" w:tentative="1">
      <w:start w:val="1"/>
      <w:numFmt w:val="bullet"/>
      <w:lvlText w:val="•"/>
      <w:lvlJc w:val="left"/>
      <w:pPr>
        <w:tabs>
          <w:tab w:val="num" w:pos="4320"/>
        </w:tabs>
        <w:ind w:left="4320" w:hanging="360"/>
      </w:pPr>
      <w:rPr>
        <w:rFonts w:ascii="Times New Roman" w:hAnsi="Times New Roman" w:hint="default"/>
      </w:rPr>
    </w:lvl>
    <w:lvl w:ilvl="6" w:tplc="86BEB04C" w:tentative="1">
      <w:start w:val="1"/>
      <w:numFmt w:val="bullet"/>
      <w:lvlText w:val="•"/>
      <w:lvlJc w:val="left"/>
      <w:pPr>
        <w:tabs>
          <w:tab w:val="num" w:pos="5040"/>
        </w:tabs>
        <w:ind w:left="5040" w:hanging="360"/>
      </w:pPr>
      <w:rPr>
        <w:rFonts w:ascii="Times New Roman" w:hAnsi="Times New Roman" w:hint="default"/>
      </w:rPr>
    </w:lvl>
    <w:lvl w:ilvl="7" w:tplc="D0560F38" w:tentative="1">
      <w:start w:val="1"/>
      <w:numFmt w:val="bullet"/>
      <w:lvlText w:val="•"/>
      <w:lvlJc w:val="left"/>
      <w:pPr>
        <w:tabs>
          <w:tab w:val="num" w:pos="5760"/>
        </w:tabs>
        <w:ind w:left="5760" w:hanging="360"/>
      </w:pPr>
      <w:rPr>
        <w:rFonts w:ascii="Times New Roman" w:hAnsi="Times New Roman" w:hint="default"/>
      </w:rPr>
    </w:lvl>
    <w:lvl w:ilvl="8" w:tplc="1CAC3EF0" w:tentative="1">
      <w:start w:val="1"/>
      <w:numFmt w:val="bullet"/>
      <w:lvlText w:val="•"/>
      <w:lvlJc w:val="left"/>
      <w:pPr>
        <w:tabs>
          <w:tab w:val="num" w:pos="6480"/>
        </w:tabs>
        <w:ind w:left="6480" w:hanging="360"/>
      </w:pPr>
      <w:rPr>
        <w:rFonts w:ascii="Times New Roman" w:hAnsi="Times New Roman" w:hint="default"/>
      </w:rPr>
    </w:lvl>
  </w:abstractNum>
  <w:abstractNum w:abstractNumId="63">
    <w:nsid w:val="474C7523"/>
    <w:multiLevelType w:val="hybridMultilevel"/>
    <w:tmpl w:val="004E0B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nsid w:val="47DD1D96"/>
    <w:multiLevelType w:val="hybridMultilevel"/>
    <w:tmpl w:val="6902D1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481B682B"/>
    <w:multiLevelType w:val="hybridMultilevel"/>
    <w:tmpl w:val="794A730A"/>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6">
    <w:nsid w:val="48A82371"/>
    <w:multiLevelType w:val="hybridMultilevel"/>
    <w:tmpl w:val="AB6485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nsid w:val="49D94CFC"/>
    <w:multiLevelType w:val="hybridMultilevel"/>
    <w:tmpl w:val="425877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nsid w:val="49ED5FDF"/>
    <w:multiLevelType w:val="hybridMultilevel"/>
    <w:tmpl w:val="83527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nsid w:val="4A764FAE"/>
    <w:multiLevelType w:val="hybridMultilevel"/>
    <w:tmpl w:val="1A0E0106"/>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nsid w:val="4B4B4BAC"/>
    <w:multiLevelType w:val="hybridMultilevel"/>
    <w:tmpl w:val="A92EB964"/>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1">
    <w:nsid w:val="4BEF44C1"/>
    <w:multiLevelType w:val="hybridMultilevel"/>
    <w:tmpl w:val="683A008A"/>
    <w:lvl w:ilvl="0" w:tplc="8A8EFC3E">
      <w:start w:val="10"/>
      <w:numFmt w:val="bullet"/>
      <w:lvlText w:val="-"/>
      <w:lvlJc w:val="left"/>
      <w:pPr>
        <w:tabs>
          <w:tab w:val="num" w:pos="720"/>
        </w:tabs>
        <w:ind w:left="720" w:hanging="360"/>
      </w:pPr>
      <w:rPr>
        <w:rFonts w:ascii="TimesNewRoman" w:eastAsia="Times New Roman" w:hAnsi="TimesNewRoman" w:cs="TimesNew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2">
    <w:nsid w:val="4BF66563"/>
    <w:multiLevelType w:val="hybridMultilevel"/>
    <w:tmpl w:val="19842F14"/>
    <w:lvl w:ilvl="0" w:tplc="041A000F">
      <w:start w:val="1"/>
      <w:numFmt w:val="decimal"/>
      <w:lvlText w:val="%1."/>
      <w:lvlJc w:val="left"/>
      <w:pPr>
        <w:ind w:left="927" w:hanging="360"/>
      </w:pPr>
    </w:lvl>
    <w:lvl w:ilvl="1" w:tplc="61D0BCFA">
      <w:start w:val="1"/>
      <w:numFmt w:val="decimal"/>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3">
    <w:nsid w:val="4EA85AD0"/>
    <w:multiLevelType w:val="hybridMultilevel"/>
    <w:tmpl w:val="4FA25B4A"/>
    <w:lvl w:ilvl="0" w:tplc="F91A0ACC">
      <w:start w:val="1"/>
      <w:numFmt w:val="bullet"/>
      <w:lvlText w:val="•"/>
      <w:lvlJc w:val="left"/>
      <w:pPr>
        <w:tabs>
          <w:tab w:val="num" w:pos="720"/>
        </w:tabs>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nsid w:val="4F1514D5"/>
    <w:multiLevelType w:val="hybridMultilevel"/>
    <w:tmpl w:val="C96E3640"/>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5">
    <w:nsid w:val="4F48464E"/>
    <w:multiLevelType w:val="hybridMultilevel"/>
    <w:tmpl w:val="9DE840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nsid w:val="4F984E4A"/>
    <w:multiLevelType w:val="hybridMultilevel"/>
    <w:tmpl w:val="DF98631C"/>
    <w:lvl w:ilvl="0" w:tplc="041A000F">
      <w:start w:val="1"/>
      <w:numFmt w:val="decimal"/>
      <w:lvlText w:val="%1."/>
      <w:lvlJc w:val="left"/>
      <w:pPr>
        <w:tabs>
          <w:tab w:val="num" w:pos="720"/>
        </w:tabs>
        <w:ind w:left="720" w:hanging="360"/>
      </w:pPr>
    </w:lvl>
    <w:lvl w:ilvl="1" w:tplc="4F0E50E0">
      <w:start w:val="1"/>
      <w:numFmt w:val="bullet"/>
      <w:lvlText w:val=""/>
      <w:lvlJc w:val="left"/>
      <w:pPr>
        <w:tabs>
          <w:tab w:val="num" w:pos="1440"/>
        </w:tabs>
        <w:ind w:left="1440" w:hanging="360"/>
      </w:pPr>
      <w:rPr>
        <w:rFonts w:ascii="Symbol" w:hAnsi="Symbol" w:hint="default"/>
      </w:r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77">
    <w:nsid w:val="505047FC"/>
    <w:multiLevelType w:val="hybridMultilevel"/>
    <w:tmpl w:val="BF547564"/>
    <w:lvl w:ilvl="0" w:tplc="041A0001">
      <w:start w:val="1"/>
      <w:numFmt w:val="bullet"/>
      <w:lvlText w:val=""/>
      <w:lvlJc w:val="left"/>
      <w:pPr>
        <w:tabs>
          <w:tab w:val="num" w:pos="1146"/>
        </w:tabs>
        <w:ind w:left="1146"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8">
    <w:nsid w:val="52C3440F"/>
    <w:multiLevelType w:val="hybridMultilevel"/>
    <w:tmpl w:val="8724E19E"/>
    <w:lvl w:ilvl="0" w:tplc="4B3009C6">
      <w:start w:val="3"/>
      <w:numFmt w:val="bullet"/>
      <w:lvlText w:val="-"/>
      <w:lvlJc w:val="left"/>
      <w:pPr>
        <w:tabs>
          <w:tab w:val="num" w:pos="820"/>
        </w:tabs>
        <w:ind w:left="8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nsid w:val="537E479A"/>
    <w:multiLevelType w:val="multilevel"/>
    <w:tmpl w:val="4CACC6C0"/>
    <w:lvl w:ilvl="0">
      <w:start w:val="3"/>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0">
    <w:nsid w:val="54A75F65"/>
    <w:multiLevelType w:val="hybridMultilevel"/>
    <w:tmpl w:val="F4F613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nsid w:val="54E10982"/>
    <w:multiLevelType w:val="hybridMultilevel"/>
    <w:tmpl w:val="D72C3080"/>
    <w:lvl w:ilvl="0" w:tplc="F91A0ACC">
      <w:start w:val="1"/>
      <w:numFmt w:val="bullet"/>
      <w:lvlText w:val="•"/>
      <w:lvlJc w:val="left"/>
      <w:pPr>
        <w:tabs>
          <w:tab w:val="num" w:pos="720"/>
        </w:tabs>
        <w:ind w:left="720" w:hanging="360"/>
      </w:pPr>
      <w:rPr>
        <w:rFonts w:ascii="Times New Roman" w:hAnsi="Times New Roman" w:hint="default"/>
      </w:rPr>
    </w:lvl>
    <w:lvl w:ilvl="1" w:tplc="7E5CF824" w:tentative="1">
      <w:start w:val="1"/>
      <w:numFmt w:val="bullet"/>
      <w:lvlText w:val="•"/>
      <w:lvlJc w:val="left"/>
      <w:pPr>
        <w:tabs>
          <w:tab w:val="num" w:pos="1440"/>
        </w:tabs>
        <w:ind w:left="1440" w:hanging="360"/>
      </w:pPr>
      <w:rPr>
        <w:rFonts w:ascii="Times New Roman" w:hAnsi="Times New Roman" w:hint="default"/>
      </w:rPr>
    </w:lvl>
    <w:lvl w:ilvl="2" w:tplc="0A0A82B6" w:tentative="1">
      <w:start w:val="1"/>
      <w:numFmt w:val="bullet"/>
      <w:lvlText w:val="•"/>
      <w:lvlJc w:val="left"/>
      <w:pPr>
        <w:tabs>
          <w:tab w:val="num" w:pos="2160"/>
        </w:tabs>
        <w:ind w:left="2160" w:hanging="360"/>
      </w:pPr>
      <w:rPr>
        <w:rFonts w:ascii="Times New Roman" w:hAnsi="Times New Roman" w:hint="default"/>
      </w:rPr>
    </w:lvl>
    <w:lvl w:ilvl="3" w:tplc="F214AAAE" w:tentative="1">
      <w:start w:val="1"/>
      <w:numFmt w:val="bullet"/>
      <w:lvlText w:val="•"/>
      <w:lvlJc w:val="left"/>
      <w:pPr>
        <w:tabs>
          <w:tab w:val="num" w:pos="2880"/>
        </w:tabs>
        <w:ind w:left="2880" w:hanging="360"/>
      </w:pPr>
      <w:rPr>
        <w:rFonts w:ascii="Times New Roman" w:hAnsi="Times New Roman" w:hint="default"/>
      </w:rPr>
    </w:lvl>
    <w:lvl w:ilvl="4" w:tplc="46FC805E" w:tentative="1">
      <w:start w:val="1"/>
      <w:numFmt w:val="bullet"/>
      <w:lvlText w:val="•"/>
      <w:lvlJc w:val="left"/>
      <w:pPr>
        <w:tabs>
          <w:tab w:val="num" w:pos="3600"/>
        </w:tabs>
        <w:ind w:left="3600" w:hanging="360"/>
      </w:pPr>
      <w:rPr>
        <w:rFonts w:ascii="Times New Roman" w:hAnsi="Times New Roman" w:hint="default"/>
      </w:rPr>
    </w:lvl>
    <w:lvl w:ilvl="5" w:tplc="3800A268" w:tentative="1">
      <w:start w:val="1"/>
      <w:numFmt w:val="bullet"/>
      <w:lvlText w:val="•"/>
      <w:lvlJc w:val="left"/>
      <w:pPr>
        <w:tabs>
          <w:tab w:val="num" w:pos="4320"/>
        </w:tabs>
        <w:ind w:left="4320" w:hanging="360"/>
      </w:pPr>
      <w:rPr>
        <w:rFonts w:ascii="Times New Roman" w:hAnsi="Times New Roman" w:hint="default"/>
      </w:rPr>
    </w:lvl>
    <w:lvl w:ilvl="6" w:tplc="1750E094" w:tentative="1">
      <w:start w:val="1"/>
      <w:numFmt w:val="bullet"/>
      <w:lvlText w:val="•"/>
      <w:lvlJc w:val="left"/>
      <w:pPr>
        <w:tabs>
          <w:tab w:val="num" w:pos="5040"/>
        </w:tabs>
        <w:ind w:left="5040" w:hanging="360"/>
      </w:pPr>
      <w:rPr>
        <w:rFonts w:ascii="Times New Roman" w:hAnsi="Times New Roman" w:hint="default"/>
      </w:rPr>
    </w:lvl>
    <w:lvl w:ilvl="7" w:tplc="131A49F4" w:tentative="1">
      <w:start w:val="1"/>
      <w:numFmt w:val="bullet"/>
      <w:lvlText w:val="•"/>
      <w:lvlJc w:val="left"/>
      <w:pPr>
        <w:tabs>
          <w:tab w:val="num" w:pos="5760"/>
        </w:tabs>
        <w:ind w:left="5760" w:hanging="360"/>
      </w:pPr>
      <w:rPr>
        <w:rFonts w:ascii="Times New Roman" w:hAnsi="Times New Roman" w:hint="default"/>
      </w:rPr>
    </w:lvl>
    <w:lvl w:ilvl="8" w:tplc="82626F36" w:tentative="1">
      <w:start w:val="1"/>
      <w:numFmt w:val="bullet"/>
      <w:lvlText w:val="•"/>
      <w:lvlJc w:val="left"/>
      <w:pPr>
        <w:tabs>
          <w:tab w:val="num" w:pos="6480"/>
        </w:tabs>
        <w:ind w:left="6480" w:hanging="360"/>
      </w:pPr>
      <w:rPr>
        <w:rFonts w:ascii="Times New Roman" w:hAnsi="Times New Roman" w:hint="default"/>
      </w:rPr>
    </w:lvl>
  </w:abstractNum>
  <w:abstractNum w:abstractNumId="82">
    <w:nsid w:val="56A779D9"/>
    <w:multiLevelType w:val="multilevel"/>
    <w:tmpl w:val="AA9CD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56FD7DA6"/>
    <w:multiLevelType w:val="hybridMultilevel"/>
    <w:tmpl w:val="28F6AC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nsid w:val="582307B6"/>
    <w:multiLevelType w:val="hybridMultilevel"/>
    <w:tmpl w:val="FCDC2706"/>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85">
    <w:nsid w:val="5838244E"/>
    <w:multiLevelType w:val="hybridMultilevel"/>
    <w:tmpl w:val="E75A153A"/>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nsid w:val="59374BC7"/>
    <w:multiLevelType w:val="hybridMultilevel"/>
    <w:tmpl w:val="D0106CFA"/>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nsid w:val="5A203E5D"/>
    <w:multiLevelType w:val="hybridMultilevel"/>
    <w:tmpl w:val="85BE5C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nsid w:val="5A4851B6"/>
    <w:multiLevelType w:val="hybridMultilevel"/>
    <w:tmpl w:val="957C4B90"/>
    <w:lvl w:ilvl="0" w:tplc="041A000F">
      <w:start w:val="1"/>
      <w:numFmt w:val="decimal"/>
      <w:lvlText w:val="%1."/>
      <w:lvlJc w:val="left"/>
      <w:pPr>
        <w:tabs>
          <w:tab w:val="num" w:pos="720"/>
        </w:tabs>
        <w:ind w:left="720" w:hanging="360"/>
      </w:p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89">
    <w:nsid w:val="5B841300"/>
    <w:multiLevelType w:val="multilevel"/>
    <w:tmpl w:val="229AF612"/>
    <w:lvl w:ilvl="0">
      <w:start w:val="3"/>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0">
    <w:nsid w:val="5BAF0E70"/>
    <w:multiLevelType w:val="hybridMultilevel"/>
    <w:tmpl w:val="07245708"/>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1">
    <w:nsid w:val="5BE47353"/>
    <w:multiLevelType w:val="hybridMultilevel"/>
    <w:tmpl w:val="31A6F8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nsid w:val="5CA85699"/>
    <w:multiLevelType w:val="hybridMultilevel"/>
    <w:tmpl w:val="D228C5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nsid w:val="5EC910DD"/>
    <w:multiLevelType w:val="hybridMultilevel"/>
    <w:tmpl w:val="31BEA2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nsid w:val="5F1E5135"/>
    <w:multiLevelType w:val="hybridMultilevel"/>
    <w:tmpl w:val="4F9465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nsid w:val="5F6626CA"/>
    <w:multiLevelType w:val="hybridMultilevel"/>
    <w:tmpl w:val="3C6C7340"/>
    <w:lvl w:ilvl="0" w:tplc="041A0005">
      <w:start w:val="1"/>
      <w:numFmt w:val="bullet"/>
      <w:lvlText w:val=""/>
      <w:lvlJc w:val="left"/>
      <w:pPr>
        <w:tabs>
          <w:tab w:val="num" w:pos="720"/>
        </w:tabs>
        <w:ind w:left="720" w:hanging="360"/>
      </w:pPr>
      <w:rPr>
        <w:rFonts w:ascii="Wingdings" w:hAnsi="Wingdings"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6">
    <w:nsid w:val="60170D5D"/>
    <w:multiLevelType w:val="hybridMultilevel"/>
    <w:tmpl w:val="D12CFBA6"/>
    <w:lvl w:ilvl="0" w:tplc="041A000F">
      <w:start w:val="1"/>
      <w:numFmt w:val="decimal"/>
      <w:lvlText w:val="%1."/>
      <w:lvlJc w:val="left"/>
      <w:pPr>
        <w:tabs>
          <w:tab w:val="num" w:pos="720"/>
        </w:tabs>
        <w:ind w:left="720" w:hanging="360"/>
      </w:pPr>
      <w:rPr>
        <w:rFonts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7">
    <w:nsid w:val="632833BA"/>
    <w:multiLevelType w:val="hybridMultilevel"/>
    <w:tmpl w:val="5FD014A8"/>
    <w:lvl w:ilvl="0" w:tplc="282C8BF4">
      <w:numFmt w:val="bullet"/>
      <w:lvlText w:val="-"/>
      <w:lvlJc w:val="left"/>
      <w:pPr>
        <w:ind w:left="819" w:hanging="360"/>
      </w:pPr>
      <w:rPr>
        <w:rFonts w:ascii="Calibri" w:eastAsiaTheme="minorHAnsi" w:hAnsi="Calibri" w:cstheme="minorBidi" w:hint="default"/>
      </w:rPr>
    </w:lvl>
    <w:lvl w:ilvl="1" w:tplc="041A0003" w:tentative="1">
      <w:start w:val="1"/>
      <w:numFmt w:val="bullet"/>
      <w:lvlText w:val="o"/>
      <w:lvlJc w:val="left"/>
      <w:pPr>
        <w:ind w:left="1539" w:hanging="360"/>
      </w:pPr>
      <w:rPr>
        <w:rFonts w:ascii="Courier New" w:hAnsi="Courier New" w:cs="Courier New" w:hint="default"/>
      </w:rPr>
    </w:lvl>
    <w:lvl w:ilvl="2" w:tplc="041A0005" w:tentative="1">
      <w:start w:val="1"/>
      <w:numFmt w:val="bullet"/>
      <w:lvlText w:val=""/>
      <w:lvlJc w:val="left"/>
      <w:pPr>
        <w:ind w:left="2259" w:hanging="360"/>
      </w:pPr>
      <w:rPr>
        <w:rFonts w:ascii="Wingdings" w:hAnsi="Wingdings" w:hint="default"/>
      </w:rPr>
    </w:lvl>
    <w:lvl w:ilvl="3" w:tplc="041A0001" w:tentative="1">
      <w:start w:val="1"/>
      <w:numFmt w:val="bullet"/>
      <w:lvlText w:val=""/>
      <w:lvlJc w:val="left"/>
      <w:pPr>
        <w:ind w:left="2979" w:hanging="360"/>
      </w:pPr>
      <w:rPr>
        <w:rFonts w:ascii="Symbol" w:hAnsi="Symbol" w:hint="default"/>
      </w:rPr>
    </w:lvl>
    <w:lvl w:ilvl="4" w:tplc="041A0003" w:tentative="1">
      <w:start w:val="1"/>
      <w:numFmt w:val="bullet"/>
      <w:lvlText w:val="o"/>
      <w:lvlJc w:val="left"/>
      <w:pPr>
        <w:ind w:left="3699" w:hanging="360"/>
      </w:pPr>
      <w:rPr>
        <w:rFonts w:ascii="Courier New" w:hAnsi="Courier New" w:cs="Courier New" w:hint="default"/>
      </w:rPr>
    </w:lvl>
    <w:lvl w:ilvl="5" w:tplc="041A0005" w:tentative="1">
      <w:start w:val="1"/>
      <w:numFmt w:val="bullet"/>
      <w:lvlText w:val=""/>
      <w:lvlJc w:val="left"/>
      <w:pPr>
        <w:ind w:left="4419" w:hanging="360"/>
      </w:pPr>
      <w:rPr>
        <w:rFonts w:ascii="Wingdings" w:hAnsi="Wingdings" w:hint="default"/>
      </w:rPr>
    </w:lvl>
    <w:lvl w:ilvl="6" w:tplc="041A0001" w:tentative="1">
      <w:start w:val="1"/>
      <w:numFmt w:val="bullet"/>
      <w:lvlText w:val=""/>
      <w:lvlJc w:val="left"/>
      <w:pPr>
        <w:ind w:left="5139" w:hanging="360"/>
      </w:pPr>
      <w:rPr>
        <w:rFonts w:ascii="Symbol" w:hAnsi="Symbol" w:hint="default"/>
      </w:rPr>
    </w:lvl>
    <w:lvl w:ilvl="7" w:tplc="041A0003" w:tentative="1">
      <w:start w:val="1"/>
      <w:numFmt w:val="bullet"/>
      <w:lvlText w:val="o"/>
      <w:lvlJc w:val="left"/>
      <w:pPr>
        <w:ind w:left="5859" w:hanging="360"/>
      </w:pPr>
      <w:rPr>
        <w:rFonts w:ascii="Courier New" w:hAnsi="Courier New" w:cs="Courier New" w:hint="default"/>
      </w:rPr>
    </w:lvl>
    <w:lvl w:ilvl="8" w:tplc="041A0005" w:tentative="1">
      <w:start w:val="1"/>
      <w:numFmt w:val="bullet"/>
      <w:lvlText w:val=""/>
      <w:lvlJc w:val="left"/>
      <w:pPr>
        <w:ind w:left="6579" w:hanging="360"/>
      </w:pPr>
      <w:rPr>
        <w:rFonts w:ascii="Wingdings" w:hAnsi="Wingdings" w:hint="default"/>
      </w:rPr>
    </w:lvl>
  </w:abstractNum>
  <w:abstractNum w:abstractNumId="98">
    <w:nsid w:val="63AE5705"/>
    <w:multiLevelType w:val="hybridMultilevel"/>
    <w:tmpl w:val="4BAC9012"/>
    <w:lvl w:ilvl="0" w:tplc="041A0001">
      <w:start w:val="1"/>
      <w:numFmt w:val="bullet"/>
      <w:lvlText w:val=""/>
      <w:lvlJc w:val="left"/>
      <w:pPr>
        <w:ind w:left="720" w:hanging="360"/>
      </w:pPr>
      <w:rPr>
        <w:rFonts w:ascii="Symbol" w:hAnsi="Symbol" w:hint="default"/>
        <w:i/>
        <w:color w:val="000066"/>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9">
    <w:nsid w:val="63B13AD9"/>
    <w:multiLevelType w:val="hybridMultilevel"/>
    <w:tmpl w:val="8B8E290A"/>
    <w:lvl w:ilvl="0" w:tplc="041A0001">
      <w:start w:val="1"/>
      <w:numFmt w:val="bullet"/>
      <w:lvlText w:val=""/>
      <w:lvlJc w:val="left"/>
      <w:pPr>
        <w:ind w:left="1080" w:hanging="72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0">
    <w:nsid w:val="65181240"/>
    <w:multiLevelType w:val="hybridMultilevel"/>
    <w:tmpl w:val="CAA0DF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nsid w:val="656054B7"/>
    <w:multiLevelType w:val="hybridMultilevel"/>
    <w:tmpl w:val="6C5ECE74"/>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02">
    <w:nsid w:val="66180503"/>
    <w:multiLevelType w:val="hybridMultilevel"/>
    <w:tmpl w:val="0C0EBA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nsid w:val="66744941"/>
    <w:multiLevelType w:val="hybridMultilevel"/>
    <w:tmpl w:val="129AE9FA"/>
    <w:lvl w:ilvl="0" w:tplc="B1B290EA">
      <w:numFmt w:val="bullet"/>
      <w:lvlText w:val="-"/>
      <w:lvlJc w:val="left"/>
      <w:pPr>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nsid w:val="67BD0038"/>
    <w:multiLevelType w:val="hybridMultilevel"/>
    <w:tmpl w:val="C1BAA3D4"/>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05">
    <w:nsid w:val="68990A93"/>
    <w:multiLevelType w:val="hybridMultilevel"/>
    <w:tmpl w:val="14267002"/>
    <w:lvl w:ilvl="0" w:tplc="041A0011">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06">
    <w:nsid w:val="69DC6DA2"/>
    <w:multiLevelType w:val="hybridMultilevel"/>
    <w:tmpl w:val="521C8B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nsid w:val="6A57639A"/>
    <w:multiLevelType w:val="hybridMultilevel"/>
    <w:tmpl w:val="B6740B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nsid w:val="6B765511"/>
    <w:multiLevelType w:val="hybridMultilevel"/>
    <w:tmpl w:val="448ABE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nsid w:val="6B7668E3"/>
    <w:multiLevelType w:val="hybridMultilevel"/>
    <w:tmpl w:val="1F86A3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nsid w:val="6BC4100F"/>
    <w:multiLevelType w:val="hybridMultilevel"/>
    <w:tmpl w:val="A9387C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nsid w:val="6D647223"/>
    <w:multiLevelType w:val="hybridMultilevel"/>
    <w:tmpl w:val="06A438C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nsid w:val="6DFB000B"/>
    <w:multiLevelType w:val="hybridMultilevel"/>
    <w:tmpl w:val="C01A4DEE"/>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nsid w:val="6EA50FD0"/>
    <w:multiLevelType w:val="hybridMultilevel"/>
    <w:tmpl w:val="AC747C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nsid w:val="6F707BF3"/>
    <w:multiLevelType w:val="multilevel"/>
    <w:tmpl w:val="F3CEC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70A77FBC"/>
    <w:multiLevelType w:val="hybridMultilevel"/>
    <w:tmpl w:val="3A403406"/>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16">
    <w:nsid w:val="70AF3F02"/>
    <w:multiLevelType w:val="hybridMultilevel"/>
    <w:tmpl w:val="C024C818"/>
    <w:lvl w:ilvl="0" w:tplc="4B3009C6">
      <w:start w:val="24"/>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17">
    <w:nsid w:val="72156841"/>
    <w:multiLevelType w:val="hybridMultilevel"/>
    <w:tmpl w:val="824C234C"/>
    <w:lvl w:ilvl="0" w:tplc="B1B290EA">
      <w:numFmt w:val="bullet"/>
      <w:lvlText w:val="-"/>
      <w:lvlJc w:val="left"/>
      <w:pPr>
        <w:tabs>
          <w:tab w:val="num" w:pos="720"/>
        </w:tabs>
        <w:ind w:left="720" w:hanging="360"/>
      </w:pPr>
      <w:rPr>
        <w:rFonts w:ascii="TimesCR-Roman" w:eastAsia="Times New Roman" w:hAnsi="TimesCR-Roman" w:cs="TimesCR-Roman" w:hint="default"/>
        <w:color w:val="auto"/>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nsid w:val="742577BA"/>
    <w:multiLevelType w:val="hybridMultilevel"/>
    <w:tmpl w:val="BEECF6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nsid w:val="7541185D"/>
    <w:multiLevelType w:val="hybridMultilevel"/>
    <w:tmpl w:val="C61493A2"/>
    <w:lvl w:ilvl="0" w:tplc="1C1CA174">
      <w:start w:val="1"/>
      <w:numFmt w:val="bullet"/>
      <w:lvlText w:val="•"/>
      <w:lvlJc w:val="left"/>
      <w:pPr>
        <w:tabs>
          <w:tab w:val="num" w:pos="720"/>
        </w:tabs>
        <w:ind w:left="720" w:hanging="360"/>
      </w:pPr>
      <w:rPr>
        <w:rFonts w:ascii="Times New Roman" w:hAnsi="Times New Roman" w:hint="default"/>
      </w:rPr>
    </w:lvl>
    <w:lvl w:ilvl="1" w:tplc="7DBAAF40" w:tentative="1">
      <w:start w:val="1"/>
      <w:numFmt w:val="bullet"/>
      <w:lvlText w:val="•"/>
      <w:lvlJc w:val="left"/>
      <w:pPr>
        <w:tabs>
          <w:tab w:val="num" w:pos="1440"/>
        </w:tabs>
        <w:ind w:left="1440" w:hanging="360"/>
      </w:pPr>
      <w:rPr>
        <w:rFonts w:ascii="Times New Roman" w:hAnsi="Times New Roman" w:hint="default"/>
      </w:rPr>
    </w:lvl>
    <w:lvl w:ilvl="2" w:tplc="C4BE2F1E" w:tentative="1">
      <w:start w:val="1"/>
      <w:numFmt w:val="bullet"/>
      <w:lvlText w:val="•"/>
      <w:lvlJc w:val="left"/>
      <w:pPr>
        <w:tabs>
          <w:tab w:val="num" w:pos="2160"/>
        </w:tabs>
        <w:ind w:left="2160" w:hanging="360"/>
      </w:pPr>
      <w:rPr>
        <w:rFonts w:ascii="Times New Roman" w:hAnsi="Times New Roman" w:hint="default"/>
      </w:rPr>
    </w:lvl>
    <w:lvl w:ilvl="3" w:tplc="0A3E6EAA" w:tentative="1">
      <w:start w:val="1"/>
      <w:numFmt w:val="bullet"/>
      <w:lvlText w:val="•"/>
      <w:lvlJc w:val="left"/>
      <w:pPr>
        <w:tabs>
          <w:tab w:val="num" w:pos="2880"/>
        </w:tabs>
        <w:ind w:left="2880" w:hanging="360"/>
      </w:pPr>
      <w:rPr>
        <w:rFonts w:ascii="Times New Roman" w:hAnsi="Times New Roman" w:hint="default"/>
      </w:rPr>
    </w:lvl>
    <w:lvl w:ilvl="4" w:tplc="EDD0DB12" w:tentative="1">
      <w:start w:val="1"/>
      <w:numFmt w:val="bullet"/>
      <w:lvlText w:val="•"/>
      <w:lvlJc w:val="left"/>
      <w:pPr>
        <w:tabs>
          <w:tab w:val="num" w:pos="3600"/>
        </w:tabs>
        <w:ind w:left="3600" w:hanging="360"/>
      </w:pPr>
      <w:rPr>
        <w:rFonts w:ascii="Times New Roman" w:hAnsi="Times New Roman" w:hint="default"/>
      </w:rPr>
    </w:lvl>
    <w:lvl w:ilvl="5" w:tplc="ECCCE97A" w:tentative="1">
      <w:start w:val="1"/>
      <w:numFmt w:val="bullet"/>
      <w:lvlText w:val="•"/>
      <w:lvlJc w:val="left"/>
      <w:pPr>
        <w:tabs>
          <w:tab w:val="num" w:pos="4320"/>
        </w:tabs>
        <w:ind w:left="4320" w:hanging="360"/>
      </w:pPr>
      <w:rPr>
        <w:rFonts w:ascii="Times New Roman" w:hAnsi="Times New Roman" w:hint="default"/>
      </w:rPr>
    </w:lvl>
    <w:lvl w:ilvl="6" w:tplc="9B0A6A12" w:tentative="1">
      <w:start w:val="1"/>
      <w:numFmt w:val="bullet"/>
      <w:lvlText w:val="•"/>
      <w:lvlJc w:val="left"/>
      <w:pPr>
        <w:tabs>
          <w:tab w:val="num" w:pos="5040"/>
        </w:tabs>
        <w:ind w:left="5040" w:hanging="360"/>
      </w:pPr>
      <w:rPr>
        <w:rFonts w:ascii="Times New Roman" w:hAnsi="Times New Roman" w:hint="default"/>
      </w:rPr>
    </w:lvl>
    <w:lvl w:ilvl="7" w:tplc="AD52A3E2" w:tentative="1">
      <w:start w:val="1"/>
      <w:numFmt w:val="bullet"/>
      <w:lvlText w:val="•"/>
      <w:lvlJc w:val="left"/>
      <w:pPr>
        <w:tabs>
          <w:tab w:val="num" w:pos="5760"/>
        </w:tabs>
        <w:ind w:left="5760" w:hanging="360"/>
      </w:pPr>
      <w:rPr>
        <w:rFonts w:ascii="Times New Roman" w:hAnsi="Times New Roman" w:hint="default"/>
      </w:rPr>
    </w:lvl>
    <w:lvl w:ilvl="8" w:tplc="929CD4BE" w:tentative="1">
      <w:start w:val="1"/>
      <w:numFmt w:val="bullet"/>
      <w:lvlText w:val="•"/>
      <w:lvlJc w:val="left"/>
      <w:pPr>
        <w:tabs>
          <w:tab w:val="num" w:pos="6480"/>
        </w:tabs>
        <w:ind w:left="6480" w:hanging="360"/>
      </w:pPr>
      <w:rPr>
        <w:rFonts w:ascii="Times New Roman" w:hAnsi="Times New Roman" w:hint="default"/>
      </w:rPr>
    </w:lvl>
  </w:abstractNum>
  <w:abstractNum w:abstractNumId="120">
    <w:nsid w:val="75A51B99"/>
    <w:multiLevelType w:val="hybridMultilevel"/>
    <w:tmpl w:val="D37AAE94"/>
    <w:lvl w:ilvl="0" w:tplc="282C8BF4">
      <w:numFmt w:val="bullet"/>
      <w:lvlText w:val="-"/>
      <w:lvlJc w:val="left"/>
      <w:pPr>
        <w:ind w:left="1429" w:hanging="360"/>
      </w:pPr>
      <w:rPr>
        <w:rFonts w:ascii="Calibri" w:eastAsiaTheme="minorHAnsi" w:hAnsi="Calibri" w:cstheme="minorBidi"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21">
    <w:nsid w:val="75BF6F5B"/>
    <w:multiLevelType w:val="hybridMultilevel"/>
    <w:tmpl w:val="AA38BA64"/>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22">
    <w:nsid w:val="76FD0F6D"/>
    <w:multiLevelType w:val="hybridMultilevel"/>
    <w:tmpl w:val="0A2691EE"/>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23">
    <w:nsid w:val="77BC3693"/>
    <w:multiLevelType w:val="hybridMultilevel"/>
    <w:tmpl w:val="E7647D58"/>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24">
    <w:nsid w:val="7B217A01"/>
    <w:multiLevelType w:val="hybridMultilevel"/>
    <w:tmpl w:val="955C834E"/>
    <w:lvl w:ilvl="0" w:tplc="4F0E50E0">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nsid w:val="7B5703C2"/>
    <w:multiLevelType w:val="hybridMultilevel"/>
    <w:tmpl w:val="CBE6D2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nsid w:val="7BEA19B1"/>
    <w:multiLevelType w:val="hybridMultilevel"/>
    <w:tmpl w:val="9808E65E"/>
    <w:lvl w:ilvl="0" w:tplc="4B3009C6">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7">
    <w:nsid w:val="7D0C7F6D"/>
    <w:multiLevelType w:val="hybridMultilevel"/>
    <w:tmpl w:val="B48AA6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nsid w:val="7FD438E0"/>
    <w:multiLevelType w:val="hybridMultilevel"/>
    <w:tmpl w:val="552047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5"/>
  </w:num>
  <w:num w:numId="2">
    <w:abstractNumId w:val="121"/>
  </w:num>
  <w:num w:numId="3">
    <w:abstractNumId w:val="99"/>
  </w:num>
  <w:num w:numId="4">
    <w:abstractNumId w:val="77"/>
  </w:num>
  <w:num w:numId="5">
    <w:abstractNumId w:val="76"/>
  </w:num>
  <w:num w:numId="6">
    <w:abstractNumId w:val="74"/>
  </w:num>
  <w:num w:numId="7">
    <w:abstractNumId w:val="97"/>
  </w:num>
  <w:num w:numId="8">
    <w:abstractNumId w:val="42"/>
  </w:num>
  <w:num w:numId="9">
    <w:abstractNumId w:val="65"/>
  </w:num>
  <w:num w:numId="10">
    <w:abstractNumId w:val="104"/>
  </w:num>
  <w:num w:numId="11">
    <w:abstractNumId w:val="31"/>
  </w:num>
  <w:num w:numId="12">
    <w:abstractNumId w:val="95"/>
  </w:num>
  <w:num w:numId="13">
    <w:abstractNumId w:val="3"/>
  </w:num>
  <w:num w:numId="14">
    <w:abstractNumId w:val="123"/>
  </w:num>
  <w:num w:numId="15">
    <w:abstractNumId w:val="105"/>
  </w:num>
  <w:num w:numId="16">
    <w:abstractNumId w:val="71"/>
  </w:num>
  <w:num w:numId="17">
    <w:abstractNumId w:val="88"/>
  </w:num>
  <w:num w:numId="18">
    <w:abstractNumId w:val="72"/>
  </w:num>
  <w:num w:numId="19">
    <w:abstractNumId w:val="66"/>
  </w:num>
  <w:num w:numId="20">
    <w:abstractNumId w:val="111"/>
  </w:num>
  <w:num w:numId="21">
    <w:abstractNumId w:val="128"/>
  </w:num>
  <w:num w:numId="22">
    <w:abstractNumId w:val="22"/>
  </w:num>
  <w:num w:numId="23">
    <w:abstractNumId w:val="37"/>
  </w:num>
  <w:num w:numId="24">
    <w:abstractNumId w:val="26"/>
  </w:num>
  <w:num w:numId="25">
    <w:abstractNumId w:val="49"/>
  </w:num>
  <w:num w:numId="26">
    <w:abstractNumId w:val="120"/>
  </w:num>
  <w:num w:numId="27">
    <w:abstractNumId w:val="18"/>
  </w:num>
  <w:num w:numId="28">
    <w:abstractNumId w:val="46"/>
  </w:num>
  <w:num w:numId="29">
    <w:abstractNumId w:val="33"/>
  </w:num>
  <w:num w:numId="30">
    <w:abstractNumId w:val="75"/>
  </w:num>
  <w:num w:numId="31">
    <w:abstractNumId w:val="35"/>
  </w:num>
  <w:num w:numId="32">
    <w:abstractNumId w:val="125"/>
  </w:num>
  <w:num w:numId="33">
    <w:abstractNumId w:val="40"/>
  </w:num>
  <w:num w:numId="34">
    <w:abstractNumId w:val="45"/>
  </w:num>
  <w:num w:numId="35">
    <w:abstractNumId w:val="68"/>
  </w:num>
  <w:num w:numId="36">
    <w:abstractNumId w:val="12"/>
  </w:num>
  <w:num w:numId="37">
    <w:abstractNumId w:val="56"/>
  </w:num>
  <w:num w:numId="38">
    <w:abstractNumId w:val="4"/>
  </w:num>
  <w:num w:numId="39">
    <w:abstractNumId w:val="21"/>
  </w:num>
  <w:num w:numId="40">
    <w:abstractNumId w:val="6"/>
  </w:num>
  <w:num w:numId="41">
    <w:abstractNumId w:val="32"/>
  </w:num>
  <w:num w:numId="42">
    <w:abstractNumId w:val="96"/>
  </w:num>
  <w:num w:numId="43">
    <w:abstractNumId w:val="5"/>
  </w:num>
  <w:num w:numId="44">
    <w:abstractNumId w:val="55"/>
  </w:num>
  <w:num w:numId="45">
    <w:abstractNumId w:val="34"/>
  </w:num>
  <w:num w:numId="46">
    <w:abstractNumId w:val="50"/>
  </w:num>
  <w:num w:numId="47">
    <w:abstractNumId w:val="53"/>
  </w:num>
  <w:num w:numId="48">
    <w:abstractNumId w:val="115"/>
  </w:num>
  <w:num w:numId="49">
    <w:abstractNumId w:val="0"/>
  </w:num>
  <w:num w:numId="50">
    <w:abstractNumId w:val="70"/>
  </w:num>
  <w:num w:numId="51">
    <w:abstractNumId w:val="113"/>
  </w:num>
  <w:num w:numId="52">
    <w:abstractNumId w:val="10"/>
  </w:num>
  <w:num w:numId="53">
    <w:abstractNumId w:val="91"/>
  </w:num>
  <w:num w:numId="54">
    <w:abstractNumId w:val="52"/>
  </w:num>
  <w:num w:numId="55">
    <w:abstractNumId w:val="30"/>
  </w:num>
  <w:num w:numId="56">
    <w:abstractNumId w:val="60"/>
  </w:num>
  <w:num w:numId="57">
    <w:abstractNumId w:val="118"/>
  </w:num>
  <w:num w:numId="58">
    <w:abstractNumId w:val="98"/>
  </w:num>
  <w:num w:numId="59">
    <w:abstractNumId w:val="63"/>
  </w:num>
  <w:num w:numId="60">
    <w:abstractNumId w:val="84"/>
  </w:num>
  <w:num w:numId="61">
    <w:abstractNumId w:val="1"/>
  </w:num>
  <w:num w:numId="62">
    <w:abstractNumId w:val="83"/>
  </w:num>
  <w:num w:numId="63">
    <w:abstractNumId w:val="9"/>
  </w:num>
  <w:num w:numId="64">
    <w:abstractNumId w:val="23"/>
  </w:num>
  <w:num w:numId="65">
    <w:abstractNumId w:val="69"/>
  </w:num>
  <w:num w:numId="66">
    <w:abstractNumId w:val="126"/>
  </w:num>
  <w:num w:numId="67">
    <w:abstractNumId w:val="36"/>
  </w:num>
  <w:num w:numId="68">
    <w:abstractNumId w:val="102"/>
  </w:num>
  <w:num w:numId="69">
    <w:abstractNumId w:val="94"/>
  </w:num>
  <w:num w:numId="70">
    <w:abstractNumId w:val="28"/>
  </w:num>
  <w:num w:numId="71">
    <w:abstractNumId w:val="62"/>
  </w:num>
  <w:num w:numId="72">
    <w:abstractNumId w:val="93"/>
  </w:num>
  <w:num w:numId="73">
    <w:abstractNumId w:val="106"/>
  </w:num>
  <w:num w:numId="74">
    <w:abstractNumId w:val="48"/>
  </w:num>
  <w:num w:numId="75">
    <w:abstractNumId w:val="108"/>
  </w:num>
  <w:num w:numId="76">
    <w:abstractNumId w:val="122"/>
  </w:num>
  <w:num w:numId="77">
    <w:abstractNumId w:val="17"/>
  </w:num>
  <w:num w:numId="78">
    <w:abstractNumId w:val="80"/>
  </w:num>
  <w:num w:numId="79">
    <w:abstractNumId w:val="101"/>
  </w:num>
  <w:num w:numId="80">
    <w:abstractNumId w:val="116"/>
  </w:num>
  <w:num w:numId="81">
    <w:abstractNumId w:val="100"/>
  </w:num>
  <w:num w:numId="82">
    <w:abstractNumId w:val="58"/>
  </w:num>
  <w:num w:numId="83">
    <w:abstractNumId w:val="127"/>
  </w:num>
  <w:num w:numId="84">
    <w:abstractNumId w:val="43"/>
  </w:num>
  <w:num w:numId="85">
    <w:abstractNumId w:val="20"/>
  </w:num>
  <w:num w:numId="86">
    <w:abstractNumId w:val="29"/>
  </w:num>
  <w:num w:numId="87">
    <w:abstractNumId w:val="54"/>
  </w:num>
  <w:num w:numId="88">
    <w:abstractNumId w:val="8"/>
  </w:num>
  <w:num w:numId="89">
    <w:abstractNumId w:val="61"/>
  </w:num>
  <w:num w:numId="90">
    <w:abstractNumId w:val="41"/>
  </w:num>
  <w:num w:numId="91">
    <w:abstractNumId w:val="119"/>
  </w:num>
  <w:num w:numId="92">
    <w:abstractNumId w:val="107"/>
  </w:num>
  <w:num w:numId="93">
    <w:abstractNumId w:val="14"/>
  </w:num>
  <w:num w:numId="94">
    <w:abstractNumId w:val="2"/>
  </w:num>
  <w:num w:numId="95">
    <w:abstractNumId w:val="59"/>
  </w:num>
  <w:num w:numId="96">
    <w:abstractNumId w:val="109"/>
  </w:num>
  <w:num w:numId="97">
    <w:abstractNumId w:val="90"/>
  </w:num>
  <w:num w:numId="98">
    <w:abstractNumId w:val="13"/>
  </w:num>
  <w:num w:numId="99">
    <w:abstractNumId w:val="15"/>
  </w:num>
  <w:num w:numId="100">
    <w:abstractNumId w:val="114"/>
  </w:num>
  <w:num w:numId="101">
    <w:abstractNumId w:val="38"/>
  </w:num>
  <w:num w:numId="102">
    <w:abstractNumId w:val="82"/>
  </w:num>
  <w:num w:numId="103">
    <w:abstractNumId w:val="78"/>
  </w:num>
  <w:num w:numId="104">
    <w:abstractNumId w:val="51"/>
  </w:num>
  <w:num w:numId="105">
    <w:abstractNumId w:val="24"/>
  </w:num>
  <w:num w:numId="106">
    <w:abstractNumId w:val="44"/>
  </w:num>
  <w:num w:numId="107">
    <w:abstractNumId w:val="85"/>
  </w:num>
  <w:num w:numId="108">
    <w:abstractNumId w:val="16"/>
  </w:num>
  <w:num w:numId="109">
    <w:abstractNumId w:val="11"/>
  </w:num>
  <w:num w:numId="110">
    <w:abstractNumId w:val="117"/>
  </w:num>
  <w:num w:numId="111">
    <w:abstractNumId w:val="27"/>
  </w:num>
  <w:num w:numId="112">
    <w:abstractNumId w:val="103"/>
  </w:num>
  <w:num w:numId="113">
    <w:abstractNumId w:val="92"/>
  </w:num>
  <w:num w:numId="114">
    <w:abstractNumId w:val="64"/>
  </w:num>
  <w:num w:numId="115">
    <w:abstractNumId w:val="110"/>
  </w:num>
  <w:num w:numId="116">
    <w:abstractNumId w:val="81"/>
  </w:num>
  <w:num w:numId="117">
    <w:abstractNumId w:val="47"/>
  </w:num>
  <w:num w:numId="118">
    <w:abstractNumId w:val="67"/>
  </w:num>
  <w:num w:numId="119">
    <w:abstractNumId w:val="7"/>
  </w:num>
  <w:num w:numId="120">
    <w:abstractNumId w:val="87"/>
  </w:num>
  <w:num w:numId="121">
    <w:abstractNumId w:val="73"/>
  </w:num>
  <w:num w:numId="122">
    <w:abstractNumId w:val="57"/>
  </w:num>
  <w:num w:numId="123">
    <w:abstractNumId w:val="89"/>
  </w:num>
  <w:num w:numId="124">
    <w:abstractNumId w:val="79"/>
  </w:num>
  <w:num w:numId="125">
    <w:abstractNumId w:val="112"/>
  </w:num>
  <w:num w:numId="126">
    <w:abstractNumId w:val="39"/>
  </w:num>
  <w:num w:numId="127">
    <w:abstractNumId w:val="19"/>
  </w:num>
  <w:num w:numId="128">
    <w:abstractNumId w:val="124"/>
  </w:num>
  <w:num w:numId="129">
    <w:abstractNumId w:val="86"/>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011"/>
    <w:rsid w:val="000009E2"/>
    <w:rsid w:val="000012FC"/>
    <w:rsid w:val="00001A7D"/>
    <w:rsid w:val="00001AF6"/>
    <w:rsid w:val="00001D95"/>
    <w:rsid w:val="00002303"/>
    <w:rsid w:val="0000236D"/>
    <w:rsid w:val="000063DA"/>
    <w:rsid w:val="00007E98"/>
    <w:rsid w:val="000109F2"/>
    <w:rsid w:val="00012D3B"/>
    <w:rsid w:val="00014187"/>
    <w:rsid w:val="000145A4"/>
    <w:rsid w:val="000150CA"/>
    <w:rsid w:val="00021454"/>
    <w:rsid w:val="00022A08"/>
    <w:rsid w:val="0002314D"/>
    <w:rsid w:val="00024AD2"/>
    <w:rsid w:val="0002505A"/>
    <w:rsid w:val="00025C45"/>
    <w:rsid w:val="000264D4"/>
    <w:rsid w:val="00026B75"/>
    <w:rsid w:val="00027689"/>
    <w:rsid w:val="00027EC0"/>
    <w:rsid w:val="00030F56"/>
    <w:rsid w:val="00031609"/>
    <w:rsid w:val="00033879"/>
    <w:rsid w:val="00033B60"/>
    <w:rsid w:val="00033CC6"/>
    <w:rsid w:val="00033CEE"/>
    <w:rsid w:val="000347A5"/>
    <w:rsid w:val="00034AB8"/>
    <w:rsid w:val="000401A5"/>
    <w:rsid w:val="00040211"/>
    <w:rsid w:val="0004025D"/>
    <w:rsid w:val="000407CF"/>
    <w:rsid w:val="00040A8C"/>
    <w:rsid w:val="00040AB8"/>
    <w:rsid w:val="00040DA8"/>
    <w:rsid w:val="000416AE"/>
    <w:rsid w:val="00041715"/>
    <w:rsid w:val="00041BC2"/>
    <w:rsid w:val="00042925"/>
    <w:rsid w:val="00042B05"/>
    <w:rsid w:val="000430FD"/>
    <w:rsid w:val="00043C72"/>
    <w:rsid w:val="00046291"/>
    <w:rsid w:val="000526A0"/>
    <w:rsid w:val="00053227"/>
    <w:rsid w:val="000547A9"/>
    <w:rsid w:val="00060663"/>
    <w:rsid w:val="00063962"/>
    <w:rsid w:val="000666C0"/>
    <w:rsid w:val="00066A46"/>
    <w:rsid w:val="00066BB4"/>
    <w:rsid w:val="00066C46"/>
    <w:rsid w:val="00067A16"/>
    <w:rsid w:val="000714E5"/>
    <w:rsid w:val="0007183D"/>
    <w:rsid w:val="0007270B"/>
    <w:rsid w:val="0007371F"/>
    <w:rsid w:val="00076133"/>
    <w:rsid w:val="000763DE"/>
    <w:rsid w:val="00076FE1"/>
    <w:rsid w:val="000800E8"/>
    <w:rsid w:val="00080B95"/>
    <w:rsid w:val="00081EC0"/>
    <w:rsid w:val="0008231C"/>
    <w:rsid w:val="00085093"/>
    <w:rsid w:val="00085353"/>
    <w:rsid w:val="000867A4"/>
    <w:rsid w:val="00086C6D"/>
    <w:rsid w:val="00086EFA"/>
    <w:rsid w:val="00087FCB"/>
    <w:rsid w:val="00090AFE"/>
    <w:rsid w:val="00090BEB"/>
    <w:rsid w:val="000910F5"/>
    <w:rsid w:val="000912FB"/>
    <w:rsid w:val="0009271B"/>
    <w:rsid w:val="00094EDF"/>
    <w:rsid w:val="00094EFB"/>
    <w:rsid w:val="000965EA"/>
    <w:rsid w:val="000A023F"/>
    <w:rsid w:val="000A11CF"/>
    <w:rsid w:val="000A2E15"/>
    <w:rsid w:val="000A2FF9"/>
    <w:rsid w:val="000A3872"/>
    <w:rsid w:val="000A3AA9"/>
    <w:rsid w:val="000A3D03"/>
    <w:rsid w:val="000A49A2"/>
    <w:rsid w:val="000A4D98"/>
    <w:rsid w:val="000A5483"/>
    <w:rsid w:val="000A5C42"/>
    <w:rsid w:val="000A62AC"/>
    <w:rsid w:val="000A6A8A"/>
    <w:rsid w:val="000A71C3"/>
    <w:rsid w:val="000B027D"/>
    <w:rsid w:val="000B0DDC"/>
    <w:rsid w:val="000B148B"/>
    <w:rsid w:val="000B2598"/>
    <w:rsid w:val="000B2C4E"/>
    <w:rsid w:val="000B3355"/>
    <w:rsid w:val="000B40F4"/>
    <w:rsid w:val="000B4385"/>
    <w:rsid w:val="000B46AF"/>
    <w:rsid w:val="000B59EE"/>
    <w:rsid w:val="000B5BDC"/>
    <w:rsid w:val="000B63BF"/>
    <w:rsid w:val="000B68F0"/>
    <w:rsid w:val="000B6BE8"/>
    <w:rsid w:val="000C0349"/>
    <w:rsid w:val="000C0ACB"/>
    <w:rsid w:val="000C1825"/>
    <w:rsid w:val="000C2594"/>
    <w:rsid w:val="000C2CE2"/>
    <w:rsid w:val="000C2E32"/>
    <w:rsid w:val="000C409E"/>
    <w:rsid w:val="000C4D62"/>
    <w:rsid w:val="000C612D"/>
    <w:rsid w:val="000D14AD"/>
    <w:rsid w:val="000D230E"/>
    <w:rsid w:val="000D3294"/>
    <w:rsid w:val="000D3447"/>
    <w:rsid w:val="000D37E3"/>
    <w:rsid w:val="000D4C07"/>
    <w:rsid w:val="000D50C1"/>
    <w:rsid w:val="000D59D7"/>
    <w:rsid w:val="000D5AE5"/>
    <w:rsid w:val="000D5CF4"/>
    <w:rsid w:val="000D7498"/>
    <w:rsid w:val="000E149D"/>
    <w:rsid w:val="000E2494"/>
    <w:rsid w:val="000E2610"/>
    <w:rsid w:val="000E2654"/>
    <w:rsid w:val="000E3A09"/>
    <w:rsid w:val="000E3D4E"/>
    <w:rsid w:val="000E455F"/>
    <w:rsid w:val="000E4BB7"/>
    <w:rsid w:val="000E615D"/>
    <w:rsid w:val="000E72BC"/>
    <w:rsid w:val="000F0521"/>
    <w:rsid w:val="000F3622"/>
    <w:rsid w:val="000F463A"/>
    <w:rsid w:val="000F65C3"/>
    <w:rsid w:val="000F72CD"/>
    <w:rsid w:val="00100649"/>
    <w:rsid w:val="0010085D"/>
    <w:rsid w:val="00100BC8"/>
    <w:rsid w:val="0010193C"/>
    <w:rsid w:val="0010266F"/>
    <w:rsid w:val="00103D6A"/>
    <w:rsid w:val="00105E79"/>
    <w:rsid w:val="00105FA1"/>
    <w:rsid w:val="00106768"/>
    <w:rsid w:val="0010689B"/>
    <w:rsid w:val="00106BF6"/>
    <w:rsid w:val="001070D5"/>
    <w:rsid w:val="001105A3"/>
    <w:rsid w:val="001110D8"/>
    <w:rsid w:val="0011117A"/>
    <w:rsid w:val="0011236A"/>
    <w:rsid w:val="00113311"/>
    <w:rsid w:val="00113DE1"/>
    <w:rsid w:val="0011560C"/>
    <w:rsid w:val="001205BE"/>
    <w:rsid w:val="001208CF"/>
    <w:rsid w:val="00120A63"/>
    <w:rsid w:val="00120D88"/>
    <w:rsid w:val="00120E41"/>
    <w:rsid w:val="00121119"/>
    <w:rsid w:val="00121884"/>
    <w:rsid w:val="00123D02"/>
    <w:rsid w:val="00123E88"/>
    <w:rsid w:val="00124332"/>
    <w:rsid w:val="00124401"/>
    <w:rsid w:val="00127222"/>
    <w:rsid w:val="001303F0"/>
    <w:rsid w:val="00130948"/>
    <w:rsid w:val="00131ADA"/>
    <w:rsid w:val="001335E3"/>
    <w:rsid w:val="00133851"/>
    <w:rsid w:val="00133E4F"/>
    <w:rsid w:val="00134E66"/>
    <w:rsid w:val="00134EA2"/>
    <w:rsid w:val="001354A7"/>
    <w:rsid w:val="00135A50"/>
    <w:rsid w:val="00136A99"/>
    <w:rsid w:val="00136D85"/>
    <w:rsid w:val="0013728D"/>
    <w:rsid w:val="00140528"/>
    <w:rsid w:val="00141670"/>
    <w:rsid w:val="00141DE7"/>
    <w:rsid w:val="00142491"/>
    <w:rsid w:val="00143762"/>
    <w:rsid w:val="0014378E"/>
    <w:rsid w:val="00144477"/>
    <w:rsid w:val="001449AA"/>
    <w:rsid w:val="00144F60"/>
    <w:rsid w:val="0014593A"/>
    <w:rsid w:val="00147B5E"/>
    <w:rsid w:val="00150250"/>
    <w:rsid w:val="0015031B"/>
    <w:rsid w:val="0015075F"/>
    <w:rsid w:val="00150C4C"/>
    <w:rsid w:val="00150DB6"/>
    <w:rsid w:val="00151FDA"/>
    <w:rsid w:val="001533DE"/>
    <w:rsid w:val="00154122"/>
    <w:rsid w:val="00154659"/>
    <w:rsid w:val="001546E1"/>
    <w:rsid w:val="001552D8"/>
    <w:rsid w:val="00156653"/>
    <w:rsid w:val="00160412"/>
    <w:rsid w:val="00160E03"/>
    <w:rsid w:val="0016181A"/>
    <w:rsid w:val="001619CF"/>
    <w:rsid w:val="00162D58"/>
    <w:rsid w:val="00162E29"/>
    <w:rsid w:val="0016415C"/>
    <w:rsid w:val="00165955"/>
    <w:rsid w:val="001662C2"/>
    <w:rsid w:val="001701E9"/>
    <w:rsid w:val="00170288"/>
    <w:rsid w:val="00172B76"/>
    <w:rsid w:val="001742BB"/>
    <w:rsid w:val="00174A21"/>
    <w:rsid w:val="00174E3D"/>
    <w:rsid w:val="001753FE"/>
    <w:rsid w:val="001760AA"/>
    <w:rsid w:val="0017739E"/>
    <w:rsid w:val="001777A0"/>
    <w:rsid w:val="00181584"/>
    <w:rsid w:val="0018311C"/>
    <w:rsid w:val="00183825"/>
    <w:rsid w:val="00185225"/>
    <w:rsid w:val="00185783"/>
    <w:rsid w:val="00186582"/>
    <w:rsid w:val="00186A7E"/>
    <w:rsid w:val="001870F0"/>
    <w:rsid w:val="00190CF6"/>
    <w:rsid w:val="00190D15"/>
    <w:rsid w:val="00190D86"/>
    <w:rsid w:val="00191F1E"/>
    <w:rsid w:val="00192071"/>
    <w:rsid w:val="001936AF"/>
    <w:rsid w:val="00194E89"/>
    <w:rsid w:val="00195FFC"/>
    <w:rsid w:val="00196410"/>
    <w:rsid w:val="00196695"/>
    <w:rsid w:val="00196EFF"/>
    <w:rsid w:val="001A0AE2"/>
    <w:rsid w:val="001A1FB8"/>
    <w:rsid w:val="001A23EC"/>
    <w:rsid w:val="001A25C6"/>
    <w:rsid w:val="001A329B"/>
    <w:rsid w:val="001A42F8"/>
    <w:rsid w:val="001A4954"/>
    <w:rsid w:val="001A49C2"/>
    <w:rsid w:val="001A4CDA"/>
    <w:rsid w:val="001A4D38"/>
    <w:rsid w:val="001A55A6"/>
    <w:rsid w:val="001B0107"/>
    <w:rsid w:val="001B0376"/>
    <w:rsid w:val="001B097D"/>
    <w:rsid w:val="001B1136"/>
    <w:rsid w:val="001B1507"/>
    <w:rsid w:val="001B169F"/>
    <w:rsid w:val="001B1713"/>
    <w:rsid w:val="001B3F5D"/>
    <w:rsid w:val="001B4813"/>
    <w:rsid w:val="001B4996"/>
    <w:rsid w:val="001C0351"/>
    <w:rsid w:val="001C181F"/>
    <w:rsid w:val="001C1B97"/>
    <w:rsid w:val="001C23C1"/>
    <w:rsid w:val="001C2C52"/>
    <w:rsid w:val="001C416C"/>
    <w:rsid w:val="001C59BE"/>
    <w:rsid w:val="001C69AE"/>
    <w:rsid w:val="001C6E43"/>
    <w:rsid w:val="001D045D"/>
    <w:rsid w:val="001D1BC7"/>
    <w:rsid w:val="001D2D91"/>
    <w:rsid w:val="001D3128"/>
    <w:rsid w:val="001D3999"/>
    <w:rsid w:val="001D49BC"/>
    <w:rsid w:val="001D49CA"/>
    <w:rsid w:val="001D5903"/>
    <w:rsid w:val="001D5A8E"/>
    <w:rsid w:val="001D5D37"/>
    <w:rsid w:val="001D62DB"/>
    <w:rsid w:val="001D6D00"/>
    <w:rsid w:val="001D7467"/>
    <w:rsid w:val="001D77EC"/>
    <w:rsid w:val="001E02F1"/>
    <w:rsid w:val="001E2856"/>
    <w:rsid w:val="001E29A2"/>
    <w:rsid w:val="001E3A7D"/>
    <w:rsid w:val="001E467D"/>
    <w:rsid w:val="001E4B0F"/>
    <w:rsid w:val="001E598C"/>
    <w:rsid w:val="001E63E6"/>
    <w:rsid w:val="001E65FD"/>
    <w:rsid w:val="001E684D"/>
    <w:rsid w:val="001E71B0"/>
    <w:rsid w:val="001F368D"/>
    <w:rsid w:val="001F4409"/>
    <w:rsid w:val="001F4714"/>
    <w:rsid w:val="001F47A3"/>
    <w:rsid w:val="001F564F"/>
    <w:rsid w:val="001F5E83"/>
    <w:rsid w:val="001F6660"/>
    <w:rsid w:val="001F712F"/>
    <w:rsid w:val="001F7463"/>
    <w:rsid w:val="001F787C"/>
    <w:rsid w:val="0020068D"/>
    <w:rsid w:val="00201C71"/>
    <w:rsid w:val="00201FE0"/>
    <w:rsid w:val="00203195"/>
    <w:rsid w:val="00207478"/>
    <w:rsid w:val="002106B5"/>
    <w:rsid w:val="002117BF"/>
    <w:rsid w:val="00212184"/>
    <w:rsid w:val="0021257B"/>
    <w:rsid w:val="00213206"/>
    <w:rsid w:val="00213BD2"/>
    <w:rsid w:val="00214728"/>
    <w:rsid w:val="002166D7"/>
    <w:rsid w:val="002211FD"/>
    <w:rsid w:val="00221DE0"/>
    <w:rsid w:val="00222740"/>
    <w:rsid w:val="002239A0"/>
    <w:rsid w:val="00224569"/>
    <w:rsid w:val="0022562B"/>
    <w:rsid w:val="0022574A"/>
    <w:rsid w:val="00225BE1"/>
    <w:rsid w:val="00225CCC"/>
    <w:rsid w:val="00227715"/>
    <w:rsid w:val="00230F79"/>
    <w:rsid w:val="002313BE"/>
    <w:rsid w:val="00231AEF"/>
    <w:rsid w:val="00233E06"/>
    <w:rsid w:val="00234243"/>
    <w:rsid w:val="0023681D"/>
    <w:rsid w:val="002371C1"/>
    <w:rsid w:val="00237EF5"/>
    <w:rsid w:val="00240640"/>
    <w:rsid w:val="00241CFB"/>
    <w:rsid w:val="00242A48"/>
    <w:rsid w:val="00243958"/>
    <w:rsid w:val="00243C27"/>
    <w:rsid w:val="00243CB4"/>
    <w:rsid w:val="002441E3"/>
    <w:rsid w:val="00244B76"/>
    <w:rsid w:val="00245168"/>
    <w:rsid w:val="00247CD4"/>
    <w:rsid w:val="00251398"/>
    <w:rsid w:val="00251950"/>
    <w:rsid w:val="00251D86"/>
    <w:rsid w:val="00256B0D"/>
    <w:rsid w:val="00256F1B"/>
    <w:rsid w:val="0025788F"/>
    <w:rsid w:val="0025789C"/>
    <w:rsid w:val="0026114C"/>
    <w:rsid w:val="00261FEB"/>
    <w:rsid w:val="00262099"/>
    <w:rsid w:val="00262718"/>
    <w:rsid w:val="0026563B"/>
    <w:rsid w:val="00265D2F"/>
    <w:rsid w:val="00266805"/>
    <w:rsid w:val="0027086B"/>
    <w:rsid w:val="002715BC"/>
    <w:rsid w:val="00272CA9"/>
    <w:rsid w:val="00272E85"/>
    <w:rsid w:val="00275543"/>
    <w:rsid w:val="002758CC"/>
    <w:rsid w:val="00275973"/>
    <w:rsid w:val="0027695F"/>
    <w:rsid w:val="00276AE6"/>
    <w:rsid w:val="00277124"/>
    <w:rsid w:val="002835A8"/>
    <w:rsid w:val="002837E8"/>
    <w:rsid w:val="00283B0C"/>
    <w:rsid w:val="00283C46"/>
    <w:rsid w:val="00284237"/>
    <w:rsid w:val="002843D5"/>
    <w:rsid w:val="00284BC7"/>
    <w:rsid w:val="0028571F"/>
    <w:rsid w:val="00285C8B"/>
    <w:rsid w:val="00287212"/>
    <w:rsid w:val="0028763F"/>
    <w:rsid w:val="00287864"/>
    <w:rsid w:val="00287E59"/>
    <w:rsid w:val="00290619"/>
    <w:rsid w:val="00290DCA"/>
    <w:rsid w:val="00292199"/>
    <w:rsid w:val="00292C0E"/>
    <w:rsid w:val="00292FDF"/>
    <w:rsid w:val="002941E7"/>
    <w:rsid w:val="002948B1"/>
    <w:rsid w:val="002A2165"/>
    <w:rsid w:val="002A4055"/>
    <w:rsid w:val="002A41D9"/>
    <w:rsid w:val="002A433E"/>
    <w:rsid w:val="002A4736"/>
    <w:rsid w:val="002A4C95"/>
    <w:rsid w:val="002A5FF3"/>
    <w:rsid w:val="002A6133"/>
    <w:rsid w:val="002A63C6"/>
    <w:rsid w:val="002A6C4E"/>
    <w:rsid w:val="002A6ED0"/>
    <w:rsid w:val="002A7DF2"/>
    <w:rsid w:val="002A7DFA"/>
    <w:rsid w:val="002B0FFE"/>
    <w:rsid w:val="002B2E34"/>
    <w:rsid w:val="002B52B6"/>
    <w:rsid w:val="002B72FD"/>
    <w:rsid w:val="002C0DBB"/>
    <w:rsid w:val="002C16DC"/>
    <w:rsid w:val="002C239A"/>
    <w:rsid w:val="002C2F9A"/>
    <w:rsid w:val="002C3AB5"/>
    <w:rsid w:val="002C3CF1"/>
    <w:rsid w:val="002C42D7"/>
    <w:rsid w:val="002C45D4"/>
    <w:rsid w:val="002C6001"/>
    <w:rsid w:val="002C63A3"/>
    <w:rsid w:val="002C6FDF"/>
    <w:rsid w:val="002C7A1E"/>
    <w:rsid w:val="002D082A"/>
    <w:rsid w:val="002D1DD5"/>
    <w:rsid w:val="002D3C41"/>
    <w:rsid w:val="002D46AE"/>
    <w:rsid w:val="002D59B2"/>
    <w:rsid w:val="002D5C31"/>
    <w:rsid w:val="002D687F"/>
    <w:rsid w:val="002E1CCF"/>
    <w:rsid w:val="002E288C"/>
    <w:rsid w:val="002E3074"/>
    <w:rsid w:val="002E32AF"/>
    <w:rsid w:val="002E5267"/>
    <w:rsid w:val="002E753E"/>
    <w:rsid w:val="002E7FDC"/>
    <w:rsid w:val="002F07EC"/>
    <w:rsid w:val="002F0DFD"/>
    <w:rsid w:val="002F10CF"/>
    <w:rsid w:val="002F2129"/>
    <w:rsid w:val="002F2D1E"/>
    <w:rsid w:val="002F626A"/>
    <w:rsid w:val="002F7D65"/>
    <w:rsid w:val="00300B58"/>
    <w:rsid w:val="0030187D"/>
    <w:rsid w:val="00301A4A"/>
    <w:rsid w:val="00301D5D"/>
    <w:rsid w:val="003025C2"/>
    <w:rsid w:val="00302851"/>
    <w:rsid w:val="00302FC5"/>
    <w:rsid w:val="00303108"/>
    <w:rsid w:val="0030395B"/>
    <w:rsid w:val="00303EFB"/>
    <w:rsid w:val="003056F3"/>
    <w:rsid w:val="00305829"/>
    <w:rsid w:val="00306D42"/>
    <w:rsid w:val="00306E31"/>
    <w:rsid w:val="00307242"/>
    <w:rsid w:val="00307B24"/>
    <w:rsid w:val="003104FB"/>
    <w:rsid w:val="00310553"/>
    <w:rsid w:val="003109AA"/>
    <w:rsid w:val="003109DE"/>
    <w:rsid w:val="00310A22"/>
    <w:rsid w:val="00310FB1"/>
    <w:rsid w:val="00311DA1"/>
    <w:rsid w:val="00311E3B"/>
    <w:rsid w:val="003121D3"/>
    <w:rsid w:val="00312421"/>
    <w:rsid w:val="00314216"/>
    <w:rsid w:val="003145CC"/>
    <w:rsid w:val="003146DB"/>
    <w:rsid w:val="00315077"/>
    <w:rsid w:val="00315D9E"/>
    <w:rsid w:val="00315E0D"/>
    <w:rsid w:val="00316230"/>
    <w:rsid w:val="003174AA"/>
    <w:rsid w:val="003208F7"/>
    <w:rsid w:val="00321C90"/>
    <w:rsid w:val="003221B1"/>
    <w:rsid w:val="003226A2"/>
    <w:rsid w:val="003232C8"/>
    <w:rsid w:val="003239CD"/>
    <w:rsid w:val="0032585A"/>
    <w:rsid w:val="00326F60"/>
    <w:rsid w:val="003271FE"/>
    <w:rsid w:val="00327B14"/>
    <w:rsid w:val="0033003F"/>
    <w:rsid w:val="00332427"/>
    <w:rsid w:val="003327F7"/>
    <w:rsid w:val="003329F7"/>
    <w:rsid w:val="00332FAA"/>
    <w:rsid w:val="003347F5"/>
    <w:rsid w:val="003352E0"/>
    <w:rsid w:val="00337158"/>
    <w:rsid w:val="003421BB"/>
    <w:rsid w:val="00342420"/>
    <w:rsid w:val="00342900"/>
    <w:rsid w:val="00342CE5"/>
    <w:rsid w:val="0034431B"/>
    <w:rsid w:val="003469F8"/>
    <w:rsid w:val="00350061"/>
    <w:rsid w:val="00350C8F"/>
    <w:rsid w:val="00352A6B"/>
    <w:rsid w:val="003555CB"/>
    <w:rsid w:val="0035641B"/>
    <w:rsid w:val="00356A4A"/>
    <w:rsid w:val="0036003C"/>
    <w:rsid w:val="00360696"/>
    <w:rsid w:val="00360C15"/>
    <w:rsid w:val="00362746"/>
    <w:rsid w:val="003629EA"/>
    <w:rsid w:val="00363DE8"/>
    <w:rsid w:val="00364F06"/>
    <w:rsid w:val="00365A9E"/>
    <w:rsid w:val="00365F0F"/>
    <w:rsid w:val="00367480"/>
    <w:rsid w:val="003709A9"/>
    <w:rsid w:val="00370E4C"/>
    <w:rsid w:val="00372933"/>
    <w:rsid w:val="00372F4A"/>
    <w:rsid w:val="00373A46"/>
    <w:rsid w:val="003746DE"/>
    <w:rsid w:val="00374C83"/>
    <w:rsid w:val="00375834"/>
    <w:rsid w:val="00377DFD"/>
    <w:rsid w:val="00381224"/>
    <w:rsid w:val="00382D83"/>
    <w:rsid w:val="0038347C"/>
    <w:rsid w:val="00383522"/>
    <w:rsid w:val="00383864"/>
    <w:rsid w:val="00384370"/>
    <w:rsid w:val="0038507F"/>
    <w:rsid w:val="003852EC"/>
    <w:rsid w:val="00385877"/>
    <w:rsid w:val="003859D8"/>
    <w:rsid w:val="00386B3A"/>
    <w:rsid w:val="00387D9A"/>
    <w:rsid w:val="00391697"/>
    <w:rsid w:val="00392333"/>
    <w:rsid w:val="00395AF2"/>
    <w:rsid w:val="003A04DD"/>
    <w:rsid w:val="003A0A8F"/>
    <w:rsid w:val="003A0AD2"/>
    <w:rsid w:val="003A1D00"/>
    <w:rsid w:val="003A29A0"/>
    <w:rsid w:val="003A2DC6"/>
    <w:rsid w:val="003A30F4"/>
    <w:rsid w:val="003A3829"/>
    <w:rsid w:val="003A4678"/>
    <w:rsid w:val="003A4DC2"/>
    <w:rsid w:val="003A5161"/>
    <w:rsid w:val="003A7A1B"/>
    <w:rsid w:val="003A7BD3"/>
    <w:rsid w:val="003A7D9D"/>
    <w:rsid w:val="003B0254"/>
    <w:rsid w:val="003B1774"/>
    <w:rsid w:val="003B1C88"/>
    <w:rsid w:val="003B34FA"/>
    <w:rsid w:val="003B467A"/>
    <w:rsid w:val="003B4FE2"/>
    <w:rsid w:val="003B4FFF"/>
    <w:rsid w:val="003B65C0"/>
    <w:rsid w:val="003B6B1D"/>
    <w:rsid w:val="003B70A7"/>
    <w:rsid w:val="003B7561"/>
    <w:rsid w:val="003B7607"/>
    <w:rsid w:val="003B7ED2"/>
    <w:rsid w:val="003C04B8"/>
    <w:rsid w:val="003C37D0"/>
    <w:rsid w:val="003C3EF1"/>
    <w:rsid w:val="003C4F48"/>
    <w:rsid w:val="003C5233"/>
    <w:rsid w:val="003C63D4"/>
    <w:rsid w:val="003C71F5"/>
    <w:rsid w:val="003C745B"/>
    <w:rsid w:val="003C7844"/>
    <w:rsid w:val="003C7CFF"/>
    <w:rsid w:val="003D0E79"/>
    <w:rsid w:val="003D16B0"/>
    <w:rsid w:val="003D2477"/>
    <w:rsid w:val="003D2796"/>
    <w:rsid w:val="003D2D36"/>
    <w:rsid w:val="003D2ED7"/>
    <w:rsid w:val="003D2FC1"/>
    <w:rsid w:val="003D3564"/>
    <w:rsid w:val="003D4274"/>
    <w:rsid w:val="003D5BBF"/>
    <w:rsid w:val="003D5F45"/>
    <w:rsid w:val="003E0F49"/>
    <w:rsid w:val="003E119A"/>
    <w:rsid w:val="003E1CA3"/>
    <w:rsid w:val="003E2E76"/>
    <w:rsid w:val="003E2F67"/>
    <w:rsid w:val="003E4525"/>
    <w:rsid w:val="003E570A"/>
    <w:rsid w:val="003E5851"/>
    <w:rsid w:val="003E5E99"/>
    <w:rsid w:val="003E7D34"/>
    <w:rsid w:val="003E7F40"/>
    <w:rsid w:val="003F109A"/>
    <w:rsid w:val="003F12C4"/>
    <w:rsid w:val="003F3803"/>
    <w:rsid w:val="003F69B4"/>
    <w:rsid w:val="003F7B99"/>
    <w:rsid w:val="004018AE"/>
    <w:rsid w:val="00401F4A"/>
    <w:rsid w:val="00403F3F"/>
    <w:rsid w:val="00404543"/>
    <w:rsid w:val="0040501F"/>
    <w:rsid w:val="004051F6"/>
    <w:rsid w:val="00405C43"/>
    <w:rsid w:val="0040722A"/>
    <w:rsid w:val="00407F2D"/>
    <w:rsid w:val="00410C99"/>
    <w:rsid w:val="00413691"/>
    <w:rsid w:val="0041504F"/>
    <w:rsid w:val="0041559A"/>
    <w:rsid w:val="00416359"/>
    <w:rsid w:val="00417EC4"/>
    <w:rsid w:val="0042012F"/>
    <w:rsid w:val="00421476"/>
    <w:rsid w:val="00424A31"/>
    <w:rsid w:val="0042540B"/>
    <w:rsid w:val="00426233"/>
    <w:rsid w:val="00426677"/>
    <w:rsid w:val="00427A54"/>
    <w:rsid w:val="00427ABE"/>
    <w:rsid w:val="00427BEA"/>
    <w:rsid w:val="00427C5E"/>
    <w:rsid w:val="00430AAF"/>
    <w:rsid w:val="00430AB8"/>
    <w:rsid w:val="0043117A"/>
    <w:rsid w:val="004352CC"/>
    <w:rsid w:val="00435583"/>
    <w:rsid w:val="00436BE5"/>
    <w:rsid w:val="00440466"/>
    <w:rsid w:val="00440841"/>
    <w:rsid w:val="004409CE"/>
    <w:rsid w:val="00440C05"/>
    <w:rsid w:val="004418A0"/>
    <w:rsid w:val="00441DD1"/>
    <w:rsid w:val="0044260D"/>
    <w:rsid w:val="0044278A"/>
    <w:rsid w:val="004439A8"/>
    <w:rsid w:val="004452C0"/>
    <w:rsid w:val="00450A7C"/>
    <w:rsid w:val="00450B08"/>
    <w:rsid w:val="004510CD"/>
    <w:rsid w:val="004528D9"/>
    <w:rsid w:val="00452A47"/>
    <w:rsid w:val="00453983"/>
    <w:rsid w:val="00454C8D"/>
    <w:rsid w:val="00455882"/>
    <w:rsid w:val="004563A0"/>
    <w:rsid w:val="00456873"/>
    <w:rsid w:val="00460398"/>
    <w:rsid w:val="00460C01"/>
    <w:rsid w:val="004612D9"/>
    <w:rsid w:val="004634A6"/>
    <w:rsid w:val="004638C5"/>
    <w:rsid w:val="00466C6C"/>
    <w:rsid w:val="00467E11"/>
    <w:rsid w:val="00470460"/>
    <w:rsid w:val="004705F9"/>
    <w:rsid w:val="004714A6"/>
    <w:rsid w:val="004748D2"/>
    <w:rsid w:val="004752EB"/>
    <w:rsid w:val="00475B52"/>
    <w:rsid w:val="004762E0"/>
    <w:rsid w:val="00476A31"/>
    <w:rsid w:val="00477187"/>
    <w:rsid w:val="00477D5B"/>
    <w:rsid w:val="004807F2"/>
    <w:rsid w:val="00480F71"/>
    <w:rsid w:val="00481625"/>
    <w:rsid w:val="00481E96"/>
    <w:rsid w:val="00482A10"/>
    <w:rsid w:val="00483647"/>
    <w:rsid w:val="0048391D"/>
    <w:rsid w:val="00485890"/>
    <w:rsid w:val="00486281"/>
    <w:rsid w:val="00486F9D"/>
    <w:rsid w:val="004908CB"/>
    <w:rsid w:val="00490D76"/>
    <w:rsid w:val="00491F1C"/>
    <w:rsid w:val="00493A18"/>
    <w:rsid w:val="00496361"/>
    <w:rsid w:val="004A0F79"/>
    <w:rsid w:val="004A3373"/>
    <w:rsid w:val="004A4FA8"/>
    <w:rsid w:val="004A5A6A"/>
    <w:rsid w:val="004A6062"/>
    <w:rsid w:val="004A7643"/>
    <w:rsid w:val="004B016A"/>
    <w:rsid w:val="004B1074"/>
    <w:rsid w:val="004B1141"/>
    <w:rsid w:val="004B17ED"/>
    <w:rsid w:val="004B1CD3"/>
    <w:rsid w:val="004B1D27"/>
    <w:rsid w:val="004B37D5"/>
    <w:rsid w:val="004B523C"/>
    <w:rsid w:val="004B7B62"/>
    <w:rsid w:val="004B7BA3"/>
    <w:rsid w:val="004C05B3"/>
    <w:rsid w:val="004C1A43"/>
    <w:rsid w:val="004C1D43"/>
    <w:rsid w:val="004C3BAE"/>
    <w:rsid w:val="004C426E"/>
    <w:rsid w:val="004C668C"/>
    <w:rsid w:val="004C6BA1"/>
    <w:rsid w:val="004C7270"/>
    <w:rsid w:val="004C7737"/>
    <w:rsid w:val="004D0C2C"/>
    <w:rsid w:val="004D1F0F"/>
    <w:rsid w:val="004D3F95"/>
    <w:rsid w:val="004D5671"/>
    <w:rsid w:val="004D6AF4"/>
    <w:rsid w:val="004D786F"/>
    <w:rsid w:val="004E01C4"/>
    <w:rsid w:val="004E037C"/>
    <w:rsid w:val="004E08F2"/>
    <w:rsid w:val="004E1450"/>
    <w:rsid w:val="004E1560"/>
    <w:rsid w:val="004E1BED"/>
    <w:rsid w:val="004E213F"/>
    <w:rsid w:val="004E2478"/>
    <w:rsid w:val="004E2BE7"/>
    <w:rsid w:val="004E3E10"/>
    <w:rsid w:val="004E584A"/>
    <w:rsid w:val="004E6696"/>
    <w:rsid w:val="004E66AD"/>
    <w:rsid w:val="004E6A97"/>
    <w:rsid w:val="004F0C0F"/>
    <w:rsid w:val="004F1B57"/>
    <w:rsid w:val="004F3397"/>
    <w:rsid w:val="004F37FD"/>
    <w:rsid w:val="004F3D2E"/>
    <w:rsid w:val="004F4ACB"/>
    <w:rsid w:val="004F4F6B"/>
    <w:rsid w:val="004F5F84"/>
    <w:rsid w:val="004F786C"/>
    <w:rsid w:val="0050012D"/>
    <w:rsid w:val="005007F9"/>
    <w:rsid w:val="00500D55"/>
    <w:rsid w:val="00500F60"/>
    <w:rsid w:val="00501A83"/>
    <w:rsid w:val="00502B4B"/>
    <w:rsid w:val="00505396"/>
    <w:rsid w:val="005065C5"/>
    <w:rsid w:val="00506EB0"/>
    <w:rsid w:val="00506F17"/>
    <w:rsid w:val="005077FD"/>
    <w:rsid w:val="00510CDF"/>
    <w:rsid w:val="0051117B"/>
    <w:rsid w:val="00512236"/>
    <w:rsid w:val="00512412"/>
    <w:rsid w:val="0051269D"/>
    <w:rsid w:val="00512BE2"/>
    <w:rsid w:val="0051389F"/>
    <w:rsid w:val="00514473"/>
    <w:rsid w:val="0051628C"/>
    <w:rsid w:val="005229F2"/>
    <w:rsid w:val="00522C19"/>
    <w:rsid w:val="0052397C"/>
    <w:rsid w:val="00524838"/>
    <w:rsid w:val="00525B69"/>
    <w:rsid w:val="00525C55"/>
    <w:rsid w:val="00526BC6"/>
    <w:rsid w:val="00527A99"/>
    <w:rsid w:val="0053086E"/>
    <w:rsid w:val="00531328"/>
    <w:rsid w:val="00532152"/>
    <w:rsid w:val="00533625"/>
    <w:rsid w:val="005340AF"/>
    <w:rsid w:val="0053418A"/>
    <w:rsid w:val="00535973"/>
    <w:rsid w:val="0053638E"/>
    <w:rsid w:val="00540F93"/>
    <w:rsid w:val="00541346"/>
    <w:rsid w:val="0054141C"/>
    <w:rsid w:val="00541D4B"/>
    <w:rsid w:val="00543FE8"/>
    <w:rsid w:val="00544EF7"/>
    <w:rsid w:val="005463CB"/>
    <w:rsid w:val="0054700C"/>
    <w:rsid w:val="00550B78"/>
    <w:rsid w:val="005512B7"/>
    <w:rsid w:val="00552468"/>
    <w:rsid w:val="005538EB"/>
    <w:rsid w:val="00553995"/>
    <w:rsid w:val="0055460E"/>
    <w:rsid w:val="00554B1E"/>
    <w:rsid w:val="00555473"/>
    <w:rsid w:val="00555A45"/>
    <w:rsid w:val="0055616E"/>
    <w:rsid w:val="0055647E"/>
    <w:rsid w:val="00556A09"/>
    <w:rsid w:val="00560C57"/>
    <w:rsid w:val="005650BF"/>
    <w:rsid w:val="005675D2"/>
    <w:rsid w:val="00567F1A"/>
    <w:rsid w:val="00572099"/>
    <w:rsid w:val="00572841"/>
    <w:rsid w:val="0057316C"/>
    <w:rsid w:val="0057393E"/>
    <w:rsid w:val="00574678"/>
    <w:rsid w:val="00575B2F"/>
    <w:rsid w:val="00576C97"/>
    <w:rsid w:val="005772A6"/>
    <w:rsid w:val="005777EC"/>
    <w:rsid w:val="00580049"/>
    <w:rsid w:val="005800C4"/>
    <w:rsid w:val="0058096C"/>
    <w:rsid w:val="00582DC4"/>
    <w:rsid w:val="005835B0"/>
    <w:rsid w:val="00583E7E"/>
    <w:rsid w:val="005853AA"/>
    <w:rsid w:val="00585518"/>
    <w:rsid w:val="00585BC4"/>
    <w:rsid w:val="00585C13"/>
    <w:rsid w:val="00585C42"/>
    <w:rsid w:val="005863E7"/>
    <w:rsid w:val="005864F4"/>
    <w:rsid w:val="0058735A"/>
    <w:rsid w:val="00587506"/>
    <w:rsid w:val="00587960"/>
    <w:rsid w:val="0059007C"/>
    <w:rsid w:val="00590C62"/>
    <w:rsid w:val="0059158C"/>
    <w:rsid w:val="00592479"/>
    <w:rsid w:val="005938E4"/>
    <w:rsid w:val="00594023"/>
    <w:rsid w:val="0059460C"/>
    <w:rsid w:val="00595139"/>
    <w:rsid w:val="005953C0"/>
    <w:rsid w:val="00595462"/>
    <w:rsid w:val="005968D3"/>
    <w:rsid w:val="00596AD0"/>
    <w:rsid w:val="00597301"/>
    <w:rsid w:val="00597910"/>
    <w:rsid w:val="005A0D7D"/>
    <w:rsid w:val="005A1B0F"/>
    <w:rsid w:val="005A2332"/>
    <w:rsid w:val="005A2617"/>
    <w:rsid w:val="005A374D"/>
    <w:rsid w:val="005A3B64"/>
    <w:rsid w:val="005A4C45"/>
    <w:rsid w:val="005A4D2F"/>
    <w:rsid w:val="005A6FFF"/>
    <w:rsid w:val="005B0348"/>
    <w:rsid w:val="005B0B3F"/>
    <w:rsid w:val="005B0C52"/>
    <w:rsid w:val="005B1C17"/>
    <w:rsid w:val="005B2730"/>
    <w:rsid w:val="005B2CC9"/>
    <w:rsid w:val="005B37F1"/>
    <w:rsid w:val="005B3C9B"/>
    <w:rsid w:val="005B4427"/>
    <w:rsid w:val="005B5C57"/>
    <w:rsid w:val="005B66EE"/>
    <w:rsid w:val="005B795E"/>
    <w:rsid w:val="005B7AFA"/>
    <w:rsid w:val="005C08A0"/>
    <w:rsid w:val="005C0B4D"/>
    <w:rsid w:val="005C2475"/>
    <w:rsid w:val="005C37DA"/>
    <w:rsid w:val="005C4D71"/>
    <w:rsid w:val="005C544A"/>
    <w:rsid w:val="005C62A7"/>
    <w:rsid w:val="005C66A5"/>
    <w:rsid w:val="005C7202"/>
    <w:rsid w:val="005D10C4"/>
    <w:rsid w:val="005D165D"/>
    <w:rsid w:val="005D17DC"/>
    <w:rsid w:val="005D1D0D"/>
    <w:rsid w:val="005D36EB"/>
    <w:rsid w:val="005D5D23"/>
    <w:rsid w:val="005D65CD"/>
    <w:rsid w:val="005E0E2F"/>
    <w:rsid w:val="005E11BA"/>
    <w:rsid w:val="005E16CF"/>
    <w:rsid w:val="005E39F1"/>
    <w:rsid w:val="005E4888"/>
    <w:rsid w:val="005E62D5"/>
    <w:rsid w:val="005E6A29"/>
    <w:rsid w:val="005E789C"/>
    <w:rsid w:val="005F05F7"/>
    <w:rsid w:val="005F1509"/>
    <w:rsid w:val="005F2126"/>
    <w:rsid w:val="005F21FC"/>
    <w:rsid w:val="005F2471"/>
    <w:rsid w:val="005F2767"/>
    <w:rsid w:val="005F28EE"/>
    <w:rsid w:val="005F2910"/>
    <w:rsid w:val="005F2C0D"/>
    <w:rsid w:val="005F2F91"/>
    <w:rsid w:val="005F383B"/>
    <w:rsid w:val="005F43EB"/>
    <w:rsid w:val="005F4626"/>
    <w:rsid w:val="005F5142"/>
    <w:rsid w:val="005F5AE4"/>
    <w:rsid w:val="005F6C41"/>
    <w:rsid w:val="005F6C62"/>
    <w:rsid w:val="005F6F83"/>
    <w:rsid w:val="0060028D"/>
    <w:rsid w:val="00601996"/>
    <w:rsid w:val="00601F32"/>
    <w:rsid w:val="00605ECD"/>
    <w:rsid w:val="0060655E"/>
    <w:rsid w:val="006068A0"/>
    <w:rsid w:val="00606B95"/>
    <w:rsid w:val="00606E3F"/>
    <w:rsid w:val="006077C0"/>
    <w:rsid w:val="0060791E"/>
    <w:rsid w:val="00607C62"/>
    <w:rsid w:val="00607D7C"/>
    <w:rsid w:val="006116A6"/>
    <w:rsid w:val="006119BE"/>
    <w:rsid w:val="0061267D"/>
    <w:rsid w:val="00615252"/>
    <w:rsid w:val="006157A5"/>
    <w:rsid w:val="006200C9"/>
    <w:rsid w:val="00620235"/>
    <w:rsid w:val="00620F70"/>
    <w:rsid w:val="00621C48"/>
    <w:rsid w:val="00622C45"/>
    <w:rsid w:val="00623781"/>
    <w:rsid w:val="00626EEC"/>
    <w:rsid w:val="00626EF2"/>
    <w:rsid w:val="00627BBB"/>
    <w:rsid w:val="0063030B"/>
    <w:rsid w:val="00630C03"/>
    <w:rsid w:val="00631B7D"/>
    <w:rsid w:val="00633D6D"/>
    <w:rsid w:val="006351B9"/>
    <w:rsid w:val="00636EEB"/>
    <w:rsid w:val="00637293"/>
    <w:rsid w:val="00641D7B"/>
    <w:rsid w:val="00643C42"/>
    <w:rsid w:val="00644434"/>
    <w:rsid w:val="006455BF"/>
    <w:rsid w:val="00647F94"/>
    <w:rsid w:val="00650CE1"/>
    <w:rsid w:val="0065102E"/>
    <w:rsid w:val="00653AC4"/>
    <w:rsid w:val="006546BA"/>
    <w:rsid w:val="0065489A"/>
    <w:rsid w:val="00654FAF"/>
    <w:rsid w:val="00655A4B"/>
    <w:rsid w:val="006561F9"/>
    <w:rsid w:val="00657643"/>
    <w:rsid w:val="0066075A"/>
    <w:rsid w:val="00660BA8"/>
    <w:rsid w:val="0066157A"/>
    <w:rsid w:val="00662A96"/>
    <w:rsid w:val="006633B6"/>
    <w:rsid w:val="0066355D"/>
    <w:rsid w:val="00664930"/>
    <w:rsid w:val="00666468"/>
    <w:rsid w:val="0066655A"/>
    <w:rsid w:val="006665E4"/>
    <w:rsid w:val="00666BF2"/>
    <w:rsid w:val="006676A1"/>
    <w:rsid w:val="006678E9"/>
    <w:rsid w:val="006714BB"/>
    <w:rsid w:val="00672CD5"/>
    <w:rsid w:val="00673901"/>
    <w:rsid w:val="00674831"/>
    <w:rsid w:val="00675027"/>
    <w:rsid w:val="0067594F"/>
    <w:rsid w:val="00676762"/>
    <w:rsid w:val="00677012"/>
    <w:rsid w:val="00680446"/>
    <w:rsid w:val="00680BC3"/>
    <w:rsid w:val="00681B37"/>
    <w:rsid w:val="00681D6F"/>
    <w:rsid w:val="00681F41"/>
    <w:rsid w:val="00682074"/>
    <w:rsid w:val="006826C0"/>
    <w:rsid w:val="00684226"/>
    <w:rsid w:val="00684BD6"/>
    <w:rsid w:val="00686101"/>
    <w:rsid w:val="00686452"/>
    <w:rsid w:val="00687B2C"/>
    <w:rsid w:val="00690975"/>
    <w:rsid w:val="00690C8F"/>
    <w:rsid w:val="006910F5"/>
    <w:rsid w:val="00691D54"/>
    <w:rsid w:val="00692C10"/>
    <w:rsid w:val="00693405"/>
    <w:rsid w:val="0069350C"/>
    <w:rsid w:val="00693DDA"/>
    <w:rsid w:val="006946EB"/>
    <w:rsid w:val="006A0522"/>
    <w:rsid w:val="006A0D57"/>
    <w:rsid w:val="006A59B6"/>
    <w:rsid w:val="006A64E4"/>
    <w:rsid w:val="006A6D51"/>
    <w:rsid w:val="006B06BD"/>
    <w:rsid w:val="006B0DBC"/>
    <w:rsid w:val="006B0E1F"/>
    <w:rsid w:val="006B2696"/>
    <w:rsid w:val="006B2A2C"/>
    <w:rsid w:val="006B3D1C"/>
    <w:rsid w:val="006B714D"/>
    <w:rsid w:val="006B7E06"/>
    <w:rsid w:val="006C0808"/>
    <w:rsid w:val="006C0945"/>
    <w:rsid w:val="006C177B"/>
    <w:rsid w:val="006C26E8"/>
    <w:rsid w:val="006C27BC"/>
    <w:rsid w:val="006C2878"/>
    <w:rsid w:val="006C3A41"/>
    <w:rsid w:val="006C3D3E"/>
    <w:rsid w:val="006C452C"/>
    <w:rsid w:val="006C647C"/>
    <w:rsid w:val="006C6E6B"/>
    <w:rsid w:val="006C7C10"/>
    <w:rsid w:val="006D0834"/>
    <w:rsid w:val="006D0990"/>
    <w:rsid w:val="006D151C"/>
    <w:rsid w:val="006D21FD"/>
    <w:rsid w:val="006D44D1"/>
    <w:rsid w:val="006D4D99"/>
    <w:rsid w:val="006D4EC0"/>
    <w:rsid w:val="006D6A66"/>
    <w:rsid w:val="006D7DC4"/>
    <w:rsid w:val="006E0337"/>
    <w:rsid w:val="006E07CF"/>
    <w:rsid w:val="006E0F4A"/>
    <w:rsid w:val="006E29E9"/>
    <w:rsid w:val="006E3085"/>
    <w:rsid w:val="006E3191"/>
    <w:rsid w:val="006E4C6C"/>
    <w:rsid w:val="006E545F"/>
    <w:rsid w:val="006E566B"/>
    <w:rsid w:val="006E6987"/>
    <w:rsid w:val="006E6A2E"/>
    <w:rsid w:val="006E6D1F"/>
    <w:rsid w:val="006E6DA0"/>
    <w:rsid w:val="006E7B5C"/>
    <w:rsid w:val="006F161D"/>
    <w:rsid w:val="006F1C04"/>
    <w:rsid w:val="006F263E"/>
    <w:rsid w:val="006F2CB6"/>
    <w:rsid w:val="006F2DE6"/>
    <w:rsid w:val="006F2EB5"/>
    <w:rsid w:val="006F320A"/>
    <w:rsid w:val="006F320E"/>
    <w:rsid w:val="006F35C5"/>
    <w:rsid w:val="006F422F"/>
    <w:rsid w:val="006F4630"/>
    <w:rsid w:val="006F65C3"/>
    <w:rsid w:val="006F7C35"/>
    <w:rsid w:val="0070039C"/>
    <w:rsid w:val="00700557"/>
    <w:rsid w:val="007011A3"/>
    <w:rsid w:val="00701568"/>
    <w:rsid w:val="007032C3"/>
    <w:rsid w:val="00705CFF"/>
    <w:rsid w:val="0070627A"/>
    <w:rsid w:val="00706916"/>
    <w:rsid w:val="00711733"/>
    <w:rsid w:val="00711B33"/>
    <w:rsid w:val="00713152"/>
    <w:rsid w:val="007131E1"/>
    <w:rsid w:val="00713E5F"/>
    <w:rsid w:val="00714ECB"/>
    <w:rsid w:val="00715763"/>
    <w:rsid w:val="00716138"/>
    <w:rsid w:val="00717091"/>
    <w:rsid w:val="007174BD"/>
    <w:rsid w:val="007177EA"/>
    <w:rsid w:val="0071796A"/>
    <w:rsid w:val="00721762"/>
    <w:rsid w:val="00722101"/>
    <w:rsid w:val="00725764"/>
    <w:rsid w:val="007262FF"/>
    <w:rsid w:val="00730EFC"/>
    <w:rsid w:val="00731A0D"/>
    <w:rsid w:val="0073311B"/>
    <w:rsid w:val="007335EF"/>
    <w:rsid w:val="00733AB9"/>
    <w:rsid w:val="00734BDE"/>
    <w:rsid w:val="00734FF7"/>
    <w:rsid w:val="00735549"/>
    <w:rsid w:val="00740202"/>
    <w:rsid w:val="00740CC5"/>
    <w:rsid w:val="00741292"/>
    <w:rsid w:val="007415AD"/>
    <w:rsid w:val="00742284"/>
    <w:rsid w:val="00746914"/>
    <w:rsid w:val="00746B38"/>
    <w:rsid w:val="00747122"/>
    <w:rsid w:val="00747795"/>
    <w:rsid w:val="0075005B"/>
    <w:rsid w:val="0075028D"/>
    <w:rsid w:val="007506F0"/>
    <w:rsid w:val="0075196B"/>
    <w:rsid w:val="00752303"/>
    <w:rsid w:val="0075265B"/>
    <w:rsid w:val="007533DE"/>
    <w:rsid w:val="00753BBA"/>
    <w:rsid w:val="0075778E"/>
    <w:rsid w:val="007605CB"/>
    <w:rsid w:val="007611F7"/>
    <w:rsid w:val="00761E96"/>
    <w:rsid w:val="007625F8"/>
    <w:rsid w:val="007632F7"/>
    <w:rsid w:val="00764439"/>
    <w:rsid w:val="00766388"/>
    <w:rsid w:val="007706BF"/>
    <w:rsid w:val="007708A3"/>
    <w:rsid w:val="00771025"/>
    <w:rsid w:val="007711AB"/>
    <w:rsid w:val="007716D7"/>
    <w:rsid w:val="00772AAF"/>
    <w:rsid w:val="007730BD"/>
    <w:rsid w:val="007752FF"/>
    <w:rsid w:val="0077537B"/>
    <w:rsid w:val="00776892"/>
    <w:rsid w:val="007768F1"/>
    <w:rsid w:val="00777790"/>
    <w:rsid w:val="00777872"/>
    <w:rsid w:val="007807A5"/>
    <w:rsid w:val="00780CFE"/>
    <w:rsid w:val="0078289C"/>
    <w:rsid w:val="0078307C"/>
    <w:rsid w:val="00783C88"/>
    <w:rsid w:val="00784626"/>
    <w:rsid w:val="007855E8"/>
    <w:rsid w:val="0078572B"/>
    <w:rsid w:val="00787001"/>
    <w:rsid w:val="00787098"/>
    <w:rsid w:val="00787540"/>
    <w:rsid w:val="00790878"/>
    <w:rsid w:val="0079190F"/>
    <w:rsid w:val="00791D98"/>
    <w:rsid w:val="00792054"/>
    <w:rsid w:val="007922ED"/>
    <w:rsid w:val="007922F4"/>
    <w:rsid w:val="007947FF"/>
    <w:rsid w:val="00794C41"/>
    <w:rsid w:val="00795487"/>
    <w:rsid w:val="0079651C"/>
    <w:rsid w:val="007969AB"/>
    <w:rsid w:val="00796B66"/>
    <w:rsid w:val="0079760A"/>
    <w:rsid w:val="0079796B"/>
    <w:rsid w:val="00797FD7"/>
    <w:rsid w:val="007A01CB"/>
    <w:rsid w:val="007A055C"/>
    <w:rsid w:val="007A0F57"/>
    <w:rsid w:val="007A1886"/>
    <w:rsid w:val="007A1C67"/>
    <w:rsid w:val="007A27D8"/>
    <w:rsid w:val="007A3151"/>
    <w:rsid w:val="007A4822"/>
    <w:rsid w:val="007A625D"/>
    <w:rsid w:val="007B0C05"/>
    <w:rsid w:val="007B216F"/>
    <w:rsid w:val="007B2D57"/>
    <w:rsid w:val="007B30CD"/>
    <w:rsid w:val="007B3309"/>
    <w:rsid w:val="007B3AAB"/>
    <w:rsid w:val="007B4028"/>
    <w:rsid w:val="007B51BA"/>
    <w:rsid w:val="007B54D1"/>
    <w:rsid w:val="007B57DA"/>
    <w:rsid w:val="007B6807"/>
    <w:rsid w:val="007B72D9"/>
    <w:rsid w:val="007B73D3"/>
    <w:rsid w:val="007B79A8"/>
    <w:rsid w:val="007C1076"/>
    <w:rsid w:val="007C2363"/>
    <w:rsid w:val="007C2581"/>
    <w:rsid w:val="007C30AE"/>
    <w:rsid w:val="007C5184"/>
    <w:rsid w:val="007C6475"/>
    <w:rsid w:val="007C67B8"/>
    <w:rsid w:val="007D01A9"/>
    <w:rsid w:val="007D21C3"/>
    <w:rsid w:val="007D2945"/>
    <w:rsid w:val="007D312C"/>
    <w:rsid w:val="007D3A1C"/>
    <w:rsid w:val="007D619B"/>
    <w:rsid w:val="007D71F9"/>
    <w:rsid w:val="007E004C"/>
    <w:rsid w:val="007E0FCD"/>
    <w:rsid w:val="007E1CF8"/>
    <w:rsid w:val="007E1FFE"/>
    <w:rsid w:val="007E2C41"/>
    <w:rsid w:val="007E3B47"/>
    <w:rsid w:val="007E59AC"/>
    <w:rsid w:val="007E6373"/>
    <w:rsid w:val="007E6A47"/>
    <w:rsid w:val="007E7493"/>
    <w:rsid w:val="007E7E50"/>
    <w:rsid w:val="007F0392"/>
    <w:rsid w:val="007F0E51"/>
    <w:rsid w:val="007F24E4"/>
    <w:rsid w:val="007F2BEB"/>
    <w:rsid w:val="007F3483"/>
    <w:rsid w:val="007F34DC"/>
    <w:rsid w:val="007F4D7C"/>
    <w:rsid w:val="007F55C1"/>
    <w:rsid w:val="008005C0"/>
    <w:rsid w:val="00801489"/>
    <w:rsid w:val="00801F02"/>
    <w:rsid w:val="008023C4"/>
    <w:rsid w:val="008032ED"/>
    <w:rsid w:val="008040E4"/>
    <w:rsid w:val="0080471B"/>
    <w:rsid w:val="00804BF4"/>
    <w:rsid w:val="00804F36"/>
    <w:rsid w:val="008054DC"/>
    <w:rsid w:val="00806373"/>
    <w:rsid w:val="00806F24"/>
    <w:rsid w:val="008105BB"/>
    <w:rsid w:val="00810759"/>
    <w:rsid w:val="00810BF7"/>
    <w:rsid w:val="00811312"/>
    <w:rsid w:val="00811FA8"/>
    <w:rsid w:val="008125A4"/>
    <w:rsid w:val="00813BFC"/>
    <w:rsid w:val="008166C6"/>
    <w:rsid w:val="008166F8"/>
    <w:rsid w:val="00816AFD"/>
    <w:rsid w:val="00816B13"/>
    <w:rsid w:val="00822632"/>
    <w:rsid w:val="00822AFE"/>
    <w:rsid w:val="00822C8D"/>
    <w:rsid w:val="00823BDC"/>
    <w:rsid w:val="00824007"/>
    <w:rsid w:val="00824181"/>
    <w:rsid w:val="00825043"/>
    <w:rsid w:val="008256BF"/>
    <w:rsid w:val="00825DB3"/>
    <w:rsid w:val="00826861"/>
    <w:rsid w:val="00827701"/>
    <w:rsid w:val="0083204B"/>
    <w:rsid w:val="00833209"/>
    <w:rsid w:val="00834F34"/>
    <w:rsid w:val="008350C8"/>
    <w:rsid w:val="008360C2"/>
    <w:rsid w:val="0083758A"/>
    <w:rsid w:val="00837621"/>
    <w:rsid w:val="00837942"/>
    <w:rsid w:val="00837D5D"/>
    <w:rsid w:val="008404CA"/>
    <w:rsid w:val="008418E7"/>
    <w:rsid w:val="00841BCF"/>
    <w:rsid w:val="00843FB5"/>
    <w:rsid w:val="008446F3"/>
    <w:rsid w:val="00844806"/>
    <w:rsid w:val="008456D5"/>
    <w:rsid w:val="00845C23"/>
    <w:rsid w:val="008479DF"/>
    <w:rsid w:val="00850F28"/>
    <w:rsid w:val="008517B4"/>
    <w:rsid w:val="0085235E"/>
    <w:rsid w:val="008528A0"/>
    <w:rsid w:val="00854651"/>
    <w:rsid w:val="00854D20"/>
    <w:rsid w:val="0085593B"/>
    <w:rsid w:val="008605BC"/>
    <w:rsid w:val="00860F77"/>
    <w:rsid w:val="0086257D"/>
    <w:rsid w:val="00862998"/>
    <w:rsid w:val="00864A4B"/>
    <w:rsid w:val="00865044"/>
    <w:rsid w:val="00865503"/>
    <w:rsid w:val="00865866"/>
    <w:rsid w:val="00866662"/>
    <w:rsid w:val="00866FD3"/>
    <w:rsid w:val="00867108"/>
    <w:rsid w:val="00872DAA"/>
    <w:rsid w:val="0087424C"/>
    <w:rsid w:val="008755C9"/>
    <w:rsid w:val="00875888"/>
    <w:rsid w:val="008764B5"/>
    <w:rsid w:val="0087671B"/>
    <w:rsid w:val="00876F79"/>
    <w:rsid w:val="008771AA"/>
    <w:rsid w:val="00877220"/>
    <w:rsid w:val="00877951"/>
    <w:rsid w:val="00877981"/>
    <w:rsid w:val="00880362"/>
    <w:rsid w:val="00881301"/>
    <w:rsid w:val="008815B6"/>
    <w:rsid w:val="00881FB1"/>
    <w:rsid w:val="008826D0"/>
    <w:rsid w:val="00884427"/>
    <w:rsid w:val="0088486C"/>
    <w:rsid w:val="00885593"/>
    <w:rsid w:val="00885CD6"/>
    <w:rsid w:val="008870A3"/>
    <w:rsid w:val="00887AAD"/>
    <w:rsid w:val="008930F8"/>
    <w:rsid w:val="00893455"/>
    <w:rsid w:val="00893658"/>
    <w:rsid w:val="0089382C"/>
    <w:rsid w:val="00893A24"/>
    <w:rsid w:val="00893C4C"/>
    <w:rsid w:val="008940B2"/>
    <w:rsid w:val="008969ED"/>
    <w:rsid w:val="00897610"/>
    <w:rsid w:val="00897A09"/>
    <w:rsid w:val="00897AA6"/>
    <w:rsid w:val="008A021B"/>
    <w:rsid w:val="008A1585"/>
    <w:rsid w:val="008A2C17"/>
    <w:rsid w:val="008A30F4"/>
    <w:rsid w:val="008A3711"/>
    <w:rsid w:val="008A3CB4"/>
    <w:rsid w:val="008A5CBB"/>
    <w:rsid w:val="008A7228"/>
    <w:rsid w:val="008B5744"/>
    <w:rsid w:val="008B5891"/>
    <w:rsid w:val="008B67A4"/>
    <w:rsid w:val="008B6E66"/>
    <w:rsid w:val="008B7403"/>
    <w:rsid w:val="008C1E2E"/>
    <w:rsid w:val="008C2AA1"/>
    <w:rsid w:val="008C2D59"/>
    <w:rsid w:val="008C3125"/>
    <w:rsid w:val="008C5245"/>
    <w:rsid w:val="008C5A7C"/>
    <w:rsid w:val="008C5D63"/>
    <w:rsid w:val="008C61A9"/>
    <w:rsid w:val="008C666F"/>
    <w:rsid w:val="008C7077"/>
    <w:rsid w:val="008D0294"/>
    <w:rsid w:val="008D03EF"/>
    <w:rsid w:val="008D0F30"/>
    <w:rsid w:val="008D1436"/>
    <w:rsid w:val="008D1D8E"/>
    <w:rsid w:val="008D2854"/>
    <w:rsid w:val="008D3CDA"/>
    <w:rsid w:val="008D52DF"/>
    <w:rsid w:val="008D60D6"/>
    <w:rsid w:val="008D6124"/>
    <w:rsid w:val="008D6E60"/>
    <w:rsid w:val="008D76A4"/>
    <w:rsid w:val="008D7F00"/>
    <w:rsid w:val="008E03DD"/>
    <w:rsid w:val="008E14A6"/>
    <w:rsid w:val="008E182A"/>
    <w:rsid w:val="008E1EE2"/>
    <w:rsid w:val="008E2261"/>
    <w:rsid w:val="008E26FD"/>
    <w:rsid w:val="008E4DD2"/>
    <w:rsid w:val="008E5B0D"/>
    <w:rsid w:val="008E5BEA"/>
    <w:rsid w:val="008E5C00"/>
    <w:rsid w:val="008E6959"/>
    <w:rsid w:val="008E7C61"/>
    <w:rsid w:val="008E7D86"/>
    <w:rsid w:val="008F0448"/>
    <w:rsid w:val="008F1031"/>
    <w:rsid w:val="008F121F"/>
    <w:rsid w:val="008F2080"/>
    <w:rsid w:val="008F47B5"/>
    <w:rsid w:val="008F4E5A"/>
    <w:rsid w:val="008F6131"/>
    <w:rsid w:val="008F6ACF"/>
    <w:rsid w:val="008F6D0C"/>
    <w:rsid w:val="00902CF1"/>
    <w:rsid w:val="00905095"/>
    <w:rsid w:val="009054BF"/>
    <w:rsid w:val="00905ECC"/>
    <w:rsid w:val="0090653D"/>
    <w:rsid w:val="00910887"/>
    <w:rsid w:val="009132EF"/>
    <w:rsid w:val="009139D2"/>
    <w:rsid w:val="009155B4"/>
    <w:rsid w:val="0091623D"/>
    <w:rsid w:val="00916639"/>
    <w:rsid w:val="00916855"/>
    <w:rsid w:val="00916CDE"/>
    <w:rsid w:val="00917AAB"/>
    <w:rsid w:val="009207BC"/>
    <w:rsid w:val="00922863"/>
    <w:rsid w:val="009252D0"/>
    <w:rsid w:val="009255C7"/>
    <w:rsid w:val="00925B59"/>
    <w:rsid w:val="00925F13"/>
    <w:rsid w:val="00927987"/>
    <w:rsid w:val="00930284"/>
    <w:rsid w:val="0093203C"/>
    <w:rsid w:val="009325D2"/>
    <w:rsid w:val="0093356A"/>
    <w:rsid w:val="009341FD"/>
    <w:rsid w:val="00935D21"/>
    <w:rsid w:val="00935D73"/>
    <w:rsid w:val="009361BB"/>
    <w:rsid w:val="009365CB"/>
    <w:rsid w:val="00936F68"/>
    <w:rsid w:val="00937419"/>
    <w:rsid w:val="009412E5"/>
    <w:rsid w:val="00942170"/>
    <w:rsid w:val="0094234E"/>
    <w:rsid w:val="00943D74"/>
    <w:rsid w:val="00944195"/>
    <w:rsid w:val="0094419E"/>
    <w:rsid w:val="0094509A"/>
    <w:rsid w:val="00945CE4"/>
    <w:rsid w:val="00946F2F"/>
    <w:rsid w:val="00947105"/>
    <w:rsid w:val="009473E8"/>
    <w:rsid w:val="00947CE2"/>
    <w:rsid w:val="00950A28"/>
    <w:rsid w:val="00950AA6"/>
    <w:rsid w:val="009511BE"/>
    <w:rsid w:val="00951406"/>
    <w:rsid w:val="0095256D"/>
    <w:rsid w:val="00952D41"/>
    <w:rsid w:val="00952EF0"/>
    <w:rsid w:val="00953290"/>
    <w:rsid w:val="009541F5"/>
    <w:rsid w:val="0095441F"/>
    <w:rsid w:val="00954C80"/>
    <w:rsid w:val="00955207"/>
    <w:rsid w:val="00956FF2"/>
    <w:rsid w:val="0095703E"/>
    <w:rsid w:val="009577DA"/>
    <w:rsid w:val="00960128"/>
    <w:rsid w:val="00961116"/>
    <w:rsid w:val="00962481"/>
    <w:rsid w:val="00965648"/>
    <w:rsid w:val="0096736E"/>
    <w:rsid w:val="009703E9"/>
    <w:rsid w:val="009704E1"/>
    <w:rsid w:val="0097172A"/>
    <w:rsid w:val="009755D7"/>
    <w:rsid w:val="00975801"/>
    <w:rsid w:val="0097725B"/>
    <w:rsid w:val="00977718"/>
    <w:rsid w:val="009778B3"/>
    <w:rsid w:val="0098184B"/>
    <w:rsid w:val="00981981"/>
    <w:rsid w:val="00981F18"/>
    <w:rsid w:val="009829B6"/>
    <w:rsid w:val="00982B8F"/>
    <w:rsid w:val="00983612"/>
    <w:rsid w:val="009849A1"/>
    <w:rsid w:val="00985A6B"/>
    <w:rsid w:val="00985BBE"/>
    <w:rsid w:val="00985E08"/>
    <w:rsid w:val="00990223"/>
    <w:rsid w:val="00990954"/>
    <w:rsid w:val="0099218E"/>
    <w:rsid w:val="00992562"/>
    <w:rsid w:val="00992DC1"/>
    <w:rsid w:val="00993C0C"/>
    <w:rsid w:val="0099434E"/>
    <w:rsid w:val="00994B61"/>
    <w:rsid w:val="00996CAC"/>
    <w:rsid w:val="00996DCF"/>
    <w:rsid w:val="00997A5D"/>
    <w:rsid w:val="009A0629"/>
    <w:rsid w:val="009A220B"/>
    <w:rsid w:val="009A2E77"/>
    <w:rsid w:val="009A37A3"/>
    <w:rsid w:val="009A5F63"/>
    <w:rsid w:val="009A670E"/>
    <w:rsid w:val="009A674D"/>
    <w:rsid w:val="009A67C1"/>
    <w:rsid w:val="009A74E3"/>
    <w:rsid w:val="009A7888"/>
    <w:rsid w:val="009B14A4"/>
    <w:rsid w:val="009B2A47"/>
    <w:rsid w:val="009B2F94"/>
    <w:rsid w:val="009B3243"/>
    <w:rsid w:val="009B3618"/>
    <w:rsid w:val="009B40D9"/>
    <w:rsid w:val="009B4214"/>
    <w:rsid w:val="009B436B"/>
    <w:rsid w:val="009B4972"/>
    <w:rsid w:val="009B50E4"/>
    <w:rsid w:val="009B52BF"/>
    <w:rsid w:val="009B58E0"/>
    <w:rsid w:val="009B5F9E"/>
    <w:rsid w:val="009B6597"/>
    <w:rsid w:val="009C0230"/>
    <w:rsid w:val="009C0A55"/>
    <w:rsid w:val="009C27EC"/>
    <w:rsid w:val="009C3B63"/>
    <w:rsid w:val="009C4C2C"/>
    <w:rsid w:val="009C5E8F"/>
    <w:rsid w:val="009C61BB"/>
    <w:rsid w:val="009C6AC2"/>
    <w:rsid w:val="009C6E4E"/>
    <w:rsid w:val="009D0B6E"/>
    <w:rsid w:val="009D1BA0"/>
    <w:rsid w:val="009D1C28"/>
    <w:rsid w:val="009D2B26"/>
    <w:rsid w:val="009D5803"/>
    <w:rsid w:val="009D6D32"/>
    <w:rsid w:val="009E0266"/>
    <w:rsid w:val="009E03F1"/>
    <w:rsid w:val="009E05F3"/>
    <w:rsid w:val="009E17A3"/>
    <w:rsid w:val="009E17C0"/>
    <w:rsid w:val="009E23F9"/>
    <w:rsid w:val="009E341C"/>
    <w:rsid w:val="009E3AE3"/>
    <w:rsid w:val="009E4A6E"/>
    <w:rsid w:val="009E4E21"/>
    <w:rsid w:val="009E621D"/>
    <w:rsid w:val="009E7379"/>
    <w:rsid w:val="009E7E03"/>
    <w:rsid w:val="009F16BC"/>
    <w:rsid w:val="009F1EEF"/>
    <w:rsid w:val="009F2859"/>
    <w:rsid w:val="009F2EE7"/>
    <w:rsid w:val="009F2F05"/>
    <w:rsid w:val="009F3DCB"/>
    <w:rsid w:val="009F494A"/>
    <w:rsid w:val="009F5196"/>
    <w:rsid w:val="009F6534"/>
    <w:rsid w:val="009F6C35"/>
    <w:rsid w:val="009F7AD8"/>
    <w:rsid w:val="00A00918"/>
    <w:rsid w:val="00A00BDB"/>
    <w:rsid w:val="00A00C63"/>
    <w:rsid w:val="00A02496"/>
    <w:rsid w:val="00A02AD5"/>
    <w:rsid w:val="00A04A5C"/>
    <w:rsid w:val="00A0547C"/>
    <w:rsid w:val="00A056A5"/>
    <w:rsid w:val="00A06BE7"/>
    <w:rsid w:val="00A07011"/>
    <w:rsid w:val="00A07E49"/>
    <w:rsid w:val="00A107B3"/>
    <w:rsid w:val="00A11BB4"/>
    <w:rsid w:val="00A125BC"/>
    <w:rsid w:val="00A12C59"/>
    <w:rsid w:val="00A132D7"/>
    <w:rsid w:val="00A13592"/>
    <w:rsid w:val="00A13A45"/>
    <w:rsid w:val="00A14E03"/>
    <w:rsid w:val="00A14FC8"/>
    <w:rsid w:val="00A16792"/>
    <w:rsid w:val="00A16CD3"/>
    <w:rsid w:val="00A1747F"/>
    <w:rsid w:val="00A17E68"/>
    <w:rsid w:val="00A2051D"/>
    <w:rsid w:val="00A20BC9"/>
    <w:rsid w:val="00A2186D"/>
    <w:rsid w:val="00A21D56"/>
    <w:rsid w:val="00A2323C"/>
    <w:rsid w:val="00A24D33"/>
    <w:rsid w:val="00A24D89"/>
    <w:rsid w:val="00A24FB8"/>
    <w:rsid w:val="00A259F0"/>
    <w:rsid w:val="00A267CB"/>
    <w:rsid w:val="00A27BF1"/>
    <w:rsid w:val="00A3197B"/>
    <w:rsid w:val="00A331C4"/>
    <w:rsid w:val="00A3351B"/>
    <w:rsid w:val="00A34438"/>
    <w:rsid w:val="00A3538C"/>
    <w:rsid w:val="00A35706"/>
    <w:rsid w:val="00A36B9B"/>
    <w:rsid w:val="00A37B16"/>
    <w:rsid w:val="00A37DAF"/>
    <w:rsid w:val="00A40B8D"/>
    <w:rsid w:val="00A40BE5"/>
    <w:rsid w:val="00A41AEB"/>
    <w:rsid w:val="00A43B20"/>
    <w:rsid w:val="00A4535F"/>
    <w:rsid w:val="00A4611A"/>
    <w:rsid w:val="00A500F5"/>
    <w:rsid w:val="00A507A0"/>
    <w:rsid w:val="00A50C02"/>
    <w:rsid w:val="00A51244"/>
    <w:rsid w:val="00A5149A"/>
    <w:rsid w:val="00A51DB0"/>
    <w:rsid w:val="00A52520"/>
    <w:rsid w:val="00A532BE"/>
    <w:rsid w:val="00A5458B"/>
    <w:rsid w:val="00A55EC1"/>
    <w:rsid w:val="00A57A2E"/>
    <w:rsid w:val="00A60910"/>
    <w:rsid w:val="00A6359C"/>
    <w:rsid w:val="00A642A7"/>
    <w:rsid w:val="00A644DA"/>
    <w:rsid w:val="00A6625A"/>
    <w:rsid w:val="00A669E6"/>
    <w:rsid w:val="00A67161"/>
    <w:rsid w:val="00A70118"/>
    <w:rsid w:val="00A71753"/>
    <w:rsid w:val="00A71E0A"/>
    <w:rsid w:val="00A721DD"/>
    <w:rsid w:val="00A74945"/>
    <w:rsid w:val="00A77704"/>
    <w:rsid w:val="00A778F6"/>
    <w:rsid w:val="00A824BD"/>
    <w:rsid w:val="00A8361D"/>
    <w:rsid w:val="00A83A77"/>
    <w:rsid w:val="00A84B29"/>
    <w:rsid w:val="00A8513B"/>
    <w:rsid w:val="00A85157"/>
    <w:rsid w:val="00A855C4"/>
    <w:rsid w:val="00A8644F"/>
    <w:rsid w:val="00A8696A"/>
    <w:rsid w:val="00A915AF"/>
    <w:rsid w:val="00A9165A"/>
    <w:rsid w:val="00A923EA"/>
    <w:rsid w:val="00A92B45"/>
    <w:rsid w:val="00A93CFC"/>
    <w:rsid w:val="00A94513"/>
    <w:rsid w:val="00A95508"/>
    <w:rsid w:val="00A95D4F"/>
    <w:rsid w:val="00A95DBE"/>
    <w:rsid w:val="00A969A8"/>
    <w:rsid w:val="00A975B6"/>
    <w:rsid w:val="00A97638"/>
    <w:rsid w:val="00AA0589"/>
    <w:rsid w:val="00AA0F34"/>
    <w:rsid w:val="00AA731A"/>
    <w:rsid w:val="00AB0C80"/>
    <w:rsid w:val="00AB2AAA"/>
    <w:rsid w:val="00AB51E1"/>
    <w:rsid w:val="00AB61B4"/>
    <w:rsid w:val="00AB6F8F"/>
    <w:rsid w:val="00AC01F4"/>
    <w:rsid w:val="00AC075C"/>
    <w:rsid w:val="00AC1734"/>
    <w:rsid w:val="00AC1B69"/>
    <w:rsid w:val="00AC47BE"/>
    <w:rsid w:val="00AC52E6"/>
    <w:rsid w:val="00AC6BC6"/>
    <w:rsid w:val="00AC7B7D"/>
    <w:rsid w:val="00AD0269"/>
    <w:rsid w:val="00AD039E"/>
    <w:rsid w:val="00AD0B65"/>
    <w:rsid w:val="00AD2CB2"/>
    <w:rsid w:val="00AD3BBE"/>
    <w:rsid w:val="00AD3DC4"/>
    <w:rsid w:val="00AD41F7"/>
    <w:rsid w:val="00AD4820"/>
    <w:rsid w:val="00AD5204"/>
    <w:rsid w:val="00AD6467"/>
    <w:rsid w:val="00AD7003"/>
    <w:rsid w:val="00AD735A"/>
    <w:rsid w:val="00AE0AF1"/>
    <w:rsid w:val="00AE2214"/>
    <w:rsid w:val="00AE402F"/>
    <w:rsid w:val="00AE4107"/>
    <w:rsid w:val="00AE44DF"/>
    <w:rsid w:val="00AE4DAF"/>
    <w:rsid w:val="00AE51D3"/>
    <w:rsid w:val="00AE6381"/>
    <w:rsid w:val="00AE6EEA"/>
    <w:rsid w:val="00AE71A1"/>
    <w:rsid w:val="00AF21E3"/>
    <w:rsid w:val="00AF64AE"/>
    <w:rsid w:val="00B00391"/>
    <w:rsid w:val="00B01138"/>
    <w:rsid w:val="00B02208"/>
    <w:rsid w:val="00B04CD0"/>
    <w:rsid w:val="00B072CD"/>
    <w:rsid w:val="00B1173B"/>
    <w:rsid w:val="00B11DEC"/>
    <w:rsid w:val="00B13312"/>
    <w:rsid w:val="00B13432"/>
    <w:rsid w:val="00B141BD"/>
    <w:rsid w:val="00B145C0"/>
    <w:rsid w:val="00B165A1"/>
    <w:rsid w:val="00B1715A"/>
    <w:rsid w:val="00B20BF7"/>
    <w:rsid w:val="00B20D19"/>
    <w:rsid w:val="00B21151"/>
    <w:rsid w:val="00B21208"/>
    <w:rsid w:val="00B21A80"/>
    <w:rsid w:val="00B21E14"/>
    <w:rsid w:val="00B220A7"/>
    <w:rsid w:val="00B23554"/>
    <w:rsid w:val="00B23961"/>
    <w:rsid w:val="00B24CB9"/>
    <w:rsid w:val="00B254FB"/>
    <w:rsid w:val="00B25BA2"/>
    <w:rsid w:val="00B26AFE"/>
    <w:rsid w:val="00B27484"/>
    <w:rsid w:val="00B30529"/>
    <w:rsid w:val="00B30D31"/>
    <w:rsid w:val="00B31314"/>
    <w:rsid w:val="00B315E9"/>
    <w:rsid w:val="00B317E2"/>
    <w:rsid w:val="00B33088"/>
    <w:rsid w:val="00B3333D"/>
    <w:rsid w:val="00B347A8"/>
    <w:rsid w:val="00B3559C"/>
    <w:rsid w:val="00B36B3F"/>
    <w:rsid w:val="00B36D3A"/>
    <w:rsid w:val="00B37188"/>
    <w:rsid w:val="00B400AD"/>
    <w:rsid w:val="00B40DA4"/>
    <w:rsid w:val="00B40E77"/>
    <w:rsid w:val="00B40EFE"/>
    <w:rsid w:val="00B40F86"/>
    <w:rsid w:val="00B410BC"/>
    <w:rsid w:val="00B424C9"/>
    <w:rsid w:val="00B4266B"/>
    <w:rsid w:val="00B4370A"/>
    <w:rsid w:val="00B442E9"/>
    <w:rsid w:val="00B45761"/>
    <w:rsid w:val="00B45B9F"/>
    <w:rsid w:val="00B45BA3"/>
    <w:rsid w:val="00B46139"/>
    <w:rsid w:val="00B4638B"/>
    <w:rsid w:val="00B46AF3"/>
    <w:rsid w:val="00B514EA"/>
    <w:rsid w:val="00B51872"/>
    <w:rsid w:val="00B518A5"/>
    <w:rsid w:val="00B5302B"/>
    <w:rsid w:val="00B54564"/>
    <w:rsid w:val="00B5515C"/>
    <w:rsid w:val="00B55C22"/>
    <w:rsid w:val="00B56F4C"/>
    <w:rsid w:val="00B57CC4"/>
    <w:rsid w:val="00B61450"/>
    <w:rsid w:val="00B62799"/>
    <w:rsid w:val="00B64CEE"/>
    <w:rsid w:val="00B65730"/>
    <w:rsid w:val="00B67F72"/>
    <w:rsid w:val="00B70E49"/>
    <w:rsid w:val="00B7173A"/>
    <w:rsid w:val="00B71D24"/>
    <w:rsid w:val="00B729E0"/>
    <w:rsid w:val="00B7413E"/>
    <w:rsid w:val="00B7506F"/>
    <w:rsid w:val="00B754B4"/>
    <w:rsid w:val="00B77DAB"/>
    <w:rsid w:val="00B809D7"/>
    <w:rsid w:val="00B80B54"/>
    <w:rsid w:val="00B82FDE"/>
    <w:rsid w:val="00B838B6"/>
    <w:rsid w:val="00B8521F"/>
    <w:rsid w:val="00B8611C"/>
    <w:rsid w:val="00B8618A"/>
    <w:rsid w:val="00B86258"/>
    <w:rsid w:val="00B9059F"/>
    <w:rsid w:val="00B90CC0"/>
    <w:rsid w:val="00B90D33"/>
    <w:rsid w:val="00B92F35"/>
    <w:rsid w:val="00B93794"/>
    <w:rsid w:val="00B93C7E"/>
    <w:rsid w:val="00B93FD3"/>
    <w:rsid w:val="00B94219"/>
    <w:rsid w:val="00B94248"/>
    <w:rsid w:val="00B94C5C"/>
    <w:rsid w:val="00B95385"/>
    <w:rsid w:val="00B964F8"/>
    <w:rsid w:val="00B978C7"/>
    <w:rsid w:val="00BA0270"/>
    <w:rsid w:val="00BA14FA"/>
    <w:rsid w:val="00BA1541"/>
    <w:rsid w:val="00BA1B99"/>
    <w:rsid w:val="00BA200B"/>
    <w:rsid w:val="00BA4146"/>
    <w:rsid w:val="00BA43EF"/>
    <w:rsid w:val="00BA4C2B"/>
    <w:rsid w:val="00BA5245"/>
    <w:rsid w:val="00BA54CE"/>
    <w:rsid w:val="00BA5825"/>
    <w:rsid w:val="00BA5855"/>
    <w:rsid w:val="00BA661B"/>
    <w:rsid w:val="00BA6953"/>
    <w:rsid w:val="00BA6A94"/>
    <w:rsid w:val="00BB0E17"/>
    <w:rsid w:val="00BB135A"/>
    <w:rsid w:val="00BB1408"/>
    <w:rsid w:val="00BB18AB"/>
    <w:rsid w:val="00BB22C7"/>
    <w:rsid w:val="00BB258D"/>
    <w:rsid w:val="00BB31E0"/>
    <w:rsid w:val="00BB365A"/>
    <w:rsid w:val="00BB3908"/>
    <w:rsid w:val="00BB3E53"/>
    <w:rsid w:val="00BB58A3"/>
    <w:rsid w:val="00BB608B"/>
    <w:rsid w:val="00BB7038"/>
    <w:rsid w:val="00BC0DAF"/>
    <w:rsid w:val="00BC23CC"/>
    <w:rsid w:val="00BC2FE7"/>
    <w:rsid w:val="00BC316B"/>
    <w:rsid w:val="00BC3304"/>
    <w:rsid w:val="00BC3B55"/>
    <w:rsid w:val="00BC68A9"/>
    <w:rsid w:val="00BC6D8F"/>
    <w:rsid w:val="00BC75CD"/>
    <w:rsid w:val="00BD1DD3"/>
    <w:rsid w:val="00BD2553"/>
    <w:rsid w:val="00BD39EC"/>
    <w:rsid w:val="00BD6C96"/>
    <w:rsid w:val="00BD72B0"/>
    <w:rsid w:val="00BE00B3"/>
    <w:rsid w:val="00BE05D1"/>
    <w:rsid w:val="00BE3261"/>
    <w:rsid w:val="00BE38AF"/>
    <w:rsid w:val="00BE456B"/>
    <w:rsid w:val="00BE603A"/>
    <w:rsid w:val="00BE7ED1"/>
    <w:rsid w:val="00BF0409"/>
    <w:rsid w:val="00BF1CAA"/>
    <w:rsid w:val="00BF2A85"/>
    <w:rsid w:val="00BF2F60"/>
    <w:rsid w:val="00BF5725"/>
    <w:rsid w:val="00BF5F92"/>
    <w:rsid w:val="00BF7308"/>
    <w:rsid w:val="00C05765"/>
    <w:rsid w:val="00C0610F"/>
    <w:rsid w:val="00C066B0"/>
    <w:rsid w:val="00C06D96"/>
    <w:rsid w:val="00C103F2"/>
    <w:rsid w:val="00C11097"/>
    <w:rsid w:val="00C12838"/>
    <w:rsid w:val="00C13767"/>
    <w:rsid w:val="00C14028"/>
    <w:rsid w:val="00C14D2F"/>
    <w:rsid w:val="00C15DA0"/>
    <w:rsid w:val="00C166BD"/>
    <w:rsid w:val="00C16E58"/>
    <w:rsid w:val="00C17BD3"/>
    <w:rsid w:val="00C17CFC"/>
    <w:rsid w:val="00C20319"/>
    <w:rsid w:val="00C20F76"/>
    <w:rsid w:val="00C21848"/>
    <w:rsid w:val="00C22287"/>
    <w:rsid w:val="00C22D36"/>
    <w:rsid w:val="00C230C3"/>
    <w:rsid w:val="00C23698"/>
    <w:rsid w:val="00C23E48"/>
    <w:rsid w:val="00C24F7C"/>
    <w:rsid w:val="00C26512"/>
    <w:rsid w:val="00C27824"/>
    <w:rsid w:val="00C300B1"/>
    <w:rsid w:val="00C30BC3"/>
    <w:rsid w:val="00C30C3C"/>
    <w:rsid w:val="00C31454"/>
    <w:rsid w:val="00C31717"/>
    <w:rsid w:val="00C32BDE"/>
    <w:rsid w:val="00C33904"/>
    <w:rsid w:val="00C34742"/>
    <w:rsid w:val="00C34BC5"/>
    <w:rsid w:val="00C35689"/>
    <w:rsid w:val="00C357E4"/>
    <w:rsid w:val="00C35DDE"/>
    <w:rsid w:val="00C40712"/>
    <w:rsid w:val="00C40CED"/>
    <w:rsid w:val="00C4109F"/>
    <w:rsid w:val="00C4132B"/>
    <w:rsid w:val="00C4205B"/>
    <w:rsid w:val="00C4232C"/>
    <w:rsid w:val="00C427BD"/>
    <w:rsid w:val="00C42ACD"/>
    <w:rsid w:val="00C47259"/>
    <w:rsid w:val="00C5214B"/>
    <w:rsid w:val="00C53469"/>
    <w:rsid w:val="00C53E2D"/>
    <w:rsid w:val="00C54C2A"/>
    <w:rsid w:val="00C55D3D"/>
    <w:rsid w:val="00C571C3"/>
    <w:rsid w:val="00C57B14"/>
    <w:rsid w:val="00C6167D"/>
    <w:rsid w:val="00C61D62"/>
    <w:rsid w:val="00C62278"/>
    <w:rsid w:val="00C63879"/>
    <w:rsid w:val="00C639B7"/>
    <w:rsid w:val="00C6462B"/>
    <w:rsid w:val="00C665C3"/>
    <w:rsid w:val="00C668EE"/>
    <w:rsid w:val="00C66EBE"/>
    <w:rsid w:val="00C67567"/>
    <w:rsid w:val="00C7030C"/>
    <w:rsid w:val="00C70359"/>
    <w:rsid w:val="00C71D4C"/>
    <w:rsid w:val="00C751E7"/>
    <w:rsid w:val="00C75C6E"/>
    <w:rsid w:val="00C75F5A"/>
    <w:rsid w:val="00C7744F"/>
    <w:rsid w:val="00C778A3"/>
    <w:rsid w:val="00C77B70"/>
    <w:rsid w:val="00C812A0"/>
    <w:rsid w:val="00C83348"/>
    <w:rsid w:val="00C8385E"/>
    <w:rsid w:val="00C84315"/>
    <w:rsid w:val="00C85FB8"/>
    <w:rsid w:val="00C86D78"/>
    <w:rsid w:val="00C87686"/>
    <w:rsid w:val="00C878A3"/>
    <w:rsid w:val="00C90DDA"/>
    <w:rsid w:val="00C92473"/>
    <w:rsid w:val="00C92952"/>
    <w:rsid w:val="00C93D7E"/>
    <w:rsid w:val="00C94642"/>
    <w:rsid w:val="00C96AC9"/>
    <w:rsid w:val="00C96B97"/>
    <w:rsid w:val="00C96BA8"/>
    <w:rsid w:val="00C973B1"/>
    <w:rsid w:val="00CA160E"/>
    <w:rsid w:val="00CA1938"/>
    <w:rsid w:val="00CA222E"/>
    <w:rsid w:val="00CA2962"/>
    <w:rsid w:val="00CA3E1F"/>
    <w:rsid w:val="00CA4B38"/>
    <w:rsid w:val="00CA5029"/>
    <w:rsid w:val="00CA50AF"/>
    <w:rsid w:val="00CA53F3"/>
    <w:rsid w:val="00CA6170"/>
    <w:rsid w:val="00CA67EC"/>
    <w:rsid w:val="00CA6CF3"/>
    <w:rsid w:val="00CA761D"/>
    <w:rsid w:val="00CB086D"/>
    <w:rsid w:val="00CB08FC"/>
    <w:rsid w:val="00CB240E"/>
    <w:rsid w:val="00CB28D2"/>
    <w:rsid w:val="00CB3695"/>
    <w:rsid w:val="00CB3D69"/>
    <w:rsid w:val="00CB56FB"/>
    <w:rsid w:val="00CB5F7C"/>
    <w:rsid w:val="00CB628C"/>
    <w:rsid w:val="00CC0448"/>
    <w:rsid w:val="00CC0903"/>
    <w:rsid w:val="00CC3A42"/>
    <w:rsid w:val="00CC422A"/>
    <w:rsid w:val="00CC4533"/>
    <w:rsid w:val="00CC49B5"/>
    <w:rsid w:val="00CC4C58"/>
    <w:rsid w:val="00CC556B"/>
    <w:rsid w:val="00CC5B3A"/>
    <w:rsid w:val="00CC6A13"/>
    <w:rsid w:val="00CC6CC0"/>
    <w:rsid w:val="00CC7001"/>
    <w:rsid w:val="00CD124A"/>
    <w:rsid w:val="00CD1880"/>
    <w:rsid w:val="00CD2952"/>
    <w:rsid w:val="00CD5209"/>
    <w:rsid w:val="00CD6561"/>
    <w:rsid w:val="00CD6A75"/>
    <w:rsid w:val="00CE02D5"/>
    <w:rsid w:val="00CE0749"/>
    <w:rsid w:val="00CE10C4"/>
    <w:rsid w:val="00CE11F4"/>
    <w:rsid w:val="00CE2690"/>
    <w:rsid w:val="00CE4481"/>
    <w:rsid w:val="00CE4C3C"/>
    <w:rsid w:val="00CE553E"/>
    <w:rsid w:val="00CE5AE3"/>
    <w:rsid w:val="00CE5CE1"/>
    <w:rsid w:val="00CE6425"/>
    <w:rsid w:val="00CE6CF0"/>
    <w:rsid w:val="00CE7CA4"/>
    <w:rsid w:val="00CF0C51"/>
    <w:rsid w:val="00CF2BD9"/>
    <w:rsid w:val="00CF2DD9"/>
    <w:rsid w:val="00CF3D09"/>
    <w:rsid w:val="00CF3DF5"/>
    <w:rsid w:val="00CF3EA5"/>
    <w:rsid w:val="00CF60C7"/>
    <w:rsid w:val="00CF76CA"/>
    <w:rsid w:val="00D00EFE"/>
    <w:rsid w:val="00D01B12"/>
    <w:rsid w:val="00D021E3"/>
    <w:rsid w:val="00D0267D"/>
    <w:rsid w:val="00D04B40"/>
    <w:rsid w:val="00D06337"/>
    <w:rsid w:val="00D11FCB"/>
    <w:rsid w:val="00D1440F"/>
    <w:rsid w:val="00D1480C"/>
    <w:rsid w:val="00D156BC"/>
    <w:rsid w:val="00D1631B"/>
    <w:rsid w:val="00D1637C"/>
    <w:rsid w:val="00D170CB"/>
    <w:rsid w:val="00D21283"/>
    <w:rsid w:val="00D21ECC"/>
    <w:rsid w:val="00D21FAE"/>
    <w:rsid w:val="00D22046"/>
    <w:rsid w:val="00D2221E"/>
    <w:rsid w:val="00D22DE8"/>
    <w:rsid w:val="00D22E7B"/>
    <w:rsid w:val="00D23389"/>
    <w:rsid w:val="00D238E9"/>
    <w:rsid w:val="00D238F1"/>
    <w:rsid w:val="00D239CB"/>
    <w:rsid w:val="00D24738"/>
    <w:rsid w:val="00D25203"/>
    <w:rsid w:val="00D25AB0"/>
    <w:rsid w:val="00D26479"/>
    <w:rsid w:val="00D27083"/>
    <w:rsid w:val="00D306AF"/>
    <w:rsid w:val="00D3154E"/>
    <w:rsid w:val="00D32B5C"/>
    <w:rsid w:val="00D32C2A"/>
    <w:rsid w:val="00D3384A"/>
    <w:rsid w:val="00D33C8D"/>
    <w:rsid w:val="00D33E8C"/>
    <w:rsid w:val="00D3417E"/>
    <w:rsid w:val="00D3458F"/>
    <w:rsid w:val="00D3499C"/>
    <w:rsid w:val="00D35D37"/>
    <w:rsid w:val="00D36352"/>
    <w:rsid w:val="00D377AE"/>
    <w:rsid w:val="00D40471"/>
    <w:rsid w:val="00D40838"/>
    <w:rsid w:val="00D418C2"/>
    <w:rsid w:val="00D41BFC"/>
    <w:rsid w:val="00D41C79"/>
    <w:rsid w:val="00D41D44"/>
    <w:rsid w:val="00D42A6B"/>
    <w:rsid w:val="00D42B15"/>
    <w:rsid w:val="00D43262"/>
    <w:rsid w:val="00D45E4B"/>
    <w:rsid w:val="00D467E7"/>
    <w:rsid w:val="00D47BA5"/>
    <w:rsid w:val="00D501BB"/>
    <w:rsid w:val="00D51B67"/>
    <w:rsid w:val="00D542C0"/>
    <w:rsid w:val="00D549A8"/>
    <w:rsid w:val="00D5518A"/>
    <w:rsid w:val="00D602A4"/>
    <w:rsid w:val="00D60434"/>
    <w:rsid w:val="00D60ED0"/>
    <w:rsid w:val="00D6115B"/>
    <w:rsid w:val="00D61A65"/>
    <w:rsid w:val="00D631EB"/>
    <w:rsid w:val="00D641DC"/>
    <w:rsid w:val="00D64AF7"/>
    <w:rsid w:val="00D65C1E"/>
    <w:rsid w:val="00D6669C"/>
    <w:rsid w:val="00D67286"/>
    <w:rsid w:val="00D67648"/>
    <w:rsid w:val="00D67C07"/>
    <w:rsid w:val="00D7054B"/>
    <w:rsid w:val="00D714F4"/>
    <w:rsid w:val="00D7233B"/>
    <w:rsid w:val="00D73743"/>
    <w:rsid w:val="00D73A0F"/>
    <w:rsid w:val="00D73C22"/>
    <w:rsid w:val="00D744C7"/>
    <w:rsid w:val="00D756AF"/>
    <w:rsid w:val="00D75DE9"/>
    <w:rsid w:val="00D76837"/>
    <w:rsid w:val="00D77764"/>
    <w:rsid w:val="00D806E3"/>
    <w:rsid w:val="00D81053"/>
    <w:rsid w:val="00D81F1F"/>
    <w:rsid w:val="00D84398"/>
    <w:rsid w:val="00D84B83"/>
    <w:rsid w:val="00D858DA"/>
    <w:rsid w:val="00D877E8"/>
    <w:rsid w:val="00D87BBF"/>
    <w:rsid w:val="00D91671"/>
    <w:rsid w:val="00D92BA8"/>
    <w:rsid w:val="00D93222"/>
    <w:rsid w:val="00D954A6"/>
    <w:rsid w:val="00D95AAE"/>
    <w:rsid w:val="00D96F39"/>
    <w:rsid w:val="00D977EF"/>
    <w:rsid w:val="00DA0673"/>
    <w:rsid w:val="00DA1935"/>
    <w:rsid w:val="00DA20DD"/>
    <w:rsid w:val="00DA2131"/>
    <w:rsid w:val="00DA4943"/>
    <w:rsid w:val="00DA4D36"/>
    <w:rsid w:val="00DA4DD8"/>
    <w:rsid w:val="00DA5AB3"/>
    <w:rsid w:val="00DA75C8"/>
    <w:rsid w:val="00DB1D74"/>
    <w:rsid w:val="00DB2BC7"/>
    <w:rsid w:val="00DB34EF"/>
    <w:rsid w:val="00DB3AE1"/>
    <w:rsid w:val="00DB4218"/>
    <w:rsid w:val="00DB4219"/>
    <w:rsid w:val="00DB461A"/>
    <w:rsid w:val="00DB7A82"/>
    <w:rsid w:val="00DC0179"/>
    <w:rsid w:val="00DC0948"/>
    <w:rsid w:val="00DC0EEC"/>
    <w:rsid w:val="00DC1255"/>
    <w:rsid w:val="00DC2341"/>
    <w:rsid w:val="00DC25DF"/>
    <w:rsid w:val="00DC261B"/>
    <w:rsid w:val="00DC2A70"/>
    <w:rsid w:val="00DC2C6C"/>
    <w:rsid w:val="00DC3B52"/>
    <w:rsid w:val="00DC4FB3"/>
    <w:rsid w:val="00DC5755"/>
    <w:rsid w:val="00DC576B"/>
    <w:rsid w:val="00DC5D5B"/>
    <w:rsid w:val="00DD0B41"/>
    <w:rsid w:val="00DD0BB3"/>
    <w:rsid w:val="00DD0E21"/>
    <w:rsid w:val="00DD245A"/>
    <w:rsid w:val="00DD2BEE"/>
    <w:rsid w:val="00DD2E0F"/>
    <w:rsid w:val="00DD36B1"/>
    <w:rsid w:val="00DD4075"/>
    <w:rsid w:val="00DD6415"/>
    <w:rsid w:val="00DD6CDD"/>
    <w:rsid w:val="00DD6FE8"/>
    <w:rsid w:val="00DE0C61"/>
    <w:rsid w:val="00DE2F92"/>
    <w:rsid w:val="00DE317F"/>
    <w:rsid w:val="00DE38AF"/>
    <w:rsid w:val="00DE3A5D"/>
    <w:rsid w:val="00DE7568"/>
    <w:rsid w:val="00DE7DB6"/>
    <w:rsid w:val="00DF1207"/>
    <w:rsid w:val="00DF2101"/>
    <w:rsid w:val="00DF27E8"/>
    <w:rsid w:val="00DF407A"/>
    <w:rsid w:val="00DF40B4"/>
    <w:rsid w:val="00DF4437"/>
    <w:rsid w:val="00DF490C"/>
    <w:rsid w:val="00DF541B"/>
    <w:rsid w:val="00DF5EF5"/>
    <w:rsid w:val="00DF620C"/>
    <w:rsid w:val="00E004AC"/>
    <w:rsid w:val="00E00B73"/>
    <w:rsid w:val="00E00EF8"/>
    <w:rsid w:val="00E01B9F"/>
    <w:rsid w:val="00E04220"/>
    <w:rsid w:val="00E0605C"/>
    <w:rsid w:val="00E06F39"/>
    <w:rsid w:val="00E07263"/>
    <w:rsid w:val="00E07A67"/>
    <w:rsid w:val="00E10375"/>
    <w:rsid w:val="00E109CB"/>
    <w:rsid w:val="00E114F2"/>
    <w:rsid w:val="00E11FF5"/>
    <w:rsid w:val="00E13438"/>
    <w:rsid w:val="00E134BD"/>
    <w:rsid w:val="00E13DAC"/>
    <w:rsid w:val="00E15411"/>
    <w:rsid w:val="00E157DC"/>
    <w:rsid w:val="00E15EC8"/>
    <w:rsid w:val="00E20AE1"/>
    <w:rsid w:val="00E21A28"/>
    <w:rsid w:val="00E21C4F"/>
    <w:rsid w:val="00E22157"/>
    <w:rsid w:val="00E22E96"/>
    <w:rsid w:val="00E26D80"/>
    <w:rsid w:val="00E26FC5"/>
    <w:rsid w:val="00E270BF"/>
    <w:rsid w:val="00E303A1"/>
    <w:rsid w:val="00E315DB"/>
    <w:rsid w:val="00E31870"/>
    <w:rsid w:val="00E31F29"/>
    <w:rsid w:val="00E324A5"/>
    <w:rsid w:val="00E32701"/>
    <w:rsid w:val="00E334C0"/>
    <w:rsid w:val="00E35B22"/>
    <w:rsid w:val="00E365E5"/>
    <w:rsid w:val="00E36A9B"/>
    <w:rsid w:val="00E37E96"/>
    <w:rsid w:val="00E4065B"/>
    <w:rsid w:val="00E4069C"/>
    <w:rsid w:val="00E40E29"/>
    <w:rsid w:val="00E40F1D"/>
    <w:rsid w:val="00E411F3"/>
    <w:rsid w:val="00E412FA"/>
    <w:rsid w:val="00E41C51"/>
    <w:rsid w:val="00E428A2"/>
    <w:rsid w:val="00E446B3"/>
    <w:rsid w:val="00E44F5E"/>
    <w:rsid w:val="00E450C3"/>
    <w:rsid w:val="00E46D06"/>
    <w:rsid w:val="00E500E7"/>
    <w:rsid w:val="00E507D6"/>
    <w:rsid w:val="00E50A4D"/>
    <w:rsid w:val="00E51011"/>
    <w:rsid w:val="00E51733"/>
    <w:rsid w:val="00E519CF"/>
    <w:rsid w:val="00E520D2"/>
    <w:rsid w:val="00E525BC"/>
    <w:rsid w:val="00E52684"/>
    <w:rsid w:val="00E53E2C"/>
    <w:rsid w:val="00E54F30"/>
    <w:rsid w:val="00E55FBD"/>
    <w:rsid w:val="00E56782"/>
    <w:rsid w:val="00E56C0D"/>
    <w:rsid w:val="00E61358"/>
    <w:rsid w:val="00E6157A"/>
    <w:rsid w:val="00E61E56"/>
    <w:rsid w:val="00E63AB5"/>
    <w:rsid w:val="00E63D72"/>
    <w:rsid w:val="00E649BD"/>
    <w:rsid w:val="00E65873"/>
    <w:rsid w:val="00E65895"/>
    <w:rsid w:val="00E674F9"/>
    <w:rsid w:val="00E679BA"/>
    <w:rsid w:val="00E70BD6"/>
    <w:rsid w:val="00E716E6"/>
    <w:rsid w:val="00E71F83"/>
    <w:rsid w:val="00E72546"/>
    <w:rsid w:val="00E72C2F"/>
    <w:rsid w:val="00E75933"/>
    <w:rsid w:val="00E763CE"/>
    <w:rsid w:val="00E7649D"/>
    <w:rsid w:val="00E81713"/>
    <w:rsid w:val="00E854B1"/>
    <w:rsid w:val="00E85B3D"/>
    <w:rsid w:val="00E85FA6"/>
    <w:rsid w:val="00E86CB5"/>
    <w:rsid w:val="00E91C39"/>
    <w:rsid w:val="00E920BB"/>
    <w:rsid w:val="00E93220"/>
    <w:rsid w:val="00EA0F41"/>
    <w:rsid w:val="00EA158C"/>
    <w:rsid w:val="00EA19E1"/>
    <w:rsid w:val="00EA21C2"/>
    <w:rsid w:val="00EA56E5"/>
    <w:rsid w:val="00EA5DBF"/>
    <w:rsid w:val="00EA76A3"/>
    <w:rsid w:val="00EA789A"/>
    <w:rsid w:val="00EB01F0"/>
    <w:rsid w:val="00EB0967"/>
    <w:rsid w:val="00EB0F6D"/>
    <w:rsid w:val="00EB2EA2"/>
    <w:rsid w:val="00EB3EDE"/>
    <w:rsid w:val="00EB559C"/>
    <w:rsid w:val="00EB573A"/>
    <w:rsid w:val="00EB5A06"/>
    <w:rsid w:val="00EB6019"/>
    <w:rsid w:val="00EB6E89"/>
    <w:rsid w:val="00EB6EA5"/>
    <w:rsid w:val="00EB7711"/>
    <w:rsid w:val="00EC0889"/>
    <w:rsid w:val="00EC19B6"/>
    <w:rsid w:val="00EC2999"/>
    <w:rsid w:val="00EC43CA"/>
    <w:rsid w:val="00EC43FD"/>
    <w:rsid w:val="00EC49CB"/>
    <w:rsid w:val="00EC4F10"/>
    <w:rsid w:val="00EC4F8C"/>
    <w:rsid w:val="00EC50BE"/>
    <w:rsid w:val="00EC543C"/>
    <w:rsid w:val="00EC65F5"/>
    <w:rsid w:val="00ED0E88"/>
    <w:rsid w:val="00ED1BE2"/>
    <w:rsid w:val="00ED224C"/>
    <w:rsid w:val="00ED2BCB"/>
    <w:rsid w:val="00ED3995"/>
    <w:rsid w:val="00ED3AC5"/>
    <w:rsid w:val="00ED60DB"/>
    <w:rsid w:val="00ED6143"/>
    <w:rsid w:val="00ED6478"/>
    <w:rsid w:val="00ED6642"/>
    <w:rsid w:val="00ED6B5F"/>
    <w:rsid w:val="00ED708F"/>
    <w:rsid w:val="00ED70CF"/>
    <w:rsid w:val="00ED776F"/>
    <w:rsid w:val="00ED7F98"/>
    <w:rsid w:val="00EE1247"/>
    <w:rsid w:val="00EE213A"/>
    <w:rsid w:val="00EE21BF"/>
    <w:rsid w:val="00EE2723"/>
    <w:rsid w:val="00EE2B7B"/>
    <w:rsid w:val="00EE30B9"/>
    <w:rsid w:val="00EE504A"/>
    <w:rsid w:val="00EE7114"/>
    <w:rsid w:val="00EE7BA7"/>
    <w:rsid w:val="00EF16AE"/>
    <w:rsid w:val="00EF1C31"/>
    <w:rsid w:val="00EF1DA8"/>
    <w:rsid w:val="00EF2766"/>
    <w:rsid w:val="00EF3AAA"/>
    <w:rsid w:val="00EF3F6A"/>
    <w:rsid w:val="00EF4F3F"/>
    <w:rsid w:val="00EF5BA8"/>
    <w:rsid w:val="00EF62FF"/>
    <w:rsid w:val="00EF7D1D"/>
    <w:rsid w:val="00EF7F81"/>
    <w:rsid w:val="00F004AC"/>
    <w:rsid w:val="00F00FEE"/>
    <w:rsid w:val="00F01092"/>
    <w:rsid w:val="00F012F8"/>
    <w:rsid w:val="00F0185A"/>
    <w:rsid w:val="00F01BF0"/>
    <w:rsid w:val="00F033AF"/>
    <w:rsid w:val="00F03659"/>
    <w:rsid w:val="00F03E66"/>
    <w:rsid w:val="00F040F6"/>
    <w:rsid w:val="00F0428C"/>
    <w:rsid w:val="00F04443"/>
    <w:rsid w:val="00F04C7F"/>
    <w:rsid w:val="00F04F19"/>
    <w:rsid w:val="00F05900"/>
    <w:rsid w:val="00F063D2"/>
    <w:rsid w:val="00F067D3"/>
    <w:rsid w:val="00F115FB"/>
    <w:rsid w:val="00F12963"/>
    <w:rsid w:val="00F15650"/>
    <w:rsid w:val="00F157D2"/>
    <w:rsid w:val="00F16AB8"/>
    <w:rsid w:val="00F20805"/>
    <w:rsid w:val="00F212EC"/>
    <w:rsid w:val="00F23D81"/>
    <w:rsid w:val="00F23EF0"/>
    <w:rsid w:val="00F2470C"/>
    <w:rsid w:val="00F24A91"/>
    <w:rsid w:val="00F256E7"/>
    <w:rsid w:val="00F260CE"/>
    <w:rsid w:val="00F26541"/>
    <w:rsid w:val="00F2737B"/>
    <w:rsid w:val="00F27B8D"/>
    <w:rsid w:val="00F31312"/>
    <w:rsid w:val="00F31F12"/>
    <w:rsid w:val="00F3274C"/>
    <w:rsid w:val="00F33E5B"/>
    <w:rsid w:val="00F36090"/>
    <w:rsid w:val="00F36127"/>
    <w:rsid w:val="00F364FC"/>
    <w:rsid w:val="00F36B9B"/>
    <w:rsid w:val="00F3740D"/>
    <w:rsid w:val="00F403D6"/>
    <w:rsid w:val="00F41028"/>
    <w:rsid w:val="00F41641"/>
    <w:rsid w:val="00F42931"/>
    <w:rsid w:val="00F42D18"/>
    <w:rsid w:val="00F43E19"/>
    <w:rsid w:val="00F43E9F"/>
    <w:rsid w:val="00F4403C"/>
    <w:rsid w:val="00F44C0C"/>
    <w:rsid w:val="00F4562D"/>
    <w:rsid w:val="00F45EC7"/>
    <w:rsid w:val="00F4687A"/>
    <w:rsid w:val="00F5036E"/>
    <w:rsid w:val="00F521C7"/>
    <w:rsid w:val="00F54293"/>
    <w:rsid w:val="00F54646"/>
    <w:rsid w:val="00F558A3"/>
    <w:rsid w:val="00F55FD2"/>
    <w:rsid w:val="00F60C7F"/>
    <w:rsid w:val="00F620DC"/>
    <w:rsid w:val="00F622DD"/>
    <w:rsid w:val="00F633B4"/>
    <w:rsid w:val="00F6454D"/>
    <w:rsid w:val="00F64B4F"/>
    <w:rsid w:val="00F65258"/>
    <w:rsid w:val="00F6529F"/>
    <w:rsid w:val="00F679CA"/>
    <w:rsid w:val="00F67A8E"/>
    <w:rsid w:val="00F67D38"/>
    <w:rsid w:val="00F709D4"/>
    <w:rsid w:val="00F743B9"/>
    <w:rsid w:val="00F74A9B"/>
    <w:rsid w:val="00F75411"/>
    <w:rsid w:val="00F7613E"/>
    <w:rsid w:val="00F77113"/>
    <w:rsid w:val="00F8007F"/>
    <w:rsid w:val="00F808C4"/>
    <w:rsid w:val="00F82029"/>
    <w:rsid w:val="00F836D2"/>
    <w:rsid w:val="00F83F19"/>
    <w:rsid w:val="00F84733"/>
    <w:rsid w:val="00F84E6A"/>
    <w:rsid w:val="00F84FBA"/>
    <w:rsid w:val="00F85787"/>
    <w:rsid w:val="00F8586A"/>
    <w:rsid w:val="00F8595B"/>
    <w:rsid w:val="00F85D56"/>
    <w:rsid w:val="00F85DC2"/>
    <w:rsid w:val="00F862C9"/>
    <w:rsid w:val="00F90147"/>
    <w:rsid w:val="00F901A6"/>
    <w:rsid w:val="00F94055"/>
    <w:rsid w:val="00F9539D"/>
    <w:rsid w:val="00F95669"/>
    <w:rsid w:val="00F9611C"/>
    <w:rsid w:val="00FA095D"/>
    <w:rsid w:val="00FA3D0A"/>
    <w:rsid w:val="00FA495E"/>
    <w:rsid w:val="00FA5A61"/>
    <w:rsid w:val="00FA5C90"/>
    <w:rsid w:val="00FA7FF5"/>
    <w:rsid w:val="00FB1F33"/>
    <w:rsid w:val="00FB2486"/>
    <w:rsid w:val="00FB3BD4"/>
    <w:rsid w:val="00FB405D"/>
    <w:rsid w:val="00FB4A46"/>
    <w:rsid w:val="00FB4B75"/>
    <w:rsid w:val="00FB506F"/>
    <w:rsid w:val="00FB547E"/>
    <w:rsid w:val="00FB5A47"/>
    <w:rsid w:val="00FB6207"/>
    <w:rsid w:val="00FB6BC8"/>
    <w:rsid w:val="00FC00A4"/>
    <w:rsid w:val="00FC12D5"/>
    <w:rsid w:val="00FC2EA0"/>
    <w:rsid w:val="00FC3326"/>
    <w:rsid w:val="00FC3579"/>
    <w:rsid w:val="00FC383F"/>
    <w:rsid w:val="00FC5A7F"/>
    <w:rsid w:val="00FC6BB5"/>
    <w:rsid w:val="00FC6C47"/>
    <w:rsid w:val="00FC70A9"/>
    <w:rsid w:val="00FC71DD"/>
    <w:rsid w:val="00FC739C"/>
    <w:rsid w:val="00FD03A9"/>
    <w:rsid w:val="00FD0D0E"/>
    <w:rsid w:val="00FD1560"/>
    <w:rsid w:val="00FD3EB7"/>
    <w:rsid w:val="00FD42D2"/>
    <w:rsid w:val="00FD4A61"/>
    <w:rsid w:val="00FD530F"/>
    <w:rsid w:val="00FD58B6"/>
    <w:rsid w:val="00FE0209"/>
    <w:rsid w:val="00FE0B9C"/>
    <w:rsid w:val="00FE0CE9"/>
    <w:rsid w:val="00FE0EA5"/>
    <w:rsid w:val="00FE131E"/>
    <w:rsid w:val="00FE22C4"/>
    <w:rsid w:val="00FE2CFD"/>
    <w:rsid w:val="00FE3212"/>
    <w:rsid w:val="00FE3FF1"/>
    <w:rsid w:val="00FE5570"/>
    <w:rsid w:val="00FE574C"/>
    <w:rsid w:val="00FE5C39"/>
    <w:rsid w:val="00FE6B3E"/>
    <w:rsid w:val="00FE7C0B"/>
    <w:rsid w:val="00FF0E9F"/>
    <w:rsid w:val="00FF1B54"/>
    <w:rsid w:val="00FF3219"/>
    <w:rsid w:val="00FF3CE6"/>
    <w:rsid w:val="00FF4003"/>
    <w:rsid w:val="00FF4026"/>
    <w:rsid w:val="00FF44DA"/>
    <w:rsid w:val="00FF4725"/>
    <w:rsid w:val="00FF5079"/>
    <w:rsid w:val="00FF56CA"/>
    <w:rsid w:val="00FF63EC"/>
    <w:rsid w:val="00FF728C"/>
    <w:rsid w:val="00FF7DA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10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Naslov1">
    <w:name w:val="heading 1"/>
    <w:basedOn w:val="Normal"/>
    <w:link w:val="Naslov1Char"/>
    <w:uiPriority w:val="9"/>
    <w:qFormat/>
    <w:rsid w:val="00C22D3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hr-HR"/>
    </w:rPr>
  </w:style>
  <w:style w:type="paragraph" w:styleId="Naslov2">
    <w:name w:val="heading 2"/>
    <w:basedOn w:val="Normal"/>
    <w:next w:val="Normal"/>
    <w:link w:val="Naslov2Char"/>
    <w:uiPriority w:val="9"/>
    <w:unhideWhenUsed/>
    <w:qFormat/>
    <w:rsid w:val="000A3AA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ormal"/>
    <w:next w:val="Normal"/>
    <w:link w:val="Naslov3Char"/>
    <w:unhideWhenUsed/>
    <w:qFormat/>
    <w:rsid w:val="00711733"/>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qFormat/>
    <w:rsid w:val="00364F06"/>
    <w:pPr>
      <w:keepNext/>
      <w:spacing w:before="240" w:after="60" w:line="240" w:lineRule="auto"/>
      <w:outlineLvl w:val="3"/>
    </w:pPr>
    <w:rPr>
      <w:rFonts w:ascii="Calibri" w:eastAsia="Times New Roman" w:hAnsi="Calibri" w:cs="Times New Roman"/>
      <w:b/>
      <w:bCs/>
      <w:sz w:val="28"/>
      <w:szCs w:val="28"/>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tandardWeb">
    <w:name w:val="Normal (Web)"/>
    <w:basedOn w:val="Normal"/>
    <w:unhideWhenUsed/>
    <w:rsid w:val="00A07011"/>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apple-converted-space">
    <w:name w:val="apple-converted-space"/>
    <w:basedOn w:val="Zadanifontodlomka"/>
    <w:rsid w:val="00A07011"/>
  </w:style>
  <w:style w:type="character" w:styleId="Hiperveza">
    <w:name w:val="Hyperlink"/>
    <w:basedOn w:val="Zadanifontodlomka"/>
    <w:unhideWhenUsed/>
    <w:rsid w:val="00A07011"/>
    <w:rPr>
      <w:color w:val="0000FF"/>
      <w:u w:val="single"/>
    </w:rPr>
  </w:style>
  <w:style w:type="paragraph" w:styleId="Tekstbalonia">
    <w:name w:val="Balloon Text"/>
    <w:basedOn w:val="Normal"/>
    <w:link w:val="TekstbaloniaChar"/>
    <w:semiHidden/>
    <w:unhideWhenUsed/>
    <w:rsid w:val="00F012F8"/>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012F8"/>
    <w:rPr>
      <w:rFonts w:ascii="Tahoma" w:hAnsi="Tahoma" w:cs="Tahoma"/>
      <w:sz w:val="16"/>
      <w:szCs w:val="16"/>
    </w:rPr>
  </w:style>
  <w:style w:type="paragraph" w:styleId="Odlomakpopisa">
    <w:name w:val="List Paragraph"/>
    <w:basedOn w:val="Normal"/>
    <w:uiPriority w:val="34"/>
    <w:qFormat/>
    <w:rsid w:val="00606E3F"/>
    <w:pPr>
      <w:ind w:left="720"/>
      <w:contextualSpacing/>
    </w:pPr>
  </w:style>
  <w:style w:type="paragraph" w:styleId="Zaglavlje">
    <w:name w:val="header"/>
    <w:basedOn w:val="Normal"/>
    <w:link w:val="ZaglavljeChar"/>
    <w:uiPriority w:val="99"/>
    <w:unhideWhenUsed/>
    <w:rsid w:val="003D2FC1"/>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D2FC1"/>
  </w:style>
  <w:style w:type="paragraph" w:styleId="Podnoje">
    <w:name w:val="footer"/>
    <w:basedOn w:val="Normal"/>
    <w:link w:val="PodnojeChar"/>
    <w:uiPriority w:val="99"/>
    <w:unhideWhenUsed/>
    <w:rsid w:val="003D2FC1"/>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D2FC1"/>
  </w:style>
  <w:style w:type="paragraph" w:styleId="Tekstfusnote">
    <w:name w:val="footnote text"/>
    <w:basedOn w:val="Normal"/>
    <w:link w:val="TekstfusnoteChar"/>
    <w:uiPriority w:val="99"/>
    <w:semiHidden/>
    <w:rsid w:val="006714BB"/>
    <w:pPr>
      <w:spacing w:after="0" w:line="240" w:lineRule="auto"/>
    </w:pPr>
    <w:rPr>
      <w:rFonts w:ascii="Times New Roman" w:eastAsia="Times New Roman" w:hAnsi="Times New Roman" w:cs="Times New Roman"/>
      <w:sz w:val="20"/>
      <w:szCs w:val="20"/>
      <w:lang w:eastAsia="hr-HR"/>
    </w:rPr>
  </w:style>
  <w:style w:type="character" w:customStyle="1" w:styleId="TekstfusnoteChar">
    <w:name w:val="Tekst fusnote Char"/>
    <w:basedOn w:val="Zadanifontodlomka"/>
    <w:link w:val="Tekstfusnote"/>
    <w:uiPriority w:val="99"/>
    <w:semiHidden/>
    <w:rsid w:val="006714BB"/>
    <w:rPr>
      <w:rFonts w:ascii="Times New Roman" w:eastAsia="Times New Roman" w:hAnsi="Times New Roman" w:cs="Times New Roman"/>
      <w:sz w:val="20"/>
      <w:szCs w:val="20"/>
      <w:lang w:eastAsia="hr-HR"/>
    </w:rPr>
  </w:style>
  <w:style w:type="character" w:styleId="Referencafusnote">
    <w:name w:val="footnote reference"/>
    <w:basedOn w:val="Zadanifontodlomka"/>
    <w:uiPriority w:val="99"/>
    <w:semiHidden/>
    <w:rsid w:val="006714BB"/>
    <w:rPr>
      <w:vertAlign w:val="superscript"/>
    </w:rPr>
  </w:style>
  <w:style w:type="table" w:styleId="Reetkatablice">
    <w:name w:val="Table Grid"/>
    <w:basedOn w:val="Obinatablica"/>
    <w:uiPriority w:val="59"/>
    <w:rsid w:val="006714BB"/>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krajnjebiljeke">
    <w:name w:val="endnote text"/>
    <w:basedOn w:val="Normal"/>
    <w:link w:val="TekstkrajnjebiljekeChar"/>
    <w:uiPriority w:val="99"/>
    <w:semiHidden/>
    <w:unhideWhenUsed/>
    <w:rsid w:val="007131E1"/>
    <w:pPr>
      <w:spacing w:after="0" w:line="240" w:lineRule="auto"/>
    </w:pPr>
    <w:rPr>
      <w:sz w:val="20"/>
      <w:szCs w:val="20"/>
    </w:rPr>
  </w:style>
  <w:style w:type="character" w:customStyle="1" w:styleId="TekstkrajnjebiljekeChar">
    <w:name w:val="Tekst krajnje bilješke Char"/>
    <w:basedOn w:val="Zadanifontodlomka"/>
    <w:link w:val="Tekstkrajnjebiljeke"/>
    <w:uiPriority w:val="99"/>
    <w:semiHidden/>
    <w:rsid w:val="007131E1"/>
    <w:rPr>
      <w:sz w:val="20"/>
      <w:szCs w:val="20"/>
    </w:rPr>
  </w:style>
  <w:style w:type="character" w:styleId="Referencakrajnjebiljeke">
    <w:name w:val="endnote reference"/>
    <w:basedOn w:val="Zadanifontodlomka"/>
    <w:uiPriority w:val="99"/>
    <w:semiHidden/>
    <w:unhideWhenUsed/>
    <w:rsid w:val="007131E1"/>
    <w:rPr>
      <w:vertAlign w:val="superscript"/>
    </w:rPr>
  </w:style>
  <w:style w:type="character" w:customStyle="1" w:styleId="xclaimclass">
    <w:name w:val="xclaimclass"/>
    <w:basedOn w:val="Zadanifontodlomka"/>
    <w:rsid w:val="00FE6B3E"/>
  </w:style>
  <w:style w:type="paragraph" w:customStyle="1" w:styleId="Arial">
    <w:name w:val="Arial"/>
    <w:basedOn w:val="Normal"/>
    <w:rsid w:val="00590C62"/>
    <w:pPr>
      <w:spacing w:after="120" w:line="360" w:lineRule="auto"/>
      <w:jc w:val="both"/>
    </w:pPr>
    <w:rPr>
      <w:rFonts w:ascii="Arial" w:eastAsia="Times New Roman" w:hAnsi="Arial" w:cs="Times New Roman"/>
      <w:lang w:val="sk-SK" w:eastAsia="sk-SK"/>
    </w:rPr>
  </w:style>
  <w:style w:type="character" w:customStyle="1" w:styleId="addmd1">
    <w:name w:val="addmd1"/>
    <w:basedOn w:val="Zadanifontodlomka"/>
    <w:rsid w:val="00AE0AF1"/>
    <w:rPr>
      <w:sz w:val="20"/>
      <w:szCs w:val="20"/>
    </w:rPr>
  </w:style>
  <w:style w:type="character" w:customStyle="1" w:styleId="contributornametrigger">
    <w:name w:val="contributornametrigger"/>
    <w:basedOn w:val="Zadanifontodlomka"/>
    <w:rsid w:val="00AE0AF1"/>
  </w:style>
  <w:style w:type="paragraph" w:customStyle="1" w:styleId="fighead">
    <w:name w:val="fighead"/>
    <w:basedOn w:val="Normal"/>
    <w:rsid w:val="00F16AB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cos-footnote">
    <w:name w:val="cos-footnote"/>
    <w:basedOn w:val="Normal"/>
    <w:rsid w:val="00F16AB8"/>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Naslov1Char">
    <w:name w:val="Naslov 1 Char"/>
    <w:basedOn w:val="Zadanifontodlomka"/>
    <w:link w:val="Naslov1"/>
    <w:uiPriority w:val="9"/>
    <w:rsid w:val="00C22D36"/>
    <w:rPr>
      <w:rFonts w:ascii="Times New Roman" w:eastAsia="Times New Roman" w:hAnsi="Times New Roman" w:cs="Times New Roman"/>
      <w:b/>
      <w:bCs/>
      <w:kern w:val="36"/>
      <w:sz w:val="48"/>
      <w:szCs w:val="48"/>
      <w:lang w:eastAsia="hr-HR"/>
    </w:rPr>
  </w:style>
  <w:style w:type="character" w:styleId="SlijeenaHiperveza">
    <w:name w:val="FollowedHyperlink"/>
    <w:basedOn w:val="Zadanifontodlomka"/>
    <w:uiPriority w:val="99"/>
    <w:semiHidden/>
    <w:unhideWhenUsed/>
    <w:rsid w:val="00141670"/>
    <w:rPr>
      <w:color w:val="800080" w:themeColor="followedHyperlink"/>
      <w:u w:val="single"/>
    </w:rPr>
  </w:style>
  <w:style w:type="paragraph" w:styleId="Tijeloteksta2">
    <w:name w:val="Body Text 2"/>
    <w:basedOn w:val="Normal"/>
    <w:link w:val="Tijeloteksta2Char"/>
    <w:uiPriority w:val="99"/>
    <w:unhideWhenUsed/>
    <w:rsid w:val="00C6167D"/>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ijeloteksta2Char">
    <w:name w:val="Tijelo teksta 2 Char"/>
    <w:basedOn w:val="Zadanifontodlomka"/>
    <w:link w:val="Tijeloteksta2"/>
    <w:uiPriority w:val="99"/>
    <w:rsid w:val="00C6167D"/>
    <w:rPr>
      <w:rFonts w:ascii="Times New Roman" w:eastAsia="Times New Roman" w:hAnsi="Times New Roman" w:cs="Times New Roman"/>
      <w:sz w:val="24"/>
      <w:szCs w:val="24"/>
      <w:lang w:eastAsia="hr-HR"/>
    </w:rPr>
  </w:style>
  <w:style w:type="character" w:styleId="Naglaeno">
    <w:name w:val="Strong"/>
    <w:basedOn w:val="Zadanifontodlomka"/>
    <w:uiPriority w:val="22"/>
    <w:qFormat/>
    <w:rsid w:val="00EE213A"/>
    <w:rPr>
      <w:b/>
      <w:bCs/>
    </w:rPr>
  </w:style>
  <w:style w:type="paragraph" w:customStyle="1" w:styleId="Default">
    <w:name w:val="Default"/>
    <w:rsid w:val="00B1173B"/>
    <w:pPr>
      <w:autoSpaceDE w:val="0"/>
      <w:autoSpaceDN w:val="0"/>
      <w:adjustRightInd w:val="0"/>
      <w:spacing w:after="0" w:line="240" w:lineRule="auto"/>
    </w:pPr>
    <w:rPr>
      <w:rFonts w:ascii="Verdana" w:eastAsia="Times New Roman" w:hAnsi="Verdana" w:cs="Verdana"/>
      <w:color w:val="000000"/>
      <w:sz w:val="24"/>
      <w:szCs w:val="24"/>
      <w:lang w:eastAsia="hr-HR"/>
    </w:rPr>
  </w:style>
  <w:style w:type="paragraph" w:styleId="Tijeloteksta">
    <w:name w:val="Body Text"/>
    <w:basedOn w:val="Normal"/>
    <w:link w:val="TijelotekstaChar"/>
    <w:uiPriority w:val="99"/>
    <w:unhideWhenUsed/>
    <w:rsid w:val="00C23E48"/>
    <w:pPr>
      <w:spacing w:after="120"/>
    </w:pPr>
  </w:style>
  <w:style w:type="character" w:customStyle="1" w:styleId="TijelotekstaChar">
    <w:name w:val="Tijelo teksta Char"/>
    <w:basedOn w:val="Zadanifontodlomka"/>
    <w:link w:val="Tijeloteksta"/>
    <w:uiPriority w:val="99"/>
    <w:rsid w:val="00C23E48"/>
  </w:style>
  <w:style w:type="character" w:customStyle="1" w:styleId="podnaslov1">
    <w:name w:val="podnaslov1"/>
    <w:basedOn w:val="Zadanifontodlomka"/>
    <w:rsid w:val="00D3154E"/>
    <w:rPr>
      <w:rFonts w:ascii="Verdana" w:hAnsi="Verdana" w:hint="default"/>
      <w:b/>
      <w:bCs/>
      <w:color w:val="000080"/>
      <w:sz w:val="18"/>
      <w:szCs w:val="18"/>
    </w:rPr>
  </w:style>
  <w:style w:type="character" w:customStyle="1" w:styleId="Naslov3Char">
    <w:name w:val="Naslov 3 Char"/>
    <w:basedOn w:val="Zadanifontodlomka"/>
    <w:link w:val="Naslov3"/>
    <w:uiPriority w:val="9"/>
    <w:rsid w:val="00711733"/>
    <w:rPr>
      <w:rFonts w:asciiTheme="majorHAnsi" w:eastAsiaTheme="majorEastAsia" w:hAnsiTheme="majorHAnsi" w:cstheme="majorBidi"/>
      <w:b/>
      <w:bCs/>
      <w:color w:val="4F81BD" w:themeColor="accent1"/>
    </w:rPr>
  </w:style>
  <w:style w:type="character" w:customStyle="1" w:styleId="Naslov2Char">
    <w:name w:val="Naslov 2 Char"/>
    <w:basedOn w:val="Zadanifontodlomka"/>
    <w:link w:val="Naslov2"/>
    <w:uiPriority w:val="9"/>
    <w:rsid w:val="000A3AA9"/>
    <w:rPr>
      <w:rFonts w:asciiTheme="majorHAnsi" w:eastAsiaTheme="majorEastAsia" w:hAnsiTheme="majorHAnsi" w:cstheme="majorBidi"/>
      <w:b/>
      <w:bCs/>
      <w:color w:val="4F81BD" w:themeColor="accent1"/>
      <w:sz w:val="26"/>
      <w:szCs w:val="26"/>
    </w:rPr>
  </w:style>
  <w:style w:type="character" w:customStyle="1" w:styleId="Naslov4Char">
    <w:name w:val="Naslov 4 Char"/>
    <w:basedOn w:val="Zadanifontodlomka"/>
    <w:link w:val="Naslov4"/>
    <w:rsid w:val="00364F06"/>
    <w:rPr>
      <w:rFonts w:ascii="Calibri" w:eastAsia="Times New Roman" w:hAnsi="Calibri" w:cs="Times New Roman"/>
      <w:b/>
      <w:bCs/>
      <w:sz w:val="28"/>
      <w:szCs w:val="28"/>
      <w:lang w:eastAsia="hr-HR"/>
    </w:rPr>
  </w:style>
  <w:style w:type="paragraph" w:styleId="Obinitekst">
    <w:name w:val="Plain Text"/>
    <w:basedOn w:val="Normal"/>
    <w:link w:val="ObinitekstChar"/>
    <w:rsid w:val="00416359"/>
    <w:pPr>
      <w:spacing w:after="0" w:line="240" w:lineRule="auto"/>
    </w:pPr>
    <w:rPr>
      <w:rFonts w:ascii="Courier New" w:eastAsia="Times New Roman" w:hAnsi="Courier New" w:cs="Courier New"/>
      <w:sz w:val="20"/>
      <w:szCs w:val="20"/>
      <w:lang w:eastAsia="hr-HR"/>
    </w:rPr>
  </w:style>
  <w:style w:type="character" w:customStyle="1" w:styleId="ObinitekstChar">
    <w:name w:val="Obični tekst Char"/>
    <w:basedOn w:val="Zadanifontodlomka"/>
    <w:link w:val="Obinitekst"/>
    <w:rsid w:val="00416359"/>
    <w:rPr>
      <w:rFonts w:ascii="Courier New" w:eastAsia="Times New Roman" w:hAnsi="Courier New" w:cs="Courier New"/>
      <w:sz w:val="20"/>
      <w:szCs w:val="20"/>
      <w:lang w:eastAsia="hr-HR"/>
    </w:rPr>
  </w:style>
  <w:style w:type="character" w:styleId="Brojstranice">
    <w:name w:val="page number"/>
    <w:basedOn w:val="Zadanifontodlomka"/>
    <w:rsid w:val="00416359"/>
  </w:style>
  <w:style w:type="paragraph" w:styleId="Tekstkomentara">
    <w:name w:val="annotation text"/>
    <w:basedOn w:val="Normal"/>
    <w:link w:val="TekstkomentaraChar"/>
    <w:uiPriority w:val="99"/>
    <w:unhideWhenUsed/>
    <w:rsid w:val="00416359"/>
    <w:pPr>
      <w:spacing w:after="0" w:line="240" w:lineRule="auto"/>
    </w:pPr>
    <w:rPr>
      <w:rFonts w:ascii="Times New Roman" w:eastAsia="Times New Roman" w:hAnsi="Times New Roman" w:cs="Times New Roman"/>
      <w:sz w:val="20"/>
      <w:szCs w:val="20"/>
      <w:lang w:eastAsia="hr-HR"/>
    </w:rPr>
  </w:style>
  <w:style w:type="character" w:customStyle="1" w:styleId="TekstkomentaraChar">
    <w:name w:val="Tekst komentara Char"/>
    <w:basedOn w:val="Zadanifontodlomka"/>
    <w:link w:val="Tekstkomentara"/>
    <w:uiPriority w:val="99"/>
    <w:rsid w:val="00416359"/>
    <w:rPr>
      <w:rFonts w:ascii="Times New Roman" w:eastAsia="Times New Roman" w:hAnsi="Times New Roman" w:cs="Times New Roman"/>
      <w:sz w:val="20"/>
      <w:szCs w:val="20"/>
      <w:lang w:eastAsia="hr-HR"/>
    </w:rPr>
  </w:style>
  <w:style w:type="paragraph" w:customStyle="1" w:styleId="t-9-8">
    <w:name w:val="t-9-8"/>
    <w:basedOn w:val="Normal"/>
    <w:rsid w:val="00416359"/>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Istaknuto">
    <w:name w:val="Emphasis"/>
    <w:basedOn w:val="Zadanifontodlomka"/>
    <w:uiPriority w:val="20"/>
    <w:qFormat/>
    <w:rsid w:val="00F42D18"/>
    <w:rPr>
      <w:i/>
      <w:iCs/>
    </w:rPr>
  </w:style>
  <w:style w:type="character" w:customStyle="1" w:styleId="a-size-large">
    <w:name w:val="a-size-large"/>
    <w:basedOn w:val="Zadanifontodlomka"/>
    <w:rsid w:val="00A02496"/>
  </w:style>
  <w:style w:type="character" w:customStyle="1" w:styleId="podnaslov">
    <w:name w:val="podnaslov"/>
    <w:basedOn w:val="Zadanifontodlomka"/>
    <w:rsid w:val="005077FD"/>
  </w:style>
  <w:style w:type="character" w:customStyle="1" w:styleId="calcvalue">
    <w:name w:val="calcvalue"/>
    <w:basedOn w:val="Zadanifontodlomka"/>
    <w:rsid w:val="00E3187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Naslov1">
    <w:name w:val="heading 1"/>
    <w:basedOn w:val="Normal"/>
    <w:link w:val="Naslov1Char"/>
    <w:uiPriority w:val="9"/>
    <w:qFormat/>
    <w:rsid w:val="00C22D3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hr-HR"/>
    </w:rPr>
  </w:style>
  <w:style w:type="paragraph" w:styleId="Naslov2">
    <w:name w:val="heading 2"/>
    <w:basedOn w:val="Normal"/>
    <w:next w:val="Normal"/>
    <w:link w:val="Naslov2Char"/>
    <w:uiPriority w:val="9"/>
    <w:unhideWhenUsed/>
    <w:qFormat/>
    <w:rsid w:val="000A3AA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ormal"/>
    <w:next w:val="Normal"/>
    <w:link w:val="Naslov3Char"/>
    <w:unhideWhenUsed/>
    <w:qFormat/>
    <w:rsid w:val="00711733"/>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qFormat/>
    <w:rsid w:val="00364F06"/>
    <w:pPr>
      <w:keepNext/>
      <w:spacing w:before="240" w:after="60" w:line="240" w:lineRule="auto"/>
      <w:outlineLvl w:val="3"/>
    </w:pPr>
    <w:rPr>
      <w:rFonts w:ascii="Calibri" w:eastAsia="Times New Roman" w:hAnsi="Calibri" w:cs="Times New Roman"/>
      <w:b/>
      <w:bCs/>
      <w:sz w:val="28"/>
      <w:szCs w:val="28"/>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tandardWeb">
    <w:name w:val="Normal (Web)"/>
    <w:basedOn w:val="Normal"/>
    <w:unhideWhenUsed/>
    <w:rsid w:val="00A07011"/>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apple-converted-space">
    <w:name w:val="apple-converted-space"/>
    <w:basedOn w:val="Zadanifontodlomka"/>
    <w:rsid w:val="00A07011"/>
  </w:style>
  <w:style w:type="character" w:styleId="Hiperveza">
    <w:name w:val="Hyperlink"/>
    <w:basedOn w:val="Zadanifontodlomka"/>
    <w:unhideWhenUsed/>
    <w:rsid w:val="00A07011"/>
    <w:rPr>
      <w:color w:val="0000FF"/>
      <w:u w:val="single"/>
    </w:rPr>
  </w:style>
  <w:style w:type="paragraph" w:styleId="Tekstbalonia">
    <w:name w:val="Balloon Text"/>
    <w:basedOn w:val="Normal"/>
    <w:link w:val="TekstbaloniaChar"/>
    <w:semiHidden/>
    <w:unhideWhenUsed/>
    <w:rsid w:val="00F012F8"/>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012F8"/>
    <w:rPr>
      <w:rFonts w:ascii="Tahoma" w:hAnsi="Tahoma" w:cs="Tahoma"/>
      <w:sz w:val="16"/>
      <w:szCs w:val="16"/>
    </w:rPr>
  </w:style>
  <w:style w:type="paragraph" w:styleId="Odlomakpopisa">
    <w:name w:val="List Paragraph"/>
    <w:basedOn w:val="Normal"/>
    <w:uiPriority w:val="34"/>
    <w:qFormat/>
    <w:rsid w:val="00606E3F"/>
    <w:pPr>
      <w:ind w:left="720"/>
      <w:contextualSpacing/>
    </w:pPr>
  </w:style>
  <w:style w:type="paragraph" w:styleId="Zaglavlje">
    <w:name w:val="header"/>
    <w:basedOn w:val="Normal"/>
    <w:link w:val="ZaglavljeChar"/>
    <w:uiPriority w:val="99"/>
    <w:unhideWhenUsed/>
    <w:rsid w:val="003D2FC1"/>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D2FC1"/>
  </w:style>
  <w:style w:type="paragraph" w:styleId="Podnoje">
    <w:name w:val="footer"/>
    <w:basedOn w:val="Normal"/>
    <w:link w:val="PodnojeChar"/>
    <w:uiPriority w:val="99"/>
    <w:unhideWhenUsed/>
    <w:rsid w:val="003D2FC1"/>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D2FC1"/>
  </w:style>
  <w:style w:type="paragraph" w:styleId="Tekstfusnote">
    <w:name w:val="footnote text"/>
    <w:basedOn w:val="Normal"/>
    <w:link w:val="TekstfusnoteChar"/>
    <w:uiPriority w:val="99"/>
    <w:semiHidden/>
    <w:rsid w:val="006714BB"/>
    <w:pPr>
      <w:spacing w:after="0" w:line="240" w:lineRule="auto"/>
    </w:pPr>
    <w:rPr>
      <w:rFonts w:ascii="Times New Roman" w:eastAsia="Times New Roman" w:hAnsi="Times New Roman" w:cs="Times New Roman"/>
      <w:sz w:val="20"/>
      <w:szCs w:val="20"/>
      <w:lang w:eastAsia="hr-HR"/>
    </w:rPr>
  </w:style>
  <w:style w:type="character" w:customStyle="1" w:styleId="TekstfusnoteChar">
    <w:name w:val="Tekst fusnote Char"/>
    <w:basedOn w:val="Zadanifontodlomka"/>
    <w:link w:val="Tekstfusnote"/>
    <w:uiPriority w:val="99"/>
    <w:semiHidden/>
    <w:rsid w:val="006714BB"/>
    <w:rPr>
      <w:rFonts w:ascii="Times New Roman" w:eastAsia="Times New Roman" w:hAnsi="Times New Roman" w:cs="Times New Roman"/>
      <w:sz w:val="20"/>
      <w:szCs w:val="20"/>
      <w:lang w:eastAsia="hr-HR"/>
    </w:rPr>
  </w:style>
  <w:style w:type="character" w:styleId="Referencafusnote">
    <w:name w:val="footnote reference"/>
    <w:basedOn w:val="Zadanifontodlomka"/>
    <w:uiPriority w:val="99"/>
    <w:semiHidden/>
    <w:rsid w:val="006714BB"/>
    <w:rPr>
      <w:vertAlign w:val="superscript"/>
    </w:rPr>
  </w:style>
  <w:style w:type="table" w:styleId="Reetkatablice">
    <w:name w:val="Table Grid"/>
    <w:basedOn w:val="Obinatablica"/>
    <w:uiPriority w:val="59"/>
    <w:rsid w:val="006714BB"/>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krajnjebiljeke">
    <w:name w:val="endnote text"/>
    <w:basedOn w:val="Normal"/>
    <w:link w:val="TekstkrajnjebiljekeChar"/>
    <w:uiPriority w:val="99"/>
    <w:semiHidden/>
    <w:unhideWhenUsed/>
    <w:rsid w:val="007131E1"/>
    <w:pPr>
      <w:spacing w:after="0" w:line="240" w:lineRule="auto"/>
    </w:pPr>
    <w:rPr>
      <w:sz w:val="20"/>
      <w:szCs w:val="20"/>
    </w:rPr>
  </w:style>
  <w:style w:type="character" w:customStyle="1" w:styleId="TekstkrajnjebiljekeChar">
    <w:name w:val="Tekst krajnje bilješke Char"/>
    <w:basedOn w:val="Zadanifontodlomka"/>
    <w:link w:val="Tekstkrajnjebiljeke"/>
    <w:uiPriority w:val="99"/>
    <w:semiHidden/>
    <w:rsid w:val="007131E1"/>
    <w:rPr>
      <w:sz w:val="20"/>
      <w:szCs w:val="20"/>
    </w:rPr>
  </w:style>
  <w:style w:type="character" w:styleId="Referencakrajnjebiljeke">
    <w:name w:val="endnote reference"/>
    <w:basedOn w:val="Zadanifontodlomka"/>
    <w:uiPriority w:val="99"/>
    <w:semiHidden/>
    <w:unhideWhenUsed/>
    <w:rsid w:val="007131E1"/>
    <w:rPr>
      <w:vertAlign w:val="superscript"/>
    </w:rPr>
  </w:style>
  <w:style w:type="character" w:customStyle="1" w:styleId="xclaimclass">
    <w:name w:val="xclaimclass"/>
    <w:basedOn w:val="Zadanifontodlomka"/>
    <w:rsid w:val="00FE6B3E"/>
  </w:style>
  <w:style w:type="paragraph" w:customStyle="1" w:styleId="Arial">
    <w:name w:val="Arial"/>
    <w:basedOn w:val="Normal"/>
    <w:rsid w:val="00590C62"/>
    <w:pPr>
      <w:spacing w:after="120" w:line="360" w:lineRule="auto"/>
      <w:jc w:val="both"/>
    </w:pPr>
    <w:rPr>
      <w:rFonts w:ascii="Arial" w:eastAsia="Times New Roman" w:hAnsi="Arial" w:cs="Times New Roman"/>
      <w:lang w:val="sk-SK" w:eastAsia="sk-SK"/>
    </w:rPr>
  </w:style>
  <w:style w:type="character" w:customStyle="1" w:styleId="addmd1">
    <w:name w:val="addmd1"/>
    <w:basedOn w:val="Zadanifontodlomka"/>
    <w:rsid w:val="00AE0AF1"/>
    <w:rPr>
      <w:sz w:val="20"/>
      <w:szCs w:val="20"/>
    </w:rPr>
  </w:style>
  <w:style w:type="character" w:customStyle="1" w:styleId="contributornametrigger">
    <w:name w:val="contributornametrigger"/>
    <w:basedOn w:val="Zadanifontodlomka"/>
    <w:rsid w:val="00AE0AF1"/>
  </w:style>
  <w:style w:type="paragraph" w:customStyle="1" w:styleId="fighead">
    <w:name w:val="fighead"/>
    <w:basedOn w:val="Normal"/>
    <w:rsid w:val="00F16AB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cos-footnote">
    <w:name w:val="cos-footnote"/>
    <w:basedOn w:val="Normal"/>
    <w:rsid w:val="00F16AB8"/>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Naslov1Char">
    <w:name w:val="Naslov 1 Char"/>
    <w:basedOn w:val="Zadanifontodlomka"/>
    <w:link w:val="Naslov1"/>
    <w:uiPriority w:val="9"/>
    <w:rsid w:val="00C22D36"/>
    <w:rPr>
      <w:rFonts w:ascii="Times New Roman" w:eastAsia="Times New Roman" w:hAnsi="Times New Roman" w:cs="Times New Roman"/>
      <w:b/>
      <w:bCs/>
      <w:kern w:val="36"/>
      <w:sz w:val="48"/>
      <w:szCs w:val="48"/>
      <w:lang w:eastAsia="hr-HR"/>
    </w:rPr>
  </w:style>
  <w:style w:type="character" w:styleId="SlijeenaHiperveza">
    <w:name w:val="FollowedHyperlink"/>
    <w:basedOn w:val="Zadanifontodlomka"/>
    <w:uiPriority w:val="99"/>
    <w:semiHidden/>
    <w:unhideWhenUsed/>
    <w:rsid w:val="00141670"/>
    <w:rPr>
      <w:color w:val="800080" w:themeColor="followedHyperlink"/>
      <w:u w:val="single"/>
    </w:rPr>
  </w:style>
  <w:style w:type="paragraph" w:styleId="Tijeloteksta2">
    <w:name w:val="Body Text 2"/>
    <w:basedOn w:val="Normal"/>
    <w:link w:val="Tijeloteksta2Char"/>
    <w:uiPriority w:val="99"/>
    <w:unhideWhenUsed/>
    <w:rsid w:val="00C6167D"/>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ijeloteksta2Char">
    <w:name w:val="Tijelo teksta 2 Char"/>
    <w:basedOn w:val="Zadanifontodlomka"/>
    <w:link w:val="Tijeloteksta2"/>
    <w:uiPriority w:val="99"/>
    <w:rsid w:val="00C6167D"/>
    <w:rPr>
      <w:rFonts w:ascii="Times New Roman" w:eastAsia="Times New Roman" w:hAnsi="Times New Roman" w:cs="Times New Roman"/>
      <w:sz w:val="24"/>
      <w:szCs w:val="24"/>
      <w:lang w:eastAsia="hr-HR"/>
    </w:rPr>
  </w:style>
  <w:style w:type="character" w:styleId="Naglaeno">
    <w:name w:val="Strong"/>
    <w:basedOn w:val="Zadanifontodlomka"/>
    <w:uiPriority w:val="22"/>
    <w:qFormat/>
    <w:rsid w:val="00EE213A"/>
    <w:rPr>
      <w:b/>
      <w:bCs/>
    </w:rPr>
  </w:style>
  <w:style w:type="paragraph" w:customStyle="1" w:styleId="Default">
    <w:name w:val="Default"/>
    <w:rsid w:val="00B1173B"/>
    <w:pPr>
      <w:autoSpaceDE w:val="0"/>
      <w:autoSpaceDN w:val="0"/>
      <w:adjustRightInd w:val="0"/>
      <w:spacing w:after="0" w:line="240" w:lineRule="auto"/>
    </w:pPr>
    <w:rPr>
      <w:rFonts w:ascii="Verdana" w:eastAsia="Times New Roman" w:hAnsi="Verdana" w:cs="Verdana"/>
      <w:color w:val="000000"/>
      <w:sz w:val="24"/>
      <w:szCs w:val="24"/>
      <w:lang w:eastAsia="hr-HR"/>
    </w:rPr>
  </w:style>
  <w:style w:type="paragraph" w:styleId="Tijeloteksta">
    <w:name w:val="Body Text"/>
    <w:basedOn w:val="Normal"/>
    <w:link w:val="TijelotekstaChar"/>
    <w:uiPriority w:val="99"/>
    <w:unhideWhenUsed/>
    <w:rsid w:val="00C23E48"/>
    <w:pPr>
      <w:spacing w:after="120"/>
    </w:pPr>
  </w:style>
  <w:style w:type="character" w:customStyle="1" w:styleId="TijelotekstaChar">
    <w:name w:val="Tijelo teksta Char"/>
    <w:basedOn w:val="Zadanifontodlomka"/>
    <w:link w:val="Tijeloteksta"/>
    <w:uiPriority w:val="99"/>
    <w:rsid w:val="00C23E48"/>
  </w:style>
  <w:style w:type="character" w:customStyle="1" w:styleId="podnaslov1">
    <w:name w:val="podnaslov1"/>
    <w:basedOn w:val="Zadanifontodlomka"/>
    <w:rsid w:val="00D3154E"/>
    <w:rPr>
      <w:rFonts w:ascii="Verdana" w:hAnsi="Verdana" w:hint="default"/>
      <w:b/>
      <w:bCs/>
      <w:color w:val="000080"/>
      <w:sz w:val="18"/>
      <w:szCs w:val="18"/>
    </w:rPr>
  </w:style>
  <w:style w:type="character" w:customStyle="1" w:styleId="Naslov3Char">
    <w:name w:val="Naslov 3 Char"/>
    <w:basedOn w:val="Zadanifontodlomka"/>
    <w:link w:val="Naslov3"/>
    <w:uiPriority w:val="9"/>
    <w:rsid w:val="00711733"/>
    <w:rPr>
      <w:rFonts w:asciiTheme="majorHAnsi" w:eastAsiaTheme="majorEastAsia" w:hAnsiTheme="majorHAnsi" w:cstheme="majorBidi"/>
      <w:b/>
      <w:bCs/>
      <w:color w:val="4F81BD" w:themeColor="accent1"/>
    </w:rPr>
  </w:style>
  <w:style w:type="character" w:customStyle="1" w:styleId="Naslov2Char">
    <w:name w:val="Naslov 2 Char"/>
    <w:basedOn w:val="Zadanifontodlomka"/>
    <w:link w:val="Naslov2"/>
    <w:uiPriority w:val="9"/>
    <w:rsid w:val="000A3AA9"/>
    <w:rPr>
      <w:rFonts w:asciiTheme="majorHAnsi" w:eastAsiaTheme="majorEastAsia" w:hAnsiTheme="majorHAnsi" w:cstheme="majorBidi"/>
      <w:b/>
      <w:bCs/>
      <w:color w:val="4F81BD" w:themeColor="accent1"/>
      <w:sz w:val="26"/>
      <w:szCs w:val="26"/>
    </w:rPr>
  </w:style>
  <w:style w:type="character" w:customStyle="1" w:styleId="Naslov4Char">
    <w:name w:val="Naslov 4 Char"/>
    <w:basedOn w:val="Zadanifontodlomka"/>
    <w:link w:val="Naslov4"/>
    <w:rsid w:val="00364F06"/>
    <w:rPr>
      <w:rFonts w:ascii="Calibri" w:eastAsia="Times New Roman" w:hAnsi="Calibri" w:cs="Times New Roman"/>
      <w:b/>
      <w:bCs/>
      <w:sz w:val="28"/>
      <w:szCs w:val="28"/>
      <w:lang w:eastAsia="hr-HR"/>
    </w:rPr>
  </w:style>
  <w:style w:type="paragraph" w:styleId="Obinitekst">
    <w:name w:val="Plain Text"/>
    <w:basedOn w:val="Normal"/>
    <w:link w:val="ObinitekstChar"/>
    <w:rsid w:val="00416359"/>
    <w:pPr>
      <w:spacing w:after="0" w:line="240" w:lineRule="auto"/>
    </w:pPr>
    <w:rPr>
      <w:rFonts w:ascii="Courier New" w:eastAsia="Times New Roman" w:hAnsi="Courier New" w:cs="Courier New"/>
      <w:sz w:val="20"/>
      <w:szCs w:val="20"/>
      <w:lang w:eastAsia="hr-HR"/>
    </w:rPr>
  </w:style>
  <w:style w:type="character" w:customStyle="1" w:styleId="ObinitekstChar">
    <w:name w:val="Obični tekst Char"/>
    <w:basedOn w:val="Zadanifontodlomka"/>
    <w:link w:val="Obinitekst"/>
    <w:rsid w:val="00416359"/>
    <w:rPr>
      <w:rFonts w:ascii="Courier New" w:eastAsia="Times New Roman" w:hAnsi="Courier New" w:cs="Courier New"/>
      <w:sz w:val="20"/>
      <w:szCs w:val="20"/>
      <w:lang w:eastAsia="hr-HR"/>
    </w:rPr>
  </w:style>
  <w:style w:type="character" w:styleId="Brojstranice">
    <w:name w:val="page number"/>
    <w:basedOn w:val="Zadanifontodlomka"/>
    <w:rsid w:val="00416359"/>
  </w:style>
  <w:style w:type="paragraph" w:styleId="Tekstkomentara">
    <w:name w:val="annotation text"/>
    <w:basedOn w:val="Normal"/>
    <w:link w:val="TekstkomentaraChar"/>
    <w:uiPriority w:val="99"/>
    <w:unhideWhenUsed/>
    <w:rsid w:val="00416359"/>
    <w:pPr>
      <w:spacing w:after="0" w:line="240" w:lineRule="auto"/>
    </w:pPr>
    <w:rPr>
      <w:rFonts w:ascii="Times New Roman" w:eastAsia="Times New Roman" w:hAnsi="Times New Roman" w:cs="Times New Roman"/>
      <w:sz w:val="20"/>
      <w:szCs w:val="20"/>
      <w:lang w:eastAsia="hr-HR"/>
    </w:rPr>
  </w:style>
  <w:style w:type="character" w:customStyle="1" w:styleId="TekstkomentaraChar">
    <w:name w:val="Tekst komentara Char"/>
    <w:basedOn w:val="Zadanifontodlomka"/>
    <w:link w:val="Tekstkomentara"/>
    <w:uiPriority w:val="99"/>
    <w:rsid w:val="00416359"/>
    <w:rPr>
      <w:rFonts w:ascii="Times New Roman" w:eastAsia="Times New Roman" w:hAnsi="Times New Roman" w:cs="Times New Roman"/>
      <w:sz w:val="20"/>
      <w:szCs w:val="20"/>
      <w:lang w:eastAsia="hr-HR"/>
    </w:rPr>
  </w:style>
  <w:style w:type="paragraph" w:customStyle="1" w:styleId="t-9-8">
    <w:name w:val="t-9-8"/>
    <w:basedOn w:val="Normal"/>
    <w:rsid w:val="00416359"/>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Istaknuto">
    <w:name w:val="Emphasis"/>
    <w:basedOn w:val="Zadanifontodlomka"/>
    <w:uiPriority w:val="20"/>
    <w:qFormat/>
    <w:rsid w:val="00F42D18"/>
    <w:rPr>
      <w:i/>
      <w:iCs/>
    </w:rPr>
  </w:style>
  <w:style w:type="character" w:customStyle="1" w:styleId="a-size-large">
    <w:name w:val="a-size-large"/>
    <w:basedOn w:val="Zadanifontodlomka"/>
    <w:rsid w:val="00A02496"/>
  </w:style>
  <w:style w:type="character" w:customStyle="1" w:styleId="podnaslov">
    <w:name w:val="podnaslov"/>
    <w:basedOn w:val="Zadanifontodlomka"/>
    <w:rsid w:val="005077FD"/>
  </w:style>
  <w:style w:type="character" w:customStyle="1" w:styleId="calcvalue">
    <w:name w:val="calcvalue"/>
    <w:basedOn w:val="Zadanifontodlomka"/>
    <w:rsid w:val="00E318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65347">
      <w:bodyDiv w:val="1"/>
      <w:marLeft w:val="0"/>
      <w:marRight w:val="0"/>
      <w:marTop w:val="0"/>
      <w:marBottom w:val="0"/>
      <w:divBdr>
        <w:top w:val="none" w:sz="0" w:space="0" w:color="auto"/>
        <w:left w:val="none" w:sz="0" w:space="0" w:color="auto"/>
        <w:bottom w:val="none" w:sz="0" w:space="0" w:color="auto"/>
        <w:right w:val="none" w:sz="0" w:space="0" w:color="auto"/>
      </w:divBdr>
      <w:divsChild>
        <w:div w:id="914238553">
          <w:marLeft w:val="547"/>
          <w:marRight w:val="0"/>
          <w:marTop w:val="77"/>
          <w:marBottom w:val="0"/>
          <w:divBdr>
            <w:top w:val="none" w:sz="0" w:space="0" w:color="auto"/>
            <w:left w:val="none" w:sz="0" w:space="0" w:color="auto"/>
            <w:bottom w:val="none" w:sz="0" w:space="0" w:color="auto"/>
            <w:right w:val="none" w:sz="0" w:space="0" w:color="auto"/>
          </w:divBdr>
        </w:div>
        <w:div w:id="21790026">
          <w:marLeft w:val="547"/>
          <w:marRight w:val="0"/>
          <w:marTop w:val="77"/>
          <w:marBottom w:val="0"/>
          <w:divBdr>
            <w:top w:val="none" w:sz="0" w:space="0" w:color="auto"/>
            <w:left w:val="none" w:sz="0" w:space="0" w:color="auto"/>
            <w:bottom w:val="none" w:sz="0" w:space="0" w:color="auto"/>
            <w:right w:val="none" w:sz="0" w:space="0" w:color="auto"/>
          </w:divBdr>
        </w:div>
        <w:div w:id="196623450">
          <w:marLeft w:val="547"/>
          <w:marRight w:val="0"/>
          <w:marTop w:val="77"/>
          <w:marBottom w:val="0"/>
          <w:divBdr>
            <w:top w:val="none" w:sz="0" w:space="0" w:color="auto"/>
            <w:left w:val="none" w:sz="0" w:space="0" w:color="auto"/>
            <w:bottom w:val="none" w:sz="0" w:space="0" w:color="auto"/>
            <w:right w:val="none" w:sz="0" w:space="0" w:color="auto"/>
          </w:divBdr>
        </w:div>
        <w:div w:id="121701970">
          <w:marLeft w:val="547"/>
          <w:marRight w:val="0"/>
          <w:marTop w:val="77"/>
          <w:marBottom w:val="0"/>
          <w:divBdr>
            <w:top w:val="none" w:sz="0" w:space="0" w:color="auto"/>
            <w:left w:val="none" w:sz="0" w:space="0" w:color="auto"/>
            <w:bottom w:val="none" w:sz="0" w:space="0" w:color="auto"/>
            <w:right w:val="none" w:sz="0" w:space="0" w:color="auto"/>
          </w:divBdr>
        </w:div>
      </w:divsChild>
    </w:div>
    <w:div w:id="13850446">
      <w:bodyDiv w:val="1"/>
      <w:marLeft w:val="0"/>
      <w:marRight w:val="0"/>
      <w:marTop w:val="0"/>
      <w:marBottom w:val="0"/>
      <w:divBdr>
        <w:top w:val="none" w:sz="0" w:space="0" w:color="auto"/>
        <w:left w:val="none" w:sz="0" w:space="0" w:color="auto"/>
        <w:bottom w:val="none" w:sz="0" w:space="0" w:color="auto"/>
        <w:right w:val="none" w:sz="0" w:space="0" w:color="auto"/>
      </w:divBdr>
    </w:div>
    <w:div w:id="20739743">
      <w:bodyDiv w:val="1"/>
      <w:marLeft w:val="0"/>
      <w:marRight w:val="0"/>
      <w:marTop w:val="0"/>
      <w:marBottom w:val="0"/>
      <w:divBdr>
        <w:top w:val="none" w:sz="0" w:space="0" w:color="auto"/>
        <w:left w:val="none" w:sz="0" w:space="0" w:color="auto"/>
        <w:bottom w:val="none" w:sz="0" w:space="0" w:color="auto"/>
        <w:right w:val="none" w:sz="0" w:space="0" w:color="auto"/>
      </w:divBdr>
    </w:div>
    <w:div w:id="21591256">
      <w:bodyDiv w:val="1"/>
      <w:marLeft w:val="0"/>
      <w:marRight w:val="0"/>
      <w:marTop w:val="0"/>
      <w:marBottom w:val="0"/>
      <w:divBdr>
        <w:top w:val="none" w:sz="0" w:space="0" w:color="auto"/>
        <w:left w:val="none" w:sz="0" w:space="0" w:color="auto"/>
        <w:bottom w:val="none" w:sz="0" w:space="0" w:color="auto"/>
        <w:right w:val="none" w:sz="0" w:space="0" w:color="auto"/>
      </w:divBdr>
      <w:divsChild>
        <w:div w:id="753166646">
          <w:marLeft w:val="547"/>
          <w:marRight w:val="0"/>
          <w:marTop w:val="86"/>
          <w:marBottom w:val="0"/>
          <w:divBdr>
            <w:top w:val="none" w:sz="0" w:space="0" w:color="auto"/>
            <w:left w:val="none" w:sz="0" w:space="0" w:color="auto"/>
            <w:bottom w:val="none" w:sz="0" w:space="0" w:color="auto"/>
            <w:right w:val="none" w:sz="0" w:space="0" w:color="auto"/>
          </w:divBdr>
        </w:div>
        <w:div w:id="1357727753">
          <w:marLeft w:val="547"/>
          <w:marRight w:val="0"/>
          <w:marTop w:val="86"/>
          <w:marBottom w:val="0"/>
          <w:divBdr>
            <w:top w:val="none" w:sz="0" w:space="0" w:color="auto"/>
            <w:left w:val="none" w:sz="0" w:space="0" w:color="auto"/>
            <w:bottom w:val="none" w:sz="0" w:space="0" w:color="auto"/>
            <w:right w:val="none" w:sz="0" w:space="0" w:color="auto"/>
          </w:divBdr>
        </w:div>
        <w:div w:id="148793686">
          <w:marLeft w:val="547"/>
          <w:marRight w:val="0"/>
          <w:marTop w:val="86"/>
          <w:marBottom w:val="0"/>
          <w:divBdr>
            <w:top w:val="none" w:sz="0" w:space="0" w:color="auto"/>
            <w:left w:val="none" w:sz="0" w:space="0" w:color="auto"/>
            <w:bottom w:val="none" w:sz="0" w:space="0" w:color="auto"/>
            <w:right w:val="none" w:sz="0" w:space="0" w:color="auto"/>
          </w:divBdr>
        </w:div>
        <w:div w:id="903874468">
          <w:marLeft w:val="547"/>
          <w:marRight w:val="0"/>
          <w:marTop w:val="86"/>
          <w:marBottom w:val="0"/>
          <w:divBdr>
            <w:top w:val="none" w:sz="0" w:space="0" w:color="auto"/>
            <w:left w:val="none" w:sz="0" w:space="0" w:color="auto"/>
            <w:bottom w:val="none" w:sz="0" w:space="0" w:color="auto"/>
            <w:right w:val="none" w:sz="0" w:space="0" w:color="auto"/>
          </w:divBdr>
        </w:div>
        <w:div w:id="1300653083">
          <w:marLeft w:val="547"/>
          <w:marRight w:val="0"/>
          <w:marTop w:val="86"/>
          <w:marBottom w:val="0"/>
          <w:divBdr>
            <w:top w:val="none" w:sz="0" w:space="0" w:color="auto"/>
            <w:left w:val="none" w:sz="0" w:space="0" w:color="auto"/>
            <w:bottom w:val="none" w:sz="0" w:space="0" w:color="auto"/>
            <w:right w:val="none" w:sz="0" w:space="0" w:color="auto"/>
          </w:divBdr>
        </w:div>
      </w:divsChild>
    </w:div>
    <w:div w:id="50809449">
      <w:bodyDiv w:val="1"/>
      <w:marLeft w:val="0"/>
      <w:marRight w:val="0"/>
      <w:marTop w:val="0"/>
      <w:marBottom w:val="0"/>
      <w:divBdr>
        <w:top w:val="none" w:sz="0" w:space="0" w:color="auto"/>
        <w:left w:val="none" w:sz="0" w:space="0" w:color="auto"/>
        <w:bottom w:val="none" w:sz="0" w:space="0" w:color="auto"/>
        <w:right w:val="none" w:sz="0" w:space="0" w:color="auto"/>
      </w:divBdr>
    </w:div>
    <w:div w:id="65348437">
      <w:bodyDiv w:val="1"/>
      <w:marLeft w:val="0"/>
      <w:marRight w:val="0"/>
      <w:marTop w:val="0"/>
      <w:marBottom w:val="0"/>
      <w:divBdr>
        <w:top w:val="none" w:sz="0" w:space="0" w:color="auto"/>
        <w:left w:val="none" w:sz="0" w:space="0" w:color="auto"/>
        <w:bottom w:val="none" w:sz="0" w:space="0" w:color="auto"/>
        <w:right w:val="none" w:sz="0" w:space="0" w:color="auto"/>
      </w:divBdr>
      <w:divsChild>
        <w:div w:id="1031879662">
          <w:marLeft w:val="547"/>
          <w:marRight w:val="0"/>
          <w:marTop w:val="77"/>
          <w:marBottom w:val="0"/>
          <w:divBdr>
            <w:top w:val="none" w:sz="0" w:space="0" w:color="auto"/>
            <w:left w:val="none" w:sz="0" w:space="0" w:color="auto"/>
            <w:bottom w:val="none" w:sz="0" w:space="0" w:color="auto"/>
            <w:right w:val="none" w:sz="0" w:space="0" w:color="auto"/>
          </w:divBdr>
        </w:div>
        <w:div w:id="1739091288">
          <w:marLeft w:val="547"/>
          <w:marRight w:val="0"/>
          <w:marTop w:val="77"/>
          <w:marBottom w:val="0"/>
          <w:divBdr>
            <w:top w:val="none" w:sz="0" w:space="0" w:color="auto"/>
            <w:left w:val="none" w:sz="0" w:space="0" w:color="auto"/>
            <w:bottom w:val="none" w:sz="0" w:space="0" w:color="auto"/>
            <w:right w:val="none" w:sz="0" w:space="0" w:color="auto"/>
          </w:divBdr>
        </w:div>
        <w:div w:id="814030066">
          <w:marLeft w:val="547"/>
          <w:marRight w:val="0"/>
          <w:marTop w:val="77"/>
          <w:marBottom w:val="0"/>
          <w:divBdr>
            <w:top w:val="none" w:sz="0" w:space="0" w:color="auto"/>
            <w:left w:val="none" w:sz="0" w:space="0" w:color="auto"/>
            <w:bottom w:val="none" w:sz="0" w:space="0" w:color="auto"/>
            <w:right w:val="none" w:sz="0" w:space="0" w:color="auto"/>
          </w:divBdr>
        </w:div>
        <w:div w:id="1370716825">
          <w:marLeft w:val="547"/>
          <w:marRight w:val="0"/>
          <w:marTop w:val="77"/>
          <w:marBottom w:val="0"/>
          <w:divBdr>
            <w:top w:val="none" w:sz="0" w:space="0" w:color="auto"/>
            <w:left w:val="none" w:sz="0" w:space="0" w:color="auto"/>
            <w:bottom w:val="none" w:sz="0" w:space="0" w:color="auto"/>
            <w:right w:val="none" w:sz="0" w:space="0" w:color="auto"/>
          </w:divBdr>
        </w:div>
        <w:div w:id="1111168171">
          <w:marLeft w:val="547"/>
          <w:marRight w:val="0"/>
          <w:marTop w:val="77"/>
          <w:marBottom w:val="0"/>
          <w:divBdr>
            <w:top w:val="none" w:sz="0" w:space="0" w:color="auto"/>
            <w:left w:val="none" w:sz="0" w:space="0" w:color="auto"/>
            <w:bottom w:val="none" w:sz="0" w:space="0" w:color="auto"/>
            <w:right w:val="none" w:sz="0" w:space="0" w:color="auto"/>
          </w:divBdr>
        </w:div>
      </w:divsChild>
    </w:div>
    <w:div w:id="72895214">
      <w:bodyDiv w:val="1"/>
      <w:marLeft w:val="0"/>
      <w:marRight w:val="0"/>
      <w:marTop w:val="0"/>
      <w:marBottom w:val="0"/>
      <w:divBdr>
        <w:top w:val="none" w:sz="0" w:space="0" w:color="auto"/>
        <w:left w:val="none" w:sz="0" w:space="0" w:color="auto"/>
        <w:bottom w:val="none" w:sz="0" w:space="0" w:color="auto"/>
        <w:right w:val="none" w:sz="0" w:space="0" w:color="auto"/>
      </w:divBdr>
    </w:div>
    <w:div w:id="75397943">
      <w:bodyDiv w:val="1"/>
      <w:marLeft w:val="0"/>
      <w:marRight w:val="0"/>
      <w:marTop w:val="0"/>
      <w:marBottom w:val="0"/>
      <w:divBdr>
        <w:top w:val="none" w:sz="0" w:space="0" w:color="auto"/>
        <w:left w:val="none" w:sz="0" w:space="0" w:color="auto"/>
        <w:bottom w:val="none" w:sz="0" w:space="0" w:color="auto"/>
        <w:right w:val="none" w:sz="0" w:space="0" w:color="auto"/>
      </w:divBdr>
      <w:divsChild>
        <w:div w:id="2029943166">
          <w:marLeft w:val="547"/>
          <w:marRight w:val="0"/>
          <w:marTop w:val="86"/>
          <w:marBottom w:val="0"/>
          <w:divBdr>
            <w:top w:val="none" w:sz="0" w:space="0" w:color="auto"/>
            <w:left w:val="none" w:sz="0" w:space="0" w:color="auto"/>
            <w:bottom w:val="none" w:sz="0" w:space="0" w:color="auto"/>
            <w:right w:val="none" w:sz="0" w:space="0" w:color="auto"/>
          </w:divBdr>
        </w:div>
      </w:divsChild>
    </w:div>
    <w:div w:id="103765700">
      <w:bodyDiv w:val="1"/>
      <w:marLeft w:val="0"/>
      <w:marRight w:val="0"/>
      <w:marTop w:val="0"/>
      <w:marBottom w:val="0"/>
      <w:divBdr>
        <w:top w:val="none" w:sz="0" w:space="0" w:color="auto"/>
        <w:left w:val="none" w:sz="0" w:space="0" w:color="auto"/>
        <w:bottom w:val="none" w:sz="0" w:space="0" w:color="auto"/>
        <w:right w:val="none" w:sz="0" w:space="0" w:color="auto"/>
      </w:divBdr>
    </w:div>
    <w:div w:id="117846798">
      <w:bodyDiv w:val="1"/>
      <w:marLeft w:val="0"/>
      <w:marRight w:val="0"/>
      <w:marTop w:val="0"/>
      <w:marBottom w:val="0"/>
      <w:divBdr>
        <w:top w:val="none" w:sz="0" w:space="0" w:color="auto"/>
        <w:left w:val="none" w:sz="0" w:space="0" w:color="auto"/>
        <w:bottom w:val="none" w:sz="0" w:space="0" w:color="auto"/>
        <w:right w:val="none" w:sz="0" w:space="0" w:color="auto"/>
      </w:divBdr>
      <w:divsChild>
        <w:div w:id="2065250431">
          <w:marLeft w:val="547"/>
          <w:marRight w:val="0"/>
          <w:marTop w:val="96"/>
          <w:marBottom w:val="0"/>
          <w:divBdr>
            <w:top w:val="none" w:sz="0" w:space="0" w:color="auto"/>
            <w:left w:val="none" w:sz="0" w:space="0" w:color="auto"/>
            <w:bottom w:val="none" w:sz="0" w:space="0" w:color="auto"/>
            <w:right w:val="none" w:sz="0" w:space="0" w:color="auto"/>
          </w:divBdr>
        </w:div>
      </w:divsChild>
    </w:div>
    <w:div w:id="119615047">
      <w:bodyDiv w:val="1"/>
      <w:marLeft w:val="0"/>
      <w:marRight w:val="0"/>
      <w:marTop w:val="0"/>
      <w:marBottom w:val="0"/>
      <w:divBdr>
        <w:top w:val="none" w:sz="0" w:space="0" w:color="auto"/>
        <w:left w:val="none" w:sz="0" w:space="0" w:color="auto"/>
        <w:bottom w:val="none" w:sz="0" w:space="0" w:color="auto"/>
        <w:right w:val="none" w:sz="0" w:space="0" w:color="auto"/>
      </w:divBdr>
    </w:div>
    <w:div w:id="134571187">
      <w:bodyDiv w:val="1"/>
      <w:marLeft w:val="0"/>
      <w:marRight w:val="0"/>
      <w:marTop w:val="0"/>
      <w:marBottom w:val="0"/>
      <w:divBdr>
        <w:top w:val="none" w:sz="0" w:space="0" w:color="auto"/>
        <w:left w:val="none" w:sz="0" w:space="0" w:color="auto"/>
        <w:bottom w:val="none" w:sz="0" w:space="0" w:color="auto"/>
        <w:right w:val="none" w:sz="0" w:space="0" w:color="auto"/>
      </w:divBdr>
    </w:div>
    <w:div w:id="136069168">
      <w:bodyDiv w:val="1"/>
      <w:marLeft w:val="0"/>
      <w:marRight w:val="0"/>
      <w:marTop w:val="0"/>
      <w:marBottom w:val="0"/>
      <w:divBdr>
        <w:top w:val="none" w:sz="0" w:space="0" w:color="auto"/>
        <w:left w:val="none" w:sz="0" w:space="0" w:color="auto"/>
        <w:bottom w:val="none" w:sz="0" w:space="0" w:color="auto"/>
        <w:right w:val="none" w:sz="0" w:space="0" w:color="auto"/>
      </w:divBdr>
      <w:divsChild>
        <w:div w:id="681711660">
          <w:marLeft w:val="835"/>
          <w:marRight w:val="0"/>
          <w:marTop w:val="77"/>
          <w:marBottom w:val="0"/>
          <w:divBdr>
            <w:top w:val="none" w:sz="0" w:space="0" w:color="auto"/>
            <w:left w:val="none" w:sz="0" w:space="0" w:color="auto"/>
            <w:bottom w:val="none" w:sz="0" w:space="0" w:color="auto"/>
            <w:right w:val="none" w:sz="0" w:space="0" w:color="auto"/>
          </w:divBdr>
        </w:div>
        <w:div w:id="2018847652">
          <w:marLeft w:val="835"/>
          <w:marRight w:val="0"/>
          <w:marTop w:val="77"/>
          <w:marBottom w:val="0"/>
          <w:divBdr>
            <w:top w:val="none" w:sz="0" w:space="0" w:color="auto"/>
            <w:left w:val="none" w:sz="0" w:space="0" w:color="auto"/>
            <w:bottom w:val="none" w:sz="0" w:space="0" w:color="auto"/>
            <w:right w:val="none" w:sz="0" w:space="0" w:color="auto"/>
          </w:divBdr>
        </w:div>
        <w:div w:id="1924141751">
          <w:marLeft w:val="835"/>
          <w:marRight w:val="0"/>
          <w:marTop w:val="77"/>
          <w:marBottom w:val="0"/>
          <w:divBdr>
            <w:top w:val="none" w:sz="0" w:space="0" w:color="auto"/>
            <w:left w:val="none" w:sz="0" w:space="0" w:color="auto"/>
            <w:bottom w:val="none" w:sz="0" w:space="0" w:color="auto"/>
            <w:right w:val="none" w:sz="0" w:space="0" w:color="auto"/>
          </w:divBdr>
        </w:div>
      </w:divsChild>
    </w:div>
    <w:div w:id="136263823">
      <w:bodyDiv w:val="1"/>
      <w:marLeft w:val="0"/>
      <w:marRight w:val="0"/>
      <w:marTop w:val="0"/>
      <w:marBottom w:val="0"/>
      <w:divBdr>
        <w:top w:val="none" w:sz="0" w:space="0" w:color="auto"/>
        <w:left w:val="none" w:sz="0" w:space="0" w:color="auto"/>
        <w:bottom w:val="none" w:sz="0" w:space="0" w:color="auto"/>
        <w:right w:val="none" w:sz="0" w:space="0" w:color="auto"/>
      </w:divBdr>
      <w:divsChild>
        <w:div w:id="1403680126">
          <w:marLeft w:val="547"/>
          <w:marRight w:val="0"/>
          <w:marTop w:val="0"/>
          <w:marBottom w:val="0"/>
          <w:divBdr>
            <w:top w:val="none" w:sz="0" w:space="0" w:color="auto"/>
            <w:left w:val="none" w:sz="0" w:space="0" w:color="auto"/>
            <w:bottom w:val="none" w:sz="0" w:space="0" w:color="auto"/>
            <w:right w:val="none" w:sz="0" w:space="0" w:color="auto"/>
          </w:divBdr>
        </w:div>
        <w:div w:id="1153373155">
          <w:marLeft w:val="547"/>
          <w:marRight w:val="0"/>
          <w:marTop w:val="0"/>
          <w:marBottom w:val="0"/>
          <w:divBdr>
            <w:top w:val="none" w:sz="0" w:space="0" w:color="auto"/>
            <w:left w:val="none" w:sz="0" w:space="0" w:color="auto"/>
            <w:bottom w:val="none" w:sz="0" w:space="0" w:color="auto"/>
            <w:right w:val="none" w:sz="0" w:space="0" w:color="auto"/>
          </w:divBdr>
        </w:div>
      </w:divsChild>
    </w:div>
    <w:div w:id="154956644">
      <w:bodyDiv w:val="1"/>
      <w:marLeft w:val="0"/>
      <w:marRight w:val="0"/>
      <w:marTop w:val="0"/>
      <w:marBottom w:val="0"/>
      <w:divBdr>
        <w:top w:val="none" w:sz="0" w:space="0" w:color="auto"/>
        <w:left w:val="none" w:sz="0" w:space="0" w:color="auto"/>
        <w:bottom w:val="none" w:sz="0" w:space="0" w:color="auto"/>
        <w:right w:val="none" w:sz="0" w:space="0" w:color="auto"/>
      </w:divBdr>
    </w:div>
    <w:div w:id="159271197">
      <w:bodyDiv w:val="1"/>
      <w:marLeft w:val="0"/>
      <w:marRight w:val="0"/>
      <w:marTop w:val="0"/>
      <w:marBottom w:val="0"/>
      <w:divBdr>
        <w:top w:val="none" w:sz="0" w:space="0" w:color="auto"/>
        <w:left w:val="none" w:sz="0" w:space="0" w:color="auto"/>
        <w:bottom w:val="none" w:sz="0" w:space="0" w:color="auto"/>
        <w:right w:val="none" w:sz="0" w:space="0" w:color="auto"/>
      </w:divBdr>
    </w:div>
    <w:div w:id="192348494">
      <w:bodyDiv w:val="1"/>
      <w:marLeft w:val="0"/>
      <w:marRight w:val="0"/>
      <w:marTop w:val="0"/>
      <w:marBottom w:val="0"/>
      <w:divBdr>
        <w:top w:val="none" w:sz="0" w:space="0" w:color="auto"/>
        <w:left w:val="none" w:sz="0" w:space="0" w:color="auto"/>
        <w:bottom w:val="none" w:sz="0" w:space="0" w:color="auto"/>
        <w:right w:val="none" w:sz="0" w:space="0" w:color="auto"/>
      </w:divBdr>
    </w:div>
    <w:div w:id="193201600">
      <w:bodyDiv w:val="1"/>
      <w:marLeft w:val="0"/>
      <w:marRight w:val="0"/>
      <w:marTop w:val="0"/>
      <w:marBottom w:val="0"/>
      <w:divBdr>
        <w:top w:val="none" w:sz="0" w:space="0" w:color="auto"/>
        <w:left w:val="none" w:sz="0" w:space="0" w:color="auto"/>
        <w:bottom w:val="none" w:sz="0" w:space="0" w:color="auto"/>
        <w:right w:val="none" w:sz="0" w:space="0" w:color="auto"/>
      </w:divBdr>
    </w:div>
    <w:div w:id="195120306">
      <w:bodyDiv w:val="1"/>
      <w:marLeft w:val="0"/>
      <w:marRight w:val="0"/>
      <w:marTop w:val="0"/>
      <w:marBottom w:val="0"/>
      <w:divBdr>
        <w:top w:val="none" w:sz="0" w:space="0" w:color="auto"/>
        <w:left w:val="none" w:sz="0" w:space="0" w:color="auto"/>
        <w:bottom w:val="none" w:sz="0" w:space="0" w:color="auto"/>
        <w:right w:val="none" w:sz="0" w:space="0" w:color="auto"/>
      </w:divBdr>
      <w:divsChild>
        <w:div w:id="2063560170">
          <w:marLeft w:val="0"/>
          <w:marRight w:val="0"/>
          <w:marTop w:val="450"/>
          <w:marBottom w:val="0"/>
          <w:divBdr>
            <w:top w:val="none" w:sz="0" w:space="0" w:color="auto"/>
            <w:left w:val="none" w:sz="0" w:space="0" w:color="auto"/>
            <w:bottom w:val="none" w:sz="0" w:space="0" w:color="auto"/>
            <w:right w:val="none" w:sz="0" w:space="0" w:color="auto"/>
          </w:divBdr>
        </w:div>
        <w:div w:id="1413745619">
          <w:marLeft w:val="0"/>
          <w:marRight w:val="0"/>
          <w:marTop w:val="150"/>
          <w:marBottom w:val="0"/>
          <w:divBdr>
            <w:top w:val="none" w:sz="0" w:space="0" w:color="auto"/>
            <w:left w:val="none" w:sz="0" w:space="0" w:color="auto"/>
            <w:bottom w:val="none" w:sz="0" w:space="0" w:color="auto"/>
            <w:right w:val="none" w:sz="0" w:space="0" w:color="auto"/>
          </w:divBdr>
        </w:div>
        <w:div w:id="379092641">
          <w:marLeft w:val="0"/>
          <w:marRight w:val="0"/>
          <w:marTop w:val="150"/>
          <w:marBottom w:val="0"/>
          <w:divBdr>
            <w:top w:val="none" w:sz="0" w:space="0" w:color="auto"/>
            <w:left w:val="none" w:sz="0" w:space="0" w:color="auto"/>
            <w:bottom w:val="none" w:sz="0" w:space="0" w:color="auto"/>
            <w:right w:val="none" w:sz="0" w:space="0" w:color="auto"/>
          </w:divBdr>
        </w:div>
      </w:divsChild>
    </w:div>
    <w:div w:id="222298354">
      <w:bodyDiv w:val="1"/>
      <w:marLeft w:val="0"/>
      <w:marRight w:val="0"/>
      <w:marTop w:val="0"/>
      <w:marBottom w:val="0"/>
      <w:divBdr>
        <w:top w:val="none" w:sz="0" w:space="0" w:color="auto"/>
        <w:left w:val="none" w:sz="0" w:space="0" w:color="auto"/>
        <w:bottom w:val="none" w:sz="0" w:space="0" w:color="auto"/>
        <w:right w:val="none" w:sz="0" w:space="0" w:color="auto"/>
      </w:divBdr>
    </w:div>
    <w:div w:id="238295708">
      <w:bodyDiv w:val="1"/>
      <w:marLeft w:val="0"/>
      <w:marRight w:val="0"/>
      <w:marTop w:val="0"/>
      <w:marBottom w:val="0"/>
      <w:divBdr>
        <w:top w:val="none" w:sz="0" w:space="0" w:color="auto"/>
        <w:left w:val="none" w:sz="0" w:space="0" w:color="auto"/>
        <w:bottom w:val="none" w:sz="0" w:space="0" w:color="auto"/>
        <w:right w:val="none" w:sz="0" w:space="0" w:color="auto"/>
      </w:divBdr>
    </w:div>
    <w:div w:id="240338424">
      <w:bodyDiv w:val="1"/>
      <w:marLeft w:val="0"/>
      <w:marRight w:val="0"/>
      <w:marTop w:val="0"/>
      <w:marBottom w:val="0"/>
      <w:divBdr>
        <w:top w:val="none" w:sz="0" w:space="0" w:color="auto"/>
        <w:left w:val="none" w:sz="0" w:space="0" w:color="auto"/>
        <w:bottom w:val="none" w:sz="0" w:space="0" w:color="auto"/>
        <w:right w:val="none" w:sz="0" w:space="0" w:color="auto"/>
      </w:divBdr>
    </w:div>
    <w:div w:id="246306623">
      <w:bodyDiv w:val="1"/>
      <w:marLeft w:val="0"/>
      <w:marRight w:val="0"/>
      <w:marTop w:val="0"/>
      <w:marBottom w:val="0"/>
      <w:divBdr>
        <w:top w:val="none" w:sz="0" w:space="0" w:color="auto"/>
        <w:left w:val="none" w:sz="0" w:space="0" w:color="auto"/>
        <w:bottom w:val="none" w:sz="0" w:space="0" w:color="auto"/>
        <w:right w:val="none" w:sz="0" w:space="0" w:color="auto"/>
      </w:divBdr>
      <w:divsChild>
        <w:div w:id="790705199">
          <w:marLeft w:val="547"/>
          <w:marRight w:val="0"/>
          <w:marTop w:val="86"/>
          <w:marBottom w:val="0"/>
          <w:divBdr>
            <w:top w:val="none" w:sz="0" w:space="0" w:color="auto"/>
            <w:left w:val="none" w:sz="0" w:space="0" w:color="auto"/>
            <w:bottom w:val="none" w:sz="0" w:space="0" w:color="auto"/>
            <w:right w:val="none" w:sz="0" w:space="0" w:color="auto"/>
          </w:divBdr>
        </w:div>
        <w:div w:id="1294216444">
          <w:marLeft w:val="547"/>
          <w:marRight w:val="0"/>
          <w:marTop w:val="86"/>
          <w:marBottom w:val="0"/>
          <w:divBdr>
            <w:top w:val="none" w:sz="0" w:space="0" w:color="auto"/>
            <w:left w:val="none" w:sz="0" w:space="0" w:color="auto"/>
            <w:bottom w:val="none" w:sz="0" w:space="0" w:color="auto"/>
            <w:right w:val="none" w:sz="0" w:space="0" w:color="auto"/>
          </w:divBdr>
        </w:div>
        <w:div w:id="1810904941">
          <w:marLeft w:val="547"/>
          <w:marRight w:val="0"/>
          <w:marTop w:val="86"/>
          <w:marBottom w:val="0"/>
          <w:divBdr>
            <w:top w:val="none" w:sz="0" w:space="0" w:color="auto"/>
            <w:left w:val="none" w:sz="0" w:space="0" w:color="auto"/>
            <w:bottom w:val="none" w:sz="0" w:space="0" w:color="auto"/>
            <w:right w:val="none" w:sz="0" w:space="0" w:color="auto"/>
          </w:divBdr>
        </w:div>
        <w:div w:id="1243904803">
          <w:marLeft w:val="547"/>
          <w:marRight w:val="0"/>
          <w:marTop w:val="86"/>
          <w:marBottom w:val="0"/>
          <w:divBdr>
            <w:top w:val="none" w:sz="0" w:space="0" w:color="auto"/>
            <w:left w:val="none" w:sz="0" w:space="0" w:color="auto"/>
            <w:bottom w:val="none" w:sz="0" w:space="0" w:color="auto"/>
            <w:right w:val="none" w:sz="0" w:space="0" w:color="auto"/>
          </w:divBdr>
        </w:div>
        <w:div w:id="248585802">
          <w:marLeft w:val="547"/>
          <w:marRight w:val="0"/>
          <w:marTop w:val="86"/>
          <w:marBottom w:val="0"/>
          <w:divBdr>
            <w:top w:val="none" w:sz="0" w:space="0" w:color="auto"/>
            <w:left w:val="none" w:sz="0" w:space="0" w:color="auto"/>
            <w:bottom w:val="none" w:sz="0" w:space="0" w:color="auto"/>
            <w:right w:val="none" w:sz="0" w:space="0" w:color="auto"/>
          </w:divBdr>
        </w:div>
      </w:divsChild>
    </w:div>
    <w:div w:id="248973642">
      <w:bodyDiv w:val="1"/>
      <w:marLeft w:val="0"/>
      <w:marRight w:val="0"/>
      <w:marTop w:val="0"/>
      <w:marBottom w:val="0"/>
      <w:divBdr>
        <w:top w:val="none" w:sz="0" w:space="0" w:color="auto"/>
        <w:left w:val="none" w:sz="0" w:space="0" w:color="auto"/>
        <w:bottom w:val="none" w:sz="0" w:space="0" w:color="auto"/>
        <w:right w:val="none" w:sz="0" w:space="0" w:color="auto"/>
      </w:divBdr>
    </w:div>
    <w:div w:id="249313219">
      <w:bodyDiv w:val="1"/>
      <w:marLeft w:val="0"/>
      <w:marRight w:val="0"/>
      <w:marTop w:val="0"/>
      <w:marBottom w:val="0"/>
      <w:divBdr>
        <w:top w:val="none" w:sz="0" w:space="0" w:color="auto"/>
        <w:left w:val="none" w:sz="0" w:space="0" w:color="auto"/>
        <w:bottom w:val="none" w:sz="0" w:space="0" w:color="auto"/>
        <w:right w:val="none" w:sz="0" w:space="0" w:color="auto"/>
      </w:divBdr>
    </w:div>
    <w:div w:id="251162540">
      <w:bodyDiv w:val="1"/>
      <w:marLeft w:val="0"/>
      <w:marRight w:val="0"/>
      <w:marTop w:val="0"/>
      <w:marBottom w:val="0"/>
      <w:divBdr>
        <w:top w:val="none" w:sz="0" w:space="0" w:color="auto"/>
        <w:left w:val="none" w:sz="0" w:space="0" w:color="auto"/>
        <w:bottom w:val="none" w:sz="0" w:space="0" w:color="auto"/>
        <w:right w:val="none" w:sz="0" w:space="0" w:color="auto"/>
      </w:divBdr>
      <w:divsChild>
        <w:div w:id="1479684033">
          <w:marLeft w:val="547"/>
          <w:marRight w:val="0"/>
          <w:marTop w:val="86"/>
          <w:marBottom w:val="0"/>
          <w:divBdr>
            <w:top w:val="none" w:sz="0" w:space="0" w:color="auto"/>
            <w:left w:val="none" w:sz="0" w:space="0" w:color="auto"/>
            <w:bottom w:val="none" w:sz="0" w:space="0" w:color="auto"/>
            <w:right w:val="none" w:sz="0" w:space="0" w:color="auto"/>
          </w:divBdr>
        </w:div>
      </w:divsChild>
    </w:div>
    <w:div w:id="257754884">
      <w:bodyDiv w:val="1"/>
      <w:marLeft w:val="0"/>
      <w:marRight w:val="0"/>
      <w:marTop w:val="0"/>
      <w:marBottom w:val="0"/>
      <w:divBdr>
        <w:top w:val="none" w:sz="0" w:space="0" w:color="auto"/>
        <w:left w:val="none" w:sz="0" w:space="0" w:color="auto"/>
        <w:bottom w:val="none" w:sz="0" w:space="0" w:color="auto"/>
        <w:right w:val="none" w:sz="0" w:space="0" w:color="auto"/>
      </w:divBdr>
      <w:divsChild>
        <w:div w:id="1837114174">
          <w:marLeft w:val="0"/>
          <w:marRight w:val="0"/>
          <w:marTop w:val="0"/>
          <w:marBottom w:val="0"/>
          <w:divBdr>
            <w:top w:val="none" w:sz="0" w:space="0" w:color="auto"/>
            <w:left w:val="none" w:sz="0" w:space="0" w:color="auto"/>
            <w:bottom w:val="none" w:sz="0" w:space="0" w:color="auto"/>
            <w:right w:val="none" w:sz="0" w:space="0" w:color="auto"/>
          </w:divBdr>
        </w:div>
      </w:divsChild>
    </w:div>
    <w:div w:id="265775995">
      <w:bodyDiv w:val="1"/>
      <w:marLeft w:val="0"/>
      <w:marRight w:val="0"/>
      <w:marTop w:val="0"/>
      <w:marBottom w:val="0"/>
      <w:divBdr>
        <w:top w:val="none" w:sz="0" w:space="0" w:color="auto"/>
        <w:left w:val="none" w:sz="0" w:space="0" w:color="auto"/>
        <w:bottom w:val="none" w:sz="0" w:space="0" w:color="auto"/>
        <w:right w:val="none" w:sz="0" w:space="0" w:color="auto"/>
      </w:divBdr>
    </w:div>
    <w:div w:id="290089763">
      <w:bodyDiv w:val="1"/>
      <w:marLeft w:val="0"/>
      <w:marRight w:val="0"/>
      <w:marTop w:val="0"/>
      <w:marBottom w:val="0"/>
      <w:divBdr>
        <w:top w:val="none" w:sz="0" w:space="0" w:color="auto"/>
        <w:left w:val="none" w:sz="0" w:space="0" w:color="auto"/>
        <w:bottom w:val="none" w:sz="0" w:space="0" w:color="auto"/>
        <w:right w:val="none" w:sz="0" w:space="0" w:color="auto"/>
      </w:divBdr>
      <w:divsChild>
        <w:div w:id="840582256">
          <w:marLeft w:val="547"/>
          <w:marRight w:val="0"/>
          <w:marTop w:val="134"/>
          <w:marBottom w:val="0"/>
          <w:divBdr>
            <w:top w:val="none" w:sz="0" w:space="0" w:color="auto"/>
            <w:left w:val="none" w:sz="0" w:space="0" w:color="auto"/>
            <w:bottom w:val="none" w:sz="0" w:space="0" w:color="auto"/>
            <w:right w:val="none" w:sz="0" w:space="0" w:color="auto"/>
          </w:divBdr>
        </w:div>
      </w:divsChild>
    </w:div>
    <w:div w:id="291715650">
      <w:bodyDiv w:val="1"/>
      <w:marLeft w:val="0"/>
      <w:marRight w:val="0"/>
      <w:marTop w:val="0"/>
      <w:marBottom w:val="0"/>
      <w:divBdr>
        <w:top w:val="none" w:sz="0" w:space="0" w:color="auto"/>
        <w:left w:val="none" w:sz="0" w:space="0" w:color="auto"/>
        <w:bottom w:val="none" w:sz="0" w:space="0" w:color="auto"/>
        <w:right w:val="none" w:sz="0" w:space="0" w:color="auto"/>
      </w:divBdr>
      <w:divsChild>
        <w:div w:id="420181591">
          <w:marLeft w:val="547"/>
          <w:marRight w:val="0"/>
          <w:marTop w:val="115"/>
          <w:marBottom w:val="0"/>
          <w:divBdr>
            <w:top w:val="none" w:sz="0" w:space="0" w:color="auto"/>
            <w:left w:val="none" w:sz="0" w:space="0" w:color="auto"/>
            <w:bottom w:val="none" w:sz="0" w:space="0" w:color="auto"/>
            <w:right w:val="none" w:sz="0" w:space="0" w:color="auto"/>
          </w:divBdr>
        </w:div>
        <w:div w:id="1548836924">
          <w:marLeft w:val="547"/>
          <w:marRight w:val="0"/>
          <w:marTop w:val="115"/>
          <w:marBottom w:val="0"/>
          <w:divBdr>
            <w:top w:val="none" w:sz="0" w:space="0" w:color="auto"/>
            <w:left w:val="none" w:sz="0" w:space="0" w:color="auto"/>
            <w:bottom w:val="none" w:sz="0" w:space="0" w:color="auto"/>
            <w:right w:val="none" w:sz="0" w:space="0" w:color="auto"/>
          </w:divBdr>
        </w:div>
      </w:divsChild>
    </w:div>
    <w:div w:id="294530849">
      <w:bodyDiv w:val="1"/>
      <w:marLeft w:val="0"/>
      <w:marRight w:val="0"/>
      <w:marTop w:val="0"/>
      <w:marBottom w:val="0"/>
      <w:divBdr>
        <w:top w:val="none" w:sz="0" w:space="0" w:color="auto"/>
        <w:left w:val="none" w:sz="0" w:space="0" w:color="auto"/>
        <w:bottom w:val="none" w:sz="0" w:space="0" w:color="auto"/>
        <w:right w:val="none" w:sz="0" w:space="0" w:color="auto"/>
      </w:divBdr>
      <w:divsChild>
        <w:div w:id="2126266032">
          <w:marLeft w:val="1166"/>
          <w:marRight w:val="0"/>
          <w:marTop w:val="77"/>
          <w:marBottom w:val="0"/>
          <w:divBdr>
            <w:top w:val="none" w:sz="0" w:space="0" w:color="auto"/>
            <w:left w:val="none" w:sz="0" w:space="0" w:color="auto"/>
            <w:bottom w:val="none" w:sz="0" w:space="0" w:color="auto"/>
            <w:right w:val="none" w:sz="0" w:space="0" w:color="auto"/>
          </w:divBdr>
        </w:div>
      </w:divsChild>
    </w:div>
    <w:div w:id="300040616">
      <w:bodyDiv w:val="1"/>
      <w:marLeft w:val="0"/>
      <w:marRight w:val="0"/>
      <w:marTop w:val="0"/>
      <w:marBottom w:val="0"/>
      <w:divBdr>
        <w:top w:val="none" w:sz="0" w:space="0" w:color="auto"/>
        <w:left w:val="none" w:sz="0" w:space="0" w:color="auto"/>
        <w:bottom w:val="none" w:sz="0" w:space="0" w:color="auto"/>
        <w:right w:val="none" w:sz="0" w:space="0" w:color="auto"/>
      </w:divBdr>
    </w:div>
    <w:div w:id="302195188">
      <w:bodyDiv w:val="1"/>
      <w:marLeft w:val="0"/>
      <w:marRight w:val="0"/>
      <w:marTop w:val="0"/>
      <w:marBottom w:val="0"/>
      <w:divBdr>
        <w:top w:val="none" w:sz="0" w:space="0" w:color="auto"/>
        <w:left w:val="none" w:sz="0" w:space="0" w:color="auto"/>
        <w:bottom w:val="none" w:sz="0" w:space="0" w:color="auto"/>
        <w:right w:val="none" w:sz="0" w:space="0" w:color="auto"/>
      </w:divBdr>
      <w:divsChild>
        <w:div w:id="33432712">
          <w:marLeft w:val="547"/>
          <w:marRight w:val="0"/>
          <w:marTop w:val="86"/>
          <w:marBottom w:val="0"/>
          <w:divBdr>
            <w:top w:val="none" w:sz="0" w:space="0" w:color="auto"/>
            <w:left w:val="none" w:sz="0" w:space="0" w:color="auto"/>
            <w:bottom w:val="none" w:sz="0" w:space="0" w:color="auto"/>
            <w:right w:val="none" w:sz="0" w:space="0" w:color="auto"/>
          </w:divBdr>
        </w:div>
      </w:divsChild>
    </w:div>
    <w:div w:id="302203500">
      <w:bodyDiv w:val="1"/>
      <w:marLeft w:val="0"/>
      <w:marRight w:val="0"/>
      <w:marTop w:val="0"/>
      <w:marBottom w:val="0"/>
      <w:divBdr>
        <w:top w:val="none" w:sz="0" w:space="0" w:color="auto"/>
        <w:left w:val="none" w:sz="0" w:space="0" w:color="auto"/>
        <w:bottom w:val="none" w:sz="0" w:space="0" w:color="auto"/>
        <w:right w:val="none" w:sz="0" w:space="0" w:color="auto"/>
      </w:divBdr>
    </w:div>
    <w:div w:id="325476963">
      <w:bodyDiv w:val="1"/>
      <w:marLeft w:val="0"/>
      <w:marRight w:val="0"/>
      <w:marTop w:val="0"/>
      <w:marBottom w:val="0"/>
      <w:divBdr>
        <w:top w:val="none" w:sz="0" w:space="0" w:color="auto"/>
        <w:left w:val="none" w:sz="0" w:space="0" w:color="auto"/>
        <w:bottom w:val="none" w:sz="0" w:space="0" w:color="auto"/>
        <w:right w:val="none" w:sz="0" w:space="0" w:color="auto"/>
      </w:divBdr>
    </w:div>
    <w:div w:id="329720789">
      <w:bodyDiv w:val="1"/>
      <w:marLeft w:val="0"/>
      <w:marRight w:val="0"/>
      <w:marTop w:val="0"/>
      <w:marBottom w:val="0"/>
      <w:divBdr>
        <w:top w:val="none" w:sz="0" w:space="0" w:color="auto"/>
        <w:left w:val="none" w:sz="0" w:space="0" w:color="auto"/>
        <w:bottom w:val="none" w:sz="0" w:space="0" w:color="auto"/>
        <w:right w:val="none" w:sz="0" w:space="0" w:color="auto"/>
      </w:divBdr>
      <w:divsChild>
        <w:div w:id="1979335159">
          <w:marLeft w:val="547"/>
          <w:marRight w:val="0"/>
          <w:marTop w:val="77"/>
          <w:marBottom w:val="0"/>
          <w:divBdr>
            <w:top w:val="none" w:sz="0" w:space="0" w:color="auto"/>
            <w:left w:val="none" w:sz="0" w:space="0" w:color="auto"/>
            <w:bottom w:val="none" w:sz="0" w:space="0" w:color="auto"/>
            <w:right w:val="none" w:sz="0" w:space="0" w:color="auto"/>
          </w:divBdr>
        </w:div>
        <w:div w:id="1733432314">
          <w:marLeft w:val="547"/>
          <w:marRight w:val="0"/>
          <w:marTop w:val="77"/>
          <w:marBottom w:val="0"/>
          <w:divBdr>
            <w:top w:val="none" w:sz="0" w:space="0" w:color="auto"/>
            <w:left w:val="none" w:sz="0" w:space="0" w:color="auto"/>
            <w:bottom w:val="none" w:sz="0" w:space="0" w:color="auto"/>
            <w:right w:val="none" w:sz="0" w:space="0" w:color="auto"/>
          </w:divBdr>
        </w:div>
        <w:div w:id="945043126">
          <w:marLeft w:val="547"/>
          <w:marRight w:val="0"/>
          <w:marTop w:val="77"/>
          <w:marBottom w:val="0"/>
          <w:divBdr>
            <w:top w:val="none" w:sz="0" w:space="0" w:color="auto"/>
            <w:left w:val="none" w:sz="0" w:space="0" w:color="auto"/>
            <w:bottom w:val="none" w:sz="0" w:space="0" w:color="auto"/>
            <w:right w:val="none" w:sz="0" w:space="0" w:color="auto"/>
          </w:divBdr>
        </w:div>
        <w:div w:id="289943597">
          <w:marLeft w:val="547"/>
          <w:marRight w:val="0"/>
          <w:marTop w:val="77"/>
          <w:marBottom w:val="0"/>
          <w:divBdr>
            <w:top w:val="none" w:sz="0" w:space="0" w:color="auto"/>
            <w:left w:val="none" w:sz="0" w:space="0" w:color="auto"/>
            <w:bottom w:val="none" w:sz="0" w:space="0" w:color="auto"/>
            <w:right w:val="none" w:sz="0" w:space="0" w:color="auto"/>
          </w:divBdr>
        </w:div>
        <w:div w:id="719062751">
          <w:marLeft w:val="547"/>
          <w:marRight w:val="0"/>
          <w:marTop w:val="77"/>
          <w:marBottom w:val="0"/>
          <w:divBdr>
            <w:top w:val="none" w:sz="0" w:space="0" w:color="auto"/>
            <w:left w:val="none" w:sz="0" w:space="0" w:color="auto"/>
            <w:bottom w:val="none" w:sz="0" w:space="0" w:color="auto"/>
            <w:right w:val="none" w:sz="0" w:space="0" w:color="auto"/>
          </w:divBdr>
        </w:div>
      </w:divsChild>
    </w:div>
    <w:div w:id="330762884">
      <w:bodyDiv w:val="1"/>
      <w:marLeft w:val="0"/>
      <w:marRight w:val="0"/>
      <w:marTop w:val="0"/>
      <w:marBottom w:val="0"/>
      <w:divBdr>
        <w:top w:val="none" w:sz="0" w:space="0" w:color="auto"/>
        <w:left w:val="none" w:sz="0" w:space="0" w:color="auto"/>
        <w:bottom w:val="none" w:sz="0" w:space="0" w:color="auto"/>
        <w:right w:val="none" w:sz="0" w:space="0" w:color="auto"/>
      </w:divBdr>
      <w:divsChild>
        <w:div w:id="1128861136">
          <w:marLeft w:val="547"/>
          <w:marRight w:val="0"/>
          <w:marTop w:val="67"/>
          <w:marBottom w:val="0"/>
          <w:divBdr>
            <w:top w:val="none" w:sz="0" w:space="0" w:color="auto"/>
            <w:left w:val="none" w:sz="0" w:space="0" w:color="auto"/>
            <w:bottom w:val="none" w:sz="0" w:space="0" w:color="auto"/>
            <w:right w:val="none" w:sz="0" w:space="0" w:color="auto"/>
          </w:divBdr>
        </w:div>
        <w:div w:id="439378320">
          <w:marLeft w:val="547"/>
          <w:marRight w:val="0"/>
          <w:marTop w:val="67"/>
          <w:marBottom w:val="0"/>
          <w:divBdr>
            <w:top w:val="none" w:sz="0" w:space="0" w:color="auto"/>
            <w:left w:val="none" w:sz="0" w:space="0" w:color="auto"/>
            <w:bottom w:val="none" w:sz="0" w:space="0" w:color="auto"/>
            <w:right w:val="none" w:sz="0" w:space="0" w:color="auto"/>
          </w:divBdr>
        </w:div>
        <w:div w:id="1163427354">
          <w:marLeft w:val="547"/>
          <w:marRight w:val="0"/>
          <w:marTop w:val="67"/>
          <w:marBottom w:val="0"/>
          <w:divBdr>
            <w:top w:val="none" w:sz="0" w:space="0" w:color="auto"/>
            <w:left w:val="none" w:sz="0" w:space="0" w:color="auto"/>
            <w:bottom w:val="none" w:sz="0" w:space="0" w:color="auto"/>
            <w:right w:val="none" w:sz="0" w:space="0" w:color="auto"/>
          </w:divBdr>
        </w:div>
        <w:div w:id="1758749586">
          <w:marLeft w:val="547"/>
          <w:marRight w:val="0"/>
          <w:marTop w:val="67"/>
          <w:marBottom w:val="0"/>
          <w:divBdr>
            <w:top w:val="none" w:sz="0" w:space="0" w:color="auto"/>
            <w:left w:val="none" w:sz="0" w:space="0" w:color="auto"/>
            <w:bottom w:val="none" w:sz="0" w:space="0" w:color="auto"/>
            <w:right w:val="none" w:sz="0" w:space="0" w:color="auto"/>
          </w:divBdr>
        </w:div>
        <w:div w:id="710036327">
          <w:marLeft w:val="547"/>
          <w:marRight w:val="0"/>
          <w:marTop w:val="67"/>
          <w:marBottom w:val="0"/>
          <w:divBdr>
            <w:top w:val="none" w:sz="0" w:space="0" w:color="auto"/>
            <w:left w:val="none" w:sz="0" w:space="0" w:color="auto"/>
            <w:bottom w:val="none" w:sz="0" w:space="0" w:color="auto"/>
            <w:right w:val="none" w:sz="0" w:space="0" w:color="auto"/>
          </w:divBdr>
        </w:div>
        <w:div w:id="951127400">
          <w:marLeft w:val="547"/>
          <w:marRight w:val="0"/>
          <w:marTop w:val="67"/>
          <w:marBottom w:val="0"/>
          <w:divBdr>
            <w:top w:val="none" w:sz="0" w:space="0" w:color="auto"/>
            <w:left w:val="none" w:sz="0" w:space="0" w:color="auto"/>
            <w:bottom w:val="none" w:sz="0" w:space="0" w:color="auto"/>
            <w:right w:val="none" w:sz="0" w:space="0" w:color="auto"/>
          </w:divBdr>
        </w:div>
        <w:div w:id="712776870">
          <w:marLeft w:val="547"/>
          <w:marRight w:val="0"/>
          <w:marTop w:val="67"/>
          <w:marBottom w:val="0"/>
          <w:divBdr>
            <w:top w:val="none" w:sz="0" w:space="0" w:color="auto"/>
            <w:left w:val="none" w:sz="0" w:space="0" w:color="auto"/>
            <w:bottom w:val="none" w:sz="0" w:space="0" w:color="auto"/>
            <w:right w:val="none" w:sz="0" w:space="0" w:color="auto"/>
          </w:divBdr>
        </w:div>
      </w:divsChild>
    </w:div>
    <w:div w:id="333727493">
      <w:bodyDiv w:val="1"/>
      <w:marLeft w:val="0"/>
      <w:marRight w:val="0"/>
      <w:marTop w:val="0"/>
      <w:marBottom w:val="0"/>
      <w:divBdr>
        <w:top w:val="none" w:sz="0" w:space="0" w:color="auto"/>
        <w:left w:val="none" w:sz="0" w:space="0" w:color="auto"/>
        <w:bottom w:val="none" w:sz="0" w:space="0" w:color="auto"/>
        <w:right w:val="none" w:sz="0" w:space="0" w:color="auto"/>
      </w:divBdr>
      <w:divsChild>
        <w:div w:id="1196389274">
          <w:marLeft w:val="547"/>
          <w:marRight w:val="0"/>
          <w:marTop w:val="86"/>
          <w:marBottom w:val="0"/>
          <w:divBdr>
            <w:top w:val="none" w:sz="0" w:space="0" w:color="auto"/>
            <w:left w:val="none" w:sz="0" w:space="0" w:color="auto"/>
            <w:bottom w:val="none" w:sz="0" w:space="0" w:color="auto"/>
            <w:right w:val="none" w:sz="0" w:space="0" w:color="auto"/>
          </w:divBdr>
        </w:div>
      </w:divsChild>
    </w:div>
    <w:div w:id="392313069">
      <w:bodyDiv w:val="1"/>
      <w:marLeft w:val="0"/>
      <w:marRight w:val="0"/>
      <w:marTop w:val="0"/>
      <w:marBottom w:val="0"/>
      <w:divBdr>
        <w:top w:val="none" w:sz="0" w:space="0" w:color="auto"/>
        <w:left w:val="none" w:sz="0" w:space="0" w:color="auto"/>
        <w:bottom w:val="none" w:sz="0" w:space="0" w:color="auto"/>
        <w:right w:val="none" w:sz="0" w:space="0" w:color="auto"/>
      </w:divBdr>
    </w:div>
    <w:div w:id="392508481">
      <w:bodyDiv w:val="1"/>
      <w:marLeft w:val="0"/>
      <w:marRight w:val="0"/>
      <w:marTop w:val="0"/>
      <w:marBottom w:val="0"/>
      <w:divBdr>
        <w:top w:val="none" w:sz="0" w:space="0" w:color="auto"/>
        <w:left w:val="none" w:sz="0" w:space="0" w:color="auto"/>
        <w:bottom w:val="none" w:sz="0" w:space="0" w:color="auto"/>
        <w:right w:val="none" w:sz="0" w:space="0" w:color="auto"/>
      </w:divBdr>
    </w:div>
    <w:div w:id="420178405">
      <w:bodyDiv w:val="1"/>
      <w:marLeft w:val="0"/>
      <w:marRight w:val="0"/>
      <w:marTop w:val="0"/>
      <w:marBottom w:val="0"/>
      <w:divBdr>
        <w:top w:val="none" w:sz="0" w:space="0" w:color="auto"/>
        <w:left w:val="none" w:sz="0" w:space="0" w:color="auto"/>
        <w:bottom w:val="none" w:sz="0" w:space="0" w:color="auto"/>
        <w:right w:val="none" w:sz="0" w:space="0" w:color="auto"/>
      </w:divBdr>
      <w:divsChild>
        <w:div w:id="1225143904">
          <w:marLeft w:val="547"/>
          <w:marRight w:val="0"/>
          <w:marTop w:val="96"/>
          <w:marBottom w:val="0"/>
          <w:divBdr>
            <w:top w:val="none" w:sz="0" w:space="0" w:color="auto"/>
            <w:left w:val="none" w:sz="0" w:space="0" w:color="auto"/>
            <w:bottom w:val="none" w:sz="0" w:space="0" w:color="auto"/>
            <w:right w:val="none" w:sz="0" w:space="0" w:color="auto"/>
          </w:divBdr>
        </w:div>
        <w:div w:id="1928807668">
          <w:marLeft w:val="547"/>
          <w:marRight w:val="0"/>
          <w:marTop w:val="96"/>
          <w:marBottom w:val="0"/>
          <w:divBdr>
            <w:top w:val="none" w:sz="0" w:space="0" w:color="auto"/>
            <w:left w:val="none" w:sz="0" w:space="0" w:color="auto"/>
            <w:bottom w:val="none" w:sz="0" w:space="0" w:color="auto"/>
            <w:right w:val="none" w:sz="0" w:space="0" w:color="auto"/>
          </w:divBdr>
        </w:div>
        <w:div w:id="1949433987">
          <w:marLeft w:val="547"/>
          <w:marRight w:val="0"/>
          <w:marTop w:val="96"/>
          <w:marBottom w:val="0"/>
          <w:divBdr>
            <w:top w:val="none" w:sz="0" w:space="0" w:color="auto"/>
            <w:left w:val="none" w:sz="0" w:space="0" w:color="auto"/>
            <w:bottom w:val="none" w:sz="0" w:space="0" w:color="auto"/>
            <w:right w:val="none" w:sz="0" w:space="0" w:color="auto"/>
          </w:divBdr>
        </w:div>
      </w:divsChild>
    </w:div>
    <w:div w:id="430705285">
      <w:bodyDiv w:val="1"/>
      <w:marLeft w:val="0"/>
      <w:marRight w:val="0"/>
      <w:marTop w:val="0"/>
      <w:marBottom w:val="0"/>
      <w:divBdr>
        <w:top w:val="none" w:sz="0" w:space="0" w:color="auto"/>
        <w:left w:val="none" w:sz="0" w:space="0" w:color="auto"/>
        <w:bottom w:val="none" w:sz="0" w:space="0" w:color="auto"/>
        <w:right w:val="none" w:sz="0" w:space="0" w:color="auto"/>
      </w:divBdr>
    </w:div>
    <w:div w:id="441074166">
      <w:bodyDiv w:val="1"/>
      <w:marLeft w:val="0"/>
      <w:marRight w:val="0"/>
      <w:marTop w:val="0"/>
      <w:marBottom w:val="0"/>
      <w:divBdr>
        <w:top w:val="none" w:sz="0" w:space="0" w:color="auto"/>
        <w:left w:val="none" w:sz="0" w:space="0" w:color="auto"/>
        <w:bottom w:val="none" w:sz="0" w:space="0" w:color="auto"/>
        <w:right w:val="none" w:sz="0" w:space="0" w:color="auto"/>
      </w:divBdr>
      <w:divsChild>
        <w:div w:id="1828474332">
          <w:marLeft w:val="0"/>
          <w:marRight w:val="0"/>
          <w:marTop w:val="0"/>
          <w:marBottom w:val="0"/>
          <w:divBdr>
            <w:top w:val="none" w:sz="0" w:space="0" w:color="auto"/>
            <w:left w:val="none" w:sz="0" w:space="0" w:color="auto"/>
            <w:bottom w:val="none" w:sz="0" w:space="0" w:color="auto"/>
            <w:right w:val="none" w:sz="0" w:space="0" w:color="auto"/>
          </w:divBdr>
        </w:div>
        <w:div w:id="387800316">
          <w:marLeft w:val="0"/>
          <w:marRight w:val="0"/>
          <w:marTop w:val="0"/>
          <w:marBottom w:val="0"/>
          <w:divBdr>
            <w:top w:val="none" w:sz="0" w:space="0" w:color="auto"/>
            <w:left w:val="none" w:sz="0" w:space="0" w:color="auto"/>
            <w:bottom w:val="none" w:sz="0" w:space="0" w:color="auto"/>
            <w:right w:val="none" w:sz="0" w:space="0" w:color="auto"/>
          </w:divBdr>
        </w:div>
        <w:div w:id="1525903418">
          <w:marLeft w:val="0"/>
          <w:marRight w:val="0"/>
          <w:marTop w:val="0"/>
          <w:marBottom w:val="0"/>
          <w:divBdr>
            <w:top w:val="none" w:sz="0" w:space="0" w:color="auto"/>
            <w:left w:val="none" w:sz="0" w:space="0" w:color="auto"/>
            <w:bottom w:val="none" w:sz="0" w:space="0" w:color="auto"/>
            <w:right w:val="none" w:sz="0" w:space="0" w:color="auto"/>
          </w:divBdr>
        </w:div>
      </w:divsChild>
    </w:div>
    <w:div w:id="443351675">
      <w:bodyDiv w:val="1"/>
      <w:marLeft w:val="0"/>
      <w:marRight w:val="0"/>
      <w:marTop w:val="0"/>
      <w:marBottom w:val="0"/>
      <w:divBdr>
        <w:top w:val="none" w:sz="0" w:space="0" w:color="auto"/>
        <w:left w:val="none" w:sz="0" w:space="0" w:color="auto"/>
        <w:bottom w:val="none" w:sz="0" w:space="0" w:color="auto"/>
        <w:right w:val="none" w:sz="0" w:space="0" w:color="auto"/>
      </w:divBdr>
      <w:divsChild>
        <w:div w:id="1924298398">
          <w:marLeft w:val="547"/>
          <w:marRight w:val="0"/>
          <w:marTop w:val="86"/>
          <w:marBottom w:val="0"/>
          <w:divBdr>
            <w:top w:val="none" w:sz="0" w:space="0" w:color="auto"/>
            <w:left w:val="none" w:sz="0" w:space="0" w:color="auto"/>
            <w:bottom w:val="none" w:sz="0" w:space="0" w:color="auto"/>
            <w:right w:val="none" w:sz="0" w:space="0" w:color="auto"/>
          </w:divBdr>
        </w:div>
        <w:div w:id="1090004948">
          <w:marLeft w:val="547"/>
          <w:marRight w:val="0"/>
          <w:marTop w:val="86"/>
          <w:marBottom w:val="0"/>
          <w:divBdr>
            <w:top w:val="none" w:sz="0" w:space="0" w:color="auto"/>
            <w:left w:val="none" w:sz="0" w:space="0" w:color="auto"/>
            <w:bottom w:val="none" w:sz="0" w:space="0" w:color="auto"/>
            <w:right w:val="none" w:sz="0" w:space="0" w:color="auto"/>
          </w:divBdr>
        </w:div>
        <w:div w:id="33963866">
          <w:marLeft w:val="547"/>
          <w:marRight w:val="0"/>
          <w:marTop w:val="86"/>
          <w:marBottom w:val="0"/>
          <w:divBdr>
            <w:top w:val="none" w:sz="0" w:space="0" w:color="auto"/>
            <w:left w:val="none" w:sz="0" w:space="0" w:color="auto"/>
            <w:bottom w:val="none" w:sz="0" w:space="0" w:color="auto"/>
            <w:right w:val="none" w:sz="0" w:space="0" w:color="auto"/>
          </w:divBdr>
        </w:div>
        <w:div w:id="882518770">
          <w:marLeft w:val="547"/>
          <w:marRight w:val="0"/>
          <w:marTop w:val="86"/>
          <w:marBottom w:val="0"/>
          <w:divBdr>
            <w:top w:val="none" w:sz="0" w:space="0" w:color="auto"/>
            <w:left w:val="none" w:sz="0" w:space="0" w:color="auto"/>
            <w:bottom w:val="none" w:sz="0" w:space="0" w:color="auto"/>
            <w:right w:val="none" w:sz="0" w:space="0" w:color="auto"/>
          </w:divBdr>
        </w:div>
      </w:divsChild>
    </w:div>
    <w:div w:id="455029324">
      <w:bodyDiv w:val="1"/>
      <w:marLeft w:val="0"/>
      <w:marRight w:val="0"/>
      <w:marTop w:val="0"/>
      <w:marBottom w:val="0"/>
      <w:divBdr>
        <w:top w:val="none" w:sz="0" w:space="0" w:color="auto"/>
        <w:left w:val="none" w:sz="0" w:space="0" w:color="auto"/>
        <w:bottom w:val="none" w:sz="0" w:space="0" w:color="auto"/>
        <w:right w:val="none" w:sz="0" w:space="0" w:color="auto"/>
      </w:divBdr>
      <w:divsChild>
        <w:div w:id="1505120645">
          <w:marLeft w:val="547"/>
          <w:marRight w:val="0"/>
          <w:marTop w:val="86"/>
          <w:marBottom w:val="0"/>
          <w:divBdr>
            <w:top w:val="none" w:sz="0" w:space="0" w:color="auto"/>
            <w:left w:val="none" w:sz="0" w:space="0" w:color="auto"/>
            <w:bottom w:val="none" w:sz="0" w:space="0" w:color="auto"/>
            <w:right w:val="none" w:sz="0" w:space="0" w:color="auto"/>
          </w:divBdr>
        </w:div>
        <w:div w:id="391925627">
          <w:marLeft w:val="547"/>
          <w:marRight w:val="0"/>
          <w:marTop w:val="86"/>
          <w:marBottom w:val="0"/>
          <w:divBdr>
            <w:top w:val="none" w:sz="0" w:space="0" w:color="auto"/>
            <w:left w:val="none" w:sz="0" w:space="0" w:color="auto"/>
            <w:bottom w:val="none" w:sz="0" w:space="0" w:color="auto"/>
            <w:right w:val="none" w:sz="0" w:space="0" w:color="auto"/>
          </w:divBdr>
        </w:div>
        <w:div w:id="1858304508">
          <w:marLeft w:val="547"/>
          <w:marRight w:val="0"/>
          <w:marTop w:val="86"/>
          <w:marBottom w:val="0"/>
          <w:divBdr>
            <w:top w:val="none" w:sz="0" w:space="0" w:color="auto"/>
            <w:left w:val="none" w:sz="0" w:space="0" w:color="auto"/>
            <w:bottom w:val="none" w:sz="0" w:space="0" w:color="auto"/>
            <w:right w:val="none" w:sz="0" w:space="0" w:color="auto"/>
          </w:divBdr>
        </w:div>
        <w:div w:id="379211595">
          <w:marLeft w:val="547"/>
          <w:marRight w:val="0"/>
          <w:marTop w:val="86"/>
          <w:marBottom w:val="0"/>
          <w:divBdr>
            <w:top w:val="none" w:sz="0" w:space="0" w:color="auto"/>
            <w:left w:val="none" w:sz="0" w:space="0" w:color="auto"/>
            <w:bottom w:val="none" w:sz="0" w:space="0" w:color="auto"/>
            <w:right w:val="none" w:sz="0" w:space="0" w:color="auto"/>
          </w:divBdr>
        </w:div>
      </w:divsChild>
    </w:div>
    <w:div w:id="461583567">
      <w:bodyDiv w:val="1"/>
      <w:marLeft w:val="0"/>
      <w:marRight w:val="0"/>
      <w:marTop w:val="0"/>
      <w:marBottom w:val="0"/>
      <w:divBdr>
        <w:top w:val="none" w:sz="0" w:space="0" w:color="auto"/>
        <w:left w:val="none" w:sz="0" w:space="0" w:color="auto"/>
        <w:bottom w:val="none" w:sz="0" w:space="0" w:color="auto"/>
        <w:right w:val="none" w:sz="0" w:space="0" w:color="auto"/>
      </w:divBdr>
    </w:div>
    <w:div w:id="471867679">
      <w:bodyDiv w:val="1"/>
      <w:marLeft w:val="0"/>
      <w:marRight w:val="0"/>
      <w:marTop w:val="0"/>
      <w:marBottom w:val="0"/>
      <w:divBdr>
        <w:top w:val="none" w:sz="0" w:space="0" w:color="auto"/>
        <w:left w:val="none" w:sz="0" w:space="0" w:color="auto"/>
        <w:bottom w:val="none" w:sz="0" w:space="0" w:color="auto"/>
        <w:right w:val="none" w:sz="0" w:space="0" w:color="auto"/>
      </w:divBdr>
    </w:div>
    <w:div w:id="475805584">
      <w:bodyDiv w:val="1"/>
      <w:marLeft w:val="0"/>
      <w:marRight w:val="0"/>
      <w:marTop w:val="0"/>
      <w:marBottom w:val="0"/>
      <w:divBdr>
        <w:top w:val="none" w:sz="0" w:space="0" w:color="auto"/>
        <w:left w:val="none" w:sz="0" w:space="0" w:color="auto"/>
        <w:bottom w:val="none" w:sz="0" w:space="0" w:color="auto"/>
        <w:right w:val="none" w:sz="0" w:space="0" w:color="auto"/>
      </w:divBdr>
    </w:div>
    <w:div w:id="488794493">
      <w:bodyDiv w:val="1"/>
      <w:marLeft w:val="0"/>
      <w:marRight w:val="0"/>
      <w:marTop w:val="0"/>
      <w:marBottom w:val="0"/>
      <w:divBdr>
        <w:top w:val="none" w:sz="0" w:space="0" w:color="auto"/>
        <w:left w:val="none" w:sz="0" w:space="0" w:color="auto"/>
        <w:bottom w:val="none" w:sz="0" w:space="0" w:color="auto"/>
        <w:right w:val="none" w:sz="0" w:space="0" w:color="auto"/>
      </w:divBdr>
      <w:divsChild>
        <w:div w:id="850030254">
          <w:marLeft w:val="547"/>
          <w:marRight w:val="0"/>
          <w:marTop w:val="77"/>
          <w:marBottom w:val="0"/>
          <w:divBdr>
            <w:top w:val="none" w:sz="0" w:space="0" w:color="auto"/>
            <w:left w:val="none" w:sz="0" w:space="0" w:color="auto"/>
            <w:bottom w:val="none" w:sz="0" w:space="0" w:color="auto"/>
            <w:right w:val="none" w:sz="0" w:space="0" w:color="auto"/>
          </w:divBdr>
        </w:div>
        <w:div w:id="427312368">
          <w:marLeft w:val="547"/>
          <w:marRight w:val="0"/>
          <w:marTop w:val="77"/>
          <w:marBottom w:val="0"/>
          <w:divBdr>
            <w:top w:val="none" w:sz="0" w:space="0" w:color="auto"/>
            <w:left w:val="none" w:sz="0" w:space="0" w:color="auto"/>
            <w:bottom w:val="none" w:sz="0" w:space="0" w:color="auto"/>
            <w:right w:val="none" w:sz="0" w:space="0" w:color="auto"/>
          </w:divBdr>
        </w:div>
        <w:div w:id="325090074">
          <w:marLeft w:val="547"/>
          <w:marRight w:val="0"/>
          <w:marTop w:val="77"/>
          <w:marBottom w:val="0"/>
          <w:divBdr>
            <w:top w:val="none" w:sz="0" w:space="0" w:color="auto"/>
            <w:left w:val="none" w:sz="0" w:space="0" w:color="auto"/>
            <w:bottom w:val="none" w:sz="0" w:space="0" w:color="auto"/>
            <w:right w:val="none" w:sz="0" w:space="0" w:color="auto"/>
          </w:divBdr>
        </w:div>
        <w:div w:id="239415093">
          <w:marLeft w:val="547"/>
          <w:marRight w:val="0"/>
          <w:marTop w:val="77"/>
          <w:marBottom w:val="0"/>
          <w:divBdr>
            <w:top w:val="none" w:sz="0" w:space="0" w:color="auto"/>
            <w:left w:val="none" w:sz="0" w:space="0" w:color="auto"/>
            <w:bottom w:val="none" w:sz="0" w:space="0" w:color="auto"/>
            <w:right w:val="none" w:sz="0" w:space="0" w:color="auto"/>
          </w:divBdr>
        </w:div>
      </w:divsChild>
    </w:div>
    <w:div w:id="496311690">
      <w:bodyDiv w:val="1"/>
      <w:marLeft w:val="0"/>
      <w:marRight w:val="0"/>
      <w:marTop w:val="0"/>
      <w:marBottom w:val="0"/>
      <w:divBdr>
        <w:top w:val="none" w:sz="0" w:space="0" w:color="auto"/>
        <w:left w:val="none" w:sz="0" w:space="0" w:color="auto"/>
        <w:bottom w:val="none" w:sz="0" w:space="0" w:color="auto"/>
        <w:right w:val="none" w:sz="0" w:space="0" w:color="auto"/>
      </w:divBdr>
      <w:divsChild>
        <w:div w:id="176888860">
          <w:marLeft w:val="547"/>
          <w:marRight w:val="0"/>
          <w:marTop w:val="86"/>
          <w:marBottom w:val="0"/>
          <w:divBdr>
            <w:top w:val="none" w:sz="0" w:space="0" w:color="auto"/>
            <w:left w:val="none" w:sz="0" w:space="0" w:color="auto"/>
            <w:bottom w:val="none" w:sz="0" w:space="0" w:color="auto"/>
            <w:right w:val="none" w:sz="0" w:space="0" w:color="auto"/>
          </w:divBdr>
        </w:div>
        <w:div w:id="1048796669">
          <w:marLeft w:val="547"/>
          <w:marRight w:val="0"/>
          <w:marTop w:val="86"/>
          <w:marBottom w:val="0"/>
          <w:divBdr>
            <w:top w:val="none" w:sz="0" w:space="0" w:color="auto"/>
            <w:left w:val="none" w:sz="0" w:space="0" w:color="auto"/>
            <w:bottom w:val="none" w:sz="0" w:space="0" w:color="auto"/>
            <w:right w:val="none" w:sz="0" w:space="0" w:color="auto"/>
          </w:divBdr>
        </w:div>
        <w:div w:id="747461556">
          <w:marLeft w:val="547"/>
          <w:marRight w:val="0"/>
          <w:marTop w:val="86"/>
          <w:marBottom w:val="0"/>
          <w:divBdr>
            <w:top w:val="none" w:sz="0" w:space="0" w:color="auto"/>
            <w:left w:val="none" w:sz="0" w:space="0" w:color="auto"/>
            <w:bottom w:val="none" w:sz="0" w:space="0" w:color="auto"/>
            <w:right w:val="none" w:sz="0" w:space="0" w:color="auto"/>
          </w:divBdr>
        </w:div>
      </w:divsChild>
    </w:div>
    <w:div w:id="500463934">
      <w:bodyDiv w:val="1"/>
      <w:marLeft w:val="0"/>
      <w:marRight w:val="0"/>
      <w:marTop w:val="0"/>
      <w:marBottom w:val="0"/>
      <w:divBdr>
        <w:top w:val="none" w:sz="0" w:space="0" w:color="auto"/>
        <w:left w:val="none" w:sz="0" w:space="0" w:color="auto"/>
        <w:bottom w:val="none" w:sz="0" w:space="0" w:color="auto"/>
        <w:right w:val="none" w:sz="0" w:space="0" w:color="auto"/>
      </w:divBdr>
    </w:div>
    <w:div w:id="519860697">
      <w:bodyDiv w:val="1"/>
      <w:marLeft w:val="0"/>
      <w:marRight w:val="0"/>
      <w:marTop w:val="0"/>
      <w:marBottom w:val="0"/>
      <w:divBdr>
        <w:top w:val="none" w:sz="0" w:space="0" w:color="auto"/>
        <w:left w:val="none" w:sz="0" w:space="0" w:color="auto"/>
        <w:bottom w:val="none" w:sz="0" w:space="0" w:color="auto"/>
        <w:right w:val="none" w:sz="0" w:space="0" w:color="auto"/>
      </w:divBdr>
    </w:div>
    <w:div w:id="527917084">
      <w:bodyDiv w:val="1"/>
      <w:marLeft w:val="0"/>
      <w:marRight w:val="0"/>
      <w:marTop w:val="0"/>
      <w:marBottom w:val="0"/>
      <w:divBdr>
        <w:top w:val="none" w:sz="0" w:space="0" w:color="auto"/>
        <w:left w:val="none" w:sz="0" w:space="0" w:color="auto"/>
        <w:bottom w:val="none" w:sz="0" w:space="0" w:color="auto"/>
        <w:right w:val="none" w:sz="0" w:space="0" w:color="auto"/>
      </w:divBdr>
      <w:divsChild>
        <w:div w:id="2030372388">
          <w:marLeft w:val="547"/>
          <w:marRight w:val="0"/>
          <w:marTop w:val="86"/>
          <w:marBottom w:val="0"/>
          <w:divBdr>
            <w:top w:val="none" w:sz="0" w:space="0" w:color="auto"/>
            <w:left w:val="none" w:sz="0" w:space="0" w:color="auto"/>
            <w:bottom w:val="none" w:sz="0" w:space="0" w:color="auto"/>
            <w:right w:val="none" w:sz="0" w:space="0" w:color="auto"/>
          </w:divBdr>
        </w:div>
      </w:divsChild>
    </w:div>
    <w:div w:id="537476671">
      <w:bodyDiv w:val="1"/>
      <w:marLeft w:val="0"/>
      <w:marRight w:val="0"/>
      <w:marTop w:val="0"/>
      <w:marBottom w:val="0"/>
      <w:divBdr>
        <w:top w:val="none" w:sz="0" w:space="0" w:color="auto"/>
        <w:left w:val="none" w:sz="0" w:space="0" w:color="auto"/>
        <w:bottom w:val="none" w:sz="0" w:space="0" w:color="auto"/>
        <w:right w:val="none" w:sz="0" w:space="0" w:color="auto"/>
      </w:divBdr>
    </w:div>
    <w:div w:id="541289969">
      <w:bodyDiv w:val="1"/>
      <w:marLeft w:val="0"/>
      <w:marRight w:val="0"/>
      <w:marTop w:val="0"/>
      <w:marBottom w:val="0"/>
      <w:divBdr>
        <w:top w:val="none" w:sz="0" w:space="0" w:color="auto"/>
        <w:left w:val="none" w:sz="0" w:space="0" w:color="auto"/>
        <w:bottom w:val="none" w:sz="0" w:space="0" w:color="auto"/>
        <w:right w:val="none" w:sz="0" w:space="0" w:color="auto"/>
      </w:divBdr>
      <w:divsChild>
        <w:div w:id="1536190529">
          <w:marLeft w:val="1166"/>
          <w:marRight w:val="0"/>
          <w:marTop w:val="58"/>
          <w:marBottom w:val="0"/>
          <w:divBdr>
            <w:top w:val="none" w:sz="0" w:space="0" w:color="auto"/>
            <w:left w:val="none" w:sz="0" w:space="0" w:color="auto"/>
            <w:bottom w:val="none" w:sz="0" w:space="0" w:color="auto"/>
            <w:right w:val="none" w:sz="0" w:space="0" w:color="auto"/>
          </w:divBdr>
        </w:div>
      </w:divsChild>
    </w:div>
    <w:div w:id="564098651">
      <w:bodyDiv w:val="1"/>
      <w:marLeft w:val="0"/>
      <w:marRight w:val="0"/>
      <w:marTop w:val="0"/>
      <w:marBottom w:val="0"/>
      <w:divBdr>
        <w:top w:val="none" w:sz="0" w:space="0" w:color="auto"/>
        <w:left w:val="none" w:sz="0" w:space="0" w:color="auto"/>
        <w:bottom w:val="none" w:sz="0" w:space="0" w:color="auto"/>
        <w:right w:val="none" w:sz="0" w:space="0" w:color="auto"/>
      </w:divBdr>
      <w:divsChild>
        <w:div w:id="970211922">
          <w:marLeft w:val="547"/>
          <w:marRight w:val="0"/>
          <w:marTop w:val="77"/>
          <w:marBottom w:val="0"/>
          <w:divBdr>
            <w:top w:val="none" w:sz="0" w:space="0" w:color="auto"/>
            <w:left w:val="none" w:sz="0" w:space="0" w:color="auto"/>
            <w:bottom w:val="none" w:sz="0" w:space="0" w:color="auto"/>
            <w:right w:val="none" w:sz="0" w:space="0" w:color="auto"/>
          </w:divBdr>
        </w:div>
        <w:div w:id="1031682225">
          <w:marLeft w:val="547"/>
          <w:marRight w:val="0"/>
          <w:marTop w:val="77"/>
          <w:marBottom w:val="0"/>
          <w:divBdr>
            <w:top w:val="none" w:sz="0" w:space="0" w:color="auto"/>
            <w:left w:val="none" w:sz="0" w:space="0" w:color="auto"/>
            <w:bottom w:val="none" w:sz="0" w:space="0" w:color="auto"/>
            <w:right w:val="none" w:sz="0" w:space="0" w:color="auto"/>
          </w:divBdr>
        </w:div>
        <w:div w:id="1749645922">
          <w:marLeft w:val="547"/>
          <w:marRight w:val="0"/>
          <w:marTop w:val="77"/>
          <w:marBottom w:val="0"/>
          <w:divBdr>
            <w:top w:val="none" w:sz="0" w:space="0" w:color="auto"/>
            <w:left w:val="none" w:sz="0" w:space="0" w:color="auto"/>
            <w:bottom w:val="none" w:sz="0" w:space="0" w:color="auto"/>
            <w:right w:val="none" w:sz="0" w:space="0" w:color="auto"/>
          </w:divBdr>
        </w:div>
      </w:divsChild>
    </w:div>
    <w:div w:id="565920855">
      <w:bodyDiv w:val="1"/>
      <w:marLeft w:val="0"/>
      <w:marRight w:val="0"/>
      <w:marTop w:val="0"/>
      <w:marBottom w:val="0"/>
      <w:divBdr>
        <w:top w:val="none" w:sz="0" w:space="0" w:color="auto"/>
        <w:left w:val="none" w:sz="0" w:space="0" w:color="auto"/>
        <w:bottom w:val="none" w:sz="0" w:space="0" w:color="auto"/>
        <w:right w:val="none" w:sz="0" w:space="0" w:color="auto"/>
      </w:divBdr>
      <w:divsChild>
        <w:div w:id="935676887">
          <w:marLeft w:val="835"/>
          <w:marRight w:val="0"/>
          <w:marTop w:val="77"/>
          <w:marBottom w:val="0"/>
          <w:divBdr>
            <w:top w:val="none" w:sz="0" w:space="0" w:color="auto"/>
            <w:left w:val="none" w:sz="0" w:space="0" w:color="auto"/>
            <w:bottom w:val="none" w:sz="0" w:space="0" w:color="auto"/>
            <w:right w:val="none" w:sz="0" w:space="0" w:color="auto"/>
          </w:divBdr>
        </w:div>
      </w:divsChild>
    </w:div>
    <w:div w:id="569508783">
      <w:bodyDiv w:val="1"/>
      <w:marLeft w:val="0"/>
      <w:marRight w:val="0"/>
      <w:marTop w:val="0"/>
      <w:marBottom w:val="0"/>
      <w:divBdr>
        <w:top w:val="none" w:sz="0" w:space="0" w:color="auto"/>
        <w:left w:val="none" w:sz="0" w:space="0" w:color="auto"/>
        <w:bottom w:val="none" w:sz="0" w:space="0" w:color="auto"/>
        <w:right w:val="none" w:sz="0" w:space="0" w:color="auto"/>
      </w:divBdr>
      <w:divsChild>
        <w:div w:id="1537890378">
          <w:marLeft w:val="0"/>
          <w:marRight w:val="0"/>
          <w:marTop w:val="450"/>
          <w:marBottom w:val="0"/>
          <w:divBdr>
            <w:top w:val="none" w:sz="0" w:space="0" w:color="auto"/>
            <w:left w:val="none" w:sz="0" w:space="0" w:color="auto"/>
            <w:bottom w:val="none" w:sz="0" w:space="0" w:color="auto"/>
            <w:right w:val="none" w:sz="0" w:space="0" w:color="auto"/>
          </w:divBdr>
        </w:div>
        <w:div w:id="815411176">
          <w:marLeft w:val="0"/>
          <w:marRight w:val="0"/>
          <w:marTop w:val="150"/>
          <w:marBottom w:val="0"/>
          <w:divBdr>
            <w:top w:val="none" w:sz="0" w:space="0" w:color="auto"/>
            <w:left w:val="none" w:sz="0" w:space="0" w:color="auto"/>
            <w:bottom w:val="none" w:sz="0" w:space="0" w:color="auto"/>
            <w:right w:val="none" w:sz="0" w:space="0" w:color="auto"/>
          </w:divBdr>
        </w:div>
        <w:div w:id="1646619630">
          <w:marLeft w:val="0"/>
          <w:marRight w:val="0"/>
          <w:marTop w:val="150"/>
          <w:marBottom w:val="0"/>
          <w:divBdr>
            <w:top w:val="none" w:sz="0" w:space="0" w:color="auto"/>
            <w:left w:val="none" w:sz="0" w:space="0" w:color="auto"/>
            <w:bottom w:val="none" w:sz="0" w:space="0" w:color="auto"/>
            <w:right w:val="none" w:sz="0" w:space="0" w:color="auto"/>
          </w:divBdr>
        </w:div>
      </w:divsChild>
    </w:div>
    <w:div w:id="580717822">
      <w:bodyDiv w:val="1"/>
      <w:marLeft w:val="0"/>
      <w:marRight w:val="0"/>
      <w:marTop w:val="0"/>
      <w:marBottom w:val="0"/>
      <w:divBdr>
        <w:top w:val="none" w:sz="0" w:space="0" w:color="auto"/>
        <w:left w:val="none" w:sz="0" w:space="0" w:color="auto"/>
        <w:bottom w:val="none" w:sz="0" w:space="0" w:color="auto"/>
        <w:right w:val="none" w:sz="0" w:space="0" w:color="auto"/>
      </w:divBdr>
    </w:div>
    <w:div w:id="586038400">
      <w:bodyDiv w:val="1"/>
      <w:marLeft w:val="0"/>
      <w:marRight w:val="0"/>
      <w:marTop w:val="0"/>
      <w:marBottom w:val="0"/>
      <w:divBdr>
        <w:top w:val="none" w:sz="0" w:space="0" w:color="auto"/>
        <w:left w:val="none" w:sz="0" w:space="0" w:color="auto"/>
        <w:bottom w:val="none" w:sz="0" w:space="0" w:color="auto"/>
        <w:right w:val="none" w:sz="0" w:space="0" w:color="auto"/>
      </w:divBdr>
      <w:divsChild>
        <w:div w:id="683946342">
          <w:marLeft w:val="0"/>
          <w:marRight w:val="0"/>
          <w:marTop w:val="450"/>
          <w:marBottom w:val="0"/>
          <w:divBdr>
            <w:top w:val="none" w:sz="0" w:space="0" w:color="auto"/>
            <w:left w:val="none" w:sz="0" w:space="0" w:color="auto"/>
            <w:bottom w:val="none" w:sz="0" w:space="0" w:color="auto"/>
            <w:right w:val="none" w:sz="0" w:space="0" w:color="auto"/>
          </w:divBdr>
        </w:div>
        <w:div w:id="584992455">
          <w:marLeft w:val="0"/>
          <w:marRight w:val="0"/>
          <w:marTop w:val="150"/>
          <w:marBottom w:val="0"/>
          <w:divBdr>
            <w:top w:val="none" w:sz="0" w:space="0" w:color="auto"/>
            <w:left w:val="none" w:sz="0" w:space="0" w:color="auto"/>
            <w:bottom w:val="none" w:sz="0" w:space="0" w:color="auto"/>
            <w:right w:val="none" w:sz="0" w:space="0" w:color="auto"/>
          </w:divBdr>
        </w:div>
        <w:div w:id="1871868763">
          <w:marLeft w:val="0"/>
          <w:marRight w:val="0"/>
          <w:marTop w:val="150"/>
          <w:marBottom w:val="0"/>
          <w:divBdr>
            <w:top w:val="none" w:sz="0" w:space="0" w:color="auto"/>
            <w:left w:val="none" w:sz="0" w:space="0" w:color="auto"/>
            <w:bottom w:val="none" w:sz="0" w:space="0" w:color="auto"/>
            <w:right w:val="none" w:sz="0" w:space="0" w:color="auto"/>
          </w:divBdr>
        </w:div>
      </w:divsChild>
    </w:div>
    <w:div w:id="588927054">
      <w:bodyDiv w:val="1"/>
      <w:marLeft w:val="0"/>
      <w:marRight w:val="0"/>
      <w:marTop w:val="0"/>
      <w:marBottom w:val="0"/>
      <w:divBdr>
        <w:top w:val="none" w:sz="0" w:space="0" w:color="auto"/>
        <w:left w:val="none" w:sz="0" w:space="0" w:color="auto"/>
        <w:bottom w:val="none" w:sz="0" w:space="0" w:color="auto"/>
        <w:right w:val="none" w:sz="0" w:space="0" w:color="auto"/>
      </w:divBdr>
      <w:divsChild>
        <w:div w:id="236524571">
          <w:marLeft w:val="547"/>
          <w:marRight w:val="0"/>
          <w:marTop w:val="86"/>
          <w:marBottom w:val="0"/>
          <w:divBdr>
            <w:top w:val="none" w:sz="0" w:space="0" w:color="auto"/>
            <w:left w:val="none" w:sz="0" w:space="0" w:color="auto"/>
            <w:bottom w:val="none" w:sz="0" w:space="0" w:color="auto"/>
            <w:right w:val="none" w:sz="0" w:space="0" w:color="auto"/>
          </w:divBdr>
        </w:div>
        <w:div w:id="1734084489">
          <w:marLeft w:val="547"/>
          <w:marRight w:val="0"/>
          <w:marTop w:val="86"/>
          <w:marBottom w:val="0"/>
          <w:divBdr>
            <w:top w:val="none" w:sz="0" w:space="0" w:color="auto"/>
            <w:left w:val="none" w:sz="0" w:space="0" w:color="auto"/>
            <w:bottom w:val="none" w:sz="0" w:space="0" w:color="auto"/>
            <w:right w:val="none" w:sz="0" w:space="0" w:color="auto"/>
          </w:divBdr>
        </w:div>
        <w:div w:id="1735619740">
          <w:marLeft w:val="547"/>
          <w:marRight w:val="0"/>
          <w:marTop w:val="86"/>
          <w:marBottom w:val="0"/>
          <w:divBdr>
            <w:top w:val="none" w:sz="0" w:space="0" w:color="auto"/>
            <w:left w:val="none" w:sz="0" w:space="0" w:color="auto"/>
            <w:bottom w:val="none" w:sz="0" w:space="0" w:color="auto"/>
            <w:right w:val="none" w:sz="0" w:space="0" w:color="auto"/>
          </w:divBdr>
        </w:div>
      </w:divsChild>
    </w:div>
    <w:div w:id="591360591">
      <w:bodyDiv w:val="1"/>
      <w:marLeft w:val="0"/>
      <w:marRight w:val="0"/>
      <w:marTop w:val="0"/>
      <w:marBottom w:val="0"/>
      <w:divBdr>
        <w:top w:val="none" w:sz="0" w:space="0" w:color="auto"/>
        <w:left w:val="none" w:sz="0" w:space="0" w:color="auto"/>
        <w:bottom w:val="none" w:sz="0" w:space="0" w:color="auto"/>
        <w:right w:val="none" w:sz="0" w:space="0" w:color="auto"/>
      </w:divBdr>
    </w:div>
    <w:div w:id="603417655">
      <w:bodyDiv w:val="1"/>
      <w:marLeft w:val="0"/>
      <w:marRight w:val="0"/>
      <w:marTop w:val="0"/>
      <w:marBottom w:val="0"/>
      <w:divBdr>
        <w:top w:val="none" w:sz="0" w:space="0" w:color="auto"/>
        <w:left w:val="none" w:sz="0" w:space="0" w:color="auto"/>
        <w:bottom w:val="none" w:sz="0" w:space="0" w:color="auto"/>
        <w:right w:val="none" w:sz="0" w:space="0" w:color="auto"/>
      </w:divBdr>
      <w:divsChild>
        <w:div w:id="915557875">
          <w:marLeft w:val="547"/>
          <w:marRight w:val="0"/>
          <w:marTop w:val="77"/>
          <w:marBottom w:val="0"/>
          <w:divBdr>
            <w:top w:val="none" w:sz="0" w:space="0" w:color="auto"/>
            <w:left w:val="none" w:sz="0" w:space="0" w:color="auto"/>
            <w:bottom w:val="none" w:sz="0" w:space="0" w:color="auto"/>
            <w:right w:val="none" w:sz="0" w:space="0" w:color="auto"/>
          </w:divBdr>
        </w:div>
        <w:div w:id="1593929114">
          <w:marLeft w:val="547"/>
          <w:marRight w:val="0"/>
          <w:marTop w:val="77"/>
          <w:marBottom w:val="0"/>
          <w:divBdr>
            <w:top w:val="none" w:sz="0" w:space="0" w:color="auto"/>
            <w:left w:val="none" w:sz="0" w:space="0" w:color="auto"/>
            <w:bottom w:val="none" w:sz="0" w:space="0" w:color="auto"/>
            <w:right w:val="none" w:sz="0" w:space="0" w:color="auto"/>
          </w:divBdr>
        </w:div>
        <w:div w:id="1286276628">
          <w:marLeft w:val="1166"/>
          <w:marRight w:val="0"/>
          <w:marTop w:val="77"/>
          <w:marBottom w:val="0"/>
          <w:divBdr>
            <w:top w:val="none" w:sz="0" w:space="0" w:color="auto"/>
            <w:left w:val="none" w:sz="0" w:space="0" w:color="auto"/>
            <w:bottom w:val="none" w:sz="0" w:space="0" w:color="auto"/>
            <w:right w:val="none" w:sz="0" w:space="0" w:color="auto"/>
          </w:divBdr>
        </w:div>
        <w:div w:id="1821187671">
          <w:marLeft w:val="1166"/>
          <w:marRight w:val="0"/>
          <w:marTop w:val="77"/>
          <w:marBottom w:val="0"/>
          <w:divBdr>
            <w:top w:val="none" w:sz="0" w:space="0" w:color="auto"/>
            <w:left w:val="none" w:sz="0" w:space="0" w:color="auto"/>
            <w:bottom w:val="none" w:sz="0" w:space="0" w:color="auto"/>
            <w:right w:val="none" w:sz="0" w:space="0" w:color="auto"/>
          </w:divBdr>
        </w:div>
        <w:div w:id="283848162">
          <w:marLeft w:val="1166"/>
          <w:marRight w:val="0"/>
          <w:marTop w:val="77"/>
          <w:marBottom w:val="0"/>
          <w:divBdr>
            <w:top w:val="none" w:sz="0" w:space="0" w:color="auto"/>
            <w:left w:val="none" w:sz="0" w:space="0" w:color="auto"/>
            <w:bottom w:val="none" w:sz="0" w:space="0" w:color="auto"/>
            <w:right w:val="none" w:sz="0" w:space="0" w:color="auto"/>
          </w:divBdr>
        </w:div>
        <w:div w:id="1630166190">
          <w:marLeft w:val="1166"/>
          <w:marRight w:val="0"/>
          <w:marTop w:val="77"/>
          <w:marBottom w:val="0"/>
          <w:divBdr>
            <w:top w:val="none" w:sz="0" w:space="0" w:color="auto"/>
            <w:left w:val="none" w:sz="0" w:space="0" w:color="auto"/>
            <w:bottom w:val="none" w:sz="0" w:space="0" w:color="auto"/>
            <w:right w:val="none" w:sz="0" w:space="0" w:color="auto"/>
          </w:divBdr>
        </w:div>
        <w:div w:id="498623349">
          <w:marLeft w:val="1166"/>
          <w:marRight w:val="0"/>
          <w:marTop w:val="77"/>
          <w:marBottom w:val="0"/>
          <w:divBdr>
            <w:top w:val="none" w:sz="0" w:space="0" w:color="auto"/>
            <w:left w:val="none" w:sz="0" w:space="0" w:color="auto"/>
            <w:bottom w:val="none" w:sz="0" w:space="0" w:color="auto"/>
            <w:right w:val="none" w:sz="0" w:space="0" w:color="auto"/>
          </w:divBdr>
        </w:div>
        <w:div w:id="695424387">
          <w:marLeft w:val="1166"/>
          <w:marRight w:val="0"/>
          <w:marTop w:val="77"/>
          <w:marBottom w:val="0"/>
          <w:divBdr>
            <w:top w:val="none" w:sz="0" w:space="0" w:color="auto"/>
            <w:left w:val="none" w:sz="0" w:space="0" w:color="auto"/>
            <w:bottom w:val="none" w:sz="0" w:space="0" w:color="auto"/>
            <w:right w:val="none" w:sz="0" w:space="0" w:color="auto"/>
          </w:divBdr>
        </w:div>
        <w:div w:id="2041544347">
          <w:marLeft w:val="1166"/>
          <w:marRight w:val="0"/>
          <w:marTop w:val="77"/>
          <w:marBottom w:val="0"/>
          <w:divBdr>
            <w:top w:val="none" w:sz="0" w:space="0" w:color="auto"/>
            <w:left w:val="none" w:sz="0" w:space="0" w:color="auto"/>
            <w:bottom w:val="none" w:sz="0" w:space="0" w:color="auto"/>
            <w:right w:val="none" w:sz="0" w:space="0" w:color="auto"/>
          </w:divBdr>
        </w:div>
        <w:div w:id="430781598">
          <w:marLeft w:val="1166"/>
          <w:marRight w:val="0"/>
          <w:marTop w:val="77"/>
          <w:marBottom w:val="0"/>
          <w:divBdr>
            <w:top w:val="none" w:sz="0" w:space="0" w:color="auto"/>
            <w:left w:val="none" w:sz="0" w:space="0" w:color="auto"/>
            <w:bottom w:val="none" w:sz="0" w:space="0" w:color="auto"/>
            <w:right w:val="none" w:sz="0" w:space="0" w:color="auto"/>
          </w:divBdr>
        </w:div>
        <w:div w:id="97875629">
          <w:marLeft w:val="1166"/>
          <w:marRight w:val="0"/>
          <w:marTop w:val="77"/>
          <w:marBottom w:val="0"/>
          <w:divBdr>
            <w:top w:val="none" w:sz="0" w:space="0" w:color="auto"/>
            <w:left w:val="none" w:sz="0" w:space="0" w:color="auto"/>
            <w:bottom w:val="none" w:sz="0" w:space="0" w:color="auto"/>
            <w:right w:val="none" w:sz="0" w:space="0" w:color="auto"/>
          </w:divBdr>
        </w:div>
        <w:div w:id="856236115">
          <w:marLeft w:val="1166"/>
          <w:marRight w:val="0"/>
          <w:marTop w:val="77"/>
          <w:marBottom w:val="0"/>
          <w:divBdr>
            <w:top w:val="none" w:sz="0" w:space="0" w:color="auto"/>
            <w:left w:val="none" w:sz="0" w:space="0" w:color="auto"/>
            <w:bottom w:val="none" w:sz="0" w:space="0" w:color="auto"/>
            <w:right w:val="none" w:sz="0" w:space="0" w:color="auto"/>
          </w:divBdr>
        </w:div>
      </w:divsChild>
    </w:div>
    <w:div w:id="615719506">
      <w:bodyDiv w:val="1"/>
      <w:marLeft w:val="0"/>
      <w:marRight w:val="0"/>
      <w:marTop w:val="0"/>
      <w:marBottom w:val="0"/>
      <w:divBdr>
        <w:top w:val="none" w:sz="0" w:space="0" w:color="auto"/>
        <w:left w:val="none" w:sz="0" w:space="0" w:color="auto"/>
        <w:bottom w:val="none" w:sz="0" w:space="0" w:color="auto"/>
        <w:right w:val="none" w:sz="0" w:space="0" w:color="auto"/>
      </w:divBdr>
    </w:div>
    <w:div w:id="626933287">
      <w:bodyDiv w:val="1"/>
      <w:marLeft w:val="0"/>
      <w:marRight w:val="0"/>
      <w:marTop w:val="0"/>
      <w:marBottom w:val="0"/>
      <w:divBdr>
        <w:top w:val="none" w:sz="0" w:space="0" w:color="auto"/>
        <w:left w:val="none" w:sz="0" w:space="0" w:color="auto"/>
        <w:bottom w:val="none" w:sz="0" w:space="0" w:color="auto"/>
        <w:right w:val="none" w:sz="0" w:space="0" w:color="auto"/>
      </w:divBdr>
      <w:divsChild>
        <w:div w:id="2014527066">
          <w:marLeft w:val="547"/>
          <w:marRight w:val="0"/>
          <w:marTop w:val="86"/>
          <w:marBottom w:val="0"/>
          <w:divBdr>
            <w:top w:val="none" w:sz="0" w:space="0" w:color="auto"/>
            <w:left w:val="none" w:sz="0" w:space="0" w:color="auto"/>
            <w:bottom w:val="none" w:sz="0" w:space="0" w:color="auto"/>
            <w:right w:val="none" w:sz="0" w:space="0" w:color="auto"/>
          </w:divBdr>
        </w:div>
      </w:divsChild>
    </w:div>
    <w:div w:id="629167108">
      <w:bodyDiv w:val="1"/>
      <w:marLeft w:val="0"/>
      <w:marRight w:val="0"/>
      <w:marTop w:val="0"/>
      <w:marBottom w:val="0"/>
      <w:divBdr>
        <w:top w:val="none" w:sz="0" w:space="0" w:color="auto"/>
        <w:left w:val="none" w:sz="0" w:space="0" w:color="auto"/>
        <w:bottom w:val="none" w:sz="0" w:space="0" w:color="auto"/>
        <w:right w:val="none" w:sz="0" w:space="0" w:color="auto"/>
      </w:divBdr>
    </w:div>
    <w:div w:id="632295480">
      <w:bodyDiv w:val="1"/>
      <w:marLeft w:val="0"/>
      <w:marRight w:val="0"/>
      <w:marTop w:val="0"/>
      <w:marBottom w:val="0"/>
      <w:divBdr>
        <w:top w:val="none" w:sz="0" w:space="0" w:color="auto"/>
        <w:left w:val="none" w:sz="0" w:space="0" w:color="auto"/>
        <w:bottom w:val="none" w:sz="0" w:space="0" w:color="auto"/>
        <w:right w:val="none" w:sz="0" w:space="0" w:color="auto"/>
      </w:divBdr>
    </w:div>
    <w:div w:id="636223571">
      <w:bodyDiv w:val="1"/>
      <w:marLeft w:val="0"/>
      <w:marRight w:val="0"/>
      <w:marTop w:val="0"/>
      <w:marBottom w:val="0"/>
      <w:divBdr>
        <w:top w:val="none" w:sz="0" w:space="0" w:color="auto"/>
        <w:left w:val="none" w:sz="0" w:space="0" w:color="auto"/>
        <w:bottom w:val="none" w:sz="0" w:space="0" w:color="auto"/>
        <w:right w:val="none" w:sz="0" w:space="0" w:color="auto"/>
      </w:divBdr>
    </w:div>
    <w:div w:id="647514228">
      <w:bodyDiv w:val="1"/>
      <w:marLeft w:val="0"/>
      <w:marRight w:val="0"/>
      <w:marTop w:val="0"/>
      <w:marBottom w:val="0"/>
      <w:divBdr>
        <w:top w:val="none" w:sz="0" w:space="0" w:color="auto"/>
        <w:left w:val="none" w:sz="0" w:space="0" w:color="auto"/>
        <w:bottom w:val="none" w:sz="0" w:space="0" w:color="auto"/>
        <w:right w:val="none" w:sz="0" w:space="0" w:color="auto"/>
      </w:divBdr>
    </w:div>
    <w:div w:id="661932785">
      <w:bodyDiv w:val="1"/>
      <w:marLeft w:val="0"/>
      <w:marRight w:val="0"/>
      <w:marTop w:val="0"/>
      <w:marBottom w:val="0"/>
      <w:divBdr>
        <w:top w:val="none" w:sz="0" w:space="0" w:color="auto"/>
        <w:left w:val="none" w:sz="0" w:space="0" w:color="auto"/>
        <w:bottom w:val="none" w:sz="0" w:space="0" w:color="auto"/>
        <w:right w:val="none" w:sz="0" w:space="0" w:color="auto"/>
      </w:divBdr>
      <w:divsChild>
        <w:div w:id="1464886069">
          <w:marLeft w:val="547"/>
          <w:marRight w:val="0"/>
          <w:marTop w:val="134"/>
          <w:marBottom w:val="0"/>
          <w:divBdr>
            <w:top w:val="none" w:sz="0" w:space="0" w:color="auto"/>
            <w:left w:val="none" w:sz="0" w:space="0" w:color="auto"/>
            <w:bottom w:val="none" w:sz="0" w:space="0" w:color="auto"/>
            <w:right w:val="none" w:sz="0" w:space="0" w:color="auto"/>
          </w:divBdr>
        </w:div>
        <w:div w:id="2081445132">
          <w:marLeft w:val="547"/>
          <w:marRight w:val="0"/>
          <w:marTop w:val="134"/>
          <w:marBottom w:val="0"/>
          <w:divBdr>
            <w:top w:val="none" w:sz="0" w:space="0" w:color="auto"/>
            <w:left w:val="none" w:sz="0" w:space="0" w:color="auto"/>
            <w:bottom w:val="none" w:sz="0" w:space="0" w:color="auto"/>
            <w:right w:val="none" w:sz="0" w:space="0" w:color="auto"/>
          </w:divBdr>
        </w:div>
        <w:div w:id="1734237021">
          <w:marLeft w:val="547"/>
          <w:marRight w:val="0"/>
          <w:marTop w:val="134"/>
          <w:marBottom w:val="0"/>
          <w:divBdr>
            <w:top w:val="none" w:sz="0" w:space="0" w:color="auto"/>
            <w:left w:val="none" w:sz="0" w:space="0" w:color="auto"/>
            <w:bottom w:val="none" w:sz="0" w:space="0" w:color="auto"/>
            <w:right w:val="none" w:sz="0" w:space="0" w:color="auto"/>
          </w:divBdr>
        </w:div>
      </w:divsChild>
    </w:div>
    <w:div w:id="672147756">
      <w:bodyDiv w:val="1"/>
      <w:marLeft w:val="0"/>
      <w:marRight w:val="0"/>
      <w:marTop w:val="0"/>
      <w:marBottom w:val="0"/>
      <w:divBdr>
        <w:top w:val="none" w:sz="0" w:space="0" w:color="auto"/>
        <w:left w:val="none" w:sz="0" w:space="0" w:color="auto"/>
        <w:bottom w:val="none" w:sz="0" w:space="0" w:color="auto"/>
        <w:right w:val="none" w:sz="0" w:space="0" w:color="auto"/>
      </w:divBdr>
      <w:divsChild>
        <w:div w:id="1929270185">
          <w:marLeft w:val="547"/>
          <w:marRight w:val="0"/>
          <w:marTop w:val="115"/>
          <w:marBottom w:val="0"/>
          <w:divBdr>
            <w:top w:val="none" w:sz="0" w:space="0" w:color="auto"/>
            <w:left w:val="none" w:sz="0" w:space="0" w:color="auto"/>
            <w:bottom w:val="none" w:sz="0" w:space="0" w:color="auto"/>
            <w:right w:val="none" w:sz="0" w:space="0" w:color="auto"/>
          </w:divBdr>
        </w:div>
      </w:divsChild>
    </w:div>
    <w:div w:id="680355873">
      <w:bodyDiv w:val="1"/>
      <w:marLeft w:val="0"/>
      <w:marRight w:val="0"/>
      <w:marTop w:val="0"/>
      <w:marBottom w:val="0"/>
      <w:divBdr>
        <w:top w:val="none" w:sz="0" w:space="0" w:color="auto"/>
        <w:left w:val="none" w:sz="0" w:space="0" w:color="auto"/>
        <w:bottom w:val="none" w:sz="0" w:space="0" w:color="auto"/>
        <w:right w:val="none" w:sz="0" w:space="0" w:color="auto"/>
      </w:divBdr>
    </w:div>
    <w:div w:id="682780258">
      <w:bodyDiv w:val="1"/>
      <w:marLeft w:val="0"/>
      <w:marRight w:val="0"/>
      <w:marTop w:val="0"/>
      <w:marBottom w:val="0"/>
      <w:divBdr>
        <w:top w:val="none" w:sz="0" w:space="0" w:color="auto"/>
        <w:left w:val="none" w:sz="0" w:space="0" w:color="auto"/>
        <w:bottom w:val="none" w:sz="0" w:space="0" w:color="auto"/>
        <w:right w:val="none" w:sz="0" w:space="0" w:color="auto"/>
      </w:divBdr>
    </w:div>
    <w:div w:id="683287219">
      <w:bodyDiv w:val="1"/>
      <w:marLeft w:val="0"/>
      <w:marRight w:val="0"/>
      <w:marTop w:val="0"/>
      <w:marBottom w:val="0"/>
      <w:divBdr>
        <w:top w:val="none" w:sz="0" w:space="0" w:color="auto"/>
        <w:left w:val="none" w:sz="0" w:space="0" w:color="auto"/>
        <w:bottom w:val="none" w:sz="0" w:space="0" w:color="auto"/>
        <w:right w:val="none" w:sz="0" w:space="0" w:color="auto"/>
      </w:divBdr>
    </w:div>
    <w:div w:id="688795518">
      <w:bodyDiv w:val="1"/>
      <w:marLeft w:val="0"/>
      <w:marRight w:val="0"/>
      <w:marTop w:val="0"/>
      <w:marBottom w:val="0"/>
      <w:divBdr>
        <w:top w:val="none" w:sz="0" w:space="0" w:color="auto"/>
        <w:left w:val="none" w:sz="0" w:space="0" w:color="auto"/>
        <w:bottom w:val="none" w:sz="0" w:space="0" w:color="auto"/>
        <w:right w:val="none" w:sz="0" w:space="0" w:color="auto"/>
      </w:divBdr>
      <w:divsChild>
        <w:div w:id="1755279165">
          <w:marLeft w:val="547"/>
          <w:marRight w:val="0"/>
          <w:marTop w:val="96"/>
          <w:marBottom w:val="0"/>
          <w:divBdr>
            <w:top w:val="none" w:sz="0" w:space="0" w:color="auto"/>
            <w:left w:val="none" w:sz="0" w:space="0" w:color="auto"/>
            <w:bottom w:val="none" w:sz="0" w:space="0" w:color="auto"/>
            <w:right w:val="none" w:sz="0" w:space="0" w:color="auto"/>
          </w:divBdr>
        </w:div>
      </w:divsChild>
    </w:div>
    <w:div w:id="698966200">
      <w:bodyDiv w:val="1"/>
      <w:marLeft w:val="0"/>
      <w:marRight w:val="0"/>
      <w:marTop w:val="0"/>
      <w:marBottom w:val="0"/>
      <w:divBdr>
        <w:top w:val="none" w:sz="0" w:space="0" w:color="auto"/>
        <w:left w:val="none" w:sz="0" w:space="0" w:color="auto"/>
        <w:bottom w:val="none" w:sz="0" w:space="0" w:color="auto"/>
        <w:right w:val="none" w:sz="0" w:space="0" w:color="auto"/>
      </w:divBdr>
      <w:divsChild>
        <w:div w:id="117913708">
          <w:marLeft w:val="547"/>
          <w:marRight w:val="0"/>
          <w:marTop w:val="67"/>
          <w:marBottom w:val="0"/>
          <w:divBdr>
            <w:top w:val="none" w:sz="0" w:space="0" w:color="auto"/>
            <w:left w:val="none" w:sz="0" w:space="0" w:color="auto"/>
            <w:bottom w:val="none" w:sz="0" w:space="0" w:color="auto"/>
            <w:right w:val="none" w:sz="0" w:space="0" w:color="auto"/>
          </w:divBdr>
        </w:div>
      </w:divsChild>
    </w:div>
    <w:div w:id="710112152">
      <w:bodyDiv w:val="1"/>
      <w:marLeft w:val="0"/>
      <w:marRight w:val="0"/>
      <w:marTop w:val="0"/>
      <w:marBottom w:val="0"/>
      <w:divBdr>
        <w:top w:val="none" w:sz="0" w:space="0" w:color="auto"/>
        <w:left w:val="none" w:sz="0" w:space="0" w:color="auto"/>
        <w:bottom w:val="none" w:sz="0" w:space="0" w:color="auto"/>
        <w:right w:val="none" w:sz="0" w:space="0" w:color="auto"/>
      </w:divBdr>
      <w:divsChild>
        <w:div w:id="155079549">
          <w:marLeft w:val="0"/>
          <w:marRight w:val="0"/>
          <w:marTop w:val="0"/>
          <w:marBottom w:val="0"/>
          <w:divBdr>
            <w:top w:val="none" w:sz="0" w:space="0" w:color="auto"/>
            <w:left w:val="none" w:sz="0" w:space="0" w:color="auto"/>
            <w:bottom w:val="none" w:sz="0" w:space="0" w:color="auto"/>
            <w:right w:val="none" w:sz="0" w:space="0" w:color="auto"/>
          </w:divBdr>
        </w:div>
        <w:div w:id="1924802700">
          <w:marLeft w:val="0"/>
          <w:marRight w:val="0"/>
          <w:marTop w:val="0"/>
          <w:marBottom w:val="0"/>
          <w:divBdr>
            <w:top w:val="none" w:sz="0" w:space="0" w:color="auto"/>
            <w:left w:val="none" w:sz="0" w:space="0" w:color="auto"/>
            <w:bottom w:val="none" w:sz="0" w:space="0" w:color="auto"/>
            <w:right w:val="none" w:sz="0" w:space="0" w:color="auto"/>
          </w:divBdr>
        </w:div>
        <w:div w:id="480541379">
          <w:marLeft w:val="0"/>
          <w:marRight w:val="0"/>
          <w:marTop w:val="0"/>
          <w:marBottom w:val="0"/>
          <w:divBdr>
            <w:top w:val="none" w:sz="0" w:space="0" w:color="auto"/>
            <w:left w:val="none" w:sz="0" w:space="0" w:color="auto"/>
            <w:bottom w:val="none" w:sz="0" w:space="0" w:color="auto"/>
            <w:right w:val="none" w:sz="0" w:space="0" w:color="auto"/>
          </w:divBdr>
        </w:div>
      </w:divsChild>
    </w:div>
    <w:div w:id="721560513">
      <w:bodyDiv w:val="1"/>
      <w:marLeft w:val="0"/>
      <w:marRight w:val="0"/>
      <w:marTop w:val="0"/>
      <w:marBottom w:val="0"/>
      <w:divBdr>
        <w:top w:val="none" w:sz="0" w:space="0" w:color="auto"/>
        <w:left w:val="none" w:sz="0" w:space="0" w:color="auto"/>
        <w:bottom w:val="none" w:sz="0" w:space="0" w:color="auto"/>
        <w:right w:val="none" w:sz="0" w:space="0" w:color="auto"/>
      </w:divBdr>
      <w:divsChild>
        <w:div w:id="2029132875">
          <w:marLeft w:val="835"/>
          <w:marRight w:val="0"/>
          <w:marTop w:val="77"/>
          <w:marBottom w:val="0"/>
          <w:divBdr>
            <w:top w:val="none" w:sz="0" w:space="0" w:color="auto"/>
            <w:left w:val="none" w:sz="0" w:space="0" w:color="auto"/>
            <w:bottom w:val="none" w:sz="0" w:space="0" w:color="auto"/>
            <w:right w:val="none" w:sz="0" w:space="0" w:color="auto"/>
          </w:divBdr>
        </w:div>
        <w:div w:id="589973301">
          <w:marLeft w:val="835"/>
          <w:marRight w:val="0"/>
          <w:marTop w:val="77"/>
          <w:marBottom w:val="0"/>
          <w:divBdr>
            <w:top w:val="none" w:sz="0" w:space="0" w:color="auto"/>
            <w:left w:val="none" w:sz="0" w:space="0" w:color="auto"/>
            <w:bottom w:val="none" w:sz="0" w:space="0" w:color="auto"/>
            <w:right w:val="none" w:sz="0" w:space="0" w:color="auto"/>
          </w:divBdr>
        </w:div>
        <w:div w:id="1288853291">
          <w:marLeft w:val="835"/>
          <w:marRight w:val="0"/>
          <w:marTop w:val="77"/>
          <w:marBottom w:val="0"/>
          <w:divBdr>
            <w:top w:val="none" w:sz="0" w:space="0" w:color="auto"/>
            <w:left w:val="none" w:sz="0" w:space="0" w:color="auto"/>
            <w:bottom w:val="none" w:sz="0" w:space="0" w:color="auto"/>
            <w:right w:val="none" w:sz="0" w:space="0" w:color="auto"/>
          </w:divBdr>
        </w:div>
        <w:div w:id="149635139">
          <w:marLeft w:val="835"/>
          <w:marRight w:val="0"/>
          <w:marTop w:val="77"/>
          <w:marBottom w:val="0"/>
          <w:divBdr>
            <w:top w:val="none" w:sz="0" w:space="0" w:color="auto"/>
            <w:left w:val="none" w:sz="0" w:space="0" w:color="auto"/>
            <w:bottom w:val="none" w:sz="0" w:space="0" w:color="auto"/>
            <w:right w:val="none" w:sz="0" w:space="0" w:color="auto"/>
          </w:divBdr>
        </w:div>
        <w:div w:id="751590219">
          <w:marLeft w:val="835"/>
          <w:marRight w:val="0"/>
          <w:marTop w:val="77"/>
          <w:marBottom w:val="0"/>
          <w:divBdr>
            <w:top w:val="none" w:sz="0" w:space="0" w:color="auto"/>
            <w:left w:val="none" w:sz="0" w:space="0" w:color="auto"/>
            <w:bottom w:val="none" w:sz="0" w:space="0" w:color="auto"/>
            <w:right w:val="none" w:sz="0" w:space="0" w:color="auto"/>
          </w:divBdr>
        </w:div>
        <w:div w:id="2024939990">
          <w:marLeft w:val="835"/>
          <w:marRight w:val="0"/>
          <w:marTop w:val="77"/>
          <w:marBottom w:val="0"/>
          <w:divBdr>
            <w:top w:val="none" w:sz="0" w:space="0" w:color="auto"/>
            <w:left w:val="none" w:sz="0" w:space="0" w:color="auto"/>
            <w:bottom w:val="none" w:sz="0" w:space="0" w:color="auto"/>
            <w:right w:val="none" w:sz="0" w:space="0" w:color="auto"/>
          </w:divBdr>
        </w:div>
        <w:div w:id="139808811">
          <w:marLeft w:val="835"/>
          <w:marRight w:val="0"/>
          <w:marTop w:val="77"/>
          <w:marBottom w:val="0"/>
          <w:divBdr>
            <w:top w:val="none" w:sz="0" w:space="0" w:color="auto"/>
            <w:left w:val="none" w:sz="0" w:space="0" w:color="auto"/>
            <w:bottom w:val="none" w:sz="0" w:space="0" w:color="auto"/>
            <w:right w:val="none" w:sz="0" w:space="0" w:color="auto"/>
          </w:divBdr>
        </w:div>
      </w:divsChild>
    </w:div>
    <w:div w:id="727338461">
      <w:bodyDiv w:val="1"/>
      <w:marLeft w:val="0"/>
      <w:marRight w:val="0"/>
      <w:marTop w:val="0"/>
      <w:marBottom w:val="0"/>
      <w:divBdr>
        <w:top w:val="none" w:sz="0" w:space="0" w:color="auto"/>
        <w:left w:val="none" w:sz="0" w:space="0" w:color="auto"/>
        <w:bottom w:val="none" w:sz="0" w:space="0" w:color="auto"/>
        <w:right w:val="none" w:sz="0" w:space="0" w:color="auto"/>
      </w:divBdr>
      <w:divsChild>
        <w:div w:id="1784575564">
          <w:marLeft w:val="547"/>
          <w:marRight w:val="0"/>
          <w:marTop w:val="96"/>
          <w:marBottom w:val="0"/>
          <w:divBdr>
            <w:top w:val="none" w:sz="0" w:space="0" w:color="auto"/>
            <w:left w:val="none" w:sz="0" w:space="0" w:color="auto"/>
            <w:bottom w:val="none" w:sz="0" w:space="0" w:color="auto"/>
            <w:right w:val="none" w:sz="0" w:space="0" w:color="auto"/>
          </w:divBdr>
        </w:div>
        <w:div w:id="337781283">
          <w:marLeft w:val="547"/>
          <w:marRight w:val="0"/>
          <w:marTop w:val="96"/>
          <w:marBottom w:val="0"/>
          <w:divBdr>
            <w:top w:val="none" w:sz="0" w:space="0" w:color="auto"/>
            <w:left w:val="none" w:sz="0" w:space="0" w:color="auto"/>
            <w:bottom w:val="none" w:sz="0" w:space="0" w:color="auto"/>
            <w:right w:val="none" w:sz="0" w:space="0" w:color="auto"/>
          </w:divBdr>
        </w:div>
      </w:divsChild>
    </w:div>
    <w:div w:id="727920449">
      <w:bodyDiv w:val="1"/>
      <w:marLeft w:val="0"/>
      <w:marRight w:val="0"/>
      <w:marTop w:val="0"/>
      <w:marBottom w:val="0"/>
      <w:divBdr>
        <w:top w:val="none" w:sz="0" w:space="0" w:color="auto"/>
        <w:left w:val="none" w:sz="0" w:space="0" w:color="auto"/>
        <w:bottom w:val="none" w:sz="0" w:space="0" w:color="auto"/>
        <w:right w:val="none" w:sz="0" w:space="0" w:color="auto"/>
      </w:divBdr>
    </w:div>
    <w:div w:id="728268724">
      <w:bodyDiv w:val="1"/>
      <w:marLeft w:val="0"/>
      <w:marRight w:val="0"/>
      <w:marTop w:val="0"/>
      <w:marBottom w:val="0"/>
      <w:divBdr>
        <w:top w:val="none" w:sz="0" w:space="0" w:color="auto"/>
        <w:left w:val="none" w:sz="0" w:space="0" w:color="auto"/>
        <w:bottom w:val="none" w:sz="0" w:space="0" w:color="auto"/>
        <w:right w:val="none" w:sz="0" w:space="0" w:color="auto"/>
      </w:divBdr>
    </w:div>
    <w:div w:id="728462594">
      <w:bodyDiv w:val="1"/>
      <w:marLeft w:val="0"/>
      <w:marRight w:val="0"/>
      <w:marTop w:val="0"/>
      <w:marBottom w:val="0"/>
      <w:divBdr>
        <w:top w:val="none" w:sz="0" w:space="0" w:color="auto"/>
        <w:left w:val="none" w:sz="0" w:space="0" w:color="auto"/>
        <w:bottom w:val="none" w:sz="0" w:space="0" w:color="auto"/>
        <w:right w:val="none" w:sz="0" w:space="0" w:color="auto"/>
      </w:divBdr>
    </w:div>
    <w:div w:id="740104911">
      <w:bodyDiv w:val="1"/>
      <w:marLeft w:val="0"/>
      <w:marRight w:val="0"/>
      <w:marTop w:val="0"/>
      <w:marBottom w:val="0"/>
      <w:divBdr>
        <w:top w:val="none" w:sz="0" w:space="0" w:color="auto"/>
        <w:left w:val="none" w:sz="0" w:space="0" w:color="auto"/>
        <w:bottom w:val="none" w:sz="0" w:space="0" w:color="auto"/>
        <w:right w:val="none" w:sz="0" w:space="0" w:color="auto"/>
      </w:divBdr>
      <w:divsChild>
        <w:div w:id="1366520703">
          <w:marLeft w:val="0"/>
          <w:marRight w:val="300"/>
          <w:marTop w:val="0"/>
          <w:marBottom w:val="0"/>
          <w:divBdr>
            <w:top w:val="none" w:sz="0" w:space="0" w:color="auto"/>
            <w:left w:val="none" w:sz="0" w:space="0" w:color="auto"/>
            <w:bottom w:val="none" w:sz="0" w:space="0" w:color="auto"/>
            <w:right w:val="none" w:sz="0" w:space="0" w:color="auto"/>
          </w:divBdr>
        </w:div>
        <w:div w:id="55202808">
          <w:marLeft w:val="0"/>
          <w:marRight w:val="0"/>
          <w:marTop w:val="0"/>
          <w:marBottom w:val="0"/>
          <w:divBdr>
            <w:top w:val="none" w:sz="0" w:space="0" w:color="auto"/>
            <w:left w:val="none" w:sz="0" w:space="0" w:color="auto"/>
            <w:bottom w:val="dotted" w:sz="6" w:space="15" w:color="BFBFBF"/>
            <w:right w:val="none" w:sz="0" w:space="0" w:color="auto"/>
          </w:divBdr>
        </w:div>
        <w:div w:id="1892033970">
          <w:marLeft w:val="0"/>
          <w:marRight w:val="0"/>
          <w:marTop w:val="300"/>
          <w:marBottom w:val="0"/>
          <w:divBdr>
            <w:top w:val="none" w:sz="0" w:space="0" w:color="auto"/>
            <w:left w:val="none" w:sz="0" w:space="0" w:color="auto"/>
            <w:bottom w:val="none" w:sz="0" w:space="15" w:color="auto"/>
            <w:right w:val="none" w:sz="0" w:space="0" w:color="auto"/>
          </w:divBdr>
        </w:div>
      </w:divsChild>
    </w:div>
    <w:div w:id="764808345">
      <w:bodyDiv w:val="1"/>
      <w:marLeft w:val="0"/>
      <w:marRight w:val="0"/>
      <w:marTop w:val="0"/>
      <w:marBottom w:val="0"/>
      <w:divBdr>
        <w:top w:val="none" w:sz="0" w:space="0" w:color="auto"/>
        <w:left w:val="none" w:sz="0" w:space="0" w:color="auto"/>
        <w:bottom w:val="none" w:sz="0" w:space="0" w:color="auto"/>
        <w:right w:val="none" w:sz="0" w:space="0" w:color="auto"/>
      </w:divBdr>
      <w:divsChild>
        <w:div w:id="1882783965">
          <w:marLeft w:val="547"/>
          <w:marRight w:val="0"/>
          <w:marTop w:val="96"/>
          <w:marBottom w:val="0"/>
          <w:divBdr>
            <w:top w:val="none" w:sz="0" w:space="0" w:color="auto"/>
            <w:left w:val="none" w:sz="0" w:space="0" w:color="auto"/>
            <w:bottom w:val="none" w:sz="0" w:space="0" w:color="auto"/>
            <w:right w:val="none" w:sz="0" w:space="0" w:color="auto"/>
          </w:divBdr>
        </w:div>
      </w:divsChild>
    </w:div>
    <w:div w:id="766199159">
      <w:bodyDiv w:val="1"/>
      <w:marLeft w:val="0"/>
      <w:marRight w:val="0"/>
      <w:marTop w:val="0"/>
      <w:marBottom w:val="0"/>
      <w:divBdr>
        <w:top w:val="none" w:sz="0" w:space="0" w:color="auto"/>
        <w:left w:val="none" w:sz="0" w:space="0" w:color="auto"/>
        <w:bottom w:val="none" w:sz="0" w:space="0" w:color="auto"/>
        <w:right w:val="none" w:sz="0" w:space="0" w:color="auto"/>
      </w:divBdr>
    </w:div>
    <w:div w:id="790561975">
      <w:bodyDiv w:val="1"/>
      <w:marLeft w:val="0"/>
      <w:marRight w:val="0"/>
      <w:marTop w:val="0"/>
      <w:marBottom w:val="0"/>
      <w:divBdr>
        <w:top w:val="none" w:sz="0" w:space="0" w:color="auto"/>
        <w:left w:val="none" w:sz="0" w:space="0" w:color="auto"/>
        <w:bottom w:val="none" w:sz="0" w:space="0" w:color="auto"/>
        <w:right w:val="none" w:sz="0" w:space="0" w:color="auto"/>
      </w:divBdr>
      <w:divsChild>
        <w:div w:id="286669496">
          <w:marLeft w:val="547"/>
          <w:marRight w:val="0"/>
          <w:marTop w:val="154"/>
          <w:marBottom w:val="0"/>
          <w:divBdr>
            <w:top w:val="none" w:sz="0" w:space="0" w:color="auto"/>
            <w:left w:val="none" w:sz="0" w:space="0" w:color="auto"/>
            <w:bottom w:val="none" w:sz="0" w:space="0" w:color="auto"/>
            <w:right w:val="none" w:sz="0" w:space="0" w:color="auto"/>
          </w:divBdr>
        </w:div>
      </w:divsChild>
    </w:div>
    <w:div w:id="794758722">
      <w:bodyDiv w:val="1"/>
      <w:marLeft w:val="0"/>
      <w:marRight w:val="0"/>
      <w:marTop w:val="0"/>
      <w:marBottom w:val="0"/>
      <w:divBdr>
        <w:top w:val="none" w:sz="0" w:space="0" w:color="auto"/>
        <w:left w:val="none" w:sz="0" w:space="0" w:color="auto"/>
        <w:bottom w:val="none" w:sz="0" w:space="0" w:color="auto"/>
        <w:right w:val="none" w:sz="0" w:space="0" w:color="auto"/>
      </w:divBdr>
      <w:divsChild>
        <w:div w:id="884566305">
          <w:marLeft w:val="547"/>
          <w:marRight w:val="0"/>
          <w:marTop w:val="134"/>
          <w:marBottom w:val="0"/>
          <w:divBdr>
            <w:top w:val="none" w:sz="0" w:space="0" w:color="auto"/>
            <w:left w:val="none" w:sz="0" w:space="0" w:color="auto"/>
            <w:bottom w:val="none" w:sz="0" w:space="0" w:color="auto"/>
            <w:right w:val="none" w:sz="0" w:space="0" w:color="auto"/>
          </w:divBdr>
        </w:div>
      </w:divsChild>
    </w:div>
    <w:div w:id="803037254">
      <w:bodyDiv w:val="1"/>
      <w:marLeft w:val="0"/>
      <w:marRight w:val="0"/>
      <w:marTop w:val="0"/>
      <w:marBottom w:val="0"/>
      <w:divBdr>
        <w:top w:val="none" w:sz="0" w:space="0" w:color="auto"/>
        <w:left w:val="none" w:sz="0" w:space="0" w:color="auto"/>
        <w:bottom w:val="none" w:sz="0" w:space="0" w:color="auto"/>
        <w:right w:val="none" w:sz="0" w:space="0" w:color="auto"/>
      </w:divBdr>
      <w:divsChild>
        <w:div w:id="2145459235">
          <w:marLeft w:val="0"/>
          <w:marRight w:val="0"/>
          <w:marTop w:val="0"/>
          <w:marBottom w:val="0"/>
          <w:divBdr>
            <w:top w:val="none" w:sz="0" w:space="0" w:color="auto"/>
            <w:left w:val="none" w:sz="0" w:space="0" w:color="auto"/>
            <w:bottom w:val="none" w:sz="0" w:space="0" w:color="auto"/>
            <w:right w:val="none" w:sz="0" w:space="0" w:color="auto"/>
          </w:divBdr>
        </w:div>
        <w:div w:id="620647594">
          <w:marLeft w:val="0"/>
          <w:marRight w:val="0"/>
          <w:marTop w:val="0"/>
          <w:marBottom w:val="0"/>
          <w:divBdr>
            <w:top w:val="none" w:sz="0" w:space="0" w:color="auto"/>
            <w:left w:val="none" w:sz="0" w:space="0" w:color="auto"/>
            <w:bottom w:val="none" w:sz="0" w:space="0" w:color="auto"/>
            <w:right w:val="none" w:sz="0" w:space="0" w:color="auto"/>
          </w:divBdr>
        </w:div>
        <w:div w:id="875585923">
          <w:marLeft w:val="0"/>
          <w:marRight w:val="0"/>
          <w:marTop w:val="0"/>
          <w:marBottom w:val="0"/>
          <w:divBdr>
            <w:top w:val="none" w:sz="0" w:space="0" w:color="auto"/>
            <w:left w:val="none" w:sz="0" w:space="0" w:color="auto"/>
            <w:bottom w:val="none" w:sz="0" w:space="0" w:color="auto"/>
            <w:right w:val="none" w:sz="0" w:space="0" w:color="auto"/>
          </w:divBdr>
        </w:div>
        <w:div w:id="1571387574">
          <w:marLeft w:val="0"/>
          <w:marRight w:val="0"/>
          <w:marTop w:val="0"/>
          <w:marBottom w:val="0"/>
          <w:divBdr>
            <w:top w:val="none" w:sz="0" w:space="0" w:color="auto"/>
            <w:left w:val="none" w:sz="0" w:space="0" w:color="auto"/>
            <w:bottom w:val="none" w:sz="0" w:space="0" w:color="auto"/>
            <w:right w:val="none" w:sz="0" w:space="0" w:color="auto"/>
          </w:divBdr>
        </w:div>
      </w:divsChild>
    </w:div>
    <w:div w:id="815995826">
      <w:bodyDiv w:val="1"/>
      <w:marLeft w:val="0"/>
      <w:marRight w:val="0"/>
      <w:marTop w:val="0"/>
      <w:marBottom w:val="0"/>
      <w:divBdr>
        <w:top w:val="none" w:sz="0" w:space="0" w:color="auto"/>
        <w:left w:val="none" w:sz="0" w:space="0" w:color="auto"/>
        <w:bottom w:val="none" w:sz="0" w:space="0" w:color="auto"/>
        <w:right w:val="none" w:sz="0" w:space="0" w:color="auto"/>
      </w:divBdr>
    </w:div>
    <w:div w:id="828179936">
      <w:bodyDiv w:val="1"/>
      <w:marLeft w:val="0"/>
      <w:marRight w:val="0"/>
      <w:marTop w:val="0"/>
      <w:marBottom w:val="0"/>
      <w:divBdr>
        <w:top w:val="none" w:sz="0" w:space="0" w:color="auto"/>
        <w:left w:val="none" w:sz="0" w:space="0" w:color="auto"/>
        <w:bottom w:val="none" w:sz="0" w:space="0" w:color="auto"/>
        <w:right w:val="none" w:sz="0" w:space="0" w:color="auto"/>
      </w:divBdr>
    </w:div>
    <w:div w:id="835346558">
      <w:bodyDiv w:val="1"/>
      <w:marLeft w:val="0"/>
      <w:marRight w:val="0"/>
      <w:marTop w:val="0"/>
      <w:marBottom w:val="0"/>
      <w:divBdr>
        <w:top w:val="none" w:sz="0" w:space="0" w:color="auto"/>
        <w:left w:val="none" w:sz="0" w:space="0" w:color="auto"/>
        <w:bottom w:val="none" w:sz="0" w:space="0" w:color="auto"/>
        <w:right w:val="none" w:sz="0" w:space="0" w:color="auto"/>
      </w:divBdr>
    </w:div>
    <w:div w:id="838665709">
      <w:bodyDiv w:val="1"/>
      <w:marLeft w:val="0"/>
      <w:marRight w:val="0"/>
      <w:marTop w:val="0"/>
      <w:marBottom w:val="0"/>
      <w:divBdr>
        <w:top w:val="none" w:sz="0" w:space="0" w:color="auto"/>
        <w:left w:val="none" w:sz="0" w:space="0" w:color="auto"/>
        <w:bottom w:val="none" w:sz="0" w:space="0" w:color="auto"/>
        <w:right w:val="none" w:sz="0" w:space="0" w:color="auto"/>
      </w:divBdr>
    </w:div>
    <w:div w:id="843474744">
      <w:bodyDiv w:val="1"/>
      <w:marLeft w:val="0"/>
      <w:marRight w:val="0"/>
      <w:marTop w:val="0"/>
      <w:marBottom w:val="0"/>
      <w:divBdr>
        <w:top w:val="none" w:sz="0" w:space="0" w:color="auto"/>
        <w:left w:val="none" w:sz="0" w:space="0" w:color="auto"/>
        <w:bottom w:val="none" w:sz="0" w:space="0" w:color="auto"/>
        <w:right w:val="none" w:sz="0" w:space="0" w:color="auto"/>
      </w:divBdr>
    </w:div>
    <w:div w:id="846015517">
      <w:bodyDiv w:val="1"/>
      <w:marLeft w:val="0"/>
      <w:marRight w:val="0"/>
      <w:marTop w:val="0"/>
      <w:marBottom w:val="0"/>
      <w:divBdr>
        <w:top w:val="none" w:sz="0" w:space="0" w:color="auto"/>
        <w:left w:val="none" w:sz="0" w:space="0" w:color="auto"/>
        <w:bottom w:val="none" w:sz="0" w:space="0" w:color="auto"/>
        <w:right w:val="none" w:sz="0" w:space="0" w:color="auto"/>
      </w:divBdr>
      <w:divsChild>
        <w:div w:id="1230113334">
          <w:marLeft w:val="547"/>
          <w:marRight w:val="0"/>
          <w:marTop w:val="77"/>
          <w:marBottom w:val="0"/>
          <w:divBdr>
            <w:top w:val="none" w:sz="0" w:space="0" w:color="auto"/>
            <w:left w:val="none" w:sz="0" w:space="0" w:color="auto"/>
            <w:bottom w:val="none" w:sz="0" w:space="0" w:color="auto"/>
            <w:right w:val="none" w:sz="0" w:space="0" w:color="auto"/>
          </w:divBdr>
        </w:div>
      </w:divsChild>
    </w:div>
    <w:div w:id="862016031">
      <w:bodyDiv w:val="1"/>
      <w:marLeft w:val="0"/>
      <w:marRight w:val="0"/>
      <w:marTop w:val="0"/>
      <w:marBottom w:val="0"/>
      <w:divBdr>
        <w:top w:val="none" w:sz="0" w:space="0" w:color="auto"/>
        <w:left w:val="none" w:sz="0" w:space="0" w:color="auto"/>
        <w:bottom w:val="none" w:sz="0" w:space="0" w:color="auto"/>
        <w:right w:val="none" w:sz="0" w:space="0" w:color="auto"/>
      </w:divBdr>
      <w:divsChild>
        <w:div w:id="585697041">
          <w:marLeft w:val="547"/>
          <w:marRight w:val="0"/>
          <w:marTop w:val="77"/>
          <w:marBottom w:val="0"/>
          <w:divBdr>
            <w:top w:val="none" w:sz="0" w:space="0" w:color="auto"/>
            <w:left w:val="none" w:sz="0" w:space="0" w:color="auto"/>
            <w:bottom w:val="none" w:sz="0" w:space="0" w:color="auto"/>
            <w:right w:val="none" w:sz="0" w:space="0" w:color="auto"/>
          </w:divBdr>
        </w:div>
        <w:div w:id="229851855">
          <w:marLeft w:val="547"/>
          <w:marRight w:val="0"/>
          <w:marTop w:val="77"/>
          <w:marBottom w:val="0"/>
          <w:divBdr>
            <w:top w:val="none" w:sz="0" w:space="0" w:color="auto"/>
            <w:left w:val="none" w:sz="0" w:space="0" w:color="auto"/>
            <w:bottom w:val="none" w:sz="0" w:space="0" w:color="auto"/>
            <w:right w:val="none" w:sz="0" w:space="0" w:color="auto"/>
          </w:divBdr>
        </w:div>
        <w:div w:id="2093627245">
          <w:marLeft w:val="547"/>
          <w:marRight w:val="0"/>
          <w:marTop w:val="77"/>
          <w:marBottom w:val="0"/>
          <w:divBdr>
            <w:top w:val="none" w:sz="0" w:space="0" w:color="auto"/>
            <w:left w:val="none" w:sz="0" w:space="0" w:color="auto"/>
            <w:bottom w:val="none" w:sz="0" w:space="0" w:color="auto"/>
            <w:right w:val="none" w:sz="0" w:space="0" w:color="auto"/>
          </w:divBdr>
        </w:div>
        <w:div w:id="913123115">
          <w:marLeft w:val="547"/>
          <w:marRight w:val="0"/>
          <w:marTop w:val="77"/>
          <w:marBottom w:val="0"/>
          <w:divBdr>
            <w:top w:val="none" w:sz="0" w:space="0" w:color="auto"/>
            <w:left w:val="none" w:sz="0" w:space="0" w:color="auto"/>
            <w:bottom w:val="none" w:sz="0" w:space="0" w:color="auto"/>
            <w:right w:val="none" w:sz="0" w:space="0" w:color="auto"/>
          </w:divBdr>
        </w:div>
        <w:div w:id="243875756">
          <w:marLeft w:val="547"/>
          <w:marRight w:val="0"/>
          <w:marTop w:val="77"/>
          <w:marBottom w:val="0"/>
          <w:divBdr>
            <w:top w:val="none" w:sz="0" w:space="0" w:color="auto"/>
            <w:left w:val="none" w:sz="0" w:space="0" w:color="auto"/>
            <w:bottom w:val="none" w:sz="0" w:space="0" w:color="auto"/>
            <w:right w:val="none" w:sz="0" w:space="0" w:color="auto"/>
          </w:divBdr>
        </w:div>
        <w:div w:id="1209486282">
          <w:marLeft w:val="547"/>
          <w:marRight w:val="0"/>
          <w:marTop w:val="77"/>
          <w:marBottom w:val="0"/>
          <w:divBdr>
            <w:top w:val="none" w:sz="0" w:space="0" w:color="auto"/>
            <w:left w:val="none" w:sz="0" w:space="0" w:color="auto"/>
            <w:bottom w:val="none" w:sz="0" w:space="0" w:color="auto"/>
            <w:right w:val="none" w:sz="0" w:space="0" w:color="auto"/>
          </w:divBdr>
        </w:div>
      </w:divsChild>
    </w:div>
    <w:div w:id="870263167">
      <w:bodyDiv w:val="1"/>
      <w:marLeft w:val="0"/>
      <w:marRight w:val="0"/>
      <w:marTop w:val="0"/>
      <w:marBottom w:val="0"/>
      <w:divBdr>
        <w:top w:val="none" w:sz="0" w:space="0" w:color="auto"/>
        <w:left w:val="none" w:sz="0" w:space="0" w:color="auto"/>
        <w:bottom w:val="none" w:sz="0" w:space="0" w:color="auto"/>
        <w:right w:val="none" w:sz="0" w:space="0" w:color="auto"/>
      </w:divBdr>
    </w:div>
    <w:div w:id="889419186">
      <w:bodyDiv w:val="1"/>
      <w:marLeft w:val="0"/>
      <w:marRight w:val="0"/>
      <w:marTop w:val="0"/>
      <w:marBottom w:val="0"/>
      <w:divBdr>
        <w:top w:val="none" w:sz="0" w:space="0" w:color="auto"/>
        <w:left w:val="none" w:sz="0" w:space="0" w:color="auto"/>
        <w:bottom w:val="none" w:sz="0" w:space="0" w:color="auto"/>
        <w:right w:val="none" w:sz="0" w:space="0" w:color="auto"/>
      </w:divBdr>
      <w:divsChild>
        <w:div w:id="495802097">
          <w:marLeft w:val="547"/>
          <w:marRight w:val="0"/>
          <w:marTop w:val="77"/>
          <w:marBottom w:val="0"/>
          <w:divBdr>
            <w:top w:val="none" w:sz="0" w:space="0" w:color="auto"/>
            <w:left w:val="none" w:sz="0" w:space="0" w:color="auto"/>
            <w:bottom w:val="none" w:sz="0" w:space="0" w:color="auto"/>
            <w:right w:val="none" w:sz="0" w:space="0" w:color="auto"/>
          </w:divBdr>
        </w:div>
        <w:div w:id="1457674083">
          <w:marLeft w:val="547"/>
          <w:marRight w:val="0"/>
          <w:marTop w:val="77"/>
          <w:marBottom w:val="0"/>
          <w:divBdr>
            <w:top w:val="none" w:sz="0" w:space="0" w:color="auto"/>
            <w:left w:val="none" w:sz="0" w:space="0" w:color="auto"/>
            <w:bottom w:val="none" w:sz="0" w:space="0" w:color="auto"/>
            <w:right w:val="none" w:sz="0" w:space="0" w:color="auto"/>
          </w:divBdr>
        </w:div>
        <w:div w:id="443118702">
          <w:marLeft w:val="547"/>
          <w:marRight w:val="0"/>
          <w:marTop w:val="77"/>
          <w:marBottom w:val="0"/>
          <w:divBdr>
            <w:top w:val="none" w:sz="0" w:space="0" w:color="auto"/>
            <w:left w:val="none" w:sz="0" w:space="0" w:color="auto"/>
            <w:bottom w:val="none" w:sz="0" w:space="0" w:color="auto"/>
            <w:right w:val="none" w:sz="0" w:space="0" w:color="auto"/>
          </w:divBdr>
        </w:div>
        <w:div w:id="541333342">
          <w:marLeft w:val="547"/>
          <w:marRight w:val="0"/>
          <w:marTop w:val="77"/>
          <w:marBottom w:val="0"/>
          <w:divBdr>
            <w:top w:val="none" w:sz="0" w:space="0" w:color="auto"/>
            <w:left w:val="none" w:sz="0" w:space="0" w:color="auto"/>
            <w:bottom w:val="none" w:sz="0" w:space="0" w:color="auto"/>
            <w:right w:val="none" w:sz="0" w:space="0" w:color="auto"/>
          </w:divBdr>
        </w:div>
        <w:div w:id="1528830382">
          <w:marLeft w:val="547"/>
          <w:marRight w:val="0"/>
          <w:marTop w:val="77"/>
          <w:marBottom w:val="0"/>
          <w:divBdr>
            <w:top w:val="none" w:sz="0" w:space="0" w:color="auto"/>
            <w:left w:val="none" w:sz="0" w:space="0" w:color="auto"/>
            <w:bottom w:val="none" w:sz="0" w:space="0" w:color="auto"/>
            <w:right w:val="none" w:sz="0" w:space="0" w:color="auto"/>
          </w:divBdr>
        </w:div>
      </w:divsChild>
    </w:div>
    <w:div w:id="889727490">
      <w:bodyDiv w:val="1"/>
      <w:marLeft w:val="0"/>
      <w:marRight w:val="0"/>
      <w:marTop w:val="0"/>
      <w:marBottom w:val="0"/>
      <w:divBdr>
        <w:top w:val="none" w:sz="0" w:space="0" w:color="auto"/>
        <w:left w:val="none" w:sz="0" w:space="0" w:color="auto"/>
        <w:bottom w:val="none" w:sz="0" w:space="0" w:color="auto"/>
        <w:right w:val="none" w:sz="0" w:space="0" w:color="auto"/>
      </w:divBdr>
    </w:div>
    <w:div w:id="912617713">
      <w:bodyDiv w:val="1"/>
      <w:marLeft w:val="0"/>
      <w:marRight w:val="0"/>
      <w:marTop w:val="0"/>
      <w:marBottom w:val="0"/>
      <w:divBdr>
        <w:top w:val="none" w:sz="0" w:space="0" w:color="auto"/>
        <w:left w:val="none" w:sz="0" w:space="0" w:color="auto"/>
        <w:bottom w:val="none" w:sz="0" w:space="0" w:color="auto"/>
        <w:right w:val="none" w:sz="0" w:space="0" w:color="auto"/>
      </w:divBdr>
    </w:div>
    <w:div w:id="917834992">
      <w:bodyDiv w:val="1"/>
      <w:marLeft w:val="0"/>
      <w:marRight w:val="0"/>
      <w:marTop w:val="0"/>
      <w:marBottom w:val="0"/>
      <w:divBdr>
        <w:top w:val="none" w:sz="0" w:space="0" w:color="auto"/>
        <w:left w:val="none" w:sz="0" w:space="0" w:color="auto"/>
        <w:bottom w:val="none" w:sz="0" w:space="0" w:color="auto"/>
        <w:right w:val="none" w:sz="0" w:space="0" w:color="auto"/>
      </w:divBdr>
    </w:div>
    <w:div w:id="940600897">
      <w:bodyDiv w:val="1"/>
      <w:marLeft w:val="0"/>
      <w:marRight w:val="0"/>
      <w:marTop w:val="0"/>
      <w:marBottom w:val="0"/>
      <w:divBdr>
        <w:top w:val="none" w:sz="0" w:space="0" w:color="auto"/>
        <w:left w:val="none" w:sz="0" w:space="0" w:color="auto"/>
        <w:bottom w:val="none" w:sz="0" w:space="0" w:color="auto"/>
        <w:right w:val="none" w:sz="0" w:space="0" w:color="auto"/>
      </w:divBdr>
    </w:div>
    <w:div w:id="941111673">
      <w:bodyDiv w:val="1"/>
      <w:marLeft w:val="0"/>
      <w:marRight w:val="0"/>
      <w:marTop w:val="0"/>
      <w:marBottom w:val="0"/>
      <w:divBdr>
        <w:top w:val="none" w:sz="0" w:space="0" w:color="auto"/>
        <w:left w:val="none" w:sz="0" w:space="0" w:color="auto"/>
        <w:bottom w:val="none" w:sz="0" w:space="0" w:color="auto"/>
        <w:right w:val="none" w:sz="0" w:space="0" w:color="auto"/>
      </w:divBdr>
      <w:divsChild>
        <w:div w:id="1812207500">
          <w:marLeft w:val="0"/>
          <w:marRight w:val="0"/>
          <w:marTop w:val="450"/>
          <w:marBottom w:val="0"/>
          <w:divBdr>
            <w:top w:val="none" w:sz="0" w:space="0" w:color="auto"/>
            <w:left w:val="none" w:sz="0" w:space="0" w:color="auto"/>
            <w:bottom w:val="none" w:sz="0" w:space="0" w:color="auto"/>
            <w:right w:val="none" w:sz="0" w:space="0" w:color="auto"/>
          </w:divBdr>
        </w:div>
        <w:div w:id="1664434904">
          <w:marLeft w:val="0"/>
          <w:marRight w:val="0"/>
          <w:marTop w:val="150"/>
          <w:marBottom w:val="0"/>
          <w:divBdr>
            <w:top w:val="none" w:sz="0" w:space="0" w:color="auto"/>
            <w:left w:val="none" w:sz="0" w:space="0" w:color="auto"/>
            <w:bottom w:val="none" w:sz="0" w:space="0" w:color="auto"/>
            <w:right w:val="none" w:sz="0" w:space="0" w:color="auto"/>
          </w:divBdr>
        </w:div>
        <w:div w:id="1806586453">
          <w:marLeft w:val="0"/>
          <w:marRight w:val="0"/>
          <w:marTop w:val="150"/>
          <w:marBottom w:val="0"/>
          <w:divBdr>
            <w:top w:val="none" w:sz="0" w:space="0" w:color="auto"/>
            <w:left w:val="none" w:sz="0" w:space="0" w:color="auto"/>
            <w:bottom w:val="none" w:sz="0" w:space="0" w:color="auto"/>
            <w:right w:val="none" w:sz="0" w:space="0" w:color="auto"/>
          </w:divBdr>
        </w:div>
      </w:divsChild>
    </w:div>
    <w:div w:id="956375789">
      <w:bodyDiv w:val="1"/>
      <w:marLeft w:val="0"/>
      <w:marRight w:val="0"/>
      <w:marTop w:val="0"/>
      <w:marBottom w:val="0"/>
      <w:divBdr>
        <w:top w:val="none" w:sz="0" w:space="0" w:color="auto"/>
        <w:left w:val="none" w:sz="0" w:space="0" w:color="auto"/>
        <w:bottom w:val="none" w:sz="0" w:space="0" w:color="auto"/>
        <w:right w:val="none" w:sz="0" w:space="0" w:color="auto"/>
      </w:divBdr>
      <w:divsChild>
        <w:div w:id="1086465024">
          <w:marLeft w:val="547"/>
          <w:marRight w:val="0"/>
          <w:marTop w:val="96"/>
          <w:marBottom w:val="0"/>
          <w:divBdr>
            <w:top w:val="none" w:sz="0" w:space="0" w:color="auto"/>
            <w:left w:val="none" w:sz="0" w:space="0" w:color="auto"/>
            <w:bottom w:val="none" w:sz="0" w:space="0" w:color="auto"/>
            <w:right w:val="none" w:sz="0" w:space="0" w:color="auto"/>
          </w:divBdr>
        </w:div>
      </w:divsChild>
    </w:div>
    <w:div w:id="964849619">
      <w:bodyDiv w:val="1"/>
      <w:marLeft w:val="0"/>
      <w:marRight w:val="0"/>
      <w:marTop w:val="0"/>
      <w:marBottom w:val="0"/>
      <w:divBdr>
        <w:top w:val="none" w:sz="0" w:space="0" w:color="auto"/>
        <w:left w:val="none" w:sz="0" w:space="0" w:color="auto"/>
        <w:bottom w:val="none" w:sz="0" w:space="0" w:color="auto"/>
        <w:right w:val="none" w:sz="0" w:space="0" w:color="auto"/>
      </w:divBdr>
    </w:div>
    <w:div w:id="989753222">
      <w:bodyDiv w:val="1"/>
      <w:marLeft w:val="0"/>
      <w:marRight w:val="0"/>
      <w:marTop w:val="0"/>
      <w:marBottom w:val="0"/>
      <w:divBdr>
        <w:top w:val="none" w:sz="0" w:space="0" w:color="auto"/>
        <w:left w:val="none" w:sz="0" w:space="0" w:color="auto"/>
        <w:bottom w:val="none" w:sz="0" w:space="0" w:color="auto"/>
        <w:right w:val="none" w:sz="0" w:space="0" w:color="auto"/>
      </w:divBdr>
    </w:div>
    <w:div w:id="991368189">
      <w:bodyDiv w:val="1"/>
      <w:marLeft w:val="0"/>
      <w:marRight w:val="0"/>
      <w:marTop w:val="0"/>
      <w:marBottom w:val="0"/>
      <w:divBdr>
        <w:top w:val="none" w:sz="0" w:space="0" w:color="auto"/>
        <w:left w:val="none" w:sz="0" w:space="0" w:color="auto"/>
        <w:bottom w:val="none" w:sz="0" w:space="0" w:color="auto"/>
        <w:right w:val="none" w:sz="0" w:space="0" w:color="auto"/>
      </w:divBdr>
    </w:div>
    <w:div w:id="1000501213">
      <w:bodyDiv w:val="1"/>
      <w:marLeft w:val="0"/>
      <w:marRight w:val="0"/>
      <w:marTop w:val="0"/>
      <w:marBottom w:val="0"/>
      <w:divBdr>
        <w:top w:val="none" w:sz="0" w:space="0" w:color="auto"/>
        <w:left w:val="none" w:sz="0" w:space="0" w:color="auto"/>
        <w:bottom w:val="none" w:sz="0" w:space="0" w:color="auto"/>
        <w:right w:val="none" w:sz="0" w:space="0" w:color="auto"/>
      </w:divBdr>
      <w:divsChild>
        <w:div w:id="966282879">
          <w:marLeft w:val="547"/>
          <w:marRight w:val="0"/>
          <w:marTop w:val="96"/>
          <w:marBottom w:val="0"/>
          <w:divBdr>
            <w:top w:val="none" w:sz="0" w:space="0" w:color="auto"/>
            <w:left w:val="none" w:sz="0" w:space="0" w:color="auto"/>
            <w:bottom w:val="none" w:sz="0" w:space="0" w:color="auto"/>
            <w:right w:val="none" w:sz="0" w:space="0" w:color="auto"/>
          </w:divBdr>
        </w:div>
        <w:div w:id="715471844">
          <w:marLeft w:val="1166"/>
          <w:marRight w:val="0"/>
          <w:marTop w:val="96"/>
          <w:marBottom w:val="0"/>
          <w:divBdr>
            <w:top w:val="none" w:sz="0" w:space="0" w:color="auto"/>
            <w:left w:val="none" w:sz="0" w:space="0" w:color="auto"/>
            <w:bottom w:val="none" w:sz="0" w:space="0" w:color="auto"/>
            <w:right w:val="none" w:sz="0" w:space="0" w:color="auto"/>
          </w:divBdr>
        </w:div>
      </w:divsChild>
    </w:div>
    <w:div w:id="1021710417">
      <w:bodyDiv w:val="1"/>
      <w:marLeft w:val="0"/>
      <w:marRight w:val="0"/>
      <w:marTop w:val="0"/>
      <w:marBottom w:val="0"/>
      <w:divBdr>
        <w:top w:val="none" w:sz="0" w:space="0" w:color="auto"/>
        <w:left w:val="none" w:sz="0" w:space="0" w:color="auto"/>
        <w:bottom w:val="none" w:sz="0" w:space="0" w:color="auto"/>
        <w:right w:val="none" w:sz="0" w:space="0" w:color="auto"/>
      </w:divBdr>
    </w:div>
    <w:div w:id="1028219816">
      <w:bodyDiv w:val="1"/>
      <w:marLeft w:val="0"/>
      <w:marRight w:val="0"/>
      <w:marTop w:val="0"/>
      <w:marBottom w:val="0"/>
      <w:divBdr>
        <w:top w:val="none" w:sz="0" w:space="0" w:color="auto"/>
        <w:left w:val="none" w:sz="0" w:space="0" w:color="auto"/>
        <w:bottom w:val="none" w:sz="0" w:space="0" w:color="auto"/>
        <w:right w:val="none" w:sz="0" w:space="0" w:color="auto"/>
      </w:divBdr>
    </w:div>
    <w:div w:id="1036269875">
      <w:bodyDiv w:val="1"/>
      <w:marLeft w:val="0"/>
      <w:marRight w:val="0"/>
      <w:marTop w:val="0"/>
      <w:marBottom w:val="0"/>
      <w:divBdr>
        <w:top w:val="none" w:sz="0" w:space="0" w:color="auto"/>
        <w:left w:val="none" w:sz="0" w:space="0" w:color="auto"/>
        <w:bottom w:val="none" w:sz="0" w:space="0" w:color="auto"/>
        <w:right w:val="none" w:sz="0" w:space="0" w:color="auto"/>
      </w:divBdr>
      <w:divsChild>
        <w:div w:id="432481641">
          <w:marLeft w:val="547"/>
          <w:marRight w:val="0"/>
          <w:marTop w:val="77"/>
          <w:marBottom w:val="0"/>
          <w:divBdr>
            <w:top w:val="none" w:sz="0" w:space="0" w:color="auto"/>
            <w:left w:val="none" w:sz="0" w:space="0" w:color="auto"/>
            <w:bottom w:val="none" w:sz="0" w:space="0" w:color="auto"/>
            <w:right w:val="none" w:sz="0" w:space="0" w:color="auto"/>
          </w:divBdr>
        </w:div>
      </w:divsChild>
    </w:div>
    <w:div w:id="1041176543">
      <w:bodyDiv w:val="1"/>
      <w:marLeft w:val="0"/>
      <w:marRight w:val="0"/>
      <w:marTop w:val="0"/>
      <w:marBottom w:val="0"/>
      <w:divBdr>
        <w:top w:val="none" w:sz="0" w:space="0" w:color="auto"/>
        <w:left w:val="none" w:sz="0" w:space="0" w:color="auto"/>
        <w:bottom w:val="none" w:sz="0" w:space="0" w:color="auto"/>
        <w:right w:val="none" w:sz="0" w:space="0" w:color="auto"/>
      </w:divBdr>
      <w:divsChild>
        <w:div w:id="616839240">
          <w:marLeft w:val="547"/>
          <w:marRight w:val="0"/>
          <w:marTop w:val="77"/>
          <w:marBottom w:val="0"/>
          <w:divBdr>
            <w:top w:val="none" w:sz="0" w:space="0" w:color="auto"/>
            <w:left w:val="none" w:sz="0" w:space="0" w:color="auto"/>
            <w:bottom w:val="none" w:sz="0" w:space="0" w:color="auto"/>
            <w:right w:val="none" w:sz="0" w:space="0" w:color="auto"/>
          </w:divBdr>
        </w:div>
        <w:div w:id="769279261">
          <w:marLeft w:val="547"/>
          <w:marRight w:val="0"/>
          <w:marTop w:val="77"/>
          <w:marBottom w:val="0"/>
          <w:divBdr>
            <w:top w:val="none" w:sz="0" w:space="0" w:color="auto"/>
            <w:left w:val="none" w:sz="0" w:space="0" w:color="auto"/>
            <w:bottom w:val="none" w:sz="0" w:space="0" w:color="auto"/>
            <w:right w:val="none" w:sz="0" w:space="0" w:color="auto"/>
          </w:divBdr>
        </w:div>
        <w:div w:id="1618023330">
          <w:marLeft w:val="547"/>
          <w:marRight w:val="0"/>
          <w:marTop w:val="77"/>
          <w:marBottom w:val="0"/>
          <w:divBdr>
            <w:top w:val="none" w:sz="0" w:space="0" w:color="auto"/>
            <w:left w:val="none" w:sz="0" w:space="0" w:color="auto"/>
            <w:bottom w:val="none" w:sz="0" w:space="0" w:color="auto"/>
            <w:right w:val="none" w:sz="0" w:space="0" w:color="auto"/>
          </w:divBdr>
        </w:div>
      </w:divsChild>
    </w:div>
    <w:div w:id="1044985855">
      <w:bodyDiv w:val="1"/>
      <w:marLeft w:val="0"/>
      <w:marRight w:val="0"/>
      <w:marTop w:val="0"/>
      <w:marBottom w:val="0"/>
      <w:divBdr>
        <w:top w:val="none" w:sz="0" w:space="0" w:color="auto"/>
        <w:left w:val="none" w:sz="0" w:space="0" w:color="auto"/>
        <w:bottom w:val="none" w:sz="0" w:space="0" w:color="auto"/>
        <w:right w:val="none" w:sz="0" w:space="0" w:color="auto"/>
      </w:divBdr>
    </w:div>
    <w:div w:id="1052575888">
      <w:bodyDiv w:val="1"/>
      <w:marLeft w:val="0"/>
      <w:marRight w:val="0"/>
      <w:marTop w:val="0"/>
      <w:marBottom w:val="0"/>
      <w:divBdr>
        <w:top w:val="none" w:sz="0" w:space="0" w:color="auto"/>
        <w:left w:val="none" w:sz="0" w:space="0" w:color="auto"/>
        <w:bottom w:val="none" w:sz="0" w:space="0" w:color="auto"/>
        <w:right w:val="none" w:sz="0" w:space="0" w:color="auto"/>
      </w:divBdr>
      <w:divsChild>
        <w:div w:id="1165970926">
          <w:marLeft w:val="547"/>
          <w:marRight w:val="0"/>
          <w:marTop w:val="86"/>
          <w:marBottom w:val="0"/>
          <w:divBdr>
            <w:top w:val="none" w:sz="0" w:space="0" w:color="auto"/>
            <w:left w:val="none" w:sz="0" w:space="0" w:color="auto"/>
            <w:bottom w:val="none" w:sz="0" w:space="0" w:color="auto"/>
            <w:right w:val="none" w:sz="0" w:space="0" w:color="auto"/>
          </w:divBdr>
        </w:div>
      </w:divsChild>
    </w:div>
    <w:div w:id="1053965162">
      <w:bodyDiv w:val="1"/>
      <w:marLeft w:val="0"/>
      <w:marRight w:val="0"/>
      <w:marTop w:val="0"/>
      <w:marBottom w:val="0"/>
      <w:divBdr>
        <w:top w:val="none" w:sz="0" w:space="0" w:color="auto"/>
        <w:left w:val="none" w:sz="0" w:space="0" w:color="auto"/>
        <w:bottom w:val="none" w:sz="0" w:space="0" w:color="auto"/>
        <w:right w:val="none" w:sz="0" w:space="0" w:color="auto"/>
      </w:divBdr>
    </w:div>
    <w:div w:id="1055353290">
      <w:bodyDiv w:val="1"/>
      <w:marLeft w:val="0"/>
      <w:marRight w:val="0"/>
      <w:marTop w:val="0"/>
      <w:marBottom w:val="0"/>
      <w:divBdr>
        <w:top w:val="none" w:sz="0" w:space="0" w:color="auto"/>
        <w:left w:val="none" w:sz="0" w:space="0" w:color="auto"/>
        <w:bottom w:val="none" w:sz="0" w:space="0" w:color="auto"/>
        <w:right w:val="none" w:sz="0" w:space="0" w:color="auto"/>
      </w:divBdr>
      <w:divsChild>
        <w:div w:id="1286234105">
          <w:marLeft w:val="547"/>
          <w:marRight w:val="0"/>
          <w:marTop w:val="77"/>
          <w:marBottom w:val="0"/>
          <w:divBdr>
            <w:top w:val="none" w:sz="0" w:space="0" w:color="auto"/>
            <w:left w:val="none" w:sz="0" w:space="0" w:color="auto"/>
            <w:bottom w:val="none" w:sz="0" w:space="0" w:color="auto"/>
            <w:right w:val="none" w:sz="0" w:space="0" w:color="auto"/>
          </w:divBdr>
        </w:div>
        <w:div w:id="556935210">
          <w:marLeft w:val="1166"/>
          <w:marRight w:val="0"/>
          <w:marTop w:val="77"/>
          <w:marBottom w:val="0"/>
          <w:divBdr>
            <w:top w:val="none" w:sz="0" w:space="0" w:color="auto"/>
            <w:left w:val="none" w:sz="0" w:space="0" w:color="auto"/>
            <w:bottom w:val="none" w:sz="0" w:space="0" w:color="auto"/>
            <w:right w:val="none" w:sz="0" w:space="0" w:color="auto"/>
          </w:divBdr>
        </w:div>
        <w:div w:id="758713446">
          <w:marLeft w:val="1166"/>
          <w:marRight w:val="0"/>
          <w:marTop w:val="77"/>
          <w:marBottom w:val="0"/>
          <w:divBdr>
            <w:top w:val="none" w:sz="0" w:space="0" w:color="auto"/>
            <w:left w:val="none" w:sz="0" w:space="0" w:color="auto"/>
            <w:bottom w:val="none" w:sz="0" w:space="0" w:color="auto"/>
            <w:right w:val="none" w:sz="0" w:space="0" w:color="auto"/>
          </w:divBdr>
        </w:div>
      </w:divsChild>
    </w:div>
    <w:div w:id="1057583483">
      <w:bodyDiv w:val="1"/>
      <w:marLeft w:val="0"/>
      <w:marRight w:val="0"/>
      <w:marTop w:val="0"/>
      <w:marBottom w:val="0"/>
      <w:divBdr>
        <w:top w:val="none" w:sz="0" w:space="0" w:color="auto"/>
        <w:left w:val="none" w:sz="0" w:space="0" w:color="auto"/>
        <w:bottom w:val="none" w:sz="0" w:space="0" w:color="auto"/>
        <w:right w:val="none" w:sz="0" w:space="0" w:color="auto"/>
      </w:divBdr>
      <w:divsChild>
        <w:div w:id="222640954">
          <w:marLeft w:val="547"/>
          <w:marRight w:val="0"/>
          <w:marTop w:val="96"/>
          <w:marBottom w:val="0"/>
          <w:divBdr>
            <w:top w:val="none" w:sz="0" w:space="0" w:color="auto"/>
            <w:left w:val="none" w:sz="0" w:space="0" w:color="auto"/>
            <w:bottom w:val="none" w:sz="0" w:space="0" w:color="auto"/>
            <w:right w:val="none" w:sz="0" w:space="0" w:color="auto"/>
          </w:divBdr>
        </w:div>
      </w:divsChild>
    </w:div>
    <w:div w:id="1058866432">
      <w:bodyDiv w:val="1"/>
      <w:marLeft w:val="0"/>
      <w:marRight w:val="0"/>
      <w:marTop w:val="0"/>
      <w:marBottom w:val="0"/>
      <w:divBdr>
        <w:top w:val="none" w:sz="0" w:space="0" w:color="auto"/>
        <w:left w:val="none" w:sz="0" w:space="0" w:color="auto"/>
        <w:bottom w:val="none" w:sz="0" w:space="0" w:color="auto"/>
        <w:right w:val="none" w:sz="0" w:space="0" w:color="auto"/>
      </w:divBdr>
      <w:divsChild>
        <w:div w:id="1551649974">
          <w:marLeft w:val="605"/>
          <w:marRight w:val="0"/>
          <w:marTop w:val="67"/>
          <w:marBottom w:val="0"/>
          <w:divBdr>
            <w:top w:val="none" w:sz="0" w:space="0" w:color="auto"/>
            <w:left w:val="none" w:sz="0" w:space="0" w:color="auto"/>
            <w:bottom w:val="none" w:sz="0" w:space="0" w:color="auto"/>
            <w:right w:val="none" w:sz="0" w:space="0" w:color="auto"/>
          </w:divBdr>
        </w:div>
        <w:div w:id="2026318305">
          <w:marLeft w:val="1267"/>
          <w:marRight w:val="0"/>
          <w:marTop w:val="58"/>
          <w:marBottom w:val="0"/>
          <w:divBdr>
            <w:top w:val="none" w:sz="0" w:space="0" w:color="auto"/>
            <w:left w:val="none" w:sz="0" w:space="0" w:color="auto"/>
            <w:bottom w:val="none" w:sz="0" w:space="0" w:color="auto"/>
            <w:right w:val="none" w:sz="0" w:space="0" w:color="auto"/>
          </w:divBdr>
        </w:div>
        <w:div w:id="1410274586">
          <w:marLeft w:val="1267"/>
          <w:marRight w:val="0"/>
          <w:marTop w:val="58"/>
          <w:marBottom w:val="0"/>
          <w:divBdr>
            <w:top w:val="none" w:sz="0" w:space="0" w:color="auto"/>
            <w:left w:val="none" w:sz="0" w:space="0" w:color="auto"/>
            <w:bottom w:val="none" w:sz="0" w:space="0" w:color="auto"/>
            <w:right w:val="none" w:sz="0" w:space="0" w:color="auto"/>
          </w:divBdr>
        </w:div>
        <w:div w:id="2025278011">
          <w:marLeft w:val="605"/>
          <w:marRight w:val="0"/>
          <w:marTop w:val="67"/>
          <w:marBottom w:val="0"/>
          <w:divBdr>
            <w:top w:val="none" w:sz="0" w:space="0" w:color="auto"/>
            <w:left w:val="none" w:sz="0" w:space="0" w:color="auto"/>
            <w:bottom w:val="none" w:sz="0" w:space="0" w:color="auto"/>
            <w:right w:val="none" w:sz="0" w:space="0" w:color="auto"/>
          </w:divBdr>
        </w:div>
        <w:div w:id="798958836">
          <w:marLeft w:val="605"/>
          <w:marRight w:val="0"/>
          <w:marTop w:val="67"/>
          <w:marBottom w:val="0"/>
          <w:divBdr>
            <w:top w:val="none" w:sz="0" w:space="0" w:color="auto"/>
            <w:left w:val="none" w:sz="0" w:space="0" w:color="auto"/>
            <w:bottom w:val="none" w:sz="0" w:space="0" w:color="auto"/>
            <w:right w:val="none" w:sz="0" w:space="0" w:color="auto"/>
          </w:divBdr>
        </w:div>
      </w:divsChild>
    </w:div>
    <w:div w:id="1060372555">
      <w:bodyDiv w:val="1"/>
      <w:marLeft w:val="0"/>
      <w:marRight w:val="0"/>
      <w:marTop w:val="0"/>
      <w:marBottom w:val="0"/>
      <w:divBdr>
        <w:top w:val="none" w:sz="0" w:space="0" w:color="auto"/>
        <w:left w:val="none" w:sz="0" w:space="0" w:color="auto"/>
        <w:bottom w:val="none" w:sz="0" w:space="0" w:color="auto"/>
        <w:right w:val="none" w:sz="0" w:space="0" w:color="auto"/>
      </w:divBdr>
    </w:div>
    <w:div w:id="1063598887">
      <w:bodyDiv w:val="1"/>
      <w:marLeft w:val="0"/>
      <w:marRight w:val="0"/>
      <w:marTop w:val="0"/>
      <w:marBottom w:val="0"/>
      <w:divBdr>
        <w:top w:val="none" w:sz="0" w:space="0" w:color="auto"/>
        <w:left w:val="none" w:sz="0" w:space="0" w:color="auto"/>
        <w:bottom w:val="none" w:sz="0" w:space="0" w:color="auto"/>
        <w:right w:val="none" w:sz="0" w:space="0" w:color="auto"/>
      </w:divBdr>
    </w:div>
    <w:div w:id="1064257241">
      <w:bodyDiv w:val="1"/>
      <w:marLeft w:val="0"/>
      <w:marRight w:val="0"/>
      <w:marTop w:val="0"/>
      <w:marBottom w:val="0"/>
      <w:divBdr>
        <w:top w:val="none" w:sz="0" w:space="0" w:color="auto"/>
        <w:left w:val="none" w:sz="0" w:space="0" w:color="auto"/>
        <w:bottom w:val="none" w:sz="0" w:space="0" w:color="auto"/>
        <w:right w:val="none" w:sz="0" w:space="0" w:color="auto"/>
      </w:divBdr>
      <w:divsChild>
        <w:div w:id="1593933751">
          <w:marLeft w:val="547"/>
          <w:marRight w:val="0"/>
          <w:marTop w:val="77"/>
          <w:marBottom w:val="0"/>
          <w:divBdr>
            <w:top w:val="none" w:sz="0" w:space="0" w:color="auto"/>
            <w:left w:val="none" w:sz="0" w:space="0" w:color="auto"/>
            <w:bottom w:val="none" w:sz="0" w:space="0" w:color="auto"/>
            <w:right w:val="none" w:sz="0" w:space="0" w:color="auto"/>
          </w:divBdr>
        </w:div>
        <w:div w:id="763381049">
          <w:marLeft w:val="547"/>
          <w:marRight w:val="0"/>
          <w:marTop w:val="77"/>
          <w:marBottom w:val="0"/>
          <w:divBdr>
            <w:top w:val="none" w:sz="0" w:space="0" w:color="auto"/>
            <w:left w:val="none" w:sz="0" w:space="0" w:color="auto"/>
            <w:bottom w:val="none" w:sz="0" w:space="0" w:color="auto"/>
            <w:right w:val="none" w:sz="0" w:space="0" w:color="auto"/>
          </w:divBdr>
        </w:div>
      </w:divsChild>
    </w:div>
    <w:div w:id="1069425039">
      <w:bodyDiv w:val="1"/>
      <w:marLeft w:val="0"/>
      <w:marRight w:val="0"/>
      <w:marTop w:val="0"/>
      <w:marBottom w:val="0"/>
      <w:divBdr>
        <w:top w:val="none" w:sz="0" w:space="0" w:color="auto"/>
        <w:left w:val="none" w:sz="0" w:space="0" w:color="auto"/>
        <w:bottom w:val="none" w:sz="0" w:space="0" w:color="auto"/>
        <w:right w:val="none" w:sz="0" w:space="0" w:color="auto"/>
      </w:divBdr>
    </w:div>
    <w:div w:id="1073044189">
      <w:bodyDiv w:val="1"/>
      <w:marLeft w:val="0"/>
      <w:marRight w:val="0"/>
      <w:marTop w:val="0"/>
      <w:marBottom w:val="0"/>
      <w:divBdr>
        <w:top w:val="none" w:sz="0" w:space="0" w:color="auto"/>
        <w:left w:val="none" w:sz="0" w:space="0" w:color="auto"/>
        <w:bottom w:val="none" w:sz="0" w:space="0" w:color="auto"/>
        <w:right w:val="none" w:sz="0" w:space="0" w:color="auto"/>
      </w:divBdr>
      <w:divsChild>
        <w:div w:id="208349228">
          <w:marLeft w:val="547"/>
          <w:marRight w:val="0"/>
          <w:marTop w:val="86"/>
          <w:marBottom w:val="0"/>
          <w:divBdr>
            <w:top w:val="none" w:sz="0" w:space="0" w:color="auto"/>
            <w:left w:val="none" w:sz="0" w:space="0" w:color="auto"/>
            <w:bottom w:val="none" w:sz="0" w:space="0" w:color="auto"/>
            <w:right w:val="none" w:sz="0" w:space="0" w:color="auto"/>
          </w:divBdr>
        </w:div>
      </w:divsChild>
    </w:div>
    <w:div w:id="1074931938">
      <w:bodyDiv w:val="1"/>
      <w:marLeft w:val="0"/>
      <w:marRight w:val="0"/>
      <w:marTop w:val="0"/>
      <w:marBottom w:val="0"/>
      <w:divBdr>
        <w:top w:val="none" w:sz="0" w:space="0" w:color="auto"/>
        <w:left w:val="none" w:sz="0" w:space="0" w:color="auto"/>
        <w:bottom w:val="none" w:sz="0" w:space="0" w:color="auto"/>
        <w:right w:val="none" w:sz="0" w:space="0" w:color="auto"/>
      </w:divBdr>
    </w:div>
    <w:div w:id="1093162957">
      <w:bodyDiv w:val="1"/>
      <w:marLeft w:val="0"/>
      <w:marRight w:val="0"/>
      <w:marTop w:val="0"/>
      <w:marBottom w:val="0"/>
      <w:divBdr>
        <w:top w:val="none" w:sz="0" w:space="0" w:color="auto"/>
        <w:left w:val="none" w:sz="0" w:space="0" w:color="auto"/>
        <w:bottom w:val="none" w:sz="0" w:space="0" w:color="auto"/>
        <w:right w:val="none" w:sz="0" w:space="0" w:color="auto"/>
      </w:divBdr>
    </w:div>
    <w:div w:id="1096825847">
      <w:bodyDiv w:val="1"/>
      <w:marLeft w:val="0"/>
      <w:marRight w:val="0"/>
      <w:marTop w:val="0"/>
      <w:marBottom w:val="0"/>
      <w:divBdr>
        <w:top w:val="none" w:sz="0" w:space="0" w:color="auto"/>
        <w:left w:val="none" w:sz="0" w:space="0" w:color="auto"/>
        <w:bottom w:val="none" w:sz="0" w:space="0" w:color="auto"/>
        <w:right w:val="none" w:sz="0" w:space="0" w:color="auto"/>
      </w:divBdr>
    </w:div>
    <w:div w:id="1107313193">
      <w:bodyDiv w:val="1"/>
      <w:marLeft w:val="0"/>
      <w:marRight w:val="0"/>
      <w:marTop w:val="0"/>
      <w:marBottom w:val="0"/>
      <w:divBdr>
        <w:top w:val="none" w:sz="0" w:space="0" w:color="auto"/>
        <w:left w:val="none" w:sz="0" w:space="0" w:color="auto"/>
        <w:bottom w:val="none" w:sz="0" w:space="0" w:color="auto"/>
        <w:right w:val="none" w:sz="0" w:space="0" w:color="auto"/>
      </w:divBdr>
    </w:div>
    <w:div w:id="1108890461">
      <w:bodyDiv w:val="1"/>
      <w:marLeft w:val="0"/>
      <w:marRight w:val="0"/>
      <w:marTop w:val="0"/>
      <w:marBottom w:val="0"/>
      <w:divBdr>
        <w:top w:val="none" w:sz="0" w:space="0" w:color="auto"/>
        <w:left w:val="none" w:sz="0" w:space="0" w:color="auto"/>
        <w:bottom w:val="none" w:sz="0" w:space="0" w:color="auto"/>
        <w:right w:val="none" w:sz="0" w:space="0" w:color="auto"/>
      </w:divBdr>
      <w:divsChild>
        <w:div w:id="1527476183">
          <w:marLeft w:val="1166"/>
          <w:marRight w:val="0"/>
          <w:marTop w:val="58"/>
          <w:marBottom w:val="0"/>
          <w:divBdr>
            <w:top w:val="none" w:sz="0" w:space="0" w:color="auto"/>
            <w:left w:val="none" w:sz="0" w:space="0" w:color="auto"/>
            <w:bottom w:val="none" w:sz="0" w:space="0" w:color="auto"/>
            <w:right w:val="none" w:sz="0" w:space="0" w:color="auto"/>
          </w:divBdr>
        </w:div>
      </w:divsChild>
    </w:div>
    <w:div w:id="1116946345">
      <w:bodyDiv w:val="1"/>
      <w:marLeft w:val="0"/>
      <w:marRight w:val="0"/>
      <w:marTop w:val="0"/>
      <w:marBottom w:val="0"/>
      <w:divBdr>
        <w:top w:val="none" w:sz="0" w:space="0" w:color="auto"/>
        <w:left w:val="none" w:sz="0" w:space="0" w:color="auto"/>
        <w:bottom w:val="none" w:sz="0" w:space="0" w:color="auto"/>
        <w:right w:val="none" w:sz="0" w:space="0" w:color="auto"/>
      </w:divBdr>
      <w:divsChild>
        <w:div w:id="1530871095">
          <w:marLeft w:val="547"/>
          <w:marRight w:val="0"/>
          <w:marTop w:val="96"/>
          <w:marBottom w:val="0"/>
          <w:divBdr>
            <w:top w:val="none" w:sz="0" w:space="0" w:color="auto"/>
            <w:left w:val="none" w:sz="0" w:space="0" w:color="auto"/>
            <w:bottom w:val="none" w:sz="0" w:space="0" w:color="auto"/>
            <w:right w:val="none" w:sz="0" w:space="0" w:color="auto"/>
          </w:divBdr>
        </w:div>
        <w:div w:id="1326320389">
          <w:marLeft w:val="547"/>
          <w:marRight w:val="0"/>
          <w:marTop w:val="96"/>
          <w:marBottom w:val="0"/>
          <w:divBdr>
            <w:top w:val="none" w:sz="0" w:space="0" w:color="auto"/>
            <w:left w:val="none" w:sz="0" w:space="0" w:color="auto"/>
            <w:bottom w:val="none" w:sz="0" w:space="0" w:color="auto"/>
            <w:right w:val="none" w:sz="0" w:space="0" w:color="auto"/>
          </w:divBdr>
        </w:div>
      </w:divsChild>
    </w:div>
    <w:div w:id="1121073775">
      <w:bodyDiv w:val="1"/>
      <w:marLeft w:val="0"/>
      <w:marRight w:val="0"/>
      <w:marTop w:val="0"/>
      <w:marBottom w:val="0"/>
      <w:divBdr>
        <w:top w:val="none" w:sz="0" w:space="0" w:color="auto"/>
        <w:left w:val="none" w:sz="0" w:space="0" w:color="auto"/>
        <w:bottom w:val="none" w:sz="0" w:space="0" w:color="auto"/>
        <w:right w:val="none" w:sz="0" w:space="0" w:color="auto"/>
      </w:divBdr>
    </w:div>
    <w:div w:id="1128207881">
      <w:bodyDiv w:val="1"/>
      <w:marLeft w:val="0"/>
      <w:marRight w:val="0"/>
      <w:marTop w:val="0"/>
      <w:marBottom w:val="0"/>
      <w:divBdr>
        <w:top w:val="none" w:sz="0" w:space="0" w:color="auto"/>
        <w:left w:val="none" w:sz="0" w:space="0" w:color="auto"/>
        <w:bottom w:val="none" w:sz="0" w:space="0" w:color="auto"/>
        <w:right w:val="none" w:sz="0" w:space="0" w:color="auto"/>
      </w:divBdr>
    </w:div>
    <w:div w:id="1134064239">
      <w:bodyDiv w:val="1"/>
      <w:marLeft w:val="0"/>
      <w:marRight w:val="0"/>
      <w:marTop w:val="0"/>
      <w:marBottom w:val="0"/>
      <w:divBdr>
        <w:top w:val="none" w:sz="0" w:space="0" w:color="auto"/>
        <w:left w:val="none" w:sz="0" w:space="0" w:color="auto"/>
        <w:bottom w:val="none" w:sz="0" w:space="0" w:color="auto"/>
        <w:right w:val="none" w:sz="0" w:space="0" w:color="auto"/>
      </w:divBdr>
      <w:divsChild>
        <w:div w:id="1752309129">
          <w:marLeft w:val="547"/>
          <w:marRight w:val="0"/>
          <w:marTop w:val="77"/>
          <w:marBottom w:val="0"/>
          <w:divBdr>
            <w:top w:val="none" w:sz="0" w:space="0" w:color="auto"/>
            <w:left w:val="none" w:sz="0" w:space="0" w:color="auto"/>
            <w:bottom w:val="none" w:sz="0" w:space="0" w:color="auto"/>
            <w:right w:val="none" w:sz="0" w:space="0" w:color="auto"/>
          </w:divBdr>
        </w:div>
        <w:div w:id="1640261315">
          <w:marLeft w:val="547"/>
          <w:marRight w:val="0"/>
          <w:marTop w:val="77"/>
          <w:marBottom w:val="0"/>
          <w:divBdr>
            <w:top w:val="none" w:sz="0" w:space="0" w:color="auto"/>
            <w:left w:val="none" w:sz="0" w:space="0" w:color="auto"/>
            <w:bottom w:val="none" w:sz="0" w:space="0" w:color="auto"/>
            <w:right w:val="none" w:sz="0" w:space="0" w:color="auto"/>
          </w:divBdr>
        </w:div>
        <w:div w:id="1206914198">
          <w:marLeft w:val="547"/>
          <w:marRight w:val="0"/>
          <w:marTop w:val="77"/>
          <w:marBottom w:val="0"/>
          <w:divBdr>
            <w:top w:val="none" w:sz="0" w:space="0" w:color="auto"/>
            <w:left w:val="none" w:sz="0" w:space="0" w:color="auto"/>
            <w:bottom w:val="none" w:sz="0" w:space="0" w:color="auto"/>
            <w:right w:val="none" w:sz="0" w:space="0" w:color="auto"/>
          </w:divBdr>
        </w:div>
        <w:div w:id="1656836994">
          <w:marLeft w:val="547"/>
          <w:marRight w:val="0"/>
          <w:marTop w:val="77"/>
          <w:marBottom w:val="0"/>
          <w:divBdr>
            <w:top w:val="none" w:sz="0" w:space="0" w:color="auto"/>
            <w:left w:val="none" w:sz="0" w:space="0" w:color="auto"/>
            <w:bottom w:val="none" w:sz="0" w:space="0" w:color="auto"/>
            <w:right w:val="none" w:sz="0" w:space="0" w:color="auto"/>
          </w:divBdr>
        </w:div>
        <w:div w:id="2086216708">
          <w:marLeft w:val="547"/>
          <w:marRight w:val="0"/>
          <w:marTop w:val="77"/>
          <w:marBottom w:val="0"/>
          <w:divBdr>
            <w:top w:val="none" w:sz="0" w:space="0" w:color="auto"/>
            <w:left w:val="none" w:sz="0" w:space="0" w:color="auto"/>
            <w:bottom w:val="none" w:sz="0" w:space="0" w:color="auto"/>
            <w:right w:val="none" w:sz="0" w:space="0" w:color="auto"/>
          </w:divBdr>
        </w:div>
      </w:divsChild>
    </w:div>
    <w:div w:id="1136333069">
      <w:bodyDiv w:val="1"/>
      <w:marLeft w:val="0"/>
      <w:marRight w:val="0"/>
      <w:marTop w:val="0"/>
      <w:marBottom w:val="0"/>
      <w:divBdr>
        <w:top w:val="none" w:sz="0" w:space="0" w:color="auto"/>
        <w:left w:val="none" w:sz="0" w:space="0" w:color="auto"/>
        <w:bottom w:val="none" w:sz="0" w:space="0" w:color="auto"/>
        <w:right w:val="none" w:sz="0" w:space="0" w:color="auto"/>
      </w:divBdr>
    </w:div>
    <w:div w:id="1140608448">
      <w:bodyDiv w:val="1"/>
      <w:marLeft w:val="0"/>
      <w:marRight w:val="0"/>
      <w:marTop w:val="0"/>
      <w:marBottom w:val="0"/>
      <w:divBdr>
        <w:top w:val="none" w:sz="0" w:space="0" w:color="auto"/>
        <w:left w:val="none" w:sz="0" w:space="0" w:color="auto"/>
        <w:bottom w:val="none" w:sz="0" w:space="0" w:color="auto"/>
        <w:right w:val="none" w:sz="0" w:space="0" w:color="auto"/>
      </w:divBdr>
    </w:div>
    <w:div w:id="1161044085">
      <w:bodyDiv w:val="1"/>
      <w:marLeft w:val="0"/>
      <w:marRight w:val="0"/>
      <w:marTop w:val="0"/>
      <w:marBottom w:val="0"/>
      <w:divBdr>
        <w:top w:val="none" w:sz="0" w:space="0" w:color="auto"/>
        <w:left w:val="none" w:sz="0" w:space="0" w:color="auto"/>
        <w:bottom w:val="none" w:sz="0" w:space="0" w:color="auto"/>
        <w:right w:val="none" w:sz="0" w:space="0" w:color="auto"/>
      </w:divBdr>
    </w:div>
    <w:div w:id="1165361241">
      <w:bodyDiv w:val="1"/>
      <w:marLeft w:val="0"/>
      <w:marRight w:val="0"/>
      <w:marTop w:val="0"/>
      <w:marBottom w:val="0"/>
      <w:divBdr>
        <w:top w:val="none" w:sz="0" w:space="0" w:color="auto"/>
        <w:left w:val="none" w:sz="0" w:space="0" w:color="auto"/>
        <w:bottom w:val="none" w:sz="0" w:space="0" w:color="auto"/>
        <w:right w:val="none" w:sz="0" w:space="0" w:color="auto"/>
      </w:divBdr>
    </w:div>
    <w:div w:id="1171794418">
      <w:bodyDiv w:val="1"/>
      <w:marLeft w:val="0"/>
      <w:marRight w:val="0"/>
      <w:marTop w:val="0"/>
      <w:marBottom w:val="0"/>
      <w:divBdr>
        <w:top w:val="none" w:sz="0" w:space="0" w:color="auto"/>
        <w:left w:val="none" w:sz="0" w:space="0" w:color="auto"/>
        <w:bottom w:val="none" w:sz="0" w:space="0" w:color="auto"/>
        <w:right w:val="none" w:sz="0" w:space="0" w:color="auto"/>
      </w:divBdr>
    </w:div>
    <w:div w:id="1174567341">
      <w:bodyDiv w:val="1"/>
      <w:marLeft w:val="0"/>
      <w:marRight w:val="0"/>
      <w:marTop w:val="0"/>
      <w:marBottom w:val="0"/>
      <w:divBdr>
        <w:top w:val="none" w:sz="0" w:space="0" w:color="auto"/>
        <w:left w:val="none" w:sz="0" w:space="0" w:color="auto"/>
        <w:bottom w:val="none" w:sz="0" w:space="0" w:color="auto"/>
        <w:right w:val="none" w:sz="0" w:space="0" w:color="auto"/>
      </w:divBdr>
      <w:divsChild>
        <w:div w:id="352848533">
          <w:marLeft w:val="547"/>
          <w:marRight w:val="0"/>
          <w:marTop w:val="67"/>
          <w:marBottom w:val="0"/>
          <w:divBdr>
            <w:top w:val="none" w:sz="0" w:space="0" w:color="auto"/>
            <w:left w:val="none" w:sz="0" w:space="0" w:color="auto"/>
            <w:bottom w:val="none" w:sz="0" w:space="0" w:color="auto"/>
            <w:right w:val="none" w:sz="0" w:space="0" w:color="auto"/>
          </w:divBdr>
        </w:div>
        <w:div w:id="622467650">
          <w:marLeft w:val="547"/>
          <w:marRight w:val="0"/>
          <w:marTop w:val="67"/>
          <w:marBottom w:val="0"/>
          <w:divBdr>
            <w:top w:val="none" w:sz="0" w:space="0" w:color="auto"/>
            <w:left w:val="none" w:sz="0" w:space="0" w:color="auto"/>
            <w:bottom w:val="none" w:sz="0" w:space="0" w:color="auto"/>
            <w:right w:val="none" w:sz="0" w:space="0" w:color="auto"/>
          </w:divBdr>
        </w:div>
        <w:div w:id="1877887128">
          <w:marLeft w:val="547"/>
          <w:marRight w:val="0"/>
          <w:marTop w:val="67"/>
          <w:marBottom w:val="0"/>
          <w:divBdr>
            <w:top w:val="none" w:sz="0" w:space="0" w:color="auto"/>
            <w:left w:val="none" w:sz="0" w:space="0" w:color="auto"/>
            <w:bottom w:val="none" w:sz="0" w:space="0" w:color="auto"/>
            <w:right w:val="none" w:sz="0" w:space="0" w:color="auto"/>
          </w:divBdr>
        </w:div>
        <w:div w:id="1913849106">
          <w:marLeft w:val="547"/>
          <w:marRight w:val="0"/>
          <w:marTop w:val="67"/>
          <w:marBottom w:val="0"/>
          <w:divBdr>
            <w:top w:val="none" w:sz="0" w:space="0" w:color="auto"/>
            <w:left w:val="none" w:sz="0" w:space="0" w:color="auto"/>
            <w:bottom w:val="none" w:sz="0" w:space="0" w:color="auto"/>
            <w:right w:val="none" w:sz="0" w:space="0" w:color="auto"/>
          </w:divBdr>
        </w:div>
        <w:div w:id="721246670">
          <w:marLeft w:val="547"/>
          <w:marRight w:val="0"/>
          <w:marTop w:val="67"/>
          <w:marBottom w:val="0"/>
          <w:divBdr>
            <w:top w:val="none" w:sz="0" w:space="0" w:color="auto"/>
            <w:left w:val="none" w:sz="0" w:space="0" w:color="auto"/>
            <w:bottom w:val="none" w:sz="0" w:space="0" w:color="auto"/>
            <w:right w:val="none" w:sz="0" w:space="0" w:color="auto"/>
          </w:divBdr>
        </w:div>
      </w:divsChild>
    </w:div>
    <w:div w:id="1198929391">
      <w:bodyDiv w:val="1"/>
      <w:marLeft w:val="0"/>
      <w:marRight w:val="0"/>
      <w:marTop w:val="0"/>
      <w:marBottom w:val="0"/>
      <w:divBdr>
        <w:top w:val="none" w:sz="0" w:space="0" w:color="auto"/>
        <w:left w:val="none" w:sz="0" w:space="0" w:color="auto"/>
        <w:bottom w:val="none" w:sz="0" w:space="0" w:color="auto"/>
        <w:right w:val="none" w:sz="0" w:space="0" w:color="auto"/>
      </w:divBdr>
    </w:div>
    <w:div w:id="1205292657">
      <w:bodyDiv w:val="1"/>
      <w:marLeft w:val="0"/>
      <w:marRight w:val="0"/>
      <w:marTop w:val="0"/>
      <w:marBottom w:val="0"/>
      <w:divBdr>
        <w:top w:val="none" w:sz="0" w:space="0" w:color="auto"/>
        <w:left w:val="none" w:sz="0" w:space="0" w:color="auto"/>
        <w:bottom w:val="none" w:sz="0" w:space="0" w:color="auto"/>
        <w:right w:val="none" w:sz="0" w:space="0" w:color="auto"/>
      </w:divBdr>
    </w:div>
    <w:div w:id="1208251443">
      <w:bodyDiv w:val="1"/>
      <w:marLeft w:val="0"/>
      <w:marRight w:val="0"/>
      <w:marTop w:val="0"/>
      <w:marBottom w:val="0"/>
      <w:divBdr>
        <w:top w:val="none" w:sz="0" w:space="0" w:color="auto"/>
        <w:left w:val="none" w:sz="0" w:space="0" w:color="auto"/>
        <w:bottom w:val="none" w:sz="0" w:space="0" w:color="auto"/>
        <w:right w:val="none" w:sz="0" w:space="0" w:color="auto"/>
      </w:divBdr>
    </w:div>
    <w:div w:id="1212226397">
      <w:bodyDiv w:val="1"/>
      <w:marLeft w:val="0"/>
      <w:marRight w:val="0"/>
      <w:marTop w:val="0"/>
      <w:marBottom w:val="0"/>
      <w:divBdr>
        <w:top w:val="none" w:sz="0" w:space="0" w:color="auto"/>
        <w:left w:val="none" w:sz="0" w:space="0" w:color="auto"/>
        <w:bottom w:val="none" w:sz="0" w:space="0" w:color="auto"/>
        <w:right w:val="none" w:sz="0" w:space="0" w:color="auto"/>
      </w:divBdr>
    </w:div>
    <w:div w:id="1217157251">
      <w:bodyDiv w:val="1"/>
      <w:marLeft w:val="0"/>
      <w:marRight w:val="0"/>
      <w:marTop w:val="0"/>
      <w:marBottom w:val="0"/>
      <w:divBdr>
        <w:top w:val="none" w:sz="0" w:space="0" w:color="auto"/>
        <w:left w:val="none" w:sz="0" w:space="0" w:color="auto"/>
        <w:bottom w:val="none" w:sz="0" w:space="0" w:color="auto"/>
        <w:right w:val="none" w:sz="0" w:space="0" w:color="auto"/>
      </w:divBdr>
    </w:div>
    <w:div w:id="1218735574">
      <w:bodyDiv w:val="1"/>
      <w:marLeft w:val="0"/>
      <w:marRight w:val="0"/>
      <w:marTop w:val="0"/>
      <w:marBottom w:val="0"/>
      <w:divBdr>
        <w:top w:val="none" w:sz="0" w:space="0" w:color="auto"/>
        <w:left w:val="none" w:sz="0" w:space="0" w:color="auto"/>
        <w:bottom w:val="none" w:sz="0" w:space="0" w:color="auto"/>
        <w:right w:val="none" w:sz="0" w:space="0" w:color="auto"/>
      </w:divBdr>
    </w:div>
    <w:div w:id="1221481780">
      <w:bodyDiv w:val="1"/>
      <w:marLeft w:val="0"/>
      <w:marRight w:val="0"/>
      <w:marTop w:val="0"/>
      <w:marBottom w:val="0"/>
      <w:divBdr>
        <w:top w:val="none" w:sz="0" w:space="0" w:color="auto"/>
        <w:left w:val="none" w:sz="0" w:space="0" w:color="auto"/>
        <w:bottom w:val="none" w:sz="0" w:space="0" w:color="auto"/>
        <w:right w:val="none" w:sz="0" w:space="0" w:color="auto"/>
      </w:divBdr>
    </w:div>
    <w:div w:id="1223322973">
      <w:bodyDiv w:val="1"/>
      <w:marLeft w:val="0"/>
      <w:marRight w:val="0"/>
      <w:marTop w:val="0"/>
      <w:marBottom w:val="0"/>
      <w:divBdr>
        <w:top w:val="none" w:sz="0" w:space="0" w:color="auto"/>
        <w:left w:val="none" w:sz="0" w:space="0" w:color="auto"/>
        <w:bottom w:val="none" w:sz="0" w:space="0" w:color="auto"/>
        <w:right w:val="none" w:sz="0" w:space="0" w:color="auto"/>
      </w:divBdr>
    </w:div>
    <w:div w:id="1231500150">
      <w:bodyDiv w:val="1"/>
      <w:marLeft w:val="0"/>
      <w:marRight w:val="0"/>
      <w:marTop w:val="0"/>
      <w:marBottom w:val="0"/>
      <w:divBdr>
        <w:top w:val="none" w:sz="0" w:space="0" w:color="auto"/>
        <w:left w:val="none" w:sz="0" w:space="0" w:color="auto"/>
        <w:bottom w:val="none" w:sz="0" w:space="0" w:color="auto"/>
        <w:right w:val="none" w:sz="0" w:space="0" w:color="auto"/>
      </w:divBdr>
    </w:div>
    <w:div w:id="1236666941">
      <w:bodyDiv w:val="1"/>
      <w:marLeft w:val="0"/>
      <w:marRight w:val="0"/>
      <w:marTop w:val="0"/>
      <w:marBottom w:val="0"/>
      <w:divBdr>
        <w:top w:val="none" w:sz="0" w:space="0" w:color="auto"/>
        <w:left w:val="none" w:sz="0" w:space="0" w:color="auto"/>
        <w:bottom w:val="none" w:sz="0" w:space="0" w:color="auto"/>
        <w:right w:val="none" w:sz="0" w:space="0" w:color="auto"/>
      </w:divBdr>
    </w:div>
    <w:div w:id="1240745872">
      <w:bodyDiv w:val="1"/>
      <w:marLeft w:val="0"/>
      <w:marRight w:val="0"/>
      <w:marTop w:val="0"/>
      <w:marBottom w:val="0"/>
      <w:divBdr>
        <w:top w:val="none" w:sz="0" w:space="0" w:color="auto"/>
        <w:left w:val="none" w:sz="0" w:space="0" w:color="auto"/>
        <w:bottom w:val="none" w:sz="0" w:space="0" w:color="auto"/>
        <w:right w:val="none" w:sz="0" w:space="0" w:color="auto"/>
      </w:divBdr>
      <w:divsChild>
        <w:div w:id="1633562312">
          <w:marLeft w:val="547"/>
          <w:marRight w:val="0"/>
          <w:marTop w:val="96"/>
          <w:marBottom w:val="0"/>
          <w:divBdr>
            <w:top w:val="none" w:sz="0" w:space="0" w:color="auto"/>
            <w:left w:val="none" w:sz="0" w:space="0" w:color="auto"/>
            <w:bottom w:val="none" w:sz="0" w:space="0" w:color="auto"/>
            <w:right w:val="none" w:sz="0" w:space="0" w:color="auto"/>
          </w:divBdr>
        </w:div>
      </w:divsChild>
    </w:div>
    <w:div w:id="1242711994">
      <w:bodyDiv w:val="1"/>
      <w:marLeft w:val="0"/>
      <w:marRight w:val="0"/>
      <w:marTop w:val="0"/>
      <w:marBottom w:val="0"/>
      <w:divBdr>
        <w:top w:val="none" w:sz="0" w:space="0" w:color="auto"/>
        <w:left w:val="none" w:sz="0" w:space="0" w:color="auto"/>
        <w:bottom w:val="none" w:sz="0" w:space="0" w:color="auto"/>
        <w:right w:val="none" w:sz="0" w:space="0" w:color="auto"/>
      </w:divBdr>
      <w:divsChild>
        <w:div w:id="310983920">
          <w:marLeft w:val="547"/>
          <w:marRight w:val="0"/>
          <w:marTop w:val="77"/>
          <w:marBottom w:val="0"/>
          <w:divBdr>
            <w:top w:val="none" w:sz="0" w:space="0" w:color="auto"/>
            <w:left w:val="none" w:sz="0" w:space="0" w:color="auto"/>
            <w:bottom w:val="none" w:sz="0" w:space="0" w:color="auto"/>
            <w:right w:val="none" w:sz="0" w:space="0" w:color="auto"/>
          </w:divBdr>
        </w:div>
        <w:div w:id="2112241670">
          <w:marLeft w:val="547"/>
          <w:marRight w:val="0"/>
          <w:marTop w:val="77"/>
          <w:marBottom w:val="0"/>
          <w:divBdr>
            <w:top w:val="none" w:sz="0" w:space="0" w:color="auto"/>
            <w:left w:val="none" w:sz="0" w:space="0" w:color="auto"/>
            <w:bottom w:val="none" w:sz="0" w:space="0" w:color="auto"/>
            <w:right w:val="none" w:sz="0" w:space="0" w:color="auto"/>
          </w:divBdr>
        </w:div>
        <w:div w:id="1157920813">
          <w:marLeft w:val="547"/>
          <w:marRight w:val="0"/>
          <w:marTop w:val="77"/>
          <w:marBottom w:val="0"/>
          <w:divBdr>
            <w:top w:val="none" w:sz="0" w:space="0" w:color="auto"/>
            <w:left w:val="none" w:sz="0" w:space="0" w:color="auto"/>
            <w:bottom w:val="none" w:sz="0" w:space="0" w:color="auto"/>
            <w:right w:val="none" w:sz="0" w:space="0" w:color="auto"/>
          </w:divBdr>
        </w:div>
        <w:div w:id="16349202">
          <w:marLeft w:val="547"/>
          <w:marRight w:val="0"/>
          <w:marTop w:val="77"/>
          <w:marBottom w:val="0"/>
          <w:divBdr>
            <w:top w:val="none" w:sz="0" w:space="0" w:color="auto"/>
            <w:left w:val="none" w:sz="0" w:space="0" w:color="auto"/>
            <w:bottom w:val="none" w:sz="0" w:space="0" w:color="auto"/>
            <w:right w:val="none" w:sz="0" w:space="0" w:color="auto"/>
          </w:divBdr>
        </w:div>
        <w:div w:id="1389039422">
          <w:marLeft w:val="547"/>
          <w:marRight w:val="0"/>
          <w:marTop w:val="77"/>
          <w:marBottom w:val="0"/>
          <w:divBdr>
            <w:top w:val="none" w:sz="0" w:space="0" w:color="auto"/>
            <w:left w:val="none" w:sz="0" w:space="0" w:color="auto"/>
            <w:bottom w:val="none" w:sz="0" w:space="0" w:color="auto"/>
            <w:right w:val="none" w:sz="0" w:space="0" w:color="auto"/>
          </w:divBdr>
        </w:div>
      </w:divsChild>
    </w:div>
    <w:div w:id="1252743602">
      <w:bodyDiv w:val="1"/>
      <w:marLeft w:val="0"/>
      <w:marRight w:val="0"/>
      <w:marTop w:val="0"/>
      <w:marBottom w:val="0"/>
      <w:divBdr>
        <w:top w:val="none" w:sz="0" w:space="0" w:color="auto"/>
        <w:left w:val="none" w:sz="0" w:space="0" w:color="auto"/>
        <w:bottom w:val="none" w:sz="0" w:space="0" w:color="auto"/>
        <w:right w:val="none" w:sz="0" w:space="0" w:color="auto"/>
      </w:divBdr>
    </w:div>
    <w:div w:id="1260984526">
      <w:bodyDiv w:val="1"/>
      <w:marLeft w:val="0"/>
      <w:marRight w:val="0"/>
      <w:marTop w:val="0"/>
      <w:marBottom w:val="0"/>
      <w:divBdr>
        <w:top w:val="none" w:sz="0" w:space="0" w:color="auto"/>
        <w:left w:val="none" w:sz="0" w:space="0" w:color="auto"/>
        <w:bottom w:val="none" w:sz="0" w:space="0" w:color="auto"/>
        <w:right w:val="none" w:sz="0" w:space="0" w:color="auto"/>
      </w:divBdr>
      <w:divsChild>
        <w:div w:id="1641183449">
          <w:marLeft w:val="547"/>
          <w:marRight w:val="0"/>
          <w:marTop w:val="115"/>
          <w:marBottom w:val="0"/>
          <w:divBdr>
            <w:top w:val="none" w:sz="0" w:space="0" w:color="auto"/>
            <w:left w:val="none" w:sz="0" w:space="0" w:color="auto"/>
            <w:bottom w:val="none" w:sz="0" w:space="0" w:color="auto"/>
            <w:right w:val="none" w:sz="0" w:space="0" w:color="auto"/>
          </w:divBdr>
        </w:div>
      </w:divsChild>
    </w:div>
    <w:div w:id="1286426844">
      <w:bodyDiv w:val="1"/>
      <w:marLeft w:val="0"/>
      <w:marRight w:val="0"/>
      <w:marTop w:val="0"/>
      <w:marBottom w:val="0"/>
      <w:divBdr>
        <w:top w:val="none" w:sz="0" w:space="0" w:color="auto"/>
        <w:left w:val="none" w:sz="0" w:space="0" w:color="auto"/>
        <w:bottom w:val="none" w:sz="0" w:space="0" w:color="auto"/>
        <w:right w:val="none" w:sz="0" w:space="0" w:color="auto"/>
      </w:divBdr>
    </w:div>
    <w:div w:id="1307785652">
      <w:bodyDiv w:val="1"/>
      <w:marLeft w:val="0"/>
      <w:marRight w:val="0"/>
      <w:marTop w:val="0"/>
      <w:marBottom w:val="0"/>
      <w:divBdr>
        <w:top w:val="none" w:sz="0" w:space="0" w:color="auto"/>
        <w:left w:val="none" w:sz="0" w:space="0" w:color="auto"/>
        <w:bottom w:val="none" w:sz="0" w:space="0" w:color="auto"/>
        <w:right w:val="none" w:sz="0" w:space="0" w:color="auto"/>
      </w:divBdr>
      <w:divsChild>
        <w:div w:id="472136136">
          <w:marLeft w:val="547"/>
          <w:marRight w:val="0"/>
          <w:marTop w:val="77"/>
          <w:marBottom w:val="0"/>
          <w:divBdr>
            <w:top w:val="none" w:sz="0" w:space="0" w:color="auto"/>
            <w:left w:val="none" w:sz="0" w:space="0" w:color="auto"/>
            <w:bottom w:val="none" w:sz="0" w:space="0" w:color="auto"/>
            <w:right w:val="none" w:sz="0" w:space="0" w:color="auto"/>
          </w:divBdr>
        </w:div>
        <w:div w:id="880947068">
          <w:marLeft w:val="547"/>
          <w:marRight w:val="0"/>
          <w:marTop w:val="77"/>
          <w:marBottom w:val="0"/>
          <w:divBdr>
            <w:top w:val="none" w:sz="0" w:space="0" w:color="auto"/>
            <w:left w:val="none" w:sz="0" w:space="0" w:color="auto"/>
            <w:bottom w:val="none" w:sz="0" w:space="0" w:color="auto"/>
            <w:right w:val="none" w:sz="0" w:space="0" w:color="auto"/>
          </w:divBdr>
        </w:div>
        <w:div w:id="635330132">
          <w:marLeft w:val="547"/>
          <w:marRight w:val="0"/>
          <w:marTop w:val="77"/>
          <w:marBottom w:val="0"/>
          <w:divBdr>
            <w:top w:val="none" w:sz="0" w:space="0" w:color="auto"/>
            <w:left w:val="none" w:sz="0" w:space="0" w:color="auto"/>
            <w:bottom w:val="none" w:sz="0" w:space="0" w:color="auto"/>
            <w:right w:val="none" w:sz="0" w:space="0" w:color="auto"/>
          </w:divBdr>
        </w:div>
      </w:divsChild>
    </w:div>
    <w:div w:id="1324629588">
      <w:bodyDiv w:val="1"/>
      <w:marLeft w:val="0"/>
      <w:marRight w:val="0"/>
      <w:marTop w:val="0"/>
      <w:marBottom w:val="0"/>
      <w:divBdr>
        <w:top w:val="none" w:sz="0" w:space="0" w:color="auto"/>
        <w:left w:val="none" w:sz="0" w:space="0" w:color="auto"/>
        <w:bottom w:val="none" w:sz="0" w:space="0" w:color="auto"/>
        <w:right w:val="none" w:sz="0" w:space="0" w:color="auto"/>
      </w:divBdr>
    </w:div>
    <w:div w:id="1325279765">
      <w:bodyDiv w:val="1"/>
      <w:marLeft w:val="0"/>
      <w:marRight w:val="0"/>
      <w:marTop w:val="0"/>
      <w:marBottom w:val="0"/>
      <w:divBdr>
        <w:top w:val="none" w:sz="0" w:space="0" w:color="auto"/>
        <w:left w:val="none" w:sz="0" w:space="0" w:color="auto"/>
        <w:bottom w:val="none" w:sz="0" w:space="0" w:color="auto"/>
        <w:right w:val="none" w:sz="0" w:space="0" w:color="auto"/>
      </w:divBdr>
      <w:divsChild>
        <w:div w:id="306591017">
          <w:marLeft w:val="600"/>
          <w:marRight w:val="0"/>
          <w:marTop w:val="0"/>
          <w:marBottom w:val="0"/>
          <w:divBdr>
            <w:top w:val="none" w:sz="0" w:space="0" w:color="auto"/>
            <w:left w:val="none" w:sz="0" w:space="0" w:color="auto"/>
            <w:bottom w:val="none" w:sz="0" w:space="0" w:color="auto"/>
            <w:right w:val="none" w:sz="0" w:space="0" w:color="auto"/>
          </w:divBdr>
        </w:div>
        <w:div w:id="235408586">
          <w:marLeft w:val="600"/>
          <w:marRight w:val="0"/>
          <w:marTop w:val="0"/>
          <w:marBottom w:val="0"/>
          <w:divBdr>
            <w:top w:val="none" w:sz="0" w:space="0" w:color="auto"/>
            <w:left w:val="none" w:sz="0" w:space="0" w:color="auto"/>
            <w:bottom w:val="none" w:sz="0" w:space="0" w:color="auto"/>
            <w:right w:val="none" w:sz="0" w:space="0" w:color="auto"/>
          </w:divBdr>
        </w:div>
        <w:div w:id="1056664341">
          <w:marLeft w:val="600"/>
          <w:marRight w:val="0"/>
          <w:marTop w:val="0"/>
          <w:marBottom w:val="0"/>
          <w:divBdr>
            <w:top w:val="none" w:sz="0" w:space="0" w:color="auto"/>
            <w:left w:val="none" w:sz="0" w:space="0" w:color="auto"/>
            <w:bottom w:val="none" w:sz="0" w:space="0" w:color="auto"/>
            <w:right w:val="none" w:sz="0" w:space="0" w:color="auto"/>
          </w:divBdr>
        </w:div>
        <w:div w:id="770321948">
          <w:marLeft w:val="600"/>
          <w:marRight w:val="0"/>
          <w:marTop w:val="0"/>
          <w:marBottom w:val="0"/>
          <w:divBdr>
            <w:top w:val="none" w:sz="0" w:space="0" w:color="auto"/>
            <w:left w:val="none" w:sz="0" w:space="0" w:color="auto"/>
            <w:bottom w:val="none" w:sz="0" w:space="0" w:color="auto"/>
            <w:right w:val="none" w:sz="0" w:space="0" w:color="auto"/>
          </w:divBdr>
        </w:div>
        <w:div w:id="127406336">
          <w:marLeft w:val="600"/>
          <w:marRight w:val="0"/>
          <w:marTop w:val="0"/>
          <w:marBottom w:val="0"/>
          <w:divBdr>
            <w:top w:val="none" w:sz="0" w:space="0" w:color="auto"/>
            <w:left w:val="none" w:sz="0" w:space="0" w:color="auto"/>
            <w:bottom w:val="none" w:sz="0" w:space="0" w:color="auto"/>
            <w:right w:val="none" w:sz="0" w:space="0" w:color="auto"/>
          </w:divBdr>
        </w:div>
        <w:div w:id="720714274">
          <w:marLeft w:val="600"/>
          <w:marRight w:val="0"/>
          <w:marTop w:val="0"/>
          <w:marBottom w:val="0"/>
          <w:divBdr>
            <w:top w:val="none" w:sz="0" w:space="0" w:color="auto"/>
            <w:left w:val="none" w:sz="0" w:space="0" w:color="auto"/>
            <w:bottom w:val="none" w:sz="0" w:space="0" w:color="auto"/>
            <w:right w:val="none" w:sz="0" w:space="0" w:color="auto"/>
          </w:divBdr>
        </w:div>
        <w:div w:id="834763343">
          <w:marLeft w:val="600"/>
          <w:marRight w:val="0"/>
          <w:marTop w:val="0"/>
          <w:marBottom w:val="0"/>
          <w:divBdr>
            <w:top w:val="none" w:sz="0" w:space="0" w:color="auto"/>
            <w:left w:val="none" w:sz="0" w:space="0" w:color="auto"/>
            <w:bottom w:val="none" w:sz="0" w:space="0" w:color="auto"/>
            <w:right w:val="none" w:sz="0" w:space="0" w:color="auto"/>
          </w:divBdr>
        </w:div>
        <w:div w:id="1637370976">
          <w:marLeft w:val="600"/>
          <w:marRight w:val="0"/>
          <w:marTop w:val="0"/>
          <w:marBottom w:val="0"/>
          <w:divBdr>
            <w:top w:val="none" w:sz="0" w:space="0" w:color="auto"/>
            <w:left w:val="none" w:sz="0" w:space="0" w:color="auto"/>
            <w:bottom w:val="none" w:sz="0" w:space="0" w:color="auto"/>
            <w:right w:val="none" w:sz="0" w:space="0" w:color="auto"/>
          </w:divBdr>
        </w:div>
        <w:div w:id="341205208">
          <w:marLeft w:val="600"/>
          <w:marRight w:val="0"/>
          <w:marTop w:val="0"/>
          <w:marBottom w:val="0"/>
          <w:divBdr>
            <w:top w:val="none" w:sz="0" w:space="0" w:color="auto"/>
            <w:left w:val="none" w:sz="0" w:space="0" w:color="auto"/>
            <w:bottom w:val="none" w:sz="0" w:space="0" w:color="auto"/>
            <w:right w:val="none" w:sz="0" w:space="0" w:color="auto"/>
          </w:divBdr>
        </w:div>
        <w:div w:id="1349135061">
          <w:marLeft w:val="600"/>
          <w:marRight w:val="0"/>
          <w:marTop w:val="0"/>
          <w:marBottom w:val="0"/>
          <w:divBdr>
            <w:top w:val="none" w:sz="0" w:space="0" w:color="auto"/>
            <w:left w:val="none" w:sz="0" w:space="0" w:color="auto"/>
            <w:bottom w:val="none" w:sz="0" w:space="0" w:color="auto"/>
            <w:right w:val="none" w:sz="0" w:space="0" w:color="auto"/>
          </w:divBdr>
        </w:div>
        <w:div w:id="1193222375">
          <w:marLeft w:val="600"/>
          <w:marRight w:val="0"/>
          <w:marTop w:val="0"/>
          <w:marBottom w:val="0"/>
          <w:divBdr>
            <w:top w:val="none" w:sz="0" w:space="0" w:color="auto"/>
            <w:left w:val="none" w:sz="0" w:space="0" w:color="auto"/>
            <w:bottom w:val="none" w:sz="0" w:space="0" w:color="auto"/>
            <w:right w:val="none" w:sz="0" w:space="0" w:color="auto"/>
          </w:divBdr>
        </w:div>
        <w:div w:id="1476488303">
          <w:marLeft w:val="600"/>
          <w:marRight w:val="0"/>
          <w:marTop w:val="0"/>
          <w:marBottom w:val="0"/>
          <w:divBdr>
            <w:top w:val="none" w:sz="0" w:space="0" w:color="auto"/>
            <w:left w:val="none" w:sz="0" w:space="0" w:color="auto"/>
            <w:bottom w:val="none" w:sz="0" w:space="0" w:color="auto"/>
            <w:right w:val="none" w:sz="0" w:space="0" w:color="auto"/>
          </w:divBdr>
        </w:div>
        <w:div w:id="219172129">
          <w:marLeft w:val="600"/>
          <w:marRight w:val="0"/>
          <w:marTop w:val="0"/>
          <w:marBottom w:val="0"/>
          <w:divBdr>
            <w:top w:val="none" w:sz="0" w:space="0" w:color="auto"/>
            <w:left w:val="none" w:sz="0" w:space="0" w:color="auto"/>
            <w:bottom w:val="none" w:sz="0" w:space="0" w:color="auto"/>
            <w:right w:val="none" w:sz="0" w:space="0" w:color="auto"/>
          </w:divBdr>
        </w:div>
        <w:div w:id="329531759">
          <w:marLeft w:val="600"/>
          <w:marRight w:val="0"/>
          <w:marTop w:val="0"/>
          <w:marBottom w:val="0"/>
          <w:divBdr>
            <w:top w:val="none" w:sz="0" w:space="0" w:color="auto"/>
            <w:left w:val="none" w:sz="0" w:space="0" w:color="auto"/>
            <w:bottom w:val="none" w:sz="0" w:space="0" w:color="auto"/>
            <w:right w:val="none" w:sz="0" w:space="0" w:color="auto"/>
          </w:divBdr>
        </w:div>
        <w:div w:id="1581409132">
          <w:marLeft w:val="600"/>
          <w:marRight w:val="0"/>
          <w:marTop w:val="0"/>
          <w:marBottom w:val="0"/>
          <w:divBdr>
            <w:top w:val="none" w:sz="0" w:space="0" w:color="auto"/>
            <w:left w:val="none" w:sz="0" w:space="0" w:color="auto"/>
            <w:bottom w:val="none" w:sz="0" w:space="0" w:color="auto"/>
            <w:right w:val="none" w:sz="0" w:space="0" w:color="auto"/>
          </w:divBdr>
        </w:div>
        <w:div w:id="1282762581">
          <w:marLeft w:val="600"/>
          <w:marRight w:val="0"/>
          <w:marTop w:val="0"/>
          <w:marBottom w:val="0"/>
          <w:divBdr>
            <w:top w:val="none" w:sz="0" w:space="0" w:color="auto"/>
            <w:left w:val="none" w:sz="0" w:space="0" w:color="auto"/>
            <w:bottom w:val="none" w:sz="0" w:space="0" w:color="auto"/>
            <w:right w:val="none" w:sz="0" w:space="0" w:color="auto"/>
          </w:divBdr>
        </w:div>
        <w:div w:id="1349139310">
          <w:marLeft w:val="600"/>
          <w:marRight w:val="0"/>
          <w:marTop w:val="0"/>
          <w:marBottom w:val="0"/>
          <w:divBdr>
            <w:top w:val="none" w:sz="0" w:space="0" w:color="auto"/>
            <w:left w:val="none" w:sz="0" w:space="0" w:color="auto"/>
            <w:bottom w:val="none" w:sz="0" w:space="0" w:color="auto"/>
            <w:right w:val="none" w:sz="0" w:space="0" w:color="auto"/>
          </w:divBdr>
        </w:div>
        <w:div w:id="125440562">
          <w:marLeft w:val="600"/>
          <w:marRight w:val="0"/>
          <w:marTop w:val="0"/>
          <w:marBottom w:val="0"/>
          <w:divBdr>
            <w:top w:val="none" w:sz="0" w:space="0" w:color="auto"/>
            <w:left w:val="none" w:sz="0" w:space="0" w:color="auto"/>
            <w:bottom w:val="none" w:sz="0" w:space="0" w:color="auto"/>
            <w:right w:val="none" w:sz="0" w:space="0" w:color="auto"/>
          </w:divBdr>
        </w:div>
        <w:div w:id="673071161">
          <w:marLeft w:val="600"/>
          <w:marRight w:val="0"/>
          <w:marTop w:val="0"/>
          <w:marBottom w:val="0"/>
          <w:divBdr>
            <w:top w:val="none" w:sz="0" w:space="0" w:color="auto"/>
            <w:left w:val="none" w:sz="0" w:space="0" w:color="auto"/>
            <w:bottom w:val="none" w:sz="0" w:space="0" w:color="auto"/>
            <w:right w:val="none" w:sz="0" w:space="0" w:color="auto"/>
          </w:divBdr>
        </w:div>
        <w:div w:id="1869172533">
          <w:marLeft w:val="600"/>
          <w:marRight w:val="0"/>
          <w:marTop w:val="0"/>
          <w:marBottom w:val="0"/>
          <w:divBdr>
            <w:top w:val="none" w:sz="0" w:space="0" w:color="auto"/>
            <w:left w:val="none" w:sz="0" w:space="0" w:color="auto"/>
            <w:bottom w:val="none" w:sz="0" w:space="0" w:color="auto"/>
            <w:right w:val="none" w:sz="0" w:space="0" w:color="auto"/>
          </w:divBdr>
        </w:div>
        <w:div w:id="990136801">
          <w:marLeft w:val="600"/>
          <w:marRight w:val="0"/>
          <w:marTop w:val="0"/>
          <w:marBottom w:val="0"/>
          <w:divBdr>
            <w:top w:val="none" w:sz="0" w:space="0" w:color="auto"/>
            <w:left w:val="none" w:sz="0" w:space="0" w:color="auto"/>
            <w:bottom w:val="none" w:sz="0" w:space="0" w:color="auto"/>
            <w:right w:val="none" w:sz="0" w:space="0" w:color="auto"/>
          </w:divBdr>
        </w:div>
        <w:div w:id="1813330906">
          <w:marLeft w:val="600"/>
          <w:marRight w:val="0"/>
          <w:marTop w:val="0"/>
          <w:marBottom w:val="0"/>
          <w:divBdr>
            <w:top w:val="none" w:sz="0" w:space="0" w:color="auto"/>
            <w:left w:val="none" w:sz="0" w:space="0" w:color="auto"/>
            <w:bottom w:val="none" w:sz="0" w:space="0" w:color="auto"/>
            <w:right w:val="none" w:sz="0" w:space="0" w:color="auto"/>
          </w:divBdr>
        </w:div>
        <w:div w:id="555508005">
          <w:marLeft w:val="600"/>
          <w:marRight w:val="0"/>
          <w:marTop w:val="0"/>
          <w:marBottom w:val="0"/>
          <w:divBdr>
            <w:top w:val="none" w:sz="0" w:space="0" w:color="auto"/>
            <w:left w:val="none" w:sz="0" w:space="0" w:color="auto"/>
            <w:bottom w:val="none" w:sz="0" w:space="0" w:color="auto"/>
            <w:right w:val="none" w:sz="0" w:space="0" w:color="auto"/>
          </w:divBdr>
        </w:div>
        <w:div w:id="1725443028">
          <w:marLeft w:val="600"/>
          <w:marRight w:val="0"/>
          <w:marTop w:val="0"/>
          <w:marBottom w:val="0"/>
          <w:divBdr>
            <w:top w:val="none" w:sz="0" w:space="0" w:color="auto"/>
            <w:left w:val="none" w:sz="0" w:space="0" w:color="auto"/>
            <w:bottom w:val="none" w:sz="0" w:space="0" w:color="auto"/>
            <w:right w:val="none" w:sz="0" w:space="0" w:color="auto"/>
          </w:divBdr>
        </w:div>
        <w:div w:id="2019381106">
          <w:marLeft w:val="600"/>
          <w:marRight w:val="0"/>
          <w:marTop w:val="0"/>
          <w:marBottom w:val="0"/>
          <w:divBdr>
            <w:top w:val="none" w:sz="0" w:space="0" w:color="auto"/>
            <w:left w:val="none" w:sz="0" w:space="0" w:color="auto"/>
            <w:bottom w:val="none" w:sz="0" w:space="0" w:color="auto"/>
            <w:right w:val="none" w:sz="0" w:space="0" w:color="auto"/>
          </w:divBdr>
        </w:div>
        <w:div w:id="1613242551">
          <w:marLeft w:val="600"/>
          <w:marRight w:val="0"/>
          <w:marTop w:val="0"/>
          <w:marBottom w:val="0"/>
          <w:divBdr>
            <w:top w:val="none" w:sz="0" w:space="0" w:color="auto"/>
            <w:left w:val="none" w:sz="0" w:space="0" w:color="auto"/>
            <w:bottom w:val="none" w:sz="0" w:space="0" w:color="auto"/>
            <w:right w:val="none" w:sz="0" w:space="0" w:color="auto"/>
          </w:divBdr>
        </w:div>
        <w:div w:id="676268625">
          <w:marLeft w:val="600"/>
          <w:marRight w:val="0"/>
          <w:marTop w:val="0"/>
          <w:marBottom w:val="0"/>
          <w:divBdr>
            <w:top w:val="none" w:sz="0" w:space="0" w:color="auto"/>
            <w:left w:val="none" w:sz="0" w:space="0" w:color="auto"/>
            <w:bottom w:val="none" w:sz="0" w:space="0" w:color="auto"/>
            <w:right w:val="none" w:sz="0" w:space="0" w:color="auto"/>
          </w:divBdr>
        </w:div>
        <w:div w:id="1228883000">
          <w:marLeft w:val="600"/>
          <w:marRight w:val="0"/>
          <w:marTop w:val="0"/>
          <w:marBottom w:val="0"/>
          <w:divBdr>
            <w:top w:val="none" w:sz="0" w:space="0" w:color="auto"/>
            <w:left w:val="none" w:sz="0" w:space="0" w:color="auto"/>
            <w:bottom w:val="none" w:sz="0" w:space="0" w:color="auto"/>
            <w:right w:val="none" w:sz="0" w:space="0" w:color="auto"/>
          </w:divBdr>
        </w:div>
        <w:div w:id="572547874">
          <w:marLeft w:val="600"/>
          <w:marRight w:val="0"/>
          <w:marTop w:val="0"/>
          <w:marBottom w:val="0"/>
          <w:divBdr>
            <w:top w:val="none" w:sz="0" w:space="0" w:color="auto"/>
            <w:left w:val="none" w:sz="0" w:space="0" w:color="auto"/>
            <w:bottom w:val="none" w:sz="0" w:space="0" w:color="auto"/>
            <w:right w:val="none" w:sz="0" w:space="0" w:color="auto"/>
          </w:divBdr>
        </w:div>
        <w:div w:id="832329833">
          <w:marLeft w:val="600"/>
          <w:marRight w:val="0"/>
          <w:marTop w:val="0"/>
          <w:marBottom w:val="0"/>
          <w:divBdr>
            <w:top w:val="none" w:sz="0" w:space="0" w:color="auto"/>
            <w:left w:val="none" w:sz="0" w:space="0" w:color="auto"/>
            <w:bottom w:val="none" w:sz="0" w:space="0" w:color="auto"/>
            <w:right w:val="none" w:sz="0" w:space="0" w:color="auto"/>
          </w:divBdr>
        </w:div>
        <w:div w:id="1132795566">
          <w:marLeft w:val="600"/>
          <w:marRight w:val="0"/>
          <w:marTop w:val="0"/>
          <w:marBottom w:val="0"/>
          <w:divBdr>
            <w:top w:val="none" w:sz="0" w:space="0" w:color="auto"/>
            <w:left w:val="none" w:sz="0" w:space="0" w:color="auto"/>
            <w:bottom w:val="none" w:sz="0" w:space="0" w:color="auto"/>
            <w:right w:val="none" w:sz="0" w:space="0" w:color="auto"/>
          </w:divBdr>
        </w:div>
        <w:div w:id="851528775">
          <w:marLeft w:val="600"/>
          <w:marRight w:val="0"/>
          <w:marTop w:val="0"/>
          <w:marBottom w:val="0"/>
          <w:divBdr>
            <w:top w:val="none" w:sz="0" w:space="0" w:color="auto"/>
            <w:left w:val="none" w:sz="0" w:space="0" w:color="auto"/>
            <w:bottom w:val="none" w:sz="0" w:space="0" w:color="auto"/>
            <w:right w:val="none" w:sz="0" w:space="0" w:color="auto"/>
          </w:divBdr>
        </w:div>
        <w:div w:id="1870793919">
          <w:marLeft w:val="600"/>
          <w:marRight w:val="0"/>
          <w:marTop w:val="0"/>
          <w:marBottom w:val="0"/>
          <w:divBdr>
            <w:top w:val="none" w:sz="0" w:space="0" w:color="auto"/>
            <w:left w:val="none" w:sz="0" w:space="0" w:color="auto"/>
            <w:bottom w:val="none" w:sz="0" w:space="0" w:color="auto"/>
            <w:right w:val="none" w:sz="0" w:space="0" w:color="auto"/>
          </w:divBdr>
        </w:div>
        <w:div w:id="377630470">
          <w:marLeft w:val="600"/>
          <w:marRight w:val="0"/>
          <w:marTop w:val="0"/>
          <w:marBottom w:val="0"/>
          <w:divBdr>
            <w:top w:val="none" w:sz="0" w:space="0" w:color="auto"/>
            <w:left w:val="none" w:sz="0" w:space="0" w:color="auto"/>
            <w:bottom w:val="none" w:sz="0" w:space="0" w:color="auto"/>
            <w:right w:val="none" w:sz="0" w:space="0" w:color="auto"/>
          </w:divBdr>
        </w:div>
        <w:div w:id="76633430">
          <w:marLeft w:val="600"/>
          <w:marRight w:val="0"/>
          <w:marTop w:val="0"/>
          <w:marBottom w:val="0"/>
          <w:divBdr>
            <w:top w:val="none" w:sz="0" w:space="0" w:color="auto"/>
            <w:left w:val="none" w:sz="0" w:space="0" w:color="auto"/>
            <w:bottom w:val="none" w:sz="0" w:space="0" w:color="auto"/>
            <w:right w:val="none" w:sz="0" w:space="0" w:color="auto"/>
          </w:divBdr>
        </w:div>
        <w:div w:id="1812207397">
          <w:marLeft w:val="600"/>
          <w:marRight w:val="0"/>
          <w:marTop w:val="0"/>
          <w:marBottom w:val="0"/>
          <w:divBdr>
            <w:top w:val="none" w:sz="0" w:space="0" w:color="auto"/>
            <w:left w:val="none" w:sz="0" w:space="0" w:color="auto"/>
            <w:bottom w:val="none" w:sz="0" w:space="0" w:color="auto"/>
            <w:right w:val="none" w:sz="0" w:space="0" w:color="auto"/>
          </w:divBdr>
        </w:div>
        <w:div w:id="62142615">
          <w:marLeft w:val="600"/>
          <w:marRight w:val="0"/>
          <w:marTop w:val="0"/>
          <w:marBottom w:val="0"/>
          <w:divBdr>
            <w:top w:val="none" w:sz="0" w:space="0" w:color="auto"/>
            <w:left w:val="none" w:sz="0" w:space="0" w:color="auto"/>
            <w:bottom w:val="none" w:sz="0" w:space="0" w:color="auto"/>
            <w:right w:val="none" w:sz="0" w:space="0" w:color="auto"/>
          </w:divBdr>
        </w:div>
        <w:div w:id="81686296">
          <w:marLeft w:val="600"/>
          <w:marRight w:val="0"/>
          <w:marTop w:val="0"/>
          <w:marBottom w:val="0"/>
          <w:divBdr>
            <w:top w:val="none" w:sz="0" w:space="0" w:color="auto"/>
            <w:left w:val="none" w:sz="0" w:space="0" w:color="auto"/>
            <w:bottom w:val="none" w:sz="0" w:space="0" w:color="auto"/>
            <w:right w:val="none" w:sz="0" w:space="0" w:color="auto"/>
          </w:divBdr>
        </w:div>
        <w:div w:id="571934758">
          <w:marLeft w:val="600"/>
          <w:marRight w:val="0"/>
          <w:marTop w:val="0"/>
          <w:marBottom w:val="0"/>
          <w:divBdr>
            <w:top w:val="none" w:sz="0" w:space="0" w:color="auto"/>
            <w:left w:val="none" w:sz="0" w:space="0" w:color="auto"/>
            <w:bottom w:val="none" w:sz="0" w:space="0" w:color="auto"/>
            <w:right w:val="none" w:sz="0" w:space="0" w:color="auto"/>
          </w:divBdr>
        </w:div>
        <w:div w:id="583534080">
          <w:marLeft w:val="600"/>
          <w:marRight w:val="0"/>
          <w:marTop w:val="0"/>
          <w:marBottom w:val="0"/>
          <w:divBdr>
            <w:top w:val="none" w:sz="0" w:space="0" w:color="auto"/>
            <w:left w:val="none" w:sz="0" w:space="0" w:color="auto"/>
            <w:bottom w:val="none" w:sz="0" w:space="0" w:color="auto"/>
            <w:right w:val="none" w:sz="0" w:space="0" w:color="auto"/>
          </w:divBdr>
        </w:div>
        <w:div w:id="1113092874">
          <w:marLeft w:val="600"/>
          <w:marRight w:val="0"/>
          <w:marTop w:val="0"/>
          <w:marBottom w:val="0"/>
          <w:divBdr>
            <w:top w:val="none" w:sz="0" w:space="0" w:color="auto"/>
            <w:left w:val="none" w:sz="0" w:space="0" w:color="auto"/>
            <w:bottom w:val="none" w:sz="0" w:space="0" w:color="auto"/>
            <w:right w:val="none" w:sz="0" w:space="0" w:color="auto"/>
          </w:divBdr>
        </w:div>
        <w:div w:id="1607470232">
          <w:marLeft w:val="600"/>
          <w:marRight w:val="0"/>
          <w:marTop w:val="0"/>
          <w:marBottom w:val="0"/>
          <w:divBdr>
            <w:top w:val="none" w:sz="0" w:space="0" w:color="auto"/>
            <w:left w:val="none" w:sz="0" w:space="0" w:color="auto"/>
            <w:bottom w:val="none" w:sz="0" w:space="0" w:color="auto"/>
            <w:right w:val="none" w:sz="0" w:space="0" w:color="auto"/>
          </w:divBdr>
        </w:div>
        <w:div w:id="1029332478">
          <w:marLeft w:val="600"/>
          <w:marRight w:val="0"/>
          <w:marTop w:val="0"/>
          <w:marBottom w:val="0"/>
          <w:divBdr>
            <w:top w:val="none" w:sz="0" w:space="0" w:color="auto"/>
            <w:left w:val="none" w:sz="0" w:space="0" w:color="auto"/>
            <w:bottom w:val="none" w:sz="0" w:space="0" w:color="auto"/>
            <w:right w:val="none" w:sz="0" w:space="0" w:color="auto"/>
          </w:divBdr>
        </w:div>
        <w:div w:id="2132354912">
          <w:marLeft w:val="600"/>
          <w:marRight w:val="0"/>
          <w:marTop w:val="0"/>
          <w:marBottom w:val="0"/>
          <w:divBdr>
            <w:top w:val="none" w:sz="0" w:space="0" w:color="auto"/>
            <w:left w:val="none" w:sz="0" w:space="0" w:color="auto"/>
            <w:bottom w:val="none" w:sz="0" w:space="0" w:color="auto"/>
            <w:right w:val="none" w:sz="0" w:space="0" w:color="auto"/>
          </w:divBdr>
        </w:div>
        <w:div w:id="392046740">
          <w:marLeft w:val="600"/>
          <w:marRight w:val="0"/>
          <w:marTop w:val="0"/>
          <w:marBottom w:val="0"/>
          <w:divBdr>
            <w:top w:val="none" w:sz="0" w:space="0" w:color="auto"/>
            <w:left w:val="none" w:sz="0" w:space="0" w:color="auto"/>
            <w:bottom w:val="none" w:sz="0" w:space="0" w:color="auto"/>
            <w:right w:val="none" w:sz="0" w:space="0" w:color="auto"/>
          </w:divBdr>
        </w:div>
        <w:div w:id="992292038">
          <w:marLeft w:val="600"/>
          <w:marRight w:val="0"/>
          <w:marTop w:val="0"/>
          <w:marBottom w:val="0"/>
          <w:divBdr>
            <w:top w:val="none" w:sz="0" w:space="0" w:color="auto"/>
            <w:left w:val="none" w:sz="0" w:space="0" w:color="auto"/>
            <w:bottom w:val="none" w:sz="0" w:space="0" w:color="auto"/>
            <w:right w:val="none" w:sz="0" w:space="0" w:color="auto"/>
          </w:divBdr>
        </w:div>
        <w:div w:id="1051269839">
          <w:marLeft w:val="600"/>
          <w:marRight w:val="0"/>
          <w:marTop w:val="0"/>
          <w:marBottom w:val="0"/>
          <w:divBdr>
            <w:top w:val="none" w:sz="0" w:space="0" w:color="auto"/>
            <w:left w:val="none" w:sz="0" w:space="0" w:color="auto"/>
            <w:bottom w:val="none" w:sz="0" w:space="0" w:color="auto"/>
            <w:right w:val="none" w:sz="0" w:space="0" w:color="auto"/>
          </w:divBdr>
        </w:div>
        <w:div w:id="362631167">
          <w:marLeft w:val="600"/>
          <w:marRight w:val="0"/>
          <w:marTop w:val="0"/>
          <w:marBottom w:val="0"/>
          <w:divBdr>
            <w:top w:val="none" w:sz="0" w:space="0" w:color="auto"/>
            <w:left w:val="none" w:sz="0" w:space="0" w:color="auto"/>
            <w:bottom w:val="none" w:sz="0" w:space="0" w:color="auto"/>
            <w:right w:val="none" w:sz="0" w:space="0" w:color="auto"/>
          </w:divBdr>
        </w:div>
        <w:div w:id="46497154">
          <w:marLeft w:val="600"/>
          <w:marRight w:val="0"/>
          <w:marTop w:val="0"/>
          <w:marBottom w:val="0"/>
          <w:divBdr>
            <w:top w:val="none" w:sz="0" w:space="0" w:color="auto"/>
            <w:left w:val="none" w:sz="0" w:space="0" w:color="auto"/>
            <w:bottom w:val="none" w:sz="0" w:space="0" w:color="auto"/>
            <w:right w:val="none" w:sz="0" w:space="0" w:color="auto"/>
          </w:divBdr>
        </w:div>
        <w:div w:id="153112651">
          <w:marLeft w:val="600"/>
          <w:marRight w:val="0"/>
          <w:marTop w:val="0"/>
          <w:marBottom w:val="0"/>
          <w:divBdr>
            <w:top w:val="none" w:sz="0" w:space="0" w:color="auto"/>
            <w:left w:val="none" w:sz="0" w:space="0" w:color="auto"/>
            <w:bottom w:val="none" w:sz="0" w:space="0" w:color="auto"/>
            <w:right w:val="none" w:sz="0" w:space="0" w:color="auto"/>
          </w:divBdr>
        </w:div>
        <w:div w:id="1956401841">
          <w:marLeft w:val="600"/>
          <w:marRight w:val="0"/>
          <w:marTop w:val="0"/>
          <w:marBottom w:val="0"/>
          <w:divBdr>
            <w:top w:val="none" w:sz="0" w:space="0" w:color="auto"/>
            <w:left w:val="none" w:sz="0" w:space="0" w:color="auto"/>
            <w:bottom w:val="none" w:sz="0" w:space="0" w:color="auto"/>
            <w:right w:val="none" w:sz="0" w:space="0" w:color="auto"/>
          </w:divBdr>
        </w:div>
        <w:div w:id="2031030548">
          <w:marLeft w:val="600"/>
          <w:marRight w:val="0"/>
          <w:marTop w:val="0"/>
          <w:marBottom w:val="0"/>
          <w:divBdr>
            <w:top w:val="none" w:sz="0" w:space="0" w:color="auto"/>
            <w:left w:val="none" w:sz="0" w:space="0" w:color="auto"/>
            <w:bottom w:val="none" w:sz="0" w:space="0" w:color="auto"/>
            <w:right w:val="none" w:sz="0" w:space="0" w:color="auto"/>
          </w:divBdr>
        </w:div>
        <w:div w:id="646204420">
          <w:marLeft w:val="600"/>
          <w:marRight w:val="0"/>
          <w:marTop w:val="0"/>
          <w:marBottom w:val="0"/>
          <w:divBdr>
            <w:top w:val="none" w:sz="0" w:space="0" w:color="auto"/>
            <w:left w:val="none" w:sz="0" w:space="0" w:color="auto"/>
            <w:bottom w:val="none" w:sz="0" w:space="0" w:color="auto"/>
            <w:right w:val="none" w:sz="0" w:space="0" w:color="auto"/>
          </w:divBdr>
        </w:div>
        <w:div w:id="1563099696">
          <w:marLeft w:val="600"/>
          <w:marRight w:val="0"/>
          <w:marTop w:val="0"/>
          <w:marBottom w:val="0"/>
          <w:divBdr>
            <w:top w:val="none" w:sz="0" w:space="0" w:color="auto"/>
            <w:left w:val="none" w:sz="0" w:space="0" w:color="auto"/>
            <w:bottom w:val="none" w:sz="0" w:space="0" w:color="auto"/>
            <w:right w:val="none" w:sz="0" w:space="0" w:color="auto"/>
          </w:divBdr>
        </w:div>
        <w:div w:id="1891572553">
          <w:marLeft w:val="600"/>
          <w:marRight w:val="0"/>
          <w:marTop w:val="0"/>
          <w:marBottom w:val="0"/>
          <w:divBdr>
            <w:top w:val="none" w:sz="0" w:space="0" w:color="auto"/>
            <w:left w:val="none" w:sz="0" w:space="0" w:color="auto"/>
            <w:bottom w:val="none" w:sz="0" w:space="0" w:color="auto"/>
            <w:right w:val="none" w:sz="0" w:space="0" w:color="auto"/>
          </w:divBdr>
        </w:div>
        <w:div w:id="1233195673">
          <w:marLeft w:val="600"/>
          <w:marRight w:val="0"/>
          <w:marTop w:val="0"/>
          <w:marBottom w:val="0"/>
          <w:divBdr>
            <w:top w:val="none" w:sz="0" w:space="0" w:color="auto"/>
            <w:left w:val="none" w:sz="0" w:space="0" w:color="auto"/>
            <w:bottom w:val="none" w:sz="0" w:space="0" w:color="auto"/>
            <w:right w:val="none" w:sz="0" w:space="0" w:color="auto"/>
          </w:divBdr>
        </w:div>
        <w:div w:id="248850617">
          <w:marLeft w:val="600"/>
          <w:marRight w:val="0"/>
          <w:marTop w:val="0"/>
          <w:marBottom w:val="0"/>
          <w:divBdr>
            <w:top w:val="none" w:sz="0" w:space="0" w:color="auto"/>
            <w:left w:val="none" w:sz="0" w:space="0" w:color="auto"/>
            <w:bottom w:val="none" w:sz="0" w:space="0" w:color="auto"/>
            <w:right w:val="none" w:sz="0" w:space="0" w:color="auto"/>
          </w:divBdr>
        </w:div>
        <w:div w:id="1517692557">
          <w:marLeft w:val="600"/>
          <w:marRight w:val="0"/>
          <w:marTop w:val="0"/>
          <w:marBottom w:val="0"/>
          <w:divBdr>
            <w:top w:val="none" w:sz="0" w:space="0" w:color="auto"/>
            <w:left w:val="none" w:sz="0" w:space="0" w:color="auto"/>
            <w:bottom w:val="none" w:sz="0" w:space="0" w:color="auto"/>
            <w:right w:val="none" w:sz="0" w:space="0" w:color="auto"/>
          </w:divBdr>
        </w:div>
        <w:div w:id="109739179">
          <w:marLeft w:val="600"/>
          <w:marRight w:val="0"/>
          <w:marTop w:val="0"/>
          <w:marBottom w:val="0"/>
          <w:divBdr>
            <w:top w:val="none" w:sz="0" w:space="0" w:color="auto"/>
            <w:left w:val="none" w:sz="0" w:space="0" w:color="auto"/>
            <w:bottom w:val="none" w:sz="0" w:space="0" w:color="auto"/>
            <w:right w:val="none" w:sz="0" w:space="0" w:color="auto"/>
          </w:divBdr>
        </w:div>
        <w:div w:id="1462769224">
          <w:marLeft w:val="600"/>
          <w:marRight w:val="0"/>
          <w:marTop w:val="0"/>
          <w:marBottom w:val="0"/>
          <w:divBdr>
            <w:top w:val="none" w:sz="0" w:space="0" w:color="auto"/>
            <w:left w:val="none" w:sz="0" w:space="0" w:color="auto"/>
            <w:bottom w:val="none" w:sz="0" w:space="0" w:color="auto"/>
            <w:right w:val="none" w:sz="0" w:space="0" w:color="auto"/>
          </w:divBdr>
        </w:div>
        <w:div w:id="1456631051">
          <w:marLeft w:val="600"/>
          <w:marRight w:val="0"/>
          <w:marTop w:val="0"/>
          <w:marBottom w:val="0"/>
          <w:divBdr>
            <w:top w:val="none" w:sz="0" w:space="0" w:color="auto"/>
            <w:left w:val="none" w:sz="0" w:space="0" w:color="auto"/>
            <w:bottom w:val="none" w:sz="0" w:space="0" w:color="auto"/>
            <w:right w:val="none" w:sz="0" w:space="0" w:color="auto"/>
          </w:divBdr>
        </w:div>
        <w:div w:id="1750496448">
          <w:marLeft w:val="600"/>
          <w:marRight w:val="0"/>
          <w:marTop w:val="0"/>
          <w:marBottom w:val="0"/>
          <w:divBdr>
            <w:top w:val="none" w:sz="0" w:space="0" w:color="auto"/>
            <w:left w:val="none" w:sz="0" w:space="0" w:color="auto"/>
            <w:bottom w:val="none" w:sz="0" w:space="0" w:color="auto"/>
            <w:right w:val="none" w:sz="0" w:space="0" w:color="auto"/>
          </w:divBdr>
        </w:div>
        <w:div w:id="374543662">
          <w:marLeft w:val="600"/>
          <w:marRight w:val="0"/>
          <w:marTop w:val="0"/>
          <w:marBottom w:val="0"/>
          <w:divBdr>
            <w:top w:val="none" w:sz="0" w:space="0" w:color="auto"/>
            <w:left w:val="none" w:sz="0" w:space="0" w:color="auto"/>
            <w:bottom w:val="none" w:sz="0" w:space="0" w:color="auto"/>
            <w:right w:val="none" w:sz="0" w:space="0" w:color="auto"/>
          </w:divBdr>
        </w:div>
        <w:div w:id="314146454">
          <w:marLeft w:val="600"/>
          <w:marRight w:val="0"/>
          <w:marTop w:val="0"/>
          <w:marBottom w:val="0"/>
          <w:divBdr>
            <w:top w:val="none" w:sz="0" w:space="0" w:color="auto"/>
            <w:left w:val="none" w:sz="0" w:space="0" w:color="auto"/>
            <w:bottom w:val="none" w:sz="0" w:space="0" w:color="auto"/>
            <w:right w:val="none" w:sz="0" w:space="0" w:color="auto"/>
          </w:divBdr>
        </w:div>
        <w:div w:id="1864323687">
          <w:marLeft w:val="600"/>
          <w:marRight w:val="0"/>
          <w:marTop w:val="0"/>
          <w:marBottom w:val="0"/>
          <w:divBdr>
            <w:top w:val="none" w:sz="0" w:space="0" w:color="auto"/>
            <w:left w:val="none" w:sz="0" w:space="0" w:color="auto"/>
            <w:bottom w:val="none" w:sz="0" w:space="0" w:color="auto"/>
            <w:right w:val="none" w:sz="0" w:space="0" w:color="auto"/>
          </w:divBdr>
        </w:div>
        <w:div w:id="1391924261">
          <w:marLeft w:val="600"/>
          <w:marRight w:val="0"/>
          <w:marTop w:val="0"/>
          <w:marBottom w:val="0"/>
          <w:divBdr>
            <w:top w:val="none" w:sz="0" w:space="0" w:color="auto"/>
            <w:left w:val="none" w:sz="0" w:space="0" w:color="auto"/>
            <w:bottom w:val="none" w:sz="0" w:space="0" w:color="auto"/>
            <w:right w:val="none" w:sz="0" w:space="0" w:color="auto"/>
          </w:divBdr>
        </w:div>
        <w:div w:id="1574313326">
          <w:marLeft w:val="600"/>
          <w:marRight w:val="0"/>
          <w:marTop w:val="0"/>
          <w:marBottom w:val="0"/>
          <w:divBdr>
            <w:top w:val="none" w:sz="0" w:space="0" w:color="auto"/>
            <w:left w:val="none" w:sz="0" w:space="0" w:color="auto"/>
            <w:bottom w:val="none" w:sz="0" w:space="0" w:color="auto"/>
            <w:right w:val="none" w:sz="0" w:space="0" w:color="auto"/>
          </w:divBdr>
        </w:div>
        <w:div w:id="89401717">
          <w:marLeft w:val="600"/>
          <w:marRight w:val="0"/>
          <w:marTop w:val="0"/>
          <w:marBottom w:val="0"/>
          <w:divBdr>
            <w:top w:val="none" w:sz="0" w:space="0" w:color="auto"/>
            <w:left w:val="none" w:sz="0" w:space="0" w:color="auto"/>
            <w:bottom w:val="none" w:sz="0" w:space="0" w:color="auto"/>
            <w:right w:val="none" w:sz="0" w:space="0" w:color="auto"/>
          </w:divBdr>
        </w:div>
        <w:div w:id="231744938">
          <w:marLeft w:val="600"/>
          <w:marRight w:val="0"/>
          <w:marTop w:val="0"/>
          <w:marBottom w:val="0"/>
          <w:divBdr>
            <w:top w:val="none" w:sz="0" w:space="0" w:color="auto"/>
            <w:left w:val="none" w:sz="0" w:space="0" w:color="auto"/>
            <w:bottom w:val="none" w:sz="0" w:space="0" w:color="auto"/>
            <w:right w:val="none" w:sz="0" w:space="0" w:color="auto"/>
          </w:divBdr>
        </w:div>
        <w:div w:id="1898197859">
          <w:marLeft w:val="600"/>
          <w:marRight w:val="0"/>
          <w:marTop w:val="0"/>
          <w:marBottom w:val="0"/>
          <w:divBdr>
            <w:top w:val="none" w:sz="0" w:space="0" w:color="auto"/>
            <w:left w:val="none" w:sz="0" w:space="0" w:color="auto"/>
            <w:bottom w:val="none" w:sz="0" w:space="0" w:color="auto"/>
            <w:right w:val="none" w:sz="0" w:space="0" w:color="auto"/>
          </w:divBdr>
        </w:div>
        <w:div w:id="1777209306">
          <w:marLeft w:val="600"/>
          <w:marRight w:val="0"/>
          <w:marTop w:val="0"/>
          <w:marBottom w:val="0"/>
          <w:divBdr>
            <w:top w:val="none" w:sz="0" w:space="0" w:color="auto"/>
            <w:left w:val="none" w:sz="0" w:space="0" w:color="auto"/>
            <w:bottom w:val="none" w:sz="0" w:space="0" w:color="auto"/>
            <w:right w:val="none" w:sz="0" w:space="0" w:color="auto"/>
          </w:divBdr>
        </w:div>
      </w:divsChild>
    </w:div>
    <w:div w:id="1328365086">
      <w:bodyDiv w:val="1"/>
      <w:marLeft w:val="0"/>
      <w:marRight w:val="0"/>
      <w:marTop w:val="0"/>
      <w:marBottom w:val="0"/>
      <w:divBdr>
        <w:top w:val="none" w:sz="0" w:space="0" w:color="auto"/>
        <w:left w:val="none" w:sz="0" w:space="0" w:color="auto"/>
        <w:bottom w:val="none" w:sz="0" w:space="0" w:color="auto"/>
        <w:right w:val="none" w:sz="0" w:space="0" w:color="auto"/>
      </w:divBdr>
      <w:divsChild>
        <w:div w:id="1531642912">
          <w:marLeft w:val="547"/>
          <w:marRight w:val="0"/>
          <w:marTop w:val="86"/>
          <w:marBottom w:val="0"/>
          <w:divBdr>
            <w:top w:val="none" w:sz="0" w:space="0" w:color="auto"/>
            <w:left w:val="none" w:sz="0" w:space="0" w:color="auto"/>
            <w:bottom w:val="none" w:sz="0" w:space="0" w:color="auto"/>
            <w:right w:val="none" w:sz="0" w:space="0" w:color="auto"/>
          </w:divBdr>
        </w:div>
        <w:div w:id="587034043">
          <w:marLeft w:val="547"/>
          <w:marRight w:val="0"/>
          <w:marTop w:val="86"/>
          <w:marBottom w:val="0"/>
          <w:divBdr>
            <w:top w:val="none" w:sz="0" w:space="0" w:color="auto"/>
            <w:left w:val="none" w:sz="0" w:space="0" w:color="auto"/>
            <w:bottom w:val="none" w:sz="0" w:space="0" w:color="auto"/>
            <w:right w:val="none" w:sz="0" w:space="0" w:color="auto"/>
          </w:divBdr>
        </w:div>
      </w:divsChild>
    </w:div>
    <w:div w:id="1342779954">
      <w:bodyDiv w:val="1"/>
      <w:marLeft w:val="0"/>
      <w:marRight w:val="0"/>
      <w:marTop w:val="0"/>
      <w:marBottom w:val="0"/>
      <w:divBdr>
        <w:top w:val="none" w:sz="0" w:space="0" w:color="auto"/>
        <w:left w:val="none" w:sz="0" w:space="0" w:color="auto"/>
        <w:bottom w:val="none" w:sz="0" w:space="0" w:color="auto"/>
        <w:right w:val="none" w:sz="0" w:space="0" w:color="auto"/>
      </w:divBdr>
    </w:div>
    <w:div w:id="1345281998">
      <w:bodyDiv w:val="1"/>
      <w:marLeft w:val="0"/>
      <w:marRight w:val="0"/>
      <w:marTop w:val="0"/>
      <w:marBottom w:val="0"/>
      <w:divBdr>
        <w:top w:val="none" w:sz="0" w:space="0" w:color="auto"/>
        <w:left w:val="none" w:sz="0" w:space="0" w:color="auto"/>
        <w:bottom w:val="none" w:sz="0" w:space="0" w:color="auto"/>
        <w:right w:val="none" w:sz="0" w:space="0" w:color="auto"/>
      </w:divBdr>
    </w:div>
    <w:div w:id="1352419426">
      <w:bodyDiv w:val="1"/>
      <w:marLeft w:val="0"/>
      <w:marRight w:val="0"/>
      <w:marTop w:val="0"/>
      <w:marBottom w:val="0"/>
      <w:divBdr>
        <w:top w:val="none" w:sz="0" w:space="0" w:color="auto"/>
        <w:left w:val="none" w:sz="0" w:space="0" w:color="auto"/>
        <w:bottom w:val="none" w:sz="0" w:space="0" w:color="auto"/>
        <w:right w:val="none" w:sz="0" w:space="0" w:color="auto"/>
      </w:divBdr>
    </w:div>
    <w:div w:id="1363164313">
      <w:bodyDiv w:val="1"/>
      <w:marLeft w:val="0"/>
      <w:marRight w:val="0"/>
      <w:marTop w:val="0"/>
      <w:marBottom w:val="0"/>
      <w:divBdr>
        <w:top w:val="none" w:sz="0" w:space="0" w:color="auto"/>
        <w:left w:val="none" w:sz="0" w:space="0" w:color="auto"/>
        <w:bottom w:val="none" w:sz="0" w:space="0" w:color="auto"/>
        <w:right w:val="none" w:sz="0" w:space="0" w:color="auto"/>
      </w:divBdr>
    </w:div>
    <w:div w:id="1365906313">
      <w:bodyDiv w:val="1"/>
      <w:marLeft w:val="0"/>
      <w:marRight w:val="0"/>
      <w:marTop w:val="0"/>
      <w:marBottom w:val="0"/>
      <w:divBdr>
        <w:top w:val="none" w:sz="0" w:space="0" w:color="auto"/>
        <w:left w:val="none" w:sz="0" w:space="0" w:color="auto"/>
        <w:bottom w:val="none" w:sz="0" w:space="0" w:color="auto"/>
        <w:right w:val="none" w:sz="0" w:space="0" w:color="auto"/>
      </w:divBdr>
      <w:divsChild>
        <w:div w:id="1833838996">
          <w:marLeft w:val="547"/>
          <w:marRight w:val="0"/>
          <w:marTop w:val="77"/>
          <w:marBottom w:val="0"/>
          <w:divBdr>
            <w:top w:val="none" w:sz="0" w:space="0" w:color="auto"/>
            <w:left w:val="none" w:sz="0" w:space="0" w:color="auto"/>
            <w:bottom w:val="none" w:sz="0" w:space="0" w:color="auto"/>
            <w:right w:val="none" w:sz="0" w:space="0" w:color="auto"/>
          </w:divBdr>
        </w:div>
        <w:div w:id="1109814105">
          <w:marLeft w:val="547"/>
          <w:marRight w:val="0"/>
          <w:marTop w:val="77"/>
          <w:marBottom w:val="0"/>
          <w:divBdr>
            <w:top w:val="none" w:sz="0" w:space="0" w:color="auto"/>
            <w:left w:val="none" w:sz="0" w:space="0" w:color="auto"/>
            <w:bottom w:val="none" w:sz="0" w:space="0" w:color="auto"/>
            <w:right w:val="none" w:sz="0" w:space="0" w:color="auto"/>
          </w:divBdr>
        </w:div>
      </w:divsChild>
    </w:div>
    <w:div w:id="1366561680">
      <w:bodyDiv w:val="1"/>
      <w:marLeft w:val="0"/>
      <w:marRight w:val="0"/>
      <w:marTop w:val="0"/>
      <w:marBottom w:val="0"/>
      <w:divBdr>
        <w:top w:val="none" w:sz="0" w:space="0" w:color="auto"/>
        <w:left w:val="none" w:sz="0" w:space="0" w:color="auto"/>
        <w:bottom w:val="none" w:sz="0" w:space="0" w:color="auto"/>
        <w:right w:val="none" w:sz="0" w:space="0" w:color="auto"/>
      </w:divBdr>
    </w:div>
    <w:div w:id="1369404624">
      <w:bodyDiv w:val="1"/>
      <w:marLeft w:val="0"/>
      <w:marRight w:val="0"/>
      <w:marTop w:val="0"/>
      <w:marBottom w:val="0"/>
      <w:divBdr>
        <w:top w:val="none" w:sz="0" w:space="0" w:color="auto"/>
        <w:left w:val="none" w:sz="0" w:space="0" w:color="auto"/>
        <w:bottom w:val="none" w:sz="0" w:space="0" w:color="auto"/>
        <w:right w:val="none" w:sz="0" w:space="0" w:color="auto"/>
      </w:divBdr>
      <w:divsChild>
        <w:div w:id="1902447395">
          <w:marLeft w:val="547"/>
          <w:marRight w:val="0"/>
          <w:marTop w:val="96"/>
          <w:marBottom w:val="0"/>
          <w:divBdr>
            <w:top w:val="none" w:sz="0" w:space="0" w:color="auto"/>
            <w:left w:val="none" w:sz="0" w:space="0" w:color="auto"/>
            <w:bottom w:val="none" w:sz="0" w:space="0" w:color="auto"/>
            <w:right w:val="none" w:sz="0" w:space="0" w:color="auto"/>
          </w:divBdr>
        </w:div>
      </w:divsChild>
    </w:div>
    <w:div w:id="1369915395">
      <w:bodyDiv w:val="1"/>
      <w:marLeft w:val="0"/>
      <w:marRight w:val="0"/>
      <w:marTop w:val="0"/>
      <w:marBottom w:val="0"/>
      <w:divBdr>
        <w:top w:val="none" w:sz="0" w:space="0" w:color="auto"/>
        <w:left w:val="none" w:sz="0" w:space="0" w:color="auto"/>
        <w:bottom w:val="none" w:sz="0" w:space="0" w:color="auto"/>
        <w:right w:val="none" w:sz="0" w:space="0" w:color="auto"/>
      </w:divBdr>
    </w:div>
    <w:div w:id="1378166676">
      <w:bodyDiv w:val="1"/>
      <w:marLeft w:val="0"/>
      <w:marRight w:val="0"/>
      <w:marTop w:val="0"/>
      <w:marBottom w:val="0"/>
      <w:divBdr>
        <w:top w:val="none" w:sz="0" w:space="0" w:color="auto"/>
        <w:left w:val="none" w:sz="0" w:space="0" w:color="auto"/>
        <w:bottom w:val="none" w:sz="0" w:space="0" w:color="auto"/>
        <w:right w:val="none" w:sz="0" w:space="0" w:color="auto"/>
      </w:divBdr>
      <w:divsChild>
        <w:div w:id="1915819258">
          <w:marLeft w:val="547"/>
          <w:marRight w:val="0"/>
          <w:marTop w:val="96"/>
          <w:marBottom w:val="0"/>
          <w:divBdr>
            <w:top w:val="none" w:sz="0" w:space="0" w:color="auto"/>
            <w:left w:val="none" w:sz="0" w:space="0" w:color="auto"/>
            <w:bottom w:val="none" w:sz="0" w:space="0" w:color="auto"/>
            <w:right w:val="none" w:sz="0" w:space="0" w:color="auto"/>
          </w:divBdr>
        </w:div>
        <w:div w:id="1491558938">
          <w:marLeft w:val="547"/>
          <w:marRight w:val="0"/>
          <w:marTop w:val="96"/>
          <w:marBottom w:val="0"/>
          <w:divBdr>
            <w:top w:val="none" w:sz="0" w:space="0" w:color="auto"/>
            <w:left w:val="none" w:sz="0" w:space="0" w:color="auto"/>
            <w:bottom w:val="none" w:sz="0" w:space="0" w:color="auto"/>
            <w:right w:val="none" w:sz="0" w:space="0" w:color="auto"/>
          </w:divBdr>
        </w:div>
        <w:div w:id="1907185654">
          <w:marLeft w:val="547"/>
          <w:marRight w:val="0"/>
          <w:marTop w:val="96"/>
          <w:marBottom w:val="0"/>
          <w:divBdr>
            <w:top w:val="none" w:sz="0" w:space="0" w:color="auto"/>
            <w:left w:val="none" w:sz="0" w:space="0" w:color="auto"/>
            <w:bottom w:val="none" w:sz="0" w:space="0" w:color="auto"/>
            <w:right w:val="none" w:sz="0" w:space="0" w:color="auto"/>
          </w:divBdr>
        </w:div>
        <w:div w:id="216669085">
          <w:marLeft w:val="547"/>
          <w:marRight w:val="0"/>
          <w:marTop w:val="96"/>
          <w:marBottom w:val="0"/>
          <w:divBdr>
            <w:top w:val="none" w:sz="0" w:space="0" w:color="auto"/>
            <w:left w:val="none" w:sz="0" w:space="0" w:color="auto"/>
            <w:bottom w:val="none" w:sz="0" w:space="0" w:color="auto"/>
            <w:right w:val="none" w:sz="0" w:space="0" w:color="auto"/>
          </w:divBdr>
        </w:div>
        <w:div w:id="1533302481">
          <w:marLeft w:val="547"/>
          <w:marRight w:val="0"/>
          <w:marTop w:val="96"/>
          <w:marBottom w:val="0"/>
          <w:divBdr>
            <w:top w:val="none" w:sz="0" w:space="0" w:color="auto"/>
            <w:left w:val="none" w:sz="0" w:space="0" w:color="auto"/>
            <w:bottom w:val="none" w:sz="0" w:space="0" w:color="auto"/>
            <w:right w:val="none" w:sz="0" w:space="0" w:color="auto"/>
          </w:divBdr>
        </w:div>
        <w:div w:id="556552158">
          <w:marLeft w:val="547"/>
          <w:marRight w:val="0"/>
          <w:marTop w:val="96"/>
          <w:marBottom w:val="0"/>
          <w:divBdr>
            <w:top w:val="none" w:sz="0" w:space="0" w:color="auto"/>
            <w:left w:val="none" w:sz="0" w:space="0" w:color="auto"/>
            <w:bottom w:val="none" w:sz="0" w:space="0" w:color="auto"/>
            <w:right w:val="none" w:sz="0" w:space="0" w:color="auto"/>
          </w:divBdr>
        </w:div>
        <w:div w:id="1023821982">
          <w:marLeft w:val="547"/>
          <w:marRight w:val="0"/>
          <w:marTop w:val="96"/>
          <w:marBottom w:val="0"/>
          <w:divBdr>
            <w:top w:val="none" w:sz="0" w:space="0" w:color="auto"/>
            <w:left w:val="none" w:sz="0" w:space="0" w:color="auto"/>
            <w:bottom w:val="none" w:sz="0" w:space="0" w:color="auto"/>
            <w:right w:val="none" w:sz="0" w:space="0" w:color="auto"/>
          </w:divBdr>
        </w:div>
        <w:div w:id="1845626442">
          <w:marLeft w:val="547"/>
          <w:marRight w:val="0"/>
          <w:marTop w:val="96"/>
          <w:marBottom w:val="0"/>
          <w:divBdr>
            <w:top w:val="none" w:sz="0" w:space="0" w:color="auto"/>
            <w:left w:val="none" w:sz="0" w:space="0" w:color="auto"/>
            <w:bottom w:val="none" w:sz="0" w:space="0" w:color="auto"/>
            <w:right w:val="none" w:sz="0" w:space="0" w:color="auto"/>
          </w:divBdr>
        </w:div>
      </w:divsChild>
    </w:div>
    <w:div w:id="1379166555">
      <w:bodyDiv w:val="1"/>
      <w:marLeft w:val="0"/>
      <w:marRight w:val="0"/>
      <w:marTop w:val="0"/>
      <w:marBottom w:val="0"/>
      <w:divBdr>
        <w:top w:val="none" w:sz="0" w:space="0" w:color="auto"/>
        <w:left w:val="none" w:sz="0" w:space="0" w:color="auto"/>
        <w:bottom w:val="none" w:sz="0" w:space="0" w:color="auto"/>
        <w:right w:val="none" w:sz="0" w:space="0" w:color="auto"/>
      </w:divBdr>
    </w:div>
    <w:div w:id="1382440107">
      <w:bodyDiv w:val="1"/>
      <w:marLeft w:val="0"/>
      <w:marRight w:val="0"/>
      <w:marTop w:val="0"/>
      <w:marBottom w:val="0"/>
      <w:divBdr>
        <w:top w:val="none" w:sz="0" w:space="0" w:color="auto"/>
        <w:left w:val="none" w:sz="0" w:space="0" w:color="auto"/>
        <w:bottom w:val="none" w:sz="0" w:space="0" w:color="auto"/>
        <w:right w:val="none" w:sz="0" w:space="0" w:color="auto"/>
      </w:divBdr>
    </w:div>
    <w:div w:id="1388410235">
      <w:bodyDiv w:val="1"/>
      <w:marLeft w:val="0"/>
      <w:marRight w:val="0"/>
      <w:marTop w:val="0"/>
      <w:marBottom w:val="0"/>
      <w:divBdr>
        <w:top w:val="none" w:sz="0" w:space="0" w:color="auto"/>
        <w:left w:val="none" w:sz="0" w:space="0" w:color="auto"/>
        <w:bottom w:val="none" w:sz="0" w:space="0" w:color="auto"/>
        <w:right w:val="none" w:sz="0" w:space="0" w:color="auto"/>
      </w:divBdr>
      <w:divsChild>
        <w:div w:id="287202454">
          <w:marLeft w:val="547"/>
          <w:marRight w:val="0"/>
          <w:marTop w:val="77"/>
          <w:marBottom w:val="0"/>
          <w:divBdr>
            <w:top w:val="none" w:sz="0" w:space="0" w:color="auto"/>
            <w:left w:val="none" w:sz="0" w:space="0" w:color="auto"/>
            <w:bottom w:val="none" w:sz="0" w:space="0" w:color="auto"/>
            <w:right w:val="none" w:sz="0" w:space="0" w:color="auto"/>
          </w:divBdr>
        </w:div>
        <w:div w:id="2088922168">
          <w:marLeft w:val="547"/>
          <w:marRight w:val="0"/>
          <w:marTop w:val="77"/>
          <w:marBottom w:val="0"/>
          <w:divBdr>
            <w:top w:val="none" w:sz="0" w:space="0" w:color="auto"/>
            <w:left w:val="none" w:sz="0" w:space="0" w:color="auto"/>
            <w:bottom w:val="none" w:sz="0" w:space="0" w:color="auto"/>
            <w:right w:val="none" w:sz="0" w:space="0" w:color="auto"/>
          </w:divBdr>
        </w:div>
      </w:divsChild>
    </w:div>
    <w:div w:id="1392658715">
      <w:bodyDiv w:val="1"/>
      <w:marLeft w:val="0"/>
      <w:marRight w:val="0"/>
      <w:marTop w:val="0"/>
      <w:marBottom w:val="0"/>
      <w:divBdr>
        <w:top w:val="none" w:sz="0" w:space="0" w:color="auto"/>
        <w:left w:val="none" w:sz="0" w:space="0" w:color="auto"/>
        <w:bottom w:val="none" w:sz="0" w:space="0" w:color="auto"/>
        <w:right w:val="none" w:sz="0" w:space="0" w:color="auto"/>
      </w:divBdr>
    </w:div>
    <w:div w:id="1400594699">
      <w:bodyDiv w:val="1"/>
      <w:marLeft w:val="0"/>
      <w:marRight w:val="0"/>
      <w:marTop w:val="0"/>
      <w:marBottom w:val="0"/>
      <w:divBdr>
        <w:top w:val="none" w:sz="0" w:space="0" w:color="auto"/>
        <w:left w:val="none" w:sz="0" w:space="0" w:color="auto"/>
        <w:bottom w:val="none" w:sz="0" w:space="0" w:color="auto"/>
        <w:right w:val="none" w:sz="0" w:space="0" w:color="auto"/>
      </w:divBdr>
      <w:divsChild>
        <w:div w:id="1988893496">
          <w:marLeft w:val="0"/>
          <w:marRight w:val="0"/>
          <w:marTop w:val="0"/>
          <w:marBottom w:val="0"/>
          <w:divBdr>
            <w:top w:val="none" w:sz="0" w:space="0" w:color="auto"/>
            <w:left w:val="none" w:sz="0" w:space="0" w:color="auto"/>
            <w:bottom w:val="none" w:sz="0" w:space="0" w:color="auto"/>
            <w:right w:val="none" w:sz="0" w:space="0" w:color="auto"/>
          </w:divBdr>
        </w:div>
        <w:div w:id="1172837367">
          <w:marLeft w:val="0"/>
          <w:marRight w:val="0"/>
          <w:marTop w:val="0"/>
          <w:marBottom w:val="0"/>
          <w:divBdr>
            <w:top w:val="none" w:sz="0" w:space="0" w:color="auto"/>
            <w:left w:val="none" w:sz="0" w:space="0" w:color="auto"/>
            <w:bottom w:val="none" w:sz="0" w:space="0" w:color="auto"/>
            <w:right w:val="none" w:sz="0" w:space="0" w:color="auto"/>
          </w:divBdr>
        </w:div>
        <w:div w:id="1824545174">
          <w:marLeft w:val="0"/>
          <w:marRight w:val="0"/>
          <w:marTop w:val="0"/>
          <w:marBottom w:val="0"/>
          <w:divBdr>
            <w:top w:val="none" w:sz="0" w:space="0" w:color="auto"/>
            <w:left w:val="none" w:sz="0" w:space="0" w:color="auto"/>
            <w:bottom w:val="none" w:sz="0" w:space="0" w:color="auto"/>
            <w:right w:val="none" w:sz="0" w:space="0" w:color="auto"/>
          </w:divBdr>
        </w:div>
        <w:div w:id="2145271486">
          <w:marLeft w:val="0"/>
          <w:marRight w:val="0"/>
          <w:marTop w:val="0"/>
          <w:marBottom w:val="0"/>
          <w:divBdr>
            <w:top w:val="none" w:sz="0" w:space="0" w:color="auto"/>
            <w:left w:val="none" w:sz="0" w:space="0" w:color="auto"/>
            <w:bottom w:val="none" w:sz="0" w:space="0" w:color="auto"/>
            <w:right w:val="none" w:sz="0" w:space="0" w:color="auto"/>
          </w:divBdr>
        </w:div>
        <w:div w:id="407264203">
          <w:marLeft w:val="0"/>
          <w:marRight w:val="0"/>
          <w:marTop w:val="0"/>
          <w:marBottom w:val="0"/>
          <w:divBdr>
            <w:top w:val="none" w:sz="0" w:space="0" w:color="auto"/>
            <w:left w:val="none" w:sz="0" w:space="0" w:color="auto"/>
            <w:bottom w:val="none" w:sz="0" w:space="0" w:color="auto"/>
            <w:right w:val="none" w:sz="0" w:space="0" w:color="auto"/>
          </w:divBdr>
        </w:div>
        <w:div w:id="229115329">
          <w:marLeft w:val="0"/>
          <w:marRight w:val="0"/>
          <w:marTop w:val="0"/>
          <w:marBottom w:val="0"/>
          <w:divBdr>
            <w:top w:val="none" w:sz="0" w:space="0" w:color="auto"/>
            <w:left w:val="none" w:sz="0" w:space="0" w:color="auto"/>
            <w:bottom w:val="none" w:sz="0" w:space="0" w:color="auto"/>
            <w:right w:val="none" w:sz="0" w:space="0" w:color="auto"/>
          </w:divBdr>
        </w:div>
        <w:div w:id="917253563">
          <w:marLeft w:val="0"/>
          <w:marRight w:val="0"/>
          <w:marTop w:val="0"/>
          <w:marBottom w:val="0"/>
          <w:divBdr>
            <w:top w:val="none" w:sz="0" w:space="0" w:color="auto"/>
            <w:left w:val="none" w:sz="0" w:space="0" w:color="auto"/>
            <w:bottom w:val="none" w:sz="0" w:space="0" w:color="auto"/>
            <w:right w:val="none" w:sz="0" w:space="0" w:color="auto"/>
          </w:divBdr>
        </w:div>
        <w:div w:id="1865247208">
          <w:marLeft w:val="0"/>
          <w:marRight w:val="0"/>
          <w:marTop w:val="0"/>
          <w:marBottom w:val="0"/>
          <w:divBdr>
            <w:top w:val="none" w:sz="0" w:space="0" w:color="auto"/>
            <w:left w:val="none" w:sz="0" w:space="0" w:color="auto"/>
            <w:bottom w:val="none" w:sz="0" w:space="0" w:color="auto"/>
            <w:right w:val="none" w:sz="0" w:space="0" w:color="auto"/>
          </w:divBdr>
        </w:div>
        <w:div w:id="24210117">
          <w:marLeft w:val="0"/>
          <w:marRight w:val="0"/>
          <w:marTop w:val="0"/>
          <w:marBottom w:val="0"/>
          <w:divBdr>
            <w:top w:val="none" w:sz="0" w:space="0" w:color="auto"/>
            <w:left w:val="none" w:sz="0" w:space="0" w:color="auto"/>
            <w:bottom w:val="none" w:sz="0" w:space="0" w:color="auto"/>
            <w:right w:val="none" w:sz="0" w:space="0" w:color="auto"/>
          </w:divBdr>
        </w:div>
        <w:div w:id="1995596589">
          <w:marLeft w:val="0"/>
          <w:marRight w:val="0"/>
          <w:marTop w:val="0"/>
          <w:marBottom w:val="0"/>
          <w:divBdr>
            <w:top w:val="none" w:sz="0" w:space="0" w:color="auto"/>
            <w:left w:val="none" w:sz="0" w:space="0" w:color="auto"/>
            <w:bottom w:val="none" w:sz="0" w:space="0" w:color="auto"/>
            <w:right w:val="none" w:sz="0" w:space="0" w:color="auto"/>
          </w:divBdr>
        </w:div>
        <w:div w:id="1562057282">
          <w:marLeft w:val="0"/>
          <w:marRight w:val="0"/>
          <w:marTop w:val="0"/>
          <w:marBottom w:val="0"/>
          <w:divBdr>
            <w:top w:val="none" w:sz="0" w:space="0" w:color="auto"/>
            <w:left w:val="none" w:sz="0" w:space="0" w:color="auto"/>
            <w:bottom w:val="none" w:sz="0" w:space="0" w:color="auto"/>
            <w:right w:val="none" w:sz="0" w:space="0" w:color="auto"/>
          </w:divBdr>
        </w:div>
        <w:div w:id="1441022941">
          <w:marLeft w:val="0"/>
          <w:marRight w:val="0"/>
          <w:marTop w:val="0"/>
          <w:marBottom w:val="0"/>
          <w:divBdr>
            <w:top w:val="none" w:sz="0" w:space="0" w:color="auto"/>
            <w:left w:val="none" w:sz="0" w:space="0" w:color="auto"/>
            <w:bottom w:val="none" w:sz="0" w:space="0" w:color="auto"/>
            <w:right w:val="none" w:sz="0" w:space="0" w:color="auto"/>
          </w:divBdr>
        </w:div>
        <w:div w:id="144247684">
          <w:marLeft w:val="0"/>
          <w:marRight w:val="0"/>
          <w:marTop w:val="0"/>
          <w:marBottom w:val="0"/>
          <w:divBdr>
            <w:top w:val="none" w:sz="0" w:space="0" w:color="auto"/>
            <w:left w:val="none" w:sz="0" w:space="0" w:color="auto"/>
            <w:bottom w:val="none" w:sz="0" w:space="0" w:color="auto"/>
            <w:right w:val="none" w:sz="0" w:space="0" w:color="auto"/>
          </w:divBdr>
        </w:div>
        <w:div w:id="1225988099">
          <w:marLeft w:val="0"/>
          <w:marRight w:val="0"/>
          <w:marTop w:val="0"/>
          <w:marBottom w:val="0"/>
          <w:divBdr>
            <w:top w:val="none" w:sz="0" w:space="0" w:color="auto"/>
            <w:left w:val="none" w:sz="0" w:space="0" w:color="auto"/>
            <w:bottom w:val="none" w:sz="0" w:space="0" w:color="auto"/>
            <w:right w:val="none" w:sz="0" w:space="0" w:color="auto"/>
          </w:divBdr>
        </w:div>
      </w:divsChild>
    </w:div>
    <w:div w:id="1415544291">
      <w:bodyDiv w:val="1"/>
      <w:marLeft w:val="0"/>
      <w:marRight w:val="0"/>
      <w:marTop w:val="0"/>
      <w:marBottom w:val="0"/>
      <w:divBdr>
        <w:top w:val="none" w:sz="0" w:space="0" w:color="auto"/>
        <w:left w:val="none" w:sz="0" w:space="0" w:color="auto"/>
        <w:bottom w:val="none" w:sz="0" w:space="0" w:color="auto"/>
        <w:right w:val="none" w:sz="0" w:space="0" w:color="auto"/>
      </w:divBdr>
      <w:divsChild>
        <w:div w:id="1522547284">
          <w:marLeft w:val="1166"/>
          <w:marRight w:val="0"/>
          <w:marTop w:val="86"/>
          <w:marBottom w:val="0"/>
          <w:divBdr>
            <w:top w:val="none" w:sz="0" w:space="0" w:color="auto"/>
            <w:left w:val="none" w:sz="0" w:space="0" w:color="auto"/>
            <w:bottom w:val="none" w:sz="0" w:space="0" w:color="auto"/>
            <w:right w:val="none" w:sz="0" w:space="0" w:color="auto"/>
          </w:divBdr>
        </w:div>
        <w:div w:id="626014387">
          <w:marLeft w:val="547"/>
          <w:marRight w:val="0"/>
          <w:marTop w:val="96"/>
          <w:marBottom w:val="0"/>
          <w:divBdr>
            <w:top w:val="none" w:sz="0" w:space="0" w:color="auto"/>
            <w:left w:val="none" w:sz="0" w:space="0" w:color="auto"/>
            <w:bottom w:val="none" w:sz="0" w:space="0" w:color="auto"/>
            <w:right w:val="none" w:sz="0" w:space="0" w:color="auto"/>
          </w:divBdr>
        </w:div>
      </w:divsChild>
    </w:div>
    <w:div w:id="1421562226">
      <w:bodyDiv w:val="1"/>
      <w:marLeft w:val="0"/>
      <w:marRight w:val="0"/>
      <w:marTop w:val="0"/>
      <w:marBottom w:val="0"/>
      <w:divBdr>
        <w:top w:val="none" w:sz="0" w:space="0" w:color="auto"/>
        <w:left w:val="none" w:sz="0" w:space="0" w:color="auto"/>
        <w:bottom w:val="none" w:sz="0" w:space="0" w:color="auto"/>
        <w:right w:val="none" w:sz="0" w:space="0" w:color="auto"/>
      </w:divBdr>
    </w:div>
    <w:div w:id="1424648792">
      <w:bodyDiv w:val="1"/>
      <w:marLeft w:val="0"/>
      <w:marRight w:val="0"/>
      <w:marTop w:val="0"/>
      <w:marBottom w:val="0"/>
      <w:divBdr>
        <w:top w:val="none" w:sz="0" w:space="0" w:color="auto"/>
        <w:left w:val="none" w:sz="0" w:space="0" w:color="auto"/>
        <w:bottom w:val="none" w:sz="0" w:space="0" w:color="auto"/>
        <w:right w:val="none" w:sz="0" w:space="0" w:color="auto"/>
      </w:divBdr>
    </w:div>
    <w:div w:id="1425759630">
      <w:bodyDiv w:val="1"/>
      <w:marLeft w:val="0"/>
      <w:marRight w:val="0"/>
      <w:marTop w:val="0"/>
      <w:marBottom w:val="0"/>
      <w:divBdr>
        <w:top w:val="none" w:sz="0" w:space="0" w:color="auto"/>
        <w:left w:val="none" w:sz="0" w:space="0" w:color="auto"/>
        <w:bottom w:val="none" w:sz="0" w:space="0" w:color="auto"/>
        <w:right w:val="none" w:sz="0" w:space="0" w:color="auto"/>
      </w:divBdr>
    </w:div>
    <w:div w:id="1434323149">
      <w:bodyDiv w:val="1"/>
      <w:marLeft w:val="0"/>
      <w:marRight w:val="0"/>
      <w:marTop w:val="0"/>
      <w:marBottom w:val="0"/>
      <w:divBdr>
        <w:top w:val="none" w:sz="0" w:space="0" w:color="auto"/>
        <w:left w:val="none" w:sz="0" w:space="0" w:color="auto"/>
        <w:bottom w:val="none" w:sz="0" w:space="0" w:color="auto"/>
        <w:right w:val="none" w:sz="0" w:space="0" w:color="auto"/>
      </w:divBdr>
    </w:div>
    <w:div w:id="1444573534">
      <w:bodyDiv w:val="1"/>
      <w:marLeft w:val="0"/>
      <w:marRight w:val="0"/>
      <w:marTop w:val="0"/>
      <w:marBottom w:val="0"/>
      <w:divBdr>
        <w:top w:val="none" w:sz="0" w:space="0" w:color="auto"/>
        <w:left w:val="none" w:sz="0" w:space="0" w:color="auto"/>
        <w:bottom w:val="none" w:sz="0" w:space="0" w:color="auto"/>
        <w:right w:val="none" w:sz="0" w:space="0" w:color="auto"/>
      </w:divBdr>
    </w:div>
    <w:div w:id="1445920895">
      <w:bodyDiv w:val="1"/>
      <w:marLeft w:val="0"/>
      <w:marRight w:val="0"/>
      <w:marTop w:val="0"/>
      <w:marBottom w:val="0"/>
      <w:divBdr>
        <w:top w:val="none" w:sz="0" w:space="0" w:color="auto"/>
        <w:left w:val="none" w:sz="0" w:space="0" w:color="auto"/>
        <w:bottom w:val="none" w:sz="0" w:space="0" w:color="auto"/>
        <w:right w:val="none" w:sz="0" w:space="0" w:color="auto"/>
      </w:divBdr>
      <w:divsChild>
        <w:div w:id="810682134">
          <w:marLeft w:val="547"/>
          <w:marRight w:val="0"/>
          <w:marTop w:val="77"/>
          <w:marBottom w:val="0"/>
          <w:divBdr>
            <w:top w:val="none" w:sz="0" w:space="0" w:color="auto"/>
            <w:left w:val="none" w:sz="0" w:space="0" w:color="auto"/>
            <w:bottom w:val="none" w:sz="0" w:space="0" w:color="auto"/>
            <w:right w:val="none" w:sz="0" w:space="0" w:color="auto"/>
          </w:divBdr>
        </w:div>
        <w:div w:id="837884772">
          <w:marLeft w:val="547"/>
          <w:marRight w:val="0"/>
          <w:marTop w:val="77"/>
          <w:marBottom w:val="0"/>
          <w:divBdr>
            <w:top w:val="none" w:sz="0" w:space="0" w:color="auto"/>
            <w:left w:val="none" w:sz="0" w:space="0" w:color="auto"/>
            <w:bottom w:val="none" w:sz="0" w:space="0" w:color="auto"/>
            <w:right w:val="none" w:sz="0" w:space="0" w:color="auto"/>
          </w:divBdr>
        </w:div>
      </w:divsChild>
    </w:div>
    <w:div w:id="1448507623">
      <w:bodyDiv w:val="1"/>
      <w:marLeft w:val="0"/>
      <w:marRight w:val="0"/>
      <w:marTop w:val="0"/>
      <w:marBottom w:val="0"/>
      <w:divBdr>
        <w:top w:val="none" w:sz="0" w:space="0" w:color="auto"/>
        <w:left w:val="none" w:sz="0" w:space="0" w:color="auto"/>
        <w:bottom w:val="none" w:sz="0" w:space="0" w:color="auto"/>
        <w:right w:val="none" w:sz="0" w:space="0" w:color="auto"/>
      </w:divBdr>
      <w:divsChild>
        <w:div w:id="1391883704">
          <w:marLeft w:val="547"/>
          <w:marRight w:val="0"/>
          <w:marTop w:val="58"/>
          <w:marBottom w:val="0"/>
          <w:divBdr>
            <w:top w:val="none" w:sz="0" w:space="0" w:color="auto"/>
            <w:left w:val="none" w:sz="0" w:space="0" w:color="auto"/>
            <w:bottom w:val="none" w:sz="0" w:space="0" w:color="auto"/>
            <w:right w:val="none" w:sz="0" w:space="0" w:color="auto"/>
          </w:divBdr>
        </w:div>
        <w:div w:id="1344697937">
          <w:marLeft w:val="1166"/>
          <w:marRight w:val="0"/>
          <w:marTop w:val="58"/>
          <w:marBottom w:val="0"/>
          <w:divBdr>
            <w:top w:val="none" w:sz="0" w:space="0" w:color="auto"/>
            <w:left w:val="none" w:sz="0" w:space="0" w:color="auto"/>
            <w:bottom w:val="none" w:sz="0" w:space="0" w:color="auto"/>
            <w:right w:val="none" w:sz="0" w:space="0" w:color="auto"/>
          </w:divBdr>
        </w:div>
        <w:div w:id="1808889990">
          <w:marLeft w:val="1166"/>
          <w:marRight w:val="0"/>
          <w:marTop w:val="58"/>
          <w:marBottom w:val="0"/>
          <w:divBdr>
            <w:top w:val="none" w:sz="0" w:space="0" w:color="auto"/>
            <w:left w:val="none" w:sz="0" w:space="0" w:color="auto"/>
            <w:bottom w:val="none" w:sz="0" w:space="0" w:color="auto"/>
            <w:right w:val="none" w:sz="0" w:space="0" w:color="auto"/>
          </w:divBdr>
        </w:div>
      </w:divsChild>
    </w:div>
    <w:div w:id="1450203215">
      <w:bodyDiv w:val="1"/>
      <w:marLeft w:val="0"/>
      <w:marRight w:val="0"/>
      <w:marTop w:val="0"/>
      <w:marBottom w:val="0"/>
      <w:divBdr>
        <w:top w:val="none" w:sz="0" w:space="0" w:color="auto"/>
        <w:left w:val="none" w:sz="0" w:space="0" w:color="auto"/>
        <w:bottom w:val="none" w:sz="0" w:space="0" w:color="auto"/>
        <w:right w:val="none" w:sz="0" w:space="0" w:color="auto"/>
      </w:divBdr>
    </w:div>
    <w:div w:id="1457143088">
      <w:bodyDiv w:val="1"/>
      <w:marLeft w:val="0"/>
      <w:marRight w:val="0"/>
      <w:marTop w:val="0"/>
      <w:marBottom w:val="0"/>
      <w:divBdr>
        <w:top w:val="none" w:sz="0" w:space="0" w:color="auto"/>
        <w:left w:val="none" w:sz="0" w:space="0" w:color="auto"/>
        <w:bottom w:val="none" w:sz="0" w:space="0" w:color="auto"/>
        <w:right w:val="none" w:sz="0" w:space="0" w:color="auto"/>
      </w:divBdr>
      <w:divsChild>
        <w:div w:id="1291323316">
          <w:marLeft w:val="0"/>
          <w:marRight w:val="0"/>
          <w:marTop w:val="450"/>
          <w:marBottom w:val="0"/>
          <w:divBdr>
            <w:top w:val="none" w:sz="0" w:space="0" w:color="auto"/>
            <w:left w:val="none" w:sz="0" w:space="0" w:color="auto"/>
            <w:bottom w:val="none" w:sz="0" w:space="0" w:color="auto"/>
            <w:right w:val="none" w:sz="0" w:space="0" w:color="auto"/>
          </w:divBdr>
        </w:div>
        <w:div w:id="120149429">
          <w:marLeft w:val="0"/>
          <w:marRight w:val="0"/>
          <w:marTop w:val="150"/>
          <w:marBottom w:val="0"/>
          <w:divBdr>
            <w:top w:val="none" w:sz="0" w:space="0" w:color="auto"/>
            <w:left w:val="none" w:sz="0" w:space="0" w:color="auto"/>
            <w:bottom w:val="none" w:sz="0" w:space="0" w:color="auto"/>
            <w:right w:val="none" w:sz="0" w:space="0" w:color="auto"/>
          </w:divBdr>
        </w:div>
        <w:div w:id="412162035">
          <w:marLeft w:val="0"/>
          <w:marRight w:val="0"/>
          <w:marTop w:val="150"/>
          <w:marBottom w:val="0"/>
          <w:divBdr>
            <w:top w:val="none" w:sz="0" w:space="0" w:color="auto"/>
            <w:left w:val="none" w:sz="0" w:space="0" w:color="auto"/>
            <w:bottom w:val="none" w:sz="0" w:space="0" w:color="auto"/>
            <w:right w:val="none" w:sz="0" w:space="0" w:color="auto"/>
          </w:divBdr>
        </w:div>
      </w:divsChild>
    </w:div>
    <w:div w:id="1460950199">
      <w:bodyDiv w:val="1"/>
      <w:marLeft w:val="0"/>
      <w:marRight w:val="0"/>
      <w:marTop w:val="0"/>
      <w:marBottom w:val="0"/>
      <w:divBdr>
        <w:top w:val="none" w:sz="0" w:space="0" w:color="auto"/>
        <w:left w:val="none" w:sz="0" w:space="0" w:color="auto"/>
        <w:bottom w:val="none" w:sz="0" w:space="0" w:color="auto"/>
        <w:right w:val="none" w:sz="0" w:space="0" w:color="auto"/>
      </w:divBdr>
      <w:divsChild>
        <w:div w:id="681392574">
          <w:marLeft w:val="547"/>
          <w:marRight w:val="0"/>
          <w:marTop w:val="77"/>
          <w:marBottom w:val="0"/>
          <w:divBdr>
            <w:top w:val="none" w:sz="0" w:space="0" w:color="auto"/>
            <w:left w:val="none" w:sz="0" w:space="0" w:color="auto"/>
            <w:bottom w:val="none" w:sz="0" w:space="0" w:color="auto"/>
            <w:right w:val="none" w:sz="0" w:space="0" w:color="auto"/>
          </w:divBdr>
        </w:div>
      </w:divsChild>
    </w:div>
    <w:div w:id="1461991289">
      <w:bodyDiv w:val="1"/>
      <w:marLeft w:val="0"/>
      <w:marRight w:val="0"/>
      <w:marTop w:val="0"/>
      <w:marBottom w:val="0"/>
      <w:divBdr>
        <w:top w:val="none" w:sz="0" w:space="0" w:color="auto"/>
        <w:left w:val="none" w:sz="0" w:space="0" w:color="auto"/>
        <w:bottom w:val="none" w:sz="0" w:space="0" w:color="auto"/>
        <w:right w:val="none" w:sz="0" w:space="0" w:color="auto"/>
      </w:divBdr>
    </w:div>
    <w:div w:id="1467357807">
      <w:bodyDiv w:val="1"/>
      <w:marLeft w:val="0"/>
      <w:marRight w:val="0"/>
      <w:marTop w:val="0"/>
      <w:marBottom w:val="0"/>
      <w:divBdr>
        <w:top w:val="none" w:sz="0" w:space="0" w:color="auto"/>
        <w:left w:val="none" w:sz="0" w:space="0" w:color="auto"/>
        <w:bottom w:val="none" w:sz="0" w:space="0" w:color="auto"/>
        <w:right w:val="none" w:sz="0" w:space="0" w:color="auto"/>
      </w:divBdr>
      <w:divsChild>
        <w:div w:id="1239555436">
          <w:marLeft w:val="547"/>
          <w:marRight w:val="0"/>
          <w:marTop w:val="96"/>
          <w:marBottom w:val="0"/>
          <w:divBdr>
            <w:top w:val="none" w:sz="0" w:space="0" w:color="auto"/>
            <w:left w:val="none" w:sz="0" w:space="0" w:color="auto"/>
            <w:bottom w:val="none" w:sz="0" w:space="0" w:color="auto"/>
            <w:right w:val="none" w:sz="0" w:space="0" w:color="auto"/>
          </w:divBdr>
        </w:div>
      </w:divsChild>
    </w:div>
    <w:div w:id="1476071628">
      <w:bodyDiv w:val="1"/>
      <w:marLeft w:val="0"/>
      <w:marRight w:val="0"/>
      <w:marTop w:val="0"/>
      <w:marBottom w:val="0"/>
      <w:divBdr>
        <w:top w:val="none" w:sz="0" w:space="0" w:color="auto"/>
        <w:left w:val="none" w:sz="0" w:space="0" w:color="auto"/>
        <w:bottom w:val="none" w:sz="0" w:space="0" w:color="auto"/>
        <w:right w:val="none" w:sz="0" w:space="0" w:color="auto"/>
      </w:divBdr>
    </w:div>
    <w:div w:id="1498111551">
      <w:bodyDiv w:val="1"/>
      <w:marLeft w:val="0"/>
      <w:marRight w:val="0"/>
      <w:marTop w:val="0"/>
      <w:marBottom w:val="0"/>
      <w:divBdr>
        <w:top w:val="none" w:sz="0" w:space="0" w:color="auto"/>
        <w:left w:val="none" w:sz="0" w:space="0" w:color="auto"/>
        <w:bottom w:val="none" w:sz="0" w:space="0" w:color="auto"/>
        <w:right w:val="none" w:sz="0" w:space="0" w:color="auto"/>
      </w:divBdr>
    </w:div>
    <w:div w:id="1513762343">
      <w:bodyDiv w:val="1"/>
      <w:marLeft w:val="0"/>
      <w:marRight w:val="0"/>
      <w:marTop w:val="0"/>
      <w:marBottom w:val="0"/>
      <w:divBdr>
        <w:top w:val="none" w:sz="0" w:space="0" w:color="auto"/>
        <w:left w:val="none" w:sz="0" w:space="0" w:color="auto"/>
        <w:bottom w:val="none" w:sz="0" w:space="0" w:color="auto"/>
        <w:right w:val="none" w:sz="0" w:space="0" w:color="auto"/>
      </w:divBdr>
    </w:div>
    <w:div w:id="1534078460">
      <w:bodyDiv w:val="1"/>
      <w:marLeft w:val="0"/>
      <w:marRight w:val="0"/>
      <w:marTop w:val="0"/>
      <w:marBottom w:val="0"/>
      <w:divBdr>
        <w:top w:val="none" w:sz="0" w:space="0" w:color="auto"/>
        <w:left w:val="none" w:sz="0" w:space="0" w:color="auto"/>
        <w:bottom w:val="none" w:sz="0" w:space="0" w:color="auto"/>
        <w:right w:val="none" w:sz="0" w:space="0" w:color="auto"/>
      </w:divBdr>
    </w:div>
    <w:div w:id="1566986417">
      <w:bodyDiv w:val="1"/>
      <w:marLeft w:val="0"/>
      <w:marRight w:val="0"/>
      <w:marTop w:val="0"/>
      <w:marBottom w:val="0"/>
      <w:divBdr>
        <w:top w:val="none" w:sz="0" w:space="0" w:color="auto"/>
        <w:left w:val="none" w:sz="0" w:space="0" w:color="auto"/>
        <w:bottom w:val="none" w:sz="0" w:space="0" w:color="auto"/>
        <w:right w:val="none" w:sz="0" w:space="0" w:color="auto"/>
      </w:divBdr>
    </w:div>
    <w:div w:id="1583175718">
      <w:bodyDiv w:val="1"/>
      <w:marLeft w:val="0"/>
      <w:marRight w:val="0"/>
      <w:marTop w:val="0"/>
      <w:marBottom w:val="0"/>
      <w:divBdr>
        <w:top w:val="none" w:sz="0" w:space="0" w:color="auto"/>
        <w:left w:val="none" w:sz="0" w:space="0" w:color="auto"/>
        <w:bottom w:val="none" w:sz="0" w:space="0" w:color="auto"/>
        <w:right w:val="none" w:sz="0" w:space="0" w:color="auto"/>
      </w:divBdr>
    </w:div>
    <w:div w:id="1583181830">
      <w:bodyDiv w:val="1"/>
      <w:marLeft w:val="0"/>
      <w:marRight w:val="0"/>
      <w:marTop w:val="0"/>
      <w:marBottom w:val="0"/>
      <w:divBdr>
        <w:top w:val="none" w:sz="0" w:space="0" w:color="auto"/>
        <w:left w:val="none" w:sz="0" w:space="0" w:color="auto"/>
        <w:bottom w:val="none" w:sz="0" w:space="0" w:color="auto"/>
        <w:right w:val="none" w:sz="0" w:space="0" w:color="auto"/>
      </w:divBdr>
      <w:divsChild>
        <w:div w:id="650870373">
          <w:marLeft w:val="547"/>
          <w:marRight w:val="0"/>
          <w:marTop w:val="67"/>
          <w:marBottom w:val="0"/>
          <w:divBdr>
            <w:top w:val="none" w:sz="0" w:space="0" w:color="auto"/>
            <w:left w:val="none" w:sz="0" w:space="0" w:color="auto"/>
            <w:bottom w:val="none" w:sz="0" w:space="0" w:color="auto"/>
            <w:right w:val="none" w:sz="0" w:space="0" w:color="auto"/>
          </w:divBdr>
        </w:div>
        <w:div w:id="441993860">
          <w:marLeft w:val="1166"/>
          <w:marRight w:val="0"/>
          <w:marTop w:val="67"/>
          <w:marBottom w:val="0"/>
          <w:divBdr>
            <w:top w:val="none" w:sz="0" w:space="0" w:color="auto"/>
            <w:left w:val="none" w:sz="0" w:space="0" w:color="auto"/>
            <w:bottom w:val="none" w:sz="0" w:space="0" w:color="auto"/>
            <w:right w:val="none" w:sz="0" w:space="0" w:color="auto"/>
          </w:divBdr>
        </w:div>
        <w:div w:id="2008900440">
          <w:marLeft w:val="1166"/>
          <w:marRight w:val="0"/>
          <w:marTop w:val="67"/>
          <w:marBottom w:val="0"/>
          <w:divBdr>
            <w:top w:val="none" w:sz="0" w:space="0" w:color="auto"/>
            <w:left w:val="none" w:sz="0" w:space="0" w:color="auto"/>
            <w:bottom w:val="none" w:sz="0" w:space="0" w:color="auto"/>
            <w:right w:val="none" w:sz="0" w:space="0" w:color="auto"/>
          </w:divBdr>
        </w:div>
        <w:div w:id="1531062995">
          <w:marLeft w:val="1166"/>
          <w:marRight w:val="0"/>
          <w:marTop w:val="67"/>
          <w:marBottom w:val="0"/>
          <w:divBdr>
            <w:top w:val="none" w:sz="0" w:space="0" w:color="auto"/>
            <w:left w:val="none" w:sz="0" w:space="0" w:color="auto"/>
            <w:bottom w:val="none" w:sz="0" w:space="0" w:color="auto"/>
            <w:right w:val="none" w:sz="0" w:space="0" w:color="auto"/>
          </w:divBdr>
        </w:div>
        <w:div w:id="1007443912">
          <w:marLeft w:val="1166"/>
          <w:marRight w:val="0"/>
          <w:marTop w:val="67"/>
          <w:marBottom w:val="0"/>
          <w:divBdr>
            <w:top w:val="none" w:sz="0" w:space="0" w:color="auto"/>
            <w:left w:val="none" w:sz="0" w:space="0" w:color="auto"/>
            <w:bottom w:val="none" w:sz="0" w:space="0" w:color="auto"/>
            <w:right w:val="none" w:sz="0" w:space="0" w:color="auto"/>
          </w:divBdr>
        </w:div>
        <w:div w:id="1637907305">
          <w:marLeft w:val="1166"/>
          <w:marRight w:val="0"/>
          <w:marTop w:val="67"/>
          <w:marBottom w:val="0"/>
          <w:divBdr>
            <w:top w:val="none" w:sz="0" w:space="0" w:color="auto"/>
            <w:left w:val="none" w:sz="0" w:space="0" w:color="auto"/>
            <w:bottom w:val="none" w:sz="0" w:space="0" w:color="auto"/>
            <w:right w:val="none" w:sz="0" w:space="0" w:color="auto"/>
          </w:divBdr>
        </w:div>
        <w:div w:id="1068456628">
          <w:marLeft w:val="1166"/>
          <w:marRight w:val="0"/>
          <w:marTop w:val="67"/>
          <w:marBottom w:val="0"/>
          <w:divBdr>
            <w:top w:val="none" w:sz="0" w:space="0" w:color="auto"/>
            <w:left w:val="none" w:sz="0" w:space="0" w:color="auto"/>
            <w:bottom w:val="none" w:sz="0" w:space="0" w:color="auto"/>
            <w:right w:val="none" w:sz="0" w:space="0" w:color="auto"/>
          </w:divBdr>
        </w:div>
        <w:div w:id="149369461">
          <w:marLeft w:val="1166"/>
          <w:marRight w:val="0"/>
          <w:marTop w:val="67"/>
          <w:marBottom w:val="0"/>
          <w:divBdr>
            <w:top w:val="none" w:sz="0" w:space="0" w:color="auto"/>
            <w:left w:val="none" w:sz="0" w:space="0" w:color="auto"/>
            <w:bottom w:val="none" w:sz="0" w:space="0" w:color="auto"/>
            <w:right w:val="none" w:sz="0" w:space="0" w:color="auto"/>
          </w:divBdr>
        </w:div>
        <w:div w:id="575942665">
          <w:marLeft w:val="1166"/>
          <w:marRight w:val="0"/>
          <w:marTop w:val="67"/>
          <w:marBottom w:val="0"/>
          <w:divBdr>
            <w:top w:val="none" w:sz="0" w:space="0" w:color="auto"/>
            <w:left w:val="none" w:sz="0" w:space="0" w:color="auto"/>
            <w:bottom w:val="none" w:sz="0" w:space="0" w:color="auto"/>
            <w:right w:val="none" w:sz="0" w:space="0" w:color="auto"/>
          </w:divBdr>
        </w:div>
        <w:div w:id="418869851">
          <w:marLeft w:val="1166"/>
          <w:marRight w:val="0"/>
          <w:marTop w:val="67"/>
          <w:marBottom w:val="0"/>
          <w:divBdr>
            <w:top w:val="none" w:sz="0" w:space="0" w:color="auto"/>
            <w:left w:val="none" w:sz="0" w:space="0" w:color="auto"/>
            <w:bottom w:val="none" w:sz="0" w:space="0" w:color="auto"/>
            <w:right w:val="none" w:sz="0" w:space="0" w:color="auto"/>
          </w:divBdr>
        </w:div>
        <w:div w:id="908612521">
          <w:marLeft w:val="1166"/>
          <w:marRight w:val="0"/>
          <w:marTop w:val="67"/>
          <w:marBottom w:val="0"/>
          <w:divBdr>
            <w:top w:val="none" w:sz="0" w:space="0" w:color="auto"/>
            <w:left w:val="none" w:sz="0" w:space="0" w:color="auto"/>
            <w:bottom w:val="none" w:sz="0" w:space="0" w:color="auto"/>
            <w:right w:val="none" w:sz="0" w:space="0" w:color="auto"/>
          </w:divBdr>
        </w:div>
        <w:div w:id="255214985">
          <w:marLeft w:val="1166"/>
          <w:marRight w:val="0"/>
          <w:marTop w:val="67"/>
          <w:marBottom w:val="0"/>
          <w:divBdr>
            <w:top w:val="none" w:sz="0" w:space="0" w:color="auto"/>
            <w:left w:val="none" w:sz="0" w:space="0" w:color="auto"/>
            <w:bottom w:val="none" w:sz="0" w:space="0" w:color="auto"/>
            <w:right w:val="none" w:sz="0" w:space="0" w:color="auto"/>
          </w:divBdr>
        </w:div>
        <w:div w:id="499345545">
          <w:marLeft w:val="1166"/>
          <w:marRight w:val="0"/>
          <w:marTop w:val="67"/>
          <w:marBottom w:val="0"/>
          <w:divBdr>
            <w:top w:val="none" w:sz="0" w:space="0" w:color="auto"/>
            <w:left w:val="none" w:sz="0" w:space="0" w:color="auto"/>
            <w:bottom w:val="none" w:sz="0" w:space="0" w:color="auto"/>
            <w:right w:val="none" w:sz="0" w:space="0" w:color="auto"/>
          </w:divBdr>
        </w:div>
        <w:div w:id="693070601">
          <w:marLeft w:val="1166"/>
          <w:marRight w:val="0"/>
          <w:marTop w:val="67"/>
          <w:marBottom w:val="0"/>
          <w:divBdr>
            <w:top w:val="none" w:sz="0" w:space="0" w:color="auto"/>
            <w:left w:val="none" w:sz="0" w:space="0" w:color="auto"/>
            <w:bottom w:val="none" w:sz="0" w:space="0" w:color="auto"/>
            <w:right w:val="none" w:sz="0" w:space="0" w:color="auto"/>
          </w:divBdr>
        </w:div>
      </w:divsChild>
    </w:div>
    <w:div w:id="1589190383">
      <w:bodyDiv w:val="1"/>
      <w:marLeft w:val="0"/>
      <w:marRight w:val="0"/>
      <w:marTop w:val="0"/>
      <w:marBottom w:val="0"/>
      <w:divBdr>
        <w:top w:val="none" w:sz="0" w:space="0" w:color="auto"/>
        <w:left w:val="none" w:sz="0" w:space="0" w:color="auto"/>
        <w:bottom w:val="none" w:sz="0" w:space="0" w:color="auto"/>
        <w:right w:val="none" w:sz="0" w:space="0" w:color="auto"/>
      </w:divBdr>
    </w:div>
    <w:div w:id="1612933492">
      <w:bodyDiv w:val="1"/>
      <w:marLeft w:val="0"/>
      <w:marRight w:val="0"/>
      <w:marTop w:val="0"/>
      <w:marBottom w:val="0"/>
      <w:divBdr>
        <w:top w:val="none" w:sz="0" w:space="0" w:color="auto"/>
        <w:left w:val="none" w:sz="0" w:space="0" w:color="auto"/>
        <w:bottom w:val="none" w:sz="0" w:space="0" w:color="auto"/>
        <w:right w:val="none" w:sz="0" w:space="0" w:color="auto"/>
      </w:divBdr>
    </w:div>
    <w:div w:id="1635138374">
      <w:bodyDiv w:val="1"/>
      <w:marLeft w:val="0"/>
      <w:marRight w:val="0"/>
      <w:marTop w:val="0"/>
      <w:marBottom w:val="0"/>
      <w:divBdr>
        <w:top w:val="none" w:sz="0" w:space="0" w:color="auto"/>
        <w:left w:val="none" w:sz="0" w:space="0" w:color="auto"/>
        <w:bottom w:val="none" w:sz="0" w:space="0" w:color="auto"/>
        <w:right w:val="none" w:sz="0" w:space="0" w:color="auto"/>
      </w:divBdr>
      <w:divsChild>
        <w:div w:id="1952542414">
          <w:marLeft w:val="547"/>
          <w:marRight w:val="0"/>
          <w:marTop w:val="115"/>
          <w:marBottom w:val="0"/>
          <w:divBdr>
            <w:top w:val="none" w:sz="0" w:space="0" w:color="auto"/>
            <w:left w:val="none" w:sz="0" w:space="0" w:color="auto"/>
            <w:bottom w:val="none" w:sz="0" w:space="0" w:color="auto"/>
            <w:right w:val="none" w:sz="0" w:space="0" w:color="auto"/>
          </w:divBdr>
        </w:div>
        <w:div w:id="1231690770">
          <w:marLeft w:val="547"/>
          <w:marRight w:val="0"/>
          <w:marTop w:val="115"/>
          <w:marBottom w:val="0"/>
          <w:divBdr>
            <w:top w:val="none" w:sz="0" w:space="0" w:color="auto"/>
            <w:left w:val="none" w:sz="0" w:space="0" w:color="auto"/>
            <w:bottom w:val="none" w:sz="0" w:space="0" w:color="auto"/>
            <w:right w:val="none" w:sz="0" w:space="0" w:color="auto"/>
          </w:divBdr>
        </w:div>
        <w:div w:id="1145777758">
          <w:marLeft w:val="547"/>
          <w:marRight w:val="0"/>
          <w:marTop w:val="115"/>
          <w:marBottom w:val="0"/>
          <w:divBdr>
            <w:top w:val="none" w:sz="0" w:space="0" w:color="auto"/>
            <w:left w:val="none" w:sz="0" w:space="0" w:color="auto"/>
            <w:bottom w:val="none" w:sz="0" w:space="0" w:color="auto"/>
            <w:right w:val="none" w:sz="0" w:space="0" w:color="auto"/>
          </w:divBdr>
        </w:div>
      </w:divsChild>
    </w:div>
    <w:div w:id="1648440364">
      <w:bodyDiv w:val="1"/>
      <w:marLeft w:val="0"/>
      <w:marRight w:val="0"/>
      <w:marTop w:val="0"/>
      <w:marBottom w:val="0"/>
      <w:divBdr>
        <w:top w:val="none" w:sz="0" w:space="0" w:color="auto"/>
        <w:left w:val="none" w:sz="0" w:space="0" w:color="auto"/>
        <w:bottom w:val="none" w:sz="0" w:space="0" w:color="auto"/>
        <w:right w:val="none" w:sz="0" w:space="0" w:color="auto"/>
      </w:divBdr>
    </w:div>
    <w:div w:id="1653367956">
      <w:bodyDiv w:val="1"/>
      <w:marLeft w:val="0"/>
      <w:marRight w:val="0"/>
      <w:marTop w:val="0"/>
      <w:marBottom w:val="0"/>
      <w:divBdr>
        <w:top w:val="none" w:sz="0" w:space="0" w:color="auto"/>
        <w:left w:val="none" w:sz="0" w:space="0" w:color="auto"/>
        <w:bottom w:val="none" w:sz="0" w:space="0" w:color="auto"/>
        <w:right w:val="none" w:sz="0" w:space="0" w:color="auto"/>
      </w:divBdr>
    </w:div>
    <w:div w:id="1662125176">
      <w:bodyDiv w:val="1"/>
      <w:marLeft w:val="0"/>
      <w:marRight w:val="0"/>
      <w:marTop w:val="0"/>
      <w:marBottom w:val="0"/>
      <w:divBdr>
        <w:top w:val="none" w:sz="0" w:space="0" w:color="auto"/>
        <w:left w:val="none" w:sz="0" w:space="0" w:color="auto"/>
        <w:bottom w:val="none" w:sz="0" w:space="0" w:color="auto"/>
        <w:right w:val="none" w:sz="0" w:space="0" w:color="auto"/>
      </w:divBdr>
    </w:div>
    <w:div w:id="1664817040">
      <w:bodyDiv w:val="1"/>
      <w:marLeft w:val="0"/>
      <w:marRight w:val="0"/>
      <w:marTop w:val="0"/>
      <w:marBottom w:val="0"/>
      <w:divBdr>
        <w:top w:val="none" w:sz="0" w:space="0" w:color="auto"/>
        <w:left w:val="none" w:sz="0" w:space="0" w:color="auto"/>
        <w:bottom w:val="none" w:sz="0" w:space="0" w:color="auto"/>
        <w:right w:val="none" w:sz="0" w:space="0" w:color="auto"/>
      </w:divBdr>
    </w:div>
    <w:div w:id="1693652582">
      <w:bodyDiv w:val="1"/>
      <w:marLeft w:val="0"/>
      <w:marRight w:val="0"/>
      <w:marTop w:val="0"/>
      <w:marBottom w:val="0"/>
      <w:divBdr>
        <w:top w:val="none" w:sz="0" w:space="0" w:color="auto"/>
        <w:left w:val="none" w:sz="0" w:space="0" w:color="auto"/>
        <w:bottom w:val="none" w:sz="0" w:space="0" w:color="auto"/>
        <w:right w:val="none" w:sz="0" w:space="0" w:color="auto"/>
      </w:divBdr>
    </w:div>
    <w:div w:id="1721007827">
      <w:bodyDiv w:val="1"/>
      <w:marLeft w:val="0"/>
      <w:marRight w:val="0"/>
      <w:marTop w:val="0"/>
      <w:marBottom w:val="0"/>
      <w:divBdr>
        <w:top w:val="none" w:sz="0" w:space="0" w:color="auto"/>
        <w:left w:val="none" w:sz="0" w:space="0" w:color="auto"/>
        <w:bottom w:val="none" w:sz="0" w:space="0" w:color="auto"/>
        <w:right w:val="none" w:sz="0" w:space="0" w:color="auto"/>
      </w:divBdr>
    </w:div>
    <w:div w:id="1726372880">
      <w:bodyDiv w:val="1"/>
      <w:marLeft w:val="0"/>
      <w:marRight w:val="0"/>
      <w:marTop w:val="0"/>
      <w:marBottom w:val="0"/>
      <w:divBdr>
        <w:top w:val="none" w:sz="0" w:space="0" w:color="auto"/>
        <w:left w:val="none" w:sz="0" w:space="0" w:color="auto"/>
        <w:bottom w:val="none" w:sz="0" w:space="0" w:color="auto"/>
        <w:right w:val="none" w:sz="0" w:space="0" w:color="auto"/>
      </w:divBdr>
      <w:divsChild>
        <w:div w:id="719789998">
          <w:marLeft w:val="547"/>
          <w:marRight w:val="0"/>
          <w:marTop w:val="77"/>
          <w:marBottom w:val="0"/>
          <w:divBdr>
            <w:top w:val="none" w:sz="0" w:space="0" w:color="auto"/>
            <w:left w:val="none" w:sz="0" w:space="0" w:color="auto"/>
            <w:bottom w:val="none" w:sz="0" w:space="0" w:color="auto"/>
            <w:right w:val="none" w:sz="0" w:space="0" w:color="auto"/>
          </w:divBdr>
        </w:div>
      </w:divsChild>
    </w:div>
    <w:div w:id="1736657379">
      <w:bodyDiv w:val="1"/>
      <w:marLeft w:val="0"/>
      <w:marRight w:val="0"/>
      <w:marTop w:val="0"/>
      <w:marBottom w:val="0"/>
      <w:divBdr>
        <w:top w:val="none" w:sz="0" w:space="0" w:color="auto"/>
        <w:left w:val="none" w:sz="0" w:space="0" w:color="auto"/>
        <w:bottom w:val="none" w:sz="0" w:space="0" w:color="auto"/>
        <w:right w:val="none" w:sz="0" w:space="0" w:color="auto"/>
      </w:divBdr>
    </w:div>
    <w:div w:id="1738866954">
      <w:bodyDiv w:val="1"/>
      <w:marLeft w:val="0"/>
      <w:marRight w:val="0"/>
      <w:marTop w:val="0"/>
      <w:marBottom w:val="0"/>
      <w:divBdr>
        <w:top w:val="none" w:sz="0" w:space="0" w:color="auto"/>
        <w:left w:val="none" w:sz="0" w:space="0" w:color="auto"/>
        <w:bottom w:val="none" w:sz="0" w:space="0" w:color="auto"/>
        <w:right w:val="none" w:sz="0" w:space="0" w:color="auto"/>
      </w:divBdr>
    </w:div>
    <w:div w:id="1748261995">
      <w:bodyDiv w:val="1"/>
      <w:marLeft w:val="0"/>
      <w:marRight w:val="0"/>
      <w:marTop w:val="0"/>
      <w:marBottom w:val="0"/>
      <w:divBdr>
        <w:top w:val="none" w:sz="0" w:space="0" w:color="auto"/>
        <w:left w:val="none" w:sz="0" w:space="0" w:color="auto"/>
        <w:bottom w:val="none" w:sz="0" w:space="0" w:color="auto"/>
        <w:right w:val="none" w:sz="0" w:space="0" w:color="auto"/>
      </w:divBdr>
    </w:div>
    <w:div w:id="1749110858">
      <w:bodyDiv w:val="1"/>
      <w:marLeft w:val="0"/>
      <w:marRight w:val="0"/>
      <w:marTop w:val="0"/>
      <w:marBottom w:val="0"/>
      <w:divBdr>
        <w:top w:val="none" w:sz="0" w:space="0" w:color="auto"/>
        <w:left w:val="none" w:sz="0" w:space="0" w:color="auto"/>
        <w:bottom w:val="none" w:sz="0" w:space="0" w:color="auto"/>
        <w:right w:val="none" w:sz="0" w:space="0" w:color="auto"/>
      </w:divBdr>
    </w:div>
    <w:div w:id="1765608418">
      <w:bodyDiv w:val="1"/>
      <w:marLeft w:val="0"/>
      <w:marRight w:val="0"/>
      <w:marTop w:val="0"/>
      <w:marBottom w:val="0"/>
      <w:divBdr>
        <w:top w:val="none" w:sz="0" w:space="0" w:color="auto"/>
        <w:left w:val="none" w:sz="0" w:space="0" w:color="auto"/>
        <w:bottom w:val="none" w:sz="0" w:space="0" w:color="auto"/>
        <w:right w:val="none" w:sz="0" w:space="0" w:color="auto"/>
      </w:divBdr>
    </w:div>
    <w:div w:id="1776748413">
      <w:bodyDiv w:val="1"/>
      <w:marLeft w:val="0"/>
      <w:marRight w:val="0"/>
      <w:marTop w:val="0"/>
      <w:marBottom w:val="0"/>
      <w:divBdr>
        <w:top w:val="none" w:sz="0" w:space="0" w:color="auto"/>
        <w:left w:val="none" w:sz="0" w:space="0" w:color="auto"/>
        <w:bottom w:val="none" w:sz="0" w:space="0" w:color="auto"/>
        <w:right w:val="none" w:sz="0" w:space="0" w:color="auto"/>
      </w:divBdr>
    </w:div>
    <w:div w:id="1778987602">
      <w:bodyDiv w:val="1"/>
      <w:marLeft w:val="0"/>
      <w:marRight w:val="0"/>
      <w:marTop w:val="0"/>
      <w:marBottom w:val="0"/>
      <w:divBdr>
        <w:top w:val="none" w:sz="0" w:space="0" w:color="auto"/>
        <w:left w:val="none" w:sz="0" w:space="0" w:color="auto"/>
        <w:bottom w:val="none" w:sz="0" w:space="0" w:color="auto"/>
        <w:right w:val="none" w:sz="0" w:space="0" w:color="auto"/>
      </w:divBdr>
    </w:div>
    <w:div w:id="1781801208">
      <w:bodyDiv w:val="1"/>
      <w:marLeft w:val="0"/>
      <w:marRight w:val="0"/>
      <w:marTop w:val="0"/>
      <w:marBottom w:val="0"/>
      <w:divBdr>
        <w:top w:val="none" w:sz="0" w:space="0" w:color="auto"/>
        <w:left w:val="none" w:sz="0" w:space="0" w:color="auto"/>
        <w:bottom w:val="none" w:sz="0" w:space="0" w:color="auto"/>
        <w:right w:val="none" w:sz="0" w:space="0" w:color="auto"/>
      </w:divBdr>
      <w:divsChild>
        <w:div w:id="155539468">
          <w:marLeft w:val="547"/>
          <w:marRight w:val="0"/>
          <w:marTop w:val="96"/>
          <w:marBottom w:val="0"/>
          <w:divBdr>
            <w:top w:val="none" w:sz="0" w:space="0" w:color="auto"/>
            <w:left w:val="none" w:sz="0" w:space="0" w:color="auto"/>
            <w:bottom w:val="none" w:sz="0" w:space="0" w:color="auto"/>
            <w:right w:val="none" w:sz="0" w:space="0" w:color="auto"/>
          </w:divBdr>
        </w:div>
      </w:divsChild>
    </w:div>
    <w:div w:id="1813135345">
      <w:bodyDiv w:val="1"/>
      <w:marLeft w:val="0"/>
      <w:marRight w:val="0"/>
      <w:marTop w:val="0"/>
      <w:marBottom w:val="0"/>
      <w:divBdr>
        <w:top w:val="none" w:sz="0" w:space="0" w:color="auto"/>
        <w:left w:val="none" w:sz="0" w:space="0" w:color="auto"/>
        <w:bottom w:val="none" w:sz="0" w:space="0" w:color="auto"/>
        <w:right w:val="none" w:sz="0" w:space="0" w:color="auto"/>
      </w:divBdr>
    </w:div>
    <w:div w:id="1848246956">
      <w:bodyDiv w:val="1"/>
      <w:marLeft w:val="0"/>
      <w:marRight w:val="0"/>
      <w:marTop w:val="0"/>
      <w:marBottom w:val="0"/>
      <w:divBdr>
        <w:top w:val="none" w:sz="0" w:space="0" w:color="auto"/>
        <w:left w:val="none" w:sz="0" w:space="0" w:color="auto"/>
        <w:bottom w:val="none" w:sz="0" w:space="0" w:color="auto"/>
        <w:right w:val="none" w:sz="0" w:space="0" w:color="auto"/>
      </w:divBdr>
      <w:divsChild>
        <w:div w:id="267548305">
          <w:marLeft w:val="547"/>
          <w:marRight w:val="0"/>
          <w:marTop w:val="77"/>
          <w:marBottom w:val="0"/>
          <w:divBdr>
            <w:top w:val="none" w:sz="0" w:space="0" w:color="auto"/>
            <w:left w:val="none" w:sz="0" w:space="0" w:color="auto"/>
            <w:bottom w:val="none" w:sz="0" w:space="0" w:color="auto"/>
            <w:right w:val="none" w:sz="0" w:space="0" w:color="auto"/>
          </w:divBdr>
        </w:div>
        <w:div w:id="2020891623">
          <w:marLeft w:val="547"/>
          <w:marRight w:val="0"/>
          <w:marTop w:val="77"/>
          <w:marBottom w:val="0"/>
          <w:divBdr>
            <w:top w:val="none" w:sz="0" w:space="0" w:color="auto"/>
            <w:left w:val="none" w:sz="0" w:space="0" w:color="auto"/>
            <w:bottom w:val="none" w:sz="0" w:space="0" w:color="auto"/>
            <w:right w:val="none" w:sz="0" w:space="0" w:color="auto"/>
          </w:divBdr>
        </w:div>
        <w:div w:id="570965650">
          <w:marLeft w:val="547"/>
          <w:marRight w:val="0"/>
          <w:marTop w:val="77"/>
          <w:marBottom w:val="0"/>
          <w:divBdr>
            <w:top w:val="none" w:sz="0" w:space="0" w:color="auto"/>
            <w:left w:val="none" w:sz="0" w:space="0" w:color="auto"/>
            <w:bottom w:val="none" w:sz="0" w:space="0" w:color="auto"/>
            <w:right w:val="none" w:sz="0" w:space="0" w:color="auto"/>
          </w:divBdr>
        </w:div>
        <w:div w:id="233853139">
          <w:marLeft w:val="547"/>
          <w:marRight w:val="0"/>
          <w:marTop w:val="77"/>
          <w:marBottom w:val="0"/>
          <w:divBdr>
            <w:top w:val="none" w:sz="0" w:space="0" w:color="auto"/>
            <w:left w:val="none" w:sz="0" w:space="0" w:color="auto"/>
            <w:bottom w:val="none" w:sz="0" w:space="0" w:color="auto"/>
            <w:right w:val="none" w:sz="0" w:space="0" w:color="auto"/>
          </w:divBdr>
        </w:div>
        <w:div w:id="1286348818">
          <w:marLeft w:val="547"/>
          <w:marRight w:val="0"/>
          <w:marTop w:val="77"/>
          <w:marBottom w:val="0"/>
          <w:divBdr>
            <w:top w:val="none" w:sz="0" w:space="0" w:color="auto"/>
            <w:left w:val="none" w:sz="0" w:space="0" w:color="auto"/>
            <w:bottom w:val="none" w:sz="0" w:space="0" w:color="auto"/>
            <w:right w:val="none" w:sz="0" w:space="0" w:color="auto"/>
          </w:divBdr>
        </w:div>
      </w:divsChild>
    </w:div>
    <w:div w:id="1878663960">
      <w:bodyDiv w:val="1"/>
      <w:marLeft w:val="0"/>
      <w:marRight w:val="0"/>
      <w:marTop w:val="0"/>
      <w:marBottom w:val="0"/>
      <w:divBdr>
        <w:top w:val="none" w:sz="0" w:space="0" w:color="auto"/>
        <w:left w:val="none" w:sz="0" w:space="0" w:color="auto"/>
        <w:bottom w:val="none" w:sz="0" w:space="0" w:color="auto"/>
        <w:right w:val="none" w:sz="0" w:space="0" w:color="auto"/>
      </w:divBdr>
      <w:divsChild>
        <w:div w:id="721636786">
          <w:marLeft w:val="547"/>
          <w:marRight w:val="0"/>
          <w:marTop w:val="77"/>
          <w:marBottom w:val="0"/>
          <w:divBdr>
            <w:top w:val="none" w:sz="0" w:space="0" w:color="auto"/>
            <w:left w:val="none" w:sz="0" w:space="0" w:color="auto"/>
            <w:bottom w:val="none" w:sz="0" w:space="0" w:color="auto"/>
            <w:right w:val="none" w:sz="0" w:space="0" w:color="auto"/>
          </w:divBdr>
        </w:div>
        <w:div w:id="547761865">
          <w:marLeft w:val="547"/>
          <w:marRight w:val="0"/>
          <w:marTop w:val="77"/>
          <w:marBottom w:val="0"/>
          <w:divBdr>
            <w:top w:val="none" w:sz="0" w:space="0" w:color="auto"/>
            <w:left w:val="none" w:sz="0" w:space="0" w:color="auto"/>
            <w:bottom w:val="none" w:sz="0" w:space="0" w:color="auto"/>
            <w:right w:val="none" w:sz="0" w:space="0" w:color="auto"/>
          </w:divBdr>
        </w:div>
        <w:div w:id="1594128150">
          <w:marLeft w:val="547"/>
          <w:marRight w:val="0"/>
          <w:marTop w:val="77"/>
          <w:marBottom w:val="0"/>
          <w:divBdr>
            <w:top w:val="none" w:sz="0" w:space="0" w:color="auto"/>
            <w:left w:val="none" w:sz="0" w:space="0" w:color="auto"/>
            <w:bottom w:val="none" w:sz="0" w:space="0" w:color="auto"/>
            <w:right w:val="none" w:sz="0" w:space="0" w:color="auto"/>
          </w:divBdr>
        </w:div>
        <w:div w:id="1597253355">
          <w:marLeft w:val="547"/>
          <w:marRight w:val="0"/>
          <w:marTop w:val="77"/>
          <w:marBottom w:val="0"/>
          <w:divBdr>
            <w:top w:val="none" w:sz="0" w:space="0" w:color="auto"/>
            <w:left w:val="none" w:sz="0" w:space="0" w:color="auto"/>
            <w:bottom w:val="none" w:sz="0" w:space="0" w:color="auto"/>
            <w:right w:val="none" w:sz="0" w:space="0" w:color="auto"/>
          </w:divBdr>
        </w:div>
        <w:div w:id="252058168">
          <w:marLeft w:val="547"/>
          <w:marRight w:val="0"/>
          <w:marTop w:val="77"/>
          <w:marBottom w:val="0"/>
          <w:divBdr>
            <w:top w:val="none" w:sz="0" w:space="0" w:color="auto"/>
            <w:left w:val="none" w:sz="0" w:space="0" w:color="auto"/>
            <w:bottom w:val="none" w:sz="0" w:space="0" w:color="auto"/>
            <w:right w:val="none" w:sz="0" w:space="0" w:color="auto"/>
          </w:divBdr>
        </w:div>
      </w:divsChild>
    </w:div>
    <w:div w:id="1912500887">
      <w:bodyDiv w:val="1"/>
      <w:marLeft w:val="0"/>
      <w:marRight w:val="0"/>
      <w:marTop w:val="0"/>
      <w:marBottom w:val="0"/>
      <w:divBdr>
        <w:top w:val="none" w:sz="0" w:space="0" w:color="auto"/>
        <w:left w:val="none" w:sz="0" w:space="0" w:color="auto"/>
        <w:bottom w:val="none" w:sz="0" w:space="0" w:color="auto"/>
        <w:right w:val="none" w:sz="0" w:space="0" w:color="auto"/>
      </w:divBdr>
      <w:divsChild>
        <w:div w:id="1832941734">
          <w:marLeft w:val="547"/>
          <w:marRight w:val="0"/>
          <w:marTop w:val="77"/>
          <w:marBottom w:val="0"/>
          <w:divBdr>
            <w:top w:val="none" w:sz="0" w:space="0" w:color="auto"/>
            <w:left w:val="none" w:sz="0" w:space="0" w:color="auto"/>
            <w:bottom w:val="none" w:sz="0" w:space="0" w:color="auto"/>
            <w:right w:val="none" w:sz="0" w:space="0" w:color="auto"/>
          </w:divBdr>
        </w:div>
        <w:div w:id="620916717">
          <w:marLeft w:val="547"/>
          <w:marRight w:val="0"/>
          <w:marTop w:val="77"/>
          <w:marBottom w:val="0"/>
          <w:divBdr>
            <w:top w:val="none" w:sz="0" w:space="0" w:color="auto"/>
            <w:left w:val="none" w:sz="0" w:space="0" w:color="auto"/>
            <w:bottom w:val="none" w:sz="0" w:space="0" w:color="auto"/>
            <w:right w:val="none" w:sz="0" w:space="0" w:color="auto"/>
          </w:divBdr>
        </w:div>
        <w:div w:id="614600718">
          <w:marLeft w:val="547"/>
          <w:marRight w:val="0"/>
          <w:marTop w:val="77"/>
          <w:marBottom w:val="0"/>
          <w:divBdr>
            <w:top w:val="none" w:sz="0" w:space="0" w:color="auto"/>
            <w:left w:val="none" w:sz="0" w:space="0" w:color="auto"/>
            <w:bottom w:val="none" w:sz="0" w:space="0" w:color="auto"/>
            <w:right w:val="none" w:sz="0" w:space="0" w:color="auto"/>
          </w:divBdr>
        </w:div>
        <w:div w:id="1320965000">
          <w:marLeft w:val="547"/>
          <w:marRight w:val="0"/>
          <w:marTop w:val="77"/>
          <w:marBottom w:val="0"/>
          <w:divBdr>
            <w:top w:val="none" w:sz="0" w:space="0" w:color="auto"/>
            <w:left w:val="none" w:sz="0" w:space="0" w:color="auto"/>
            <w:bottom w:val="none" w:sz="0" w:space="0" w:color="auto"/>
            <w:right w:val="none" w:sz="0" w:space="0" w:color="auto"/>
          </w:divBdr>
        </w:div>
        <w:div w:id="1658879207">
          <w:marLeft w:val="547"/>
          <w:marRight w:val="0"/>
          <w:marTop w:val="77"/>
          <w:marBottom w:val="0"/>
          <w:divBdr>
            <w:top w:val="none" w:sz="0" w:space="0" w:color="auto"/>
            <w:left w:val="none" w:sz="0" w:space="0" w:color="auto"/>
            <w:bottom w:val="none" w:sz="0" w:space="0" w:color="auto"/>
            <w:right w:val="none" w:sz="0" w:space="0" w:color="auto"/>
          </w:divBdr>
        </w:div>
        <w:div w:id="1450783733">
          <w:marLeft w:val="547"/>
          <w:marRight w:val="0"/>
          <w:marTop w:val="77"/>
          <w:marBottom w:val="0"/>
          <w:divBdr>
            <w:top w:val="none" w:sz="0" w:space="0" w:color="auto"/>
            <w:left w:val="none" w:sz="0" w:space="0" w:color="auto"/>
            <w:bottom w:val="none" w:sz="0" w:space="0" w:color="auto"/>
            <w:right w:val="none" w:sz="0" w:space="0" w:color="auto"/>
          </w:divBdr>
        </w:div>
        <w:div w:id="2050763639">
          <w:marLeft w:val="547"/>
          <w:marRight w:val="0"/>
          <w:marTop w:val="77"/>
          <w:marBottom w:val="0"/>
          <w:divBdr>
            <w:top w:val="none" w:sz="0" w:space="0" w:color="auto"/>
            <w:left w:val="none" w:sz="0" w:space="0" w:color="auto"/>
            <w:bottom w:val="none" w:sz="0" w:space="0" w:color="auto"/>
            <w:right w:val="none" w:sz="0" w:space="0" w:color="auto"/>
          </w:divBdr>
        </w:div>
        <w:div w:id="734859784">
          <w:marLeft w:val="547"/>
          <w:marRight w:val="0"/>
          <w:marTop w:val="77"/>
          <w:marBottom w:val="0"/>
          <w:divBdr>
            <w:top w:val="none" w:sz="0" w:space="0" w:color="auto"/>
            <w:left w:val="none" w:sz="0" w:space="0" w:color="auto"/>
            <w:bottom w:val="none" w:sz="0" w:space="0" w:color="auto"/>
            <w:right w:val="none" w:sz="0" w:space="0" w:color="auto"/>
          </w:divBdr>
        </w:div>
        <w:div w:id="2035114867">
          <w:marLeft w:val="547"/>
          <w:marRight w:val="0"/>
          <w:marTop w:val="77"/>
          <w:marBottom w:val="0"/>
          <w:divBdr>
            <w:top w:val="none" w:sz="0" w:space="0" w:color="auto"/>
            <w:left w:val="none" w:sz="0" w:space="0" w:color="auto"/>
            <w:bottom w:val="none" w:sz="0" w:space="0" w:color="auto"/>
            <w:right w:val="none" w:sz="0" w:space="0" w:color="auto"/>
          </w:divBdr>
        </w:div>
        <w:div w:id="1930383358">
          <w:marLeft w:val="547"/>
          <w:marRight w:val="0"/>
          <w:marTop w:val="77"/>
          <w:marBottom w:val="0"/>
          <w:divBdr>
            <w:top w:val="none" w:sz="0" w:space="0" w:color="auto"/>
            <w:left w:val="none" w:sz="0" w:space="0" w:color="auto"/>
            <w:bottom w:val="none" w:sz="0" w:space="0" w:color="auto"/>
            <w:right w:val="none" w:sz="0" w:space="0" w:color="auto"/>
          </w:divBdr>
        </w:div>
        <w:div w:id="1581134333">
          <w:marLeft w:val="547"/>
          <w:marRight w:val="0"/>
          <w:marTop w:val="77"/>
          <w:marBottom w:val="0"/>
          <w:divBdr>
            <w:top w:val="none" w:sz="0" w:space="0" w:color="auto"/>
            <w:left w:val="none" w:sz="0" w:space="0" w:color="auto"/>
            <w:bottom w:val="none" w:sz="0" w:space="0" w:color="auto"/>
            <w:right w:val="none" w:sz="0" w:space="0" w:color="auto"/>
          </w:divBdr>
        </w:div>
        <w:div w:id="1106273944">
          <w:marLeft w:val="547"/>
          <w:marRight w:val="0"/>
          <w:marTop w:val="77"/>
          <w:marBottom w:val="0"/>
          <w:divBdr>
            <w:top w:val="none" w:sz="0" w:space="0" w:color="auto"/>
            <w:left w:val="none" w:sz="0" w:space="0" w:color="auto"/>
            <w:bottom w:val="none" w:sz="0" w:space="0" w:color="auto"/>
            <w:right w:val="none" w:sz="0" w:space="0" w:color="auto"/>
          </w:divBdr>
        </w:div>
        <w:div w:id="1946886270">
          <w:marLeft w:val="547"/>
          <w:marRight w:val="0"/>
          <w:marTop w:val="77"/>
          <w:marBottom w:val="0"/>
          <w:divBdr>
            <w:top w:val="none" w:sz="0" w:space="0" w:color="auto"/>
            <w:left w:val="none" w:sz="0" w:space="0" w:color="auto"/>
            <w:bottom w:val="none" w:sz="0" w:space="0" w:color="auto"/>
            <w:right w:val="none" w:sz="0" w:space="0" w:color="auto"/>
          </w:divBdr>
        </w:div>
        <w:div w:id="257450923">
          <w:marLeft w:val="547"/>
          <w:marRight w:val="0"/>
          <w:marTop w:val="77"/>
          <w:marBottom w:val="0"/>
          <w:divBdr>
            <w:top w:val="none" w:sz="0" w:space="0" w:color="auto"/>
            <w:left w:val="none" w:sz="0" w:space="0" w:color="auto"/>
            <w:bottom w:val="none" w:sz="0" w:space="0" w:color="auto"/>
            <w:right w:val="none" w:sz="0" w:space="0" w:color="auto"/>
          </w:divBdr>
        </w:div>
        <w:div w:id="344478954">
          <w:marLeft w:val="547"/>
          <w:marRight w:val="0"/>
          <w:marTop w:val="77"/>
          <w:marBottom w:val="0"/>
          <w:divBdr>
            <w:top w:val="none" w:sz="0" w:space="0" w:color="auto"/>
            <w:left w:val="none" w:sz="0" w:space="0" w:color="auto"/>
            <w:bottom w:val="none" w:sz="0" w:space="0" w:color="auto"/>
            <w:right w:val="none" w:sz="0" w:space="0" w:color="auto"/>
          </w:divBdr>
        </w:div>
        <w:div w:id="2125726359">
          <w:marLeft w:val="547"/>
          <w:marRight w:val="0"/>
          <w:marTop w:val="77"/>
          <w:marBottom w:val="0"/>
          <w:divBdr>
            <w:top w:val="none" w:sz="0" w:space="0" w:color="auto"/>
            <w:left w:val="none" w:sz="0" w:space="0" w:color="auto"/>
            <w:bottom w:val="none" w:sz="0" w:space="0" w:color="auto"/>
            <w:right w:val="none" w:sz="0" w:space="0" w:color="auto"/>
          </w:divBdr>
        </w:div>
        <w:div w:id="175310364">
          <w:marLeft w:val="547"/>
          <w:marRight w:val="0"/>
          <w:marTop w:val="77"/>
          <w:marBottom w:val="0"/>
          <w:divBdr>
            <w:top w:val="none" w:sz="0" w:space="0" w:color="auto"/>
            <w:left w:val="none" w:sz="0" w:space="0" w:color="auto"/>
            <w:bottom w:val="none" w:sz="0" w:space="0" w:color="auto"/>
            <w:right w:val="none" w:sz="0" w:space="0" w:color="auto"/>
          </w:divBdr>
        </w:div>
      </w:divsChild>
    </w:div>
    <w:div w:id="1915892815">
      <w:bodyDiv w:val="1"/>
      <w:marLeft w:val="0"/>
      <w:marRight w:val="0"/>
      <w:marTop w:val="0"/>
      <w:marBottom w:val="0"/>
      <w:divBdr>
        <w:top w:val="none" w:sz="0" w:space="0" w:color="auto"/>
        <w:left w:val="none" w:sz="0" w:space="0" w:color="auto"/>
        <w:bottom w:val="none" w:sz="0" w:space="0" w:color="auto"/>
        <w:right w:val="none" w:sz="0" w:space="0" w:color="auto"/>
      </w:divBdr>
    </w:div>
    <w:div w:id="1917011912">
      <w:bodyDiv w:val="1"/>
      <w:marLeft w:val="0"/>
      <w:marRight w:val="0"/>
      <w:marTop w:val="0"/>
      <w:marBottom w:val="0"/>
      <w:divBdr>
        <w:top w:val="none" w:sz="0" w:space="0" w:color="auto"/>
        <w:left w:val="none" w:sz="0" w:space="0" w:color="auto"/>
        <w:bottom w:val="none" w:sz="0" w:space="0" w:color="auto"/>
        <w:right w:val="none" w:sz="0" w:space="0" w:color="auto"/>
      </w:divBdr>
    </w:div>
    <w:div w:id="1924220815">
      <w:bodyDiv w:val="1"/>
      <w:marLeft w:val="0"/>
      <w:marRight w:val="0"/>
      <w:marTop w:val="0"/>
      <w:marBottom w:val="0"/>
      <w:divBdr>
        <w:top w:val="none" w:sz="0" w:space="0" w:color="auto"/>
        <w:left w:val="none" w:sz="0" w:space="0" w:color="auto"/>
        <w:bottom w:val="none" w:sz="0" w:space="0" w:color="auto"/>
        <w:right w:val="none" w:sz="0" w:space="0" w:color="auto"/>
      </w:divBdr>
    </w:div>
    <w:div w:id="1932547523">
      <w:bodyDiv w:val="1"/>
      <w:marLeft w:val="0"/>
      <w:marRight w:val="0"/>
      <w:marTop w:val="0"/>
      <w:marBottom w:val="0"/>
      <w:divBdr>
        <w:top w:val="none" w:sz="0" w:space="0" w:color="auto"/>
        <w:left w:val="none" w:sz="0" w:space="0" w:color="auto"/>
        <w:bottom w:val="none" w:sz="0" w:space="0" w:color="auto"/>
        <w:right w:val="none" w:sz="0" w:space="0" w:color="auto"/>
      </w:divBdr>
    </w:div>
    <w:div w:id="1936589608">
      <w:bodyDiv w:val="1"/>
      <w:marLeft w:val="0"/>
      <w:marRight w:val="0"/>
      <w:marTop w:val="0"/>
      <w:marBottom w:val="0"/>
      <w:divBdr>
        <w:top w:val="none" w:sz="0" w:space="0" w:color="auto"/>
        <w:left w:val="none" w:sz="0" w:space="0" w:color="auto"/>
        <w:bottom w:val="none" w:sz="0" w:space="0" w:color="auto"/>
        <w:right w:val="none" w:sz="0" w:space="0" w:color="auto"/>
      </w:divBdr>
      <w:divsChild>
        <w:div w:id="2107722401">
          <w:marLeft w:val="547"/>
          <w:marRight w:val="0"/>
          <w:marTop w:val="77"/>
          <w:marBottom w:val="0"/>
          <w:divBdr>
            <w:top w:val="none" w:sz="0" w:space="0" w:color="auto"/>
            <w:left w:val="none" w:sz="0" w:space="0" w:color="auto"/>
            <w:bottom w:val="none" w:sz="0" w:space="0" w:color="auto"/>
            <w:right w:val="none" w:sz="0" w:space="0" w:color="auto"/>
          </w:divBdr>
        </w:div>
        <w:div w:id="481508936">
          <w:marLeft w:val="547"/>
          <w:marRight w:val="0"/>
          <w:marTop w:val="77"/>
          <w:marBottom w:val="0"/>
          <w:divBdr>
            <w:top w:val="none" w:sz="0" w:space="0" w:color="auto"/>
            <w:left w:val="none" w:sz="0" w:space="0" w:color="auto"/>
            <w:bottom w:val="none" w:sz="0" w:space="0" w:color="auto"/>
            <w:right w:val="none" w:sz="0" w:space="0" w:color="auto"/>
          </w:divBdr>
        </w:div>
      </w:divsChild>
    </w:div>
    <w:div w:id="1941377295">
      <w:bodyDiv w:val="1"/>
      <w:marLeft w:val="0"/>
      <w:marRight w:val="0"/>
      <w:marTop w:val="0"/>
      <w:marBottom w:val="0"/>
      <w:divBdr>
        <w:top w:val="none" w:sz="0" w:space="0" w:color="auto"/>
        <w:left w:val="none" w:sz="0" w:space="0" w:color="auto"/>
        <w:bottom w:val="none" w:sz="0" w:space="0" w:color="auto"/>
        <w:right w:val="none" w:sz="0" w:space="0" w:color="auto"/>
      </w:divBdr>
    </w:div>
    <w:div w:id="1942567911">
      <w:bodyDiv w:val="1"/>
      <w:marLeft w:val="0"/>
      <w:marRight w:val="0"/>
      <w:marTop w:val="0"/>
      <w:marBottom w:val="0"/>
      <w:divBdr>
        <w:top w:val="none" w:sz="0" w:space="0" w:color="auto"/>
        <w:left w:val="none" w:sz="0" w:space="0" w:color="auto"/>
        <w:bottom w:val="none" w:sz="0" w:space="0" w:color="auto"/>
        <w:right w:val="none" w:sz="0" w:space="0" w:color="auto"/>
      </w:divBdr>
      <w:divsChild>
        <w:div w:id="1058670295">
          <w:marLeft w:val="835"/>
          <w:marRight w:val="0"/>
          <w:marTop w:val="77"/>
          <w:marBottom w:val="0"/>
          <w:divBdr>
            <w:top w:val="none" w:sz="0" w:space="0" w:color="auto"/>
            <w:left w:val="none" w:sz="0" w:space="0" w:color="auto"/>
            <w:bottom w:val="none" w:sz="0" w:space="0" w:color="auto"/>
            <w:right w:val="none" w:sz="0" w:space="0" w:color="auto"/>
          </w:divBdr>
        </w:div>
      </w:divsChild>
    </w:div>
    <w:div w:id="1943759494">
      <w:bodyDiv w:val="1"/>
      <w:marLeft w:val="0"/>
      <w:marRight w:val="0"/>
      <w:marTop w:val="0"/>
      <w:marBottom w:val="0"/>
      <w:divBdr>
        <w:top w:val="none" w:sz="0" w:space="0" w:color="auto"/>
        <w:left w:val="none" w:sz="0" w:space="0" w:color="auto"/>
        <w:bottom w:val="none" w:sz="0" w:space="0" w:color="auto"/>
        <w:right w:val="none" w:sz="0" w:space="0" w:color="auto"/>
      </w:divBdr>
    </w:div>
    <w:div w:id="1945534058">
      <w:bodyDiv w:val="1"/>
      <w:marLeft w:val="0"/>
      <w:marRight w:val="0"/>
      <w:marTop w:val="0"/>
      <w:marBottom w:val="0"/>
      <w:divBdr>
        <w:top w:val="none" w:sz="0" w:space="0" w:color="auto"/>
        <w:left w:val="none" w:sz="0" w:space="0" w:color="auto"/>
        <w:bottom w:val="none" w:sz="0" w:space="0" w:color="auto"/>
        <w:right w:val="none" w:sz="0" w:space="0" w:color="auto"/>
      </w:divBdr>
      <w:divsChild>
        <w:div w:id="1314872016">
          <w:marLeft w:val="547"/>
          <w:marRight w:val="0"/>
          <w:marTop w:val="115"/>
          <w:marBottom w:val="0"/>
          <w:divBdr>
            <w:top w:val="none" w:sz="0" w:space="0" w:color="auto"/>
            <w:left w:val="none" w:sz="0" w:space="0" w:color="auto"/>
            <w:bottom w:val="none" w:sz="0" w:space="0" w:color="auto"/>
            <w:right w:val="none" w:sz="0" w:space="0" w:color="auto"/>
          </w:divBdr>
        </w:div>
      </w:divsChild>
    </w:div>
    <w:div w:id="1946577785">
      <w:bodyDiv w:val="1"/>
      <w:marLeft w:val="0"/>
      <w:marRight w:val="0"/>
      <w:marTop w:val="0"/>
      <w:marBottom w:val="0"/>
      <w:divBdr>
        <w:top w:val="none" w:sz="0" w:space="0" w:color="auto"/>
        <w:left w:val="none" w:sz="0" w:space="0" w:color="auto"/>
        <w:bottom w:val="none" w:sz="0" w:space="0" w:color="auto"/>
        <w:right w:val="none" w:sz="0" w:space="0" w:color="auto"/>
      </w:divBdr>
    </w:div>
    <w:div w:id="1954827990">
      <w:bodyDiv w:val="1"/>
      <w:marLeft w:val="0"/>
      <w:marRight w:val="0"/>
      <w:marTop w:val="0"/>
      <w:marBottom w:val="0"/>
      <w:divBdr>
        <w:top w:val="none" w:sz="0" w:space="0" w:color="auto"/>
        <w:left w:val="none" w:sz="0" w:space="0" w:color="auto"/>
        <w:bottom w:val="none" w:sz="0" w:space="0" w:color="auto"/>
        <w:right w:val="none" w:sz="0" w:space="0" w:color="auto"/>
      </w:divBdr>
    </w:div>
    <w:div w:id="1959295183">
      <w:bodyDiv w:val="1"/>
      <w:marLeft w:val="0"/>
      <w:marRight w:val="0"/>
      <w:marTop w:val="0"/>
      <w:marBottom w:val="0"/>
      <w:divBdr>
        <w:top w:val="none" w:sz="0" w:space="0" w:color="auto"/>
        <w:left w:val="none" w:sz="0" w:space="0" w:color="auto"/>
        <w:bottom w:val="none" w:sz="0" w:space="0" w:color="auto"/>
        <w:right w:val="none" w:sz="0" w:space="0" w:color="auto"/>
      </w:divBdr>
      <w:divsChild>
        <w:div w:id="1889369198">
          <w:marLeft w:val="547"/>
          <w:marRight w:val="0"/>
          <w:marTop w:val="96"/>
          <w:marBottom w:val="0"/>
          <w:divBdr>
            <w:top w:val="none" w:sz="0" w:space="0" w:color="auto"/>
            <w:left w:val="none" w:sz="0" w:space="0" w:color="auto"/>
            <w:bottom w:val="none" w:sz="0" w:space="0" w:color="auto"/>
            <w:right w:val="none" w:sz="0" w:space="0" w:color="auto"/>
          </w:divBdr>
        </w:div>
        <w:div w:id="882594164">
          <w:marLeft w:val="547"/>
          <w:marRight w:val="0"/>
          <w:marTop w:val="96"/>
          <w:marBottom w:val="0"/>
          <w:divBdr>
            <w:top w:val="none" w:sz="0" w:space="0" w:color="auto"/>
            <w:left w:val="none" w:sz="0" w:space="0" w:color="auto"/>
            <w:bottom w:val="none" w:sz="0" w:space="0" w:color="auto"/>
            <w:right w:val="none" w:sz="0" w:space="0" w:color="auto"/>
          </w:divBdr>
        </w:div>
      </w:divsChild>
    </w:div>
    <w:div w:id="1977681728">
      <w:bodyDiv w:val="1"/>
      <w:marLeft w:val="0"/>
      <w:marRight w:val="0"/>
      <w:marTop w:val="0"/>
      <w:marBottom w:val="0"/>
      <w:divBdr>
        <w:top w:val="none" w:sz="0" w:space="0" w:color="auto"/>
        <w:left w:val="none" w:sz="0" w:space="0" w:color="auto"/>
        <w:bottom w:val="none" w:sz="0" w:space="0" w:color="auto"/>
        <w:right w:val="none" w:sz="0" w:space="0" w:color="auto"/>
      </w:divBdr>
    </w:div>
    <w:div w:id="1977832835">
      <w:bodyDiv w:val="1"/>
      <w:marLeft w:val="0"/>
      <w:marRight w:val="0"/>
      <w:marTop w:val="0"/>
      <w:marBottom w:val="0"/>
      <w:divBdr>
        <w:top w:val="none" w:sz="0" w:space="0" w:color="auto"/>
        <w:left w:val="none" w:sz="0" w:space="0" w:color="auto"/>
        <w:bottom w:val="none" w:sz="0" w:space="0" w:color="auto"/>
        <w:right w:val="none" w:sz="0" w:space="0" w:color="auto"/>
      </w:divBdr>
      <w:divsChild>
        <w:div w:id="2120486297">
          <w:marLeft w:val="547"/>
          <w:marRight w:val="0"/>
          <w:marTop w:val="77"/>
          <w:marBottom w:val="0"/>
          <w:divBdr>
            <w:top w:val="none" w:sz="0" w:space="0" w:color="auto"/>
            <w:left w:val="none" w:sz="0" w:space="0" w:color="auto"/>
            <w:bottom w:val="none" w:sz="0" w:space="0" w:color="auto"/>
            <w:right w:val="none" w:sz="0" w:space="0" w:color="auto"/>
          </w:divBdr>
        </w:div>
        <w:div w:id="935675692">
          <w:marLeft w:val="547"/>
          <w:marRight w:val="0"/>
          <w:marTop w:val="77"/>
          <w:marBottom w:val="0"/>
          <w:divBdr>
            <w:top w:val="none" w:sz="0" w:space="0" w:color="auto"/>
            <w:left w:val="none" w:sz="0" w:space="0" w:color="auto"/>
            <w:bottom w:val="none" w:sz="0" w:space="0" w:color="auto"/>
            <w:right w:val="none" w:sz="0" w:space="0" w:color="auto"/>
          </w:divBdr>
        </w:div>
      </w:divsChild>
    </w:div>
    <w:div w:id="1996375014">
      <w:bodyDiv w:val="1"/>
      <w:marLeft w:val="0"/>
      <w:marRight w:val="0"/>
      <w:marTop w:val="0"/>
      <w:marBottom w:val="0"/>
      <w:divBdr>
        <w:top w:val="none" w:sz="0" w:space="0" w:color="auto"/>
        <w:left w:val="none" w:sz="0" w:space="0" w:color="auto"/>
        <w:bottom w:val="none" w:sz="0" w:space="0" w:color="auto"/>
        <w:right w:val="none" w:sz="0" w:space="0" w:color="auto"/>
      </w:divBdr>
    </w:div>
    <w:div w:id="2011253031">
      <w:bodyDiv w:val="1"/>
      <w:marLeft w:val="0"/>
      <w:marRight w:val="0"/>
      <w:marTop w:val="0"/>
      <w:marBottom w:val="0"/>
      <w:divBdr>
        <w:top w:val="none" w:sz="0" w:space="0" w:color="auto"/>
        <w:left w:val="none" w:sz="0" w:space="0" w:color="auto"/>
        <w:bottom w:val="none" w:sz="0" w:space="0" w:color="auto"/>
        <w:right w:val="none" w:sz="0" w:space="0" w:color="auto"/>
      </w:divBdr>
    </w:div>
    <w:div w:id="2020042570">
      <w:bodyDiv w:val="1"/>
      <w:marLeft w:val="0"/>
      <w:marRight w:val="0"/>
      <w:marTop w:val="0"/>
      <w:marBottom w:val="0"/>
      <w:divBdr>
        <w:top w:val="none" w:sz="0" w:space="0" w:color="auto"/>
        <w:left w:val="none" w:sz="0" w:space="0" w:color="auto"/>
        <w:bottom w:val="none" w:sz="0" w:space="0" w:color="auto"/>
        <w:right w:val="none" w:sz="0" w:space="0" w:color="auto"/>
      </w:divBdr>
      <w:divsChild>
        <w:div w:id="99419166">
          <w:marLeft w:val="547"/>
          <w:marRight w:val="0"/>
          <w:marTop w:val="67"/>
          <w:marBottom w:val="0"/>
          <w:divBdr>
            <w:top w:val="none" w:sz="0" w:space="0" w:color="auto"/>
            <w:left w:val="none" w:sz="0" w:space="0" w:color="auto"/>
            <w:bottom w:val="none" w:sz="0" w:space="0" w:color="auto"/>
            <w:right w:val="none" w:sz="0" w:space="0" w:color="auto"/>
          </w:divBdr>
        </w:div>
      </w:divsChild>
    </w:div>
    <w:div w:id="2023579835">
      <w:bodyDiv w:val="1"/>
      <w:marLeft w:val="0"/>
      <w:marRight w:val="0"/>
      <w:marTop w:val="0"/>
      <w:marBottom w:val="0"/>
      <w:divBdr>
        <w:top w:val="none" w:sz="0" w:space="0" w:color="auto"/>
        <w:left w:val="none" w:sz="0" w:space="0" w:color="auto"/>
        <w:bottom w:val="none" w:sz="0" w:space="0" w:color="auto"/>
        <w:right w:val="none" w:sz="0" w:space="0" w:color="auto"/>
      </w:divBdr>
    </w:div>
    <w:div w:id="2040734987">
      <w:bodyDiv w:val="1"/>
      <w:marLeft w:val="0"/>
      <w:marRight w:val="0"/>
      <w:marTop w:val="0"/>
      <w:marBottom w:val="0"/>
      <w:divBdr>
        <w:top w:val="none" w:sz="0" w:space="0" w:color="auto"/>
        <w:left w:val="none" w:sz="0" w:space="0" w:color="auto"/>
        <w:bottom w:val="none" w:sz="0" w:space="0" w:color="auto"/>
        <w:right w:val="none" w:sz="0" w:space="0" w:color="auto"/>
      </w:divBdr>
    </w:div>
    <w:div w:id="2040818025">
      <w:bodyDiv w:val="1"/>
      <w:marLeft w:val="0"/>
      <w:marRight w:val="0"/>
      <w:marTop w:val="0"/>
      <w:marBottom w:val="0"/>
      <w:divBdr>
        <w:top w:val="none" w:sz="0" w:space="0" w:color="auto"/>
        <w:left w:val="none" w:sz="0" w:space="0" w:color="auto"/>
        <w:bottom w:val="none" w:sz="0" w:space="0" w:color="auto"/>
        <w:right w:val="none" w:sz="0" w:space="0" w:color="auto"/>
      </w:divBdr>
    </w:div>
    <w:div w:id="2048989295">
      <w:bodyDiv w:val="1"/>
      <w:marLeft w:val="0"/>
      <w:marRight w:val="0"/>
      <w:marTop w:val="0"/>
      <w:marBottom w:val="0"/>
      <w:divBdr>
        <w:top w:val="none" w:sz="0" w:space="0" w:color="auto"/>
        <w:left w:val="none" w:sz="0" w:space="0" w:color="auto"/>
        <w:bottom w:val="none" w:sz="0" w:space="0" w:color="auto"/>
        <w:right w:val="none" w:sz="0" w:space="0" w:color="auto"/>
      </w:divBdr>
    </w:div>
    <w:div w:id="2054768626">
      <w:bodyDiv w:val="1"/>
      <w:marLeft w:val="0"/>
      <w:marRight w:val="0"/>
      <w:marTop w:val="0"/>
      <w:marBottom w:val="0"/>
      <w:divBdr>
        <w:top w:val="none" w:sz="0" w:space="0" w:color="auto"/>
        <w:left w:val="none" w:sz="0" w:space="0" w:color="auto"/>
        <w:bottom w:val="none" w:sz="0" w:space="0" w:color="auto"/>
        <w:right w:val="none" w:sz="0" w:space="0" w:color="auto"/>
      </w:divBdr>
    </w:div>
    <w:div w:id="2072463130">
      <w:bodyDiv w:val="1"/>
      <w:marLeft w:val="0"/>
      <w:marRight w:val="0"/>
      <w:marTop w:val="0"/>
      <w:marBottom w:val="0"/>
      <w:divBdr>
        <w:top w:val="none" w:sz="0" w:space="0" w:color="auto"/>
        <w:left w:val="none" w:sz="0" w:space="0" w:color="auto"/>
        <w:bottom w:val="none" w:sz="0" w:space="0" w:color="auto"/>
        <w:right w:val="none" w:sz="0" w:space="0" w:color="auto"/>
      </w:divBdr>
    </w:div>
    <w:div w:id="2079399068">
      <w:bodyDiv w:val="1"/>
      <w:marLeft w:val="0"/>
      <w:marRight w:val="0"/>
      <w:marTop w:val="0"/>
      <w:marBottom w:val="0"/>
      <w:divBdr>
        <w:top w:val="none" w:sz="0" w:space="0" w:color="auto"/>
        <w:left w:val="none" w:sz="0" w:space="0" w:color="auto"/>
        <w:bottom w:val="none" w:sz="0" w:space="0" w:color="auto"/>
        <w:right w:val="none" w:sz="0" w:space="0" w:color="auto"/>
      </w:divBdr>
      <w:divsChild>
        <w:div w:id="1974601131">
          <w:marLeft w:val="965"/>
          <w:marRight w:val="0"/>
          <w:marTop w:val="86"/>
          <w:marBottom w:val="0"/>
          <w:divBdr>
            <w:top w:val="none" w:sz="0" w:space="0" w:color="auto"/>
            <w:left w:val="none" w:sz="0" w:space="0" w:color="auto"/>
            <w:bottom w:val="none" w:sz="0" w:space="0" w:color="auto"/>
            <w:right w:val="none" w:sz="0" w:space="0" w:color="auto"/>
          </w:divBdr>
        </w:div>
        <w:div w:id="503397104">
          <w:marLeft w:val="965"/>
          <w:marRight w:val="0"/>
          <w:marTop w:val="86"/>
          <w:marBottom w:val="0"/>
          <w:divBdr>
            <w:top w:val="none" w:sz="0" w:space="0" w:color="auto"/>
            <w:left w:val="none" w:sz="0" w:space="0" w:color="auto"/>
            <w:bottom w:val="none" w:sz="0" w:space="0" w:color="auto"/>
            <w:right w:val="none" w:sz="0" w:space="0" w:color="auto"/>
          </w:divBdr>
        </w:div>
        <w:div w:id="511342166">
          <w:marLeft w:val="965"/>
          <w:marRight w:val="0"/>
          <w:marTop w:val="86"/>
          <w:marBottom w:val="0"/>
          <w:divBdr>
            <w:top w:val="none" w:sz="0" w:space="0" w:color="auto"/>
            <w:left w:val="none" w:sz="0" w:space="0" w:color="auto"/>
            <w:bottom w:val="none" w:sz="0" w:space="0" w:color="auto"/>
            <w:right w:val="none" w:sz="0" w:space="0" w:color="auto"/>
          </w:divBdr>
        </w:div>
      </w:divsChild>
    </w:div>
    <w:div w:id="2089645466">
      <w:bodyDiv w:val="1"/>
      <w:marLeft w:val="0"/>
      <w:marRight w:val="0"/>
      <w:marTop w:val="0"/>
      <w:marBottom w:val="0"/>
      <w:divBdr>
        <w:top w:val="none" w:sz="0" w:space="0" w:color="auto"/>
        <w:left w:val="none" w:sz="0" w:space="0" w:color="auto"/>
        <w:bottom w:val="none" w:sz="0" w:space="0" w:color="auto"/>
        <w:right w:val="none" w:sz="0" w:space="0" w:color="auto"/>
      </w:divBdr>
    </w:div>
    <w:div w:id="2097626104">
      <w:bodyDiv w:val="1"/>
      <w:marLeft w:val="0"/>
      <w:marRight w:val="0"/>
      <w:marTop w:val="0"/>
      <w:marBottom w:val="0"/>
      <w:divBdr>
        <w:top w:val="none" w:sz="0" w:space="0" w:color="auto"/>
        <w:left w:val="none" w:sz="0" w:space="0" w:color="auto"/>
        <w:bottom w:val="none" w:sz="0" w:space="0" w:color="auto"/>
        <w:right w:val="none" w:sz="0" w:space="0" w:color="auto"/>
      </w:divBdr>
      <w:divsChild>
        <w:div w:id="1678339460">
          <w:marLeft w:val="547"/>
          <w:marRight w:val="0"/>
          <w:marTop w:val="86"/>
          <w:marBottom w:val="0"/>
          <w:divBdr>
            <w:top w:val="none" w:sz="0" w:space="0" w:color="auto"/>
            <w:left w:val="none" w:sz="0" w:space="0" w:color="auto"/>
            <w:bottom w:val="none" w:sz="0" w:space="0" w:color="auto"/>
            <w:right w:val="none" w:sz="0" w:space="0" w:color="auto"/>
          </w:divBdr>
        </w:div>
        <w:div w:id="224414659">
          <w:marLeft w:val="547"/>
          <w:marRight w:val="0"/>
          <w:marTop w:val="86"/>
          <w:marBottom w:val="0"/>
          <w:divBdr>
            <w:top w:val="none" w:sz="0" w:space="0" w:color="auto"/>
            <w:left w:val="none" w:sz="0" w:space="0" w:color="auto"/>
            <w:bottom w:val="none" w:sz="0" w:space="0" w:color="auto"/>
            <w:right w:val="none" w:sz="0" w:space="0" w:color="auto"/>
          </w:divBdr>
        </w:div>
        <w:div w:id="550654064">
          <w:marLeft w:val="547"/>
          <w:marRight w:val="0"/>
          <w:marTop w:val="86"/>
          <w:marBottom w:val="0"/>
          <w:divBdr>
            <w:top w:val="none" w:sz="0" w:space="0" w:color="auto"/>
            <w:left w:val="none" w:sz="0" w:space="0" w:color="auto"/>
            <w:bottom w:val="none" w:sz="0" w:space="0" w:color="auto"/>
            <w:right w:val="none" w:sz="0" w:space="0" w:color="auto"/>
          </w:divBdr>
        </w:div>
      </w:divsChild>
    </w:div>
    <w:div w:id="2120640622">
      <w:bodyDiv w:val="1"/>
      <w:marLeft w:val="0"/>
      <w:marRight w:val="0"/>
      <w:marTop w:val="0"/>
      <w:marBottom w:val="0"/>
      <w:divBdr>
        <w:top w:val="none" w:sz="0" w:space="0" w:color="auto"/>
        <w:left w:val="none" w:sz="0" w:space="0" w:color="auto"/>
        <w:bottom w:val="none" w:sz="0" w:space="0" w:color="auto"/>
        <w:right w:val="none" w:sz="0" w:space="0" w:color="auto"/>
      </w:divBdr>
      <w:divsChild>
        <w:div w:id="801457403">
          <w:marLeft w:val="547"/>
          <w:marRight w:val="0"/>
          <w:marTop w:val="67"/>
          <w:marBottom w:val="0"/>
          <w:divBdr>
            <w:top w:val="none" w:sz="0" w:space="0" w:color="auto"/>
            <w:left w:val="none" w:sz="0" w:space="0" w:color="auto"/>
            <w:bottom w:val="none" w:sz="0" w:space="0" w:color="auto"/>
            <w:right w:val="none" w:sz="0" w:space="0" w:color="auto"/>
          </w:divBdr>
        </w:div>
        <w:div w:id="1997225942">
          <w:marLeft w:val="547"/>
          <w:marRight w:val="0"/>
          <w:marTop w:val="67"/>
          <w:marBottom w:val="0"/>
          <w:divBdr>
            <w:top w:val="none" w:sz="0" w:space="0" w:color="auto"/>
            <w:left w:val="none" w:sz="0" w:space="0" w:color="auto"/>
            <w:bottom w:val="none" w:sz="0" w:space="0" w:color="auto"/>
            <w:right w:val="none" w:sz="0" w:space="0" w:color="auto"/>
          </w:divBdr>
        </w:div>
        <w:div w:id="1330675427">
          <w:marLeft w:val="547"/>
          <w:marRight w:val="0"/>
          <w:marTop w:val="67"/>
          <w:marBottom w:val="0"/>
          <w:divBdr>
            <w:top w:val="none" w:sz="0" w:space="0" w:color="auto"/>
            <w:left w:val="none" w:sz="0" w:space="0" w:color="auto"/>
            <w:bottom w:val="none" w:sz="0" w:space="0" w:color="auto"/>
            <w:right w:val="none" w:sz="0" w:space="0" w:color="auto"/>
          </w:divBdr>
        </w:div>
        <w:div w:id="1774322165">
          <w:marLeft w:val="547"/>
          <w:marRight w:val="0"/>
          <w:marTop w:val="67"/>
          <w:marBottom w:val="0"/>
          <w:divBdr>
            <w:top w:val="none" w:sz="0" w:space="0" w:color="auto"/>
            <w:left w:val="none" w:sz="0" w:space="0" w:color="auto"/>
            <w:bottom w:val="none" w:sz="0" w:space="0" w:color="auto"/>
            <w:right w:val="none" w:sz="0" w:space="0" w:color="auto"/>
          </w:divBdr>
        </w:div>
        <w:div w:id="1068770734">
          <w:marLeft w:val="547"/>
          <w:marRight w:val="0"/>
          <w:marTop w:val="67"/>
          <w:marBottom w:val="0"/>
          <w:divBdr>
            <w:top w:val="none" w:sz="0" w:space="0" w:color="auto"/>
            <w:left w:val="none" w:sz="0" w:space="0" w:color="auto"/>
            <w:bottom w:val="none" w:sz="0" w:space="0" w:color="auto"/>
            <w:right w:val="none" w:sz="0" w:space="0" w:color="auto"/>
          </w:divBdr>
        </w:div>
        <w:div w:id="1918636201">
          <w:marLeft w:val="547"/>
          <w:marRight w:val="0"/>
          <w:marTop w:val="67"/>
          <w:marBottom w:val="0"/>
          <w:divBdr>
            <w:top w:val="none" w:sz="0" w:space="0" w:color="auto"/>
            <w:left w:val="none" w:sz="0" w:space="0" w:color="auto"/>
            <w:bottom w:val="none" w:sz="0" w:space="0" w:color="auto"/>
            <w:right w:val="none" w:sz="0" w:space="0" w:color="auto"/>
          </w:divBdr>
        </w:div>
        <w:div w:id="309134465">
          <w:marLeft w:val="547"/>
          <w:marRight w:val="0"/>
          <w:marTop w:val="67"/>
          <w:marBottom w:val="0"/>
          <w:divBdr>
            <w:top w:val="none" w:sz="0" w:space="0" w:color="auto"/>
            <w:left w:val="none" w:sz="0" w:space="0" w:color="auto"/>
            <w:bottom w:val="none" w:sz="0" w:space="0" w:color="auto"/>
            <w:right w:val="none" w:sz="0" w:space="0" w:color="auto"/>
          </w:divBdr>
        </w:div>
        <w:div w:id="1731465784">
          <w:marLeft w:val="547"/>
          <w:marRight w:val="0"/>
          <w:marTop w:val="67"/>
          <w:marBottom w:val="0"/>
          <w:divBdr>
            <w:top w:val="none" w:sz="0" w:space="0" w:color="auto"/>
            <w:left w:val="none" w:sz="0" w:space="0" w:color="auto"/>
            <w:bottom w:val="none" w:sz="0" w:space="0" w:color="auto"/>
            <w:right w:val="none" w:sz="0" w:space="0" w:color="auto"/>
          </w:divBdr>
        </w:div>
      </w:divsChild>
    </w:div>
    <w:div w:id="2143572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99" Type="http://schemas.openxmlformats.org/officeDocument/2006/relationships/image" Target="media/image186.png"/><Relationship Id="rId303" Type="http://schemas.openxmlformats.org/officeDocument/2006/relationships/oleObject" Target="embeddings/oleObject83.bin"/><Relationship Id="rId21" Type="http://schemas.openxmlformats.org/officeDocument/2006/relationships/image" Target="media/image12.png"/><Relationship Id="rId42" Type="http://schemas.openxmlformats.org/officeDocument/2006/relationships/image" Target="media/image28.png"/><Relationship Id="rId63" Type="http://schemas.openxmlformats.org/officeDocument/2006/relationships/oleObject" Target="embeddings/oleObject10.bin"/><Relationship Id="rId84" Type="http://schemas.openxmlformats.org/officeDocument/2006/relationships/image" Target="media/image52.png"/><Relationship Id="rId138" Type="http://schemas.openxmlformats.org/officeDocument/2006/relationships/image" Target="media/image91.png"/><Relationship Id="rId159" Type="http://schemas.openxmlformats.org/officeDocument/2006/relationships/image" Target="media/image106.png"/><Relationship Id="rId324" Type="http://schemas.openxmlformats.org/officeDocument/2006/relationships/image" Target="media/image202.png"/><Relationship Id="rId170" Type="http://schemas.openxmlformats.org/officeDocument/2006/relationships/oleObject" Target="embeddings/oleObject35.bin"/><Relationship Id="rId191" Type="http://schemas.openxmlformats.org/officeDocument/2006/relationships/oleObject" Target="embeddings/oleObject42.bin"/><Relationship Id="rId205" Type="http://schemas.openxmlformats.org/officeDocument/2006/relationships/image" Target="media/image136.png"/><Relationship Id="rId226" Type="http://schemas.openxmlformats.org/officeDocument/2006/relationships/image" Target="media/image150.png"/><Relationship Id="rId247" Type="http://schemas.openxmlformats.org/officeDocument/2006/relationships/image" Target="media/image160.png"/><Relationship Id="rId107" Type="http://schemas.openxmlformats.org/officeDocument/2006/relationships/oleObject" Target="embeddings/oleObject17.bin"/><Relationship Id="rId268" Type="http://schemas.openxmlformats.org/officeDocument/2006/relationships/image" Target="media/image171.png"/><Relationship Id="rId289" Type="http://schemas.openxmlformats.org/officeDocument/2006/relationships/image" Target="media/image181.png"/><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oleObject" Target="embeddings/oleObject9.bin"/><Relationship Id="rId74" Type="http://schemas.openxmlformats.org/officeDocument/2006/relationships/image" Target="media/image44.jpeg"/><Relationship Id="rId128" Type="http://schemas.openxmlformats.org/officeDocument/2006/relationships/oleObject" Target="embeddings/oleObject23.bin"/><Relationship Id="rId149" Type="http://schemas.openxmlformats.org/officeDocument/2006/relationships/oleObject" Target="embeddings/oleObject29.bin"/><Relationship Id="rId314" Type="http://schemas.openxmlformats.org/officeDocument/2006/relationships/image" Target="media/image195.png"/><Relationship Id="rId335"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hyperlink" Target="http://www.mojedionice.com/trg/IzvPovijestCijena.aspx?sifSim=ADRS-R-A&amp;perDug=zad" TargetMode="External"/><Relationship Id="rId160" Type="http://schemas.openxmlformats.org/officeDocument/2006/relationships/image" Target="media/image107.png"/><Relationship Id="rId181" Type="http://schemas.openxmlformats.org/officeDocument/2006/relationships/oleObject" Target="embeddings/oleObject39.bin"/><Relationship Id="rId216" Type="http://schemas.openxmlformats.org/officeDocument/2006/relationships/oleObject" Target="embeddings/oleObject52.bin"/><Relationship Id="rId237" Type="http://schemas.openxmlformats.org/officeDocument/2006/relationships/image" Target="media/image155.png"/><Relationship Id="rId258" Type="http://schemas.openxmlformats.org/officeDocument/2006/relationships/image" Target="media/image166.png"/><Relationship Id="rId279" Type="http://schemas.openxmlformats.org/officeDocument/2006/relationships/oleObject" Target="embeddings/oleObject75.bin"/><Relationship Id="rId22" Type="http://schemas.openxmlformats.org/officeDocument/2006/relationships/image" Target="media/image13.png"/><Relationship Id="rId43" Type="http://schemas.openxmlformats.org/officeDocument/2006/relationships/image" Target="media/image29.png"/><Relationship Id="rId64" Type="http://schemas.openxmlformats.org/officeDocument/2006/relationships/chart" Target="charts/chart2.xml"/><Relationship Id="rId118" Type="http://schemas.openxmlformats.org/officeDocument/2006/relationships/image" Target="media/image75.png"/><Relationship Id="rId139" Type="http://schemas.openxmlformats.org/officeDocument/2006/relationships/oleObject" Target="embeddings/oleObject26.bin"/><Relationship Id="rId290" Type="http://schemas.openxmlformats.org/officeDocument/2006/relationships/oleObject" Target="embeddings/oleObject78.bin"/><Relationship Id="rId304" Type="http://schemas.openxmlformats.org/officeDocument/2006/relationships/image" Target="media/image190.png"/><Relationship Id="rId325" Type="http://schemas.openxmlformats.org/officeDocument/2006/relationships/oleObject" Target="embeddings/oleObject92.bin"/><Relationship Id="rId85" Type="http://schemas.openxmlformats.org/officeDocument/2006/relationships/image" Target="media/image53.png"/><Relationship Id="rId150" Type="http://schemas.openxmlformats.org/officeDocument/2006/relationships/image" Target="media/image99.png"/><Relationship Id="rId171" Type="http://schemas.openxmlformats.org/officeDocument/2006/relationships/image" Target="media/image114.png"/><Relationship Id="rId192" Type="http://schemas.openxmlformats.org/officeDocument/2006/relationships/image" Target="media/image128.png"/><Relationship Id="rId206" Type="http://schemas.openxmlformats.org/officeDocument/2006/relationships/oleObject" Target="embeddings/oleObject48.bin"/><Relationship Id="rId227" Type="http://schemas.openxmlformats.org/officeDocument/2006/relationships/oleObject" Target="embeddings/oleObject53.bin"/><Relationship Id="rId248" Type="http://schemas.openxmlformats.org/officeDocument/2006/relationships/oleObject" Target="embeddings/oleObject62.bin"/><Relationship Id="rId269" Type="http://schemas.openxmlformats.org/officeDocument/2006/relationships/oleObject" Target="embeddings/oleObject71.bin"/><Relationship Id="rId12" Type="http://schemas.openxmlformats.org/officeDocument/2006/relationships/image" Target="media/image4.png"/><Relationship Id="rId33" Type="http://schemas.openxmlformats.org/officeDocument/2006/relationships/oleObject" Target="embeddings/oleObject5.bin"/><Relationship Id="rId108" Type="http://schemas.openxmlformats.org/officeDocument/2006/relationships/image" Target="media/image69.wmf"/><Relationship Id="rId129" Type="http://schemas.openxmlformats.org/officeDocument/2006/relationships/image" Target="media/image84.png"/><Relationship Id="rId280" Type="http://schemas.openxmlformats.org/officeDocument/2006/relationships/image" Target="media/image177.png"/><Relationship Id="rId315" Type="http://schemas.openxmlformats.org/officeDocument/2006/relationships/oleObject" Target="embeddings/oleObject89.bin"/><Relationship Id="rId54" Type="http://schemas.openxmlformats.org/officeDocument/2006/relationships/diagramData" Target="diagrams/data1.xml"/><Relationship Id="rId75" Type="http://schemas.openxmlformats.org/officeDocument/2006/relationships/image" Target="media/image45.png"/><Relationship Id="rId96" Type="http://schemas.openxmlformats.org/officeDocument/2006/relationships/image" Target="media/image62.png"/><Relationship Id="rId140" Type="http://schemas.openxmlformats.org/officeDocument/2006/relationships/image" Target="media/image92.png"/><Relationship Id="rId161" Type="http://schemas.openxmlformats.org/officeDocument/2006/relationships/image" Target="media/image108.png"/><Relationship Id="rId182" Type="http://schemas.openxmlformats.org/officeDocument/2006/relationships/image" Target="media/image121.png"/><Relationship Id="rId217" Type="http://schemas.openxmlformats.org/officeDocument/2006/relationships/image" Target="media/image143.png"/><Relationship Id="rId6" Type="http://schemas.openxmlformats.org/officeDocument/2006/relationships/webSettings" Target="webSettings.xml"/><Relationship Id="rId238" Type="http://schemas.openxmlformats.org/officeDocument/2006/relationships/oleObject" Target="embeddings/oleObject57.bin"/><Relationship Id="rId259" Type="http://schemas.openxmlformats.org/officeDocument/2006/relationships/image" Target="media/image167.png"/><Relationship Id="rId23" Type="http://schemas.openxmlformats.org/officeDocument/2006/relationships/image" Target="media/image14.png"/><Relationship Id="rId119" Type="http://schemas.openxmlformats.org/officeDocument/2006/relationships/image" Target="media/image76.wmf"/><Relationship Id="rId270" Type="http://schemas.openxmlformats.org/officeDocument/2006/relationships/image" Target="media/image172.png"/><Relationship Id="rId291" Type="http://schemas.openxmlformats.org/officeDocument/2006/relationships/image" Target="media/image182.wmf"/><Relationship Id="rId305" Type="http://schemas.openxmlformats.org/officeDocument/2006/relationships/oleObject" Target="embeddings/oleObject84.bin"/><Relationship Id="rId326" Type="http://schemas.openxmlformats.org/officeDocument/2006/relationships/image" Target="media/image203.png"/><Relationship Id="rId44" Type="http://schemas.openxmlformats.org/officeDocument/2006/relationships/image" Target="media/image30.png"/><Relationship Id="rId65" Type="http://schemas.openxmlformats.org/officeDocument/2006/relationships/chart" Target="charts/chart3.xml"/><Relationship Id="rId86" Type="http://schemas.openxmlformats.org/officeDocument/2006/relationships/image" Target="media/image54.emf"/><Relationship Id="rId130" Type="http://schemas.openxmlformats.org/officeDocument/2006/relationships/image" Target="media/image85.png"/><Relationship Id="rId151" Type="http://schemas.openxmlformats.org/officeDocument/2006/relationships/image" Target="media/image100.png"/><Relationship Id="rId172" Type="http://schemas.openxmlformats.org/officeDocument/2006/relationships/image" Target="media/image115.png"/><Relationship Id="rId193" Type="http://schemas.openxmlformats.org/officeDocument/2006/relationships/oleObject" Target="embeddings/oleObject43.bin"/><Relationship Id="rId207" Type="http://schemas.openxmlformats.org/officeDocument/2006/relationships/image" Target="media/image137.png"/><Relationship Id="rId228" Type="http://schemas.openxmlformats.org/officeDocument/2006/relationships/image" Target="media/image151.png"/><Relationship Id="rId249" Type="http://schemas.openxmlformats.org/officeDocument/2006/relationships/image" Target="media/image161.png"/><Relationship Id="rId13" Type="http://schemas.openxmlformats.org/officeDocument/2006/relationships/image" Target="media/image5.png"/><Relationship Id="rId109" Type="http://schemas.openxmlformats.org/officeDocument/2006/relationships/oleObject" Target="embeddings/oleObject18.bin"/><Relationship Id="rId260" Type="http://schemas.openxmlformats.org/officeDocument/2006/relationships/oleObject" Target="embeddings/oleObject67.bin"/><Relationship Id="rId281" Type="http://schemas.openxmlformats.org/officeDocument/2006/relationships/oleObject" Target="embeddings/oleObject76.bin"/><Relationship Id="rId316" Type="http://schemas.openxmlformats.org/officeDocument/2006/relationships/image" Target="media/image196.png"/><Relationship Id="rId34" Type="http://schemas.openxmlformats.org/officeDocument/2006/relationships/image" Target="media/image20.png"/><Relationship Id="rId55" Type="http://schemas.openxmlformats.org/officeDocument/2006/relationships/diagramLayout" Target="diagrams/layout1.xml"/><Relationship Id="rId76" Type="http://schemas.openxmlformats.org/officeDocument/2006/relationships/image" Target="media/image46.png"/><Relationship Id="rId97" Type="http://schemas.openxmlformats.org/officeDocument/2006/relationships/hyperlink" Target="http://zse.hr/default.aspx?id=10006&amp;dionica=RHMF-O-187A" TargetMode="External"/><Relationship Id="rId120" Type="http://schemas.openxmlformats.org/officeDocument/2006/relationships/oleObject" Target="embeddings/oleObject22.bin"/><Relationship Id="rId141" Type="http://schemas.openxmlformats.org/officeDocument/2006/relationships/oleObject" Target="embeddings/oleObject27.bin"/><Relationship Id="rId7" Type="http://schemas.openxmlformats.org/officeDocument/2006/relationships/footnotes" Target="footnotes.xml"/><Relationship Id="rId162" Type="http://schemas.openxmlformats.org/officeDocument/2006/relationships/image" Target="media/image109.png"/><Relationship Id="rId183" Type="http://schemas.openxmlformats.org/officeDocument/2006/relationships/image" Target="media/image122.png"/><Relationship Id="rId218" Type="http://schemas.openxmlformats.org/officeDocument/2006/relationships/image" Target="media/image144.png"/><Relationship Id="rId239" Type="http://schemas.openxmlformats.org/officeDocument/2006/relationships/image" Target="media/image156.png"/><Relationship Id="rId250" Type="http://schemas.openxmlformats.org/officeDocument/2006/relationships/oleObject" Target="embeddings/oleObject63.bin"/><Relationship Id="rId271" Type="http://schemas.openxmlformats.org/officeDocument/2006/relationships/oleObject" Target="embeddings/oleObject72.bin"/><Relationship Id="rId292" Type="http://schemas.openxmlformats.org/officeDocument/2006/relationships/oleObject" Target="embeddings/oleObject79.bin"/><Relationship Id="rId306" Type="http://schemas.openxmlformats.org/officeDocument/2006/relationships/image" Target="media/image191.png"/><Relationship Id="rId24" Type="http://schemas.openxmlformats.org/officeDocument/2006/relationships/oleObject" Target="embeddings/oleObject1.bin"/><Relationship Id="rId45" Type="http://schemas.openxmlformats.org/officeDocument/2006/relationships/chart" Target="charts/chart1.xml"/><Relationship Id="rId66" Type="http://schemas.openxmlformats.org/officeDocument/2006/relationships/image" Target="media/image39.png"/><Relationship Id="rId87" Type="http://schemas.openxmlformats.org/officeDocument/2006/relationships/image" Target="media/image55.emf"/><Relationship Id="rId110" Type="http://schemas.openxmlformats.org/officeDocument/2006/relationships/image" Target="media/image70.wmf"/><Relationship Id="rId131" Type="http://schemas.openxmlformats.org/officeDocument/2006/relationships/image" Target="media/image86.png"/><Relationship Id="rId327" Type="http://schemas.openxmlformats.org/officeDocument/2006/relationships/image" Target="media/image204.png"/><Relationship Id="rId152" Type="http://schemas.openxmlformats.org/officeDocument/2006/relationships/image" Target="media/image101.png"/><Relationship Id="rId173" Type="http://schemas.openxmlformats.org/officeDocument/2006/relationships/image" Target="media/image116.png"/><Relationship Id="rId194" Type="http://schemas.openxmlformats.org/officeDocument/2006/relationships/image" Target="media/image129.png"/><Relationship Id="rId208" Type="http://schemas.openxmlformats.org/officeDocument/2006/relationships/image" Target="media/image138.png"/><Relationship Id="rId229" Type="http://schemas.openxmlformats.org/officeDocument/2006/relationships/oleObject" Target="embeddings/oleObject54.bin"/><Relationship Id="rId240" Type="http://schemas.openxmlformats.org/officeDocument/2006/relationships/oleObject" Target="embeddings/oleObject58.bin"/><Relationship Id="rId261" Type="http://schemas.openxmlformats.org/officeDocument/2006/relationships/image" Target="media/image168.png"/><Relationship Id="rId14" Type="http://schemas.openxmlformats.org/officeDocument/2006/relationships/image" Target="media/image6.emf"/><Relationship Id="rId35" Type="http://schemas.openxmlformats.org/officeDocument/2006/relationships/image" Target="media/image21.png"/><Relationship Id="rId56" Type="http://schemas.openxmlformats.org/officeDocument/2006/relationships/diagramQuickStyle" Target="diagrams/quickStyle1.xml"/><Relationship Id="rId77" Type="http://schemas.openxmlformats.org/officeDocument/2006/relationships/chart" Target="charts/chart4.xml"/><Relationship Id="rId100" Type="http://schemas.openxmlformats.org/officeDocument/2006/relationships/image" Target="media/image65.png"/><Relationship Id="rId282" Type="http://schemas.openxmlformats.org/officeDocument/2006/relationships/image" Target="media/image178.png"/><Relationship Id="rId317" Type="http://schemas.openxmlformats.org/officeDocument/2006/relationships/oleObject" Target="embeddings/oleObject90.bin"/><Relationship Id="rId8" Type="http://schemas.openxmlformats.org/officeDocument/2006/relationships/endnotes" Target="endnotes.xml"/><Relationship Id="rId51" Type="http://schemas.openxmlformats.org/officeDocument/2006/relationships/oleObject" Target="embeddings/oleObject8.bin"/><Relationship Id="rId72" Type="http://schemas.openxmlformats.org/officeDocument/2006/relationships/image" Target="media/image42.png"/><Relationship Id="rId93" Type="http://schemas.openxmlformats.org/officeDocument/2006/relationships/oleObject" Target="embeddings/oleObject14.bin"/><Relationship Id="rId98" Type="http://schemas.openxmlformats.org/officeDocument/2006/relationships/image" Target="media/image63.png"/><Relationship Id="rId121" Type="http://schemas.openxmlformats.org/officeDocument/2006/relationships/image" Target="media/image77.png"/><Relationship Id="rId142" Type="http://schemas.openxmlformats.org/officeDocument/2006/relationships/image" Target="media/image93.png"/><Relationship Id="rId163" Type="http://schemas.openxmlformats.org/officeDocument/2006/relationships/oleObject" Target="embeddings/oleObject32.bin"/><Relationship Id="rId184" Type="http://schemas.openxmlformats.org/officeDocument/2006/relationships/image" Target="media/image123.png"/><Relationship Id="rId189" Type="http://schemas.openxmlformats.org/officeDocument/2006/relationships/image" Target="media/image126.jpeg"/><Relationship Id="rId219" Type="http://schemas.openxmlformats.org/officeDocument/2006/relationships/image" Target="media/image145.png"/><Relationship Id="rId3" Type="http://schemas.openxmlformats.org/officeDocument/2006/relationships/styles" Target="styles.xml"/><Relationship Id="rId214" Type="http://schemas.openxmlformats.org/officeDocument/2006/relationships/oleObject" Target="embeddings/oleObject51.bin"/><Relationship Id="rId230" Type="http://schemas.openxmlformats.org/officeDocument/2006/relationships/image" Target="media/image152.png"/><Relationship Id="rId235" Type="http://schemas.openxmlformats.org/officeDocument/2006/relationships/chart" Target="charts/chart6.xml"/><Relationship Id="rId251" Type="http://schemas.openxmlformats.org/officeDocument/2006/relationships/image" Target="media/image162.png"/><Relationship Id="rId256" Type="http://schemas.openxmlformats.org/officeDocument/2006/relationships/oleObject" Target="embeddings/oleObject66.bin"/><Relationship Id="rId277" Type="http://schemas.openxmlformats.org/officeDocument/2006/relationships/oleObject" Target="embeddings/oleObject74.bin"/><Relationship Id="rId298" Type="http://schemas.openxmlformats.org/officeDocument/2006/relationships/oleObject" Target="embeddings/oleObject82.bin"/><Relationship Id="rId25" Type="http://schemas.openxmlformats.org/officeDocument/2006/relationships/image" Target="media/image15.png"/><Relationship Id="rId46" Type="http://schemas.openxmlformats.org/officeDocument/2006/relationships/image" Target="media/image31.png"/><Relationship Id="rId67" Type="http://schemas.openxmlformats.org/officeDocument/2006/relationships/oleObject" Target="embeddings/oleObject11.bin"/><Relationship Id="rId116" Type="http://schemas.openxmlformats.org/officeDocument/2006/relationships/image" Target="media/image73.png"/><Relationship Id="rId137" Type="http://schemas.openxmlformats.org/officeDocument/2006/relationships/oleObject" Target="embeddings/oleObject25.bin"/><Relationship Id="rId158" Type="http://schemas.openxmlformats.org/officeDocument/2006/relationships/image" Target="media/image105.png"/><Relationship Id="rId272" Type="http://schemas.openxmlformats.org/officeDocument/2006/relationships/chart" Target="charts/chart7.xml"/><Relationship Id="rId293" Type="http://schemas.openxmlformats.org/officeDocument/2006/relationships/image" Target="media/image183.wmf"/><Relationship Id="rId302" Type="http://schemas.openxmlformats.org/officeDocument/2006/relationships/image" Target="media/image189.png"/><Relationship Id="rId307" Type="http://schemas.openxmlformats.org/officeDocument/2006/relationships/oleObject" Target="embeddings/oleObject85.bin"/><Relationship Id="rId323" Type="http://schemas.openxmlformats.org/officeDocument/2006/relationships/image" Target="media/image201.png"/><Relationship Id="rId328" Type="http://schemas.openxmlformats.org/officeDocument/2006/relationships/image" Target="media/image205.pn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38.wmf"/><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oleObject" Target="embeddings/oleObject19.bin"/><Relationship Id="rId132" Type="http://schemas.openxmlformats.org/officeDocument/2006/relationships/image" Target="media/image87.png"/><Relationship Id="rId153" Type="http://schemas.openxmlformats.org/officeDocument/2006/relationships/image" Target="media/image102.png"/><Relationship Id="rId174" Type="http://schemas.openxmlformats.org/officeDocument/2006/relationships/oleObject" Target="embeddings/oleObject36.bin"/><Relationship Id="rId179" Type="http://schemas.openxmlformats.org/officeDocument/2006/relationships/oleObject" Target="embeddings/oleObject38.bin"/><Relationship Id="rId195" Type="http://schemas.openxmlformats.org/officeDocument/2006/relationships/image" Target="media/image130.png"/><Relationship Id="rId209" Type="http://schemas.openxmlformats.org/officeDocument/2006/relationships/image" Target="media/image139.png"/><Relationship Id="rId190" Type="http://schemas.openxmlformats.org/officeDocument/2006/relationships/image" Target="media/image127.png"/><Relationship Id="rId204" Type="http://schemas.openxmlformats.org/officeDocument/2006/relationships/oleObject" Target="embeddings/oleObject47.bin"/><Relationship Id="rId220" Type="http://schemas.openxmlformats.org/officeDocument/2006/relationships/image" Target="media/image146.png"/><Relationship Id="rId225" Type="http://schemas.openxmlformats.org/officeDocument/2006/relationships/image" Target="media/image149.png"/><Relationship Id="rId241" Type="http://schemas.openxmlformats.org/officeDocument/2006/relationships/image" Target="media/image157.png"/><Relationship Id="rId246" Type="http://schemas.openxmlformats.org/officeDocument/2006/relationships/oleObject" Target="embeddings/oleObject61.bin"/><Relationship Id="rId267" Type="http://schemas.openxmlformats.org/officeDocument/2006/relationships/oleObject" Target="embeddings/oleObject70.bin"/><Relationship Id="rId288" Type="http://schemas.openxmlformats.org/officeDocument/2006/relationships/hyperlink" Target="http://www.hnb.hr/rejting_rh/h-standard-and-poors.pdf" TargetMode="External"/><Relationship Id="rId15" Type="http://schemas.openxmlformats.org/officeDocument/2006/relationships/image" Target="media/image7.emf"/><Relationship Id="rId36" Type="http://schemas.openxmlformats.org/officeDocument/2006/relationships/image" Target="media/image22.png"/><Relationship Id="rId57" Type="http://schemas.openxmlformats.org/officeDocument/2006/relationships/diagramColors" Target="diagrams/colors1.xml"/><Relationship Id="rId106" Type="http://schemas.openxmlformats.org/officeDocument/2006/relationships/image" Target="media/image68.wmf"/><Relationship Id="rId127" Type="http://schemas.openxmlformats.org/officeDocument/2006/relationships/image" Target="media/image83.png"/><Relationship Id="rId262" Type="http://schemas.openxmlformats.org/officeDocument/2006/relationships/oleObject" Target="embeddings/oleObject68.bin"/><Relationship Id="rId283" Type="http://schemas.openxmlformats.org/officeDocument/2006/relationships/oleObject" Target="embeddings/oleObject77.bin"/><Relationship Id="rId313" Type="http://schemas.openxmlformats.org/officeDocument/2006/relationships/oleObject" Target="embeddings/oleObject88.bin"/><Relationship Id="rId318" Type="http://schemas.openxmlformats.org/officeDocument/2006/relationships/image" Target="media/image197.png"/><Relationship Id="rId10" Type="http://schemas.openxmlformats.org/officeDocument/2006/relationships/image" Target="media/image2.png"/><Relationship Id="rId31" Type="http://schemas.openxmlformats.org/officeDocument/2006/relationships/oleObject" Target="embeddings/oleObject4.bin"/><Relationship Id="rId52" Type="http://schemas.openxmlformats.org/officeDocument/2006/relationships/image" Target="media/image34.wmf"/><Relationship Id="rId73" Type="http://schemas.openxmlformats.org/officeDocument/2006/relationships/image" Target="media/image43.png"/><Relationship Id="rId78" Type="http://schemas.openxmlformats.org/officeDocument/2006/relationships/image" Target="media/image47.emf"/><Relationship Id="rId94" Type="http://schemas.openxmlformats.org/officeDocument/2006/relationships/image" Target="media/image61.png"/><Relationship Id="rId99" Type="http://schemas.openxmlformats.org/officeDocument/2006/relationships/image" Target="media/image64.emf"/><Relationship Id="rId101" Type="http://schemas.openxmlformats.org/officeDocument/2006/relationships/image" Target="media/image66.png"/><Relationship Id="rId122" Type="http://schemas.openxmlformats.org/officeDocument/2006/relationships/image" Target="media/image78.png"/><Relationship Id="rId143" Type="http://schemas.openxmlformats.org/officeDocument/2006/relationships/image" Target="media/image94.png"/><Relationship Id="rId148" Type="http://schemas.openxmlformats.org/officeDocument/2006/relationships/image" Target="media/image98.png"/><Relationship Id="rId164" Type="http://schemas.openxmlformats.org/officeDocument/2006/relationships/image" Target="media/image110.png"/><Relationship Id="rId169" Type="http://schemas.openxmlformats.org/officeDocument/2006/relationships/image" Target="media/image113.png"/><Relationship Id="rId185" Type="http://schemas.openxmlformats.org/officeDocument/2006/relationships/oleObject" Target="embeddings/oleObject40.bin"/><Relationship Id="rId33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0.png"/><Relationship Id="rId210" Type="http://schemas.openxmlformats.org/officeDocument/2006/relationships/oleObject" Target="embeddings/oleObject49.bin"/><Relationship Id="rId215" Type="http://schemas.openxmlformats.org/officeDocument/2006/relationships/image" Target="media/image142.png"/><Relationship Id="rId236" Type="http://schemas.openxmlformats.org/officeDocument/2006/relationships/hyperlink" Target="http://zse.hr/default.aspx?id=44101&amp;index=CROBEX" TargetMode="External"/><Relationship Id="rId257" Type="http://schemas.openxmlformats.org/officeDocument/2006/relationships/image" Target="media/image165.png"/><Relationship Id="rId278" Type="http://schemas.openxmlformats.org/officeDocument/2006/relationships/image" Target="media/image176.png"/><Relationship Id="rId26" Type="http://schemas.openxmlformats.org/officeDocument/2006/relationships/oleObject" Target="embeddings/oleObject2.bin"/><Relationship Id="rId231" Type="http://schemas.openxmlformats.org/officeDocument/2006/relationships/image" Target="media/image153.png"/><Relationship Id="rId252" Type="http://schemas.openxmlformats.org/officeDocument/2006/relationships/oleObject" Target="embeddings/oleObject64.bin"/><Relationship Id="rId273" Type="http://schemas.openxmlformats.org/officeDocument/2006/relationships/image" Target="media/image173.png"/><Relationship Id="rId294" Type="http://schemas.openxmlformats.org/officeDocument/2006/relationships/oleObject" Target="embeddings/oleObject80.bin"/><Relationship Id="rId308" Type="http://schemas.openxmlformats.org/officeDocument/2006/relationships/image" Target="media/image192.png"/><Relationship Id="rId329" Type="http://schemas.openxmlformats.org/officeDocument/2006/relationships/image" Target="media/image206.emf"/><Relationship Id="rId47" Type="http://schemas.openxmlformats.org/officeDocument/2006/relationships/oleObject" Target="embeddings/oleObject6.bin"/><Relationship Id="rId68" Type="http://schemas.openxmlformats.org/officeDocument/2006/relationships/image" Target="media/image40.png"/><Relationship Id="rId89" Type="http://schemas.openxmlformats.org/officeDocument/2006/relationships/image" Target="media/image57.png"/><Relationship Id="rId112" Type="http://schemas.openxmlformats.org/officeDocument/2006/relationships/image" Target="media/image71.wmf"/><Relationship Id="rId133" Type="http://schemas.openxmlformats.org/officeDocument/2006/relationships/image" Target="media/image88.jpeg"/><Relationship Id="rId154" Type="http://schemas.openxmlformats.org/officeDocument/2006/relationships/image" Target="media/image103.png"/><Relationship Id="rId175" Type="http://schemas.openxmlformats.org/officeDocument/2006/relationships/image" Target="media/image117.png"/><Relationship Id="rId196" Type="http://schemas.openxmlformats.org/officeDocument/2006/relationships/image" Target="media/image131.png"/><Relationship Id="rId200" Type="http://schemas.openxmlformats.org/officeDocument/2006/relationships/oleObject" Target="embeddings/oleObject45.bin"/><Relationship Id="rId16" Type="http://schemas.openxmlformats.org/officeDocument/2006/relationships/image" Target="media/image8.emf"/><Relationship Id="rId221" Type="http://schemas.openxmlformats.org/officeDocument/2006/relationships/hyperlink" Target="http://www.premija.net/osiguranje_imovine" TargetMode="External"/><Relationship Id="rId242" Type="http://schemas.openxmlformats.org/officeDocument/2006/relationships/oleObject" Target="embeddings/oleObject59.bin"/><Relationship Id="rId263" Type="http://schemas.openxmlformats.org/officeDocument/2006/relationships/image" Target="media/image169.png"/><Relationship Id="rId284" Type="http://schemas.openxmlformats.org/officeDocument/2006/relationships/image" Target="media/image179.jpeg"/><Relationship Id="rId319" Type="http://schemas.openxmlformats.org/officeDocument/2006/relationships/oleObject" Target="embeddings/oleObject91.bin"/><Relationship Id="rId37" Type="http://schemas.openxmlformats.org/officeDocument/2006/relationships/image" Target="media/image23.png"/><Relationship Id="rId58" Type="http://schemas.microsoft.com/office/2007/relationships/diagramDrawing" Target="diagrams/drawing1.xml"/><Relationship Id="rId79" Type="http://schemas.openxmlformats.org/officeDocument/2006/relationships/chart" Target="charts/chart5.xml"/><Relationship Id="rId102" Type="http://schemas.openxmlformats.org/officeDocument/2006/relationships/oleObject" Target="embeddings/oleObject15.bin"/><Relationship Id="rId123" Type="http://schemas.openxmlformats.org/officeDocument/2006/relationships/image" Target="media/image79.png"/><Relationship Id="rId144" Type="http://schemas.openxmlformats.org/officeDocument/2006/relationships/image" Target="media/image95.png"/><Relationship Id="rId330" Type="http://schemas.openxmlformats.org/officeDocument/2006/relationships/hyperlink" Target="http://www.mirovinsko.hr/default.aspx?ID=71" TargetMode="External"/><Relationship Id="rId90" Type="http://schemas.openxmlformats.org/officeDocument/2006/relationships/image" Target="media/image58.png"/><Relationship Id="rId165" Type="http://schemas.openxmlformats.org/officeDocument/2006/relationships/image" Target="media/image111.png"/><Relationship Id="rId186" Type="http://schemas.openxmlformats.org/officeDocument/2006/relationships/image" Target="media/image124.png"/><Relationship Id="rId211" Type="http://schemas.openxmlformats.org/officeDocument/2006/relationships/image" Target="media/image140.png"/><Relationship Id="rId232" Type="http://schemas.openxmlformats.org/officeDocument/2006/relationships/oleObject" Target="embeddings/oleObject55.bin"/><Relationship Id="rId253" Type="http://schemas.openxmlformats.org/officeDocument/2006/relationships/image" Target="media/image163.png"/><Relationship Id="rId274" Type="http://schemas.openxmlformats.org/officeDocument/2006/relationships/image" Target="media/image174.png"/><Relationship Id="rId295" Type="http://schemas.openxmlformats.org/officeDocument/2006/relationships/image" Target="media/image184.wmf"/><Relationship Id="rId309" Type="http://schemas.openxmlformats.org/officeDocument/2006/relationships/oleObject" Target="embeddings/oleObject86.bin"/><Relationship Id="rId27" Type="http://schemas.openxmlformats.org/officeDocument/2006/relationships/image" Target="media/image16.png"/><Relationship Id="rId48" Type="http://schemas.openxmlformats.org/officeDocument/2006/relationships/image" Target="media/image32.wmf"/><Relationship Id="rId69" Type="http://schemas.openxmlformats.org/officeDocument/2006/relationships/oleObject" Target="embeddings/oleObject12.bin"/><Relationship Id="rId113" Type="http://schemas.openxmlformats.org/officeDocument/2006/relationships/oleObject" Target="embeddings/oleObject20.bin"/><Relationship Id="rId134" Type="http://schemas.openxmlformats.org/officeDocument/2006/relationships/image" Target="media/image89.png"/><Relationship Id="rId320" Type="http://schemas.openxmlformats.org/officeDocument/2006/relationships/image" Target="media/image198.png"/><Relationship Id="rId80" Type="http://schemas.openxmlformats.org/officeDocument/2006/relationships/image" Target="media/image48.jpeg"/><Relationship Id="rId155" Type="http://schemas.openxmlformats.org/officeDocument/2006/relationships/oleObject" Target="embeddings/oleObject30.bin"/><Relationship Id="rId176" Type="http://schemas.openxmlformats.org/officeDocument/2006/relationships/image" Target="media/image118.jpeg"/><Relationship Id="rId197" Type="http://schemas.openxmlformats.org/officeDocument/2006/relationships/image" Target="media/image132.png"/><Relationship Id="rId201" Type="http://schemas.openxmlformats.org/officeDocument/2006/relationships/image" Target="media/image134.png"/><Relationship Id="rId222" Type="http://schemas.openxmlformats.org/officeDocument/2006/relationships/hyperlink" Target="http://www.premija.net/zivotno_osiguranje" TargetMode="External"/><Relationship Id="rId243" Type="http://schemas.openxmlformats.org/officeDocument/2006/relationships/image" Target="media/image158.png"/><Relationship Id="rId264" Type="http://schemas.openxmlformats.org/officeDocument/2006/relationships/oleObject" Target="embeddings/oleObject69.bin"/><Relationship Id="rId285" Type="http://schemas.openxmlformats.org/officeDocument/2006/relationships/image" Target="media/image180.png"/><Relationship Id="rId17" Type="http://schemas.openxmlformats.org/officeDocument/2006/relationships/image" Target="media/image9.png"/><Relationship Id="rId38" Type="http://schemas.openxmlformats.org/officeDocument/2006/relationships/image" Target="media/image24.png"/><Relationship Id="rId59" Type="http://schemas.openxmlformats.org/officeDocument/2006/relationships/image" Target="media/image35.jpeg"/><Relationship Id="rId103" Type="http://schemas.openxmlformats.org/officeDocument/2006/relationships/image" Target="media/image67.png"/><Relationship Id="rId124" Type="http://schemas.openxmlformats.org/officeDocument/2006/relationships/image" Target="media/image80.png"/><Relationship Id="rId310" Type="http://schemas.openxmlformats.org/officeDocument/2006/relationships/image" Target="media/image193.png"/><Relationship Id="rId70" Type="http://schemas.openxmlformats.org/officeDocument/2006/relationships/image" Target="media/image41.png"/><Relationship Id="rId91" Type="http://schemas.openxmlformats.org/officeDocument/2006/relationships/image" Target="media/image59.png"/><Relationship Id="rId145" Type="http://schemas.openxmlformats.org/officeDocument/2006/relationships/oleObject" Target="embeddings/oleObject28.bin"/><Relationship Id="rId166" Type="http://schemas.openxmlformats.org/officeDocument/2006/relationships/oleObject" Target="embeddings/oleObject33.bin"/><Relationship Id="rId187" Type="http://schemas.openxmlformats.org/officeDocument/2006/relationships/image" Target="media/image125.png"/><Relationship Id="rId331" Type="http://schemas.openxmlformats.org/officeDocument/2006/relationships/hyperlink" Target="http://www.amazon.com/Wellbeing-Essential-Elements-Tom-Rath/dp/1595620400/ref=sr_1_2?ie=UTF8&amp;s=books&amp;qid=1267465893&amp;sr=8-2" TargetMode="External"/><Relationship Id="rId1" Type="http://schemas.openxmlformats.org/officeDocument/2006/relationships/customXml" Target="../customXml/item1.xml"/><Relationship Id="rId212" Type="http://schemas.openxmlformats.org/officeDocument/2006/relationships/oleObject" Target="embeddings/oleObject50.bin"/><Relationship Id="rId233" Type="http://schemas.openxmlformats.org/officeDocument/2006/relationships/image" Target="media/image154.png"/><Relationship Id="rId254" Type="http://schemas.openxmlformats.org/officeDocument/2006/relationships/oleObject" Target="embeddings/oleObject65.bin"/><Relationship Id="rId28" Type="http://schemas.openxmlformats.org/officeDocument/2006/relationships/image" Target="media/image17.png"/><Relationship Id="rId49" Type="http://schemas.openxmlformats.org/officeDocument/2006/relationships/oleObject" Target="embeddings/oleObject7.bin"/><Relationship Id="rId114" Type="http://schemas.openxmlformats.org/officeDocument/2006/relationships/image" Target="media/image72.wmf"/><Relationship Id="rId275" Type="http://schemas.openxmlformats.org/officeDocument/2006/relationships/oleObject" Target="embeddings/oleObject73.bin"/><Relationship Id="rId296" Type="http://schemas.openxmlformats.org/officeDocument/2006/relationships/oleObject" Target="embeddings/oleObject81.bin"/><Relationship Id="rId300" Type="http://schemas.openxmlformats.org/officeDocument/2006/relationships/image" Target="media/image187.png"/><Relationship Id="rId60" Type="http://schemas.openxmlformats.org/officeDocument/2006/relationships/image" Target="media/image36.jpeg"/><Relationship Id="rId81" Type="http://schemas.openxmlformats.org/officeDocument/2006/relationships/image" Target="media/image49.emf"/><Relationship Id="rId135" Type="http://schemas.openxmlformats.org/officeDocument/2006/relationships/oleObject" Target="embeddings/oleObject24.bin"/><Relationship Id="rId156" Type="http://schemas.openxmlformats.org/officeDocument/2006/relationships/image" Target="media/image104.png"/><Relationship Id="rId177" Type="http://schemas.openxmlformats.org/officeDocument/2006/relationships/oleObject" Target="embeddings/oleObject37.bin"/><Relationship Id="rId198" Type="http://schemas.openxmlformats.org/officeDocument/2006/relationships/oleObject" Target="embeddings/oleObject44.bin"/><Relationship Id="rId321" Type="http://schemas.openxmlformats.org/officeDocument/2006/relationships/image" Target="media/image199.png"/><Relationship Id="rId202" Type="http://schemas.openxmlformats.org/officeDocument/2006/relationships/oleObject" Target="embeddings/oleObject46.bin"/><Relationship Id="rId223" Type="http://schemas.openxmlformats.org/officeDocument/2006/relationships/image" Target="media/image147.png"/><Relationship Id="rId244" Type="http://schemas.openxmlformats.org/officeDocument/2006/relationships/oleObject" Target="embeddings/oleObject60.bin"/><Relationship Id="rId18" Type="http://schemas.openxmlformats.org/officeDocument/2006/relationships/image" Target="media/image10.png"/><Relationship Id="rId39" Type="http://schemas.openxmlformats.org/officeDocument/2006/relationships/image" Target="media/image25.png"/><Relationship Id="rId265" Type="http://schemas.openxmlformats.org/officeDocument/2006/relationships/hyperlink" Target="http://www.mojedionice.com" TargetMode="External"/><Relationship Id="rId286" Type="http://schemas.openxmlformats.org/officeDocument/2006/relationships/hyperlink" Target="http://www.hnb.hr/rejting_rh/h-fitch-ratings.pdf" TargetMode="External"/><Relationship Id="rId50" Type="http://schemas.openxmlformats.org/officeDocument/2006/relationships/image" Target="media/image33.wmf"/><Relationship Id="rId104" Type="http://schemas.openxmlformats.org/officeDocument/2006/relationships/oleObject" Target="embeddings/oleObject16.bin"/><Relationship Id="rId125" Type="http://schemas.openxmlformats.org/officeDocument/2006/relationships/image" Target="media/image81.png"/><Relationship Id="rId146" Type="http://schemas.openxmlformats.org/officeDocument/2006/relationships/image" Target="media/image96.png"/><Relationship Id="rId167" Type="http://schemas.openxmlformats.org/officeDocument/2006/relationships/image" Target="media/image112.png"/><Relationship Id="rId188" Type="http://schemas.openxmlformats.org/officeDocument/2006/relationships/oleObject" Target="embeddings/oleObject41.bin"/><Relationship Id="rId311" Type="http://schemas.openxmlformats.org/officeDocument/2006/relationships/oleObject" Target="embeddings/oleObject87.bin"/><Relationship Id="rId332" Type="http://schemas.openxmlformats.org/officeDocument/2006/relationships/header" Target="header1.xml"/><Relationship Id="rId71" Type="http://schemas.openxmlformats.org/officeDocument/2006/relationships/oleObject" Target="embeddings/oleObject13.bin"/><Relationship Id="rId92" Type="http://schemas.openxmlformats.org/officeDocument/2006/relationships/image" Target="media/image60.png"/><Relationship Id="rId213" Type="http://schemas.openxmlformats.org/officeDocument/2006/relationships/image" Target="media/image141.png"/><Relationship Id="rId234" Type="http://schemas.openxmlformats.org/officeDocument/2006/relationships/oleObject" Target="embeddings/oleObject56.bin"/><Relationship Id="rId2" Type="http://schemas.openxmlformats.org/officeDocument/2006/relationships/numbering" Target="numbering.xml"/><Relationship Id="rId29" Type="http://schemas.openxmlformats.org/officeDocument/2006/relationships/oleObject" Target="embeddings/oleObject3.bin"/><Relationship Id="rId255" Type="http://schemas.openxmlformats.org/officeDocument/2006/relationships/image" Target="media/image164.png"/><Relationship Id="rId276" Type="http://schemas.openxmlformats.org/officeDocument/2006/relationships/image" Target="media/image175.png"/><Relationship Id="rId297" Type="http://schemas.openxmlformats.org/officeDocument/2006/relationships/image" Target="media/image185.wmf"/><Relationship Id="rId40" Type="http://schemas.openxmlformats.org/officeDocument/2006/relationships/image" Target="media/image26.png"/><Relationship Id="rId115" Type="http://schemas.openxmlformats.org/officeDocument/2006/relationships/oleObject" Target="embeddings/oleObject21.bin"/><Relationship Id="rId136" Type="http://schemas.openxmlformats.org/officeDocument/2006/relationships/image" Target="media/image90.png"/><Relationship Id="rId157" Type="http://schemas.openxmlformats.org/officeDocument/2006/relationships/oleObject" Target="embeddings/oleObject31.bin"/><Relationship Id="rId178" Type="http://schemas.openxmlformats.org/officeDocument/2006/relationships/image" Target="media/image119.png"/><Relationship Id="rId301" Type="http://schemas.openxmlformats.org/officeDocument/2006/relationships/image" Target="media/image188.png"/><Relationship Id="rId322" Type="http://schemas.openxmlformats.org/officeDocument/2006/relationships/image" Target="media/image200.png"/><Relationship Id="rId61" Type="http://schemas.openxmlformats.org/officeDocument/2006/relationships/image" Target="media/image37.png"/><Relationship Id="rId82" Type="http://schemas.openxmlformats.org/officeDocument/2006/relationships/image" Target="media/image50.emf"/><Relationship Id="rId199" Type="http://schemas.openxmlformats.org/officeDocument/2006/relationships/image" Target="media/image133.png"/><Relationship Id="rId203" Type="http://schemas.openxmlformats.org/officeDocument/2006/relationships/image" Target="media/image135.png"/><Relationship Id="rId19" Type="http://schemas.openxmlformats.org/officeDocument/2006/relationships/hyperlink" Target="http://www.dzs.hr/Hrv_Eng/publication/2012/SI-1484.pdf" TargetMode="External"/><Relationship Id="rId224" Type="http://schemas.openxmlformats.org/officeDocument/2006/relationships/image" Target="media/image148.png"/><Relationship Id="rId245" Type="http://schemas.openxmlformats.org/officeDocument/2006/relationships/image" Target="media/image159.png"/><Relationship Id="rId266" Type="http://schemas.openxmlformats.org/officeDocument/2006/relationships/image" Target="media/image170.png"/><Relationship Id="rId287" Type="http://schemas.openxmlformats.org/officeDocument/2006/relationships/hyperlink" Target="http://www.hnb.hr/rejting_rh/h-moodys.pdf" TargetMode="External"/><Relationship Id="rId30" Type="http://schemas.openxmlformats.org/officeDocument/2006/relationships/image" Target="media/image18.png"/><Relationship Id="rId105" Type="http://schemas.openxmlformats.org/officeDocument/2006/relationships/hyperlink" Target="http://www.dab.hr/o-nama/zakonska-regulativa" TargetMode="External"/><Relationship Id="rId126" Type="http://schemas.openxmlformats.org/officeDocument/2006/relationships/image" Target="media/image82.png"/><Relationship Id="rId147" Type="http://schemas.openxmlformats.org/officeDocument/2006/relationships/image" Target="media/image97.png"/><Relationship Id="rId168" Type="http://schemas.openxmlformats.org/officeDocument/2006/relationships/oleObject" Target="embeddings/oleObject34.bin"/><Relationship Id="rId312" Type="http://schemas.openxmlformats.org/officeDocument/2006/relationships/image" Target="media/image194.png"/><Relationship Id="rId333"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www.amazon.com/Wellbeing-Essential-Elements-Tom-Rath/dp/1595620400/ref=sr_1_2?ie=UTF8&amp;s=books&amp;qid=1267465893&amp;sr=8-2"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mivanov\Downloads\zse_export_export%20(2).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1"/>
          <c:tx>
            <c:strRef>
              <c:f>List1!$C$18</c:f>
              <c:strCache>
                <c:ptCount val="1"/>
                <c:pt idx="0">
                  <c:v>Realna stopa rasta u % (desna skala)</c:v>
                </c:pt>
              </c:strCache>
            </c:strRef>
          </c:tx>
          <c:invertIfNegative val="0"/>
          <c:cat>
            <c:strRef>
              <c:f>List1!$A$19:$A$34</c:f>
              <c:strCach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strCache>
            </c:strRef>
          </c:cat>
          <c:val>
            <c:numRef>
              <c:f>List1!$C$19:$C$34</c:f>
              <c:numCache>
                <c:formatCode>#,##0.0</c:formatCode>
                <c:ptCount val="16"/>
                <c:pt idx="0">
                  <c:v>-1.7883905969411273</c:v>
                </c:pt>
                <c:pt idx="1">
                  <c:v>5.0402077933052709</c:v>
                </c:pt>
                <c:pt idx="2">
                  <c:v>4.3259240249534798</c:v>
                </c:pt>
                <c:pt idx="3">
                  <c:v>1.8550133752237628</c:v>
                </c:pt>
                <c:pt idx="4">
                  <c:v>4.7390287980401524</c:v>
                </c:pt>
                <c:pt idx="5">
                  <c:v>2.6620941567253595</c:v>
                </c:pt>
                <c:pt idx="6">
                  <c:v>3.1758886226256067</c:v>
                </c:pt>
                <c:pt idx="7">
                  <c:v>1.6759139926644906</c:v>
                </c:pt>
                <c:pt idx="8">
                  <c:v>2.6495175975697549</c:v>
                </c:pt>
                <c:pt idx="9">
                  <c:v>-1.1969034438912303</c:v>
                </c:pt>
                <c:pt idx="10">
                  <c:v>0.19263428263091953</c:v>
                </c:pt>
                <c:pt idx="11">
                  <c:v>-2.3150895382177623</c:v>
                </c:pt>
                <c:pt idx="12">
                  <c:v>-4.0166959525512738</c:v>
                </c:pt>
                <c:pt idx="13">
                  <c:v>-1.8311903523083686</c:v>
                </c:pt>
                <c:pt idx="14">
                  <c:v>-0.11295953295096695</c:v>
                </c:pt>
                <c:pt idx="15">
                  <c:v>1.9988419152510772</c:v>
                </c:pt>
              </c:numCache>
            </c:numRef>
          </c:val>
        </c:ser>
        <c:dLbls>
          <c:showLegendKey val="0"/>
          <c:showVal val="0"/>
          <c:showCatName val="0"/>
          <c:showSerName val="0"/>
          <c:showPercent val="0"/>
          <c:showBubbleSize val="0"/>
        </c:dLbls>
        <c:gapWidth val="150"/>
        <c:axId val="612076928"/>
        <c:axId val="612075392"/>
      </c:barChart>
      <c:lineChart>
        <c:grouping val="standard"/>
        <c:varyColors val="0"/>
        <c:ser>
          <c:idx val="0"/>
          <c:order val="0"/>
          <c:tx>
            <c:strRef>
              <c:f>List1!$B$18</c:f>
              <c:strCache>
                <c:ptCount val="1"/>
                <c:pt idx="0">
                  <c:v>Nominalna neto plaća u EUR (lijeva skala)</c:v>
                </c:pt>
              </c:strCache>
            </c:strRef>
          </c:tx>
          <c:marker>
            <c:symbol val="none"/>
          </c:marker>
          <c:cat>
            <c:strRef>
              <c:f>List1!$A$19:$A$34</c:f>
              <c:strCach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strCache>
            </c:strRef>
          </c:cat>
          <c:val>
            <c:numRef>
              <c:f>List1!$B$19:$B$34</c:f>
              <c:numCache>
                <c:formatCode>0.0</c:formatCode>
                <c:ptCount val="16"/>
                <c:pt idx="0">
                  <c:v>435.48351037807208</c:v>
                </c:pt>
                <c:pt idx="1">
                  <c:v>473.96562122959074</c:v>
                </c:pt>
                <c:pt idx="2">
                  <c:v>502.07174065817594</c:v>
                </c:pt>
                <c:pt idx="3">
                  <c:v>520.71710675447628</c:v>
                </c:pt>
                <c:pt idx="4">
                  <c:v>556.55390838456287</c:v>
                </c:pt>
                <c:pt idx="5">
                  <c:v>591.23498359762675</c:v>
                </c:pt>
                <c:pt idx="6">
                  <c:v>628.39840978103837</c:v>
                </c:pt>
                <c:pt idx="7">
                  <c:v>659.71294058353271</c:v>
                </c:pt>
                <c:pt idx="8">
                  <c:v>716.69746105292336</c:v>
                </c:pt>
                <c:pt idx="9">
                  <c:v>723.61345117155622</c:v>
                </c:pt>
                <c:pt idx="10">
                  <c:v>733.14091558094287</c:v>
                </c:pt>
                <c:pt idx="11">
                  <c:v>731.83132092330709</c:v>
                </c:pt>
                <c:pt idx="12">
                  <c:v>728.40481695209564</c:v>
                </c:pt>
                <c:pt idx="13">
                  <c:v>728.17038108602901</c:v>
                </c:pt>
                <c:pt idx="14">
                  <c:v>725.22802710453743</c:v>
                </c:pt>
                <c:pt idx="15">
                  <c:v>735.49666353704367</c:v>
                </c:pt>
              </c:numCache>
            </c:numRef>
          </c:val>
          <c:smooth val="0"/>
        </c:ser>
        <c:dLbls>
          <c:showLegendKey val="0"/>
          <c:showVal val="0"/>
          <c:showCatName val="0"/>
          <c:showSerName val="0"/>
          <c:showPercent val="0"/>
          <c:showBubbleSize val="0"/>
        </c:dLbls>
        <c:marker val="1"/>
        <c:smooth val="0"/>
        <c:axId val="612072064"/>
        <c:axId val="612073856"/>
      </c:lineChart>
      <c:catAx>
        <c:axId val="612072064"/>
        <c:scaling>
          <c:orientation val="minMax"/>
        </c:scaling>
        <c:delete val="0"/>
        <c:axPos val="b"/>
        <c:majorTickMark val="out"/>
        <c:minorTickMark val="none"/>
        <c:tickLblPos val="nextTo"/>
        <c:crossAx val="612073856"/>
        <c:crosses val="autoZero"/>
        <c:auto val="1"/>
        <c:lblAlgn val="ctr"/>
        <c:lblOffset val="100"/>
        <c:noMultiLvlLbl val="0"/>
      </c:catAx>
      <c:valAx>
        <c:axId val="612073856"/>
        <c:scaling>
          <c:orientation val="minMax"/>
        </c:scaling>
        <c:delete val="0"/>
        <c:axPos val="l"/>
        <c:majorGridlines/>
        <c:numFmt formatCode="0.0" sourceLinked="1"/>
        <c:majorTickMark val="out"/>
        <c:minorTickMark val="none"/>
        <c:tickLblPos val="nextTo"/>
        <c:crossAx val="612072064"/>
        <c:crosses val="autoZero"/>
        <c:crossBetween val="between"/>
      </c:valAx>
      <c:valAx>
        <c:axId val="612075392"/>
        <c:scaling>
          <c:orientation val="minMax"/>
        </c:scaling>
        <c:delete val="0"/>
        <c:axPos val="r"/>
        <c:numFmt formatCode="#,##0.0" sourceLinked="1"/>
        <c:majorTickMark val="out"/>
        <c:minorTickMark val="none"/>
        <c:tickLblPos val="nextTo"/>
        <c:crossAx val="612076928"/>
        <c:crosses val="max"/>
        <c:crossBetween val="between"/>
      </c:valAx>
      <c:catAx>
        <c:axId val="612076928"/>
        <c:scaling>
          <c:orientation val="minMax"/>
        </c:scaling>
        <c:delete val="1"/>
        <c:axPos val="b"/>
        <c:majorTickMark val="out"/>
        <c:minorTickMark val="none"/>
        <c:tickLblPos val="nextTo"/>
        <c:crossAx val="612075392"/>
        <c:crosses val="autoZero"/>
        <c:auto val="1"/>
        <c:lblAlgn val="ctr"/>
        <c:lblOffset val="100"/>
        <c:noMultiLvlLbl val="0"/>
      </c:cat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howLegendKey val="0"/>
            <c:showVal val="0"/>
            <c:showCatName val="1"/>
            <c:showSerName val="0"/>
            <c:showPercent val="1"/>
            <c:showBubbleSize val="0"/>
            <c:showLeaderLines val="1"/>
          </c:dLbls>
          <c:cat>
            <c:strRef>
              <c:f>List1!$F$2:$F$10</c:f>
              <c:strCache>
                <c:ptCount val="9"/>
                <c:pt idx="0">
                  <c:v>Dionički investicijski fond</c:v>
                </c:pt>
                <c:pt idx="1">
                  <c:v>Novčani investicijski fond</c:v>
                </c:pt>
                <c:pt idx="2">
                  <c:v>Dobrovoljni mirovinski fond</c:v>
                </c:pt>
                <c:pt idx="3">
                  <c:v>Otkupna vrijednost police mješovitog životnog osiguranja</c:v>
                </c:pt>
                <c:pt idx="4">
                  <c:v>Stambena štednja</c:v>
                </c:pt>
                <c:pt idx="5">
                  <c:v>Oročeni depoziti </c:v>
                </c:pt>
                <c:pt idx="6">
                  <c:v>Devizni transakcijski račun</c:v>
                </c:pt>
                <c:pt idx="7">
                  <c:v>Tekući račun </c:v>
                </c:pt>
                <c:pt idx="8">
                  <c:v>Gotovina </c:v>
                </c:pt>
              </c:strCache>
            </c:strRef>
          </c:cat>
          <c:val>
            <c:numRef>
              <c:f>List1!$G$2:$G$10</c:f>
              <c:numCache>
                <c:formatCode>#,##0</c:formatCode>
                <c:ptCount val="9"/>
                <c:pt idx="0">
                  <c:v>6000</c:v>
                </c:pt>
                <c:pt idx="1">
                  <c:v>10000</c:v>
                </c:pt>
                <c:pt idx="2">
                  <c:v>11000</c:v>
                </c:pt>
                <c:pt idx="3">
                  <c:v>25000</c:v>
                </c:pt>
                <c:pt idx="4">
                  <c:v>11000</c:v>
                </c:pt>
                <c:pt idx="5">
                  <c:v>15000</c:v>
                </c:pt>
                <c:pt idx="6">
                  <c:v>9000</c:v>
                </c:pt>
                <c:pt idx="7">
                  <c:v>12000</c:v>
                </c:pt>
                <c:pt idx="8">
                  <c:v>1000</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560892388451689"/>
          <c:y val="0.10776740870354169"/>
          <c:w val="0.54519240864122753"/>
          <c:h val="0.87500016201678565"/>
        </c:manualLayout>
      </c:layout>
      <c:pieChart>
        <c:varyColors val="1"/>
        <c:ser>
          <c:idx val="0"/>
          <c:order val="0"/>
          <c:explosion val="36"/>
          <c:dLbls>
            <c:showLegendKey val="0"/>
            <c:showVal val="0"/>
            <c:showCatName val="1"/>
            <c:showSerName val="0"/>
            <c:showPercent val="1"/>
            <c:showBubbleSize val="0"/>
            <c:showLeaderLines val="1"/>
          </c:dLbls>
          <c:cat>
            <c:strRef>
              <c:f>List1!$A$2:$A$9</c:f>
              <c:strCache>
                <c:ptCount val="8"/>
                <c:pt idx="0">
                  <c:v>Dionice</c:v>
                </c:pt>
                <c:pt idx="1">
                  <c:v>Dionički investicijski fond</c:v>
                </c:pt>
                <c:pt idx="2">
                  <c:v>Mješoviti investicijski fond</c:v>
                </c:pt>
                <c:pt idx="3">
                  <c:v>Dobrovoljni mirovinski fond</c:v>
                </c:pt>
                <c:pt idx="4">
                  <c:v>Oročeni depoziti </c:v>
                </c:pt>
                <c:pt idx="5">
                  <c:v>Devizni transakcijski račun</c:v>
                </c:pt>
                <c:pt idx="6">
                  <c:v>Tekući račun </c:v>
                </c:pt>
                <c:pt idx="7">
                  <c:v>Gotovina </c:v>
                </c:pt>
              </c:strCache>
            </c:strRef>
          </c:cat>
          <c:val>
            <c:numRef>
              <c:f>List1!$B$2:$B$9</c:f>
              <c:numCache>
                <c:formatCode>#,##0</c:formatCode>
                <c:ptCount val="8"/>
                <c:pt idx="0">
                  <c:v>22000</c:v>
                </c:pt>
                <c:pt idx="1">
                  <c:v>16000</c:v>
                </c:pt>
                <c:pt idx="2">
                  <c:v>14000</c:v>
                </c:pt>
                <c:pt idx="3">
                  <c:v>11000</c:v>
                </c:pt>
                <c:pt idx="4">
                  <c:v>15000</c:v>
                </c:pt>
                <c:pt idx="5">
                  <c:v>9000</c:v>
                </c:pt>
                <c:pt idx="6">
                  <c:v>12000</c:v>
                </c:pt>
                <c:pt idx="7">
                  <c:v>1000</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415699240168814E-2"/>
          <c:y val="2.3397762567444198E-2"/>
          <c:w val="0.89386393776218953"/>
          <c:h val="0.8066039159900108"/>
        </c:manualLayout>
      </c:layout>
      <c:barChart>
        <c:barDir val="col"/>
        <c:grouping val="clustered"/>
        <c:varyColors val="0"/>
        <c:ser>
          <c:idx val="0"/>
          <c:order val="0"/>
          <c:invertIfNegative val="0"/>
          <c:dLbls>
            <c:showLegendKey val="0"/>
            <c:showVal val="1"/>
            <c:showCatName val="0"/>
            <c:showSerName val="0"/>
            <c:showPercent val="0"/>
            <c:showBubbleSize val="0"/>
            <c:showLeaderLines val="0"/>
          </c:dLbls>
          <c:cat>
            <c:strRef>
              <c:f>List1!$A$1:$S$1</c:f>
              <c:strCache>
                <c:ptCount val="19"/>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strCache>
            </c:strRef>
          </c:cat>
          <c:val>
            <c:numRef>
              <c:f>List1!$A$2:$S$2</c:f>
              <c:numCache>
                <c:formatCode>#,##0.0</c:formatCode>
                <c:ptCount val="19"/>
                <c:pt idx="0">
                  <c:v>5.9202904582062388</c:v>
                </c:pt>
                <c:pt idx="1">
                  <c:v>6.5436425254911512</c:v>
                </c:pt>
                <c:pt idx="2">
                  <c:v>1.9767659295255413</c:v>
                </c:pt>
                <c:pt idx="3">
                  <c:v>-1.0428732029458274</c:v>
                </c:pt>
                <c:pt idx="4">
                  <c:v>3.7674961694364981</c:v>
                </c:pt>
                <c:pt idx="5">
                  <c:v>3.4344043446790522</c:v>
                </c:pt>
                <c:pt idx="6">
                  <c:v>5.246474536734965</c:v>
                </c:pt>
                <c:pt idx="7">
                  <c:v>5.5579070421216841</c:v>
                </c:pt>
                <c:pt idx="8">
                  <c:v>4.0828106793168359</c:v>
                </c:pt>
                <c:pt idx="9">
                  <c:v>4.1637017853472003</c:v>
                </c:pt>
                <c:pt idx="10">
                  <c:v>4.7852608377829711</c:v>
                </c:pt>
                <c:pt idx="11">
                  <c:v>5.1500049677954962</c:v>
                </c:pt>
                <c:pt idx="12">
                  <c:v>2.0533655056802473</c:v>
                </c:pt>
                <c:pt idx="13">
                  <c:v>-7.3837830113861287</c:v>
                </c:pt>
                <c:pt idx="14">
                  <c:v>-1.7012497470004888</c:v>
                </c:pt>
                <c:pt idx="15">
                  <c:v>-0.28126267065775323</c:v>
                </c:pt>
                <c:pt idx="16">
                  <c:v>-2.1874291780254111</c:v>
                </c:pt>
                <c:pt idx="17">
                  <c:v>-0.93920637159226317</c:v>
                </c:pt>
                <c:pt idx="18">
                  <c:v>-0.63192152074837793</c:v>
                </c:pt>
              </c:numCache>
            </c:numRef>
          </c:val>
        </c:ser>
        <c:dLbls>
          <c:showLegendKey val="0"/>
          <c:showVal val="0"/>
          <c:showCatName val="0"/>
          <c:showSerName val="0"/>
          <c:showPercent val="0"/>
          <c:showBubbleSize val="0"/>
        </c:dLbls>
        <c:gapWidth val="150"/>
        <c:axId val="605495296"/>
        <c:axId val="605496832"/>
      </c:barChart>
      <c:catAx>
        <c:axId val="605495296"/>
        <c:scaling>
          <c:orientation val="minMax"/>
        </c:scaling>
        <c:delete val="0"/>
        <c:axPos val="b"/>
        <c:majorTickMark val="out"/>
        <c:minorTickMark val="none"/>
        <c:tickLblPos val="low"/>
        <c:crossAx val="605496832"/>
        <c:crosses val="autoZero"/>
        <c:auto val="1"/>
        <c:lblAlgn val="ctr"/>
        <c:lblOffset val="100"/>
        <c:noMultiLvlLbl val="0"/>
      </c:catAx>
      <c:valAx>
        <c:axId val="605496832"/>
        <c:scaling>
          <c:orientation val="minMax"/>
        </c:scaling>
        <c:delete val="0"/>
        <c:axPos val="l"/>
        <c:majorGridlines/>
        <c:numFmt formatCode="#,##0.0" sourceLinked="1"/>
        <c:majorTickMark val="out"/>
        <c:minorTickMark val="none"/>
        <c:tickLblPos val="nextTo"/>
        <c:crossAx val="60549529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963296226182"/>
          <c:y val="7.2276109710173869E-2"/>
          <c:w val="0.49315780144156945"/>
          <c:h val="0.77881040695116199"/>
        </c:manualLayout>
      </c:layout>
      <c:barChart>
        <c:barDir val="col"/>
        <c:grouping val="stacked"/>
        <c:varyColors val="0"/>
        <c:ser>
          <c:idx val="0"/>
          <c:order val="0"/>
          <c:tx>
            <c:strRef>
              <c:f>List1!$A$3</c:f>
              <c:strCache>
                <c:ptCount val="1"/>
                <c:pt idx="0">
                  <c:v>Opća država                                             </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List1!$B$3:$Q$3</c:f>
              <c:numCache>
                <c:formatCode>#,##0.0</c:formatCode>
                <c:ptCount val="16"/>
                <c:pt idx="0">
                  <c:v>3943.8986301500004</c:v>
                </c:pt>
                <c:pt idx="1">
                  <c:v>5171.9195135199998</c:v>
                </c:pt>
                <c:pt idx="2">
                  <c:v>5691.8249004599993</c:v>
                </c:pt>
                <c:pt idx="3">
                  <c:v>5540.9283928582008</c:v>
                </c:pt>
                <c:pt idx="4">
                  <c:v>6142.9002188921231</c:v>
                </c:pt>
                <c:pt idx="5">
                  <c:v>6728.6186114616239</c:v>
                </c:pt>
                <c:pt idx="6">
                  <c:v>6555.4847574046889</c:v>
                </c:pt>
                <c:pt idx="7">
                  <c:v>6345.8116305022368</c:v>
                </c:pt>
                <c:pt idx="8">
                  <c:v>6853.7976166656872</c:v>
                </c:pt>
                <c:pt idx="9">
                  <c:v>7208.4615804629348</c:v>
                </c:pt>
                <c:pt idx="10">
                  <c:v>8284.8900849151869</c:v>
                </c:pt>
                <c:pt idx="11">
                  <c:v>9125.9930549081546</c:v>
                </c:pt>
                <c:pt idx="12">
                  <c:v>9624.9011645778301</c:v>
                </c:pt>
                <c:pt idx="13">
                  <c:v>10938.887004244705</c:v>
                </c:pt>
                <c:pt idx="14">
                  <c:v>12711.866899986486</c:v>
                </c:pt>
                <c:pt idx="15">
                  <c:v>13693.389580689904</c:v>
                </c:pt>
              </c:numCache>
            </c:numRef>
          </c:val>
        </c:ser>
        <c:ser>
          <c:idx val="1"/>
          <c:order val="1"/>
          <c:tx>
            <c:strRef>
              <c:f>List1!$A$4</c:f>
              <c:strCache>
                <c:ptCount val="1"/>
                <c:pt idx="0">
                  <c:v>Središnja banka                                    </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List1!$B$4:$Q$4</c:f>
              <c:numCache>
                <c:formatCode>#,##0.0</c:formatCode>
                <c:ptCount val="16"/>
                <c:pt idx="0">
                  <c:v>219.10612770260573</c:v>
                </c:pt>
                <c:pt idx="1">
                  <c:v>216.44505642972663</c:v>
                </c:pt>
                <c:pt idx="2">
                  <c:v>215.8962068379509</c:v>
                </c:pt>
                <c:pt idx="3">
                  <c:v>23.224200227159319</c:v>
                </c:pt>
                <c:pt idx="4">
                  <c:v>365.90574255533443</c:v>
                </c:pt>
                <c:pt idx="5">
                  <c:v>2.3558329603180743</c:v>
                </c:pt>
                <c:pt idx="6">
                  <c:v>2.6445047834198183</c:v>
                </c:pt>
                <c:pt idx="7">
                  <c:v>2.5717253592923086</c:v>
                </c:pt>
                <c:pt idx="8">
                  <c:v>2.3494101267433032</c:v>
                </c:pt>
                <c:pt idx="9">
                  <c:v>2.2695616560727023</c:v>
                </c:pt>
                <c:pt idx="10">
                  <c:v>332.2037226761172</c:v>
                </c:pt>
                <c:pt idx="11">
                  <c:v>357.27081080565074</c:v>
                </c:pt>
                <c:pt idx="12">
                  <c:v>360.07051734697399</c:v>
                </c:pt>
                <c:pt idx="13">
                  <c:v>350.9803194182482</c:v>
                </c:pt>
                <c:pt idx="14">
                  <c:v>421.47828322428796</c:v>
                </c:pt>
                <c:pt idx="15">
                  <c:v>403.49927814445425</c:v>
                </c:pt>
              </c:numCache>
            </c:numRef>
          </c:val>
        </c:ser>
        <c:ser>
          <c:idx val="2"/>
          <c:order val="2"/>
          <c:tx>
            <c:strRef>
              <c:f>List1!$A$5</c:f>
              <c:strCache>
                <c:ptCount val="1"/>
                <c:pt idx="0">
                  <c:v>Druge monetarne financijske institucije</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List1!$B$5:$Q$5</c:f>
              <c:numCache>
                <c:formatCode>#,##0.0</c:formatCode>
                <c:ptCount val="16"/>
                <c:pt idx="0">
                  <c:v>2147.5773341773415</c:v>
                </c:pt>
                <c:pt idx="1">
                  <c:v>2250.7974258081745</c:v>
                </c:pt>
                <c:pt idx="2">
                  <c:v>2917.9564772673461</c:v>
                </c:pt>
                <c:pt idx="3">
                  <c:v>4180.4496056913649</c:v>
                </c:pt>
                <c:pt idx="4">
                  <c:v>6531.1385311620679</c:v>
                </c:pt>
                <c:pt idx="5">
                  <c:v>8047.3165120482799</c:v>
                </c:pt>
                <c:pt idx="6">
                  <c:v>9195.441175208769</c:v>
                </c:pt>
                <c:pt idx="7">
                  <c:v>10405.809675644683</c:v>
                </c:pt>
                <c:pt idx="8">
                  <c:v>8948.7679395850628</c:v>
                </c:pt>
                <c:pt idx="9">
                  <c:v>10307.011725408462</c:v>
                </c:pt>
                <c:pt idx="10">
                  <c:v>11066.909735075316</c:v>
                </c:pt>
                <c:pt idx="11">
                  <c:v>11212.380550707479</c:v>
                </c:pt>
                <c:pt idx="12">
                  <c:v>12207.868158008449</c:v>
                </c:pt>
                <c:pt idx="13">
                  <c:v>9885.7706868497553</c:v>
                </c:pt>
                <c:pt idx="14">
                  <c:v>9156.8191078386335</c:v>
                </c:pt>
                <c:pt idx="15">
                  <c:v>7812.7996833507787</c:v>
                </c:pt>
              </c:numCache>
            </c:numRef>
          </c:val>
        </c:ser>
        <c:ser>
          <c:idx val="3"/>
          <c:order val="3"/>
          <c:tx>
            <c:strRef>
              <c:f>List1!$A$6</c:f>
              <c:strCache>
                <c:ptCount val="1"/>
                <c:pt idx="0">
                  <c:v>Ostali domaći sektori</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List1!$B$6:$Q$6</c:f>
              <c:numCache>
                <c:formatCode>#,##0.0</c:formatCode>
                <c:ptCount val="16"/>
                <c:pt idx="0">
                  <c:v>3566.4321698499998</c:v>
                </c:pt>
                <c:pt idx="1">
                  <c:v>4045.5718864799983</c:v>
                </c:pt>
                <c:pt idx="2">
                  <c:v>4248.9538995400007</c:v>
                </c:pt>
                <c:pt idx="3">
                  <c:v>4727.4180429777907</c:v>
                </c:pt>
                <c:pt idx="4">
                  <c:v>5938.4021005200975</c:v>
                </c:pt>
                <c:pt idx="5">
                  <c:v>7058.7996229608716</c:v>
                </c:pt>
                <c:pt idx="6">
                  <c:v>8823.02829487708</c:v>
                </c:pt>
                <c:pt idx="7">
                  <c:v>11187.777743396095</c:v>
                </c:pt>
                <c:pt idx="8">
                  <c:v>15008.915978152325</c:v>
                </c:pt>
                <c:pt idx="9">
                  <c:v>19205.756493343386</c:v>
                </c:pt>
                <c:pt idx="10">
                  <c:v>20400.93888678262</c:v>
                </c:pt>
                <c:pt idx="11">
                  <c:v>20076.304590360036</c:v>
                </c:pt>
                <c:pt idx="12">
                  <c:v>19186.910450386684</c:v>
                </c:pt>
                <c:pt idx="13">
                  <c:v>18714.247218523775</c:v>
                </c:pt>
                <c:pt idx="14">
                  <c:v>17931.68048501667</c:v>
                </c:pt>
                <c:pt idx="15">
                  <c:v>18197.378099257883</c:v>
                </c:pt>
              </c:numCache>
            </c:numRef>
          </c:val>
        </c:ser>
        <c:ser>
          <c:idx val="4"/>
          <c:order val="4"/>
          <c:tx>
            <c:strRef>
              <c:f>List1!$A$7</c:f>
              <c:strCache>
                <c:ptCount val="1"/>
                <c:pt idx="0">
                  <c:v>Izravna ulaganja</c:v>
                </c:pt>
              </c:strCache>
            </c:strRef>
          </c:tx>
          <c:invertIfNegative val="0"/>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List1!$B$7:$Q$7</c:f>
              <c:numCache>
                <c:formatCode>#,##0.0</c:formatCode>
                <c:ptCount val="16"/>
                <c:pt idx="0">
                  <c:v>297.50920000000116</c:v>
                </c:pt>
                <c:pt idx="1">
                  <c:v>578.83860000000084</c:v>
                </c:pt>
                <c:pt idx="2">
                  <c:v>534.62119999999982</c:v>
                </c:pt>
                <c:pt idx="3">
                  <c:v>672.00080000000071</c:v>
                </c:pt>
                <c:pt idx="4">
                  <c:v>905.55769999999927</c:v>
                </c:pt>
                <c:pt idx="5">
                  <c:v>1096.2799499999992</c:v>
                </c:pt>
                <c:pt idx="6">
                  <c:v>1413.384450000005</c:v>
                </c:pt>
                <c:pt idx="7">
                  <c:v>1782.9911999999986</c:v>
                </c:pt>
                <c:pt idx="8">
                  <c:v>2906.992796098998</c:v>
                </c:pt>
                <c:pt idx="9">
                  <c:v>3866.5395119898253</c:v>
                </c:pt>
                <c:pt idx="10">
                  <c:v>5515.4587893384723</c:v>
                </c:pt>
                <c:pt idx="11">
                  <c:v>6136.4656820299897</c:v>
                </c:pt>
                <c:pt idx="12">
                  <c:v>5017.4315187017</c:v>
                </c:pt>
                <c:pt idx="13">
                  <c:v>5386.2243201781102</c:v>
                </c:pt>
                <c:pt idx="14">
                  <c:v>5698.5470613099997</c:v>
                </c:pt>
                <c:pt idx="15">
                  <c:v>6440.2736200799991</c:v>
                </c:pt>
              </c:numCache>
            </c:numRef>
          </c:val>
        </c:ser>
        <c:dLbls>
          <c:showLegendKey val="0"/>
          <c:showVal val="0"/>
          <c:showCatName val="0"/>
          <c:showSerName val="0"/>
          <c:showPercent val="0"/>
          <c:showBubbleSize val="0"/>
        </c:dLbls>
        <c:gapWidth val="150"/>
        <c:overlap val="100"/>
        <c:axId val="612000896"/>
        <c:axId val="612002432"/>
      </c:barChart>
      <c:lineChart>
        <c:grouping val="standard"/>
        <c:varyColors val="0"/>
        <c:ser>
          <c:idx val="5"/>
          <c:order val="5"/>
          <c:tx>
            <c:strRef>
              <c:f>List1!$A$8</c:f>
              <c:strCache>
                <c:ptCount val="1"/>
                <c:pt idx="0">
                  <c:v>Kašnjenja glavnica i kamata -ostali domaći sektori</c:v>
                </c:pt>
              </c:strCache>
            </c:strRef>
          </c:tx>
          <c:marker>
            <c:symbol val="none"/>
          </c:marker>
          <c:cat>
            <c:strRef>
              <c:f>List1!$B$2:$Q$2</c:f>
              <c:strCache>
                <c:ptCount val="16"/>
                <c:pt idx="0">
                  <c:v>12.99.</c:v>
                </c:pt>
                <c:pt idx="1">
                  <c:v>12.00.</c:v>
                </c:pt>
                <c:pt idx="2">
                  <c:v>12.01.</c:v>
                </c:pt>
                <c:pt idx="3">
                  <c:v>12.02.</c:v>
                </c:pt>
                <c:pt idx="4">
                  <c:v>12.03.</c:v>
                </c:pt>
                <c:pt idx="5">
                  <c:v>12.04.</c:v>
                </c:pt>
                <c:pt idx="6">
                  <c:v>12.05.</c:v>
                </c:pt>
                <c:pt idx="7">
                  <c:v>12.06.</c:v>
                </c:pt>
                <c:pt idx="8">
                  <c:v>12.07.</c:v>
                </c:pt>
                <c:pt idx="9">
                  <c:v>12.08.</c:v>
                </c:pt>
                <c:pt idx="10">
                  <c:v>12.09.</c:v>
                </c:pt>
                <c:pt idx="11">
                  <c:v>12.10.</c:v>
                </c:pt>
                <c:pt idx="12">
                  <c:v>12.11.</c:v>
                </c:pt>
                <c:pt idx="13">
                  <c:v>12.12.</c:v>
                </c:pt>
                <c:pt idx="14">
                  <c:v>12.13.</c:v>
                </c:pt>
                <c:pt idx="15">
                  <c:v>11.14.</c:v>
                </c:pt>
              </c:strCache>
            </c:strRef>
          </c:cat>
          <c:val>
            <c:numRef>
              <c:f>List1!$B$8:$Q$8</c:f>
              <c:numCache>
                <c:formatCode>#,##0.0</c:formatCode>
                <c:ptCount val="16"/>
                <c:pt idx="0">
                  <c:v>265.83098124000003</c:v>
                </c:pt>
                <c:pt idx="1">
                  <c:v>310.90143123999997</c:v>
                </c:pt>
                <c:pt idx="2">
                  <c:v>329.39069684000003</c:v>
                </c:pt>
                <c:pt idx="3">
                  <c:v>402.96170000000006</c:v>
                </c:pt>
                <c:pt idx="4">
                  <c:v>392.0301</c:v>
                </c:pt>
                <c:pt idx="5">
                  <c:v>416.89504999999997</c:v>
                </c:pt>
                <c:pt idx="6">
                  <c:v>549.86474999999996</c:v>
                </c:pt>
                <c:pt idx="7">
                  <c:v>515.41295000000002</c:v>
                </c:pt>
                <c:pt idx="8">
                  <c:v>771.97475000000009</c:v>
                </c:pt>
                <c:pt idx="9">
                  <c:v>235.14060071900002</c:v>
                </c:pt>
                <c:pt idx="10">
                  <c:v>641.528066287</c:v>
                </c:pt>
                <c:pt idx="11">
                  <c:v>1064.8294069030001</c:v>
                </c:pt>
                <c:pt idx="12">
                  <c:v>1037.2770515879999</c:v>
                </c:pt>
                <c:pt idx="13">
                  <c:v>1290.7337109967398</c:v>
                </c:pt>
                <c:pt idx="14">
                  <c:v>1517.8967710599998</c:v>
                </c:pt>
                <c:pt idx="15">
                  <c:v>1603.8125394399999</c:v>
                </c:pt>
              </c:numCache>
            </c:numRef>
          </c:val>
          <c:smooth val="0"/>
        </c:ser>
        <c:dLbls>
          <c:showLegendKey val="0"/>
          <c:showVal val="0"/>
          <c:showCatName val="0"/>
          <c:showSerName val="0"/>
          <c:showPercent val="0"/>
          <c:showBubbleSize val="0"/>
        </c:dLbls>
        <c:marker val="1"/>
        <c:smooth val="0"/>
        <c:axId val="612000896"/>
        <c:axId val="612002432"/>
      </c:lineChart>
      <c:catAx>
        <c:axId val="612000896"/>
        <c:scaling>
          <c:orientation val="minMax"/>
        </c:scaling>
        <c:delete val="0"/>
        <c:axPos val="b"/>
        <c:majorTickMark val="out"/>
        <c:minorTickMark val="none"/>
        <c:tickLblPos val="nextTo"/>
        <c:crossAx val="612002432"/>
        <c:crosses val="autoZero"/>
        <c:auto val="1"/>
        <c:lblAlgn val="ctr"/>
        <c:lblOffset val="100"/>
        <c:noMultiLvlLbl val="0"/>
      </c:catAx>
      <c:valAx>
        <c:axId val="612002432"/>
        <c:scaling>
          <c:orientation val="minMax"/>
        </c:scaling>
        <c:delete val="0"/>
        <c:axPos val="l"/>
        <c:majorGridlines/>
        <c:numFmt formatCode="#,##0.0" sourceLinked="1"/>
        <c:majorTickMark val="out"/>
        <c:minorTickMark val="none"/>
        <c:tickLblPos val="nextTo"/>
        <c:crossAx val="612000896"/>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cat>
            <c:numRef>
              <c:f>'zse_export_export (2)'!$A$4:$A$3225</c:f>
              <c:numCache>
                <c:formatCode>m/d/yyyy</c:formatCode>
                <c:ptCount val="3222"/>
                <c:pt idx="0">
                  <c:v>37623</c:v>
                </c:pt>
                <c:pt idx="1">
                  <c:v>37624</c:v>
                </c:pt>
                <c:pt idx="2">
                  <c:v>37628</c:v>
                </c:pt>
                <c:pt idx="3">
                  <c:v>37629</c:v>
                </c:pt>
                <c:pt idx="4">
                  <c:v>37630</c:v>
                </c:pt>
                <c:pt idx="5">
                  <c:v>37631</c:v>
                </c:pt>
                <c:pt idx="6">
                  <c:v>37634</c:v>
                </c:pt>
                <c:pt idx="7">
                  <c:v>37635</c:v>
                </c:pt>
                <c:pt idx="8">
                  <c:v>37636</c:v>
                </c:pt>
                <c:pt idx="9">
                  <c:v>37637</c:v>
                </c:pt>
                <c:pt idx="10">
                  <c:v>37638</c:v>
                </c:pt>
                <c:pt idx="11">
                  <c:v>37641</c:v>
                </c:pt>
                <c:pt idx="12">
                  <c:v>37642</c:v>
                </c:pt>
                <c:pt idx="13">
                  <c:v>37643</c:v>
                </c:pt>
                <c:pt idx="14">
                  <c:v>37644</c:v>
                </c:pt>
                <c:pt idx="15">
                  <c:v>37645</c:v>
                </c:pt>
                <c:pt idx="16">
                  <c:v>37648</c:v>
                </c:pt>
                <c:pt idx="17">
                  <c:v>37649</c:v>
                </c:pt>
                <c:pt idx="18">
                  <c:v>37650</c:v>
                </c:pt>
                <c:pt idx="19">
                  <c:v>37651</c:v>
                </c:pt>
                <c:pt idx="20">
                  <c:v>37652</c:v>
                </c:pt>
                <c:pt idx="21">
                  <c:v>37655</c:v>
                </c:pt>
                <c:pt idx="22">
                  <c:v>37656</c:v>
                </c:pt>
                <c:pt idx="23">
                  <c:v>37657</c:v>
                </c:pt>
                <c:pt idx="24">
                  <c:v>37658</c:v>
                </c:pt>
                <c:pt idx="25">
                  <c:v>37659</c:v>
                </c:pt>
                <c:pt idx="26">
                  <c:v>37662</c:v>
                </c:pt>
                <c:pt idx="27">
                  <c:v>37663</c:v>
                </c:pt>
                <c:pt idx="28">
                  <c:v>37664</c:v>
                </c:pt>
                <c:pt idx="29">
                  <c:v>37665</c:v>
                </c:pt>
                <c:pt idx="30">
                  <c:v>37666</c:v>
                </c:pt>
                <c:pt idx="31">
                  <c:v>37669</c:v>
                </c:pt>
                <c:pt idx="32">
                  <c:v>37670</c:v>
                </c:pt>
                <c:pt idx="33">
                  <c:v>37671</c:v>
                </c:pt>
                <c:pt idx="34">
                  <c:v>37672</c:v>
                </c:pt>
                <c:pt idx="35">
                  <c:v>37673</c:v>
                </c:pt>
                <c:pt idx="36">
                  <c:v>37676</c:v>
                </c:pt>
                <c:pt idx="37">
                  <c:v>37677</c:v>
                </c:pt>
                <c:pt idx="38">
                  <c:v>37678</c:v>
                </c:pt>
                <c:pt idx="39">
                  <c:v>37679</c:v>
                </c:pt>
                <c:pt idx="40">
                  <c:v>37680</c:v>
                </c:pt>
                <c:pt idx="41">
                  <c:v>37683</c:v>
                </c:pt>
                <c:pt idx="42">
                  <c:v>37684</c:v>
                </c:pt>
                <c:pt idx="43">
                  <c:v>37685</c:v>
                </c:pt>
                <c:pt idx="44">
                  <c:v>37686</c:v>
                </c:pt>
                <c:pt idx="45">
                  <c:v>37687</c:v>
                </c:pt>
                <c:pt idx="46">
                  <c:v>37690</c:v>
                </c:pt>
                <c:pt idx="47">
                  <c:v>37691</c:v>
                </c:pt>
                <c:pt idx="48">
                  <c:v>37692</c:v>
                </c:pt>
                <c:pt idx="49">
                  <c:v>37693</c:v>
                </c:pt>
                <c:pt idx="50">
                  <c:v>37694</c:v>
                </c:pt>
                <c:pt idx="51">
                  <c:v>37697</c:v>
                </c:pt>
                <c:pt idx="52">
                  <c:v>37698</c:v>
                </c:pt>
                <c:pt idx="53">
                  <c:v>37699</c:v>
                </c:pt>
                <c:pt idx="54">
                  <c:v>37700</c:v>
                </c:pt>
                <c:pt idx="55">
                  <c:v>37701</c:v>
                </c:pt>
                <c:pt idx="56">
                  <c:v>37704</c:v>
                </c:pt>
                <c:pt idx="57">
                  <c:v>37705</c:v>
                </c:pt>
                <c:pt idx="58">
                  <c:v>37706</c:v>
                </c:pt>
                <c:pt idx="59">
                  <c:v>37707</c:v>
                </c:pt>
                <c:pt idx="60">
                  <c:v>37708</c:v>
                </c:pt>
                <c:pt idx="61">
                  <c:v>37711</c:v>
                </c:pt>
                <c:pt idx="62">
                  <c:v>37712</c:v>
                </c:pt>
                <c:pt idx="63">
                  <c:v>37713</c:v>
                </c:pt>
                <c:pt idx="64">
                  <c:v>37714</c:v>
                </c:pt>
                <c:pt idx="65">
                  <c:v>37715</c:v>
                </c:pt>
                <c:pt idx="66">
                  <c:v>37718</c:v>
                </c:pt>
                <c:pt idx="67">
                  <c:v>37719</c:v>
                </c:pt>
                <c:pt idx="68">
                  <c:v>37720</c:v>
                </c:pt>
                <c:pt idx="69">
                  <c:v>37721</c:v>
                </c:pt>
                <c:pt idx="70">
                  <c:v>37722</c:v>
                </c:pt>
                <c:pt idx="71">
                  <c:v>37725</c:v>
                </c:pt>
                <c:pt idx="72">
                  <c:v>37726</c:v>
                </c:pt>
                <c:pt idx="73">
                  <c:v>37727</c:v>
                </c:pt>
                <c:pt idx="74">
                  <c:v>37728</c:v>
                </c:pt>
                <c:pt idx="75">
                  <c:v>37733</c:v>
                </c:pt>
                <c:pt idx="76">
                  <c:v>37734</c:v>
                </c:pt>
                <c:pt idx="77">
                  <c:v>37735</c:v>
                </c:pt>
                <c:pt idx="78">
                  <c:v>37736</c:v>
                </c:pt>
                <c:pt idx="79">
                  <c:v>37739</c:v>
                </c:pt>
                <c:pt idx="80">
                  <c:v>37740</c:v>
                </c:pt>
                <c:pt idx="81">
                  <c:v>37741</c:v>
                </c:pt>
                <c:pt idx="82">
                  <c:v>37743</c:v>
                </c:pt>
                <c:pt idx="83">
                  <c:v>37746</c:v>
                </c:pt>
                <c:pt idx="84">
                  <c:v>37747</c:v>
                </c:pt>
                <c:pt idx="85">
                  <c:v>37748</c:v>
                </c:pt>
                <c:pt idx="86">
                  <c:v>37749</c:v>
                </c:pt>
                <c:pt idx="87">
                  <c:v>37750</c:v>
                </c:pt>
                <c:pt idx="88">
                  <c:v>37753</c:v>
                </c:pt>
                <c:pt idx="89">
                  <c:v>37754</c:v>
                </c:pt>
                <c:pt idx="90">
                  <c:v>37755</c:v>
                </c:pt>
                <c:pt idx="91">
                  <c:v>37756</c:v>
                </c:pt>
                <c:pt idx="92">
                  <c:v>37757</c:v>
                </c:pt>
                <c:pt idx="93">
                  <c:v>37760</c:v>
                </c:pt>
                <c:pt idx="94">
                  <c:v>37761</c:v>
                </c:pt>
                <c:pt idx="95">
                  <c:v>37762</c:v>
                </c:pt>
                <c:pt idx="96">
                  <c:v>37763</c:v>
                </c:pt>
                <c:pt idx="97">
                  <c:v>37764</c:v>
                </c:pt>
                <c:pt idx="98">
                  <c:v>37767</c:v>
                </c:pt>
                <c:pt idx="99">
                  <c:v>37768</c:v>
                </c:pt>
                <c:pt idx="100">
                  <c:v>37769</c:v>
                </c:pt>
                <c:pt idx="101">
                  <c:v>37770</c:v>
                </c:pt>
                <c:pt idx="102">
                  <c:v>37771</c:v>
                </c:pt>
                <c:pt idx="103">
                  <c:v>37774</c:v>
                </c:pt>
                <c:pt idx="104">
                  <c:v>37775</c:v>
                </c:pt>
                <c:pt idx="105">
                  <c:v>37776</c:v>
                </c:pt>
                <c:pt idx="106">
                  <c:v>37777</c:v>
                </c:pt>
                <c:pt idx="107">
                  <c:v>37778</c:v>
                </c:pt>
                <c:pt idx="108">
                  <c:v>37781</c:v>
                </c:pt>
                <c:pt idx="109">
                  <c:v>37782</c:v>
                </c:pt>
                <c:pt idx="110">
                  <c:v>37783</c:v>
                </c:pt>
                <c:pt idx="111">
                  <c:v>37784</c:v>
                </c:pt>
                <c:pt idx="112">
                  <c:v>37785</c:v>
                </c:pt>
                <c:pt idx="113">
                  <c:v>37788</c:v>
                </c:pt>
                <c:pt idx="114">
                  <c:v>37789</c:v>
                </c:pt>
                <c:pt idx="115">
                  <c:v>37790</c:v>
                </c:pt>
                <c:pt idx="116">
                  <c:v>37792</c:v>
                </c:pt>
                <c:pt idx="117">
                  <c:v>37795</c:v>
                </c:pt>
                <c:pt idx="118">
                  <c:v>37796</c:v>
                </c:pt>
                <c:pt idx="119">
                  <c:v>37798</c:v>
                </c:pt>
                <c:pt idx="120">
                  <c:v>37799</c:v>
                </c:pt>
                <c:pt idx="121">
                  <c:v>37802</c:v>
                </c:pt>
                <c:pt idx="122">
                  <c:v>37803</c:v>
                </c:pt>
                <c:pt idx="123">
                  <c:v>37804</c:v>
                </c:pt>
                <c:pt idx="124">
                  <c:v>37805</c:v>
                </c:pt>
                <c:pt idx="125">
                  <c:v>37806</c:v>
                </c:pt>
                <c:pt idx="126">
                  <c:v>37809</c:v>
                </c:pt>
                <c:pt idx="127">
                  <c:v>37810</c:v>
                </c:pt>
                <c:pt idx="128">
                  <c:v>37811</c:v>
                </c:pt>
                <c:pt idx="129">
                  <c:v>37812</c:v>
                </c:pt>
                <c:pt idx="130">
                  <c:v>37813</c:v>
                </c:pt>
                <c:pt idx="131">
                  <c:v>37816</c:v>
                </c:pt>
                <c:pt idx="132">
                  <c:v>37817</c:v>
                </c:pt>
                <c:pt idx="133">
                  <c:v>37818</c:v>
                </c:pt>
                <c:pt idx="134">
                  <c:v>37819</c:v>
                </c:pt>
                <c:pt idx="135">
                  <c:v>37820</c:v>
                </c:pt>
                <c:pt idx="136">
                  <c:v>37823</c:v>
                </c:pt>
                <c:pt idx="137">
                  <c:v>37824</c:v>
                </c:pt>
                <c:pt idx="138">
                  <c:v>37825</c:v>
                </c:pt>
                <c:pt idx="139">
                  <c:v>37826</c:v>
                </c:pt>
                <c:pt idx="140">
                  <c:v>37827</c:v>
                </c:pt>
                <c:pt idx="141">
                  <c:v>37830</c:v>
                </c:pt>
                <c:pt idx="142">
                  <c:v>37831</c:v>
                </c:pt>
                <c:pt idx="143">
                  <c:v>37832</c:v>
                </c:pt>
                <c:pt idx="144">
                  <c:v>37833</c:v>
                </c:pt>
                <c:pt idx="145">
                  <c:v>37834</c:v>
                </c:pt>
                <c:pt idx="146">
                  <c:v>37837</c:v>
                </c:pt>
                <c:pt idx="147">
                  <c:v>37839</c:v>
                </c:pt>
                <c:pt idx="148">
                  <c:v>37840</c:v>
                </c:pt>
                <c:pt idx="149">
                  <c:v>37841</c:v>
                </c:pt>
                <c:pt idx="150">
                  <c:v>37844</c:v>
                </c:pt>
                <c:pt idx="151">
                  <c:v>37845</c:v>
                </c:pt>
                <c:pt idx="152">
                  <c:v>37846</c:v>
                </c:pt>
                <c:pt idx="153">
                  <c:v>37847</c:v>
                </c:pt>
                <c:pt idx="154">
                  <c:v>37851</c:v>
                </c:pt>
                <c:pt idx="155">
                  <c:v>37852</c:v>
                </c:pt>
                <c:pt idx="156">
                  <c:v>37853</c:v>
                </c:pt>
                <c:pt idx="157">
                  <c:v>37854</c:v>
                </c:pt>
                <c:pt idx="158">
                  <c:v>37855</c:v>
                </c:pt>
                <c:pt idx="159">
                  <c:v>37858</c:v>
                </c:pt>
                <c:pt idx="160">
                  <c:v>37859</c:v>
                </c:pt>
                <c:pt idx="161">
                  <c:v>37860</c:v>
                </c:pt>
                <c:pt idx="162">
                  <c:v>37861</c:v>
                </c:pt>
                <c:pt idx="163">
                  <c:v>37862</c:v>
                </c:pt>
                <c:pt idx="164">
                  <c:v>37865</c:v>
                </c:pt>
                <c:pt idx="165">
                  <c:v>37866</c:v>
                </c:pt>
                <c:pt idx="166">
                  <c:v>37867</c:v>
                </c:pt>
                <c:pt idx="167">
                  <c:v>37868</c:v>
                </c:pt>
                <c:pt idx="168">
                  <c:v>37869</c:v>
                </c:pt>
                <c:pt idx="169">
                  <c:v>37872</c:v>
                </c:pt>
                <c:pt idx="170">
                  <c:v>37873</c:v>
                </c:pt>
                <c:pt idx="171">
                  <c:v>37874</c:v>
                </c:pt>
                <c:pt idx="172">
                  <c:v>37875</c:v>
                </c:pt>
                <c:pt idx="173">
                  <c:v>37876</c:v>
                </c:pt>
                <c:pt idx="174">
                  <c:v>37879</c:v>
                </c:pt>
                <c:pt idx="175">
                  <c:v>37880</c:v>
                </c:pt>
                <c:pt idx="176">
                  <c:v>37881</c:v>
                </c:pt>
                <c:pt idx="177">
                  <c:v>37882</c:v>
                </c:pt>
                <c:pt idx="178">
                  <c:v>37883</c:v>
                </c:pt>
                <c:pt idx="179">
                  <c:v>37886</c:v>
                </c:pt>
                <c:pt idx="180">
                  <c:v>37887</c:v>
                </c:pt>
                <c:pt idx="181">
                  <c:v>37888</c:v>
                </c:pt>
                <c:pt idx="182">
                  <c:v>37889</c:v>
                </c:pt>
                <c:pt idx="183">
                  <c:v>37890</c:v>
                </c:pt>
                <c:pt idx="184">
                  <c:v>37893</c:v>
                </c:pt>
                <c:pt idx="185">
                  <c:v>37894</c:v>
                </c:pt>
                <c:pt idx="186">
                  <c:v>37895</c:v>
                </c:pt>
                <c:pt idx="187">
                  <c:v>37896</c:v>
                </c:pt>
                <c:pt idx="188">
                  <c:v>37897</c:v>
                </c:pt>
                <c:pt idx="189">
                  <c:v>37900</c:v>
                </c:pt>
                <c:pt idx="190">
                  <c:v>37901</c:v>
                </c:pt>
                <c:pt idx="191">
                  <c:v>37903</c:v>
                </c:pt>
                <c:pt idx="192">
                  <c:v>37904</c:v>
                </c:pt>
                <c:pt idx="193">
                  <c:v>37907</c:v>
                </c:pt>
                <c:pt idx="194">
                  <c:v>37908</c:v>
                </c:pt>
                <c:pt idx="195">
                  <c:v>37909</c:v>
                </c:pt>
                <c:pt idx="196">
                  <c:v>37910</c:v>
                </c:pt>
                <c:pt idx="197">
                  <c:v>37911</c:v>
                </c:pt>
                <c:pt idx="198">
                  <c:v>37914</c:v>
                </c:pt>
                <c:pt idx="199">
                  <c:v>37915</c:v>
                </c:pt>
                <c:pt idx="200">
                  <c:v>37916</c:v>
                </c:pt>
                <c:pt idx="201">
                  <c:v>37917</c:v>
                </c:pt>
                <c:pt idx="202">
                  <c:v>37918</c:v>
                </c:pt>
                <c:pt idx="203">
                  <c:v>37921</c:v>
                </c:pt>
                <c:pt idx="204">
                  <c:v>37922</c:v>
                </c:pt>
                <c:pt idx="205">
                  <c:v>37923</c:v>
                </c:pt>
                <c:pt idx="206">
                  <c:v>37924</c:v>
                </c:pt>
                <c:pt idx="207">
                  <c:v>37925</c:v>
                </c:pt>
                <c:pt idx="208">
                  <c:v>37928</c:v>
                </c:pt>
                <c:pt idx="209">
                  <c:v>37929</c:v>
                </c:pt>
                <c:pt idx="210">
                  <c:v>37930</c:v>
                </c:pt>
                <c:pt idx="211">
                  <c:v>37931</c:v>
                </c:pt>
                <c:pt idx="212">
                  <c:v>37932</c:v>
                </c:pt>
                <c:pt idx="213">
                  <c:v>37935</c:v>
                </c:pt>
                <c:pt idx="214">
                  <c:v>37936</c:v>
                </c:pt>
                <c:pt idx="215">
                  <c:v>37937</c:v>
                </c:pt>
                <c:pt idx="216">
                  <c:v>37938</c:v>
                </c:pt>
                <c:pt idx="217">
                  <c:v>37939</c:v>
                </c:pt>
                <c:pt idx="218">
                  <c:v>37942</c:v>
                </c:pt>
                <c:pt idx="219">
                  <c:v>37943</c:v>
                </c:pt>
                <c:pt idx="220">
                  <c:v>37944</c:v>
                </c:pt>
                <c:pt idx="221">
                  <c:v>37945</c:v>
                </c:pt>
                <c:pt idx="222">
                  <c:v>37946</c:v>
                </c:pt>
                <c:pt idx="223">
                  <c:v>37949</c:v>
                </c:pt>
                <c:pt idx="224">
                  <c:v>37950</c:v>
                </c:pt>
                <c:pt idx="225">
                  <c:v>37951</c:v>
                </c:pt>
                <c:pt idx="226">
                  <c:v>37952</c:v>
                </c:pt>
                <c:pt idx="227">
                  <c:v>37953</c:v>
                </c:pt>
                <c:pt idx="228">
                  <c:v>37956</c:v>
                </c:pt>
                <c:pt idx="229">
                  <c:v>37957</c:v>
                </c:pt>
                <c:pt idx="230">
                  <c:v>37958</c:v>
                </c:pt>
                <c:pt idx="231">
                  <c:v>37959</c:v>
                </c:pt>
                <c:pt idx="232">
                  <c:v>37960</c:v>
                </c:pt>
                <c:pt idx="233">
                  <c:v>37963</c:v>
                </c:pt>
                <c:pt idx="234">
                  <c:v>37964</c:v>
                </c:pt>
                <c:pt idx="235">
                  <c:v>37965</c:v>
                </c:pt>
                <c:pt idx="236">
                  <c:v>37966</c:v>
                </c:pt>
                <c:pt idx="237">
                  <c:v>37967</c:v>
                </c:pt>
                <c:pt idx="238">
                  <c:v>37970</c:v>
                </c:pt>
                <c:pt idx="239">
                  <c:v>37971</c:v>
                </c:pt>
                <c:pt idx="240">
                  <c:v>37972</c:v>
                </c:pt>
                <c:pt idx="241">
                  <c:v>37973</c:v>
                </c:pt>
                <c:pt idx="242">
                  <c:v>37974</c:v>
                </c:pt>
                <c:pt idx="243">
                  <c:v>37977</c:v>
                </c:pt>
                <c:pt idx="244">
                  <c:v>37978</c:v>
                </c:pt>
                <c:pt idx="245">
                  <c:v>37984</c:v>
                </c:pt>
                <c:pt idx="246">
                  <c:v>37985</c:v>
                </c:pt>
                <c:pt idx="247">
                  <c:v>37986</c:v>
                </c:pt>
                <c:pt idx="248">
                  <c:v>37988</c:v>
                </c:pt>
                <c:pt idx="249">
                  <c:v>37991</c:v>
                </c:pt>
                <c:pt idx="250">
                  <c:v>37993</c:v>
                </c:pt>
                <c:pt idx="251">
                  <c:v>37994</c:v>
                </c:pt>
                <c:pt idx="252">
                  <c:v>37995</c:v>
                </c:pt>
                <c:pt idx="253">
                  <c:v>37998</c:v>
                </c:pt>
                <c:pt idx="254">
                  <c:v>37999</c:v>
                </c:pt>
                <c:pt idx="255">
                  <c:v>38000</c:v>
                </c:pt>
                <c:pt idx="256">
                  <c:v>38001</c:v>
                </c:pt>
                <c:pt idx="257">
                  <c:v>38002</c:v>
                </c:pt>
                <c:pt idx="258">
                  <c:v>38005</c:v>
                </c:pt>
                <c:pt idx="259">
                  <c:v>38006</c:v>
                </c:pt>
                <c:pt idx="260">
                  <c:v>38007</c:v>
                </c:pt>
                <c:pt idx="261">
                  <c:v>38008</c:v>
                </c:pt>
                <c:pt idx="262">
                  <c:v>38009</c:v>
                </c:pt>
                <c:pt idx="263">
                  <c:v>38012</c:v>
                </c:pt>
                <c:pt idx="264">
                  <c:v>38013</c:v>
                </c:pt>
                <c:pt idx="265">
                  <c:v>38014</c:v>
                </c:pt>
                <c:pt idx="266">
                  <c:v>38015</c:v>
                </c:pt>
                <c:pt idx="267">
                  <c:v>38016</c:v>
                </c:pt>
                <c:pt idx="268">
                  <c:v>38019</c:v>
                </c:pt>
                <c:pt idx="269">
                  <c:v>38020</c:v>
                </c:pt>
                <c:pt idx="270">
                  <c:v>38021</c:v>
                </c:pt>
                <c:pt idx="271">
                  <c:v>38022</c:v>
                </c:pt>
                <c:pt idx="272">
                  <c:v>38023</c:v>
                </c:pt>
                <c:pt idx="273">
                  <c:v>38026</c:v>
                </c:pt>
                <c:pt idx="274">
                  <c:v>38027</c:v>
                </c:pt>
                <c:pt idx="275">
                  <c:v>38028</c:v>
                </c:pt>
                <c:pt idx="276">
                  <c:v>38029</c:v>
                </c:pt>
                <c:pt idx="277">
                  <c:v>38030</c:v>
                </c:pt>
                <c:pt idx="278">
                  <c:v>38033</c:v>
                </c:pt>
                <c:pt idx="279">
                  <c:v>38034</c:v>
                </c:pt>
                <c:pt idx="280">
                  <c:v>38035</c:v>
                </c:pt>
                <c:pt idx="281">
                  <c:v>38036</c:v>
                </c:pt>
                <c:pt idx="282">
                  <c:v>38037</c:v>
                </c:pt>
                <c:pt idx="283">
                  <c:v>38040</c:v>
                </c:pt>
                <c:pt idx="284">
                  <c:v>38041</c:v>
                </c:pt>
                <c:pt idx="285">
                  <c:v>38042</c:v>
                </c:pt>
                <c:pt idx="286">
                  <c:v>38043</c:v>
                </c:pt>
                <c:pt idx="287">
                  <c:v>38044</c:v>
                </c:pt>
                <c:pt idx="288">
                  <c:v>38047</c:v>
                </c:pt>
                <c:pt idx="289">
                  <c:v>38048</c:v>
                </c:pt>
                <c:pt idx="290">
                  <c:v>38049</c:v>
                </c:pt>
                <c:pt idx="291">
                  <c:v>38050</c:v>
                </c:pt>
                <c:pt idx="292">
                  <c:v>38051</c:v>
                </c:pt>
                <c:pt idx="293">
                  <c:v>38054</c:v>
                </c:pt>
                <c:pt idx="294">
                  <c:v>38055</c:v>
                </c:pt>
                <c:pt idx="295">
                  <c:v>38056</c:v>
                </c:pt>
                <c:pt idx="296">
                  <c:v>38057</c:v>
                </c:pt>
                <c:pt idx="297">
                  <c:v>38058</c:v>
                </c:pt>
                <c:pt idx="298">
                  <c:v>38061</c:v>
                </c:pt>
                <c:pt idx="299">
                  <c:v>38062</c:v>
                </c:pt>
                <c:pt idx="300">
                  <c:v>38063</c:v>
                </c:pt>
                <c:pt idx="301">
                  <c:v>38064</c:v>
                </c:pt>
                <c:pt idx="302">
                  <c:v>38065</c:v>
                </c:pt>
                <c:pt idx="303">
                  <c:v>38068</c:v>
                </c:pt>
                <c:pt idx="304">
                  <c:v>38069</c:v>
                </c:pt>
                <c:pt idx="305">
                  <c:v>38070</c:v>
                </c:pt>
                <c:pt idx="306">
                  <c:v>38071</c:v>
                </c:pt>
                <c:pt idx="307">
                  <c:v>38072</c:v>
                </c:pt>
                <c:pt idx="308">
                  <c:v>38075</c:v>
                </c:pt>
                <c:pt idx="309">
                  <c:v>38076</c:v>
                </c:pt>
                <c:pt idx="310">
                  <c:v>38077</c:v>
                </c:pt>
                <c:pt idx="311">
                  <c:v>38078</c:v>
                </c:pt>
                <c:pt idx="312">
                  <c:v>38079</c:v>
                </c:pt>
                <c:pt idx="313">
                  <c:v>38082</c:v>
                </c:pt>
                <c:pt idx="314">
                  <c:v>38083</c:v>
                </c:pt>
                <c:pt idx="315">
                  <c:v>38084</c:v>
                </c:pt>
                <c:pt idx="316">
                  <c:v>38085</c:v>
                </c:pt>
                <c:pt idx="317">
                  <c:v>38090</c:v>
                </c:pt>
                <c:pt idx="318">
                  <c:v>38091</c:v>
                </c:pt>
                <c:pt idx="319">
                  <c:v>38092</c:v>
                </c:pt>
                <c:pt idx="320">
                  <c:v>38093</c:v>
                </c:pt>
                <c:pt idx="321">
                  <c:v>38096</c:v>
                </c:pt>
                <c:pt idx="322">
                  <c:v>38097</c:v>
                </c:pt>
                <c:pt idx="323">
                  <c:v>38098</c:v>
                </c:pt>
                <c:pt idx="324">
                  <c:v>38099</c:v>
                </c:pt>
                <c:pt idx="325">
                  <c:v>38100</c:v>
                </c:pt>
                <c:pt idx="326">
                  <c:v>38103</c:v>
                </c:pt>
                <c:pt idx="327">
                  <c:v>38104</c:v>
                </c:pt>
                <c:pt idx="328">
                  <c:v>38105</c:v>
                </c:pt>
                <c:pt idx="329">
                  <c:v>38106</c:v>
                </c:pt>
                <c:pt idx="330">
                  <c:v>38107</c:v>
                </c:pt>
                <c:pt idx="331">
                  <c:v>38110</c:v>
                </c:pt>
                <c:pt idx="332">
                  <c:v>38111</c:v>
                </c:pt>
                <c:pt idx="333">
                  <c:v>38112</c:v>
                </c:pt>
                <c:pt idx="334">
                  <c:v>38113</c:v>
                </c:pt>
                <c:pt idx="335">
                  <c:v>38114</c:v>
                </c:pt>
                <c:pt idx="336">
                  <c:v>38117</c:v>
                </c:pt>
                <c:pt idx="337">
                  <c:v>38118</c:v>
                </c:pt>
                <c:pt idx="338">
                  <c:v>38119</c:v>
                </c:pt>
                <c:pt idx="339">
                  <c:v>38120</c:v>
                </c:pt>
                <c:pt idx="340">
                  <c:v>38121</c:v>
                </c:pt>
                <c:pt idx="341">
                  <c:v>38124</c:v>
                </c:pt>
                <c:pt idx="342">
                  <c:v>38125</c:v>
                </c:pt>
                <c:pt idx="343">
                  <c:v>38126</c:v>
                </c:pt>
                <c:pt idx="344">
                  <c:v>38127</c:v>
                </c:pt>
                <c:pt idx="345">
                  <c:v>38128</c:v>
                </c:pt>
                <c:pt idx="346">
                  <c:v>38131</c:v>
                </c:pt>
                <c:pt idx="347">
                  <c:v>38132</c:v>
                </c:pt>
                <c:pt idx="348">
                  <c:v>38133</c:v>
                </c:pt>
                <c:pt idx="349">
                  <c:v>38134</c:v>
                </c:pt>
                <c:pt idx="350">
                  <c:v>38135</c:v>
                </c:pt>
                <c:pt idx="351">
                  <c:v>38138</c:v>
                </c:pt>
                <c:pt idx="352">
                  <c:v>38139</c:v>
                </c:pt>
                <c:pt idx="353">
                  <c:v>38140</c:v>
                </c:pt>
                <c:pt idx="354">
                  <c:v>38141</c:v>
                </c:pt>
                <c:pt idx="355">
                  <c:v>38142</c:v>
                </c:pt>
                <c:pt idx="356">
                  <c:v>38145</c:v>
                </c:pt>
                <c:pt idx="357">
                  <c:v>38146</c:v>
                </c:pt>
                <c:pt idx="358">
                  <c:v>38147</c:v>
                </c:pt>
                <c:pt idx="359">
                  <c:v>38149</c:v>
                </c:pt>
                <c:pt idx="360">
                  <c:v>38152</c:v>
                </c:pt>
                <c:pt idx="361">
                  <c:v>38153</c:v>
                </c:pt>
                <c:pt idx="362">
                  <c:v>38154</c:v>
                </c:pt>
                <c:pt idx="363">
                  <c:v>38155</c:v>
                </c:pt>
                <c:pt idx="364">
                  <c:v>38156</c:v>
                </c:pt>
                <c:pt idx="365">
                  <c:v>38159</c:v>
                </c:pt>
                <c:pt idx="366">
                  <c:v>38161</c:v>
                </c:pt>
                <c:pt idx="367">
                  <c:v>38162</c:v>
                </c:pt>
                <c:pt idx="368">
                  <c:v>38166</c:v>
                </c:pt>
                <c:pt idx="369">
                  <c:v>38167</c:v>
                </c:pt>
                <c:pt idx="370">
                  <c:v>38168</c:v>
                </c:pt>
                <c:pt idx="371">
                  <c:v>38169</c:v>
                </c:pt>
                <c:pt idx="372">
                  <c:v>38170</c:v>
                </c:pt>
                <c:pt idx="373">
                  <c:v>38173</c:v>
                </c:pt>
                <c:pt idx="374">
                  <c:v>38174</c:v>
                </c:pt>
                <c:pt idx="375">
                  <c:v>38175</c:v>
                </c:pt>
                <c:pt idx="376">
                  <c:v>38176</c:v>
                </c:pt>
                <c:pt idx="377">
                  <c:v>38177</c:v>
                </c:pt>
                <c:pt idx="378">
                  <c:v>38180</c:v>
                </c:pt>
                <c:pt idx="379">
                  <c:v>38181</c:v>
                </c:pt>
                <c:pt idx="380">
                  <c:v>38182</c:v>
                </c:pt>
                <c:pt idx="381">
                  <c:v>38183</c:v>
                </c:pt>
                <c:pt idx="382">
                  <c:v>38184</c:v>
                </c:pt>
                <c:pt idx="383">
                  <c:v>38187</c:v>
                </c:pt>
                <c:pt idx="384">
                  <c:v>38188</c:v>
                </c:pt>
                <c:pt idx="385">
                  <c:v>38189</c:v>
                </c:pt>
                <c:pt idx="386">
                  <c:v>38190</c:v>
                </c:pt>
                <c:pt idx="387">
                  <c:v>38191</c:v>
                </c:pt>
                <c:pt idx="388">
                  <c:v>38194</c:v>
                </c:pt>
                <c:pt idx="389">
                  <c:v>38195</c:v>
                </c:pt>
                <c:pt idx="390">
                  <c:v>38196</c:v>
                </c:pt>
                <c:pt idx="391">
                  <c:v>38197</c:v>
                </c:pt>
                <c:pt idx="392">
                  <c:v>38198</c:v>
                </c:pt>
                <c:pt idx="393">
                  <c:v>38201</c:v>
                </c:pt>
                <c:pt idx="394">
                  <c:v>38202</c:v>
                </c:pt>
                <c:pt idx="395">
                  <c:v>38203</c:v>
                </c:pt>
                <c:pt idx="396">
                  <c:v>38205</c:v>
                </c:pt>
                <c:pt idx="397">
                  <c:v>38208</c:v>
                </c:pt>
                <c:pt idx="398">
                  <c:v>38209</c:v>
                </c:pt>
                <c:pt idx="399">
                  <c:v>38210</c:v>
                </c:pt>
                <c:pt idx="400">
                  <c:v>38211</c:v>
                </c:pt>
                <c:pt idx="401">
                  <c:v>38212</c:v>
                </c:pt>
                <c:pt idx="402">
                  <c:v>38215</c:v>
                </c:pt>
                <c:pt idx="403">
                  <c:v>38216</c:v>
                </c:pt>
                <c:pt idx="404">
                  <c:v>38217</c:v>
                </c:pt>
                <c:pt idx="405">
                  <c:v>38218</c:v>
                </c:pt>
                <c:pt idx="406">
                  <c:v>38219</c:v>
                </c:pt>
                <c:pt idx="407">
                  <c:v>38222</c:v>
                </c:pt>
                <c:pt idx="408">
                  <c:v>38223</c:v>
                </c:pt>
                <c:pt idx="409">
                  <c:v>38224</c:v>
                </c:pt>
                <c:pt idx="410">
                  <c:v>38225</c:v>
                </c:pt>
                <c:pt idx="411">
                  <c:v>38226</c:v>
                </c:pt>
                <c:pt idx="412">
                  <c:v>38229</c:v>
                </c:pt>
                <c:pt idx="413">
                  <c:v>38230</c:v>
                </c:pt>
                <c:pt idx="414">
                  <c:v>38231</c:v>
                </c:pt>
                <c:pt idx="415">
                  <c:v>38232</c:v>
                </c:pt>
                <c:pt idx="416">
                  <c:v>38233</c:v>
                </c:pt>
                <c:pt idx="417">
                  <c:v>38236</c:v>
                </c:pt>
                <c:pt idx="418">
                  <c:v>38237</c:v>
                </c:pt>
                <c:pt idx="419">
                  <c:v>38238</c:v>
                </c:pt>
                <c:pt idx="420">
                  <c:v>38239</c:v>
                </c:pt>
                <c:pt idx="421">
                  <c:v>38240</c:v>
                </c:pt>
                <c:pt idx="422">
                  <c:v>38243</c:v>
                </c:pt>
                <c:pt idx="423">
                  <c:v>38244</c:v>
                </c:pt>
                <c:pt idx="424">
                  <c:v>38245</c:v>
                </c:pt>
                <c:pt idx="425">
                  <c:v>38246</c:v>
                </c:pt>
                <c:pt idx="426">
                  <c:v>38247</c:v>
                </c:pt>
                <c:pt idx="427">
                  <c:v>38250</c:v>
                </c:pt>
                <c:pt idx="428">
                  <c:v>38251</c:v>
                </c:pt>
                <c:pt idx="429">
                  <c:v>38252</c:v>
                </c:pt>
                <c:pt idx="430">
                  <c:v>38253</c:v>
                </c:pt>
                <c:pt idx="431">
                  <c:v>38254</c:v>
                </c:pt>
                <c:pt idx="432">
                  <c:v>38257</c:v>
                </c:pt>
                <c:pt idx="433">
                  <c:v>38258</c:v>
                </c:pt>
                <c:pt idx="434">
                  <c:v>38259</c:v>
                </c:pt>
                <c:pt idx="435">
                  <c:v>38260</c:v>
                </c:pt>
                <c:pt idx="436">
                  <c:v>38261</c:v>
                </c:pt>
                <c:pt idx="437">
                  <c:v>38264</c:v>
                </c:pt>
                <c:pt idx="438">
                  <c:v>38265</c:v>
                </c:pt>
                <c:pt idx="439">
                  <c:v>38266</c:v>
                </c:pt>
                <c:pt idx="440">
                  <c:v>38267</c:v>
                </c:pt>
                <c:pt idx="441">
                  <c:v>38271</c:v>
                </c:pt>
                <c:pt idx="442">
                  <c:v>38272</c:v>
                </c:pt>
                <c:pt idx="443">
                  <c:v>38273</c:v>
                </c:pt>
                <c:pt idx="444">
                  <c:v>38274</c:v>
                </c:pt>
                <c:pt idx="445">
                  <c:v>38275</c:v>
                </c:pt>
                <c:pt idx="446">
                  <c:v>38278</c:v>
                </c:pt>
                <c:pt idx="447">
                  <c:v>38279</c:v>
                </c:pt>
                <c:pt idx="448">
                  <c:v>38280</c:v>
                </c:pt>
                <c:pt idx="449">
                  <c:v>38281</c:v>
                </c:pt>
                <c:pt idx="450">
                  <c:v>38282</c:v>
                </c:pt>
                <c:pt idx="451">
                  <c:v>38285</c:v>
                </c:pt>
                <c:pt idx="452">
                  <c:v>38286</c:v>
                </c:pt>
                <c:pt idx="453">
                  <c:v>38287</c:v>
                </c:pt>
                <c:pt idx="454">
                  <c:v>38288</c:v>
                </c:pt>
                <c:pt idx="455">
                  <c:v>38289</c:v>
                </c:pt>
                <c:pt idx="456">
                  <c:v>38293</c:v>
                </c:pt>
                <c:pt idx="457">
                  <c:v>38294</c:v>
                </c:pt>
                <c:pt idx="458">
                  <c:v>38295</c:v>
                </c:pt>
                <c:pt idx="459">
                  <c:v>38296</c:v>
                </c:pt>
                <c:pt idx="460">
                  <c:v>38299</c:v>
                </c:pt>
                <c:pt idx="461">
                  <c:v>38300</c:v>
                </c:pt>
                <c:pt idx="462">
                  <c:v>38301</c:v>
                </c:pt>
                <c:pt idx="463">
                  <c:v>38302</c:v>
                </c:pt>
                <c:pt idx="464">
                  <c:v>38303</c:v>
                </c:pt>
                <c:pt idx="465">
                  <c:v>38306</c:v>
                </c:pt>
                <c:pt idx="466">
                  <c:v>38307</c:v>
                </c:pt>
                <c:pt idx="467">
                  <c:v>38308</c:v>
                </c:pt>
                <c:pt idx="468">
                  <c:v>38309</c:v>
                </c:pt>
                <c:pt idx="469">
                  <c:v>38310</c:v>
                </c:pt>
                <c:pt idx="470">
                  <c:v>38313</c:v>
                </c:pt>
                <c:pt idx="471">
                  <c:v>38313</c:v>
                </c:pt>
                <c:pt idx="472">
                  <c:v>38314</c:v>
                </c:pt>
                <c:pt idx="473">
                  <c:v>38314</c:v>
                </c:pt>
                <c:pt idx="474">
                  <c:v>38315</c:v>
                </c:pt>
                <c:pt idx="475">
                  <c:v>38315</c:v>
                </c:pt>
                <c:pt idx="476">
                  <c:v>38316</c:v>
                </c:pt>
                <c:pt idx="477">
                  <c:v>38316</c:v>
                </c:pt>
                <c:pt idx="478">
                  <c:v>38317</c:v>
                </c:pt>
                <c:pt idx="479">
                  <c:v>38317</c:v>
                </c:pt>
                <c:pt idx="480">
                  <c:v>38320</c:v>
                </c:pt>
                <c:pt idx="481">
                  <c:v>38320</c:v>
                </c:pt>
                <c:pt idx="482">
                  <c:v>38321</c:v>
                </c:pt>
                <c:pt idx="483">
                  <c:v>38321</c:v>
                </c:pt>
                <c:pt idx="484">
                  <c:v>38322</c:v>
                </c:pt>
                <c:pt idx="485">
                  <c:v>38322</c:v>
                </c:pt>
                <c:pt idx="486">
                  <c:v>38323</c:v>
                </c:pt>
                <c:pt idx="487">
                  <c:v>38323</c:v>
                </c:pt>
                <c:pt idx="488">
                  <c:v>38324</c:v>
                </c:pt>
                <c:pt idx="489">
                  <c:v>38324</c:v>
                </c:pt>
                <c:pt idx="490">
                  <c:v>38327</c:v>
                </c:pt>
                <c:pt idx="491">
                  <c:v>38327</c:v>
                </c:pt>
                <c:pt idx="492">
                  <c:v>38328</c:v>
                </c:pt>
                <c:pt idx="493">
                  <c:v>38328</c:v>
                </c:pt>
                <c:pt idx="494">
                  <c:v>38329</c:v>
                </c:pt>
                <c:pt idx="495">
                  <c:v>38329</c:v>
                </c:pt>
                <c:pt idx="496">
                  <c:v>38330</c:v>
                </c:pt>
                <c:pt idx="497">
                  <c:v>38330</c:v>
                </c:pt>
                <c:pt idx="498">
                  <c:v>38331</c:v>
                </c:pt>
                <c:pt idx="499">
                  <c:v>38331</c:v>
                </c:pt>
                <c:pt idx="500">
                  <c:v>38334</c:v>
                </c:pt>
                <c:pt idx="501">
                  <c:v>38334</c:v>
                </c:pt>
                <c:pt idx="502">
                  <c:v>38335</c:v>
                </c:pt>
                <c:pt idx="503">
                  <c:v>38335</c:v>
                </c:pt>
                <c:pt idx="504">
                  <c:v>38336</c:v>
                </c:pt>
                <c:pt idx="505">
                  <c:v>38336</c:v>
                </c:pt>
                <c:pt idx="506">
                  <c:v>38337</c:v>
                </c:pt>
                <c:pt idx="507">
                  <c:v>38337</c:v>
                </c:pt>
                <c:pt idx="508">
                  <c:v>38338</c:v>
                </c:pt>
                <c:pt idx="509">
                  <c:v>38338</c:v>
                </c:pt>
                <c:pt idx="510">
                  <c:v>38341</c:v>
                </c:pt>
                <c:pt idx="511">
                  <c:v>38341</c:v>
                </c:pt>
                <c:pt idx="512">
                  <c:v>38342</c:v>
                </c:pt>
                <c:pt idx="513">
                  <c:v>38343</c:v>
                </c:pt>
                <c:pt idx="514">
                  <c:v>38344</c:v>
                </c:pt>
                <c:pt idx="515">
                  <c:v>38348</c:v>
                </c:pt>
                <c:pt idx="516">
                  <c:v>38349</c:v>
                </c:pt>
                <c:pt idx="517">
                  <c:v>38350</c:v>
                </c:pt>
                <c:pt idx="518">
                  <c:v>38351</c:v>
                </c:pt>
                <c:pt idx="519">
                  <c:v>38352</c:v>
                </c:pt>
                <c:pt idx="520">
                  <c:v>38355</c:v>
                </c:pt>
                <c:pt idx="521">
                  <c:v>38356</c:v>
                </c:pt>
                <c:pt idx="522">
                  <c:v>38357</c:v>
                </c:pt>
                <c:pt idx="523">
                  <c:v>38359</c:v>
                </c:pt>
                <c:pt idx="524">
                  <c:v>38362</c:v>
                </c:pt>
                <c:pt idx="525">
                  <c:v>38363</c:v>
                </c:pt>
                <c:pt idx="526">
                  <c:v>38364</c:v>
                </c:pt>
                <c:pt idx="527">
                  <c:v>38365</c:v>
                </c:pt>
                <c:pt idx="528">
                  <c:v>38366</c:v>
                </c:pt>
                <c:pt idx="529">
                  <c:v>38369</c:v>
                </c:pt>
                <c:pt idx="530">
                  <c:v>38370</c:v>
                </c:pt>
                <c:pt idx="531">
                  <c:v>38371</c:v>
                </c:pt>
                <c:pt idx="532">
                  <c:v>38372</c:v>
                </c:pt>
                <c:pt idx="533">
                  <c:v>38373</c:v>
                </c:pt>
                <c:pt idx="534">
                  <c:v>38376</c:v>
                </c:pt>
                <c:pt idx="535">
                  <c:v>38377</c:v>
                </c:pt>
                <c:pt idx="536">
                  <c:v>38378</c:v>
                </c:pt>
                <c:pt idx="537">
                  <c:v>38379</c:v>
                </c:pt>
                <c:pt idx="538">
                  <c:v>38380</c:v>
                </c:pt>
                <c:pt idx="539">
                  <c:v>38383</c:v>
                </c:pt>
                <c:pt idx="540">
                  <c:v>38384</c:v>
                </c:pt>
                <c:pt idx="541">
                  <c:v>38385</c:v>
                </c:pt>
                <c:pt idx="542">
                  <c:v>38386</c:v>
                </c:pt>
                <c:pt idx="543">
                  <c:v>38387</c:v>
                </c:pt>
                <c:pt idx="544">
                  <c:v>38390</c:v>
                </c:pt>
                <c:pt idx="545">
                  <c:v>38391</c:v>
                </c:pt>
                <c:pt idx="546">
                  <c:v>38392</c:v>
                </c:pt>
                <c:pt idx="547">
                  <c:v>38393</c:v>
                </c:pt>
                <c:pt idx="548">
                  <c:v>38394</c:v>
                </c:pt>
                <c:pt idx="549">
                  <c:v>38397</c:v>
                </c:pt>
                <c:pt idx="550">
                  <c:v>38398</c:v>
                </c:pt>
                <c:pt idx="551">
                  <c:v>38399</c:v>
                </c:pt>
                <c:pt idx="552">
                  <c:v>38400</c:v>
                </c:pt>
                <c:pt idx="553">
                  <c:v>38401</c:v>
                </c:pt>
                <c:pt idx="554">
                  <c:v>38404</c:v>
                </c:pt>
                <c:pt idx="555">
                  <c:v>38405</c:v>
                </c:pt>
                <c:pt idx="556">
                  <c:v>38406</c:v>
                </c:pt>
                <c:pt idx="557">
                  <c:v>38407</c:v>
                </c:pt>
                <c:pt idx="558">
                  <c:v>38408</c:v>
                </c:pt>
                <c:pt idx="559">
                  <c:v>38411</c:v>
                </c:pt>
                <c:pt idx="560">
                  <c:v>38412</c:v>
                </c:pt>
                <c:pt idx="561">
                  <c:v>38413</c:v>
                </c:pt>
                <c:pt idx="562">
                  <c:v>38414</c:v>
                </c:pt>
                <c:pt idx="563">
                  <c:v>38415</c:v>
                </c:pt>
                <c:pt idx="564">
                  <c:v>38418</c:v>
                </c:pt>
                <c:pt idx="565">
                  <c:v>38419</c:v>
                </c:pt>
                <c:pt idx="566">
                  <c:v>38420</c:v>
                </c:pt>
                <c:pt idx="567">
                  <c:v>38421</c:v>
                </c:pt>
                <c:pt idx="568">
                  <c:v>38422</c:v>
                </c:pt>
                <c:pt idx="569">
                  <c:v>38425</c:v>
                </c:pt>
                <c:pt idx="570">
                  <c:v>38426</c:v>
                </c:pt>
                <c:pt idx="571">
                  <c:v>38427</c:v>
                </c:pt>
                <c:pt idx="572">
                  <c:v>38428</c:v>
                </c:pt>
                <c:pt idx="573">
                  <c:v>38429</c:v>
                </c:pt>
                <c:pt idx="574">
                  <c:v>38432</c:v>
                </c:pt>
                <c:pt idx="575">
                  <c:v>38433</c:v>
                </c:pt>
                <c:pt idx="576">
                  <c:v>38434</c:v>
                </c:pt>
                <c:pt idx="577">
                  <c:v>38435</c:v>
                </c:pt>
                <c:pt idx="578">
                  <c:v>38440</c:v>
                </c:pt>
                <c:pt idx="579">
                  <c:v>38441</c:v>
                </c:pt>
                <c:pt idx="580">
                  <c:v>38442</c:v>
                </c:pt>
                <c:pt idx="581">
                  <c:v>38443</c:v>
                </c:pt>
                <c:pt idx="582">
                  <c:v>38446</c:v>
                </c:pt>
                <c:pt idx="583">
                  <c:v>38447</c:v>
                </c:pt>
                <c:pt idx="584">
                  <c:v>38448</c:v>
                </c:pt>
                <c:pt idx="585">
                  <c:v>38449</c:v>
                </c:pt>
                <c:pt idx="586">
                  <c:v>38450</c:v>
                </c:pt>
                <c:pt idx="587">
                  <c:v>38453</c:v>
                </c:pt>
                <c:pt idx="588">
                  <c:v>38454</c:v>
                </c:pt>
                <c:pt idx="589">
                  <c:v>38455</c:v>
                </c:pt>
                <c:pt idx="590">
                  <c:v>38456</c:v>
                </c:pt>
                <c:pt idx="591">
                  <c:v>38457</c:v>
                </c:pt>
                <c:pt idx="592">
                  <c:v>38460</c:v>
                </c:pt>
                <c:pt idx="593">
                  <c:v>38461</c:v>
                </c:pt>
                <c:pt idx="594">
                  <c:v>38462</c:v>
                </c:pt>
                <c:pt idx="595">
                  <c:v>38463</c:v>
                </c:pt>
                <c:pt idx="596">
                  <c:v>38464</c:v>
                </c:pt>
                <c:pt idx="597">
                  <c:v>38467</c:v>
                </c:pt>
                <c:pt idx="598">
                  <c:v>38468</c:v>
                </c:pt>
                <c:pt idx="599">
                  <c:v>38469</c:v>
                </c:pt>
                <c:pt idx="600">
                  <c:v>38470</c:v>
                </c:pt>
                <c:pt idx="601">
                  <c:v>38471</c:v>
                </c:pt>
                <c:pt idx="602">
                  <c:v>38474</c:v>
                </c:pt>
                <c:pt idx="603">
                  <c:v>38475</c:v>
                </c:pt>
                <c:pt idx="604">
                  <c:v>38476</c:v>
                </c:pt>
                <c:pt idx="605">
                  <c:v>38477</c:v>
                </c:pt>
                <c:pt idx="606">
                  <c:v>38478</c:v>
                </c:pt>
                <c:pt idx="607">
                  <c:v>38481</c:v>
                </c:pt>
                <c:pt idx="608">
                  <c:v>38482</c:v>
                </c:pt>
                <c:pt idx="609">
                  <c:v>38483</c:v>
                </c:pt>
                <c:pt idx="610">
                  <c:v>38484</c:v>
                </c:pt>
                <c:pt idx="611">
                  <c:v>38485</c:v>
                </c:pt>
                <c:pt idx="612">
                  <c:v>38488</c:v>
                </c:pt>
                <c:pt idx="613">
                  <c:v>38489</c:v>
                </c:pt>
                <c:pt idx="614">
                  <c:v>38490</c:v>
                </c:pt>
                <c:pt idx="615">
                  <c:v>38491</c:v>
                </c:pt>
                <c:pt idx="616">
                  <c:v>38492</c:v>
                </c:pt>
                <c:pt idx="617">
                  <c:v>38495</c:v>
                </c:pt>
                <c:pt idx="618">
                  <c:v>38496</c:v>
                </c:pt>
                <c:pt idx="619">
                  <c:v>38497</c:v>
                </c:pt>
                <c:pt idx="620">
                  <c:v>38499</c:v>
                </c:pt>
                <c:pt idx="621">
                  <c:v>38502</c:v>
                </c:pt>
                <c:pt idx="622">
                  <c:v>38503</c:v>
                </c:pt>
                <c:pt idx="623">
                  <c:v>38504</c:v>
                </c:pt>
                <c:pt idx="624">
                  <c:v>38505</c:v>
                </c:pt>
                <c:pt idx="625">
                  <c:v>38506</c:v>
                </c:pt>
                <c:pt idx="626">
                  <c:v>38509</c:v>
                </c:pt>
                <c:pt idx="627">
                  <c:v>38510</c:v>
                </c:pt>
                <c:pt idx="628">
                  <c:v>38511</c:v>
                </c:pt>
                <c:pt idx="629">
                  <c:v>38512</c:v>
                </c:pt>
                <c:pt idx="630">
                  <c:v>38513</c:v>
                </c:pt>
                <c:pt idx="631">
                  <c:v>38516</c:v>
                </c:pt>
                <c:pt idx="632">
                  <c:v>38517</c:v>
                </c:pt>
                <c:pt idx="633">
                  <c:v>38518</c:v>
                </c:pt>
                <c:pt idx="634">
                  <c:v>38519</c:v>
                </c:pt>
                <c:pt idx="635">
                  <c:v>38520</c:v>
                </c:pt>
                <c:pt idx="636">
                  <c:v>38523</c:v>
                </c:pt>
                <c:pt idx="637">
                  <c:v>38524</c:v>
                </c:pt>
                <c:pt idx="638">
                  <c:v>38526</c:v>
                </c:pt>
                <c:pt idx="639">
                  <c:v>38527</c:v>
                </c:pt>
                <c:pt idx="640">
                  <c:v>38530</c:v>
                </c:pt>
                <c:pt idx="641">
                  <c:v>38531</c:v>
                </c:pt>
                <c:pt idx="642">
                  <c:v>38532</c:v>
                </c:pt>
                <c:pt idx="643">
                  <c:v>38533</c:v>
                </c:pt>
                <c:pt idx="644">
                  <c:v>38534</c:v>
                </c:pt>
                <c:pt idx="645">
                  <c:v>38537</c:v>
                </c:pt>
                <c:pt idx="646">
                  <c:v>38538</c:v>
                </c:pt>
                <c:pt idx="647">
                  <c:v>38539</c:v>
                </c:pt>
                <c:pt idx="648">
                  <c:v>38540</c:v>
                </c:pt>
                <c:pt idx="649">
                  <c:v>38541</c:v>
                </c:pt>
                <c:pt idx="650">
                  <c:v>38544</c:v>
                </c:pt>
                <c:pt idx="651">
                  <c:v>38545</c:v>
                </c:pt>
                <c:pt idx="652">
                  <c:v>38546</c:v>
                </c:pt>
                <c:pt idx="653">
                  <c:v>38547</c:v>
                </c:pt>
                <c:pt idx="654">
                  <c:v>38548</c:v>
                </c:pt>
                <c:pt idx="655">
                  <c:v>38551</c:v>
                </c:pt>
                <c:pt idx="656">
                  <c:v>38552</c:v>
                </c:pt>
                <c:pt idx="657">
                  <c:v>38553</c:v>
                </c:pt>
                <c:pt idx="658">
                  <c:v>38554</c:v>
                </c:pt>
                <c:pt idx="659">
                  <c:v>38555</c:v>
                </c:pt>
                <c:pt idx="660">
                  <c:v>38558</c:v>
                </c:pt>
                <c:pt idx="661">
                  <c:v>38559</c:v>
                </c:pt>
                <c:pt idx="662">
                  <c:v>38560</c:v>
                </c:pt>
                <c:pt idx="663">
                  <c:v>38561</c:v>
                </c:pt>
                <c:pt idx="664">
                  <c:v>38562</c:v>
                </c:pt>
                <c:pt idx="665">
                  <c:v>38565</c:v>
                </c:pt>
                <c:pt idx="666">
                  <c:v>38566</c:v>
                </c:pt>
                <c:pt idx="667">
                  <c:v>38567</c:v>
                </c:pt>
                <c:pt idx="668">
                  <c:v>38568</c:v>
                </c:pt>
                <c:pt idx="669">
                  <c:v>38572</c:v>
                </c:pt>
                <c:pt idx="670">
                  <c:v>38573</c:v>
                </c:pt>
                <c:pt idx="671">
                  <c:v>38574</c:v>
                </c:pt>
                <c:pt idx="672">
                  <c:v>38575</c:v>
                </c:pt>
                <c:pt idx="673">
                  <c:v>38576</c:v>
                </c:pt>
                <c:pt idx="674">
                  <c:v>38580</c:v>
                </c:pt>
                <c:pt idx="675">
                  <c:v>38581</c:v>
                </c:pt>
                <c:pt idx="676">
                  <c:v>38582</c:v>
                </c:pt>
                <c:pt idx="677">
                  <c:v>38583</c:v>
                </c:pt>
                <c:pt idx="678">
                  <c:v>38586</c:v>
                </c:pt>
                <c:pt idx="679">
                  <c:v>38587</c:v>
                </c:pt>
                <c:pt idx="680">
                  <c:v>38588</c:v>
                </c:pt>
                <c:pt idx="681">
                  <c:v>38589</c:v>
                </c:pt>
                <c:pt idx="682">
                  <c:v>38590</c:v>
                </c:pt>
                <c:pt idx="683">
                  <c:v>38593</c:v>
                </c:pt>
                <c:pt idx="684">
                  <c:v>38594</c:v>
                </c:pt>
                <c:pt idx="685">
                  <c:v>38595</c:v>
                </c:pt>
                <c:pt idx="686">
                  <c:v>38596</c:v>
                </c:pt>
                <c:pt idx="687">
                  <c:v>38597</c:v>
                </c:pt>
                <c:pt idx="688">
                  <c:v>38600</c:v>
                </c:pt>
                <c:pt idx="689">
                  <c:v>38601</c:v>
                </c:pt>
                <c:pt idx="690">
                  <c:v>38602</c:v>
                </c:pt>
                <c:pt idx="691">
                  <c:v>38603</c:v>
                </c:pt>
                <c:pt idx="692">
                  <c:v>38604</c:v>
                </c:pt>
                <c:pt idx="693">
                  <c:v>38607</c:v>
                </c:pt>
                <c:pt idx="694">
                  <c:v>38608</c:v>
                </c:pt>
                <c:pt idx="695">
                  <c:v>38609</c:v>
                </c:pt>
                <c:pt idx="696">
                  <c:v>38610</c:v>
                </c:pt>
                <c:pt idx="697">
                  <c:v>38611</c:v>
                </c:pt>
                <c:pt idx="698">
                  <c:v>38614</c:v>
                </c:pt>
                <c:pt idx="699">
                  <c:v>38615</c:v>
                </c:pt>
                <c:pt idx="700">
                  <c:v>38616</c:v>
                </c:pt>
                <c:pt idx="701">
                  <c:v>38617</c:v>
                </c:pt>
                <c:pt idx="702">
                  <c:v>38618</c:v>
                </c:pt>
                <c:pt idx="703">
                  <c:v>38621</c:v>
                </c:pt>
                <c:pt idx="704">
                  <c:v>38622</c:v>
                </c:pt>
                <c:pt idx="705">
                  <c:v>38623</c:v>
                </c:pt>
                <c:pt idx="706">
                  <c:v>38624</c:v>
                </c:pt>
                <c:pt idx="707">
                  <c:v>38625</c:v>
                </c:pt>
                <c:pt idx="708">
                  <c:v>38628</c:v>
                </c:pt>
                <c:pt idx="709">
                  <c:v>38629</c:v>
                </c:pt>
                <c:pt idx="710">
                  <c:v>38630</c:v>
                </c:pt>
                <c:pt idx="711">
                  <c:v>38631</c:v>
                </c:pt>
                <c:pt idx="712">
                  <c:v>38632</c:v>
                </c:pt>
                <c:pt idx="713">
                  <c:v>38635</c:v>
                </c:pt>
                <c:pt idx="714">
                  <c:v>38636</c:v>
                </c:pt>
                <c:pt idx="715">
                  <c:v>38637</c:v>
                </c:pt>
                <c:pt idx="716">
                  <c:v>38638</c:v>
                </c:pt>
                <c:pt idx="717">
                  <c:v>38639</c:v>
                </c:pt>
                <c:pt idx="718">
                  <c:v>38642</c:v>
                </c:pt>
                <c:pt idx="719">
                  <c:v>38643</c:v>
                </c:pt>
                <c:pt idx="720">
                  <c:v>38644</c:v>
                </c:pt>
                <c:pt idx="721">
                  <c:v>38645</c:v>
                </c:pt>
                <c:pt idx="722">
                  <c:v>38646</c:v>
                </c:pt>
                <c:pt idx="723">
                  <c:v>38649</c:v>
                </c:pt>
                <c:pt idx="724">
                  <c:v>38650</c:v>
                </c:pt>
                <c:pt idx="725">
                  <c:v>38651</c:v>
                </c:pt>
                <c:pt idx="726">
                  <c:v>38652</c:v>
                </c:pt>
                <c:pt idx="727">
                  <c:v>38653</c:v>
                </c:pt>
                <c:pt idx="728">
                  <c:v>38656</c:v>
                </c:pt>
                <c:pt idx="729">
                  <c:v>38658</c:v>
                </c:pt>
                <c:pt idx="730">
                  <c:v>38659</c:v>
                </c:pt>
                <c:pt idx="731">
                  <c:v>38660</c:v>
                </c:pt>
                <c:pt idx="732">
                  <c:v>38663</c:v>
                </c:pt>
                <c:pt idx="733">
                  <c:v>38664</c:v>
                </c:pt>
                <c:pt idx="734">
                  <c:v>38665</c:v>
                </c:pt>
                <c:pt idx="735">
                  <c:v>38666</c:v>
                </c:pt>
                <c:pt idx="736">
                  <c:v>38667</c:v>
                </c:pt>
                <c:pt idx="737">
                  <c:v>38670</c:v>
                </c:pt>
                <c:pt idx="738">
                  <c:v>38670</c:v>
                </c:pt>
                <c:pt idx="739">
                  <c:v>38671</c:v>
                </c:pt>
                <c:pt idx="740">
                  <c:v>38671</c:v>
                </c:pt>
                <c:pt idx="741">
                  <c:v>38672</c:v>
                </c:pt>
                <c:pt idx="742">
                  <c:v>38672</c:v>
                </c:pt>
                <c:pt idx="743">
                  <c:v>38673</c:v>
                </c:pt>
                <c:pt idx="744">
                  <c:v>38673</c:v>
                </c:pt>
                <c:pt idx="745">
                  <c:v>38674</c:v>
                </c:pt>
                <c:pt idx="746">
                  <c:v>38674</c:v>
                </c:pt>
                <c:pt idx="747">
                  <c:v>38677</c:v>
                </c:pt>
                <c:pt idx="748">
                  <c:v>38677</c:v>
                </c:pt>
                <c:pt idx="749">
                  <c:v>38678</c:v>
                </c:pt>
                <c:pt idx="750">
                  <c:v>38678</c:v>
                </c:pt>
                <c:pt idx="751">
                  <c:v>38679</c:v>
                </c:pt>
                <c:pt idx="752">
                  <c:v>38679</c:v>
                </c:pt>
                <c:pt idx="753">
                  <c:v>38680</c:v>
                </c:pt>
                <c:pt idx="754">
                  <c:v>38680</c:v>
                </c:pt>
                <c:pt idx="755">
                  <c:v>38681</c:v>
                </c:pt>
                <c:pt idx="756">
                  <c:v>38681</c:v>
                </c:pt>
                <c:pt idx="757">
                  <c:v>38684</c:v>
                </c:pt>
                <c:pt idx="758">
                  <c:v>38684</c:v>
                </c:pt>
                <c:pt idx="759">
                  <c:v>38685</c:v>
                </c:pt>
                <c:pt idx="760">
                  <c:v>38685</c:v>
                </c:pt>
                <c:pt idx="761">
                  <c:v>38686</c:v>
                </c:pt>
                <c:pt idx="762">
                  <c:v>38686</c:v>
                </c:pt>
                <c:pt idx="763">
                  <c:v>38687</c:v>
                </c:pt>
                <c:pt idx="764">
                  <c:v>38687</c:v>
                </c:pt>
                <c:pt idx="765">
                  <c:v>38688</c:v>
                </c:pt>
                <c:pt idx="766">
                  <c:v>38688</c:v>
                </c:pt>
                <c:pt idx="767">
                  <c:v>38691</c:v>
                </c:pt>
                <c:pt idx="768">
                  <c:v>38691</c:v>
                </c:pt>
                <c:pt idx="769">
                  <c:v>38692</c:v>
                </c:pt>
                <c:pt idx="770">
                  <c:v>38692</c:v>
                </c:pt>
                <c:pt idx="771">
                  <c:v>38693</c:v>
                </c:pt>
                <c:pt idx="772">
                  <c:v>38693</c:v>
                </c:pt>
                <c:pt idx="773">
                  <c:v>38694</c:v>
                </c:pt>
                <c:pt idx="774">
                  <c:v>38694</c:v>
                </c:pt>
                <c:pt idx="775">
                  <c:v>38695</c:v>
                </c:pt>
                <c:pt idx="776">
                  <c:v>38695</c:v>
                </c:pt>
                <c:pt idx="777">
                  <c:v>38698</c:v>
                </c:pt>
                <c:pt idx="778">
                  <c:v>38698</c:v>
                </c:pt>
                <c:pt idx="779">
                  <c:v>38699</c:v>
                </c:pt>
                <c:pt idx="780">
                  <c:v>38699</c:v>
                </c:pt>
                <c:pt idx="781">
                  <c:v>38700</c:v>
                </c:pt>
                <c:pt idx="782">
                  <c:v>38700</c:v>
                </c:pt>
                <c:pt idx="783">
                  <c:v>38701</c:v>
                </c:pt>
                <c:pt idx="784">
                  <c:v>38701</c:v>
                </c:pt>
                <c:pt idx="785">
                  <c:v>38702</c:v>
                </c:pt>
                <c:pt idx="786">
                  <c:v>38702</c:v>
                </c:pt>
                <c:pt idx="787">
                  <c:v>38705</c:v>
                </c:pt>
                <c:pt idx="788">
                  <c:v>38705</c:v>
                </c:pt>
                <c:pt idx="789">
                  <c:v>38706</c:v>
                </c:pt>
                <c:pt idx="790">
                  <c:v>38706</c:v>
                </c:pt>
                <c:pt idx="791">
                  <c:v>38707</c:v>
                </c:pt>
                <c:pt idx="792">
                  <c:v>38707</c:v>
                </c:pt>
                <c:pt idx="793">
                  <c:v>38708</c:v>
                </c:pt>
                <c:pt idx="794">
                  <c:v>38708</c:v>
                </c:pt>
                <c:pt idx="795">
                  <c:v>38709</c:v>
                </c:pt>
                <c:pt idx="796">
                  <c:v>38709</c:v>
                </c:pt>
                <c:pt idx="797">
                  <c:v>38713</c:v>
                </c:pt>
                <c:pt idx="798">
                  <c:v>38714</c:v>
                </c:pt>
                <c:pt idx="799">
                  <c:v>38715</c:v>
                </c:pt>
                <c:pt idx="800">
                  <c:v>38716</c:v>
                </c:pt>
                <c:pt idx="801">
                  <c:v>38719</c:v>
                </c:pt>
                <c:pt idx="802">
                  <c:v>38720</c:v>
                </c:pt>
                <c:pt idx="803">
                  <c:v>38721</c:v>
                </c:pt>
                <c:pt idx="804">
                  <c:v>38722</c:v>
                </c:pt>
                <c:pt idx="805">
                  <c:v>38726</c:v>
                </c:pt>
                <c:pt idx="806">
                  <c:v>38727</c:v>
                </c:pt>
                <c:pt idx="807">
                  <c:v>38728</c:v>
                </c:pt>
                <c:pt idx="808">
                  <c:v>38729</c:v>
                </c:pt>
                <c:pt idx="809">
                  <c:v>38730</c:v>
                </c:pt>
                <c:pt idx="810">
                  <c:v>38733</c:v>
                </c:pt>
                <c:pt idx="811">
                  <c:v>38734</c:v>
                </c:pt>
                <c:pt idx="812">
                  <c:v>38735</c:v>
                </c:pt>
                <c:pt idx="813">
                  <c:v>38736</c:v>
                </c:pt>
                <c:pt idx="814">
                  <c:v>38737</c:v>
                </c:pt>
                <c:pt idx="815">
                  <c:v>38740</c:v>
                </c:pt>
                <c:pt idx="816">
                  <c:v>38741</c:v>
                </c:pt>
                <c:pt idx="817">
                  <c:v>38742</c:v>
                </c:pt>
                <c:pt idx="818">
                  <c:v>38743</c:v>
                </c:pt>
                <c:pt idx="819">
                  <c:v>38744</c:v>
                </c:pt>
                <c:pt idx="820">
                  <c:v>38747</c:v>
                </c:pt>
                <c:pt idx="821">
                  <c:v>38748</c:v>
                </c:pt>
                <c:pt idx="822">
                  <c:v>38749</c:v>
                </c:pt>
                <c:pt idx="823">
                  <c:v>38750</c:v>
                </c:pt>
                <c:pt idx="824">
                  <c:v>38751</c:v>
                </c:pt>
                <c:pt idx="825">
                  <c:v>38754</c:v>
                </c:pt>
                <c:pt idx="826">
                  <c:v>38755</c:v>
                </c:pt>
                <c:pt idx="827">
                  <c:v>38756</c:v>
                </c:pt>
                <c:pt idx="828">
                  <c:v>38757</c:v>
                </c:pt>
                <c:pt idx="829">
                  <c:v>38758</c:v>
                </c:pt>
                <c:pt idx="830">
                  <c:v>38761</c:v>
                </c:pt>
                <c:pt idx="831">
                  <c:v>38762</c:v>
                </c:pt>
                <c:pt idx="832">
                  <c:v>38763</c:v>
                </c:pt>
                <c:pt idx="833">
                  <c:v>38764</c:v>
                </c:pt>
                <c:pt idx="834">
                  <c:v>38765</c:v>
                </c:pt>
                <c:pt idx="835">
                  <c:v>38768</c:v>
                </c:pt>
                <c:pt idx="836">
                  <c:v>38769</c:v>
                </c:pt>
                <c:pt idx="837">
                  <c:v>38770</c:v>
                </c:pt>
                <c:pt idx="838">
                  <c:v>38771</c:v>
                </c:pt>
                <c:pt idx="839">
                  <c:v>38772</c:v>
                </c:pt>
                <c:pt idx="840">
                  <c:v>38775</c:v>
                </c:pt>
                <c:pt idx="841">
                  <c:v>38776</c:v>
                </c:pt>
                <c:pt idx="842">
                  <c:v>38777</c:v>
                </c:pt>
                <c:pt idx="843">
                  <c:v>38778</c:v>
                </c:pt>
                <c:pt idx="844">
                  <c:v>38779</c:v>
                </c:pt>
                <c:pt idx="845">
                  <c:v>38782</c:v>
                </c:pt>
                <c:pt idx="846">
                  <c:v>38783</c:v>
                </c:pt>
                <c:pt idx="847">
                  <c:v>38784</c:v>
                </c:pt>
                <c:pt idx="848">
                  <c:v>38785</c:v>
                </c:pt>
                <c:pt idx="849">
                  <c:v>38786</c:v>
                </c:pt>
                <c:pt idx="850">
                  <c:v>38789</c:v>
                </c:pt>
                <c:pt idx="851">
                  <c:v>38790</c:v>
                </c:pt>
                <c:pt idx="852">
                  <c:v>38791</c:v>
                </c:pt>
                <c:pt idx="853">
                  <c:v>38792</c:v>
                </c:pt>
                <c:pt idx="854">
                  <c:v>38793</c:v>
                </c:pt>
                <c:pt idx="855">
                  <c:v>38797</c:v>
                </c:pt>
                <c:pt idx="856">
                  <c:v>38798</c:v>
                </c:pt>
                <c:pt idx="857">
                  <c:v>38799</c:v>
                </c:pt>
                <c:pt idx="858">
                  <c:v>38800</c:v>
                </c:pt>
                <c:pt idx="859">
                  <c:v>38803</c:v>
                </c:pt>
                <c:pt idx="860">
                  <c:v>38804</c:v>
                </c:pt>
                <c:pt idx="861">
                  <c:v>38805</c:v>
                </c:pt>
                <c:pt idx="862">
                  <c:v>38806</c:v>
                </c:pt>
                <c:pt idx="863">
                  <c:v>38807</c:v>
                </c:pt>
                <c:pt idx="864">
                  <c:v>38810</c:v>
                </c:pt>
                <c:pt idx="865">
                  <c:v>38811</c:v>
                </c:pt>
                <c:pt idx="866">
                  <c:v>38812</c:v>
                </c:pt>
                <c:pt idx="867">
                  <c:v>38813</c:v>
                </c:pt>
                <c:pt idx="868">
                  <c:v>38814</c:v>
                </c:pt>
                <c:pt idx="869">
                  <c:v>38817</c:v>
                </c:pt>
                <c:pt idx="870">
                  <c:v>38818</c:v>
                </c:pt>
                <c:pt idx="871">
                  <c:v>38819</c:v>
                </c:pt>
                <c:pt idx="872">
                  <c:v>38820</c:v>
                </c:pt>
                <c:pt idx="873">
                  <c:v>38825</c:v>
                </c:pt>
                <c:pt idx="874">
                  <c:v>38826</c:v>
                </c:pt>
                <c:pt idx="875">
                  <c:v>38827</c:v>
                </c:pt>
                <c:pt idx="876">
                  <c:v>38828</c:v>
                </c:pt>
                <c:pt idx="877">
                  <c:v>38831</c:v>
                </c:pt>
                <c:pt idx="878">
                  <c:v>38832</c:v>
                </c:pt>
                <c:pt idx="879">
                  <c:v>38833</c:v>
                </c:pt>
                <c:pt idx="880">
                  <c:v>38834</c:v>
                </c:pt>
                <c:pt idx="881">
                  <c:v>38835</c:v>
                </c:pt>
                <c:pt idx="882">
                  <c:v>38839</c:v>
                </c:pt>
                <c:pt idx="883">
                  <c:v>38840</c:v>
                </c:pt>
                <c:pt idx="884">
                  <c:v>38841</c:v>
                </c:pt>
                <c:pt idx="885">
                  <c:v>38842</c:v>
                </c:pt>
                <c:pt idx="886">
                  <c:v>38845</c:v>
                </c:pt>
                <c:pt idx="887">
                  <c:v>38846</c:v>
                </c:pt>
                <c:pt idx="888">
                  <c:v>38847</c:v>
                </c:pt>
                <c:pt idx="889">
                  <c:v>38848</c:v>
                </c:pt>
                <c:pt idx="890">
                  <c:v>38849</c:v>
                </c:pt>
                <c:pt idx="891">
                  <c:v>38852</c:v>
                </c:pt>
                <c:pt idx="892">
                  <c:v>38853</c:v>
                </c:pt>
                <c:pt idx="893">
                  <c:v>38854</c:v>
                </c:pt>
                <c:pt idx="894">
                  <c:v>38855</c:v>
                </c:pt>
                <c:pt idx="895">
                  <c:v>38856</c:v>
                </c:pt>
                <c:pt idx="896">
                  <c:v>38859</c:v>
                </c:pt>
                <c:pt idx="897">
                  <c:v>38860</c:v>
                </c:pt>
                <c:pt idx="898">
                  <c:v>38861</c:v>
                </c:pt>
                <c:pt idx="899">
                  <c:v>38862</c:v>
                </c:pt>
                <c:pt idx="900">
                  <c:v>38863</c:v>
                </c:pt>
                <c:pt idx="901">
                  <c:v>38866</c:v>
                </c:pt>
                <c:pt idx="902">
                  <c:v>38867</c:v>
                </c:pt>
                <c:pt idx="903">
                  <c:v>38868</c:v>
                </c:pt>
                <c:pt idx="904">
                  <c:v>38869</c:v>
                </c:pt>
                <c:pt idx="905">
                  <c:v>38870</c:v>
                </c:pt>
                <c:pt idx="906">
                  <c:v>38873</c:v>
                </c:pt>
                <c:pt idx="907">
                  <c:v>38874</c:v>
                </c:pt>
                <c:pt idx="908">
                  <c:v>38875</c:v>
                </c:pt>
                <c:pt idx="909">
                  <c:v>38876</c:v>
                </c:pt>
                <c:pt idx="910">
                  <c:v>38877</c:v>
                </c:pt>
                <c:pt idx="911">
                  <c:v>38880</c:v>
                </c:pt>
                <c:pt idx="912">
                  <c:v>38881</c:v>
                </c:pt>
                <c:pt idx="913">
                  <c:v>38882</c:v>
                </c:pt>
                <c:pt idx="914">
                  <c:v>38884</c:v>
                </c:pt>
                <c:pt idx="915">
                  <c:v>38887</c:v>
                </c:pt>
                <c:pt idx="916">
                  <c:v>38888</c:v>
                </c:pt>
                <c:pt idx="917">
                  <c:v>38889</c:v>
                </c:pt>
                <c:pt idx="918">
                  <c:v>38891</c:v>
                </c:pt>
                <c:pt idx="919">
                  <c:v>38894</c:v>
                </c:pt>
                <c:pt idx="920">
                  <c:v>38895</c:v>
                </c:pt>
                <c:pt idx="921">
                  <c:v>38896</c:v>
                </c:pt>
                <c:pt idx="922">
                  <c:v>38897</c:v>
                </c:pt>
                <c:pt idx="923">
                  <c:v>38898</c:v>
                </c:pt>
                <c:pt idx="924">
                  <c:v>38901</c:v>
                </c:pt>
                <c:pt idx="925">
                  <c:v>38902</c:v>
                </c:pt>
                <c:pt idx="926">
                  <c:v>38903</c:v>
                </c:pt>
                <c:pt idx="927">
                  <c:v>38904</c:v>
                </c:pt>
                <c:pt idx="928">
                  <c:v>38905</c:v>
                </c:pt>
                <c:pt idx="929">
                  <c:v>38908</c:v>
                </c:pt>
                <c:pt idx="930">
                  <c:v>38909</c:v>
                </c:pt>
                <c:pt idx="931">
                  <c:v>38910</c:v>
                </c:pt>
                <c:pt idx="932">
                  <c:v>38911</c:v>
                </c:pt>
                <c:pt idx="933">
                  <c:v>38912</c:v>
                </c:pt>
                <c:pt idx="934">
                  <c:v>38915</c:v>
                </c:pt>
                <c:pt idx="935">
                  <c:v>38916</c:v>
                </c:pt>
                <c:pt idx="936">
                  <c:v>38917</c:v>
                </c:pt>
                <c:pt idx="937">
                  <c:v>38918</c:v>
                </c:pt>
                <c:pt idx="938">
                  <c:v>38919</c:v>
                </c:pt>
                <c:pt idx="939">
                  <c:v>38922</c:v>
                </c:pt>
                <c:pt idx="940">
                  <c:v>38923</c:v>
                </c:pt>
                <c:pt idx="941">
                  <c:v>38924</c:v>
                </c:pt>
                <c:pt idx="942">
                  <c:v>38925</c:v>
                </c:pt>
                <c:pt idx="943">
                  <c:v>38926</c:v>
                </c:pt>
                <c:pt idx="944">
                  <c:v>38929</c:v>
                </c:pt>
                <c:pt idx="945">
                  <c:v>38930</c:v>
                </c:pt>
                <c:pt idx="946">
                  <c:v>38931</c:v>
                </c:pt>
                <c:pt idx="947">
                  <c:v>38932</c:v>
                </c:pt>
                <c:pt idx="948">
                  <c:v>38933</c:v>
                </c:pt>
                <c:pt idx="949">
                  <c:v>38936</c:v>
                </c:pt>
                <c:pt idx="950">
                  <c:v>38937</c:v>
                </c:pt>
                <c:pt idx="951">
                  <c:v>38938</c:v>
                </c:pt>
                <c:pt idx="952">
                  <c:v>38939</c:v>
                </c:pt>
                <c:pt idx="953">
                  <c:v>38940</c:v>
                </c:pt>
                <c:pt idx="954">
                  <c:v>38943</c:v>
                </c:pt>
                <c:pt idx="955">
                  <c:v>38945</c:v>
                </c:pt>
                <c:pt idx="956">
                  <c:v>38946</c:v>
                </c:pt>
                <c:pt idx="957">
                  <c:v>38947</c:v>
                </c:pt>
                <c:pt idx="958">
                  <c:v>38950</c:v>
                </c:pt>
                <c:pt idx="959">
                  <c:v>38951</c:v>
                </c:pt>
                <c:pt idx="960">
                  <c:v>38952</c:v>
                </c:pt>
                <c:pt idx="961">
                  <c:v>38953</c:v>
                </c:pt>
                <c:pt idx="962">
                  <c:v>38954</c:v>
                </c:pt>
                <c:pt idx="963">
                  <c:v>38957</c:v>
                </c:pt>
                <c:pt idx="964">
                  <c:v>38958</c:v>
                </c:pt>
                <c:pt idx="965">
                  <c:v>38959</c:v>
                </c:pt>
                <c:pt idx="966">
                  <c:v>38960</c:v>
                </c:pt>
                <c:pt idx="967">
                  <c:v>38961</c:v>
                </c:pt>
                <c:pt idx="968">
                  <c:v>38964</c:v>
                </c:pt>
                <c:pt idx="969">
                  <c:v>38965</c:v>
                </c:pt>
                <c:pt idx="970">
                  <c:v>38966</c:v>
                </c:pt>
                <c:pt idx="971">
                  <c:v>38967</c:v>
                </c:pt>
                <c:pt idx="972">
                  <c:v>38968</c:v>
                </c:pt>
                <c:pt idx="973">
                  <c:v>38971</c:v>
                </c:pt>
                <c:pt idx="974">
                  <c:v>38972</c:v>
                </c:pt>
                <c:pt idx="975">
                  <c:v>38973</c:v>
                </c:pt>
                <c:pt idx="976">
                  <c:v>38974</c:v>
                </c:pt>
                <c:pt idx="977">
                  <c:v>38975</c:v>
                </c:pt>
                <c:pt idx="978">
                  <c:v>38978</c:v>
                </c:pt>
                <c:pt idx="979">
                  <c:v>38979</c:v>
                </c:pt>
                <c:pt idx="980">
                  <c:v>38980</c:v>
                </c:pt>
                <c:pt idx="981">
                  <c:v>38981</c:v>
                </c:pt>
                <c:pt idx="982">
                  <c:v>38982</c:v>
                </c:pt>
                <c:pt idx="983">
                  <c:v>38985</c:v>
                </c:pt>
                <c:pt idx="984">
                  <c:v>38986</c:v>
                </c:pt>
                <c:pt idx="985">
                  <c:v>38987</c:v>
                </c:pt>
                <c:pt idx="986">
                  <c:v>38988</c:v>
                </c:pt>
                <c:pt idx="987">
                  <c:v>38989</c:v>
                </c:pt>
                <c:pt idx="988">
                  <c:v>38992</c:v>
                </c:pt>
                <c:pt idx="989">
                  <c:v>38993</c:v>
                </c:pt>
                <c:pt idx="990">
                  <c:v>38994</c:v>
                </c:pt>
                <c:pt idx="991">
                  <c:v>38995</c:v>
                </c:pt>
                <c:pt idx="992">
                  <c:v>38996</c:v>
                </c:pt>
                <c:pt idx="993">
                  <c:v>38999</c:v>
                </c:pt>
                <c:pt idx="994">
                  <c:v>39000</c:v>
                </c:pt>
                <c:pt idx="995">
                  <c:v>39001</c:v>
                </c:pt>
                <c:pt idx="996">
                  <c:v>39002</c:v>
                </c:pt>
                <c:pt idx="997">
                  <c:v>39003</c:v>
                </c:pt>
                <c:pt idx="998">
                  <c:v>39006</c:v>
                </c:pt>
                <c:pt idx="999">
                  <c:v>39007</c:v>
                </c:pt>
                <c:pt idx="1000">
                  <c:v>39008</c:v>
                </c:pt>
                <c:pt idx="1001">
                  <c:v>39009</c:v>
                </c:pt>
                <c:pt idx="1002">
                  <c:v>39010</c:v>
                </c:pt>
                <c:pt idx="1003">
                  <c:v>39013</c:v>
                </c:pt>
                <c:pt idx="1004">
                  <c:v>39014</c:v>
                </c:pt>
                <c:pt idx="1005">
                  <c:v>39015</c:v>
                </c:pt>
                <c:pt idx="1006">
                  <c:v>39016</c:v>
                </c:pt>
                <c:pt idx="1007">
                  <c:v>39017</c:v>
                </c:pt>
                <c:pt idx="1008">
                  <c:v>39020</c:v>
                </c:pt>
                <c:pt idx="1009">
                  <c:v>39021</c:v>
                </c:pt>
                <c:pt idx="1010">
                  <c:v>39023</c:v>
                </c:pt>
                <c:pt idx="1011">
                  <c:v>39024</c:v>
                </c:pt>
                <c:pt idx="1012">
                  <c:v>39027</c:v>
                </c:pt>
                <c:pt idx="1013">
                  <c:v>39028</c:v>
                </c:pt>
                <c:pt idx="1014">
                  <c:v>39029</c:v>
                </c:pt>
                <c:pt idx="1015">
                  <c:v>39030</c:v>
                </c:pt>
                <c:pt idx="1016">
                  <c:v>39031</c:v>
                </c:pt>
                <c:pt idx="1017">
                  <c:v>39034</c:v>
                </c:pt>
                <c:pt idx="1018">
                  <c:v>39035</c:v>
                </c:pt>
                <c:pt idx="1019">
                  <c:v>39036</c:v>
                </c:pt>
                <c:pt idx="1020">
                  <c:v>39037</c:v>
                </c:pt>
                <c:pt idx="1021">
                  <c:v>39038</c:v>
                </c:pt>
                <c:pt idx="1022">
                  <c:v>39041</c:v>
                </c:pt>
                <c:pt idx="1023">
                  <c:v>39042</c:v>
                </c:pt>
                <c:pt idx="1024">
                  <c:v>39043</c:v>
                </c:pt>
                <c:pt idx="1025">
                  <c:v>39044</c:v>
                </c:pt>
                <c:pt idx="1026">
                  <c:v>39045</c:v>
                </c:pt>
                <c:pt idx="1027">
                  <c:v>39048</c:v>
                </c:pt>
                <c:pt idx="1028">
                  <c:v>39049</c:v>
                </c:pt>
                <c:pt idx="1029">
                  <c:v>39050</c:v>
                </c:pt>
                <c:pt idx="1030">
                  <c:v>39051</c:v>
                </c:pt>
                <c:pt idx="1031">
                  <c:v>39052</c:v>
                </c:pt>
                <c:pt idx="1032">
                  <c:v>39055</c:v>
                </c:pt>
                <c:pt idx="1033">
                  <c:v>39056</c:v>
                </c:pt>
                <c:pt idx="1034">
                  <c:v>39057</c:v>
                </c:pt>
                <c:pt idx="1035">
                  <c:v>39058</c:v>
                </c:pt>
                <c:pt idx="1036">
                  <c:v>39059</c:v>
                </c:pt>
                <c:pt idx="1037">
                  <c:v>39062</c:v>
                </c:pt>
                <c:pt idx="1038">
                  <c:v>39063</c:v>
                </c:pt>
                <c:pt idx="1039">
                  <c:v>39064</c:v>
                </c:pt>
                <c:pt idx="1040">
                  <c:v>39065</c:v>
                </c:pt>
                <c:pt idx="1041">
                  <c:v>39066</c:v>
                </c:pt>
                <c:pt idx="1042">
                  <c:v>39069</c:v>
                </c:pt>
                <c:pt idx="1043">
                  <c:v>39070</c:v>
                </c:pt>
                <c:pt idx="1044">
                  <c:v>39071</c:v>
                </c:pt>
                <c:pt idx="1045">
                  <c:v>39072</c:v>
                </c:pt>
                <c:pt idx="1046">
                  <c:v>39073</c:v>
                </c:pt>
                <c:pt idx="1047">
                  <c:v>39078</c:v>
                </c:pt>
                <c:pt idx="1048">
                  <c:v>39079</c:v>
                </c:pt>
                <c:pt idx="1049">
                  <c:v>39080</c:v>
                </c:pt>
                <c:pt idx="1050">
                  <c:v>39084</c:v>
                </c:pt>
                <c:pt idx="1051">
                  <c:v>39085</c:v>
                </c:pt>
                <c:pt idx="1052">
                  <c:v>39086</c:v>
                </c:pt>
                <c:pt idx="1053">
                  <c:v>39087</c:v>
                </c:pt>
                <c:pt idx="1054">
                  <c:v>39090</c:v>
                </c:pt>
                <c:pt idx="1055">
                  <c:v>39091</c:v>
                </c:pt>
                <c:pt idx="1056">
                  <c:v>39092</c:v>
                </c:pt>
                <c:pt idx="1057">
                  <c:v>39093</c:v>
                </c:pt>
                <c:pt idx="1058">
                  <c:v>39094</c:v>
                </c:pt>
                <c:pt idx="1059">
                  <c:v>39097</c:v>
                </c:pt>
                <c:pt idx="1060">
                  <c:v>39098</c:v>
                </c:pt>
                <c:pt idx="1061">
                  <c:v>39099</c:v>
                </c:pt>
                <c:pt idx="1062">
                  <c:v>39100</c:v>
                </c:pt>
                <c:pt idx="1063">
                  <c:v>39101</c:v>
                </c:pt>
                <c:pt idx="1064">
                  <c:v>39104</c:v>
                </c:pt>
                <c:pt idx="1065">
                  <c:v>39105</c:v>
                </c:pt>
                <c:pt idx="1066">
                  <c:v>39106</c:v>
                </c:pt>
                <c:pt idx="1067">
                  <c:v>39107</c:v>
                </c:pt>
                <c:pt idx="1068">
                  <c:v>39108</c:v>
                </c:pt>
                <c:pt idx="1069">
                  <c:v>39111</c:v>
                </c:pt>
                <c:pt idx="1070">
                  <c:v>39112</c:v>
                </c:pt>
                <c:pt idx="1071">
                  <c:v>39113</c:v>
                </c:pt>
                <c:pt idx="1072">
                  <c:v>39114</c:v>
                </c:pt>
                <c:pt idx="1073">
                  <c:v>39115</c:v>
                </c:pt>
                <c:pt idx="1074">
                  <c:v>39118</c:v>
                </c:pt>
                <c:pt idx="1075">
                  <c:v>39119</c:v>
                </c:pt>
                <c:pt idx="1076">
                  <c:v>39120</c:v>
                </c:pt>
                <c:pt idx="1077">
                  <c:v>39121</c:v>
                </c:pt>
                <c:pt idx="1078">
                  <c:v>39122</c:v>
                </c:pt>
                <c:pt idx="1079">
                  <c:v>39125</c:v>
                </c:pt>
                <c:pt idx="1080">
                  <c:v>39126</c:v>
                </c:pt>
                <c:pt idx="1081">
                  <c:v>39127</c:v>
                </c:pt>
                <c:pt idx="1082">
                  <c:v>39128</c:v>
                </c:pt>
                <c:pt idx="1083">
                  <c:v>39129</c:v>
                </c:pt>
                <c:pt idx="1084">
                  <c:v>39132</c:v>
                </c:pt>
                <c:pt idx="1085">
                  <c:v>39133</c:v>
                </c:pt>
                <c:pt idx="1086">
                  <c:v>39134</c:v>
                </c:pt>
                <c:pt idx="1087">
                  <c:v>39135</c:v>
                </c:pt>
                <c:pt idx="1088">
                  <c:v>39136</c:v>
                </c:pt>
                <c:pt idx="1089">
                  <c:v>39139</c:v>
                </c:pt>
                <c:pt idx="1090">
                  <c:v>39140</c:v>
                </c:pt>
                <c:pt idx="1091">
                  <c:v>39141</c:v>
                </c:pt>
                <c:pt idx="1092">
                  <c:v>39142</c:v>
                </c:pt>
                <c:pt idx="1093">
                  <c:v>39143</c:v>
                </c:pt>
                <c:pt idx="1094">
                  <c:v>39146</c:v>
                </c:pt>
                <c:pt idx="1095">
                  <c:v>39147</c:v>
                </c:pt>
                <c:pt idx="1096">
                  <c:v>39148</c:v>
                </c:pt>
                <c:pt idx="1097">
                  <c:v>39149</c:v>
                </c:pt>
                <c:pt idx="1098">
                  <c:v>39150</c:v>
                </c:pt>
                <c:pt idx="1099">
                  <c:v>39153</c:v>
                </c:pt>
                <c:pt idx="1100">
                  <c:v>39154</c:v>
                </c:pt>
                <c:pt idx="1101">
                  <c:v>39155</c:v>
                </c:pt>
                <c:pt idx="1102">
                  <c:v>39156</c:v>
                </c:pt>
                <c:pt idx="1103">
                  <c:v>39157</c:v>
                </c:pt>
                <c:pt idx="1104">
                  <c:v>39160</c:v>
                </c:pt>
                <c:pt idx="1105">
                  <c:v>39161</c:v>
                </c:pt>
                <c:pt idx="1106">
                  <c:v>39162</c:v>
                </c:pt>
                <c:pt idx="1107">
                  <c:v>39163</c:v>
                </c:pt>
                <c:pt idx="1108">
                  <c:v>39164</c:v>
                </c:pt>
                <c:pt idx="1109">
                  <c:v>39167</c:v>
                </c:pt>
                <c:pt idx="1110">
                  <c:v>39168</c:v>
                </c:pt>
                <c:pt idx="1111">
                  <c:v>39169</c:v>
                </c:pt>
                <c:pt idx="1112">
                  <c:v>39170</c:v>
                </c:pt>
                <c:pt idx="1113">
                  <c:v>39171</c:v>
                </c:pt>
                <c:pt idx="1114">
                  <c:v>39174</c:v>
                </c:pt>
                <c:pt idx="1115">
                  <c:v>39175</c:v>
                </c:pt>
                <c:pt idx="1116">
                  <c:v>39176</c:v>
                </c:pt>
                <c:pt idx="1117">
                  <c:v>39177</c:v>
                </c:pt>
                <c:pt idx="1118">
                  <c:v>39182</c:v>
                </c:pt>
                <c:pt idx="1119">
                  <c:v>39183</c:v>
                </c:pt>
                <c:pt idx="1120">
                  <c:v>39184</c:v>
                </c:pt>
                <c:pt idx="1121">
                  <c:v>39185</c:v>
                </c:pt>
                <c:pt idx="1122">
                  <c:v>39188</c:v>
                </c:pt>
                <c:pt idx="1123">
                  <c:v>39189</c:v>
                </c:pt>
                <c:pt idx="1124">
                  <c:v>39190</c:v>
                </c:pt>
                <c:pt idx="1125">
                  <c:v>39191</c:v>
                </c:pt>
                <c:pt idx="1126">
                  <c:v>39192</c:v>
                </c:pt>
                <c:pt idx="1127">
                  <c:v>39195</c:v>
                </c:pt>
                <c:pt idx="1128">
                  <c:v>39196</c:v>
                </c:pt>
                <c:pt idx="1129">
                  <c:v>39197</c:v>
                </c:pt>
                <c:pt idx="1130">
                  <c:v>39198</c:v>
                </c:pt>
                <c:pt idx="1131">
                  <c:v>39199</c:v>
                </c:pt>
                <c:pt idx="1132">
                  <c:v>39202</c:v>
                </c:pt>
                <c:pt idx="1133">
                  <c:v>39204</c:v>
                </c:pt>
                <c:pt idx="1134">
                  <c:v>39205</c:v>
                </c:pt>
                <c:pt idx="1135">
                  <c:v>39206</c:v>
                </c:pt>
                <c:pt idx="1136">
                  <c:v>39209</c:v>
                </c:pt>
                <c:pt idx="1137">
                  <c:v>39210</c:v>
                </c:pt>
                <c:pt idx="1138">
                  <c:v>39211</c:v>
                </c:pt>
                <c:pt idx="1139">
                  <c:v>39212</c:v>
                </c:pt>
                <c:pt idx="1140">
                  <c:v>39213</c:v>
                </c:pt>
                <c:pt idx="1141">
                  <c:v>39216</c:v>
                </c:pt>
                <c:pt idx="1142">
                  <c:v>39217</c:v>
                </c:pt>
                <c:pt idx="1143">
                  <c:v>39218</c:v>
                </c:pt>
                <c:pt idx="1144">
                  <c:v>39219</c:v>
                </c:pt>
                <c:pt idx="1145">
                  <c:v>39220</c:v>
                </c:pt>
                <c:pt idx="1146">
                  <c:v>39223</c:v>
                </c:pt>
                <c:pt idx="1147">
                  <c:v>39224</c:v>
                </c:pt>
                <c:pt idx="1148">
                  <c:v>39225</c:v>
                </c:pt>
                <c:pt idx="1149">
                  <c:v>39226</c:v>
                </c:pt>
                <c:pt idx="1150">
                  <c:v>39227</c:v>
                </c:pt>
                <c:pt idx="1151">
                  <c:v>39230</c:v>
                </c:pt>
                <c:pt idx="1152">
                  <c:v>39231</c:v>
                </c:pt>
                <c:pt idx="1153">
                  <c:v>39232</c:v>
                </c:pt>
                <c:pt idx="1154">
                  <c:v>39233</c:v>
                </c:pt>
                <c:pt idx="1155">
                  <c:v>39234</c:v>
                </c:pt>
                <c:pt idx="1156">
                  <c:v>39237</c:v>
                </c:pt>
                <c:pt idx="1157">
                  <c:v>39238</c:v>
                </c:pt>
                <c:pt idx="1158">
                  <c:v>39239</c:v>
                </c:pt>
                <c:pt idx="1159">
                  <c:v>39241</c:v>
                </c:pt>
                <c:pt idx="1160">
                  <c:v>39244</c:v>
                </c:pt>
                <c:pt idx="1161">
                  <c:v>39245</c:v>
                </c:pt>
                <c:pt idx="1162">
                  <c:v>39246</c:v>
                </c:pt>
                <c:pt idx="1163">
                  <c:v>39247</c:v>
                </c:pt>
                <c:pt idx="1164">
                  <c:v>39248</c:v>
                </c:pt>
                <c:pt idx="1165">
                  <c:v>39251</c:v>
                </c:pt>
                <c:pt idx="1166">
                  <c:v>39252</c:v>
                </c:pt>
                <c:pt idx="1167">
                  <c:v>39253</c:v>
                </c:pt>
                <c:pt idx="1168">
                  <c:v>39254</c:v>
                </c:pt>
                <c:pt idx="1169">
                  <c:v>39259</c:v>
                </c:pt>
                <c:pt idx="1170">
                  <c:v>39260</c:v>
                </c:pt>
                <c:pt idx="1171">
                  <c:v>39261</c:v>
                </c:pt>
                <c:pt idx="1172">
                  <c:v>39262</c:v>
                </c:pt>
                <c:pt idx="1173">
                  <c:v>39265</c:v>
                </c:pt>
                <c:pt idx="1174">
                  <c:v>39266</c:v>
                </c:pt>
                <c:pt idx="1175">
                  <c:v>39267</c:v>
                </c:pt>
                <c:pt idx="1176">
                  <c:v>39268</c:v>
                </c:pt>
                <c:pt idx="1177">
                  <c:v>39269</c:v>
                </c:pt>
                <c:pt idx="1178">
                  <c:v>39272</c:v>
                </c:pt>
                <c:pt idx="1179">
                  <c:v>39273</c:v>
                </c:pt>
                <c:pt idx="1180">
                  <c:v>39274</c:v>
                </c:pt>
                <c:pt idx="1181">
                  <c:v>39275</c:v>
                </c:pt>
                <c:pt idx="1182">
                  <c:v>39276</c:v>
                </c:pt>
                <c:pt idx="1183">
                  <c:v>39279</c:v>
                </c:pt>
                <c:pt idx="1184">
                  <c:v>39280</c:v>
                </c:pt>
                <c:pt idx="1185">
                  <c:v>39281</c:v>
                </c:pt>
                <c:pt idx="1186">
                  <c:v>39282</c:v>
                </c:pt>
                <c:pt idx="1187">
                  <c:v>39283</c:v>
                </c:pt>
                <c:pt idx="1188">
                  <c:v>39286</c:v>
                </c:pt>
                <c:pt idx="1189">
                  <c:v>39287</c:v>
                </c:pt>
                <c:pt idx="1190">
                  <c:v>39288</c:v>
                </c:pt>
                <c:pt idx="1191">
                  <c:v>39289</c:v>
                </c:pt>
                <c:pt idx="1192">
                  <c:v>39290</c:v>
                </c:pt>
                <c:pt idx="1193">
                  <c:v>39293</c:v>
                </c:pt>
                <c:pt idx="1194">
                  <c:v>39294</c:v>
                </c:pt>
                <c:pt idx="1195">
                  <c:v>39295</c:v>
                </c:pt>
                <c:pt idx="1196">
                  <c:v>39296</c:v>
                </c:pt>
                <c:pt idx="1197">
                  <c:v>39297</c:v>
                </c:pt>
                <c:pt idx="1198">
                  <c:v>39300</c:v>
                </c:pt>
                <c:pt idx="1199">
                  <c:v>39301</c:v>
                </c:pt>
                <c:pt idx="1200">
                  <c:v>39302</c:v>
                </c:pt>
                <c:pt idx="1201">
                  <c:v>39303</c:v>
                </c:pt>
                <c:pt idx="1202">
                  <c:v>39304</c:v>
                </c:pt>
                <c:pt idx="1203">
                  <c:v>39307</c:v>
                </c:pt>
                <c:pt idx="1204">
                  <c:v>39308</c:v>
                </c:pt>
                <c:pt idx="1205">
                  <c:v>39310</c:v>
                </c:pt>
                <c:pt idx="1206">
                  <c:v>39311</c:v>
                </c:pt>
                <c:pt idx="1207">
                  <c:v>39314</c:v>
                </c:pt>
                <c:pt idx="1208">
                  <c:v>39315</c:v>
                </c:pt>
                <c:pt idx="1209">
                  <c:v>39316</c:v>
                </c:pt>
                <c:pt idx="1210">
                  <c:v>39317</c:v>
                </c:pt>
                <c:pt idx="1211">
                  <c:v>39318</c:v>
                </c:pt>
                <c:pt idx="1212">
                  <c:v>39321</c:v>
                </c:pt>
                <c:pt idx="1213">
                  <c:v>39322</c:v>
                </c:pt>
                <c:pt idx="1214">
                  <c:v>39323</c:v>
                </c:pt>
                <c:pt idx="1215">
                  <c:v>39324</c:v>
                </c:pt>
                <c:pt idx="1216">
                  <c:v>39325</c:v>
                </c:pt>
                <c:pt idx="1217">
                  <c:v>39328</c:v>
                </c:pt>
                <c:pt idx="1218">
                  <c:v>39329</c:v>
                </c:pt>
                <c:pt idx="1219">
                  <c:v>39330</c:v>
                </c:pt>
                <c:pt idx="1220">
                  <c:v>39331</c:v>
                </c:pt>
                <c:pt idx="1221">
                  <c:v>39332</c:v>
                </c:pt>
                <c:pt idx="1222">
                  <c:v>39335</c:v>
                </c:pt>
                <c:pt idx="1223">
                  <c:v>39336</c:v>
                </c:pt>
                <c:pt idx="1224">
                  <c:v>39337</c:v>
                </c:pt>
                <c:pt idx="1225">
                  <c:v>39338</c:v>
                </c:pt>
                <c:pt idx="1226">
                  <c:v>39339</c:v>
                </c:pt>
                <c:pt idx="1227">
                  <c:v>39342</c:v>
                </c:pt>
                <c:pt idx="1228">
                  <c:v>39343</c:v>
                </c:pt>
                <c:pt idx="1229">
                  <c:v>39344</c:v>
                </c:pt>
                <c:pt idx="1230">
                  <c:v>39345</c:v>
                </c:pt>
                <c:pt idx="1231">
                  <c:v>39346</c:v>
                </c:pt>
                <c:pt idx="1232">
                  <c:v>39349</c:v>
                </c:pt>
                <c:pt idx="1233">
                  <c:v>39350</c:v>
                </c:pt>
                <c:pt idx="1234">
                  <c:v>39351</c:v>
                </c:pt>
                <c:pt idx="1235">
                  <c:v>39352</c:v>
                </c:pt>
                <c:pt idx="1236">
                  <c:v>39353</c:v>
                </c:pt>
                <c:pt idx="1237">
                  <c:v>39356</c:v>
                </c:pt>
                <c:pt idx="1238">
                  <c:v>39357</c:v>
                </c:pt>
                <c:pt idx="1239">
                  <c:v>39358</c:v>
                </c:pt>
                <c:pt idx="1240">
                  <c:v>39359</c:v>
                </c:pt>
                <c:pt idx="1241">
                  <c:v>39360</c:v>
                </c:pt>
                <c:pt idx="1242">
                  <c:v>39364</c:v>
                </c:pt>
                <c:pt idx="1243">
                  <c:v>39365</c:v>
                </c:pt>
                <c:pt idx="1244">
                  <c:v>39366</c:v>
                </c:pt>
                <c:pt idx="1245">
                  <c:v>39367</c:v>
                </c:pt>
                <c:pt idx="1246">
                  <c:v>39370</c:v>
                </c:pt>
                <c:pt idx="1247">
                  <c:v>39371</c:v>
                </c:pt>
                <c:pt idx="1248">
                  <c:v>39372</c:v>
                </c:pt>
                <c:pt idx="1249">
                  <c:v>39373</c:v>
                </c:pt>
                <c:pt idx="1250">
                  <c:v>39374</c:v>
                </c:pt>
                <c:pt idx="1251">
                  <c:v>39377</c:v>
                </c:pt>
                <c:pt idx="1252">
                  <c:v>39378</c:v>
                </c:pt>
                <c:pt idx="1253">
                  <c:v>39379</c:v>
                </c:pt>
                <c:pt idx="1254">
                  <c:v>39380</c:v>
                </c:pt>
                <c:pt idx="1255">
                  <c:v>39381</c:v>
                </c:pt>
                <c:pt idx="1256">
                  <c:v>39384</c:v>
                </c:pt>
                <c:pt idx="1257">
                  <c:v>39385</c:v>
                </c:pt>
                <c:pt idx="1258">
                  <c:v>39386</c:v>
                </c:pt>
                <c:pt idx="1259">
                  <c:v>39391</c:v>
                </c:pt>
                <c:pt idx="1260">
                  <c:v>39392</c:v>
                </c:pt>
                <c:pt idx="1261">
                  <c:v>39393</c:v>
                </c:pt>
                <c:pt idx="1262">
                  <c:v>39394</c:v>
                </c:pt>
                <c:pt idx="1263">
                  <c:v>39395</c:v>
                </c:pt>
                <c:pt idx="1264">
                  <c:v>39398</c:v>
                </c:pt>
                <c:pt idx="1265">
                  <c:v>39399</c:v>
                </c:pt>
                <c:pt idx="1266">
                  <c:v>39400</c:v>
                </c:pt>
                <c:pt idx="1267">
                  <c:v>39401</c:v>
                </c:pt>
                <c:pt idx="1268">
                  <c:v>39402</c:v>
                </c:pt>
                <c:pt idx="1269">
                  <c:v>39405</c:v>
                </c:pt>
                <c:pt idx="1270">
                  <c:v>39406</c:v>
                </c:pt>
                <c:pt idx="1271">
                  <c:v>39407</c:v>
                </c:pt>
                <c:pt idx="1272">
                  <c:v>39408</c:v>
                </c:pt>
                <c:pt idx="1273">
                  <c:v>39409</c:v>
                </c:pt>
                <c:pt idx="1274">
                  <c:v>39412</c:v>
                </c:pt>
                <c:pt idx="1275">
                  <c:v>39413</c:v>
                </c:pt>
                <c:pt idx="1276">
                  <c:v>39414</c:v>
                </c:pt>
                <c:pt idx="1277">
                  <c:v>39415</c:v>
                </c:pt>
                <c:pt idx="1278">
                  <c:v>39416</c:v>
                </c:pt>
                <c:pt idx="1279">
                  <c:v>39419</c:v>
                </c:pt>
                <c:pt idx="1280">
                  <c:v>39420</c:v>
                </c:pt>
                <c:pt idx="1281">
                  <c:v>39421</c:v>
                </c:pt>
                <c:pt idx="1282">
                  <c:v>39422</c:v>
                </c:pt>
                <c:pt idx="1283">
                  <c:v>39423</c:v>
                </c:pt>
                <c:pt idx="1284">
                  <c:v>39426</c:v>
                </c:pt>
                <c:pt idx="1285">
                  <c:v>39427</c:v>
                </c:pt>
                <c:pt idx="1286">
                  <c:v>39428</c:v>
                </c:pt>
                <c:pt idx="1287">
                  <c:v>39429</c:v>
                </c:pt>
                <c:pt idx="1288">
                  <c:v>39430</c:v>
                </c:pt>
                <c:pt idx="1289">
                  <c:v>39433</c:v>
                </c:pt>
                <c:pt idx="1290">
                  <c:v>39434</c:v>
                </c:pt>
                <c:pt idx="1291">
                  <c:v>39435</c:v>
                </c:pt>
                <c:pt idx="1292">
                  <c:v>39436</c:v>
                </c:pt>
                <c:pt idx="1293">
                  <c:v>39437</c:v>
                </c:pt>
                <c:pt idx="1294">
                  <c:v>39443</c:v>
                </c:pt>
                <c:pt idx="1295">
                  <c:v>39444</c:v>
                </c:pt>
                <c:pt idx="1296">
                  <c:v>39447</c:v>
                </c:pt>
                <c:pt idx="1297">
                  <c:v>39449</c:v>
                </c:pt>
                <c:pt idx="1298">
                  <c:v>39450</c:v>
                </c:pt>
                <c:pt idx="1299">
                  <c:v>39451</c:v>
                </c:pt>
                <c:pt idx="1300">
                  <c:v>39454</c:v>
                </c:pt>
                <c:pt idx="1301">
                  <c:v>39455</c:v>
                </c:pt>
                <c:pt idx="1302">
                  <c:v>39456</c:v>
                </c:pt>
                <c:pt idx="1303">
                  <c:v>39457</c:v>
                </c:pt>
                <c:pt idx="1304">
                  <c:v>39458</c:v>
                </c:pt>
                <c:pt idx="1305">
                  <c:v>39461</c:v>
                </c:pt>
                <c:pt idx="1306">
                  <c:v>39462</c:v>
                </c:pt>
                <c:pt idx="1307">
                  <c:v>39463</c:v>
                </c:pt>
                <c:pt idx="1308">
                  <c:v>39464</c:v>
                </c:pt>
                <c:pt idx="1309">
                  <c:v>39465</c:v>
                </c:pt>
                <c:pt idx="1310">
                  <c:v>39468</c:v>
                </c:pt>
                <c:pt idx="1311">
                  <c:v>39469</c:v>
                </c:pt>
                <c:pt idx="1312">
                  <c:v>39470</c:v>
                </c:pt>
                <c:pt idx="1313">
                  <c:v>39471</c:v>
                </c:pt>
                <c:pt idx="1314">
                  <c:v>39472</c:v>
                </c:pt>
                <c:pt idx="1315">
                  <c:v>39475</c:v>
                </c:pt>
                <c:pt idx="1316">
                  <c:v>39476</c:v>
                </c:pt>
                <c:pt idx="1317">
                  <c:v>39477</c:v>
                </c:pt>
                <c:pt idx="1318">
                  <c:v>39478</c:v>
                </c:pt>
                <c:pt idx="1319">
                  <c:v>39479</c:v>
                </c:pt>
                <c:pt idx="1320">
                  <c:v>39482</c:v>
                </c:pt>
                <c:pt idx="1321">
                  <c:v>39483</c:v>
                </c:pt>
                <c:pt idx="1322">
                  <c:v>39484</c:v>
                </c:pt>
                <c:pt idx="1323">
                  <c:v>39485</c:v>
                </c:pt>
                <c:pt idx="1324">
                  <c:v>39486</c:v>
                </c:pt>
                <c:pt idx="1325">
                  <c:v>39489</c:v>
                </c:pt>
                <c:pt idx="1326">
                  <c:v>39490</c:v>
                </c:pt>
                <c:pt idx="1327">
                  <c:v>39491</c:v>
                </c:pt>
                <c:pt idx="1328">
                  <c:v>39492</c:v>
                </c:pt>
                <c:pt idx="1329">
                  <c:v>39493</c:v>
                </c:pt>
                <c:pt idx="1330">
                  <c:v>39496</c:v>
                </c:pt>
                <c:pt idx="1331">
                  <c:v>39497</c:v>
                </c:pt>
                <c:pt idx="1332">
                  <c:v>39498</c:v>
                </c:pt>
                <c:pt idx="1333">
                  <c:v>39499</c:v>
                </c:pt>
                <c:pt idx="1334">
                  <c:v>39500</c:v>
                </c:pt>
                <c:pt idx="1335">
                  <c:v>39503</c:v>
                </c:pt>
                <c:pt idx="1336">
                  <c:v>39504</c:v>
                </c:pt>
                <c:pt idx="1337">
                  <c:v>39505</c:v>
                </c:pt>
                <c:pt idx="1338">
                  <c:v>39506</c:v>
                </c:pt>
                <c:pt idx="1339">
                  <c:v>39507</c:v>
                </c:pt>
                <c:pt idx="1340">
                  <c:v>39510</c:v>
                </c:pt>
                <c:pt idx="1341">
                  <c:v>39511</c:v>
                </c:pt>
                <c:pt idx="1342">
                  <c:v>39512</c:v>
                </c:pt>
                <c:pt idx="1343">
                  <c:v>39513</c:v>
                </c:pt>
                <c:pt idx="1344">
                  <c:v>39514</c:v>
                </c:pt>
                <c:pt idx="1345">
                  <c:v>39517</c:v>
                </c:pt>
                <c:pt idx="1346">
                  <c:v>39518</c:v>
                </c:pt>
                <c:pt idx="1347">
                  <c:v>39519</c:v>
                </c:pt>
                <c:pt idx="1348">
                  <c:v>39520</c:v>
                </c:pt>
                <c:pt idx="1349">
                  <c:v>39521</c:v>
                </c:pt>
                <c:pt idx="1350">
                  <c:v>39524</c:v>
                </c:pt>
                <c:pt idx="1351">
                  <c:v>39525</c:v>
                </c:pt>
                <c:pt idx="1352">
                  <c:v>39526</c:v>
                </c:pt>
                <c:pt idx="1353">
                  <c:v>39527</c:v>
                </c:pt>
                <c:pt idx="1354">
                  <c:v>39532</c:v>
                </c:pt>
                <c:pt idx="1355">
                  <c:v>39533</c:v>
                </c:pt>
                <c:pt idx="1356">
                  <c:v>39534</c:v>
                </c:pt>
                <c:pt idx="1357">
                  <c:v>39535</c:v>
                </c:pt>
                <c:pt idx="1358">
                  <c:v>39538</c:v>
                </c:pt>
                <c:pt idx="1359">
                  <c:v>39539</c:v>
                </c:pt>
                <c:pt idx="1360">
                  <c:v>39540</c:v>
                </c:pt>
                <c:pt idx="1361">
                  <c:v>39541</c:v>
                </c:pt>
                <c:pt idx="1362">
                  <c:v>39542</c:v>
                </c:pt>
                <c:pt idx="1363">
                  <c:v>39545</c:v>
                </c:pt>
                <c:pt idx="1364">
                  <c:v>39546</c:v>
                </c:pt>
                <c:pt idx="1365">
                  <c:v>39547</c:v>
                </c:pt>
                <c:pt idx="1366">
                  <c:v>39548</c:v>
                </c:pt>
                <c:pt idx="1367">
                  <c:v>39549</c:v>
                </c:pt>
                <c:pt idx="1368">
                  <c:v>39552</c:v>
                </c:pt>
                <c:pt idx="1369">
                  <c:v>39553</c:v>
                </c:pt>
                <c:pt idx="1370">
                  <c:v>39554</c:v>
                </c:pt>
                <c:pt idx="1371">
                  <c:v>39555</c:v>
                </c:pt>
                <c:pt idx="1372">
                  <c:v>39556</c:v>
                </c:pt>
                <c:pt idx="1373">
                  <c:v>39559</c:v>
                </c:pt>
                <c:pt idx="1374">
                  <c:v>39560</c:v>
                </c:pt>
                <c:pt idx="1375">
                  <c:v>39561</c:v>
                </c:pt>
                <c:pt idx="1376">
                  <c:v>39562</c:v>
                </c:pt>
                <c:pt idx="1377">
                  <c:v>39563</c:v>
                </c:pt>
                <c:pt idx="1378">
                  <c:v>39566</c:v>
                </c:pt>
                <c:pt idx="1379">
                  <c:v>39567</c:v>
                </c:pt>
                <c:pt idx="1380">
                  <c:v>39568</c:v>
                </c:pt>
                <c:pt idx="1381">
                  <c:v>39573</c:v>
                </c:pt>
                <c:pt idx="1382">
                  <c:v>39574</c:v>
                </c:pt>
                <c:pt idx="1383">
                  <c:v>39575</c:v>
                </c:pt>
                <c:pt idx="1384">
                  <c:v>39576</c:v>
                </c:pt>
                <c:pt idx="1385">
                  <c:v>39577</c:v>
                </c:pt>
                <c:pt idx="1386">
                  <c:v>39580</c:v>
                </c:pt>
                <c:pt idx="1387">
                  <c:v>39581</c:v>
                </c:pt>
                <c:pt idx="1388">
                  <c:v>39582</c:v>
                </c:pt>
                <c:pt idx="1389">
                  <c:v>39583</c:v>
                </c:pt>
                <c:pt idx="1390">
                  <c:v>39584</c:v>
                </c:pt>
                <c:pt idx="1391">
                  <c:v>39587</c:v>
                </c:pt>
                <c:pt idx="1392">
                  <c:v>39588</c:v>
                </c:pt>
                <c:pt idx="1393">
                  <c:v>39589</c:v>
                </c:pt>
                <c:pt idx="1394">
                  <c:v>39591</c:v>
                </c:pt>
                <c:pt idx="1395">
                  <c:v>39594</c:v>
                </c:pt>
                <c:pt idx="1396">
                  <c:v>39595</c:v>
                </c:pt>
                <c:pt idx="1397">
                  <c:v>39596</c:v>
                </c:pt>
                <c:pt idx="1398">
                  <c:v>39597</c:v>
                </c:pt>
                <c:pt idx="1399">
                  <c:v>39598</c:v>
                </c:pt>
                <c:pt idx="1400">
                  <c:v>39601</c:v>
                </c:pt>
                <c:pt idx="1401">
                  <c:v>39602</c:v>
                </c:pt>
                <c:pt idx="1402">
                  <c:v>39603</c:v>
                </c:pt>
                <c:pt idx="1403">
                  <c:v>39604</c:v>
                </c:pt>
                <c:pt idx="1404">
                  <c:v>39605</c:v>
                </c:pt>
                <c:pt idx="1405">
                  <c:v>39608</c:v>
                </c:pt>
                <c:pt idx="1406">
                  <c:v>39609</c:v>
                </c:pt>
                <c:pt idx="1407">
                  <c:v>39610</c:v>
                </c:pt>
                <c:pt idx="1408">
                  <c:v>39611</c:v>
                </c:pt>
                <c:pt idx="1409">
                  <c:v>39612</c:v>
                </c:pt>
                <c:pt idx="1410">
                  <c:v>39615</c:v>
                </c:pt>
                <c:pt idx="1411">
                  <c:v>39616</c:v>
                </c:pt>
                <c:pt idx="1412">
                  <c:v>39617</c:v>
                </c:pt>
                <c:pt idx="1413">
                  <c:v>39618</c:v>
                </c:pt>
                <c:pt idx="1414">
                  <c:v>39619</c:v>
                </c:pt>
                <c:pt idx="1415">
                  <c:v>39622</c:v>
                </c:pt>
                <c:pt idx="1416">
                  <c:v>39623</c:v>
                </c:pt>
                <c:pt idx="1417">
                  <c:v>39625</c:v>
                </c:pt>
                <c:pt idx="1418">
                  <c:v>39626</c:v>
                </c:pt>
                <c:pt idx="1419">
                  <c:v>39629</c:v>
                </c:pt>
                <c:pt idx="1420">
                  <c:v>39630</c:v>
                </c:pt>
                <c:pt idx="1421">
                  <c:v>39631</c:v>
                </c:pt>
                <c:pt idx="1422">
                  <c:v>39632</c:v>
                </c:pt>
                <c:pt idx="1423">
                  <c:v>39633</c:v>
                </c:pt>
                <c:pt idx="1424">
                  <c:v>39636</c:v>
                </c:pt>
                <c:pt idx="1425">
                  <c:v>39637</c:v>
                </c:pt>
                <c:pt idx="1426">
                  <c:v>39638</c:v>
                </c:pt>
                <c:pt idx="1427">
                  <c:v>39639</c:v>
                </c:pt>
                <c:pt idx="1428">
                  <c:v>39640</c:v>
                </c:pt>
                <c:pt idx="1429">
                  <c:v>39643</c:v>
                </c:pt>
                <c:pt idx="1430">
                  <c:v>39644</c:v>
                </c:pt>
                <c:pt idx="1431">
                  <c:v>39645</c:v>
                </c:pt>
                <c:pt idx="1432">
                  <c:v>39646</c:v>
                </c:pt>
                <c:pt idx="1433">
                  <c:v>39647</c:v>
                </c:pt>
                <c:pt idx="1434">
                  <c:v>39650</c:v>
                </c:pt>
                <c:pt idx="1435">
                  <c:v>39651</c:v>
                </c:pt>
                <c:pt idx="1436">
                  <c:v>39652</c:v>
                </c:pt>
                <c:pt idx="1437">
                  <c:v>39653</c:v>
                </c:pt>
                <c:pt idx="1438">
                  <c:v>39654</c:v>
                </c:pt>
                <c:pt idx="1439">
                  <c:v>39657</c:v>
                </c:pt>
                <c:pt idx="1440">
                  <c:v>39658</c:v>
                </c:pt>
                <c:pt idx="1441">
                  <c:v>39659</c:v>
                </c:pt>
                <c:pt idx="1442">
                  <c:v>39660</c:v>
                </c:pt>
                <c:pt idx="1443">
                  <c:v>39661</c:v>
                </c:pt>
                <c:pt idx="1444">
                  <c:v>39666</c:v>
                </c:pt>
                <c:pt idx="1445">
                  <c:v>39667</c:v>
                </c:pt>
                <c:pt idx="1446">
                  <c:v>39668</c:v>
                </c:pt>
                <c:pt idx="1447">
                  <c:v>39671</c:v>
                </c:pt>
                <c:pt idx="1448">
                  <c:v>39672</c:v>
                </c:pt>
                <c:pt idx="1449">
                  <c:v>39673</c:v>
                </c:pt>
                <c:pt idx="1450">
                  <c:v>39674</c:v>
                </c:pt>
                <c:pt idx="1451">
                  <c:v>39678</c:v>
                </c:pt>
                <c:pt idx="1452">
                  <c:v>39679</c:v>
                </c:pt>
                <c:pt idx="1453">
                  <c:v>39680</c:v>
                </c:pt>
                <c:pt idx="1454">
                  <c:v>39681</c:v>
                </c:pt>
                <c:pt idx="1455">
                  <c:v>39682</c:v>
                </c:pt>
                <c:pt idx="1456">
                  <c:v>39685</c:v>
                </c:pt>
                <c:pt idx="1457">
                  <c:v>39686</c:v>
                </c:pt>
                <c:pt idx="1458">
                  <c:v>39687</c:v>
                </c:pt>
                <c:pt idx="1459">
                  <c:v>39688</c:v>
                </c:pt>
                <c:pt idx="1460">
                  <c:v>39689</c:v>
                </c:pt>
                <c:pt idx="1461">
                  <c:v>39692</c:v>
                </c:pt>
                <c:pt idx="1462">
                  <c:v>39693</c:v>
                </c:pt>
                <c:pt idx="1463">
                  <c:v>39694</c:v>
                </c:pt>
                <c:pt idx="1464">
                  <c:v>39695</c:v>
                </c:pt>
                <c:pt idx="1465">
                  <c:v>39696</c:v>
                </c:pt>
                <c:pt idx="1466">
                  <c:v>39699</c:v>
                </c:pt>
                <c:pt idx="1467">
                  <c:v>39700</c:v>
                </c:pt>
                <c:pt idx="1468">
                  <c:v>39701</c:v>
                </c:pt>
                <c:pt idx="1469">
                  <c:v>39702</c:v>
                </c:pt>
                <c:pt idx="1470">
                  <c:v>39703</c:v>
                </c:pt>
                <c:pt idx="1471">
                  <c:v>39706</c:v>
                </c:pt>
                <c:pt idx="1472">
                  <c:v>39707</c:v>
                </c:pt>
                <c:pt idx="1473">
                  <c:v>39708</c:v>
                </c:pt>
                <c:pt idx="1474">
                  <c:v>39709</c:v>
                </c:pt>
                <c:pt idx="1475">
                  <c:v>39710</c:v>
                </c:pt>
                <c:pt idx="1476">
                  <c:v>39713</c:v>
                </c:pt>
                <c:pt idx="1477">
                  <c:v>39714</c:v>
                </c:pt>
                <c:pt idx="1478">
                  <c:v>39715</c:v>
                </c:pt>
                <c:pt idx="1479">
                  <c:v>39716</c:v>
                </c:pt>
                <c:pt idx="1480">
                  <c:v>39717</c:v>
                </c:pt>
                <c:pt idx="1481">
                  <c:v>39720</c:v>
                </c:pt>
                <c:pt idx="1482">
                  <c:v>39721</c:v>
                </c:pt>
                <c:pt idx="1483">
                  <c:v>39722</c:v>
                </c:pt>
                <c:pt idx="1484">
                  <c:v>39723</c:v>
                </c:pt>
                <c:pt idx="1485">
                  <c:v>39724</c:v>
                </c:pt>
                <c:pt idx="1486">
                  <c:v>39727</c:v>
                </c:pt>
                <c:pt idx="1487">
                  <c:v>39728</c:v>
                </c:pt>
                <c:pt idx="1488">
                  <c:v>39730</c:v>
                </c:pt>
                <c:pt idx="1489">
                  <c:v>39731</c:v>
                </c:pt>
                <c:pt idx="1490">
                  <c:v>39734</c:v>
                </c:pt>
                <c:pt idx="1491">
                  <c:v>39735</c:v>
                </c:pt>
                <c:pt idx="1492">
                  <c:v>39736</c:v>
                </c:pt>
                <c:pt idx="1493">
                  <c:v>39737</c:v>
                </c:pt>
                <c:pt idx="1494">
                  <c:v>39738</c:v>
                </c:pt>
                <c:pt idx="1495">
                  <c:v>39741</c:v>
                </c:pt>
                <c:pt idx="1496">
                  <c:v>39742</c:v>
                </c:pt>
                <c:pt idx="1497">
                  <c:v>39743</c:v>
                </c:pt>
                <c:pt idx="1498">
                  <c:v>39744</c:v>
                </c:pt>
                <c:pt idx="1499">
                  <c:v>39745</c:v>
                </c:pt>
                <c:pt idx="1500">
                  <c:v>39748</c:v>
                </c:pt>
                <c:pt idx="1501">
                  <c:v>39749</c:v>
                </c:pt>
                <c:pt idx="1502">
                  <c:v>39750</c:v>
                </c:pt>
                <c:pt idx="1503">
                  <c:v>39751</c:v>
                </c:pt>
                <c:pt idx="1504">
                  <c:v>39752</c:v>
                </c:pt>
                <c:pt idx="1505">
                  <c:v>39755</c:v>
                </c:pt>
                <c:pt idx="1506">
                  <c:v>39756</c:v>
                </c:pt>
                <c:pt idx="1507">
                  <c:v>39757</c:v>
                </c:pt>
                <c:pt idx="1508">
                  <c:v>39758</c:v>
                </c:pt>
                <c:pt idx="1509">
                  <c:v>39759</c:v>
                </c:pt>
                <c:pt idx="1510">
                  <c:v>39762</c:v>
                </c:pt>
                <c:pt idx="1511">
                  <c:v>39763</c:v>
                </c:pt>
                <c:pt idx="1512">
                  <c:v>39764</c:v>
                </c:pt>
                <c:pt idx="1513">
                  <c:v>39765</c:v>
                </c:pt>
                <c:pt idx="1514">
                  <c:v>39766</c:v>
                </c:pt>
                <c:pt idx="1515">
                  <c:v>39769</c:v>
                </c:pt>
                <c:pt idx="1516">
                  <c:v>39770</c:v>
                </c:pt>
                <c:pt idx="1517">
                  <c:v>39771</c:v>
                </c:pt>
                <c:pt idx="1518">
                  <c:v>39772</c:v>
                </c:pt>
                <c:pt idx="1519">
                  <c:v>39773</c:v>
                </c:pt>
                <c:pt idx="1520">
                  <c:v>39776</c:v>
                </c:pt>
                <c:pt idx="1521">
                  <c:v>39777</c:v>
                </c:pt>
                <c:pt idx="1522">
                  <c:v>39778</c:v>
                </c:pt>
                <c:pt idx="1523">
                  <c:v>39779</c:v>
                </c:pt>
                <c:pt idx="1524">
                  <c:v>39780</c:v>
                </c:pt>
                <c:pt idx="1525">
                  <c:v>39783</c:v>
                </c:pt>
                <c:pt idx="1526">
                  <c:v>39784</c:v>
                </c:pt>
                <c:pt idx="1527">
                  <c:v>39785</c:v>
                </c:pt>
                <c:pt idx="1528">
                  <c:v>39786</c:v>
                </c:pt>
                <c:pt idx="1529">
                  <c:v>39787</c:v>
                </c:pt>
                <c:pt idx="1530">
                  <c:v>39790</c:v>
                </c:pt>
                <c:pt idx="1531">
                  <c:v>39791</c:v>
                </c:pt>
                <c:pt idx="1532">
                  <c:v>39792</c:v>
                </c:pt>
                <c:pt idx="1533">
                  <c:v>39793</c:v>
                </c:pt>
                <c:pt idx="1534">
                  <c:v>39794</c:v>
                </c:pt>
                <c:pt idx="1535">
                  <c:v>39797</c:v>
                </c:pt>
                <c:pt idx="1536">
                  <c:v>39798</c:v>
                </c:pt>
                <c:pt idx="1537">
                  <c:v>39799</c:v>
                </c:pt>
                <c:pt idx="1538">
                  <c:v>39800</c:v>
                </c:pt>
                <c:pt idx="1539">
                  <c:v>39801</c:v>
                </c:pt>
                <c:pt idx="1540">
                  <c:v>39804</c:v>
                </c:pt>
                <c:pt idx="1541">
                  <c:v>39805</c:v>
                </c:pt>
                <c:pt idx="1542">
                  <c:v>39806</c:v>
                </c:pt>
                <c:pt idx="1543">
                  <c:v>39811</c:v>
                </c:pt>
                <c:pt idx="1544">
                  <c:v>39812</c:v>
                </c:pt>
                <c:pt idx="1545">
                  <c:v>39813</c:v>
                </c:pt>
                <c:pt idx="1546">
                  <c:v>39818</c:v>
                </c:pt>
                <c:pt idx="1547">
                  <c:v>39820</c:v>
                </c:pt>
                <c:pt idx="1548">
                  <c:v>39821</c:v>
                </c:pt>
                <c:pt idx="1549">
                  <c:v>39822</c:v>
                </c:pt>
                <c:pt idx="1550">
                  <c:v>39825</c:v>
                </c:pt>
                <c:pt idx="1551">
                  <c:v>39826</c:v>
                </c:pt>
                <c:pt idx="1552">
                  <c:v>39827</c:v>
                </c:pt>
                <c:pt idx="1553">
                  <c:v>39828</c:v>
                </c:pt>
                <c:pt idx="1554">
                  <c:v>39829</c:v>
                </c:pt>
                <c:pt idx="1555">
                  <c:v>39832</c:v>
                </c:pt>
                <c:pt idx="1556">
                  <c:v>39833</c:v>
                </c:pt>
                <c:pt idx="1557">
                  <c:v>39834</c:v>
                </c:pt>
                <c:pt idx="1558">
                  <c:v>39835</c:v>
                </c:pt>
                <c:pt idx="1559">
                  <c:v>39836</c:v>
                </c:pt>
                <c:pt idx="1560">
                  <c:v>39839</c:v>
                </c:pt>
                <c:pt idx="1561">
                  <c:v>39840</c:v>
                </c:pt>
                <c:pt idx="1562">
                  <c:v>39841</c:v>
                </c:pt>
                <c:pt idx="1563">
                  <c:v>39842</c:v>
                </c:pt>
                <c:pt idx="1564">
                  <c:v>39843</c:v>
                </c:pt>
                <c:pt idx="1565">
                  <c:v>39846</c:v>
                </c:pt>
                <c:pt idx="1566">
                  <c:v>39847</c:v>
                </c:pt>
                <c:pt idx="1567">
                  <c:v>39848</c:v>
                </c:pt>
                <c:pt idx="1568">
                  <c:v>39849</c:v>
                </c:pt>
                <c:pt idx="1569">
                  <c:v>39850</c:v>
                </c:pt>
                <c:pt idx="1570">
                  <c:v>39853</c:v>
                </c:pt>
                <c:pt idx="1571">
                  <c:v>39854</c:v>
                </c:pt>
                <c:pt idx="1572">
                  <c:v>39855</c:v>
                </c:pt>
                <c:pt idx="1573">
                  <c:v>39856</c:v>
                </c:pt>
                <c:pt idx="1574">
                  <c:v>39857</c:v>
                </c:pt>
                <c:pt idx="1575">
                  <c:v>39860</c:v>
                </c:pt>
                <c:pt idx="1576">
                  <c:v>39861</c:v>
                </c:pt>
                <c:pt idx="1577">
                  <c:v>39862</c:v>
                </c:pt>
                <c:pt idx="1578">
                  <c:v>39863</c:v>
                </c:pt>
                <c:pt idx="1579">
                  <c:v>39864</c:v>
                </c:pt>
                <c:pt idx="1580">
                  <c:v>39867</c:v>
                </c:pt>
                <c:pt idx="1581">
                  <c:v>39868</c:v>
                </c:pt>
                <c:pt idx="1582">
                  <c:v>39869</c:v>
                </c:pt>
                <c:pt idx="1583">
                  <c:v>39870</c:v>
                </c:pt>
                <c:pt idx="1584">
                  <c:v>39871</c:v>
                </c:pt>
                <c:pt idx="1585">
                  <c:v>39874</c:v>
                </c:pt>
                <c:pt idx="1586">
                  <c:v>39875</c:v>
                </c:pt>
                <c:pt idx="1587">
                  <c:v>39876</c:v>
                </c:pt>
                <c:pt idx="1588">
                  <c:v>39877</c:v>
                </c:pt>
                <c:pt idx="1589">
                  <c:v>39878</c:v>
                </c:pt>
                <c:pt idx="1590">
                  <c:v>39881</c:v>
                </c:pt>
                <c:pt idx="1591">
                  <c:v>39882</c:v>
                </c:pt>
                <c:pt idx="1592">
                  <c:v>39883</c:v>
                </c:pt>
                <c:pt idx="1593">
                  <c:v>39884</c:v>
                </c:pt>
                <c:pt idx="1594">
                  <c:v>39885</c:v>
                </c:pt>
                <c:pt idx="1595">
                  <c:v>39888</c:v>
                </c:pt>
                <c:pt idx="1596">
                  <c:v>39889</c:v>
                </c:pt>
                <c:pt idx="1597">
                  <c:v>39890</c:v>
                </c:pt>
                <c:pt idx="1598">
                  <c:v>39891</c:v>
                </c:pt>
                <c:pt idx="1599">
                  <c:v>39892</c:v>
                </c:pt>
                <c:pt idx="1600">
                  <c:v>39895</c:v>
                </c:pt>
                <c:pt idx="1601">
                  <c:v>39896</c:v>
                </c:pt>
                <c:pt idx="1602">
                  <c:v>39897</c:v>
                </c:pt>
                <c:pt idx="1603">
                  <c:v>39898</c:v>
                </c:pt>
                <c:pt idx="1604">
                  <c:v>39899</c:v>
                </c:pt>
                <c:pt idx="1605">
                  <c:v>39902</c:v>
                </c:pt>
                <c:pt idx="1606">
                  <c:v>39903</c:v>
                </c:pt>
                <c:pt idx="1607">
                  <c:v>39904</c:v>
                </c:pt>
                <c:pt idx="1608">
                  <c:v>39905</c:v>
                </c:pt>
                <c:pt idx="1609">
                  <c:v>39906</c:v>
                </c:pt>
                <c:pt idx="1610">
                  <c:v>39909</c:v>
                </c:pt>
                <c:pt idx="1611">
                  <c:v>39910</c:v>
                </c:pt>
                <c:pt idx="1612">
                  <c:v>39911</c:v>
                </c:pt>
                <c:pt idx="1613">
                  <c:v>39912</c:v>
                </c:pt>
                <c:pt idx="1614">
                  <c:v>39917</c:v>
                </c:pt>
                <c:pt idx="1615">
                  <c:v>39918</c:v>
                </c:pt>
                <c:pt idx="1616">
                  <c:v>39919</c:v>
                </c:pt>
                <c:pt idx="1617">
                  <c:v>39920</c:v>
                </c:pt>
                <c:pt idx="1618">
                  <c:v>39923</c:v>
                </c:pt>
                <c:pt idx="1619">
                  <c:v>39924</c:v>
                </c:pt>
                <c:pt idx="1620">
                  <c:v>39925</c:v>
                </c:pt>
                <c:pt idx="1621">
                  <c:v>39926</c:v>
                </c:pt>
                <c:pt idx="1622">
                  <c:v>39927</c:v>
                </c:pt>
                <c:pt idx="1623">
                  <c:v>39930</c:v>
                </c:pt>
                <c:pt idx="1624">
                  <c:v>39931</c:v>
                </c:pt>
                <c:pt idx="1625">
                  <c:v>39932</c:v>
                </c:pt>
                <c:pt idx="1626">
                  <c:v>39933</c:v>
                </c:pt>
                <c:pt idx="1627">
                  <c:v>39937</c:v>
                </c:pt>
                <c:pt idx="1628">
                  <c:v>39938</c:v>
                </c:pt>
                <c:pt idx="1629">
                  <c:v>39939</c:v>
                </c:pt>
                <c:pt idx="1630">
                  <c:v>39940</c:v>
                </c:pt>
                <c:pt idx="1631">
                  <c:v>39941</c:v>
                </c:pt>
                <c:pt idx="1632">
                  <c:v>39944</c:v>
                </c:pt>
                <c:pt idx="1633">
                  <c:v>39945</c:v>
                </c:pt>
                <c:pt idx="1634">
                  <c:v>39946</c:v>
                </c:pt>
                <c:pt idx="1635">
                  <c:v>39947</c:v>
                </c:pt>
                <c:pt idx="1636">
                  <c:v>39948</c:v>
                </c:pt>
                <c:pt idx="1637">
                  <c:v>39951</c:v>
                </c:pt>
                <c:pt idx="1638">
                  <c:v>39952</c:v>
                </c:pt>
                <c:pt idx="1639">
                  <c:v>39953</c:v>
                </c:pt>
                <c:pt idx="1640">
                  <c:v>39954</c:v>
                </c:pt>
                <c:pt idx="1641">
                  <c:v>39955</c:v>
                </c:pt>
                <c:pt idx="1642">
                  <c:v>39958</c:v>
                </c:pt>
                <c:pt idx="1643">
                  <c:v>39959</c:v>
                </c:pt>
                <c:pt idx="1644">
                  <c:v>39960</c:v>
                </c:pt>
                <c:pt idx="1645">
                  <c:v>39961</c:v>
                </c:pt>
                <c:pt idx="1646">
                  <c:v>39962</c:v>
                </c:pt>
                <c:pt idx="1647">
                  <c:v>39965</c:v>
                </c:pt>
                <c:pt idx="1648">
                  <c:v>39966</c:v>
                </c:pt>
                <c:pt idx="1649">
                  <c:v>39967</c:v>
                </c:pt>
                <c:pt idx="1650">
                  <c:v>39968</c:v>
                </c:pt>
                <c:pt idx="1651">
                  <c:v>39969</c:v>
                </c:pt>
                <c:pt idx="1652">
                  <c:v>39972</c:v>
                </c:pt>
                <c:pt idx="1653">
                  <c:v>39973</c:v>
                </c:pt>
                <c:pt idx="1654">
                  <c:v>39974</c:v>
                </c:pt>
                <c:pt idx="1655">
                  <c:v>39976</c:v>
                </c:pt>
                <c:pt idx="1656">
                  <c:v>39979</c:v>
                </c:pt>
                <c:pt idx="1657">
                  <c:v>39980</c:v>
                </c:pt>
                <c:pt idx="1658">
                  <c:v>39981</c:v>
                </c:pt>
                <c:pt idx="1659">
                  <c:v>39982</c:v>
                </c:pt>
                <c:pt idx="1660">
                  <c:v>39983</c:v>
                </c:pt>
                <c:pt idx="1661">
                  <c:v>39987</c:v>
                </c:pt>
                <c:pt idx="1662">
                  <c:v>39988</c:v>
                </c:pt>
                <c:pt idx="1663">
                  <c:v>39990</c:v>
                </c:pt>
                <c:pt idx="1664">
                  <c:v>39993</c:v>
                </c:pt>
                <c:pt idx="1665">
                  <c:v>39994</c:v>
                </c:pt>
                <c:pt idx="1666">
                  <c:v>39995</c:v>
                </c:pt>
                <c:pt idx="1667">
                  <c:v>39996</c:v>
                </c:pt>
                <c:pt idx="1668">
                  <c:v>39997</c:v>
                </c:pt>
                <c:pt idx="1669">
                  <c:v>40000</c:v>
                </c:pt>
                <c:pt idx="1670">
                  <c:v>40001</c:v>
                </c:pt>
                <c:pt idx="1671">
                  <c:v>40002</c:v>
                </c:pt>
                <c:pt idx="1672">
                  <c:v>40003</c:v>
                </c:pt>
                <c:pt idx="1673">
                  <c:v>40004</c:v>
                </c:pt>
                <c:pt idx="1674">
                  <c:v>40007</c:v>
                </c:pt>
                <c:pt idx="1675">
                  <c:v>40008</c:v>
                </c:pt>
                <c:pt idx="1676">
                  <c:v>40009</c:v>
                </c:pt>
                <c:pt idx="1677">
                  <c:v>40010</c:v>
                </c:pt>
                <c:pt idx="1678">
                  <c:v>40011</c:v>
                </c:pt>
                <c:pt idx="1679">
                  <c:v>40014</c:v>
                </c:pt>
                <c:pt idx="1680">
                  <c:v>40015</c:v>
                </c:pt>
                <c:pt idx="1681">
                  <c:v>40016</c:v>
                </c:pt>
                <c:pt idx="1682">
                  <c:v>40017</c:v>
                </c:pt>
                <c:pt idx="1683">
                  <c:v>40018</c:v>
                </c:pt>
                <c:pt idx="1684">
                  <c:v>40021</c:v>
                </c:pt>
                <c:pt idx="1685">
                  <c:v>40022</c:v>
                </c:pt>
                <c:pt idx="1686">
                  <c:v>40023</c:v>
                </c:pt>
                <c:pt idx="1687">
                  <c:v>40024</c:v>
                </c:pt>
                <c:pt idx="1688">
                  <c:v>40025</c:v>
                </c:pt>
                <c:pt idx="1689">
                  <c:v>40028</c:v>
                </c:pt>
                <c:pt idx="1690">
                  <c:v>40029</c:v>
                </c:pt>
                <c:pt idx="1691">
                  <c:v>40031</c:v>
                </c:pt>
                <c:pt idx="1692">
                  <c:v>40032</c:v>
                </c:pt>
                <c:pt idx="1693">
                  <c:v>40035</c:v>
                </c:pt>
                <c:pt idx="1694">
                  <c:v>40036</c:v>
                </c:pt>
                <c:pt idx="1695">
                  <c:v>40037</c:v>
                </c:pt>
                <c:pt idx="1696">
                  <c:v>40038</c:v>
                </c:pt>
                <c:pt idx="1697">
                  <c:v>40039</c:v>
                </c:pt>
                <c:pt idx="1698">
                  <c:v>40042</c:v>
                </c:pt>
                <c:pt idx="1699">
                  <c:v>40043</c:v>
                </c:pt>
                <c:pt idx="1700">
                  <c:v>40044</c:v>
                </c:pt>
                <c:pt idx="1701">
                  <c:v>40045</c:v>
                </c:pt>
                <c:pt idx="1702">
                  <c:v>40046</c:v>
                </c:pt>
                <c:pt idx="1703">
                  <c:v>40049</c:v>
                </c:pt>
                <c:pt idx="1704">
                  <c:v>40050</c:v>
                </c:pt>
                <c:pt idx="1705">
                  <c:v>40051</c:v>
                </c:pt>
                <c:pt idx="1706">
                  <c:v>40052</c:v>
                </c:pt>
                <c:pt idx="1707">
                  <c:v>40053</c:v>
                </c:pt>
                <c:pt idx="1708">
                  <c:v>40056</c:v>
                </c:pt>
                <c:pt idx="1709">
                  <c:v>40057</c:v>
                </c:pt>
                <c:pt idx="1710">
                  <c:v>40058</c:v>
                </c:pt>
                <c:pt idx="1711">
                  <c:v>40059</c:v>
                </c:pt>
                <c:pt idx="1712">
                  <c:v>40060</c:v>
                </c:pt>
                <c:pt idx="1713">
                  <c:v>40063</c:v>
                </c:pt>
                <c:pt idx="1714">
                  <c:v>40064</c:v>
                </c:pt>
                <c:pt idx="1715">
                  <c:v>40065</c:v>
                </c:pt>
                <c:pt idx="1716">
                  <c:v>40066</c:v>
                </c:pt>
                <c:pt idx="1717">
                  <c:v>40067</c:v>
                </c:pt>
                <c:pt idx="1718">
                  <c:v>40070</c:v>
                </c:pt>
                <c:pt idx="1719">
                  <c:v>40071</c:v>
                </c:pt>
                <c:pt idx="1720">
                  <c:v>40072</c:v>
                </c:pt>
                <c:pt idx="1721">
                  <c:v>40073</c:v>
                </c:pt>
                <c:pt idx="1722">
                  <c:v>40074</c:v>
                </c:pt>
                <c:pt idx="1723">
                  <c:v>40077</c:v>
                </c:pt>
                <c:pt idx="1724">
                  <c:v>40078</c:v>
                </c:pt>
                <c:pt idx="1725">
                  <c:v>40079</c:v>
                </c:pt>
                <c:pt idx="1726">
                  <c:v>40080</c:v>
                </c:pt>
                <c:pt idx="1727">
                  <c:v>40081</c:v>
                </c:pt>
                <c:pt idx="1728">
                  <c:v>40084</c:v>
                </c:pt>
                <c:pt idx="1729">
                  <c:v>40085</c:v>
                </c:pt>
                <c:pt idx="1730">
                  <c:v>40086</c:v>
                </c:pt>
                <c:pt idx="1731">
                  <c:v>40087</c:v>
                </c:pt>
                <c:pt idx="1732">
                  <c:v>40088</c:v>
                </c:pt>
                <c:pt idx="1733">
                  <c:v>40091</c:v>
                </c:pt>
                <c:pt idx="1734">
                  <c:v>40092</c:v>
                </c:pt>
                <c:pt idx="1735">
                  <c:v>40093</c:v>
                </c:pt>
                <c:pt idx="1736">
                  <c:v>40098</c:v>
                </c:pt>
                <c:pt idx="1737">
                  <c:v>40099</c:v>
                </c:pt>
                <c:pt idx="1738">
                  <c:v>40100</c:v>
                </c:pt>
                <c:pt idx="1739">
                  <c:v>40101</c:v>
                </c:pt>
                <c:pt idx="1740">
                  <c:v>40102</c:v>
                </c:pt>
                <c:pt idx="1741">
                  <c:v>40105</c:v>
                </c:pt>
                <c:pt idx="1742">
                  <c:v>40106</c:v>
                </c:pt>
                <c:pt idx="1743">
                  <c:v>40107</c:v>
                </c:pt>
                <c:pt idx="1744">
                  <c:v>40108</c:v>
                </c:pt>
                <c:pt idx="1745">
                  <c:v>40109</c:v>
                </c:pt>
                <c:pt idx="1746">
                  <c:v>40112</c:v>
                </c:pt>
                <c:pt idx="1747">
                  <c:v>40113</c:v>
                </c:pt>
                <c:pt idx="1748">
                  <c:v>40114</c:v>
                </c:pt>
                <c:pt idx="1749">
                  <c:v>40115</c:v>
                </c:pt>
                <c:pt idx="1750">
                  <c:v>40116</c:v>
                </c:pt>
                <c:pt idx="1751">
                  <c:v>40119</c:v>
                </c:pt>
                <c:pt idx="1752">
                  <c:v>40120</c:v>
                </c:pt>
                <c:pt idx="1753">
                  <c:v>40121</c:v>
                </c:pt>
                <c:pt idx="1754">
                  <c:v>40122</c:v>
                </c:pt>
                <c:pt idx="1755">
                  <c:v>40123</c:v>
                </c:pt>
                <c:pt idx="1756">
                  <c:v>40126</c:v>
                </c:pt>
                <c:pt idx="1757">
                  <c:v>40127</c:v>
                </c:pt>
                <c:pt idx="1758">
                  <c:v>40128</c:v>
                </c:pt>
                <c:pt idx="1759">
                  <c:v>40129</c:v>
                </c:pt>
                <c:pt idx="1760">
                  <c:v>40130</c:v>
                </c:pt>
                <c:pt idx="1761">
                  <c:v>40133</c:v>
                </c:pt>
                <c:pt idx="1762">
                  <c:v>40134</c:v>
                </c:pt>
                <c:pt idx="1763">
                  <c:v>40135</c:v>
                </c:pt>
                <c:pt idx="1764">
                  <c:v>40136</c:v>
                </c:pt>
                <c:pt idx="1765">
                  <c:v>40137</c:v>
                </c:pt>
                <c:pt idx="1766">
                  <c:v>40140</c:v>
                </c:pt>
                <c:pt idx="1767">
                  <c:v>40141</c:v>
                </c:pt>
                <c:pt idx="1768">
                  <c:v>40142</c:v>
                </c:pt>
                <c:pt idx="1769">
                  <c:v>40143</c:v>
                </c:pt>
                <c:pt idx="1770">
                  <c:v>40144</c:v>
                </c:pt>
                <c:pt idx="1771">
                  <c:v>40147</c:v>
                </c:pt>
                <c:pt idx="1772">
                  <c:v>40148</c:v>
                </c:pt>
                <c:pt idx="1773">
                  <c:v>40149</c:v>
                </c:pt>
                <c:pt idx="1774">
                  <c:v>40150</c:v>
                </c:pt>
                <c:pt idx="1775">
                  <c:v>40151</c:v>
                </c:pt>
                <c:pt idx="1776">
                  <c:v>40154</c:v>
                </c:pt>
                <c:pt idx="1777">
                  <c:v>40155</c:v>
                </c:pt>
                <c:pt idx="1778">
                  <c:v>40156</c:v>
                </c:pt>
                <c:pt idx="1779">
                  <c:v>40157</c:v>
                </c:pt>
                <c:pt idx="1780">
                  <c:v>40158</c:v>
                </c:pt>
                <c:pt idx="1781">
                  <c:v>40161</c:v>
                </c:pt>
                <c:pt idx="1782">
                  <c:v>40162</c:v>
                </c:pt>
                <c:pt idx="1783">
                  <c:v>40163</c:v>
                </c:pt>
                <c:pt idx="1784">
                  <c:v>40164</c:v>
                </c:pt>
                <c:pt idx="1785">
                  <c:v>40165</c:v>
                </c:pt>
                <c:pt idx="1786">
                  <c:v>40168</c:v>
                </c:pt>
                <c:pt idx="1787">
                  <c:v>40169</c:v>
                </c:pt>
                <c:pt idx="1788">
                  <c:v>40170</c:v>
                </c:pt>
                <c:pt idx="1789">
                  <c:v>40171</c:v>
                </c:pt>
                <c:pt idx="1790">
                  <c:v>40175</c:v>
                </c:pt>
                <c:pt idx="1791">
                  <c:v>40176</c:v>
                </c:pt>
                <c:pt idx="1792">
                  <c:v>40177</c:v>
                </c:pt>
                <c:pt idx="1793">
                  <c:v>40178</c:v>
                </c:pt>
                <c:pt idx="1794">
                  <c:v>40182</c:v>
                </c:pt>
                <c:pt idx="1795">
                  <c:v>40183</c:v>
                </c:pt>
                <c:pt idx="1796">
                  <c:v>40185</c:v>
                </c:pt>
                <c:pt idx="1797">
                  <c:v>40186</c:v>
                </c:pt>
                <c:pt idx="1798">
                  <c:v>40189</c:v>
                </c:pt>
                <c:pt idx="1799">
                  <c:v>40190</c:v>
                </c:pt>
                <c:pt idx="1800">
                  <c:v>40191</c:v>
                </c:pt>
                <c:pt idx="1801">
                  <c:v>40192</c:v>
                </c:pt>
                <c:pt idx="1802">
                  <c:v>40193</c:v>
                </c:pt>
                <c:pt idx="1803">
                  <c:v>40196</c:v>
                </c:pt>
                <c:pt idx="1804">
                  <c:v>40197</c:v>
                </c:pt>
                <c:pt idx="1805">
                  <c:v>40198</c:v>
                </c:pt>
                <c:pt idx="1806">
                  <c:v>40199</c:v>
                </c:pt>
                <c:pt idx="1807">
                  <c:v>40200</c:v>
                </c:pt>
                <c:pt idx="1808">
                  <c:v>40203</c:v>
                </c:pt>
                <c:pt idx="1809">
                  <c:v>40204</c:v>
                </c:pt>
                <c:pt idx="1810">
                  <c:v>40205</c:v>
                </c:pt>
                <c:pt idx="1811">
                  <c:v>40206</c:v>
                </c:pt>
                <c:pt idx="1812">
                  <c:v>40207</c:v>
                </c:pt>
                <c:pt idx="1813">
                  <c:v>40210</c:v>
                </c:pt>
                <c:pt idx="1814">
                  <c:v>40211</c:v>
                </c:pt>
                <c:pt idx="1815">
                  <c:v>40212</c:v>
                </c:pt>
                <c:pt idx="1816">
                  <c:v>40213</c:v>
                </c:pt>
                <c:pt idx="1817">
                  <c:v>40214</c:v>
                </c:pt>
                <c:pt idx="1818">
                  <c:v>40217</c:v>
                </c:pt>
                <c:pt idx="1819">
                  <c:v>40218</c:v>
                </c:pt>
                <c:pt idx="1820">
                  <c:v>40219</c:v>
                </c:pt>
                <c:pt idx="1821">
                  <c:v>40220</c:v>
                </c:pt>
                <c:pt idx="1822">
                  <c:v>40221</c:v>
                </c:pt>
                <c:pt idx="1823">
                  <c:v>40224</c:v>
                </c:pt>
                <c:pt idx="1824">
                  <c:v>40225</c:v>
                </c:pt>
                <c:pt idx="1825">
                  <c:v>40226</c:v>
                </c:pt>
                <c:pt idx="1826">
                  <c:v>40227</c:v>
                </c:pt>
                <c:pt idx="1827">
                  <c:v>40228</c:v>
                </c:pt>
                <c:pt idx="1828">
                  <c:v>40231</c:v>
                </c:pt>
                <c:pt idx="1829">
                  <c:v>40232</c:v>
                </c:pt>
                <c:pt idx="1830">
                  <c:v>40233</c:v>
                </c:pt>
                <c:pt idx="1831">
                  <c:v>40234</c:v>
                </c:pt>
                <c:pt idx="1832">
                  <c:v>40235</c:v>
                </c:pt>
                <c:pt idx="1833">
                  <c:v>40238</c:v>
                </c:pt>
                <c:pt idx="1834">
                  <c:v>40239</c:v>
                </c:pt>
                <c:pt idx="1835">
                  <c:v>40240</c:v>
                </c:pt>
                <c:pt idx="1836">
                  <c:v>40241</c:v>
                </c:pt>
                <c:pt idx="1837">
                  <c:v>40242</c:v>
                </c:pt>
                <c:pt idx="1838">
                  <c:v>40245</c:v>
                </c:pt>
                <c:pt idx="1839">
                  <c:v>40246</c:v>
                </c:pt>
                <c:pt idx="1840">
                  <c:v>40247</c:v>
                </c:pt>
                <c:pt idx="1841">
                  <c:v>40248</c:v>
                </c:pt>
                <c:pt idx="1842">
                  <c:v>40249</c:v>
                </c:pt>
                <c:pt idx="1843">
                  <c:v>40252</c:v>
                </c:pt>
                <c:pt idx="1844">
                  <c:v>40253</c:v>
                </c:pt>
                <c:pt idx="1845">
                  <c:v>40254</c:v>
                </c:pt>
                <c:pt idx="1846">
                  <c:v>40255</c:v>
                </c:pt>
                <c:pt idx="1847">
                  <c:v>40256</c:v>
                </c:pt>
                <c:pt idx="1848">
                  <c:v>40259</c:v>
                </c:pt>
                <c:pt idx="1849">
                  <c:v>40260</c:v>
                </c:pt>
                <c:pt idx="1850">
                  <c:v>40261</c:v>
                </c:pt>
                <c:pt idx="1851">
                  <c:v>40262</c:v>
                </c:pt>
                <c:pt idx="1852">
                  <c:v>40263</c:v>
                </c:pt>
                <c:pt idx="1853">
                  <c:v>40266</c:v>
                </c:pt>
                <c:pt idx="1854">
                  <c:v>40267</c:v>
                </c:pt>
                <c:pt idx="1855">
                  <c:v>40268</c:v>
                </c:pt>
                <c:pt idx="1856">
                  <c:v>40269</c:v>
                </c:pt>
                <c:pt idx="1857">
                  <c:v>40274</c:v>
                </c:pt>
                <c:pt idx="1858">
                  <c:v>40275</c:v>
                </c:pt>
                <c:pt idx="1859">
                  <c:v>40276</c:v>
                </c:pt>
                <c:pt idx="1860">
                  <c:v>40277</c:v>
                </c:pt>
                <c:pt idx="1861">
                  <c:v>40280</c:v>
                </c:pt>
                <c:pt idx="1862">
                  <c:v>40281</c:v>
                </c:pt>
                <c:pt idx="1863">
                  <c:v>40282</c:v>
                </c:pt>
                <c:pt idx="1864">
                  <c:v>40283</c:v>
                </c:pt>
                <c:pt idx="1865">
                  <c:v>40284</c:v>
                </c:pt>
                <c:pt idx="1866">
                  <c:v>40287</c:v>
                </c:pt>
                <c:pt idx="1867">
                  <c:v>40288</c:v>
                </c:pt>
                <c:pt idx="1868">
                  <c:v>40289</c:v>
                </c:pt>
                <c:pt idx="1869">
                  <c:v>40290</c:v>
                </c:pt>
                <c:pt idx="1870">
                  <c:v>40291</c:v>
                </c:pt>
                <c:pt idx="1871">
                  <c:v>40294</c:v>
                </c:pt>
                <c:pt idx="1872">
                  <c:v>40295</c:v>
                </c:pt>
                <c:pt idx="1873">
                  <c:v>40296</c:v>
                </c:pt>
                <c:pt idx="1874">
                  <c:v>40297</c:v>
                </c:pt>
                <c:pt idx="1875">
                  <c:v>40298</c:v>
                </c:pt>
                <c:pt idx="1876">
                  <c:v>40301</c:v>
                </c:pt>
                <c:pt idx="1877">
                  <c:v>40302</c:v>
                </c:pt>
                <c:pt idx="1878">
                  <c:v>40303</c:v>
                </c:pt>
                <c:pt idx="1879">
                  <c:v>40304</c:v>
                </c:pt>
                <c:pt idx="1880">
                  <c:v>40305</c:v>
                </c:pt>
                <c:pt idx="1881">
                  <c:v>40308</c:v>
                </c:pt>
                <c:pt idx="1882">
                  <c:v>40309</c:v>
                </c:pt>
                <c:pt idx="1883">
                  <c:v>40310</c:v>
                </c:pt>
                <c:pt idx="1884">
                  <c:v>40311</c:v>
                </c:pt>
                <c:pt idx="1885">
                  <c:v>40312</c:v>
                </c:pt>
                <c:pt idx="1886">
                  <c:v>40315</c:v>
                </c:pt>
                <c:pt idx="1887">
                  <c:v>40316</c:v>
                </c:pt>
                <c:pt idx="1888">
                  <c:v>40317</c:v>
                </c:pt>
                <c:pt idx="1889">
                  <c:v>40318</c:v>
                </c:pt>
                <c:pt idx="1890">
                  <c:v>40319</c:v>
                </c:pt>
                <c:pt idx="1891">
                  <c:v>40322</c:v>
                </c:pt>
                <c:pt idx="1892">
                  <c:v>40323</c:v>
                </c:pt>
                <c:pt idx="1893">
                  <c:v>40324</c:v>
                </c:pt>
                <c:pt idx="1894">
                  <c:v>40325</c:v>
                </c:pt>
                <c:pt idx="1895">
                  <c:v>40326</c:v>
                </c:pt>
                <c:pt idx="1896">
                  <c:v>40329</c:v>
                </c:pt>
                <c:pt idx="1897">
                  <c:v>40330</c:v>
                </c:pt>
                <c:pt idx="1898">
                  <c:v>40331</c:v>
                </c:pt>
                <c:pt idx="1899">
                  <c:v>40333</c:v>
                </c:pt>
                <c:pt idx="1900">
                  <c:v>40336</c:v>
                </c:pt>
                <c:pt idx="1901">
                  <c:v>40337</c:v>
                </c:pt>
                <c:pt idx="1902">
                  <c:v>40338</c:v>
                </c:pt>
                <c:pt idx="1903">
                  <c:v>40339</c:v>
                </c:pt>
                <c:pt idx="1904">
                  <c:v>40340</c:v>
                </c:pt>
                <c:pt idx="1905">
                  <c:v>40343</c:v>
                </c:pt>
                <c:pt idx="1906">
                  <c:v>40344</c:v>
                </c:pt>
                <c:pt idx="1907">
                  <c:v>40345</c:v>
                </c:pt>
                <c:pt idx="1908">
                  <c:v>40346</c:v>
                </c:pt>
                <c:pt idx="1909">
                  <c:v>40347</c:v>
                </c:pt>
                <c:pt idx="1910">
                  <c:v>40350</c:v>
                </c:pt>
                <c:pt idx="1911">
                  <c:v>40352</c:v>
                </c:pt>
                <c:pt idx="1912">
                  <c:v>40353</c:v>
                </c:pt>
                <c:pt idx="1913">
                  <c:v>40357</c:v>
                </c:pt>
                <c:pt idx="1914">
                  <c:v>40358</c:v>
                </c:pt>
                <c:pt idx="1915">
                  <c:v>40359</c:v>
                </c:pt>
                <c:pt idx="1916">
                  <c:v>40360</c:v>
                </c:pt>
                <c:pt idx="1917">
                  <c:v>40361</c:v>
                </c:pt>
                <c:pt idx="1918">
                  <c:v>40364</c:v>
                </c:pt>
                <c:pt idx="1919">
                  <c:v>40365</c:v>
                </c:pt>
                <c:pt idx="1920">
                  <c:v>40366</c:v>
                </c:pt>
                <c:pt idx="1921">
                  <c:v>40367</c:v>
                </c:pt>
                <c:pt idx="1922">
                  <c:v>40368</c:v>
                </c:pt>
                <c:pt idx="1923">
                  <c:v>40371</c:v>
                </c:pt>
                <c:pt idx="1924">
                  <c:v>40372</c:v>
                </c:pt>
                <c:pt idx="1925">
                  <c:v>40373</c:v>
                </c:pt>
                <c:pt idx="1926">
                  <c:v>40374</c:v>
                </c:pt>
                <c:pt idx="1927">
                  <c:v>40375</c:v>
                </c:pt>
                <c:pt idx="1928">
                  <c:v>40378</c:v>
                </c:pt>
                <c:pt idx="1929">
                  <c:v>40379</c:v>
                </c:pt>
                <c:pt idx="1930">
                  <c:v>40380</c:v>
                </c:pt>
                <c:pt idx="1931">
                  <c:v>40381</c:v>
                </c:pt>
                <c:pt idx="1932">
                  <c:v>40382</c:v>
                </c:pt>
                <c:pt idx="1933">
                  <c:v>40385</c:v>
                </c:pt>
                <c:pt idx="1934">
                  <c:v>40386</c:v>
                </c:pt>
                <c:pt idx="1935">
                  <c:v>40387</c:v>
                </c:pt>
                <c:pt idx="1936">
                  <c:v>40388</c:v>
                </c:pt>
                <c:pt idx="1937">
                  <c:v>40389</c:v>
                </c:pt>
                <c:pt idx="1938">
                  <c:v>40392</c:v>
                </c:pt>
                <c:pt idx="1939">
                  <c:v>40393</c:v>
                </c:pt>
                <c:pt idx="1940">
                  <c:v>40394</c:v>
                </c:pt>
                <c:pt idx="1941">
                  <c:v>40399</c:v>
                </c:pt>
                <c:pt idx="1942">
                  <c:v>40400</c:v>
                </c:pt>
                <c:pt idx="1943">
                  <c:v>40401</c:v>
                </c:pt>
                <c:pt idx="1944">
                  <c:v>40402</c:v>
                </c:pt>
                <c:pt idx="1945">
                  <c:v>40403</c:v>
                </c:pt>
                <c:pt idx="1946">
                  <c:v>40406</c:v>
                </c:pt>
                <c:pt idx="1947">
                  <c:v>40407</c:v>
                </c:pt>
                <c:pt idx="1948">
                  <c:v>40408</c:v>
                </c:pt>
                <c:pt idx="1949">
                  <c:v>40409</c:v>
                </c:pt>
                <c:pt idx="1950">
                  <c:v>40410</c:v>
                </c:pt>
                <c:pt idx="1951">
                  <c:v>40413</c:v>
                </c:pt>
                <c:pt idx="1952">
                  <c:v>40414</c:v>
                </c:pt>
                <c:pt idx="1953">
                  <c:v>40415</c:v>
                </c:pt>
                <c:pt idx="1954">
                  <c:v>40416</c:v>
                </c:pt>
                <c:pt idx="1955">
                  <c:v>40417</c:v>
                </c:pt>
                <c:pt idx="1956">
                  <c:v>40420</c:v>
                </c:pt>
                <c:pt idx="1957">
                  <c:v>40421</c:v>
                </c:pt>
                <c:pt idx="1958">
                  <c:v>40422</c:v>
                </c:pt>
                <c:pt idx="1959">
                  <c:v>40423</c:v>
                </c:pt>
                <c:pt idx="1960">
                  <c:v>40424</c:v>
                </c:pt>
                <c:pt idx="1961">
                  <c:v>40427</c:v>
                </c:pt>
                <c:pt idx="1962">
                  <c:v>40428</c:v>
                </c:pt>
                <c:pt idx="1963">
                  <c:v>40429</c:v>
                </c:pt>
                <c:pt idx="1964">
                  <c:v>40430</c:v>
                </c:pt>
                <c:pt idx="1965">
                  <c:v>40431</c:v>
                </c:pt>
                <c:pt idx="1966">
                  <c:v>40434</c:v>
                </c:pt>
                <c:pt idx="1967">
                  <c:v>40435</c:v>
                </c:pt>
                <c:pt idx="1968">
                  <c:v>40436</c:v>
                </c:pt>
                <c:pt idx="1969">
                  <c:v>40437</c:v>
                </c:pt>
                <c:pt idx="1970">
                  <c:v>40438</c:v>
                </c:pt>
                <c:pt idx="1971">
                  <c:v>40441</c:v>
                </c:pt>
                <c:pt idx="1972">
                  <c:v>40442</c:v>
                </c:pt>
                <c:pt idx="1973">
                  <c:v>40443</c:v>
                </c:pt>
                <c:pt idx="1974">
                  <c:v>40444</c:v>
                </c:pt>
                <c:pt idx="1975">
                  <c:v>40445</c:v>
                </c:pt>
                <c:pt idx="1976">
                  <c:v>40448</c:v>
                </c:pt>
                <c:pt idx="1977">
                  <c:v>40449</c:v>
                </c:pt>
                <c:pt idx="1978">
                  <c:v>40450</c:v>
                </c:pt>
                <c:pt idx="1979">
                  <c:v>40451</c:v>
                </c:pt>
                <c:pt idx="1980">
                  <c:v>40452</c:v>
                </c:pt>
                <c:pt idx="1981">
                  <c:v>40455</c:v>
                </c:pt>
                <c:pt idx="1982">
                  <c:v>40456</c:v>
                </c:pt>
                <c:pt idx="1983">
                  <c:v>40457</c:v>
                </c:pt>
                <c:pt idx="1984">
                  <c:v>40458</c:v>
                </c:pt>
                <c:pt idx="1985">
                  <c:v>40462</c:v>
                </c:pt>
                <c:pt idx="1986">
                  <c:v>40463</c:v>
                </c:pt>
                <c:pt idx="1987">
                  <c:v>40464</c:v>
                </c:pt>
                <c:pt idx="1988">
                  <c:v>40465</c:v>
                </c:pt>
                <c:pt idx="1989">
                  <c:v>40466</c:v>
                </c:pt>
                <c:pt idx="1990">
                  <c:v>40469</c:v>
                </c:pt>
                <c:pt idx="1991">
                  <c:v>40470</c:v>
                </c:pt>
                <c:pt idx="1992">
                  <c:v>40471</c:v>
                </c:pt>
                <c:pt idx="1993">
                  <c:v>40472</c:v>
                </c:pt>
                <c:pt idx="1994">
                  <c:v>40473</c:v>
                </c:pt>
                <c:pt idx="1995">
                  <c:v>40476</c:v>
                </c:pt>
                <c:pt idx="1996">
                  <c:v>40477</c:v>
                </c:pt>
                <c:pt idx="1997">
                  <c:v>40478</c:v>
                </c:pt>
                <c:pt idx="1998">
                  <c:v>40479</c:v>
                </c:pt>
                <c:pt idx="1999">
                  <c:v>40480</c:v>
                </c:pt>
                <c:pt idx="2000">
                  <c:v>40484</c:v>
                </c:pt>
                <c:pt idx="2001">
                  <c:v>40485</c:v>
                </c:pt>
                <c:pt idx="2002">
                  <c:v>40486</c:v>
                </c:pt>
                <c:pt idx="2003">
                  <c:v>40487</c:v>
                </c:pt>
                <c:pt idx="2004">
                  <c:v>40490</c:v>
                </c:pt>
                <c:pt idx="2005">
                  <c:v>40491</c:v>
                </c:pt>
                <c:pt idx="2006">
                  <c:v>40492</c:v>
                </c:pt>
                <c:pt idx="2007">
                  <c:v>40493</c:v>
                </c:pt>
                <c:pt idx="2008">
                  <c:v>40494</c:v>
                </c:pt>
                <c:pt idx="2009">
                  <c:v>40497</c:v>
                </c:pt>
                <c:pt idx="2010">
                  <c:v>40498</c:v>
                </c:pt>
                <c:pt idx="2011">
                  <c:v>40499</c:v>
                </c:pt>
                <c:pt idx="2012">
                  <c:v>40500</c:v>
                </c:pt>
                <c:pt idx="2013">
                  <c:v>40501</c:v>
                </c:pt>
                <c:pt idx="2014">
                  <c:v>40504</c:v>
                </c:pt>
                <c:pt idx="2015">
                  <c:v>40505</c:v>
                </c:pt>
                <c:pt idx="2016">
                  <c:v>40506</c:v>
                </c:pt>
                <c:pt idx="2017">
                  <c:v>40507</c:v>
                </c:pt>
                <c:pt idx="2018">
                  <c:v>40508</c:v>
                </c:pt>
                <c:pt idx="2019">
                  <c:v>40511</c:v>
                </c:pt>
                <c:pt idx="2020">
                  <c:v>40512</c:v>
                </c:pt>
                <c:pt idx="2021">
                  <c:v>40513</c:v>
                </c:pt>
                <c:pt idx="2022">
                  <c:v>40514</c:v>
                </c:pt>
                <c:pt idx="2023">
                  <c:v>40515</c:v>
                </c:pt>
                <c:pt idx="2024">
                  <c:v>40518</c:v>
                </c:pt>
                <c:pt idx="2025">
                  <c:v>40519</c:v>
                </c:pt>
                <c:pt idx="2026">
                  <c:v>40520</c:v>
                </c:pt>
                <c:pt idx="2027">
                  <c:v>40521</c:v>
                </c:pt>
                <c:pt idx="2028">
                  <c:v>40522</c:v>
                </c:pt>
                <c:pt idx="2029">
                  <c:v>40525</c:v>
                </c:pt>
                <c:pt idx="2030">
                  <c:v>40526</c:v>
                </c:pt>
                <c:pt idx="2031">
                  <c:v>40527</c:v>
                </c:pt>
                <c:pt idx="2032">
                  <c:v>40528</c:v>
                </c:pt>
                <c:pt idx="2033">
                  <c:v>40529</c:v>
                </c:pt>
                <c:pt idx="2034">
                  <c:v>40532</c:v>
                </c:pt>
                <c:pt idx="2035">
                  <c:v>40533</c:v>
                </c:pt>
                <c:pt idx="2036">
                  <c:v>40534</c:v>
                </c:pt>
                <c:pt idx="2037">
                  <c:v>40535</c:v>
                </c:pt>
                <c:pt idx="2038">
                  <c:v>40536</c:v>
                </c:pt>
                <c:pt idx="2039">
                  <c:v>40539</c:v>
                </c:pt>
                <c:pt idx="2040">
                  <c:v>40540</c:v>
                </c:pt>
                <c:pt idx="2041">
                  <c:v>40541</c:v>
                </c:pt>
                <c:pt idx="2042">
                  <c:v>40542</c:v>
                </c:pt>
                <c:pt idx="2043">
                  <c:v>40543</c:v>
                </c:pt>
                <c:pt idx="2044">
                  <c:v>40546</c:v>
                </c:pt>
                <c:pt idx="2045">
                  <c:v>40547</c:v>
                </c:pt>
                <c:pt idx="2046">
                  <c:v>40548</c:v>
                </c:pt>
                <c:pt idx="2047">
                  <c:v>40550</c:v>
                </c:pt>
                <c:pt idx="2048">
                  <c:v>40553</c:v>
                </c:pt>
                <c:pt idx="2049">
                  <c:v>40554</c:v>
                </c:pt>
                <c:pt idx="2050">
                  <c:v>40555</c:v>
                </c:pt>
                <c:pt idx="2051">
                  <c:v>40556</c:v>
                </c:pt>
                <c:pt idx="2052">
                  <c:v>40557</c:v>
                </c:pt>
                <c:pt idx="2053">
                  <c:v>40560</c:v>
                </c:pt>
                <c:pt idx="2054">
                  <c:v>40561</c:v>
                </c:pt>
                <c:pt idx="2055">
                  <c:v>40562</c:v>
                </c:pt>
                <c:pt idx="2056">
                  <c:v>40563</c:v>
                </c:pt>
                <c:pt idx="2057">
                  <c:v>40564</c:v>
                </c:pt>
                <c:pt idx="2058">
                  <c:v>40567</c:v>
                </c:pt>
                <c:pt idx="2059">
                  <c:v>40568</c:v>
                </c:pt>
                <c:pt idx="2060">
                  <c:v>40569</c:v>
                </c:pt>
                <c:pt idx="2061">
                  <c:v>40570</c:v>
                </c:pt>
                <c:pt idx="2062">
                  <c:v>40571</c:v>
                </c:pt>
                <c:pt idx="2063">
                  <c:v>40574</c:v>
                </c:pt>
                <c:pt idx="2064">
                  <c:v>40575</c:v>
                </c:pt>
                <c:pt idx="2065">
                  <c:v>40576</c:v>
                </c:pt>
                <c:pt idx="2066">
                  <c:v>40577</c:v>
                </c:pt>
                <c:pt idx="2067">
                  <c:v>40578</c:v>
                </c:pt>
                <c:pt idx="2068">
                  <c:v>40581</c:v>
                </c:pt>
                <c:pt idx="2069">
                  <c:v>40582</c:v>
                </c:pt>
                <c:pt idx="2070">
                  <c:v>40583</c:v>
                </c:pt>
                <c:pt idx="2071">
                  <c:v>40584</c:v>
                </c:pt>
                <c:pt idx="2072">
                  <c:v>40585</c:v>
                </c:pt>
                <c:pt idx="2073">
                  <c:v>40588</c:v>
                </c:pt>
                <c:pt idx="2074">
                  <c:v>40589</c:v>
                </c:pt>
                <c:pt idx="2075">
                  <c:v>40590</c:v>
                </c:pt>
                <c:pt idx="2076">
                  <c:v>40591</c:v>
                </c:pt>
                <c:pt idx="2077">
                  <c:v>40592</c:v>
                </c:pt>
                <c:pt idx="2078">
                  <c:v>40595</c:v>
                </c:pt>
                <c:pt idx="2079">
                  <c:v>40596</c:v>
                </c:pt>
                <c:pt idx="2080">
                  <c:v>40597</c:v>
                </c:pt>
                <c:pt idx="2081">
                  <c:v>40598</c:v>
                </c:pt>
                <c:pt idx="2082">
                  <c:v>40599</c:v>
                </c:pt>
                <c:pt idx="2083">
                  <c:v>40602</c:v>
                </c:pt>
                <c:pt idx="2084">
                  <c:v>40603</c:v>
                </c:pt>
                <c:pt idx="2085">
                  <c:v>40604</c:v>
                </c:pt>
                <c:pt idx="2086">
                  <c:v>40605</c:v>
                </c:pt>
                <c:pt idx="2087">
                  <c:v>40606</c:v>
                </c:pt>
                <c:pt idx="2088">
                  <c:v>40609</c:v>
                </c:pt>
                <c:pt idx="2089">
                  <c:v>40610</c:v>
                </c:pt>
                <c:pt idx="2090">
                  <c:v>40611</c:v>
                </c:pt>
                <c:pt idx="2091">
                  <c:v>40612</c:v>
                </c:pt>
                <c:pt idx="2092">
                  <c:v>40613</c:v>
                </c:pt>
                <c:pt idx="2093">
                  <c:v>40616</c:v>
                </c:pt>
                <c:pt idx="2094">
                  <c:v>40617</c:v>
                </c:pt>
                <c:pt idx="2095">
                  <c:v>40618</c:v>
                </c:pt>
                <c:pt idx="2096">
                  <c:v>40619</c:v>
                </c:pt>
                <c:pt idx="2097">
                  <c:v>40620</c:v>
                </c:pt>
                <c:pt idx="2098">
                  <c:v>40623</c:v>
                </c:pt>
                <c:pt idx="2099">
                  <c:v>40624</c:v>
                </c:pt>
                <c:pt idx="2100">
                  <c:v>40625</c:v>
                </c:pt>
                <c:pt idx="2101">
                  <c:v>40626</c:v>
                </c:pt>
                <c:pt idx="2102">
                  <c:v>40627</c:v>
                </c:pt>
                <c:pt idx="2103">
                  <c:v>40630</c:v>
                </c:pt>
                <c:pt idx="2104">
                  <c:v>40631</c:v>
                </c:pt>
                <c:pt idx="2105">
                  <c:v>40632</c:v>
                </c:pt>
                <c:pt idx="2106">
                  <c:v>40633</c:v>
                </c:pt>
                <c:pt idx="2107">
                  <c:v>40634</c:v>
                </c:pt>
                <c:pt idx="2108">
                  <c:v>40637</c:v>
                </c:pt>
                <c:pt idx="2109">
                  <c:v>40638</c:v>
                </c:pt>
                <c:pt idx="2110">
                  <c:v>40639</c:v>
                </c:pt>
                <c:pt idx="2111">
                  <c:v>40640</c:v>
                </c:pt>
                <c:pt idx="2112">
                  <c:v>40641</c:v>
                </c:pt>
                <c:pt idx="2113">
                  <c:v>40644</c:v>
                </c:pt>
                <c:pt idx="2114">
                  <c:v>40645</c:v>
                </c:pt>
                <c:pt idx="2115">
                  <c:v>40646</c:v>
                </c:pt>
                <c:pt idx="2116">
                  <c:v>40647</c:v>
                </c:pt>
                <c:pt idx="2117">
                  <c:v>40648</c:v>
                </c:pt>
                <c:pt idx="2118">
                  <c:v>40651</c:v>
                </c:pt>
                <c:pt idx="2119">
                  <c:v>40652</c:v>
                </c:pt>
                <c:pt idx="2120">
                  <c:v>40653</c:v>
                </c:pt>
                <c:pt idx="2121">
                  <c:v>40654</c:v>
                </c:pt>
                <c:pt idx="2122">
                  <c:v>40655</c:v>
                </c:pt>
                <c:pt idx="2123">
                  <c:v>40659</c:v>
                </c:pt>
                <c:pt idx="2124">
                  <c:v>40660</c:v>
                </c:pt>
                <c:pt idx="2125">
                  <c:v>40661</c:v>
                </c:pt>
                <c:pt idx="2126">
                  <c:v>40662</c:v>
                </c:pt>
                <c:pt idx="2127">
                  <c:v>40665</c:v>
                </c:pt>
                <c:pt idx="2128">
                  <c:v>40666</c:v>
                </c:pt>
                <c:pt idx="2129">
                  <c:v>40667</c:v>
                </c:pt>
                <c:pt idx="2130">
                  <c:v>40668</c:v>
                </c:pt>
                <c:pt idx="2131">
                  <c:v>40669</c:v>
                </c:pt>
                <c:pt idx="2132">
                  <c:v>40672</c:v>
                </c:pt>
                <c:pt idx="2133">
                  <c:v>40673</c:v>
                </c:pt>
                <c:pt idx="2134">
                  <c:v>40674</c:v>
                </c:pt>
                <c:pt idx="2135">
                  <c:v>40675</c:v>
                </c:pt>
                <c:pt idx="2136">
                  <c:v>40676</c:v>
                </c:pt>
                <c:pt idx="2137">
                  <c:v>40679</c:v>
                </c:pt>
                <c:pt idx="2138">
                  <c:v>40680</c:v>
                </c:pt>
                <c:pt idx="2139">
                  <c:v>40681</c:v>
                </c:pt>
                <c:pt idx="2140">
                  <c:v>40682</c:v>
                </c:pt>
                <c:pt idx="2141">
                  <c:v>40683</c:v>
                </c:pt>
                <c:pt idx="2142">
                  <c:v>40686</c:v>
                </c:pt>
                <c:pt idx="2143">
                  <c:v>40687</c:v>
                </c:pt>
                <c:pt idx="2144">
                  <c:v>40688</c:v>
                </c:pt>
                <c:pt idx="2145">
                  <c:v>40689</c:v>
                </c:pt>
                <c:pt idx="2146">
                  <c:v>40690</c:v>
                </c:pt>
                <c:pt idx="2147">
                  <c:v>40693</c:v>
                </c:pt>
                <c:pt idx="2148">
                  <c:v>40694</c:v>
                </c:pt>
                <c:pt idx="2149">
                  <c:v>40695</c:v>
                </c:pt>
                <c:pt idx="2150">
                  <c:v>40696</c:v>
                </c:pt>
                <c:pt idx="2151">
                  <c:v>40697</c:v>
                </c:pt>
                <c:pt idx="2152">
                  <c:v>40700</c:v>
                </c:pt>
                <c:pt idx="2153">
                  <c:v>40701</c:v>
                </c:pt>
                <c:pt idx="2154">
                  <c:v>40702</c:v>
                </c:pt>
                <c:pt idx="2155">
                  <c:v>40703</c:v>
                </c:pt>
                <c:pt idx="2156">
                  <c:v>40704</c:v>
                </c:pt>
                <c:pt idx="2157">
                  <c:v>40707</c:v>
                </c:pt>
                <c:pt idx="2158">
                  <c:v>40708</c:v>
                </c:pt>
                <c:pt idx="2159">
                  <c:v>40709</c:v>
                </c:pt>
                <c:pt idx="2160">
                  <c:v>40710</c:v>
                </c:pt>
                <c:pt idx="2161">
                  <c:v>40711</c:v>
                </c:pt>
                <c:pt idx="2162">
                  <c:v>40714</c:v>
                </c:pt>
                <c:pt idx="2163">
                  <c:v>40715</c:v>
                </c:pt>
                <c:pt idx="2164">
                  <c:v>40718</c:v>
                </c:pt>
                <c:pt idx="2165">
                  <c:v>40721</c:v>
                </c:pt>
                <c:pt idx="2166">
                  <c:v>40722</c:v>
                </c:pt>
                <c:pt idx="2167">
                  <c:v>40723</c:v>
                </c:pt>
                <c:pt idx="2168">
                  <c:v>40724</c:v>
                </c:pt>
                <c:pt idx="2169">
                  <c:v>40725</c:v>
                </c:pt>
                <c:pt idx="2170">
                  <c:v>40728</c:v>
                </c:pt>
                <c:pt idx="2171">
                  <c:v>40729</c:v>
                </c:pt>
                <c:pt idx="2172">
                  <c:v>40730</c:v>
                </c:pt>
                <c:pt idx="2173">
                  <c:v>40731</c:v>
                </c:pt>
                <c:pt idx="2174">
                  <c:v>40732</c:v>
                </c:pt>
                <c:pt idx="2175">
                  <c:v>40735</c:v>
                </c:pt>
                <c:pt idx="2176">
                  <c:v>40736</c:v>
                </c:pt>
                <c:pt idx="2177">
                  <c:v>40737</c:v>
                </c:pt>
                <c:pt idx="2178">
                  <c:v>40738</c:v>
                </c:pt>
                <c:pt idx="2179">
                  <c:v>40739</c:v>
                </c:pt>
                <c:pt idx="2180">
                  <c:v>40742</c:v>
                </c:pt>
                <c:pt idx="2181">
                  <c:v>40743</c:v>
                </c:pt>
                <c:pt idx="2182">
                  <c:v>40744</c:v>
                </c:pt>
                <c:pt idx="2183">
                  <c:v>40745</c:v>
                </c:pt>
                <c:pt idx="2184">
                  <c:v>40746</c:v>
                </c:pt>
                <c:pt idx="2185">
                  <c:v>40749</c:v>
                </c:pt>
                <c:pt idx="2186">
                  <c:v>40750</c:v>
                </c:pt>
                <c:pt idx="2187">
                  <c:v>40751</c:v>
                </c:pt>
                <c:pt idx="2188">
                  <c:v>40752</c:v>
                </c:pt>
                <c:pt idx="2189">
                  <c:v>40753</c:v>
                </c:pt>
                <c:pt idx="2190">
                  <c:v>40756</c:v>
                </c:pt>
                <c:pt idx="2191">
                  <c:v>40757</c:v>
                </c:pt>
                <c:pt idx="2192">
                  <c:v>40758</c:v>
                </c:pt>
                <c:pt idx="2193">
                  <c:v>40759</c:v>
                </c:pt>
                <c:pt idx="2194">
                  <c:v>40763</c:v>
                </c:pt>
                <c:pt idx="2195">
                  <c:v>40764</c:v>
                </c:pt>
                <c:pt idx="2196">
                  <c:v>40765</c:v>
                </c:pt>
                <c:pt idx="2197">
                  <c:v>40766</c:v>
                </c:pt>
                <c:pt idx="2198">
                  <c:v>40767</c:v>
                </c:pt>
                <c:pt idx="2199">
                  <c:v>40771</c:v>
                </c:pt>
                <c:pt idx="2200">
                  <c:v>40772</c:v>
                </c:pt>
                <c:pt idx="2201">
                  <c:v>40773</c:v>
                </c:pt>
                <c:pt idx="2202">
                  <c:v>40774</c:v>
                </c:pt>
                <c:pt idx="2203">
                  <c:v>40777</c:v>
                </c:pt>
                <c:pt idx="2204">
                  <c:v>40778</c:v>
                </c:pt>
                <c:pt idx="2205">
                  <c:v>40779</c:v>
                </c:pt>
                <c:pt idx="2206">
                  <c:v>40780</c:v>
                </c:pt>
                <c:pt idx="2207">
                  <c:v>40781</c:v>
                </c:pt>
                <c:pt idx="2208">
                  <c:v>40784</c:v>
                </c:pt>
                <c:pt idx="2209">
                  <c:v>40785</c:v>
                </c:pt>
                <c:pt idx="2210">
                  <c:v>40786</c:v>
                </c:pt>
                <c:pt idx="2211">
                  <c:v>40787</c:v>
                </c:pt>
                <c:pt idx="2212">
                  <c:v>40788</c:v>
                </c:pt>
                <c:pt idx="2213">
                  <c:v>40791</c:v>
                </c:pt>
                <c:pt idx="2214">
                  <c:v>40792</c:v>
                </c:pt>
                <c:pt idx="2215">
                  <c:v>40793</c:v>
                </c:pt>
                <c:pt idx="2216">
                  <c:v>40794</c:v>
                </c:pt>
                <c:pt idx="2217">
                  <c:v>40795</c:v>
                </c:pt>
                <c:pt idx="2218">
                  <c:v>40798</c:v>
                </c:pt>
                <c:pt idx="2219">
                  <c:v>40799</c:v>
                </c:pt>
                <c:pt idx="2220">
                  <c:v>40800</c:v>
                </c:pt>
                <c:pt idx="2221">
                  <c:v>40801</c:v>
                </c:pt>
                <c:pt idx="2222">
                  <c:v>40802</c:v>
                </c:pt>
                <c:pt idx="2223">
                  <c:v>40805</c:v>
                </c:pt>
                <c:pt idx="2224">
                  <c:v>40806</c:v>
                </c:pt>
                <c:pt idx="2225">
                  <c:v>40807</c:v>
                </c:pt>
                <c:pt idx="2226">
                  <c:v>40808</c:v>
                </c:pt>
                <c:pt idx="2227">
                  <c:v>40809</c:v>
                </c:pt>
                <c:pt idx="2228">
                  <c:v>40812</c:v>
                </c:pt>
                <c:pt idx="2229">
                  <c:v>40813</c:v>
                </c:pt>
                <c:pt idx="2230">
                  <c:v>40814</c:v>
                </c:pt>
                <c:pt idx="2231">
                  <c:v>40815</c:v>
                </c:pt>
                <c:pt idx="2232">
                  <c:v>40816</c:v>
                </c:pt>
                <c:pt idx="2233">
                  <c:v>40819</c:v>
                </c:pt>
                <c:pt idx="2234">
                  <c:v>40820</c:v>
                </c:pt>
                <c:pt idx="2235">
                  <c:v>40821</c:v>
                </c:pt>
                <c:pt idx="2236">
                  <c:v>40822</c:v>
                </c:pt>
                <c:pt idx="2237">
                  <c:v>40823</c:v>
                </c:pt>
                <c:pt idx="2238">
                  <c:v>40826</c:v>
                </c:pt>
                <c:pt idx="2239">
                  <c:v>40827</c:v>
                </c:pt>
                <c:pt idx="2240">
                  <c:v>40828</c:v>
                </c:pt>
                <c:pt idx="2241">
                  <c:v>40829</c:v>
                </c:pt>
                <c:pt idx="2242">
                  <c:v>40830</c:v>
                </c:pt>
                <c:pt idx="2243">
                  <c:v>40833</c:v>
                </c:pt>
                <c:pt idx="2244">
                  <c:v>40834</c:v>
                </c:pt>
                <c:pt idx="2245">
                  <c:v>40835</c:v>
                </c:pt>
                <c:pt idx="2246">
                  <c:v>40836</c:v>
                </c:pt>
                <c:pt idx="2247">
                  <c:v>40837</c:v>
                </c:pt>
                <c:pt idx="2248">
                  <c:v>40840</c:v>
                </c:pt>
                <c:pt idx="2249">
                  <c:v>40841</c:v>
                </c:pt>
                <c:pt idx="2250">
                  <c:v>40842</c:v>
                </c:pt>
                <c:pt idx="2251">
                  <c:v>40843</c:v>
                </c:pt>
                <c:pt idx="2252">
                  <c:v>40844</c:v>
                </c:pt>
                <c:pt idx="2253">
                  <c:v>40847</c:v>
                </c:pt>
                <c:pt idx="2254">
                  <c:v>40849</c:v>
                </c:pt>
                <c:pt idx="2255">
                  <c:v>40850</c:v>
                </c:pt>
                <c:pt idx="2256">
                  <c:v>40851</c:v>
                </c:pt>
                <c:pt idx="2257">
                  <c:v>40854</c:v>
                </c:pt>
                <c:pt idx="2258">
                  <c:v>40855</c:v>
                </c:pt>
                <c:pt idx="2259">
                  <c:v>40856</c:v>
                </c:pt>
                <c:pt idx="2260">
                  <c:v>40857</c:v>
                </c:pt>
                <c:pt idx="2261">
                  <c:v>40858</c:v>
                </c:pt>
                <c:pt idx="2262">
                  <c:v>40861</c:v>
                </c:pt>
                <c:pt idx="2263">
                  <c:v>40862</c:v>
                </c:pt>
                <c:pt idx="2264">
                  <c:v>40863</c:v>
                </c:pt>
                <c:pt idx="2265">
                  <c:v>40864</c:v>
                </c:pt>
                <c:pt idx="2266">
                  <c:v>40865</c:v>
                </c:pt>
                <c:pt idx="2267">
                  <c:v>40868</c:v>
                </c:pt>
                <c:pt idx="2268">
                  <c:v>40869</c:v>
                </c:pt>
                <c:pt idx="2269">
                  <c:v>40870</c:v>
                </c:pt>
                <c:pt idx="2270">
                  <c:v>40871</c:v>
                </c:pt>
                <c:pt idx="2271">
                  <c:v>40872</c:v>
                </c:pt>
                <c:pt idx="2272">
                  <c:v>40875</c:v>
                </c:pt>
                <c:pt idx="2273">
                  <c:v>40876</c:v>
                </c:pt>
                <c:pt idx="2274">
                  <c:v>40877</c:v>
                </c:pt>
                <c:pt idx="2275">
                  <c:v>40878</c:v>
                </c:pt>
                <c:pt idx="2276">
                  <c:v>40879</c:v>
                </c:pt>
                <c:pt idx="2277">
                  <c:v>40882</c:v>
                </c:pt>
                <c:pt idx="2278">
                  <c:v>40883</c:v>
                </c:pt>
                <c:pt idx="2279">
                  <c:v>40884</c:v>
                </c:pt>
                <c:pt idx="2280">
                  <c:v>40885</c:v>
                </c:pt>
                <c:pt idx="2281">
                  <c:v>40886</c:v>
                </c:pt>
                <c:pt idx="2282">
                  <c:v>40889</c:v>
                </c:pt>
                <c:pt idx="2283">
                  <c:v>40890</c:v>
                </c:pt>
                <c:pt idx="2284">
                  <c:v>40891</c:v>
                </c:pt>
                <c:pt idx="2285">
                  <c:v>40892</c:v>
                </c:pt>
                <c:pt idx="2286">
                  <c:v>40893</c:v>
                </c:pt>
                <c:pt idx="2287">
                  <c:v>40896</c:v>
                </c:pt>
                <c:pt idx="2288">
                  <c:v>40897</c:v>
                </c:pt>
                <c:pt idx="2289">
                  <c:v>40898</c:v>
                </c:pt>
                <c:pt idx="2290">
                  <c:v>40899</c:v>
                </c:pt>
                <c:pt idx="2291">
                  <c:v>40900</c:v>
                </c:pt>
                <c:pt idx="2292">
                  <c:v>40904</c:v>
                </c:pt>
                <c:pt idx="2293">
                  <c:v>40905</c:v>
                </c:pt>
                <c:pt idx="2294">
                  <c:v>40906</c:v>
                </c:pt>
                <c:pt idx="2295">
                  <c:v>40907</c:v>
                </c:pt>
                <c:pt idx="2296">
                  <c:v>40910</c:v>
                </c:pt>
                <c:pt idx="2297">
                  <c:v>40911</c:v>
                </c:pt>
                <c:pt idx="2298">
                  <c:v>40912</c:v>
                </c:pt>
                <c:pt idx="2299">
                  <c:v>40913</c:v>
                </c:pt>
                <c:pt idx="2300">
                  <c:v>40917</c:v>
                </c:pt>
                <c:pt idx="2301">
                  <c:v>40918</c:v>
                </c:pt>
                <c:pt idx="2302">
                  <c:v>40919</c:v>
                </c:pt>
                <c:pt idx="2303">
                  <c:v>40920</c:v>
                </c:pt>
                <c:pt idx="2304">
                  <c:v>40921</c:v>
                </c:pt>
                <c:pt idx="2305">
                  <c:v>40924</c:v>
                </c:pt>
                <c:pt idx="2306">
                  <c:v>40925</c:v>
                </c:pt>
                <c:pt idx="2307">
                  <c:v>40926</c:v>
                </c:pt>
                <c:pt idx="2308">
                  <c:v>40927</c:v>
                </c:pt>
                <c:pt idx="2309">
                  <c:v>40928</c:v>
                </c:pt>
                <c:pt idx="2310">
                  <c:v>40931</c:v>
                </c:pt>
                <c:pt idx="2311">
                  <c:v>40932</c:v>
                </c:pt>
                <c:pt idx="2312">
                  <c:v>40933</c:v>
                </c:pt>
                <c:pt idx="2313">
                  <c:v>40934</c:v>
                </c:pt>
                <c:pt idx="2314">
                  <c:v>40935</c:v>
                </c:pt>
                <c:pt idx="2315">
                  <c:v>40938</c:v>
                </c:pt>
                <c:pt idx="2316">
                  <c:v>40939</c:v>
                </c:pt>
                <c:pt idx="2317">
                  <c:v>40940</c:v>
                </c:pt>
                <c:pt idx="2318">
                  <c:v>40941</c:v>
                </c:pt>
                <c:pt idx="2319">
                  <c:v>40942</c:v>
                </c:pt>
                <c:pt idx="2320">
                  <c:v>40945</c:v>
                </c:pt>
                <c:pt idx="2321">
                  <c:v>40946</c:v>
                </c:pt>
                <c:pt idx="2322">
                  <c:v>40947</c:v>
                </c:pt>
                <c:pt idx="2323">
                  <c:v>40948</c:v>
                </c:pt>
                <c:pt idx="2324">
                  <c:v>40949</c:v>
                </c:pt>
                <c:pt idx="2325">
                  <c:v>40952</c:v>
                </c:pt>
                <c:pt idx="2326">
                  <c:v>40953</c:v>
                </c:pt>
                <c:pt idx="2327">
                  <c:v>40954</c:v>
                </c:pt>
                <c:pt idx="2328">
                  <c:v>40955</c:v>
                </c:pt>
                <c:pt idx="2329">
                  <c:v>40956</c:v>
                </c:pt>
                <c:pt idx="2330">
                  <c:v>40959</c:v>
                </c:pt>
                <c:pt idx="2331">
                  <c:v>40960</c:v>
                </c:pt>
                <c:pt idx="2332">
                  <c:v>40961</c:v>
                </c:pt>
                <c:pt idx="2333">
                  <c:v>40962</c:v>
                </c:pt>
                <c:pt idx="2334">
                  <c:v>40963</c:v>
                </c:pt>
                <c:pt idx="2335">
                  <c:v>40966</c:v>
                </c:pt>
                <c:pt idx="2336">
                  <c:v>40967</c:v>
                </c:pt>
                <c:pt idx="2337">
                  <c:v>40968</c:v>
                </c:pt>
                <c:pt idx="2338">
                  <c:v>40969</c:v>
                </c:pt>
                <c:pt idx="2339">
                  <c:v>40970</c:v>
                </c:pt>
                <c:pt idx="2340">
                  <c:v>40973</c:v>
                </c:pt>
                <c:pt idx="2341">
                  <c:v>40974</c:v>
                </c:pt>
                <c:pt idx="2342">
                  <c:v>40975</c:v>
                </c:pt>
                <c:pt idx="2343">
                  <c:v>40976</c:v>
                </c:pt>
                <c:pt idx="2344">
                  <c:v>40977</c:v>
                </c:pt>
                <c:pt idx="2345">
                  <c:v>40980</c:v>
                </c:pt>
                <c:pt idx="2346">
                  <c:v>40981</c:v>
                </c:pt>
                <c:pt idx="2347">
                  <c:v>40982</c:v>
                </c:pt>
                <c:pt idx="2348">
                  <c:v>40983</c:v>
                </c:pt>
                <c:pt idx="2349">
                  <c:v>40984</c:v>
                </c:pt>
                <c:pt idx="2350">
                  <c:v>40987</c:v>
                </c:pt>
                <c:pt idx="2351">
                  <c:v>40988</c:v>
                </c:pt>
                <c:pt idx="2352">
                  <c:v>40989</c:v>
                </c:pt>
                <c:pt idx="2353">
                  <c:v>40990</c:v>
                </c:pt>
                <c:pt idx="2354">
                  <c:v>40991</c:v>
                </c:pt>
                <c:pt idx="2355">
                  <c:v>40994</c:v>
                </c:pt>
                <c:pt idx="2356">
                  <c:v>40995</c:v>
                </c:pt>
                <c:pt idx="2357">
                  <c:v>40996</c:v>
                </c:pt>
                <c:pt idx="2358">
                  <c:v>40997</c:v>
                </c:pt>
                <c:pt idx="2359">
                  <c:v>40998</c:v>
                </c:pt>
                <c:pt idx="2360">
                  <c:v>41001</c:v>
                </c:pt>
                <c:pt idx="2361">
                  <c:v>41002</c:v>
                </c:pt>
                <c:pt idx="2362">
                  <c:v>41003</c:v>
                </c:pt>
                <c:pt idx="2363">
                  <c:v>41004</c:v>
                </c:pt>
                <c:pt idx="2364">
                  <c:v>41005</c:v>
                </c:pt>
                <c:pt idx="2365">
                  <c:v>41009</c:v>
                </c:pt>
                <c:pt idx="2366">
                  <c:v>41010</c:v>
                </c:pt>
                <c:pt idx="2367">
                  <c:v>41011</c:v>
                </c:pt>
                <c:pt idx="2368">
                  <c:v>41012</c:v>
                </c:pt>
                <c:pt idx="2369">
                  <c:v>41015</c:v>
                </c:pt>
                <c:pt idx="2370">
                  <c:v>41016</c:v>
                </c:pt>
                <c:pt idx="2371">
                  <c:v>41017</c:v>
                </c:pt>
                <c:pt idx="2372">
                  <c:v>41018</c:v>
                </c:pt>
                <c:pt idx="2373">
                  <c:v>41019</c:v>
                </c:pt>
                <c:pt idx="2374">
                  <c:v>41022</c:v>
                </c:pt>
                <c:pt idx="2375">
                  <c:v>41023</c:v>
                </c:pt>
                <c:pt idx="2376">
                  <c:v>41024</c:v>
                </c:pt>
                <c:pt idx="2377">
                  <c:v>41025</c:v>
                </c:pt>
                <c:pt idx="2378">
                  <c:v>41026</c:v>
                </c:pt>
                <c:pt idx="2379">
                  <c:v>41029</c:v>
                </c:pt>
                <c:pt idx="2380">
                  <c:v>41031</c:v>
                </c:pt>
                <c:pt idx="2381">
                  <c:v>41032</c:v>
                </c:pt>
                <c:pt idx="2382">
                  <c:v>41033</c:v>
                </c:pt>
                <c:pt idx="2383">
                  <c:v>41036</c:v>
                </c:pt>
                <c:pt idx="2384">
                  <c:v>41037</c:v>
                </c:pt>
                <c:pt idx="2385">
                  <c:v>41038</c:v>
                </c:pt>
                <c:pt idx="2386">
                  <c:v>41039</c:v>
                </c:pt>
                <c:pt idx="2387">
                  <c:v>41040</c:v>
                </c:pt>
                <c:pt idx="2388">
                  <c:v>41043</c:v>
                </c:pt>
                <c:pt idx="2389">
                  <c:v>41044</c:v>
                </c:pt>
                <c:pt idx="2390">
                  <c:v>41045</c:v>
                </c:pt>
                <c:pt idx="2391">
                  <c:v>41046</c:v>
                </c:pt>
                <c:pt idx="2392">
                  <c:v>41047</c:v>
                </c:pt>
                <c:pt idx="2393">
                  <c:v>41050</c:v>
                </c:pt>
                <c:pt idx="2394">
                  <c:v>41051</c:v>
                </c:pt>
                <c:pt idx="2395">
                  <c:v>41052</c:v>
                </c:pt>
                <c:pt idx="2396">
                  <c:v>41053</c:v>
                </c:pt>
                <c:pt idx="2397">
                  <c:v>41054</c:v>
                </c:pt>
                <c:pt idx="2398">
                  <c:v>41057</c:v>
                </c:pt>
                <c:pt idx="2399">
                  <c:v>41058</c:v>
                </c:pt>
                <c:pt idx="2400">
                  <c:v>41059</c:v>
                </c:pt>
                <c:pt idx="2401">
                  <c:v>41060</c:v>
                </c:pt>
                <c:pt idx="2402">
                  <c:v>41061</c:v>
                </c:pt>
                <c:pt idx="2403">
                  <c:v>41064</c:v>
                </c:pt>
                <c:pt idx="2404">
                  <c:v>41065</c:v>
                </c:pt>
                <c:pt idx="2405">
                  <c:v>41066</c:v>
                </c:pt>
                <c:pt idx="2406">
                  <c:v>41068</c:v>
                </c:pt>
                <c:pt idx="2407">
                  <c:v>41071</c:v>
                </c:pt>
                <c:pt idx="2408">
                  <c:v>41072</c:v>
                </c:pt>
                <c:pt idx="2409">
                  <c:v>41073</c:v>
                </c:pt>
                <c:pt idx="2410">
                  <c:v>41074</c:v>
                </c:pt>
                <c:pt idx="2411">
                  <c:v>41075</c:v>
                </c:pt>
                <c:pt idx="2412">
                  <c:v>41078</c:v>
                </c:pt>
                <c:pt idx="2413">
                  <c:v>41079</c:v>
                </c:pt>
                <c:pt idx="2414">
                  <c:v>41080</c:v>
                </c:pt>
                <c:pt idx="2415">
                  <c:v>41081</c:v>
                </c:pt>
                <c:pt idx="2416">
                  <c:v>41086</c:v>
                </c:pt>
                <c:pt idx="2417">
                  <c:v>41087</c:v>
                </c:pt>
                <c:pt idx="2418">
                  <c:v>41088</c:v>
                </c:pt>
                <c:pt idx="2419">
                  <c:v>41089</c:v>
                </c:pt>
                <c:pt idx="2420">
                  <c:v>41092</c:v>
                </c:pt>
                <c:pt idx="2421">
                  <c:v>41093</c:v>
                </c:pt>
                <c:pt idx="2422">
                  <c:v>41094</c:v>
                </c:pt>
                <c:pt idx="2423">
                  <c:v>41095</c:v>
                </c:pt>
                <c:pt idx="2424">
                  <c:v>41096</c:v>
                </c:pt>
                <c:pt idx="2425">
                  <c:v>41099</c:v>
                </c:pt>
                <c:pt idx="2426">
                  <c:v>41100</c:v>
                </c:pt>
                <c:pt idx="2427">
                  <c:v>41101</c:v>
                </c:pt>
                <c:pt idx="2428">
                  <c:v>41102</c:v>
                </c:pt>
                <c:pt idx="2429">
                  <c:v>41103</c:v>
                </c:pt>
                <c:pt idx="2430">
                  <c:v>41106</c:v>
                </c:pt>
                <c:pt idx="2431">
                  <c:v>41107</c:v>
                </c:pt>
                <c:pt idx="2432">
                  <c:v>41108</c:v>
                </c:pt>
                <c:pt idx="2433">
                  <c:v>41109</c:v>
                </c:pt>
                <c:pt idx="2434">
                  <c:v>41110</c:v>
                </c:pt>
                <c:pt idx="2435">
                  <c:v>41113</c:v>
                </c:pt>
                <c:pt idx="2436">
                  <c:v>41114</c:v>
                </c:pt>
                <c:pt idx="2437">
                  <c:v>41115</c:v>
                </c:pt>
                <c:pt idx="2438">
                  <c:v>41116</c:v>
                </c:pt>
                <c:pt idx="2439">
                  <c:v>41117</c:v>
                </c:pt>
                <c:pt idx="2440">
                  <c:v>41120</c:v>
                </c:pt>
                <c:pt idx="2441">
                  <c:v>41121</c:v>
                </c:pt>
                <c:pt idx="2442">
                  <c:v>41122</c:v>
                </c:pt>
                <c:pt idx="2443">
                  <c:v>41123</c:v>
                </c:pt>
                <c:pt idx="2444">
                  <c:v>41124</c:v>
                </c:pt>
                <c:pt idx="2445">
                  <c:v>41127</c:v>
                </c:pt>
                <c:pt idx="2446">
                  <c:v>41128</c:v>
                </c:pt>
                <c:pt idx="2447">
                  <c:v>41129</c:v>
                </c:pt>
                <c:pt idx="2448">
                  <c:v>41130</c:v>
                </c:pt>
                <c:pt idx="2449">
                  <c:v>41131</c:v>
                </c:pt>
                <c:pt idx="2450">
                  <c:v>41134</c:v>
                </c:pt>
                <c:pt idx="2451">
                  <c:v>41135</c:v>
                </c:pt>
                <c:pt idx="2452">
                  <c:v>41137</c:v>
                </c:pt>
                <c:pt idx="2453">
                  <c:v>41138</c:v>
                </c:pt>
                <c:pt idx="2454">
                  <c:v>41141</c:v>
                </c:pt>
                <c:pt idx="2455">
                  <c:v>41142</c:v>
                </c:pt>
                <c:pt idx="2456">
                  <c:v>41143</c:v>
                </c:pt>
                <c:pt idx="2457">
                  <c:v>41144</c:v>
                </c:pt>
                <c:pt idx="2458">
                  <c:v>41145</c:v>
                </c:pt>
                <c:pt idx="2459">
                  <c:v>41148</c:v>
                </c:pt>
                <c:pt idx="2460">
                  <c:v>41149</c:v>
                </c:pt>
                <c:pt idx="2461">
                  <c:v>41150</c:v>
                </c:pt>
                <c:pt idx="2462">
                  <c:v>41151</c:v>
                </c:pt>
                <c:pt idx="2463">
                  <c:v>41152</c:v>
                </c:pt>
                <c:pt idx="2464">
                  <c:v>41155</c:v>
                </c:pt>
                <c:pt idx="2465">
                  <c:v>41156</c:v>
                </c:pt>
                <c:pt idx="2466">
                  <c:v>41157</c:v>
                </c:pt>
                <c:pt idx="2467">
                  <c:v>41158</c:v>
                </c:pt>
                <c:pt idx="2468">
                  <c:v>41159</c:v>
                </c:pt>
                <c:pt idx="2469">
                  <c:v>41162</c:v>
                </c:pt>
                <c:pt idx="2470">
                  <c:v>41163</c:v>
                </c:pt>
                <c:pt idx="2471">
                  <c:v>41164</c:v>
                </c:pt>
                <c:pt idx="2472">
                  <c:v>41165</c:v>
                </c:pt>
                <c:pt idx="2473">
                  <c:v>41166</c:v>
                </c:pt>
                <c:pt idx="2474">
                  <c:v>41169</c:v>
                </c:pt>
                <c:pt idx="2475">
                  <c:v>41170</c:v>
                </c:pt>
                <c:pt idx="2476">
                  <c:v>41171</c:v>
                </c:pt>
                <c:pt idx="2477">
                  <c:v>41172</c:v>
                </c:pt>
                <c:pt idx="2478">
                  <c:v>41173</c:v>
                </c:pt>
                <c:pt idx="2479">
                  <c:v>41176</c:v>
                </c:pt>
                <c:pt idx="2480">
                  <c:v>41177</c:v>
                </c:pt>
                <c:pt idx="2481">
                  <c:v>41178</c:v>
                </c:pt>
                <c:pt idx="2482">
                  <c:v>41179</c:v>
                </c:pt>
                <c:pt idx="2483">
                  <c:v>41180</c:v>
                </c:pt>
                <c:pt idx="2484">
                  <c:v>41183</c:v>
                </c:pt>
                <c:pt idx="2485">
                  <c:v>41184</c:v>
                </c:pt>
                <c:pt idx="2486">
                  <c:v>41185</c:v>
                </c:pt>
                <c:pt idx="2487">
                  <c:v>41186</c:v>
                </c:pt>
                <c:pt idx="2488">
                  <c:v>41187</c:v>
                </c:pt>
                <c:pt idx="2489">
                  <c:v>41191</c:v>
                </c:pt>
                <c:pt idx="2490">
                  <c:v>41192</c:v>
                </c:pt>
                <c:pt idx="2491">
                  <c:v>41193</c:v>
                </c:pt>
                <c:pt idx="2492">
                  <c:v>41194</c:v>
                </c:pt>
                <c:pt idx="2493">
                  <c:v>41197</c:v>
                </c:pt>
                <c:pt idx="2494">
                  <c:v>41198</c:v>
                </c:pt>
                <c:pt idx="2495">
                  <c:v>41199</c:v>
                </c:pt>
                <c:pt idx="2496">
                  <c:v>41200</c:v>
                </c:pt>
                <c:pt idx="2497">
                  <c:v>41201</c:v>
                </c:pt>
                <c:pt idx="2498">
                  <c:v>41204</c:v>
                </c:pt>
                <c:pt idx="2499">
                  <c:v>41205</c:v>
                </c:pt>
                <c:pt idx="2500">
                  <c:v>41206</c:v>
                </c:pt>
                <c:pt idx="2501">
                  <c:v>41207</c:v>
                </c:pt>
                <c:pt idx="2502">
                  <c:v>41208</c:v>
                </c:pt>
                <c:pt idx="2503">
                  <c:v>41211</c:v>
                </c:pt>
                <c:pt idx="2504">
                  <c:v>41212</c:v>
                </c:pt>
                <c:pt idx="2505">
                  <c:v>41213</c:v>
                </c:pt>
                <c:pt idx="2506">
                  <c:v>41215</c:v>
                </c:pt>
                <c:pt idx="2507">
                  <c:v>41218</c:v>
                </c:pt>
                <c:pt idx="2508">
                  <c:v>41219</c:v>
                </c:pt>
                <c:pt idx="2509">
                  <c:v>41220</c:v>
                </c:pt>
                <c:pt idx="2510">
                  <c:v>41221</c:v>
                </c:pt>
                <c:pt idx="2511">
                  <c:v>41222</c:v>
                </c:pt>
                <c:pt idx="2512">
                  <c:v>41225</c:v>
                </c:pt>
                <c:pt idx="2513">
                  <c:v>41226</c:v>
                </c:pt>
                <c:pt idx="2514">
                  <c:v>41227</c:v>
                </c:pt>
                <c:pt idx="2515">
                  <c:v>41228</c:v>
                </c:pt>
                <c:pt idx="2516">
                  <c:v>41229</c:v>
                </c:pt>
                <c:pt idx="2517">
                  <c:v>41232</c:v>
                </c:pt>
                <c:pt idx="2518">
                  <c:v>41233</c:v>
                </c:pt>
                <c:pt idx="2519">
                  <c:v>41234</c:v>
                </c:pt>
                <c:pt idx="2520">
                  <c:v>41235</c:v>
                </c:pt>
                <c:pt idx="2521">
                  <c:v>41236</c:v>
                </c:pt>
                <c:pt idx="2522">
                  <c:v>41239</c:v>
                </c:pt>
                <c:pt idx="2523">
                  <c:v>41240</c:v>
                </c:pt>
                <c:pt idx="2524">
                  <c:v>41241</c:v>
                </c:pt>
                <c:pt idx="2525">
                  <c:v>41242</c:v>
                </c:pt>
                <c:pt idx="2526">
                  <c:v>41243</c:v>
                </c:pt>
                <c:pt idx="2527">
                  <c:v>41246</c:v>
                </c:pt>
                <c:pt idx="2528">
                  <c:v>41247</c:v>
                </c:pt>
                <c:pt idx="2529">
                  <c:v>41248</c:v>
                </c:pt>
                <c:pt idx="2530">
                  <c:v>41249</c:v>
                </c:pt>
                <c:pt idx="2531">
                  <c:v>41250</c:v>
                </c:pt>
                <c:pt idx="2532">
                  <c:v>41253</c:v>
                </c:pt>
                <c:pt idx="2533">
                  <c:v>41254</c:v>
                </c:pt>
                <c:pt idx="2534">
                  <c:v>41255</c:v>
                </c:pt>
                <c:pt idx="2535">
                  <c:v>41256</c:v>
                </c:pt>
                <c:pt idx="2536">
                  <c:v>41257</c:v>
                </c:pt>
                <c:pt idx="2537">
                  <c:v>41260</c:v>
                </c:pt>
                <c:pt idx="2538">
                  <c:v>41261</c:v>
                </c:pt>
                <c:pt idx="2539">
                  <c:v>41262</c:v>
                </c:pt>
                <c:pt idx="2540">
                  <c:v>41263</c:v>
                </c:pt>
                <c:pt idx="2541">
                  <c:v>41264</c:v>
                </c:pt>
                <c:pt idx="2542">
                  <c:v>41267</c:v>
                </c:pt>
                <c:pt idx="2543">
                  <c:v>41270</c:v>
                </c:pt>
                <c:pt idx="2544">
                  <c:v>41271</c:v>
                </c:pt>
                <c:pt idx="2545">
                  <c:v>41274</c:v>
                </c:pt>
                <c:pt idx="2546">
                  <c:v>41276</c:v>
                </c:pt>
                <c:pt idx="2547">
                  <c:v>41277</c:v>
                </c:pt>
                <c:pt idx="2548">
                  <c:v>41278</c:v>
                </c:pt>
                <c:pt idx="2549">
                  <c:v>41281</c:v>
                </c:pt>
                <c:pt idx="2550">
                  <c:v>41282</c:v>
                </c:pt>
                <c:pt idx="2551">
                  <c:v>41283</c:v>
                </c:pt>
                <c:pt idx="2552">
                  <c:v>41284</c:v>
                </c:pt>
                <c:pt idx="2553">
                  <c:v>41285</c:v>
                </c:pt>
                <c:pt idx="2554">
                  <c:v>41288</c:v>
                </c:pt>
                <c:pt idx="2555">
                  <c:v>41289</c:v>
                </c:pt>
                <c:pt idx="2556">
                  <c:v>41290</c:v>
                </c:pt>
                <c:pt idx="2557">
                  <c:v>41291</c:v>
                </c:pt>
                <c:pt idx="2558">
                  <c:v>41292</c:v>
                </c:pt>
                <c:pt idx="2559">
                  <c:v>41295</c:v>
                </c:pt>
                <c:pt idx="2560">
                  <c:v>41296</c:v>
                </c:pt>
                <c:pt idx="2561">
                  <c:v>41297</c:v>
                </c:pt>
                <c:pt idx="2562">
                  <c:v>41298</c:v>
                </c:pt>
                <c:pt idx="2563">
                  <c:v>41299</c:v>
                </c:pt>
                <c:pt idx="2564">
                  <c:v>41302</c:v>
                </c:pt>
                <c:pt idx="2565">
                  <c:v>41303</c:v>
                </c:pt>
                <c:pt idx="2566">
                  <c:v>41304</c:v>
                </c:pt>
                <c:pt idx="2567">
                  <c:v>41305</c:v>
                </c:pt>
                <c:pt idx="2568">
                  <c:v>41306</c:v>
                </c:pt>
                <c:pt idx="2569">
                  <c:v>41309</c:v>
                </c:pt>
                <c:pt idx="2570">
                  <c:v>41310</c:v>
                </c:pt>
                <c:pt idx="2571">
                  <c:v>41311</c:v>
                </c:pt>
                <c:pt idx="2572">
                  <c:v>41312</c:v>
                </c:pt>
                <c:pt idx="2573">
                  <c:v>41313</c:v>
                </c:pt>
                <c:pt idx="2574">
                  <c:v>41316</c:v>
                </c:pt>
                <c:pt idx="2575">
                  <c:v>41317</c:v>
                </c:pt>
                <c:pt idx="2576">
                  <c:v>41318</c:v>
                </c:pt>
                <c:pt idx="2577">
                  <c:v>41319</c:v>
                </c:pt>
                <c:pt idx="2578">
                  <c:v>41320</c:v>
                </c:pt>
                <c:pt idx="2579">
                  <c:v>41323</c:v>
                </c:pt>
                <c:pt idx="2580">
                  <c:v>41324</c:v>
                </c:pt>
                <c:pt idx="2581">
                  <c:v>41325</c:v>
                </c:pt>
                <c:pt idx="2582">
                  <c:v>41326</c:v>
                </c:pt>
                <c:pt idx="2583">
                  <c:v>41327</c:v>
                </c:pt>
                <c:pt idx="2584">
                  <c:v>41330</c:v>
                </c:pt>
                <c:pt idx="2585">
                  <c:v>41331</c:v>
                </c:pt>
                <c:pt idx="2586">
                  <c:v>41332</c:v>
                </c:pt>
                <c:pt idx="2587">
                  <c:v>41333</c:v>
                </c:pt>
                <c:pt idx="2588">
                  <c:v>41334</c:v>
                </c:pt>
                <c:pt idx="2589">
                  <c:v>41337</c:v>
                </c:pt>
                <c:pt idx="2590">
                  <c:v>41338</c:v>
                </c:pt>
                <c:pt idx="2591">
                  <c:v>41339</c:v>
                </c:pt>
                <c:pt idx="2592">
                  <c:v>41340</c:v>
                </c:pt>
                <c:pt idx="2593">
                  <c:v>41341</c:v>
                </c:pt>
                <c:pt idx="2594">
                  <c:v>41344</c:v>
                </c:pt>
                <c:pt idx="2595">
                  <c:v>41345</c:v>
                </c:pt>
                <c:pt idx="2596">
                  <c:v>41346</c:v>
                </c:pt>
                <c:pt idx="2597">
                  <c:v>41347</c:v>
                </c:pt>
                <c:pt idx="2598">
                  <c:v>41348</c:v>
                </c:pt>
                <c:pt idx="2599">
                  <c:v>41351</c:v>
                </c:pt>
                <c:pt idx="2600">
                  <c:v>41352</c:v>
                </c:pt>
                <c:pt idx="2601">
                  <c:v>41353</c:v>
                </c:pt>
                <c:pt idx="2602">
                  <c:v>41354</c:v>
                </c:pt>
                <c:pt idx="2603">
                  <c:v>41355</c:v>
                </c:pt>
                <c:pt idx="2604">
                  <c:v>41358</c:v>
                </c:pt>
                <c:pt idx="2605">
                  <c:v>41359</c:v>
                </c:pt>
                <c:pt idx="2606">
                  <c:v>41360</c:v>
                </c:pt>
                <c:pt idx="2607">
                  <c:v>41361</c:v>
                </c:pt>
                <c:pt idx="2608">
                  <c:v>41362</c:v>
                </c:pt>
                <c:pt idx="2609">
                  <c:v>41366</c:v>
                </c:pt>
                <c:pt idx="2610">
                  <c:v>41367</c:v>
                </c:pt>
                <c:pt idx="2611">
                  <c:v>41368</c:v>
                </c:pt>
                <c:pt idx="2612">
                  <c:v>41369</c:v>
                </c:pt>
                <c:pt idx="2613">
                  <c:v>41372</c:v>
                </c:pt>
                <c:pt idx="2614">
                  <c:v>41373</c:v>
                </c:pt>
                <c:pt idx="2615">
                  <c:v>41374</c:v>
                </c:pt>
                <c:pt idx="2616">
                  <c:v>41375</c:v>
                </c:pt>
                <c:pt idx="2617">
                  <c:v>41376</c:v>
                </c:pt>
                <c:pt idx="2618">
                  <c:v>41379</c:v>
                </c:pt>
                <c:pt idx="2619">
                  <c:v>41380</c:v>
                </c:pt>
                <c:pt idx="2620">
                  <c:v>41381</c:v>
                </c:pt>
                <c:pt idx="2621">
                  <c:v>41382</c:v>
                </c:pt>
                <c:pt idx="2622">
                  <c:v>41383</c:v>
                </c:pt>
                <c:pt idx="2623">
                  <c:v>41386</c:v>
                </c:pt>
                <c:pt idx="2624">
                  <c:v>41387</c:v>
                </c:pt>
                <c:pt idx="2625">
                  <c:v>41388</c:v>
                </c:pt>
                <c:pt idx="2626">
                  <c:v>41389</c:v>
                </c:pt>
                <c:pt idx="2627">
                  <c:v>41390</c:v>
                </c:pt>
                <c:pt idx="2628">
                  <c:v>41393</c:v>
                </c:pt>
                <c:pt idx="2629">
                  <c:v>41394</c:v>
                </c:pt>
                <c:pt idx="2630">
                  <c:v>41396</c:v>
                </c:pt>
                <c:pt idx="2631">
                  <c:v>41397</c:v>
                </c:pt>
                <c:pt idx="2632">
                  <c:v>41400</c:v>
                </c:pt>
                <c:pt idx="2633">
                  <c:v>41401</c:v>
                </c:pt>
                <c:pt idx="2634">
                  <c:v>41402</c:v>
                </c:pt>
                <c:pt idx="2635">
                  <c:v>41403</c:v>
                </c:pt>
                <c:pt idx="2636">
                  <c:v>41404</c:v>
                </c:pt>
                <c:pt idx="2637">
                  <c:v>41407</c:v>
                </c:pt>
                <c:pt idx="2638">
                  <c:v>41408</c:v>
                </c:pt>
                <c:pt idx="2639">
                  <c:v>41409</c:v>
                </c:pt>
                <c:pt idx="2640">
                  <c:v>41410</c:v>
                </c:pt>
                <c:pt idx="2641">
                  <c:v>41411</c:v>
                </c:pt>
                <c:pt idx="2642">
                  <c:v>41414</c:v>
                </c:pt>
                <c:pt idx="2643">
                  <c:v>41415</c:v>
                </c:pt>
                <c:pt idx="2644">
                  <c:v>41416</c:v>
                </c:pt>
                <c:pt idx="2645">
                  <c:v>41417</c:v>
                </c:pt>
                <c:pt idx="2646">
                  <c:v>41418</c:v>
                </c:pt>
                <c:pt idx="2647">
                  <c:v>41421</c:v>
                </c:pt>
                <c:pt idx="2648">
                  <c:v>41422</c:v>
                </c:pt>
                <c:pt idx="2649">
                  <c:v>41423</c:v>
                </c:pt>
                <c:pt idx="2650">
                  <c:v>41425</c:v>
                </c:pt>
                <c:pt idx="2651">
                  <c:v>41428</c:v>
                </c:pt>
                <c:pt idx="2652">
                  <c:v>41429</c:v>
                </c:pt>
                <c:pt idx="2653">
                  <c:v>41430</c:v>
                </c:pt>
                <c:pt idx="2654">
                  <c:v>41431</c:v>
                </c:pt>
                <c:pt idx="2655">
                  <c:v>41432</c:v>
                </c:pt>
                <c:pt idx="2656">
                  <c:v>41435</c:v>
                </c:pt>
                <c:pt idx="2657">
                  <c:v>41436</c:v>
                </c:pt>
                <c:pt idx="2658">
                  <c:v>41437</c:v>
                </c:pt>
                <c:pt idx="2659">
                  <c:v>41438</c:v>
                </c:pt>
                <c:pt idx="2660">
                  <c:v>41439</c:v>
                </c:pt>
                <c:pt idx="2661">
                  <c:v>41442</c:v>
                </c:pt>
                <c:pt idx="2662">
                  <c:v>41443</c:v>
                </c:pt>
                <c:pt idx="2663">
                  <c:v>41444</c:v>
                </c:pt>
                <c:pt idx="2664">
                  <c:v>41445</c:v>
                </c:pt>
                <c:pt idx="2665">
                  <c:v>41446</c:v>
                </c:pt>
                <c:pt idx="2666">
                  <c:v>41449</c:v>
                </c:pt>
                <c:pt idx="2667">
                  <c:v>41451</c:v>
                </c:pt>
                <c:pt idx="2668">
                  <c:v>41452</c:v>
                </c:pt>
                <c:pt idx="2669">
                  <c:v>41453</c:v>
                </c:pt>
                <c:pt idx="2670">
                  <c:v>41456</c:v>
                </c:pt>
                <c:pt idx="2671">
                  <c:v>41457</c:v>
                </c:pt>
                <c:pt idx="2672">
                  <c:v>41458</c:v>
                </c:pt>
                <c:pt idx="2673">
                  <c:v>41459</c:v>
                </c:pt>
                <c:pt idx="2674">
                  <c:v>41460</c:v>
                </c:pt>
                <c:pt idx="2675">
                  <c:v>41463</c:v>
                </c:pt>
                <c:pt idx="2676">
                  <c:v>41464</c:v>
                </c:pt>
                <c:pt idx="2677">
                  <c:v>41465</c:v>
                </c:pt>
                <c:pt idx="2678">
                  <c:v>41466</c:v>
                </c:pt>
                <c:pt idx="2679">
                  <c:v>41467</c:v>
                </c:pt>
                <c:pt idx="2680">
                  <c:v>41470</c:v>
                </c:pt>
                <c:pt idx="2681">
                  <c:v>41471</c:v>
                </c:pt>
                <c:pt idx="2682">
                  <c:v>41472</c:v>
                </c:pt>
                <c:pt idx="2683">
                  <c:v>41473</c:v>
                </c:pt>
                <c:pt idx="2684">
                  <c:v>41474</c:v>
                </c:pt>
                <c:pt idx="2685">
                  <c:v>41477</c:v>
                </c:pt>
                <c:pt idx="2686">
                  <c:v>41478</c:v>
                </c:pt>
                <c:pt idx="2687">
                  <c:v>41479</c:v>
                </c:pt>
                <c:pt idx="2688">
                  <c:v>41480</c:v>
                </c:pt>
                <c:pt idx="2689">
                  <c:v>41481</c:v>
                </c:pt>
                <c:pt idx="2690">
                  <c:v>41484</c:v>
                </c:pt>
                <c:pt idx="2691">
                  <c:v>41485</c:v>
                </c:pt>
                <c:pt idx="2692">
                  <c:v>41486</c:v>
                </c:pt>
                <c:pt idx="2693">
                  <c:v>41487</c:v>
                </c:pt>
                <c:pt idx="2694">
                  <c:v>41488</c:v>
                </c:pt>
                <c:pt idx="2695">
                  <c:v>41492</c:v>
                </c:pt>
                <c:pt idx="2696">
                  <c:v>41493</c:v>
                </c:pt>
                <c:pt idx="2697">
                  <c:v>41494</c:v>
                </c:pt>
                <c:pt idx="2698">
                  <c:v>41495</c:v>
                </c:pt>
                <c:pt idx="2699">
                  <c:v>41498</c:v>
                </c:pt>
                <c:pt idx="2700">
                  <c:v>41499</c:v>
                </c:pt>
                <c:pt idx="2701">
                  <c:v>41500</c:v>
                </c:pt>
                <c:pt idx="2702">
                  <c:v>41502</c:v>
                </c:pt>
                <c:pt idx="2703">
                  <c:v>41505</c:v>
                </c:pt>
                <c:pt idx="2704">
                  <c:v>41506</c:v>
                </c:pt>
                <c:pt idx="2705">
                  <c:v>41507</c:v>
                </c:pt>
                <c:pt idx="2706">
                  <c:v>41508</c:v>
                </c:pt>
                <c:pt idx="2707">
                  <c:v>41509</c:v>
                </c:pt>
                <c:pt idx="2708">
                  <c:v>41512</c:v>
                </c:pt>
                <c:pt idx="2709">
                  <c:v>41513</c:v>
                </c:pt>
                <c:pt idx="2710">
                  <c:v>41514</c:v>
                </c:pt>
                <c:pt idx="2711">
                  <c:v>41515</c:v>
                </c:pt>
                <c:pt idx="2712">
                  <c:v>41516</c:v>
                </c:pt>
                <c:pt idx="2713">
                  <c:v>41519</c:v>
                </c:pt>
                <c:pt idx="2714">
                  <c:v>41520</c:v>
                </c:pt>
                <c:pt idx="2715">
                  <c:v>41521</c:v>
                </c:pt>
                <c:pt idx="2716">
                  <c:v>41522</c:v>
                </c:pt>
                <c:pt idx="2717">
                  <c:v>41523</c:v>
                </c:pt>
                <c:pt idx="2718">
                  <c:v>41526</c:v>
                </c:pt>
                <c:pt idx="2719">
                  <c:v>41527</c:v>
                </c:pt>
                <c:pt idx="2720">
                  <c:v>41528</c:v>
                </c:pt>
                <c:pt idx="2721">
                  <c:v>41529</c:v>
                </c:pt>
                <c:pt idx="2722">
                  <c:v>41530</c:v>
                </c:pt>
                <c:pt idx="2723">
                  <c:v>41533</c:v>
                </c:pt>
                <c:pt idx="2724">
                  <c:v>41534</c:v>
                </c:pt>
                <c:pt idx="2725">
                  <c:v>41535</c:v>
                </c:pt>
                <c:pt idx="2726">
                  <c:v>41536</c:v>
                </c:pt>
                <c:pt idx="2727">
                  <c:v>41537</c:v>
                </c:pt>
                <c:pt idx="2728">
                  <c:v>41540</c:v>
                </c:pt>
                <c:pt idx="2729">
                  <c:v>41541</c:v>
                </c:pt>
                <c:pt idx="2730">
                  <c:v>41542</c:v>
                </c:pt>
                <c:pt idx="2731">
                  <c:v>41543</c:v>
                </c:pt>
                <c:pt idx="2732">
                  <c:v>41544</c:v>
                </c:pt>
                <c:pt idx="2733">
                  <c:v>41547</c:v>
                </c:pt>
                <c:pt idx="2734">
                  <c:v>41548</c:v>
                </c:pt>
                <c:pt idx="2735">
                  <c:v>41549</c:v>
                </c:pt>
                <c:pt idx="2736">
                  <c:v>41550</c:v>
                </c:pt>
                <c:pt idx="2737">
                  <c:v>41551</c:v>
                </c:pt>
                <c:pt idx="2738">
                  <c:v>41554</c:v>
                </c:pt>
                <c:pt idx="2739">
                  <c:v>41556</c:v>
                </c:pt>
                <c:pt idx="2740">
                  <c:v>41557</c:v>
                </c:pt>
                <c:pt idx="2741">
                  <c:v>41558</c:v>
                </c:pt>
                <c:pt idx="2742">
                  <c:v>41561</c:v>
                </c:pt>
                <c:pt idx="2743">
                  <c:v>41562</c:v>
                </c:pt>
                <c:pt idx="2744">
                  <c:v>41563</c:v>
                </c:pt>
                <c:pt idx="2745">
                  <c:v>41564</c:v>
                </c:pt>
                <c:pt idx="2746">
                  <c:v>41565</c:v>
                </c:pt>
                <c:pt idx="2747">
                  <c:v>41568</c:v>
                </c:pt>
                <c:pt idx="2748">
                  <c:v>41569</c:v>
                </c:pt>
                <c:pt idx="2749">
                  <c:v>41570</c:v>
                </c:pt>
                <c:pt idx="2750">
                  <c:v>41571</c:v>
                </c:pt>
                <c:pt idx="2751">
                  <c:v>41572</c:v>
                </c:pt>
                <c:pt idx="2752">
                  <c:v>41575</c:v>
                </c:pt>
                <c:pt idx="2753">
                  <c:v>41576</c:v>
                </c:pt>
                <c:pt idx="2754">
                  <c:v>41577</c:v>
                </c:pt>
                <c:pt idx="2755">
                  <c:v>41578</c:v>
                </c:pt>
                <c:pt idx="2756">
                  <c:v>41582</c:v>
                </c:pt>
                <c:pt idx="2757">
                  <c:v>41583</c:v>
                </c:pt>
                <c:pt idx="2758">
                  <c:v>41584</c:v>
                </c:pt>
                <c:pt idx="2759">
                  <c:v>41585</c:v>
                </c:pt>
                <c:pt idx="2760">
                  <c:v>41586</c:v>
                </c:pt>
                <c:pt idx="2761">
                  <c:v>41589</c:v>
                </c:pt>
                <c:pt idx="2762">
                  <c:v>41590</c:v>
                </c:pt>
                <c:pt idx="2763">
                  <c:v>41591</c:v>
                </c:pt>
                <c:pt idx="2764">
                  <c:v>41592</c:v>
                </c:pt>
                <c:pt idx="2765">
                  <c:v>41593</c:v>
                </c:pt>
                <c:pt idx="2766">
                  <c:v>41596</c:v>
                </c:pt>
                <c:pt idx="2767">
                  <c:v>41597</c:v>
                </c:pt>
                <c:pt idx="2768">
                  <c:v>41598</c:v>
                </c:pt>
                <c:pt idx="2769">
                  <c:v>41599</c:v>
                </c:pt>
                <c:pt idx="2770">
                  <c:v>41600</c:v>
                </c:pt>
                <c:pt idx="2771">
                  <c:v>41603</c:v>
                </c:pt>
                <c:pt idx="2772">
                  <c:v>41604</c:v>
                </c:pt>
                <c:pt idx="2773">
                  <c:v>41605</c:v>
                </c:pt>
                <c:pt idx="2774">
                  <c:v>41606</c:v>
                </c:pt>
                <c:pt idx="2775">
                  <c:v>41607</c:v>
                </c:pt>
                <c:pt idx="2776">
                  <c:v>41610</c:v>
                </c:pt>
                <c:pt idx="2777">
                  <c:v>41611</c:v>
                </c:pt>
                <c:pt idx="2778">
                  <c:v>41612</c:v>
                </c:pt>
                <c:pt idx="2779">
                  <c:v>41613</c:v>
                </c:pt>
                <c:pt idx="2780">
                  <c:v>41614</c:v>
                </c:pt>
                <c:pt idx="2781">
                  <c:v>41617</c:v>
                </c:pt>
                <c:pt idx="2782">
                  <c:v>41618</c:v>
                </c:pt>
                <c:pt idx="2783">
                  <c:v>41619</c:v>
                </c:pt>
                <c:pt idx="2784">
                  <c:v>41620</c:v>
                </c:pt>
                <c:pt idx="2785">
                  <c:v>41621</c:v>
                </c:pt>
                <c:pt idx="2786">
                  <c:v>41624</c:v>
                </c:pt>
                <c:pt idx="2787">
                  <c:v>41625</c:v>
                </c:pt>
                <c:pt idx="2788">
                  <c:v>41626</c:v>
                </c:pt>
                <c:pt idx="2789">
                  <c:v>41627</c:v>
                </c:pt>
                <c:pt idx="2790">
                  <c:v>41628</c:v>
                </c:pt>
                <c:pt idx="2791">
                  <c:v>41631</c:v>
                </c:pt>
                <c:pt idx="2792">
                  <c:v>41635</c:v>
                </c:pt>
                <c:pt idx="2793">
                  <c:v>41638</c:v>
                </c:pt>
                <c:pt idx="2794">
                  <c:v>41639</c:v>
                </c:pt>
                <c:pt idx="2795">
                  <c:v>41641</c:v>
                </c:pt>
                <c:pt idx="2796">
                  <c:v>41642</c:v>
                </c:pt>
                <c:pt idx="2797">
                  <c:v>41646</c:v>
                </c:pt>
                <c:pt idx="2798">
                  <c:v>41647</c:v>
                </c:pt>
                <c:pt idx="2799">
                  <c:v>41648</c:v>
                </c:pt>
                <c:pt idx="2800">
                  <c:v>41649</c:v>
                </c:pt>
                <c:pt idx="2801">
                  <c:v>41652</c:v>
                </c:pt>
                <c:pt idx="2802">
                  <c:v>41653</c:v>
                </c:pt>
                <c:pt idx="2803">
                  <c:v>41654</c:v>
                </c:pt>
                <c:pt idx="2804">
                  <c:v>41655</c:v>
                </c:pt>
                <c:pt idx="2805">
                  <c:v>41656</c:v>
                </c:pt>
                <c:pt idx="2806">
                  <c:v>41659</c:v>
                </c:pt>
                <c:pt idx="2807">
                  <c:v>41660</c:v>
                </c:pt>
                <c:pt idx="2808">
                  <c:v>41661</c:v>
                </c:pt>
                <c:pt idx="2809">
                  <c:v>41662</c:v>
                </c:pt>
                <c:pt idx="2810">
                  <c:v>41663</c:v>
                </c:pt>
                <c:pt idx="2811">
                  <c:v>41666</c:v>
                </c:pt>
                <c:pt idx="2812">
                  <c:v>41667</c:v>
                </c:pt>
                <c:pt idx="2813">
                  <c:v>41668</c:v>
                </c:pt>
                <c:pt idx="2814">
                  <c:v>41669</c:v>
                </c:pt>
                <c:pt idx="2815">
                  <c:v>41670</c:v>
                </c:pt>
                <c:pt idx="2816">
                  <c:v>41673</c:v>
                </c:pt>
                <c:pt idx="2817">
                  <c:v>41674</c:v>
                </c:pt>
                <c:pt idx="2818">
                  <c:v>41675</c:v>
                </c:pt>
                <c:pt idx="2819">
                  <c:v>41676</c:v>
                </c:pt>
                <c:pt idx="2820">
                  <c:v>41677</c:v>
                </c:pt>
                <c:pt idx="2821">
                  <c:v>41680</c:v>
                </c:pt>
                <c:pt idx="2822">
                  <c:v>41681</c:v>
                </c:pt>
                <c:pt idx="2823">
                  <c:v>41682</c:v>
                </c:pt>
                <c:pt idx="2824">
                  <c:v>41683</c:v>
                </c:pt>
                <c:pt idx="2825">
                  <c:v>41684</c:v>
                </c:pt>
                <c:pt idx="2826">
                  <c:v>41687</c:v>
                </c:pt>
                <c:pt idx="2827">
                  <c:v>41688</c:v>
                </c:pt>
                <c:pt idx="2828">
                  <c:v>41689</c:v>
                </c:pt>
                <c:pt idx="2829">
                  <c:v>41690</c:v>
                </c:pt>
                <c:pt idx="2830">
                  <c:v>41691</c:v>
                </c:pt>
                <c:pt idx="2831">
                  <c:v>41694</c:v>
                </c:pt>
                <c:pt idx="2832">
                  <c:v>41695</c:v>
                </c:pt>
                <c:pt idx="2833">
                  <c:v>41696</c:v>
                </c:pt>
                <c:pt idx="2834">
                  <c:v>41697</c:v>
                </c:pt>
                <c:pt idx="2835">
                  <c:v>41698</c:v>
                </c:pt>
                <c:pt idx="2836">
                  <c:v>41701</c:v>
                </c:pt>
                <c:pt idx="2837">
                  <c:v>41702</c:v>
                </c:pt>
                <c:pt idx="2838">
                  <c:v>41703</c:v>
                </c:pt>
                <c:pt idx="2839">
                  <c:v>41704</c:v>
                </c:pt>
                <c:pt idx="2840">
                  <c:v>41705</c:v>
                </c:pt>
                <c:pt idx="2841">
                  <c:v>41708</c:v>
                </c:pt>
                <c:pt idx="2842">
                  <c:v>41709</c:v>
                </c:pt>
                <c:pt idx="2843">
                  <c:v>41710</c:v>
                </c:pt>
                <c:pt idx="2844">
                  <c:v>41711</c:v>
                </c:pt>
                <c:pt idx="2845">
                  <c:v>41712</c:v>
                </c:pt>
                <c:pt idx="2846">
                  <c:v>41715</c:v>
                </c:pt>
                <c:pt idx="2847">
                  <c:v>41716</c:v>
                </c:pt>
                <c:pt idx="2848">
                  <c:v>41717</c:v>
                </c:pt>
                <c:pt idx="2849">
                  <c:v>41718</c:v>
                </c:pt>
                <c:pt idx="2850">
                  <c:v>41719</c:v>
                </c:pt>
                <c:pt idx="2851">
                  <c:v>41722</c:v>
                </c:pt>
                <c:pt idx="2852">
                  <c:v>41723</c:v>
                </c:pt>
                <c:pt idx="2853">
                  <c:v>41724</c:v>
                </c:pt>
                <c:pt idx="2854">
                  <c:v>41725</c:v>
                </c:pt>
                <c:pt idx="2855">
                  <c:v>41726</c:v>
                </c:pt>
                <c:pt idx="2856">
                  <c:v>41729</c:v>
                </c:pt>
                <c:pt idx="2857">
                  <c:v>41730</c:v>
                </c:pt>
                <c:pt idx="2858">
                  <c:v>41731</c:v>
                </c:pt>
                <c:pt idx="2859">
                  <c:v>41732</c:v>
                </c:pt>
                <c:pt idx="2860">
                  <c:v>41733</c:v>
                </c:pt>
                <c:pt idx="2861">
                  <c:v>41736</c:v>
                </c:pt>
                <c:pt idx="2862">
                  <c:v>41737</c:v>
                </c:pt>
                <c:pt idx="2863">
                  <c:v>41738</c:v>
                </c:pt>
                <c:pt idx="2864">
                  <c:v>41739</c:v>
                </c:pt>
                <c:pt idx="2865">
                  <c:v>41740</c:v>
                </c:pt>
                <c:pt idx="2866">
                  <c:v>41743</c:v>
                </c:pt>
                <c:pt idx="2867">
                  <c:v>41744</c:v>
                </c:pt>
                <c:pt idx="2868">
                  <c:v>41745</c:v>
                </c:pt>
                <c:pt idx="2869">
                  <c:v>41746</c:v>
                </c:pt>
                <c:pt idx="2870">
                  <c:v>41747</c:v>
                </c:pt>
                <c:pt idx="2871">
                  <c:v>41751</c:v>
                </c:pt>
                <c:pt idx="2872">
                  <c:v>41752</c:v>
                </c:pt>
                <c:pt idx="2873">
                  <c:v>41753</c:v>
                </c:pt>
                <c:pt idx="2874">
                  <c:v>41754</c:v>
                </c:pt>
                <c:pt idx="2875">
                  <c:v>41757</c:v>
                </c:pt>
                <c:pt idx="2876">
                  <c:v>41758</c:v>
                </c:pt>
                <c:pt idx="2877">
                  <c:v>41759</c:v>
                </c:pt>
                <c:pt idx="2878">
                  <c:v>41761</c:v>
                </c:pt>
                <c:pt idx="2879">
                  <c:v>41764</c:v>
                </c:pt>
                <c:pt idx="2880">
                  <c:v>41765</c:v>
                </c:pt>
                <c:pt idx="2881">
                  <c:v>41766</c:v>
                </c:pt>
                <c:pt idx="2882">
                  <c:v>41767</c:v>
                </c:pt>
                <c:pt idx="2883">
                  <c:v>41768</c:v>
                </c:pt>
                <c:pt idx="2884">
                  <c:v>41771</c:v>
                </c:pt>
                <c:pt idx="2885">
                  <c:v>41772</c:v>
                </c:pt>
                <c:pt idx="2886">
                  <c:v>41773</c:v>
                </c:pt>
                <c:pt idx="2887">
                  <c:v>41774</c:v>
                </c:pt>
                <c:pt idx="2888">
                  <c:v>41775</c:v>
                </c:pt>
                <c:pt idx="2889">
                  <c:v>41778</c:v>
                </c:pt>
                <c:pt idx="2890">
                  <c:v>41779</c:v>
                </c:pt>
                <c:pt idx="2891">
                  <c:v>41780</c:v>
                </c:pt>
                <c:pt idx="2892">
                  <c:v>41781</c:v>
                </c:pt>
                <c:pt idx="2893">
                  <c:v>41782</c:v>
                </c:pt>
                <c:pt idx="2894">
                  <c:v>41785</c:v>
                </c:pt>
                <c:pt idx="2895">
                  <c:v>41786</c:v>
                </c:pt>
                <c:pt idx="2896">
                  <c:v>41787</c:v>
                </c:pt>
                <c:pt idx="2897">
                  <c:v>41788</c:v>
                </c:pt>
                <c:pt idx="2898">
                  <c:v>41789</c:v>
                </c:pt>
                <c:pt idx="2899">
                  <c:v>41792</c:v>
                </c:pt>
                <c:pt idx="2900">
                  <c:v>41793</c:v>
                </c:pt>
                <c:pt idx="2901">
                  <c:v>41794</c:v>
                </c:pt>
                <c:pt idx="2902">
                  <c:v>41795</c:v>
                </c:pt>
                <c:pt idx="2903">
                  <c:v>41796</c:v>
                </c:pt>
                <c:pt idx="2904">
                  <c:v>41799</c:v>
                </c:pt>
                <c:pt idx="2905">
                  <c:v>41800</c:v>
                </c:pt>
                <c:pt idx="2906">
                  <c:v>41801</c:v>
                </c:pt>
                <c:pt idx="2907">
                  <c:v>41802</c:v>
                </c:pt>
                <c:pt idx="2908">
                  <c:v>41803</c:v>
                </c:pt>
                <c:pt idx="2909">
                  <c:v>41806</c:v>
                </c:pt>
                <c:pt idx="2910">
                  <c:v>41807</c:v>
                </c:pt>
                <c:pt idx="2911">
                  <c:v>41808</c:v>
                </c:pt>
                <c:pt idx="2912">
                  <c:v>41810</c:v>
                </c:pt>
                <c:pt idx="2913">
                  <c:v>41813</c:v>
                </c:pt>
                <c:pt idx="2914">
                  <c:v>41814</c:v>
                </c:pt>
                <c:pt idx="2915">
                  <c:v>41816</c:v>
                </c:pt>
                <c:pt idx="2916">
                  <c:v>41817</c:v>
                </c:pt>
                <c:pt idx="2917">
                  <c:v>41820</c:v>
                </c:pt>
                <c:pt idx="2918">
                  <c:v>41821</c:v>
                </c:pt>
                <c:pt idx="2919">
                  <c:v>41822</c:v>
                </c:pt>
                <c:pt idx="2920">
                  <c:v>41823</c:v>
                </c:pt>
                <c:pt idx="2921">
                  <c:v>41824</c:v>
                </c:pt>
                <c:pt idx="2922">
                  <c:v>41827</c:v>
                </c:pt>
                <c:pt idx="2923">
                  <c:v>41828</c:v>
                </c:pt>
                <c:pt idx="2924">
                  <c:v>41829</c:v>
                </c:pt>
                <c:pt idx="2925">
                  <c:v>41830</c:v>
                </c:pt>
                <c:pt idx="2926">
                  <c:v>41831</c:v>
                </c:pt>
                <c:pt idx="2927">
                  <c:v>41834</c:v>
                </c:pt>
                <c:pt idx="2928">
                  <c:v>41835</c:v>
                </c:pt>
                <c:pt idx="2929">
                  <c:v>41836</c:v>
                </c:pt>
                <c:pt idx="2930">
                  <c:v>41837</c:v>
                </c:pt>
                <c:pt idx="2931">
                  <c:v>41838</c:v>
                </c:pt>
                <c:pt idx="2932">
                  <c:v>41841</c:v>
                </c:pt>
                <c:pt idx="2933">
                  <c:v>41842</c:v>
                </c:pt>
                <c:pt idx="2934">
                  <c:v>41843</c:v>
                </c:pt>
                <c:pt idx="2935">
                  <c:v>41844</c:v>
                </c:pt>
                <c:pt idx="2936">
                  <c:v>41845</c:v>
                </c:pt>
                <c:pt idx="2937">
                  <c:v>41848</c:v>
                </c:pt>
                <c:pt idx="2938">
                  <c:v>41849</c:v>
                </c:pt>
                <c:pt idx="2939">
                  <c:v>41850</c:v>
                </c:pt>
                <c:pt idx="2940">
                  <c:v>41851</c:v>
                </c:pt>
                <c:pt idx="2941">
                  <c:v>41852</c:v>
                </c:pt>
                <c:pt idx="2942">
                  <c:v>41855</c:v>
                </c:pt>
                <c:pt idx="2943">
                  <c:v>41857</c:v>
                </c:pt>
                <c:pt idx="2944">
                  <c:v>41858</c:v>
                </c:pt>
                <c:pt idx="2945">
                  <c:v>41859</c:v>
                </c:pt>
                <c:pt idx="2946">
                  <c:v>41862</c:v>
                </c:pt>
                <c:pt idx="2947">
                  <c:v>41863</c:v>
                </c:pt>
                <c:pt idx="2948">
                  <c:v>41864</c:v>
                </c:pt>
                <c:pt idx="2949">
                  <c:v>41865</c:v>
                </c:pt>
                <c:pt idx="2950">
                  <c:v>41869</c:v>
                </c:pt>
                <c:pt idx="2951">
                  <c:v>41870</c:v>
                </c:pt>
                <c:pt idx="2952">
                  <c:v>41871</c:v>
                </c:pt>
                <c:pt idx="2953">
                  <c:v>41872</c:v>
                </c:pt>
                <c:pt idx="2954">
                  <c:v>41873</c:v>
                </c:pt>
                <c:pt idx="2955">
                  <c:v>41876</c:v>
                </c:pt>
                <c:pt idx="2956">
                  <c:v>41877</c:v>
                </c:pt>
                <c:pt idx="2957">
                  <c:v>41878</c:v>
                </c:pt>
                <c:pt idx="2958">
                  <c:v>41879</c:v>
                </c:pt>
                <c:pt idx="2959">
                  <c:v>41880</c:v>
                </c:pt>
                <c:pt idx="2960">
                  <c:v>41883</c:v>
                </c:pt>
                <c:pt idx="2961">
                  <c:v>41884</c:v>
                </c:pt>
                <c:pt idx="2962">
                  <c:v>41885</c:v>
                </c:pt>
                <c:pt idx="2963">
                  <c:v>41886</c:v>
                </c:pt>
                <c:pt idx="2964">
                  <c:v>41887</c:v>
                </c:pt>
                <c:pt idx="2965">
                  <c:v>41890</c:v>
                </c:pt>
                <c:pt idx="2966">
                  <c:v>41891</c:v>
                </c:pt>
                <c:pt idx="2967">
                  <c:v>41892</c:v>
                </c:pt>
                <c:pt idx="2968">
                  <c:v>41893</c:v>
                </c:pt>
                <c:pt idx="2969">
                  <c:v>41894</c:v>
                </c:pt>
                <c:pt idx="2970">
                  <c:v>41897</c:v>
                </c:pt>
                <c:pt idx="2971">
                  <c:v>41898</c:v>
                </c:pt>
                <c:pt idx="2972">
                  <c:v>41899</c:v>
                </c:pt>
                <c:pt idx="2973">
                  <c:v>41900</c:v>
                </c:pt>
                <c:pt idx="2974">
                  <c:v>41901</c:v>
                </c:pt>
                <c:pt idx="2975">
                  <c:v>41904</c:v>
                </c:pt>
                <c:pt idx="2976">
                  <c:v>41905</c:v>
                </c:pt>
                <c:pt idx="2977">
                  <c:v>41906</c:v>
                </c:pt>
                <c:pt idx="2978">
                  <c:v>41907</c:v>
                </c:pt>
                <c:pt idx="2979">
                  <c:v>41908</c:v>
                </c:pt>
                <c:pt idx="2980">
                  <c:v>41911</c:v>
                </c:pt>
                <c:pt idx="2981">
                  <c:v>41912</c:v>
                </c:pt>
                <c:pt idx="2982">
                  <c:v>41913</c:v>
                </c:pt>
                <c:pt idx="2983">
                  <c:v>41914</c:v>
                </c:pt>
                <c:pt idx="2984">
                  <c:v>41915</c:v>
                </c:pt>
                <c:pt idx="2985">
                  <c:v>41918</c:v>
                </c:pt>
                <c:pt idx="2986">
                  <c:v>41919</c:v>
                </c:pt>
                <c:pt idx="2987">
                  <c:v>41921</c:v>
                </c:pt>
                <c:pt idx="2988">
                  <c:v>41922</c:v>
                </c:pt>
                <c:pt idx="2989">
                  <c:v>41925</c:v>
                </c:pt>
                <c:pt idx="2990">
                  <c:v>41926</c:v>
                </c:pt>
                <c:pt idx="2991">
                  <c:v>41927</c:v>
                </c:pt>
                <c:pt idx="2992">
                  <c:v>41928</c:v>
                </c:pt>
                <c:pt idx="2993">
                  <c:v>41929</c:v>
                </c:pt>
                <c:pt idx="2994">
                  <c:v>41932</c:v>
                </c:pt>
                <c:pt idx="2995">
                  <c:v>41933</c:v>
                </c:pt>
                <c:pt idx="2996">
                  <c:v>41934</c:v>
                </c:pt>
                <c:pt idx="2997">
                  <c:v>41935</c:v>
                </c:pt>
                <c:pt idx="2998">
                  <c:v>41936</c:v>
                </c:pt>
                <c:pt idx="2999">
                  <c:v>41939</c:v>
                </c:pt>
                <c:pt idx="3000">
                  <c:v>41940</c:v>
                </c:pt>
                <c:pt idx="3001">
                  <c:v>41941</c:v>
                </c:pt>
                <c:pt idx="3002">
                  <c:v>41942</c:v>
                </c:pt>
                <c:pt idx="3003">
                  <c:v>41943</c:v>
                </c:pt>
                <c:pt idx="3004">
                  <c:v>41946</c:v>
                </c:pt>
                <c:pt idx="3005">
                  <c:v>41947</c:v>
                </c:pt>
                <c:pt idx="3006">
                  <c:v>41948</c:v>
                </c:pt>
                <c:pt idx="3007">
                  <c:v>41949</c:v>
                </c:pt>
                <c:pt idx="3008">
                  <c:v>41950</c:v>
                </c:pt>
                <c:pt idx="3009">
                  <c:v>41953</c:v>
                </c:pt>
                <c:pt idx="3010">
                  <c:v>41954</c:v>
                </c:pt>
                <c:pt idx="3011">
                  <c:v>41955</c:v>
                </c:pt>
                <c:pt idx="3012">
                  <c:v>41956</c:v>
                </c:pt>
                <c:pt idx="3013">
                  <c:v>41957</c:v>
                </c:pt>
                <c:pt idx="3014">
                  <c:v>41960</c:v>
                </c:pt>
                <c:pt idx="3015">
                  <c:v>41961</c:v>
                </c:pt>
                <c:pt idx="3016">
                  <c:v>41962</c:v>
                </c:pt>
                <c:pt idx="3017">
                  <c:v>41963</c:v>
                </c:pt>
                <c:pt idx="3018">
                  <c:v>41964</c:v>
                </c:pt>
                <c:pt idx="3019">
                  <c:v>41967</c:v>
                </c:pt>
                <c:pt idx="3020">
                  <c:v>41968</c:v>
                </c:pt>
                <c:pt idx="3021">
                  <c:v>41969</c:v>
                </c:pt>
                <c:pt idx="3022">
                  <c:v>41970</c:v>
                </c:pt>
                <c:pt idx="3023">
                  <c:v>41971</c:v>
                </c:pt>
                <c:pt idx="3024">
                  <c:v>41974</c:v>
                </c:pt>
                <c:pt idx="3025">
                  <c:v>41975</c:v>
                </c:pt>
                <c:pt idx="3026">
                  <c:v>41976</c:v>
                </c:pt>
                <c:pt idx="3027">
                  <c:v>41977</c:v>
                </c:pt>
                <c:pt idx="3028">
                  <c:v>41978</c:v>
                </c:pt>
                <c:pt idx="3029">
                  <c:v>41981</c:v>
                </c:pt>
                <c:pt idx="3030">
                  <c:v>41982</c:v>
                </c:pt>
                <c:pt idx="3031">
                  <c:v>41983</c:v>
                </c:pt>
                <c:pt idx="3032">
                  <c:v>41984</c:v>
                </c:pt>
                <c:pt idx="3033">
                  <c:v>41985</c:v>
                </c:pt>
                <c:pt idx="3034">
                  <c:v>41988</c:v>
                </c:pt>
                <c:pt idx="3035">
                  <c:v>41989</c:v>
                </c:pt>
                <c:pt idx="3036">
                  <c:v>41990</c:v>
                </c:pt>
                <c:pt idx="3037">
                  <c:v>41991</c:v>
                </c:pt>
                <c:pt idx="3038">
                  <c:v>41992</c:v>
                </c:pt>
                <c:pt idx="3039">
                  <c:v>41995</c:v>
                </c:pt>
                <c:pt idx="3040">
                  <c:v>41996</c:v>
                </c:pt>
                <c:pt idx="3041">
                  <c:v>42002</c:v>
                </c:pt>
                <c:pt idx="3042">
                  <c:v>42003</c:v>
                </c:pt>
                <c:pt idx="3043">
                  <c:v>42004</c:v>
                </c:pt>
                <c:pt idx="3044">
                  <c:v>42006</c:v>
                </c:pt>
                <c:pt idx="3045">
                  <c:v>42009</c:v>
                </c:pt>
                <c:pt idx="3046">
                  <c:v>42011</c:v>
                </c:pt>
                <c:pt idx="3047">
                  <c:v>42012</c:v>
                </c:pt>
                <c:pt idx="3048">
                  <c:v>42013</c:v>
                </c:pt>
                <c:pt idx="3049">
                  <c:v>42016</c:v>
                </c:pt>
                <c:pt idx="3050">
                  <c:v>42017</c:v>
                </c:pt>
                <c:pt idx="3051">
                  <c:v>42018</c:v>
                </c:pt>
                <c:pt idx="3052">
                  <c:v>42019</c:v>
                </c:pt>
                <c:pt idx="3053">
                  <c:v>42020</c:v>
                </c:pt>
                <c:pt idx="3054">
                  <c:v>42023</c:v>
                </c:pt>
                <c:pt idx="3055">
                  <c:v>42024</c:v>
                </c:pt>
                <c:pt idx="3056">
                  <c:v>42025</c:v>
                </c:pt>
                <c:pt idx="3057">
                  <c:v>42026</c:v>
                </c:pt>
                <c:pt idx="3058">
                  <c:v>42027</c:v>
                </c:pt>
                <c:pt idx="3059">
                  <c:v>42030</c:v>
                </c:pt>
                <c:pt idx="3060">
                  <c:v>42031</c:v>
                </c:pt>
                <c:pt idx="3061">
                  <c:v>42032</c:v>
                </c:pt>
                <c:pt idx="3062">
                  <c:v>42033</c:v>
                </c:pt>
                <c:pt idx="3063">
                  <c:v>42034</c:v>
                </c:pt>
                <c:pt idx="3064">
                  <c:v>42037</c:v>
                </c:pt>
                <c:pt idx="3065">
                  <c:v>42038</c:v>
                </c:pt>
                <c:pt idx="3066">
                  <c:v>42039</c:v>
                </c:pt>
                <c:pt idx="3067">
                  <c:v>42040</c:v>
                </c:pt>
                <c:pt idx="3068">
                  <c:v>42041</c:v>
                </c:pt>
                <c:pt idx="3069">
                  <c:v>42044</c:v>
                </c:pt>
                <c:pt idx="3070">
                  <c:v>42045</c:v>
                </c:pt>
                <c:pt idx="3071">
                  <c:v>42046</c:v>
                </c:pt>
                <c:pt idx="3072">
                  <c:v>42047</c:v>
                </c:pt>
                <c:pt idx="3073">
                  <c:v>42048</c:v>
                </c:pt>
                <c:pt idx="3074">
                  <c:v>42051</c:v>
                </c:pt>
                <c:pt idx="3075">
                  <c:v>42052</c:v>
                </c:pt>
                <c:pt idx="3076">
                  <c:v>42053</c:v>
                </c:pt>
                <c:pt idx="3077">
                  <c:v>42054</c:v>
                </c:pt>
                <c:pt idx="3078">
                  <c:v>42055</c:v>
                </c:pt>
                <c:pt idx="3079">
                  <c:v>42058</c:v>
                </c:pt>
                <c:pt idx="3080">
                  <c:v>42059</c:v>
                </c:pt>
                <c:pt idx="3081">
                  <c:v>42060</c:v>
                </c:pt>
                <c:pt idx="3082">
                  <c:v>42061</c:v>
                </c:pt>
                <c:pt idx="3083">
                  <c:v>42062</c:v>
                </c:pt>
                <c:pt idx="3084">
                  <c:v>42065</c:v>
                </c:pt>
                <c:pt idx="3085">
                  <c:v>42066</c:v>
                </c:pt>
                <c:pt idx="3086">
                  <c:v>42067</c:v>
                </c:pt>
                <c:pt idx="3087">
                  <c:v>42068</c:v>
                </c:pt>
                <c:pt idx="3088">
                  <c:v>42069</c:v>
                </c:pt>
                <c:pt idx="3089">
                  <c:v>42072</c:v>
                </c:pt>
                <c:pt idx="3090">
                  <c:v>42073</c:v>
                </c:pt>
                <c:pt idx="3091">
                  <c:v>42074</c:v>
                </c:pt>
                <c:pt idx="3092">
                  <c:v>42075</c:v>
                </c:pt>
                <c:pt idx="3093">
                  <c:v>42076</c:v>
                </c:pt>
                <c:pt idx="3094">
                  <c:v>42079</c:v>
                </c:pt>
                <c:pt idx="3095">
                  <c:v>42080</c:v>
                </c:pt>
                <c:pt idx="3096">
                  <c:v>42081</c:v>
                </c:pt>
                <c:pt idx="3097">
                  <c:v>42082</c:v>
                </c:pt>
                <c:pt idx="3098">
                  <c:v>42083</c:v>
                </c:pt>
                <c:pt idx="3099">
                  <c:v>42086</c:v>
                </c:pt>
                <c:pt idx="3100">
                  <c:v>42087</c:v>
                </c:pt>
                <c:pt idx="3101">
                  <c:v>42088</c:v>
                </c:pt>
                <c:pt idx="3102">
                  <c:v>42089</c:v>
                </c:pt>
                <c:pt idx="3103">
                  <c:v>42090</c:v>
                </c:pt>
                <c:pt idx="3104">
                  <c:v>42093</c:v>
                </c:pt>
                <c:pt idx="3105">
                  <c:v>42094</c:v>
                </c:pt>
                <c:pt idx="3106">
                  <c:v>42095</c:v>
                </c:pt>
                <c:pt idx="3107">
                  <c:v>42096</c:v>
                </c:pt>
                <c:pt idx="3108">
                  <c:v>42101</c:v>
                </c:pt>
                <c:pt idx="3109">
                  <c:v>42102</c:v>
                </c:pt>
                <c:pt idx="3110">
                  <c:v>42103</c:v>
                </c:pt>
                <c:pt idx="3111">
                  <c:v>42104</c:v>
                </c:pt>
                <c:pt idx="3112">
                  <c:v>42107</c:v>
                </c:pt>
                <c:pt idx="3113">
                  <c:v>42108</c:v>
                </c:pt>
                <c:pt idx="3114">
                  <c:v>42109</c:v>
                </c:pt>
                <c:pt idx="3115">
                  <c:v>42110</c:v>
                </c:pt>
                <c:pt idx="3116">
                  <c:v>42111</c:v>
                </c:pt>
                <c:pt idx="3117">
                  <c:v>42114</c:v>
                </c:pt>
                <c:pt idx="3118">
                  <c:v>42115</c:v>
                </c:pt>
                <c:pt idx="3119">
                  <c:v>42116</c:v>
                </c:pt>
                <c:pt idx="3120">
                  <c:v>42117</c:v>
                </c:pt>
                <c:pt idx="3121">
                  <c:v>42118</c:v>
                </c:pt>
                <c:pt idx="3122">
                  <c:v>42121</c:v>
                </c:pt>
                <c:pt idx="3123">
                  <c:v>42122</c:v>
                </c:pt>
                <c:pt idx="3124">
                  <c:v>42123</c:v>
                </c:pt>
                <c:pt idx="3125">
                  <c:v>42124</c:v>
                </c:pt>
                <c:pt idx="3126">
                  <c:v>42128</c:v>
                </c:pt>
                <c:pt idx="3127">
                  <c:v>42129</c:v>
                </c:pt>
                <c:pt idx="3128">
                  <c:v>42130</c:v>
                </c:pt>
                <c:pt idx="3129">
                  <c:v>42131</c:v>
                </c:pt>
                <c:pt idx="3130">
                  <c:v>42132</c:v>
                </c:pt>
                <c:pt idx="3131">
                  <c:v>42135</c:v>
                </c:pt>
                <c:pt idx="3132">
                  <c:v>42136</c:v>
                </c:pt>
                <c:pt idx="3133">
                  <c:v>42137</c:v>
                </c:pt>
                <c:pt idx="3134">
                  <c:v>42138</c:v>
                </c:pt>
                <c:pt idx="3135">
                  <c:v>42139</c:v>
                </c:pt>
                <c:pt idx="3136">
                  <c:v>42142</c:v>
                </c:pt>
                <c:pt idx="3137">
                  <c:v>42143</c:v>
                </c:pt>
                <c:pt idx="3138">
                  <c:v>42144</c:v>
                </c:pt>
                <c:pt idx="3139">
                  <c:v>42145</c:v>
                </c:pt>
                <c:pt idx="3140">
                  <c:v>42146</c:v>
                </c:pt>
                <c:pt idx="3141">
                  <c:v>42149</c:v>
                </c:pt>
                <c:pt idx="3142">
                  <c:v>42150</c:v>
                </c:pt>
                <c:pt idx="3143">
                  <c:v>42151</c:v>
                </c:pt>
                <c:pt idx="3144">
                  <c:v>42152</c:v>
                </c:pt>
                <c:pt idx="3145">
                  <c:v>42153</c:v>
                </c:pt>
                <c:pt idx="3146">
                  <c:v>42156</c:v>
                </c:pt>
                <c:pt idx="3147">
                  <c:v>42157</c:v>
                </c:pt>
                <c:pt idx="3148">
                  <c:v>42158</c:v>
                </c:pt>
                <c:pt idx="3149">
                  <c:v>42160</c:v>
                </c:pt>
                <c:pt idx="3150">
                  <c:v>42163</c:v>
                </c:pt>
                <c:pt idx="3151">
                  <c:v>42164</c:v>
                </c:pt>
                <c:pt idx="3152">
                  <c:v>42165</c:v>
                </c:pt>
                <c:pt idx="3153">
                  <c:v>42166</c:v>
                </c:pt>
                <c:pt idx="3154">
                  <c:v>42167</c:v>
                </c:pt>
                <c:pt idx="3155">
                  <c:v>42170</c:v>
                </c:pt>
                <c:pt idx="3156">
                  <c:v>42171</c:v>
                </c:pt>
                <c:pt idx="3157">
                  <c:v>42172</c:v>
                </c:pt>
                <c:pt idx="3158">
                  <c:v>42173</c:v>
                </c:pt>
                <c:pt idx="3159">
                  <c:v>42174</c:v>
                </c:pt>
                <c:pt idx="3160">
                  <c:v>42178</c:v>
                </c:pt>
                <c:pt idx="3161">
                  <c:v>42179</c:v>
                </c:pt>
                <c:pt idx="3162">
                  <c:v>42181</c:v>
                </c:pt>
                <c:pt idx="3163">
                  <c:v>42184</c:v>
                </c:pt>
                <c:pt idx="3164">
                  <c:v>42185</c:v>
                </c:pt>
                <c:pt idx="3165">
                  <c:v>42186</c:v>
                </c:pt>
                <c:pt idx="3166">
                  <c:v>42187</c:v>
                </c:pt>
                <c:pt idx="3167">
                  <c:v>42188</c:v>
                </c:pt>
                <c:pt idx="3168">
                  <c:v>42191</c:v>
                </c:pt>
                <c:pt idx="3169">
                  <c:v>42192</c:v>
                </c:pt>
                <c:pt idx="3170">
                  <c:v>42193</c:v>
                </c:pt>
                <c:pt idx="3171">
                  <c:v>42194</c:v>
                </c:pt>
                <c:pt idx="3172">
                  <c:v>42195</c:v>
                </c:pt>
                <c:pt idx="3173">
                  <c:v>42198</c:v>
                </c:pt>
                <c:pt idx="3174">
                  <c:v>42199</c:v>
                </c:pt>
                <c:pt idx="3175">
                  <c:v>42200</c:v>
                </c:pt>
                <c:pt idx="3176">
                  <c:v>42201</c:v>
                </c:pt>
                <c:pt idx="3177">
                  <c:v>42202</c:v>
                </c:pt>
                <c:pt idx="3178">
                  <c:v>42205</c:v>
                </c:pt>
                <c:pt idx="3179">
                  <c:v>42206</c:v>
                </c:pt>
                <c:pt idx="3180">
                  <c:v>42207</c:v>
                </c:pt>
                <c:pt idx="3181">
                  <c:v>42208</c:v>
                </c:pt>
                <c:pt idx="3182">
                  <c:v>42209</c:v>
                </c:pt>
                <c:pt idx="3183">
                  <c:v>42212</c:v>
                </c:pt>
                <c:pt idx="3184">
                  <c:v>42213</c:v>
                </c:pt>
                <c:pt idx="3185">
                  <c:v>42214</c:v>
                </c:pt>
                <c:pt idx="3186">
                  <c:v>42215</c:v>
                </c:pt>
                <c:pt idx="3187">
                  <c:v>42216</c:v>
                </c:pt>
                <c:pt idx="3188">
                  <c:v>42219</c:v>
                </c:pt>
                <c:pt idx="3189">
                  <c:v>42220</c:v>
                </c:pt>
                <c:pt idx="3190">
                  <c:v>42222</c:v>
                </c:pt>
                <c:pt idx="3191">
                  <c:v>42223</c:v>
                </c:pt>
                <c:pt idx="3192">
                  <c:v>42226</c:v>
                </c:pt>
                <c:pt idx="3193">
                  <c:v>42227</c:v>
                </c:pt>
                <c:pt idx="3194">
                  <c:v>42228</c:v>
                </c:pt>
                <c:pt idx="3195">
                  <c:v>42229</c:v>
                </c:pt>
                <c:pt idx="3196">
                  <c:v>42230</c:v>
                </c:pt>
                <c:pt idx="3197">
                  <c:v>42233</c:v>
                </c:pt>
                <c:pt idx="3198">
                  <c:v>42234</c:v>
                </c:pt>
                <c:pt idx="3199">
                  <c:v>42235</c:v>
                </c:pt>
                <c:pt idx="3200">
                  <c:v>42236</c:v>
                </c:pt>
                <c:pt idx="3201">
                  <c:v>42237</c:v>
                </c:pt>
                <c:pt idx="3202">
                  <c:v>42240</c:v>
                </c:pt>
                <c:pt idx="3203">
                  <c:v>42241</c:v>
                </c:pt>
                <c:pt idx="3204">
                  <c:v>42242</c:v>
                </c:pt>
                <c:pt idx="3205">
                  <c:v>42243</c:v>
                </c:pt>
                <c:pt idx="3206">
                  <c:v>42244</c:v>
                </c:pt>
                <c:pt idx="3207">
                  <c:v>42247</c:v>
                </c:pt>
                <c:pt idx="3208">
                  <c:v>42248</c:v>
                </c:pt>
                <c:pt idx="3209">
                  <c:v>42249</c:v>
                </c:pt>
                <c:pt idx="3210">
                  <c:v>42250</c:v>
                </c:pt>
                <c:pt idx="3211">
                  <c:v>42251</c:v>
                </c:pt>
                <c:pt idx="3212">
                  <c:v>42254</c:v>
                </c:pt>
                <c:pt idx="3213">
                  <c:v>42255</c:v>
                </c:pt>
                <c:pt idx="3214">
                  <c:v>42256</c:v>
                </c:pt>
                <c:pt idx="3215">
                  <c:v>42257</c:v>
                </c:pt>
                <c:pt idx="3216">
                  <c:v>42258</c:v>
                </c:pt>
                <c:pt idx="3217">
                  <c:v>42261</c:v>
                </c:pt>
                <c:pt idx="3218">
                  <c:v>42262</c:v>
                </c:pt>
                <c:pt idx="3219">
                  <c:v>42263</c:v>
                </c:pt>
                <c:pt idx="3220">
                  <c:v>42264</c:v>
                </c:pt>
                <c:pt idx="3221">
                  <c:v>42265</c:v>
                </c:pt>
              </c:numCache>
            </c:numRef>
          </c:cat>
          <c:val>
            <c:numRef>
              <c:f>'zse_export_export (2)'!$B$4:$B$3225</c:f>
              <c:numCache>
                <c:formatCode>#,##0.00</c:formatCode>
                <c:ptCount val="3222"/>
                <c:pt idx="0">
                  <c:v>1170.69</c:v>
                </c:pt>
                <c:pt idx="1">
                  <c:v>1178.01</c:v>
                </c:pt>
                <c:pt idx="2">
                  <c:v>1166.57</c:v>
                </c:pt>
                <c:pt idx="3">
                  <c:v>1168.23</c:v>
                </c:pt>
                <c:pt idx="4">
                  <c:v>1164</c:v>
                </c:pt>
                <c:pt idx="5">
                  <c:v>1171.21</c:v>
                </c:pt>
                <c:pt idx="6">
                  <c:v>1164.26</c:v>
                </c:pt>
                <c:pt idx="7">
                  <c:v>1174.2</c:v>
                </c:pt>
                <c:pt idx="8">
                  <c:v>1183.27</c:v>
                </c:pt>
                <c:pt idx="9">
                  <c:v>1195.2</c:v>
                </c:pt>
                <c:pt idx="10">
                  <c:v>1183.49</c:v>
                </c:pt>
                <c:pt idx="11">
                  <c:v>1187.51</c:v>
                </c:pt>
                <c:pt idx="12">
                  <c:v>1186.73</c:v>
                </c:pt>
                <c:pt idx="13">
                  <c:v>1183.1400000000001</c:v>
                </c:pt>
                <c:pt idx="14">
                  <c:v>1184.74</c:v>
                </c:pt>
                <c:pt idx="15">
                  <c:v>1121.6400000000001</c:v>
                </c:pt>
                <c:pt idx="16">
                  <c:v>1113.97</c:v>
                </c:pt>
                <c:pt idx="17">
                  <c:v>1113.6400000000001</c:v>
                </c:pt>
                <c:pt idx="18">
                  <c:v>1090.46</c:v>
                </c:pt>
                <c:pt idx="19">
                  <c:v>1091.76</c:v>
                </c:pt>
                <c:pt idx="20">
                  <c:v>1096.1400000000001</c:v>
                </c:pt>
                <c:pt idx="21">
                  <c:v>1094.8499999999999</c:v>
                </c:pt>
                <c:pt idx="22">
                  <c:v>1097.1099999999999</c:v>
                </c:pt>
                <c:pt idx="23">
                  <c:v>1095</c:v>
                </c:pt>
                <c:pt idx="24">
                  <c:v>1095.1400000000001</c:v>
                </c:pt>
                <c:pt idx="25">
                  <c:v>1094.96</c:v>
                </c:pt>
                <c:pt idx="26">
                  <c:v>1081.44</c:v>
                </c:pt>
                <c:pt idx="27">
                  <c:v>1070.52</c:v>
                </c:pt>
                <c:pt idx="28">
                  <c:v>1069.18</c:v>
                </c:pt>
                <c:pt idx="29">
                  <c:v>1068.9000000000001</c:v>
                </c:pt>
                <c:pt idx="30">
                  <c:v>1067.26</c:v>
                </c:pt>
                <c:pt idx="31">
                  <c:v>1070.98</c:v>
                </c:pt>
                <c:pt idx="32">
                  <c:v>1074.3</c:v>
                </c:pt>
                <c:pt idx="33">
                  <c:v>1071.69</c:v>
                </c:pt>
                <c:pt idx="34">
                  <c:v>1069.24</c:v>
                </c:pt>
                <c:pt idx="35">
                  <c:v>1060</c:v>
                </c:pt>
                <c:pt idx="36">
                  <c:v>1051.49</c:v>
                </c:pt>
                <c:pt idx="37">
                  <c:v>1048.44</c:v>
                </c:pt>
                <c:pt idx="38">
                  <c:v>1046.68</c:v>
                </c:pt>
                <c:pt idx="39">
                  <c:v>1047.23</c:v>
                </c:pt>
                <c:pt idx="40">
                  <c:v>1051.93</c:v>
                </c:pt>
                <c:pt idx="41">
                  <c:v>1053.73</c:v>
                </c:pt>
                <c:pt idx="42">
                  <c:v>1047.8399999999999</c:v>
                </c:pt>
                <c:pt idx="43">
                  <c:v>1040.24</c:v>
                </c:pt>
                <c:pt idx="44">
                  <c:v>1026.03</c:v>
                </c:pt>
                <c:pt idx="45">
                  <c:v>1002.91</c:v>
                </c:pt>
                <c:pt idx="46" formatCode="General">
                  <c:v>997.56</c:v>
                </c:pt>
                <c:pt idx="47" formatCode="General">
                  <c:v>996.49</c:v>
                </c:pt>
                <c:pt idx="48">
                  <c:v>1000.98</c:v>
                </c:pt>
                <c:pt idx="49" formatCode="General">
                  <c:v>999.97</c:v>
                </c:pt>
                <c:pt idx="50">
                  <c:v>1005.28</c:v>
                </c:pt>
                <c:pt idx="51" formatCode="General">
                  <c:v>995.31</c:v>
                </c:pt>
                <c:pt idx="52" formatCode="General">
                  <c:v>996.53</c:v>
                </c:pt>
                <c:pt idx="53" formatCode="General">
                  <c:v>990.5</c:v>
                </c:pt>
                <c:pt idx="54">
                  <c:v>1012.04</c:v>
                </c:pt>
                <c:pt idx="55">
                  <c:v>1026.93</c:v>
                </c:pt>
                <c:pt idx="56">
                  <c:v>1020.09</c:v>
                </c:pt>
                <c:pt idx="57">
                  <c:v>1026.57</c:v>
                </c:pt>
                <c:pt idx="58">
                  <c:v>1036.98</c:v>
                </c:pt>
                <c:pt idx="59">
                  <c:v>1047.98</c:v>
                </c:pt>
                <c:pt idx="60">
                  <c:v>1049.2</c:v>
                </c:pt>
                <c:pt idx="61">
                  <c:v>1056.29</c:v>
                </c:pt>
                <c:pt idx="62">
                  <c:v>1053.72</c:v>
                </c:pt>
                <c:pt idx="63">
                  <c:v>1054.6400000000001</c:v>
                </c:pt>
                <c:pt idx="64">
                  <c:v>1057.71</c:v>
                </c:pt>
                <c:pt idx="65">
                  <c:v>1056.8900000000001</c:v>
                </c:pt>
                <c:pt idx="66">
                  <c:v>1080.26</c:v>
                </c:pt>
                <c:pt idx="67">
                  <c:v>1097.47</c:v>
                </c:pt>
                <c:pt idx="68">
                  <c:v>1105.31</c:v>
                </c:pt>
                <c:pt idx="69">
                  <c:v>1086.3800000000001</c:v>
                </c:pt>
                <c:pt idx="70">
                  <c:v>1101.43</c:v>
                </c:pt>
                <c:pt idx="71">
                  <c:v>1113.28</c:v>
                </c:pt>
                <c:pt idx="72">
                  <c:v>1117.8</c:v>
                </c:pt>
                <c:pt idx="73">
                  <c:v>1100.9100000000001</c:v>
                </c:pt>
                <c:pt idx="74">
                  <c:v>1110.3499999999999</c:v>
                </c:pt>
                <c:pt idx="75">
                  <c:v>1112.6199999999999</c:v>
                </c:pt>
                <c:pt idx="76">
                  <c:v>1122.52</c:v>
                </c:pt>
                <c:pt idx="77">
                  <c:v>1118.94</c:v>
                </c:pt>
                <c:pt idx="78">
                  <c:v>1127.27</c:v>
                </c:pt>
                <c:pt idx="79">
                  <c:v>1116.81</c:v>
                </c:pt>
                <c:pt idx="80">
                  <c:v>1125.6099999999999</c:v>
                </c:pt>
                <c:pt idx="81">
                  <c:v>1120.26</c:v>
                </c:pt>
                <c:pt idx="82">
                  <c:v>1113.56</c:v>
                </c:pt>
                <c:pt idx="83">
                  <c:v>1116</c:v>
                </c:pt>
                <c:pt idx="84">
                  <c:v>1126.5899999999999</c:v>
                </c:pt>
                <c:pt idx="85">
                  <c:v>1120.27</c:v>
                </c:pt>
                <c:pt idx="86">
                  <c:v>1100.01</c:v>
                </c:pt>
                <c:pt idx="87">
                  <c:v>1107.68</c:v>
                </c:pt>
                <c:pt idx="88">
                  <c:v>1095.6500000000001</c:v>
                </c:pt>
                <c:pt idx="89">
                  <c:v>1095.02</c:v>
                </c:pt>
                <c:pt idx="90">
                  <c:v>1092.93</c:v>
                </c:pt>
                <c:pt idx="91">
                  <c:v>1099.71</c:v>
                </c:pt>
                <c:pt idx="92">
                  <c:v>1097.43</c:v>
                </c:pt>
                <c:pt idx="93">
                  <c:v>1099.3399999999999</c:v>
                </c:pt>
                <c:pt idx="94">
                  <c:v>1091.1300000000001</c:v>
                </c:pt>
                <c:pt idx="95">
                  <c:v>1087.28</c:v>
                </c:pt>
                <c:pt idx="96">
                  <c:v>1096.3399999999999</c:v>
                </c:pt>
                <c:pt idx="97">
                  <c:v>1101.31</c:v>
                </c:pt>
                <c:pt idx="98">
                  <c:v>1092.18</c:v>
                </c:pt>
                <c:pt idx="99">
                  <c:v>1092.26</c:v>
                </c:pt>
                <c:pt idx="100">
                  <c:v>1116.1400000000001</c:v>
                </c:pt>
                <c:pt idx="101">
                  <c:v>1149.75</c:v>
                </c:pt>
                <c:pt idx="102">
                  <c:v>1147.26</c:v>
                </c:pt>
                <c:pt idx="103">
                  <c:v>1157.0899999999999</c:v>
                </c:pt>
                <c:pt idx="104">
                  <c:v>1123.43</c:v>
                </c:pt>
                <c:pt idx="105">
                  <c:v>1159.03</c:v>
                </c:pt>
                <c:pt idx="106">
                  <c:v>1156.75</c:v>
                </c:pt>
                <c:pt idx="107">
                  <c:v>1160.07</c:v>
                </c:pt>
                <c:pt idx="108">
                  <c:v>1159.8499999999999</c:v>
                </c:pt>
                <c:pt idx="109">
                  <c:v>1158.82</c:v>
                </c:pt>
                <c:pt idx="110">
                  <c:v>1165.8499999999999</c:v>
                </c:pt>
                <c:pt idx="111">
                  <c:v>1176.33</c:v>
                </c:pt>
                <c:pt idx="112">
                  <c:v>1148.79</c:v>
                </c:pt>
                <c:pt idx="113">
                  <c:v>1145.05</c:v>
                </c:pt>
                <c:pt idx="114">
                  <c:v>1176.17</c:v>
                </c:pt>
                <c:pt idx="115">
                  <c:v>1164.51</c:v>
                </c:pt>
                <c:pt idx="116">
                  <c:v>1169.43</c:v>
                </c:pt>
                <c:pt idx="117">
                  <c:v>1172.18</c:v>
                </c:pt>
                <c:pt idx="118">
                  <c:v>1158.55</c:v>
                </c:pt>
                <c:pt idx="119">
                  <c:v>1155.8800000000001</c:v>
                </c:pt>
                <c:pt idx="120">
                  <c:v>1156.21</c:v>
                </c:pt>
                <c:pt idx="121">
                  <c:v>1161.1500000000001</c:v>
                </c:pt>
                <c:pt idx="122">
                  <c:v>1159.99</c:v>
                </c:pt>
                <c:pt idx="123">
                  <c:v>1163.99</c:v>
                </c:pt>
                <c:pt idx="124">
                  <c:v>1163.8900000000001</c:v>
                </c:pt>
                <c:pt idx="125">
                  <c:v>1163.18</c:v>
                </c:pt>
                <c:pt idx="126">
                  <c:v>1183.3499999999999</c:v>
                </c:pt>
                <c:pt idx="127">
                  <c:v>1202.5899999999999</c:v>
                </c:pt>
                <c:pt idx="128">
                  <c:v>1188.44</c:v>
                </c:pt>
                <c:pt idx="129">
                  <c:v>1194.1099999999999</c:v>
                </c:pt>
                <c:pt idx="130">
                  <c:v>1206.8399999999999</c:v>
                </c:pt>
                <c:pt idx="131">
                  <c:v>1222.74</c:v>
                </c:pt>
                <c:pt idx="132">
                  <c:v>1227.1600000000001</c:v>
                </c:pt>
                <c:pt idx="133">
                  <c:v>1219.0899999999999</c:v>
                </c:pt>
                <c:pt idx="134">
                  <c:v>1209</c:v>
                </c:pt>
                <c:pt idx="135">
                  <c:v>1220.3699999999999</c:v>
                </c:pt>
                <c:pt idx="136">
                  <c:v>1115.01</c:v>
                </c:pt>
                <c:pt idx="137">
                  <c:v>1108.9000000000001</c:v>
                </c:pt>
                <c:pt idx="138">
                  <c:v>1107.28</c:v>
                </c:pt>
                <c:pt idx="139">
                  <c:v>1117.1600000000001</c:v>
                </c:pt>
                <c:pt idx="140">
                  <c:v>1137.18</c:v>
                </c:pt>
                <c:pt idx="141">
                  <c:v>1140</c:v>
                </c:pt>
                <c:pt idx="142">
                  <c:v>1141.4100000000001</c:v>
                </c:pt>
                <c:pt idx="143">
                  <c:v>1135.6400000000001</c:v>
                </c:pt>
                <c:pt idx="144">
                  <c:v>1137.3399999999999</c:v>
                </c:pt>
                <c:pt idx="145">
                  <c:v>1127.83</c:v>
                </c:pt>
                <c:pt idx="146">
                  <c:v>1124.71</c:v>
                </c:pt>
                <c:pt idx="147">
                  <c:v>1119.82</c:v>
                </c:pt>
                <c:pt idx="148">
                  <c:v>1127.0999999999999</c:v>
                </c:pt>
                <c:pt idx="149">
                  <c:v>1137.02</c:v>
                </c:pt>
                <c:pt idx="150">
                  <c:v>1131.27</c:v>
                </c:pt>
                <c:pt idx="151">
                  <c:v>1138.9100000000001</c:v>
                </c:pt>
                <c:pt idx="152">
                  <c:v>1154.56</c:v>
                </c:pt>
                <c:pt idx="153">
                  <c:v>1144.01</c:v>
                </c:pt>
                <c:pt idx="154">
                  <c:v>1142.6199999999999</c:v>
                </c:pt>
                <c:pt idx="155">
                  <c:v>1148.6199999999999</c:v>
                </c:pt>
                <c:pt idx="156">
                  <c:v>1146.7</c:v>
                </c:pt>
                <c:pt idx="157">
                  <c:v>1154.01</c:v>
                </c:pt>
                <c:pt idx="158">
                  <c:v>1175.68</c:v>
                </c:pt>
                <c:pt idx="159">
                  <c:v>1174.78</c:v>
                </c:pt>
                <c:pt idx="160">
                  <c:v>1179.07</c:v>
                </c:pt>
                <c:pt idx="161">
                  <c:v>1170.76</c:v>
                </c:pt>
                <c:pt idx="162">
                  <c:v>1174.78</c:v>
                </c:pt>
                <c:pt idx="163">
                  <c:v>1169.1099999999999</c:v>
                </c:pt>
                <c:pt idx="164">
                  <c:v>1168.71</c:v>
                </c:pt>
                <c:pt idx="165">
                  <c:v>1173.3599999999999</c:v>
                </c:pt>
                <c:pt idx="166">
                  <c:v>1170.4100000000001</c:v>
                </c:pt>
                <c:pt idx="167">
                  <c:v>1171.68</c:v>
                </c:pt>
                <c:pt idx="168">
                  <c:v>1167.8699999999999</c:v>
                </c:pt>
                <c:pt idx="169">
                  <c:v>1172.28</c:v>
                </c:pt>
                <c:pt idx="170">
                  <c:v>1176.47</c:v>
                </c:pt>
                <c:pt idx="171">
                  <c:v>1175.92</c:v>
                </c:pt>
                <c:pt idx="172">
                  <c:v>1166.19</c:v>
                </c:pt>
                <c:pt idx="173">
                  <c:v>1170.05</c:v>
                </c:pt>
                <c:pt idx="174">
                  <c:v>1168.46</c:v>
                </c:pt>
                <c:pt idx="175">
                  <c:v>1158.31</c:v>
                </c:pt>
                <c:pt idx="176">
                  <c:v>1154.27</c:v>
                </c:pt>
                <c:pt idx="177">
                  <c:v>1157.2</c:v>
                </c:pt>
                <c:pt idx="178">
                  <c:v>1137.68</c:v>
                </c:pt>
                <c:pt idx="179">
                  <c:v>1134.68</c:v>
                </c:pt>
                <c:pt idx="180">
                  <c:v>1122.4000000000001</c:v>
                </c:pt>
                <c:pt idx="181">
                  <c:v>1126.1099999999999</c:v>
                </c:pt>
                <c:pt idx="182">
                  <c:v>1119.08</c:v>
                </c:pt>
                <c:pt idx="183">
                  <c:v>1113.6199999999999</c:v>
                </c:pt>
                <c:pt idx="184">
                  <c:v>1107.17</c:v>
                </c:pt>
                <c:pt idx="185">
                  <c:v>1093.18</c:v>
                </c:pt>
                <c:pt idx="186">
                  <c:v>1099.9000000000001</c:v>
                </c:pt>
                <c:pt idx="187">
                  <c:v>1099.6600000000001</c:v>
                </c:pt>
                <c:pt idx="188">
                  <c:v>1103.19</c:v>
                </c:pt>
                <c:pt idx="189">
                  <c:v>1116.44</c:v>
                </c:pt>
                <c:pt idx="190">
                  <c:v>1123.07</c:v>
                </c:pt>
                <c:pt idx="191">
                  <c:v>1109.43</c:v>
                </c:pt>
                <c:pt idx="192">
                  <c:v>1144.17</c:v>
                </c:pt>
                <c:pt idx="193">
                  <c:v>1151.54</c:v>
                </c:pt>
                <c:pt idx="194">
                  <c:v>1160.01</c:v>
                </c:pt>
                <c:pt idx="195">
                  <c:v>1158.5999999999999</c:v>
                </c:pt>
                <c:pt idx="196">
                  <c:v>1161.8900000000001</c:v>
                </c:pt>
                <c:pt idx="197">
                  <c:v>1141.6300000000001</c:v>
                </c:pt>
                <c:pt idx="198">
                  <c:v>1129.1099999999999</c:v>
                </c:pt>
                <c:pt idx="199">
                  <c:v>1143.28</c:v>
                </c:pt>
                <c:pt idx="200">
                  <c:v>1142.23</c:v>
                </c:pt>
                <c:pt idx="201">
                  <c:v>1142.97</c:v>
                </c:pt>
                <c:pt idx="202">
                  <c:v>1148.96</c:v>
                </c:pt>
                <c:pt idx="203">
                  <c:v>1154.49</c:v>
                </c:pt>
                <c:pt idx="204">
                  <c:v>1160.3699999999999</c:v>
                </c:pt>
                <c:pt idx="205">
                  <c:v>1143.56</c:v>
                </c:pt>
                <c:pt idx="206">
                  <c:v>1141.51</c:v>
                </c:pt>
                <c:pt idx="207">
                  <c:v>1141.3599999999999</c:v>
                </c:pt>
                <c:pt idx="208">
                  <c:v>1141.73</c:v>
                </c:pt>
                <c:pt idx="209">
                  <c:v>1155.31</c:v>
                </c:pt>
                <c:pt idx="210">
                  <c:v>1157.22</c:v>
                </c:pt>
                <c:pt idx="211">
                  <c:v>1165.21</c:v>
                </c:pt>
                <c:pt idx="212">
                  <c:v>1168.3699999999999</c:v>
                </c:pt>
                <c:pt idx="213">
                  <c:v>1172.44</c:v>
                </c:pt>
                <c:pt idx="214">
                  <c:v>1174.98</c:v>
                </c:pt>
                <c:pt idx="215">
                  <c:v>1187.81</c:v>
                </c:pt>
                <c:pt idx="216">
                  <c:v>1186.8499999999999</c:v>
                </c:pt>
                <c:pt idx="217">
                  <c:v>1200.1099999999999</c:v>
                </c:pt>
                <c:pt idx="218">
                  <c:v>1209.26</c:v>
                </c:pt>
                <c:pt idx="219">
                  <c:v>1213.68</c:v>
                </c:pt>
                <c:pt idx="220">
                  <c:v>1200.4000000000001</c:v>
                </c:pt>
                <c:pt idx="221">
                  <c:v>1196.76</c:v>
                </c:pt>
                <c:pt idx="222">
                  <c:v>1192.92</c:v>
                </c:pt>
                <c:pt idx="223">
                  <c:v>1181.54</c:v>
                </c:pt>
                <c:pt idx="224">
                  <c:v>1181.99</c:v>
                </c:pt>
                <c:pt idx="225">
                  <c:v>1194.46</c:v>
                </c:pt>
                <c:pt idx="226">
                  <c:v>1196.3800000000001</c:v>
                </c:pt>
                <c:pt idx="227">
                  <c:v>1187.5899999999999</c:v>
                </c:pt>
                <c:pt idx="228">
                  <c:v>1192.58</c:v>
                </c:pt>
                <c:pt idx="229">
                  <c:v>1202.6400000000001</c:v>
                </c:pt>
                <c:pt idx="230">
                  <c:v>1204.0999999999999</c:v>
                </c:pt>
                <c:pt idx="231">
                  <c:v>1198.6099999999999</c:v>
                </c:pt>
                <c:pt idx="232">
                  <c:v>1196.18</c:v>
                </c:pt>
                <c:pt idx="233">
                  <c:v>1192.08</c:v>
                </c:pt>
                <c:pt idx="234">
                  <c:v>1190.74</c:v>
                </c:pt>
                <c:pt idx="235">
                  <c:v>1181.54</c:v>
                </c:pt>
                <c:pt idx="236">
                  <c:v>1182.8</c:v>
                </c:pt>
                <c:pt idx="237">
                  <c:v>1172.49</c:v>
                </c:pt>
                <c:pt idx="238">
                  <c:v>1170.42</c:v>
                </c:pt>
                <c:pt idx="239">
                  <c:v>1164.46</c:v>
                </c:pt>
                <c:pt idx="240">
                  <c:v>1173.82</c:v>
                </c:pt>
                <c:pt idx="241">
                  <c:v>1175.93</c:v>
                </c:pt>
                <c:pt idx="242">
                  <c:v>1172.67</c:v>
                </c:pt>
                <c:pt idx="243">
                  <c:v>1176.79</c:v>
                </c:pt>
                <c:pt idx="244">
                  <c:v>1187.5</c:v>
                </c:pt>
                <c:pt idx="245">
                  <c:v>1181.0999999999999</c:v>
                </c:pt>
                <c:pt idx="246">
                  <c:v>1177.02</c:v>
                </c:pt>
                <c:pt idx="247">
                  <c:v>1185.1300000000001</c:v>
                </c:pt>
                <c:pt idx="248">
                  <c:v>1180.9100000000001</c:v>
                </c:pt>
                <c:pt idx="249">
                  <c:v>1192.52</c:v>
                </c:pt>
                <c:pt idx="250">
                  <c:v>1203.98</c:v>
                </c:pt>
                <c:pt idx="251">
                  <c:v>1192.5999999999999</c:v>
                </c:pt>
                <c:pt idx="252">
                  <c:v>1191.53</c:v>
                </c:pt>
                <c:pt idx="253">
                  <c:v>1201.52</c:v>
                </c:pt>
                <c:pt idx="254">
                  <c:v>1192.48</c:v>
                </c:pt>
                <c:pt idx="255">
                  <c:v>1198.6600000000001</c:v>
                </c:pt>
                <c:pt idx="256">
                  <c:v>1197.95</c:v>
                </c:pt>
                <c:pt idx="257">
                  <c:v>1205.92</c:v>
                </c:pt>
                <c:pt idx="258">
                  <c:v>1199.42</c:v>
                </c:pt>
                <c:pt idx="259">
                  <c:v>1197.2</c:v>
                </c:pt>
                <c:pt idx="260">
                  <c:v>1203.06</c:v>
                </c:pt>
                <c:pt idx="261">
                  <c:v>1197.01</c:v>
                </c:pt>
                <c:pt idx="262">
                  <c:v>1202.3800000000001</c:v>
                </c:pt>
                <c:pt idx="263">
                  <c:v>1203.3499999999999</c:v>
                </c:pt>
                <c:pt idx="264">
                  <c:v>1203</c:v>
                </c:pt>
                <c:pt idx="265">
                  <c:v>1200.19</c:v>
                </c:pt>
                <c:pt idx="266">
                  <c:v>1198.5</c:v>
                </c:pt>
                <c:pt idx="267">
                  <c:v>1197.6099999999999</c:v>
                </c:pt>
                <c:pt idx="268">
                  <c:v>1205.55</c:v>
                </c:pt>
                <c:pt idx="269">
                  <c:v>1207.43</c:v>
                </c:pt>
                <c:pt idx="270">
                  <c:v>1194.2</c:v>
                </c:pt>
                <c:pt idx="271">
                  <c:v>1192.17</c:v>
                </c:pt>
                <c:pt idx="272">
                  <c:v>1182.74</c:v>
                </c:pt>
                <c:pt idx="273">
                  <c:v>1181.67</c:v>
                </c:pt>
                <c:pt idx="274">
                  <c:v>1184.8399999999999</c:v>
                </c:pt>
                <c:pt idx="275">
                  <c:v>1199.4100000000001</c:v>
                </c:pt>
                <c:pt idx="276">
                  <c:v>1199.02</c:v>
                </c:pt>
                <c:pt idx="277">
                  <c:v>1196.3800000000001</c:v>
                </c:pt>
                <c:pt idx="278">
                  <c:v>1192.74</c:v>
                </c:pt>
                <c:pt idx="279">
                  <c:v>1197.07</c:v>
                </c:pt>
                <c:pt idx="280">
                  <c:v>1196.93</c:v>
                </c:pt>
                <c:pt idx="281">
                  <c:v>1195.29</c:v>
                </c:pt>
                <c:pt idx="282">
                  <c:v>1199.6400000000001</c:v>
                </c:pt>
                <c:pt idx="283">
                  <c:v>1194.3800000000001</c:v>
                </c:pt>
                <c:pt idx="284">
                  <c:v>1194.71</c:v>
                </c:pt>
                <c:pt idx="285">
                  <c:v>1185.1500000000001</c:v>
                </c:pt>
                <c:pt idx="286">
                  <c:v>1181.58</c:v>
                </c:pt>
                <c:pt idx="287">
                  <c:v>1177.29</c:v>
                </c:pt>
                <c:pt idx="288">
                  <c:v>1185.8399999999999</c:v>
                </c:pt>
                <c:pt idx="289">
                  <c:v>1189.2</c:v>
                </c:pt>
                <c:pt idx="290">
                  <c:v>1190.43</c:v>
                </c:pt>
                <c:pt idx="291">
                  <c:v>1203.3800000000001</c:v>
                </c:pt>
                <c:pt idx="292">
                  <c:v>1195.55</c:v>
                </c:pt>
                <c:pt idx="293">
                  <c:v>1193.3499999999999</c:v>
                </c:pt>
                <c:pt idx="294">
                  <c:v>1188.5899999999999</c:v>
                </c:pt>
                <c:pt idx="295">
                  <c:v>1187.58</c:v>
                </c:pt>
                <c:pt idx="296">
                  <c:v>1180.67</c:v>
                </c:pt>
                <c:pt idx="297">
                  <c:v>1175.1099999999999</c:v>
                </c:pt>
                <c:pt idx="298">
                  <c:v>1174.76</c:v>
                </c:pt>
                <c:pt idx="299">
                  <c:v>1177.82</c:v>
                </c:pt>
                <c:pt idx="300">
                  <c:v>1176.31</c:v>
                </c:pt>
                <c:pt idx="301">
                  <c:v>1171.51</c:v>
                </c:pt>
                <c:pt idx="302">
                  <c:v>1164.8399999999999</c:v>
                </c:pt>
                <c:pt idx="303">
                  <c:v>1154.77</c:v>
                </c:pt>
                <c:pt idx="304">
                  <c:v>1136.0999999999999</c:v>
                </c:pt>
                <c:pt idx="305">
                  <c:v>1136.08</c:v>
                </c:pt>
                <c:pt idx="306">
                  <c:v>1141.48</c:v>
                </c:pt>
                <c:pt idx="307">
                  <c:v>1147.3699999999999</c:v>
                </c:pt>
                <c:pt idx="308">
                  <c:v>1141.42</c:v>
                </c:pt>
                <c:pt idx="309">
                  <c:v>1159.31</c:v>
                </c:pt>
                <c:pt idx="310">
                  <c:v>1160.83</c:v>
                </c:pt>
                <c:pt idx="311">
                  <c:v>1155.8800000000001</c:v>
                </c:pt>
                <c:pt idx="312">
                  <c:v>1148.17</c:v>
                </c:pt>
                <c:pt idx="313">
                  <c:v>1159.42</c:v>
                </c:pt>
                <c:pt idx="314">
                  <c:v>1168.83</c:v>
                </c:pt>
                <c:pt idx="315">
                  <c:v>1183.94</c:v>
                </c:pt>
                <c:pt idx="316">
                  <c:v>1221.6500000000001</c:v>
                </c:pt>
                <c:pt idx="317">
                  <c:v>1232.96</c:v>
                </c:pt>
                <c:pt idx="318">
                  <c:v>1232.08</c:v>
                </c:pt>
                <c:pt idx="319">
                  <c:v>1220.0999999999999</c:v>
                </c:pt>
                <c:pt idx="320">
                  <c:v>1241.1300000000001</c:v>
                </c:pt>
                <c:pt idx="321">
                  <c:v>1237.56</c:v>
                </c:pt>
                <c:pt idx="322">
                  <c:v>1234.8800000000001</c:v>
                </c:pt>
                <c:pt idx="323">
                  <c:v>1216.8</c:v>
                </c:pt>
                <c:pt idx="324">
                  <c:v>1214.8900000000001</c:v>
                </c:pt>
                <c:pt idx="325">
                  <c:v>1214.8900000000001</c:v>
                </c:pt>
                <c:pt idx="326">
                  <c:v>1222.5</c:v>
                </c:pt>
                <c:pt idx="327">
                  <c:v>1208.6600000000001</c:v>
                </c:pt>
                <c:pt idx="328">
                  <c:v>1200.19</c:v>
                </c:pt>
                <c:pt idx="329">
                  <c:v>1192.18</c:v>
                </c:pt>
                <c:pt idx="330">
                  <c:v>1175.49</c:v>
                </c:pt>
                <c:pt idx="331">
                  <c:v>1173.54</c:v>
                </c:pt>
                <c:pt idx="332">
                  <c:v>1198.06</c:v>
                </c:pt>
                <c:pt idx="333">
                  <c:v>1199.8800000000001</c:v>
                </c:pt>
                <c:pt idx="334">
                  <c:v>1186.52</c:v>
                </c:pt>
                <c:pt idx="335">
                  <c:v>1169.19</c:v>
                </c:pt>
                <c:pt idx="336">
                  <c:v>1134.8399999999999</c:v>
                </c:pt>
                <c:pt idx="337">
                  <c:v>1134.43</c:v>
                </c:pt>
                <c:pt idx="338">
                  <c:v>1124.8399999999999</c:v>
                </c:pt>
                <c:pt idx="339">
                  <c:v>1118.3800000000001</c:v>
                </c:pt>
                <c:pt idx="340">
                  <c:v>1120.06</c:v>
                </c:pt>
                <c:pt idx="341">
                  <c:v>1092.1600000000001</c:v>
                </c:pt>
                <c:pt idx="342">
                  <c:v>1103.42</c:v>
                </c:pt>
                <c:pt idx="343">
                  <c:v>1123.3699999999999</c:v>
                </c:pt>
                <c:pt idx="344">
                  <c:v>1120.8900000000001</c:v>
                </c:pt>
                <c:pt idx="345">
                  <c:v>1116.1300000000001</c:v>
                </c:pt>
                <c:pt idx="346">
                  <c:v>1126.99</c:v>
                </c:pt>
                <c:pt idx="347">
                  <c:v>1143.69</c:v>
                </c:pt>
                <c:pt idx="348">
                  <c:v>1146.31</c:v>
                </c:pt>
                <c:pt idx="349">
                  <c:v>1156.1400000000001</c:v>
                </c:pt>
                <c:pt idx="350">
                  <c:v>1157.55</c:v>
                </c:pt>
                <c:pt idx="351">
                  <c:v>1136.47</c:v>
                </c:pt>
                <c:pt idx="352">
                  <c:v>1129.82</c:v>
                </c:pt>
                <c:pt idx="353">
                  <c:v>1138.04</c:v>
                </c:pt>
                <c:pt idx="354">
                  <c:v>1148.8900000000001</c:v>
                </c:pt>
                <c:pt idx="355">
                  <c:v>1156.06</c:v>
                </c:pt>
                <c:pt idx="356">
                  <c:v>1143.03</c:v>
                </c:pt>
                <c:pt idx="357">
                  <c:v>1136.74</c:v>
                </c:pt>
                <c:pt idx="358">
                  <c:v>1140.75</c:v>
                </c:pt>
                <c:pt idx="359">
                  <c:v>1139.53</c:v>
                </c:pt>
                <c:pt idx="360">
                  <c:v>1136.31</c:v>
                </c:pt>
                <c:pt idx="361">
                  <c:v>1137.06</c:v>
                </c:pt>
                <c:pt idx="362">
                  <c:v>1135.1300000000001</c:v>
                </c:pt>
                <c:pt idx="363">
                  <c:v>1143.42</c:v>
                </c:pt>
                <c:pt idx="364">
                  <c:v>1142.48</c:v>
                </c:pt>
                <c:pt idx="365">
                  <c:v>1142.27</c:v>
                </c:pt>
                <c:pt idx="366">
                  <c:v>1142.29</c:v>
                </c:pt>
                <c:pt idx="367">
                  <c:v>1140.2</c:v>
                </c:pt>
                <c:pt idx="368">
                  <c:v>1153.98</c:v>
                </c:pt>
                <c:pt idx="369">
                  <c:v>1163.8599999999999</c:v>
                </c:pt>
                <c:pt idx="370">
                  <c:v>1146.52</c:v>
                </c:pt>
                <c:pt idx="371">
                  <c:v>1171.57</c:v>
                </c:pt>
                <c:pt idx="372">
                  <c:v>1175.83</c:v>
                </c:pt>
                <c:pt idx="373">
                  <c:v>1168.78</c:v>
                </c:pt>
                <c:pt idx="374">
                  <c:v>1159.8499999999999</c:v>
                </c:pt>
                <c:pt idx="375">
                  <c:v>1154.93</c:v>
                </c:pt>
                <c:pt idx="376">
                  <c:v>1152.1500000000001</c:v>
                </c:pt>
                <c:pt idx="377">
                  <c:v>1153.04</c:v>
                </c:pt>
                <c:pt idx="378">
                  <c:v>1156.25</c:v>
                </c:pt>
                <c:pt idx="379">
                  <c:v>1170.1400000000001</c:v>
                </c:pt>
                <c:pt idx="380">
                  <c:v>1172.55</c:v>
                </c:pt>
                <c:pt idx="381">
                  <c:v>1170.04</c:v>
                </c:pt>
                <c:pt idx="382">
                  <c:v>1156.1500000000001</c:v>
                </c:pt>
                <c:pt idx="383">
                  <c:v>1166.1500000000001</c:v>
                </c:pt>
                <c:pt idx="384">
                  <c:v>1157.82</c:v>
                </c:pt>
                <c:pt idx="385">
                  <c:v>1160.8699999999999</c:v>
                </c:pt>
                <c:pt idx="386">
                  <c:v>1158.51</c:v>
                </c:pt>
                <c:pt idx="387">
                  <c:v>1178.54</c:v>
                </c:pt>
                <c:pt idx="388">
                  <c:v>1164.3</c:v>
                </c:pt>
                <c:pt idx="389">
                  <c:v>1178.47</c:v>
                </c:pt>
                <c:pt idx="390">
                  <c:v>1176.3599999999999</c:v>
                </c:pt>
                <c:pt idx="391">
                  <c:v>1182.9000000000001</c:v>
                </c:pt>
                <c:pt idx="392">
                  <c:v>1187.5899999999999</c:v>
                </c:pt>
                <c:pt idx="393">
                  <c:v>1171.73</c:v>
                </c:pt>
                <c:pt idx="394">
                  <c:v>1180.83</c:v>
                </c:pt>
                <c:pt idx="395">
                  <c:v>1196.3900000000001</c:v>
                </c:pt>
                <c:pt idx="396">
                  <c:v>1184.95</c:v>
                </c:pt>
                <c:pt idx="397">
                  <c:v>1176.31</c:v>
                </c:pt>
                <c:pt idx="398">
                  <c:v>1177.99</c:v>
                </c:pt>
                <c:pt idx="399">
                  <c:v>1194.07</c:v>
                </c:pt>
                <c:pt idx="400">
                  <c:v>1202.6199999999999</c:v>
                </c:pt>
                <c:pt idx="401">
                  <c:v>1182.79</c:v>
                </c:pt>
                <c:pt idx="402">
                  <c:v>1182.1199999999999</c:v>
                </c:pt>
                <c:pt idx="403">
                  <c:v>1179.53</c:v>
                </c:pt>
                <c:pt idx="404">
                  <c:v>1179.08</c:v>
                </c:pt>
                <c:pt idx="405">
                  <c:v>1184.72</c:v>
                </c:pt>
                <c:pt idx="406">
                  <c:v>1190</c:v>
                </c:pt>
                <c:pt idx="407">
                  <c:v>1193.29</c:v>
                </c:pt>
                <c:pt idx="408">
                  <c:v>1192.43</c:v>
                </c:pt>
                <c:pt idx="409">
                  <c:v>1196.27</c:v>
                </c:pt>
                <c:pt idx="410">
                  <c:v>1199.3699999999999</c:v>
                </c:pt>
                <c:pt idx="411">
                  <c:v>1194.8</c:v>
                </c:pt>
                <c:pt idx="412">
                  <c:v>1217.3699999999999</c:v>
                </c:pt>
                <c:pt idx="413">
                  <c:v>1226.72</c:v>
                </c:pt>
                <c:pt idx="414">
                  <c:v>1242.52</c:v>
                </c:pt>
                <c:pt idx="415">
                  <c:v>1237.72</c:v>
                </c:pt>
                <c:pt idx="416">
                  <c:v>1223.06</c:v>
                </c:pt>
                <c:pt idx="417">
                  <c:v>1244.97</c:v>
                </c:pt>
                <c:pt idx="418">
                  <c:v>1242.8800000000001</c:v>
                </c:pt>
                <c:pt idx="419">
                  <c:v>1273.94</c:v>
                </c:pt>
                <c:pt idx="420">
                  <c:v>1275.95</c:v>
                </c:pt>
                <c:pt idx="421">
                  <c:v>1279.83</c:v>
                </c:pt>
                <c:pt idx="422">
                  <c:v>1285.95</c:v>
                </c:pt>
                <c:pt idx="423">
                  <c:v>1275.3</c:v>
                </c:pt>
                <c:pt idx="424">
                  <c:v>1275.17</c:v>
                </c:pt>
                <c:pt idx="425">
                  <c:v>1293.33</c:v>
                </c:pt>
                <c:pt idx="426">
                  <c:v>1306.55</c:v>
                </c:pt>
                <c:pt idx="427">
                  <c:v>1303.1500000000001</c:v>
                </c:pt>
                <c:pt idx="428">
                  <c:v>1306.96</c:v>
                </c:pt>
                <c:pt idx="429">
                  <c:v>1298.21</c:v>
                </c:pt>
                <c:pt idx="430">
                  <c:v>1297.51</c:v>
                </c:pt>
                <c:pt idx="431">
                  <c:v>1301.19</c:v>
                </c:pt>
                <c:pt idx="432">
                  <c:v>1313.28</c:v>
                </c:pt>
                <c:pt idx="433">
                  <c:v>1330.76</c:v>
                </c:pt>
                <c:pt idx="434">
                  <c:v>1344.16</c:v>
                </c:pt>
                <c:pt idx="435">
                  <c:v>1388.23</c:v>
                </c:pt>
                <c:pt idx="436">
                  <c:v>1376.4</c:v>
                </c:pt>
                <c:pt idx="437">
                  <c:v>1368.38</c:v>
                </c:pt>
                <c:pt idx="438">
                  <c:v>1351.86</c:v>
                </c:pt>
                <c:pt idx="439">
                  <c:v>1340.06</c:v>
                </c:pt>
                <c:pt idx="440">
                  <c:v>1344.53</c:v>
                </c:pt>
                <c:pt idx="441">
                  <c:v>1377.97</c:v>
                </c:pt>
                <c:pt idx="442">
                  <c:v>1377.99</c:v>
                </c:pt>
                <c:pt idx="443">
                  <c:v>1391.99</c:v>
                </c:pt>
                <c:pt idx="444">
                  <c:v>1412.54</c:v>
                </c:pt>
                <c:pt idx="445">
                  <c:v>1431.08</c:v>
                </c:pt>
                <c:pt idx="446">
                  <c:v>1426.86</c:v>
                </c:pt>
                <c:pt idx="447">
                  <c:v>1425.49</c:v>
                </c:pt>
                <c:pt idx="448">
                  <c:v>1394.92</c:v>
                </c:pt>
                <c:pt idx="449">
                  <c:v>1417.2</c:v>
                </c:pt>
                <c:pt idx="450">
                  <c:v>1429.29</c:v>
                </c:pt>
                <c:pt idx="451">
                  <c:v>1427.15</c:v>
                </c:pt>
                <c:pt idx="452">
                  <c:v>1417.66</c:v>
                </c:pt>
                <c:pt idx="453">
                  <c:v>1440.94</c:v>
                </c:pt>
                <c:pt idx="454">
                  <c:v>1444.99</c:v>
                </c:pt>
                <c:pt idx="455">
                  <c:v>1450.49</c:v>
                </c:pt>
                <c:pt idx="456">
                  <c:v>1435.31</c:v>
                </c:pt>
                <c:pt idx="457">
                  <c:v>1452.98</c:v>
                </c:pt>
                <c:pt idx="458">
                  <c:v>1429.19</c:v>
                </c:pt>
                <c:pt idx="459">
                  <c:v>1422.35</c:v>
                </c:pt>
                <c:pt idx="460">
                  <c:v>1428.56</c:v>
                </c:pt>
                <c:pt idx="461">
                  <c:v>1454.21</c:v>
                </c:pt>
                <c:pt idx="462">
                  <c:v>1455.53</c:v>
                </c:pt>
                <c:pt idx="463">
                  <c:v>1445.12</c:v>
                </c:pt>
                <c:pt idx="464">
                  <c:v>1446.35</c:v>
                </c:pt>
                <c:pt idx="465">
                  <c:v>1459.76</c:v>
                </c:pt>
                <c:pt idx="466">
                  <c:v>1476.42</c:v>
                </c:pt>
                <c:pt idx="467">
                  <c:v>1481.51</c:v>
                </c:pt>
                <c:pt idx="468">
                  <c:v>1481.2</c:v>
                </c:pt>
                <c:pt idx="469">
                  <c:v>1471.15</c:v>
                </c:pt>
                <c:pt idx="470">
                  <c:v>1510.82</c:v>
                </c:pt>
                <c:pt idx="471">
                  <c:v>1510.82</c:v>
                </c:pt>
                <c:pt idx="472">
                  <c:v>1517.23</c:v>
                </c:pt>
                <c:pt idx="473">
                  <c:v>1517.23</c:v>
                </c:pt>
                <c:pt idx="474">
                  <c:v>1562.2</c:v>
                </c:pt>
                <c:pt idx="475">
                  <c:v>1562.2</c:v>
                </c:pt>
                <c:pt idx="476">
                  <c:v>1563.37</c:v>
                </c:pt>
                <c:pt idx="477">
                  <c:v>1563.37</c:v>
                </c:pt>
                <c:pt idx="478">
                  <c:v>1572.45</c:v>
                </c:pt>
                <c:pt idx="479">
                  <c:v>1572.45</c:v>
                </c:pt>
                <c:pt idx="480">
                  <c:v>1621.12</c:v>
                </c:pt>
                <c:pt idx="481">
                  <c:v>1621.12</c:v>
                </c:pt>
                <c:pt idx="482">
                  <c:v>1600.71</c:v>
                </c:pt>
                <c:pt idx="483">
                  <c:v>1600.71</c:v>
                </c:pt>
                <c:pt idx="484">
                  <c:v>1573.11</c:v>
                </c:pt>
                <c:pt idx="485">
                  <c:v>1573.11</c:v>
                </c:pt>
                <c:pt idx="486">
                  <c:v>1583.32</c:v>
                </c:pt>
                <c:pt idx="487">
                  <c:v>1583.32</c:v>
                </c:pt>
                <c:pt idx="488">
                  <c:v>1571.95</c:v>
                </c:pt>
                <c:pt idx="489">
                  <c:v>1571.95</c:v>
                </c:pt>
                <c:pt idx="490">
                  <c:v>1541.68</c:v>
                </c:pt>
                <c:pt idx="491">
                  <c:v>1541.68</c:v>
                </c:pt>
                <c:pt idx="492">
                  <c:v>1572.44</c:v>
                </c:pt>
                <c:pt idx="493">
                  <c:v>1572.44</c:v>
                </c:pt>
                <c:pt idx="494">
                  <c:v>1559.39</c:v>
                </c:pt>
                <c:pt idx="495">
                  <c:v>1559.39</c:v>
                </c:pt>
                <c:pt idx="496">
                  <c:v>1557.64</c:v>
                </c:pt>
                <c:pt idx="497">
                  <c:v>1557.64</c:v>
                </c:pt>
                <c:pt idx="498">
                  <c:v>1549.84</c:v>
                </c:pt>
                <c:pt idx="499">
                  <c:v>1549.84</c:v>
                </c:pt>
                <c:pt idx="500">
                  <c:v>1552.83</c:v>
                </c:pt>
                <c:pt idx="501">
                  <c:v>1552.83</c:v>
                </c:pt>
                <c:pt idx="502">
                  <c:v>1547.81</c:v>
                </c:pt>
                <c:pt idx="503">
                  <c:v>1547.81</c:v>
                </c:pt>
                <c:pt idx="504">
                  <c:v>1546.98</c:v>
                </c:pt>
                <c:pt idx="505">
                  <c:v>1546.98</c:v>
                </c:pt>
                <c:pt idx="506">
                  <c:v>1545.65</c:v>
                </c:pt>
                <c:pt idx="507">
                  <c:v>1545.65</c:v>
                </c:pt>
                <c:pt idx="508">
                  <c:v>1552.4</c:v>
                </c:pt>
                <c:pt idx="509">
                  <c:v>1552.4</c:v>
                </c:pt>
                <c:pt idx="510">
                  <c:v>1557.94</c:v>
                </c:pt>
                <c:pt idx="511">
                  <c:v>1557.94</c:v>
                </c:pt>
                <c:pt idx="512">
                  <c:v>1563.65</c:v>
                </c:pt>
                <c:pt idx="513">
                  <c:v>1563.16</c:v>
                </c:pt>
                <c:pt idx="514">
                  <c:v>1567.86</c:v>
                </c:pt>
                <c:pt idx="515">
                  <c:v>1513.39</c:v>
                </c:pt>
                <c:pt idx="516">
                  <c:v>1503.31</c:v>
                </c:pt>
                <c:pt idx="517">
                  <c:v>1556.83</c:v>
                </c:pt>
                <c:pt idx="518">
                  <c:v>1564.94</c:v>
                </c:pt>
                <c:pt idx="519">
                  <c:v>1565.81</c:v>
                </c:pt>
                <c:pt idx="520">
                  <c:v>1577.92</c:v>
                </c:pt>
                <c:pt idx="521">
                  <c:v>1569.66</c:v>
                </c:pt>
                <c:pt idx="522">
                  <c:v>1572.81</c:v>
                </c:pt>
                <c:pt idx="523">
                  <c:v>1566.43</c:v>
                </c:pt>
                <c:pt idx="524">
                  <c:v>1585.67</c:v>
                </c:pt>
                <c:pt idx="525">
                  <c:v>1612.69</c:v>
                </c:pt>
                <c:pt idx="526">
                  <c:v>1635.9</c:v>
                </c:pt>
                <c:pt idx="527">
                  <c:v>1647.78</c:v>
                </c:pt>
                <c:pt idx="528">
                  <c:v>1669.6</c:v>
                </c:pt>
                <c:pt idx="529">
                  <c:v>1695.49</c:v>
                </c:pt>
                <c:pt idx="530">
                  <c:v>1722.34</c:v>
                </c:pt>
                <c:pt idx="531">
                  <c:v>1758.43</c:v>
                </c:pt>
                <c:pt idx="532">
                  <c:v>1752.01</c:v>
                </c:pt>
                <c:pt idx="533">
                  <c:v>1754.72</c:v>
                </c:pt>
                <c:pt idx="534">
                  <c:v>1776.52</c:v>
                </c:pt>
                <c:pt idx="535">
                  <c:v>1807.54</c:v>
                </c:pt>
                <c:pt idx="536">
                  <c:v>1845.63</c:v>
                </c:pt>
                <c:pt idx="537">
                  <c:v>1861.99</c:v>
                </c:pt>
                <c:pt idx="538">
                  <c:v>1891.83</c:v>
                </c:pt>
                <c:pt idx="539">
                  <c:v>1923.49</c:v>
                </c:pt>
                <c:pt idx="540">
                  <c:v>2070.29</c:v>
                </c:pt>
                <c:pt idx="541">
                  <c:v>2017.12</c:v>
                </c:pt>
                <c:pt idx="542">
                  <c:v>2035.21</c:v>
                </c:pt>
                <c:pt idx="543">
                  <c:v>2023.66</c:v>
                </c:pt>
                <c:pt idx="544">
                  <c:v>1971.14</c:v>
                </c:pt>
                <c:pt idx="545">
                  <c:v>1948.85</c:v>
                </c:pt>
                <c:pt idx="546">
                  <c:v>1963.81</c:v>
                </c:pt>
                <c:pt idx="547">
                  <c:v>1908.32</c:v>
                </c:pt>
                <c:pt idx="548">
                  <c:v>1898.5</c:v>
                </c:pt>
                <c:pt idx="549">
                  <c:v>1964.44</c:v>
                </c:pt>
                <c:pt idx="550">
                  <c:v>1984.95</c:v>
                </c:pt>
                <c:pt idx="551">
                  <c:v>1980.18</c:v>
                </c:pt>
                <c:pt idx="552">
                  <c:v>1980.84</c:v>
                </c:pt>
                <c:pt idx="553">
                  <c:v>1997.74</c:v>
                </c:pt>
                <c:pt idx="554">
                  <c:v>2041.9</c:v>
                </c:pt>
                <c:pt idx="555">
                  <c:v>2039.39</c:v>
                </c:pt>
                <c:pt idx="556">
                  <c:v>2039.17</c:v>
                </c:pt>
                <c:pt idx="557">
                  <c:v>2043.86</c:v>
                </c:pt>
                <c:pt idx="558">
                  <c:v>2069.91</c:v>
                </c:pt>
                <c:pt idx="559">
                  <c:v>2085.5100000000002</c:v>
                </c:pt>
                <c:pt idx="560">
                  <c:v>2121.42</c:v>
                </c:pt>
                <c:pt idx="561">
                  <c:v>2066.13</c:v>
                </c:pt>
                <c:pt idx="562">
                  <c:v>2043.1</c:v>
                </c:pt>
                <c:pt idx="563">
                  <c:v>2018.95</c:v>
                </c:pt>
                <c:pt idx="564">
                  <c:v>2003.6</c:v>
                </c:pt>
                <c:pt idx="565">
                  <c:v>1987.24</c:v>
                </c:pt>
                <c:pt idx="566">
                  <c:v>1966.19</c:v>
                </c:pt>
                <c:pt idx="567">
                  <c:v>1974.62</c:v>
                </c:pt>
                <c:pt idx="568">
                  <c:v>1972.39</c:v>
                </c:pt>
                <c:pt idx="569">
                  <c:v>1963.26</c:v>
                </c:pt>
                <c:pt idx="570">
                  <c:v>1964.81</c:v>
                </c:pt>
                <c:pt idx="571">
                  <c:v>1956.4</c:v>
                </c:pt>
                <c:pt idx="572">
                  <c:v>1955.84</c:v>
                </c:pt>
                <c:pt idx="573">
                  <c:v>1952.74</c:v>
                </c:pt>
                <c:pt idx="574">
                  <c:v>1916</c:v>
                </c:pt>
                <c:pt idx="575">
                  <c:v>1874.91</c:v>
                </c:pt>
                <c:pt idx="576">
                  <c:v>1859.34</c:v>
                </c:pt>
                <c:pt idx="577">
                  <c:v>1886.73</c:v>
                </c:pt>
                <c:pt idx="578">
                  <c:v>1837.9</c:v>
                </c:pt>
                <c:pt idx="579">
                  <c:v>1814.1</c:v>
                </c:pt>
                <c:pt idx="580">
                  <c:v>1843.07</c:v>
                </c:pt>
                <c:pt idx="581">
                  <c:v>1814.84</c:v>
                </c:pt>
                <c:pt idx="582">
                  <c:v>1824.37</c:v>
                </c:pt>
                <c:pt idx="583">
                  <c:v>1825.72</c:v>
                </c:pt>
                <c:pt idx="584">
                  <c:v>1827.89</c:v>
                </c:pt>
                <c:pt idx="585">
                  <c:v>1817.97</c:v>
                </c:pt>
                <c:pt idx="586">
                  <c:v>1828.67</c:v>
                </c:pt>
                <c:pt idx="587">
                  <c:v>1825.43</c:v>
                </c:pt>
                <c:pt idx="588">
                  <c:v>1812.51</c:v>
                </c:pt>
                <c:pt idx="589">
                  <c:v>1827.89</c:v>
                </c:pt>
                <c:pt idx="590">
                  <c:v>1825.1</c:v>
                </c:pt>
                <c:pt idx="591">
                  <c:v>1817.53</c:v>
                </c:pt>
                <c:pt idx="592">
                  <c:v>1801.58</c:v>
                </c:pt>
                <c:pt idx="593">
                  <c:v>1822</c:v>
                </c:pt>
                <c:pt idx="594">
                  <c:v>1825.63</c:v>
                </c:pt>
                <c:pt idx="595">
                  <c:v>1827.95</c:v>
                </c:pt>
                <c:pt idx="596">
                  <c:v>1806.56</c:v>
                </c:pt>
                <c:pt idx="597">
                  <c:v>1804.5</c:v>
                </c:pt>
                <c:pt idx="598">
                  <c:v>1806.51</c:v>
                </c:pt>
                <c:pt idx="599">
                  <c:v>1800.03</c:v>
                </c:pt>
                <c:pt idx="600">
                  <c:v>1784.5</c:v>
                </c:pt>
                <c:pt idx="601">
                  <c:v>1788.53</c:v>
                </c:pt>
                <c:pt idx="602">
                  <c:v>1771.53</c:v>
                </c:pt>
                <c:pt idx="603">
                  <c:v>1759.53</c:v>
                </c:pt>
                <c:pt idx="604">
                  <c:v>1775.85</c:v>
                </c:pt>
                <c:pt idx="605">
                  <c:v>1761.6</c:v>
                </c:pt>
                <c:pt idx="606">
                  <c:v>1755.74</c:v>
                </c:pt>
                <c:pt idx="607">
                  <c:v>1763.44</c:v>
                </c:pt>
                <c:pt idx="608">
                  <c:v>1747.19</c:v>
                </c:pt>
                <c:pt idx="609">
                  <c:v>1746.56</c:v>
                </c:pt>
                <c:pt idx="610">
                  <c:v>1752.64</c:v>
                </c:pt>
                <c:pt idx="611">
                  <c:v>1754.34</c:v>
                </c:pt>
                <c:pt idx="612">
                  <c:v>1784.24</c:v>
                </c:pt>
                <c:pt idx="613">
                  <c:v>1774.56</c:v>
                </c:pt>
                <c:pt idx="614">
                  <c:v>1825.49</c:v>
                </c:pt>
                <c:pt idx="615">
                  <c:v>1800.35</c:v>
                </c:pt>
                <c:pt idx="616">
                  <c:v>1814.73</c:v>
                </c:pt>
                <c:pt idx="617">
                  <c:v>1755.13</c:v>
                </c:pt>
                <c:pt idx="618">
                  <c:v>1752.36</c:v>
                </c:pt>
                <c:pt idx="619">
                  <c:v>1749.64</c:v>
                </c:pt>
                <c:pt idx="620">
                  <c:v>1767.65</c:v>
                </c:pt>
                <c:pt idx="621">
                  <c:v>1757.32</c:v>
                </c:pt>
                <c:pt idx="622">
                  <c:v>1735.65</c:v>
                </c:pt>
                <c:pt idx="623">
                  <c:v>1746.18</c:v>
                </c:pt>
                <c:pt idx="624">
                  <c:v>1727.21</c:v>
                </c:pt>
                <c:pt idx="625">
                  <c:v>1700.4</c:v>
                </c:pt>
                <c:pt idx="626">
                  <c:v>1718.86</c:v>
                </c:pt>
                <c:pt idx="627">
                  <c:v>1714.73</c:v>
                </c:pt>
                <c:pt idx="628">
                  <c:v>1717.44</c:v>
                </c:pt>
                <c:pt idx="629">
                  <c:v>1714.3</c:v>
                </c:pt>
                <c:pt idx="630">
                  <c:v>1717.29</c:v>
                </c:pt>
                <c:pt idx="631">
                  <c:v>1718.17</c:v>
                </c:pt>
                <c:pt idx="632">
                  <c:v>1725.05</c:v>
                </c:pt>
                <c:pt idx="633">
                  <c:v>1733.42</c:v>
                </c:pt>
                <c:pt idx="634">
                  <c:v>1750.87</c:v>
                </c:pt>
                <c:pt idx="635">
                  <c:v>1737.68</c:v>
                </c:pt>
                <c:pt idx="636">
                  <c:v>1743.59</c:v>
                </c:pt>
                <c:pt idx="637">
                  <c:v>1760.32</c:v>
                </c:pt>
                <c:pt idx="638">
                  <c:v>1750.77</c:v>
                </c:pt>
                <c:pt idx="639">
                  <c:v>1758.89</c:v>
                </c:pt>
                <c:pt idx="640">
                  <c:v>1772.04</c:v>
                </c:pt>
                <c:pt idx="641">
                  <c:v>1805.52</c:v>
                </c:pt>
                <c:pt idx="642">
                  <c:v>1808.5</c:v>
                </c:pt>
                <c:pt idx="643">
                  <c:v>1807.54</c:v>
                </c:pt>
                <c:pt idx="644">
                  <c:v>1782.31</c:v>
                </c:pt>
                <c:pt idx="645">
                  <c:v>1791.45</c:v>
                </c:pt>
                <c:pt idx="646">
                  <c:v>1785.23</c:v>
                </c:pt>
                <c:pt idx="647">
                  <c:v>1794.78</c:v>
                </c:pt>
                <c:pt idx="648">
                  <c:v>1784.74</c:v>
                </c:pt>
                <c:pt idx="649">
                  <c:v>1790.01</c:v>
                </c:pt>
                <c:pt idx="650">
                  <c:v>1780.1</c:v>
                </c:pt>
                <c:pt idx="651">
                  <c:v>1783.55</c:v>
                </c:pt>
                <c:pt idx="652">
                  <c:v>1777.19</c:v>
                </c:pt>
                <c:pt idx="653">
                  <c:v>1774.77</c:v>
                </c:pt>
                <c:pt idx="654">
                  <c:v>1791.14</c:v>
                </c:pt>
                <c:pt idx="655">
                  <c:v>1788.78</c:v>
                </c:pt>
                <c:pt idx="656">
                  <c:v>1790.84</c:v>
                </c:pt>
                <c:pt idx="657">
                  <c:v>1794.87</c:v>
                </c:pt>
                <c:pt idx="658">
                  <c:v>1813.95</c:v>
                </c:pt>
                <c:pt idx="659">
                  <c:v>1816.23</c:v>
                </c:pt>
                <c:pt idx="660">
                  <c:v>1826.92</c:v>
                </c:pt>
                <c:pt idx="661">
                  <c:v>1826.58</c:v>
                </c:pt>
                <c:pt idx="662">
                  <c:v>1839.72</c:v>
                </c:pt>
                <c:pt idx="663">
                  <c:v>1839.53</c:v>
                </c:pt>
                <c:pt idx="664">
                  <c:v>1839.76</c:v>
                </c:pt>
                <c:pt idx="665">
                  <c:v>1837.72</c:v>
                </c:pt>
                <c:pt idx="666">
                  <c:v>1849.76</c:v>
                </c:pt>
                <c:pt idx="667">
                  <c:v>1848.47</c:v>
                </c:pt>
                <c:pt idx="668">
                  <c:v>1873.98</c:v>
                </c:pt>
                <c:pt idx="669">
                  <c:v>1877.19</c:v>
                </c:pt>
                <c:pt idx="670">
                  <c:v>1877.49</c:v>
                </c:pt>
                <c:pt idx="671">
                  <c:v>1875.61</c:v>
                </c:pt>
                <c:pt idx="672">
                  <c:v>1860.35</c:v>
                </c:pt>
                <c:pt idx="673">
                  <c:v>1862.61</c:v>
                </c:pt>
                <c:pt idx="674">
                  <c:v>1871.33</c:v>
                </c:pt>
                <c:pt idx="675">
                  <c:v>1870.2</c:v>
                </c:pt>
                <c:pt idx="676">
                  <c:v>1866.51</c:v>
                </c:pt>
                <c:pt idx="677">
                  <c:v>1865.85</c:v>
                </c:pt>
                <c:pt idx="678">
                  <c:v>1875.19</c:v>
                </c:pt>
                <c:pt idx="679">
                  <c:v>1879.47</c:v>
                </c:pt>
                <c:pt idx="680">
                  <c:v>1880.02</c:v>
                </c:pt>
                <c:pt idx="681">
                  <c:v>1910.39</c:v>
                </c:pt>
                <c:pt idx="682">
                  <c:v>1916.61</c:v>
                </c:pt>
                <c:pt idx="683">
                  <c:v>1923.51</c:v>
                </c:pt>
                <c:pt idx="684">
                  <c:v>1923.34</c:v>
                </c:pt>
                <c:pt idx="685">
                  <c:v>1933.95</c:v>
                </c:pt>
                <c:pt idx="686">
                  <c:v>1904.48</c:v>
                </c:pt>
                <c:pt idx="687">
                  <c:v>1887.82</c:v>
                </c:pt>
                <c:pt idx="688">
                  <c:v>1894.41</c:v>
                </c:pt>
                <c:pt idx="689">
                  <c:v>1879.18</c:v>
                </c:pt>
                <c:pt idx="690">
                  <c:v>1899.33</c:v>
                </c:pt>
                <c:pt idx="691">
                  <c:v>1893.1</c:v>
                </c:pt>
                <c:pt idx="692">
                  <c:v>1899.3</c:v>
                </c:pt>
                <c:pt idx="693">
                  <c:v>1921.39</c:v>
                </c:pt>
                <c:pt idx="694">
                  <c:v>1927.04</c:v>
                </c:pt>
                <c:pt idx="695">
                  <c:v>1941.53</c:v>
                </c:pt>
                <c:pt idx="696">
                  <c:v>1943.39</c:v>
                </c:pt>
                <c:pt idx="697">
                  <c:v>1962.55</c:v>
                </c:pt>
                <c:pt idx="698">
                  <c:v>1971.16</c:v>
                </c:pt>
                <c:pt idx="699">
                  <c:v>1984.93</c:v>
                </c:pt>
                <c:pt idx="700">
                  <c:v>2006.8</c:v>
                </c:pt>
                <c:pt idx="701">
                  <c:v>2007.21</c:v>
                </c:pt>
                <c:pt idx="702">
                  <c:v>2022.39</c:v>
                </c:pt>
                <c:pt idx="703">
                  <c:v>2045.39</c:v>
                </c:pt>
                <c:pt idx="704">
                  <c:v>2038.28</c:v>
                </c:pt>
                <c:pt idx="705">
                  <c:v>2038.63</c:v>
                </c:pt>
                <c:pt idx="706">
                  <c:v>2047.44</c:v>
                </c:pt>
                <c:pt idx="707">
                  <c:v>2039.98</c:v>
                </c:pt>
                <c:pt idx="708">
                  <c:v>2041.9</c:v>
                </c:pt>
                <c:pt idx="709">
                  <c:v>2123.13</c:v>
                </c:pt>
                <c:pt idx="710">
                  <c:v>2156.9699999999998</c:v>
                </c:pt>
                <c:pt idx="711">
                  <c:v>2132.8000000000002</c:v>
                </c:pt>
                <c:pt idx="712">
                  <c:v>2114.4299999999998</c:v>
                </c:pt>
                <c:pt idx="713">
                  <c:v>2107.61</c:v>
                </c:pt>
                <c:pt idx="714">
                  <c:v>2089.48</c:v>
                </c:pt>
                <c:pt idx="715">
                  <c:v>2084.42</c:v>
                </c:pt>
                <c:pt idx="716">
                  <c:v>2060.96</c:v>
                </c:pt>
                <c:pt idx="717">
                  <c:v>2054.0100000000002</c:v>
                </c:pt>
                <c:pt idx="718">
                  <c:v>2075.34</c:v>
                </c:pt>
                <c:pt idx="719">
                  <c:v>2074.06</c:v>
                </c:pt>
                <c:pt idx="720">
                  <c:v>2073.13</c:v>
                </c:pt>
                <c:pt idx="721">
                  <c:v>2068.0700000000002</c:v>
                </c:pt>
                <c:pt idx="722">
                  <c:v>2073.48</c:v>
                </c:pt>
                <c:pt idx="723">
                  <c:v>2065.85</c:v>
                </c:pt>
                <c:pt idx="724">
                  <c:v>2074</c:v>
                </c:pt>
                <c:pt idx="725">
                  <c:v>2072.38</c:v>
                </c:pt>
                <c:pt idx="726">
                  <c:v>2070</c:v>
                </c:pt>
                <c:pt idx="727">
                  <c:v>2025.07</c:v>
                </c:pt>
                <c:pt idx="728">
                  <c:v>2025.6</c:v>
                </c:pt>
                <c:pt idx="729">
                  <c:v>2041.59</c:v>
                </c:pt>
                <c:pt idx="730">
                  <c:v>2038.56</c:v>
                </c:pt>
                <c:pt idx="731">
                  <c:v>2044.23</c:v>
                </c:pt>
                <c:pt idx="732">
                  <c:v>2060.06</c:v>
                </c:pt>
                <c:pt idx="733">
                  <c:v>2053.52</c:v>
                </c:pt>
                <c:pt idx="734">
                  <c:v>2069.4</c:v>
                </c:pt>
                <c:pt idx="735">
                  <c:v>2053.9899999999998</c:v>
                </c:pt>
                <c:pt idx="736">
                  <c:v>2054.4499999999998</c:v>
                </c:pt>
                <c:pt idx="737">
                  <c:v>2050.98</c:v>
                </c:pt>
                <c:pt idx="738">
                  <c:v>2050.98</c:v>
                </c:pt>
                <c:pt idx="739">
                  <c:v>2051.6799999999998</c:v>
                </c:pt>
                <c:pt idx="740">
                  <c:v>2051.6799999999998</c:v>
                </c:pt>
                <c:pt idx="741">
                  <c:v>2050.8000000000002</c:v>
                </c:pt>
                <c:pt idx="742">
                  <c:v>2050.8000000000002</c:v>
                </c:pt>
                <c:pt idx="743">
                  <c:v>2034.31</c:v>
                </c:pt>
                <c:pt idx="744">
                  <c:v>2034.31</c:v>
                </c:pt>
                <c:pt idx="745">
                  <c:v>2033.22</c:v>
                </c:pt>
                <c:pt idx="746">
                  <c:v>2033.22</c:v>
                </c:pt>
                <c:pt idx="747">
                  <c:v>2033.36</c:v>
                </c:pt>
                <c:pt idx="748">
                  <c:v>2033.36</c:v>
                </c:pt>
                <c:pt idx="749">
                  <c:v>2042.63</c:v>
                </c:pt>
                <c:pt idx="750">
                  <c:v>2042.63</c:v>
                </c:pt>
                <c:pt idx="751">
                  <c:v>2014.53</c:v>
                </c:pt>
                <c:pt idx="752">
                  <c:v>2014.53</c:v>
                </c:pt>
                <c:pt idx="753">
                  <c:v>2020.77</c:v>
                </c:pt>
                <c:pt idx="754">
                  <c:v>2020.77</c:v>
                </c:pt>
                <c:pt idx="755">
                  <c:v>2028.98</c:v>
                </c:pt>
                <c:pt idx="756">
                  <c:v>2028.98</c:v>
                </c:pt>
                <c:pt idx="757">
                  <c:v>2026.51</c:v>
                </c:pt>
                <c:pt idx="758">
                  <c:v>2026.51</c:v>
                </c:pt>
                <c:pt idx="759">
                  <c:v>2021.73</c:v>
                </c:pt>
                <c:pt idx="760">
                  <c:v>2021.73</c:v>
                </c:pt>
                <c:pt idx="761">
                  <c:v>2025.28</c:v>
                </c:pt>
                <c:pt idx="762">
                  <c:v>2025.28</c:v>
                </c:pt>
                <c:pt idx="763">
                  <c:v>2017.77</c:v>
                </c:pt>
                <c:pt idx="764">
                  <c:v>2017.77</c:v>
                </c:pt>
                <c:pt idx="765">
                  <c:v>2002.26</c:v>
                </c:pt>
                <c:pt idx="766">
                  <c:v>2002.26</c:v>
                </c:pt>
                <c:pt idx="767">
                  <c:v>2002.58</c:v>
                </c:pt>
                <c:pt idx="768">
                  <c:v>2002.58</c:v>
                </c:pt>
                <c:pt idx="769">
                  <c:v>1989.96</c:v>
                </c:pt>
                <c:pt idx="770">
                  <c:v>1989.96</c:v>
                </c:pt>
                <c:pt idx="771">
                  <c:v>1978.25</c:v>
                </c:pt>
                <c:pt idx="772">
                  <c:v>1978.25</c:v>
                </c:pt>
                <c:pt idx="773">
                  <c:v>1982.52</c:v>
                </c:pt>
                <c:pt idx="774">
                  <c:v>1982.52</c:v>
                </c:pt>
                <c:pt idx="775">
                  <c:v>1976.31</c:v>
                </c:pt>
                <c:pt idx="776">
                  <c:v>1976.31</c:v>
                </c:pt>
                <c:pt idx="777">
                  <c:v>1999.33</c:v>
                </c:pt>
                <c:pt idx="778">
                  <c:v>1999.33</c:v>
                </c:pt>
                <c:pt idx="779">
                  <c:v>1984.26</c:v>
                </c:pt>
                <c:pt idx="780">
                  <c:v>1984.26</c:v>
                </c:pt>
                <c:pt idx="781">
                  <c:v>1975.13</c:v>
                </c:pt>
                <c:pt idx="782">
                  <c:v>1975.13</c:v>
                </c:pt>
                <c:pt idx="783">
                  <c:v>1967.22</c:v>
                </c:pt>
                <c:pt idx="784">
                  <c:v>1967.22</c:v>
                </c:pt>
                <c:pt idx="785">
                  <c:v>1970.21</c:v>
                </c:pt>
                <c:pt idx="786">
                  <c:v>1970.21</c:v>
                </c:pt>
                <c:pt idx="787">
                  <c:v>1990.47</c:v>
                </c:pt>
                <c:pt idx="788">
                  <c:v>1990.47</c:v>
                </c:pt>
                <c:pt idx="789">
                  <c:v>1991.75</c:v>
                </c:pt>
                <c:pt idx="790">
                  <c:v>1991.75</c:v>
                </c:pt>
                <c:pt idx="791">
                  <c:v>1992.58</c:v>
                </c:pt>
                <c:pt idx="792">
                  <c:v>1992.58</c:v>
                </c:pt>
                <c:pt idx="793">
                  <c:v>1990.31</c:v>
                </c:pt>
                <c:pt idx="794">
                  <c:v>1990.31</c:v>
                </c:pt>
                <c:pt idx="795">
                  <c:v>1995.5</c:v>
                </c:pt>
                <c:pt idx="796">
                  <c:v>1995.5</c:v>
                </c:pt>
                <c:pt idx="797">
                  <c:v>1988.35</c:v>
                </c:pt>
                <c:pt idx="798">
                  <c:v>1978.55</c:v>
                </c:pt>
                <c:pt idx="799">
                  <c:v>1991.21</c:v>
                </c:pt>
                <c:pt idx="800">
                  <c:v>1997.53</c:v>
                </c:pt>
                <c:pt idx="801">
                  <c:v>1997.27</c:v>
                </c:pt>
                <c:pt idx="802">
                  <c:v>1987.49</c:v>
                </c:pt>
                <c:pt idx="803">
                  <c:v>1996.68</c:v>
                </c:pt>
                <c:pt idx="804">
                  <c:v>1994.38</c:v>
                </c:pt>
                <c:pt idx="805">
                  <c:v>2014.45</c:v>
                </c:pt>
                <c:pt idx="806">
                  <c:v>2011.67</c:v>
                </c:pt>
                <c:pt idx="807">
                  <c:v>2006.27</c:v>
                </c:pt>
                <c:pt idx="808">
                  <c:v>2011.36</c:v>
                </c:pt>
                <c:pt idx="809">
                  <c:v>2011.51</c:v>
                </c:pt>
                <c:pt idx="810">
                  <c:v>2023.76</c:v>
                </c:pt>
                <c:pt idx="811">
                  <c:v>2048.62</c:v>
                </c:pt>
                <c:pt idx="812">
                  <c:v>2036.42</c:v>
                </c:pt>
                <c:pt idx="813">
                  <c:v>2044.4</c:v>
                </c:pt>
                <c:pt idx="814">
                  <c:v>2055.3200000000002</c:v>
                </c:pt>
                <c:pt idx="815">
                  <c:v>2047.36</c:v>
                </c:pt>
                <c:pt idx="816">
                  <c:v>2061.04</c:v>
                </c:pt>
                <c:pt idx="817">
                  <c:v>2037.72</c:v>
                </c:pt>
                <c:pt idx="818">
                  <c:v>2053.9499999999998</c:v>
                </c:pt>
                <c:pt idx="819">
                  <c:v>2068.39</c:v>
                </c:pt>
                <c:pt idx="820">
                  <c:v>2070.86</c:v>
                </c:pt>
                <c:pt idx="821">
                  <c:v>2090.9</c:v>
                </c:pt>
                <c:pt idx="822">
                  <c:v>2103.02</c:v>
                </c:pt>
                <c:pt idx="823">
                  <c:v>2104.75</c:v>
                </c:pt>
                <c:pt idx="824">
                  <c:v>2101.64</c:v>
                </c:pt>
                <c:pt idx="825">
                  <c:v>2085.67</c:v>
                </c:pt>
                <c:pt idx="826">
                  <c:v>2101.64</c:v>
                </c:pt>
                <c:pt idx="827">
                  <c:v>2099.71</c:v>
                </c:pt>
                <c:pt idx="828">
                  <c:v>2112.04</c:v>
                </c:pt>
                <c:pt idx="829">
                  <c:v>2095.0300000000002</c:v>
                </c:pt>
                <c:pt idx="830">
                  <c:v>2092.52</c:v>
                </c:pt>
                <c:pt idx="831">
                  <c:v>2087.0300000000002</c:v>
                </c:pt>
                <c:pt idx="832">
                  <c:v>2079.5700000000002</c:v>
                </c:pt>
                <c:pt idx="833">
                  <c:v>2087.41</c:v>
                </c:pt>
                <c:pt idx="834">
                  <c:v>2083.1</c:v>
                </c:pt>
                <c:pt idx="835">
                  <c:v>2085.41</c:v>
                </c:pt>
                <c:pt idx="836">
                  <c:v>2109.86</c:v>
                </c:pt>
                <c:pt idx="837">
                  <c:v>2114.92</c:v>
                </c:pt>
                <c:pt idx="838">
                  <c:v>2131.1999999999998</c:v>
                </c:pt>
                <c:pt idx="839">
                  <c:v>2136.81</c:v>
                </c:pt>
                <c:pt idx="840">
                  <c:v>2147.0300000000002</c:v>
                </c:pt>
                <c:pt idx="841">
                  <c:v>2147.86</c:v>
                </c:pt>
                <c:pt idx="842">
                  <c:v>2157.2199999999998</c:v>
                </c:pt>
                <c:pt idx="843">
                  <c:v>2138.31</c:v>
                </c:pt>
                <c:pt idx="844">
                  <c:v>2170.19</c:v>
                </c:pt>
                <c:pt idx="845">
                  <c:v>2162.02</c:v>
                </c:pt>
                <c:pt idx="846">
                  <c:v>2152.39</c:v>
                </c:pt>
                <c:pt idx="847">
                  <c:v>2172.98</c:v>
                </c:pt>
                <c:pt idx="848">
                  <c:v>2178.4</c:v>
                </c:pt>
                <c:pt idx="849">
                  <c:v>2178.75</c:v>
                </c:pt>
                <c:pt idx="850">
                  <c:v>2180.65</c:v>
                </c:pt>
                <c:pt idx="851">
                  <c:v>2157.14</c:v>
                </c:pt>
                <c:pt idx="852">
                  <c:v>2153.2199999999998</c:v>
                </c:pt>
                <c:pt idx="853">
                  <c:v>2203.38</c:v>
                </c:pt>
                <c:pt idx="854">
                  <c:v>2266.48</c:v>
                </c:pt>
                <c:pt idx="855">
                  <c:v>2295.69</c:v>
                </c:pt>
                <c:pt idx="856">
                  <c:v>2302.15</c:v>
                </c:pt>
                <c:pt idx="857">
                  <c:v>2325.94</c:v>
                </c:pt>
                <c:pt idx="858">
                  <c:v>2307.6999999999998</c:v>
                </c:pt>
                <c:pt idx="859">
                  <c:v>2331.2199999999998</c:v>
                </c:pt>
                <c:pt idx="860">
                  <c:v>2382.31</c:v>
                </c:pt>
                <c:pt idx="861">
                  <c:v>2380.6</c:v>
                </c:pt>
                <c:pt idx="862">
                  <c:v>2405.7199999999998</c:v>
                </c:pt>
                <c:pt idx="863">
                  <c:v>2433.0100000000002</c:v>
                </c:pt>
                <c:pt idx="864">
                  <c:v>2453.5</c:v>
                </c:pt>
                <c:pt idx="865">
                  <c:v>2410.6</c:v>
                </c:pt>
                <c:pt idx="866">
                  <c:v>2412.23</c:v>
                </c:pt>
                <c:pt idx="867">
                  <c:v>2406.92</c:v>
                </c:pt>
                <c:pt idx="868">
                  <c:v>2410.2199999999998</c:v>
                </c:pt>
                <c:pt idx="869">
                  <c:v>2394.9899999999998</c:v>
                </c:pt>
                <c:pt idx="870">
                  <c:v>2395.5500000000002</c:v>
                </c:pt>
                <c:pt idx="871">
                  <c:v>2408.35</c:v>
                </c:pt>
                <c:pt idx="872">
                  <c:v>2413</c:v>
                </c:pt>
                <c:pt idx="873">
                  <c:v>2415.58</c:v>
                </c:pt>
                <c:pt idx="874">
                  <c:v>2438.66</c:v>
                </c:pt>
                <c:pt idx="875">
                  <c:v>2495.5500000000002</c:v>
                </c:pt>
                <c:pt idx="876">
                  <c:v>2507.0500000000002</c:v>
                </c:pt>
                <c:pt idx="877">
                  <c:v>2494.5700000000002</c:v>
                </c:pt>
                <c:pt idx="878">
                  <c:v>2505.2399999999998</c:v>
                </c:pt>
                <c:pt idx="879">
                  <c:v>2514.41</c:v>
                </c:pt>
                <c:pt idx="880">
                  <c:v>2525.0300000000002</c:v>
                </c:pt>
                <c:pt idx="881">
                  <c:v>2513.61</c:v>
                </c:pt>
                <c:pt idx="882">
                  <c:v>2511.38</c:v>
                </c:pt>
                <c:pt idx="883">
                  <c:v>2524.77</c:v>
                </c:pt>
                <c:pt idx="884">
                  <c:v>2578.63</c:v>
                </c:pt>
                <c:pt idx="885">
                  <c:v>2560.19</c:v>
                </c:pt>
                <c:pt idx="886">
                  <c:v>2593.69</c:v>
                </c:pt>
                <c:pt idx="887">
                  <c:v>2588.2800000000002</c:v>
                </c:pt>
                <c:pt idx="888">
                  <c:v>2562.2800000000002</c:v>
                </c:pt>
                <c:pt idx="889">
                  <c:v>2564.25</c:v>
                </c:pt>
                <c:pt idx="890">
                  <c:v>2548.21</c:v>
                </c:pt>
                <c:pt idx="891">
                  <c:v>2516.16</c:v>
                </c:pt>
                <c:pt idx="892">
                  <c:v>2506.17</c:v>
                </c:pt>
                <c:pt idx="893">
                  <c:v>2505.65</c:v>
                </c:pt>
                <c:pt idx="894">
                  <c:v>2509.94</c:v>
                </c:pt>
                <c:pt idx="895">
                  <c:v>2518.06</c:v>
                </c:pt>
                <c:pt idx="896">
                  <c:v>2506.91</c:v>
                </c:pt>
                <c:pt idx="897">
                  <c:v>2478.0100000000002</c:v>
                </c:pt>
                <c:pt idx="898">
                  <c:v>2443.4699999999998</c:v>
                </c:pt>
                <c:pt idx="899">
                  <c:v>2434.61</c:v>
                </c:pt>
                <c:pt idx="900">
                  <c:v>2480.9899999999998</c:v>
                </c:pt>
                <c:pt idx="901">
                  <c:v>2502.88</c:v>
                </c:pt>
                <c:pt idx="902">
                  <c:v>2492.27</c:v>
                </c:pt>
                <c:pt idx="903">
                  <c:v>2494.13</c:v>
                </c:pt>
                <c:pt idx="904">
                  <c:v>2507.5700000000002</c:v>
                </c:pt>
                <c:pt idx="905">
                  <c:v>2499.89</c:v>
                </c:pt>
                <c:pt idx="906">
                  <c:v>2513.7800000000002</c:v>
                </c:pt>
                <c:pt idx="907">
                  <c:v>2512.46</c:v>
                </c:pt>
                <c:pt idx="908">
                  <c:v>2522.09</c:v>
                </c:pt>
                <c:pt idx="909">
                  <c:v>2500.4299999999998</c:v>
                </c:pt>
                <c:pt idx="910">
                  <c:v>2503.89</c:v>
                </c:pt>
                <c:pt idx="911">
                  <c:v>2499.5700000000002</c:v>
                </c:pt>
                <c:pt idx="912">
                  <c:v>2491.9699999999998</c:v>
                </c:pt>
                <c:pt idx="913">
                  <c:v>2479.39</c:v>
                </c:pt>
                <c:pt idx="914">
                  <c:v>2484.34</c:v>
                </c:pt>
                <c:pt idx="915">
                  <c:v>2465.83</c:v>
                </c:pt>
                <c:pt idx="916">
                  <c:v>2483.5300000000002</c:v>
                </c:pt>
                <c:pt idx="917">
                  <c:v>2481.73</c:v>
                </c:pt>
                <c:pt idx="918">
                  <c:v>2495.2399999999998</c:v>
                </c:pt>
                <c:pt idx="919">
                  <c:v>2521.35</c:v>
                </c:pt>
                <c:pt idx="920">
                  <c:v>2557.34</c:v>
                </c:pt>
                <c:pt idx="921">
                  <c:v>2605.4899999999998</c:v>
                </c:pt>
                <c:pt idx="922">
                  <c:v>2668.86</c:v>
                </c:pt>
                <c:pt idx="923">
                  <c:v>2713.5</c:v>
                </c:pt>
                <c:pt idx="924">
                  <c:v>2676.75</c:v>
                </c:pt>
                <c:pt idx="925">
                  <c:v>2697.81</c:v>
                </c:pt>
                <c:pt idx="926">
                  <c:v>2699.61</c:v>
                </c:pt>
                <c:pt idx="927">
                  <c:v>2718.15</c:v>
                </c:pt>
                <c:pt idx="928">
                  <c:v>2745.12</c:v>
                </c:pt>
                <c:pt idx="929">
                  <c:v>2769.68</c:v>
                </c:pt>
                <c:pt idx="930">
                  <c:v>2761.87</c:v>
                </c:pt>
                <c:pt idx="931">
                  <c:v>2761.15</c:v>
                </c:pt>
                <c:pt idx="932">
                  <c:v>2766.43</c:v>
                </c:pt>
                <c:pt idx="933">
                  <c:v>2768.14</c:v>
                </c:pt>
                <c:pt idx="934">
                  <c:v>2757.18</c:v>
                </c:pt>
                <c:pt idx="935">
                  <c:v>2759.42</c:v>
                </c:pt>
                <c:pt idx="936">
                  <c:v>2756.48</c:v>
                </c:pt>
                <c:pt idx="937">
                  <c:v>2759.12</c:v>
                </c:pt>
                <c:pt idx="938">
                  <c:v>2760.91</c:v>
                </c:pt>
                <c:pt idx="939">
                  <c:v>2801.26</c:v>
                </c:pt>
                <c:pt idx="940">
                  <c:v>2783.65</c:v>
                </c:pt>
                <c:pt idx="941">
                  <c:v>2816.33</c:v>
                </c:pt>
                <c:pt idx="942">
                  <c:v>2819.5</c:v>
                </c:pt>
                <c:pt idx="943">
                  <c:v>2862.97</c:v>
                </c:pt>
                <c:pt idx="944">
                  <c:v>2871.59</c:v>
                </c:pt>
                <c:pt idx="945">
                  <c:v>2862.47</c:v>
                </c:pt>
                <c:pt idx="946">
                  <c:v>2855.28</c:v>
                </c:pt>
                <c:pt idx="947">
                  <c:v>2860.24</c:v>
                </c:pt>
                <c:pt idx="948">
                  <c:v>2882.35</c:v>
                </c:pt>
                <c:pt idx="949">
                  <c:v>2907.05</c:v>
                </c:pt>
                <c:pt idx="950">
                  <c:v>2931.23</c:v>
                </c:pt>
                <c:pt idx="951">
                  <c:v>2948.45</c:v>
                </c:pt>
                <c:pt idx="952">
                  <c:v>2976.25</c:v>
                </c:pt>
                <c:pt idx="953">
                  <c:v>2957.24</c:v>
                </c:pt>
                <c:pt idx="954">
                  <c:v>2966.82</c:v>
                </c:pt>
                <c:pt idx="955">
                  <c:v>2940.1</c:v>
                </c:pt>
                <c:pt idx="956">
                  <c:v>2946.28</c:v>
                </c:pt>
                <c:pt idx="957">
                  <c:v>2960.48</c:v>
                </c:pt>
                <c:pt idx="958">
                  <c:v>2953.22</c:v>
                </c:pt>
                <c:pt idx="959">
                  <c:v>2976.98</c:v>
                </c:pt>
                <c:pt idx="960">
                  <c:v>3004.25</c:v>
                </c:pt>
                <c:pt idx="961">
                  <c:v>3024.27</c:v>
                </c:pt>
                <c:pt idx="962">
                  <c:v>3089.22</c:v>
                </c:pt>
                <c:pt idx="963">
                  <c:v>3062.6</c:v>
                </c:pt>
                <c:pt idx="964">
                  <c:v>3053.43</c:v>
                </c:pt>
                <c:pt idx="965">
                  <c:v>3057.91</c:v>
                </c:pt>
                <c:pt idx="966">
                  <c:v>3099.53</c:v>
                </c:pt>
                <c:pt idx="967">
                  <c:v>3117.06</c:v>
                </c:pt>
                <c:pt idx="968">
                  <c:v>3120.36</c:v>
                </c:pt>
                <c:pt idx="969">
                  <c:v>3165.38</c:v>
                </c:pt>
                <c:pt idx="970">
                  <c:v>3211.64</c:v>
                </c:pt>
                <c:pt idx="971">
                  <c:v>3221.76</c:v>
                </c:pt>
                <c:pt idx="972">
                  <c:v>3259.53</c:v>
                </c:pt>
                <c:pt idx="973">
                  <c:v>3244.21</c:v>
                </c:pt>
                <c:pt idx="974">
                  <c:v>3281.27</c:v>
                </c:pt>
                <c:pt idx="975">
                  <c:v>3284.77</c:v>
                </c:pt>
                <c:pt idx="976">
                  <c:v>3298.04</c:v>
                </c:pt>
                <c:pt idx="977">
                  <c:v>3277.8</c:v>
                </c:pt>
                <c:pt idx="978">
                  <c:v>3263.32</c:v>
                </c:pt>
                <c:pt idx="979">
                  <c:v>3213.39</c:v>
                </c:pt>
                <c:pt idx="980">
                  <c:v>3148.85</c:v>
                </c:pt>
                <c:pt idx="981">
                  <c:v>3147.91</c:v>
                </c:pt>
                <c:pt idx="982">
                  <c:v>3126.04</c:v>
                </c:pt>
                <c:pt idx="983">
                  <c:v>3150.55</c:v>
                </c:pt>
                <c:pt idx="984">
                  <c:v>3144.16</c:v>
                </c:pt>
                <c:pt idx="985">
                  <c:v>3155.37</c:v>
                </c:pt>
                <c:pt idx="986">
                  <c:v>3181.97</c:v>
                </c:pt>
                <c:pt idx="987">
                  <c:v>3163.8</c:v>
                </c:pt>
                <c:pt idx="988">
                  <c:v>3157.29</c:v>
                </c:pt>
                <c:pt idx="989">
                  <c:v>3154.22</c:v>
                </c:pt>
                <c:pt idx="990">
                  <c:v>3171.87</c:v>
                </c:pt>
                <c:pt idx="991">
                  <c:v>3193.83</c:v>
                </c:pt>
                <c:pt idx="992">
                  <c:v>3244.9</c:v>
                </c:pt>
                <c:pt idx="993">
                  <c:v>3233.88</c:v>
                </c:pt>
                <c:pt idx="994">
                  <c:v>3223.3</c:v>
                </c:pt>
                <c:pt idx="995">
                  <c:v>3250.21</c:v>
                </c:pt>
                <c:pt idx="996">
                  <c:v>3194.4</c:v>
                </c:pt>
                <c:pt idx="997">
                  <c:v>3224.77</c:v>
                </c:pt>
                <c:pt idx="998">
                  <c:v>3195.32</c:v>
                </c:pt>
                <c:pt idx="999">
                  <c:v>3173.85</c:v>
                </c:pt>
                <c:pt idx="1000">
                  <c:v>3187.42</c:v>
                </c:pt>
                <c:pt idx="1001">
                  <c:v>3222.01</c:v>
                </c:pt>
                <c:pt idx="1002">
                  <c:v>3244.31</c:v>
                </c:pt>
                <c:pt idx="1003">
                  <c:v>3286.33</c:v>
                </c:pt>
                <c:pt idx="1004">
                  <c:v>3274.7</c:v>
                </c:pt>
                <c:pt idx="1005">
                  <c:v>3234.83</c:v>
                </c:pt>
                <c:pt idx="1006">
                  <c:v>3232.04</c:v>
                </c:pt>
                <c:pt idx="1007">
                  <c:v>3229.77</c:v>
                </c:pt>
                <c:pt idx="1008">
                  <c:v>3246.7</c:v>
                </c:pt>
                <c:pt idx="1009">
                  <c:v>3258.97</c:v>
                </c:pt>
                <c:pt idx="1010">
                  <c:v>3246.45</c:v>
                </c:pt>
                <c:pt idx="1011">
                  <c:v>3217.87</c:v>
                </c:pt>
                <c:pt idx="1012">
                  <c:v>3188.18</c:v>
                </c:pt>
                <c:pt idx="1013">
                  <c:v>3187.55</c:v>
                </c:pt>
                <c:pt idx="1014">
                  <c:v>3179.81</c:v>
                </c:pt>
                <c:pt idx="1015">
                  <c:v>3178.18</c:v>
                </c:pt>
                <c:pt idx="1016">
                  <c:v>3157.47</c:v>
                </c:pt>
                <c:pt idx="1017">
                  <c:v>3103.33</c:v>
                </c:pt>
                <c:pt idx="1018">
                  <c:v>3079.58</c:v>
                </c:pt>
                <c:pt idx="1019">
                  <c:v>3130.65</c:v>
                </c:pt>
                <c:pt idx="1020">
                  <c:v>3154.77</c:v>
                </c:pt>
                <c:pt idx="1021">
                  <c:v>3184.38</c:v>
                </c:pt>
                <c:pt idx="1022">
                  <c:v>3199.03</c:v>
                </c:pt>
                <c:pt idx="1023">
                  <c:v>3214.62</c:v>
                </c:pt>
                <c:pt idx="1024">
                  <c:v>3211.59</c:v>
                </c:pt>
                <c:pt idx="1025">
                  <c:v>3220.29</c:v>
                </c:pt>
                <c:pt idx="1026">
                  <c:v>3200.09</c:v>
                </c:pt>
                <c:pt idx="1027">
                  <c:v>3210.17</c:v>
                </c:pt>
                <c:pt idx="1028">
                  <c:v>3240.5</c:v>
                </c:pt>
                <c:pt idx="1029">
                  <c:v>3227.57</c:v>
                </c:pt>
                <c:pt idx="1030">
                  <c:v>3255.68</c:v>
                </c:pt>
                <c:pt idx="1031">
                  <c:v>3266.31</c:v>
                </c:pt>
                <c:pt idx="1032">
                  <c:v>3235.59</c:v>
                </c:pt>
                <c:pt idx="1033">
                  <c:v>3217.56</c:v>
                </c:pt>
                <c:pt idx="1034">
                  <c:v>3197.76</c:v>
                </c:pt>
                <c:pt idx="1035">
                  <c:v>3201.15</c:v>
                </c:pt>
                <c:pt idx="1036">
                  <c:v>3205.09</c:v>
                </c:pt>
                <c:pt idx="1037">
                  <c:v>3216.12</c:v>
                </c:pt>
                <c:pt idx="1038">
                  <c:v>3204.35</c:v>
                </c:pt>
                <c:pt idx="1039">
                  <c:v>3217.75</c:v>
                </c:pt>
                <c:pt idx="1040">
                  <c:v>3203.76</c:v>
                </c:pt>
                <c:pt idx="1041">
                  <c:v>3209.37</c:v>
                </c:pt>
                <c:pt idx="1042">
                  <c:v>3202.45</c:v>
                </c:pt>
                <c:pt idx="1043">
                  <c:v>3217.79</c:v>
                </c:pt>
                <c:pt idx="1044">
                  <c:v>3198.67</c:v>
                </c:pt>
                <c:pt idx="1045">
                  <c:v>3213.6</c:v>
                </c:pt>
                <c:pt idx="1046">
                  <c:v>3209.93</c:v>
                </c:pt>
                <c:pt idx="1047">
                  <c:v>3210.58</c:v>
                </c:pt>
                <c:pt idx="1048">
                  <c:v>3202.74</c:v>
                </c:pt>
                <c:pt idx="1049">
                  <c:v>3209.48</c:v>
                </c:pt>
                <c:pt idx="1050">
                  <c:v>3214.93</c:v>
                </c:pt>
                <c:pt idx="1051">
                  <c:v>3216.99</c:v>
                </c:pt>
                <c:pt idx="1052">
                  <c:v>3215.9</c:v>
                </c:pt>
                <c:pt idx="1053">
                  <c:v>3232.7</c:v>
                </c:pt>
                <c:pt idx="1054">
                  <c:v>3261.54</c:v>
                </c:pt>
                <c:pt idx="1055">
                  <c:v>3280.36</c:v>
                </c:pt>
                <c:pt idx="1056">
                  <c:v>3277.85</c:v>
                </c:pt>
                <c:pt idx="1057">
                  <c:v>3271.45</c:v>
                </c:pt>
                <c:pt idx="1058">
                  <c:v>3286.28</c:v>
                </c:pt>
                <c:pt idx="1059">
                  <c:v>3318.52</c:v>
                </c:pt>
                <c:pt idx="1060">
                  <c:v>3352.69</c:v>
                </c:pt>
                <c:pt idx="1061">
                  <c:v>3368.48</c:v>
                </c:pt>
                <c:pt idx="1062">
                  <c:v>3410.03</c:v>
                </c:pt>
                <c:pt idx="1063">
                  <c:v>3429.39</c:v>
                </c:pt>
                <c:pt idx="1064">
                  <c:v>3454.43</c:v>
                </c:pt>
                <c:pt idx="1065">
                  <c:v>3478.34</c:v>
                </c:pt>
                <c:pt idx="1066">
                  <c:v>3490.52</c:v>
                </c:pt>
                <c:pt idx="1067">
                  <c:v>3466.77</c:v>
                </c:pt>
                <c:pt idx="1068">
                  <c:v>3497.36</c:v>
                </c:pt>
                <c:pt idx="1069">
                  <c:v>3576.14</c:v>
                </c:pt>
                <c:pt idx="1070">
                  <c:v>3661.08</c:v>
                </c:pt>
                <c:pt idx="1071">
                  <c:v>3762.56</c:v>
                </c:pt>
                <c:pt idx="1072">
                  <c:v>3716.71</c:v>
                </c:pt>
                <c:pt idx="1073">
                  <c:v>3701.68</c:v>
                </c:pt>
                <c:pt idx="1074">
                  <c:v>3701.18</c:v>
                </c:pt>
                <c:pt idx="1075">
                  <c:v>3705.15</c:v>
                </c:pt>
                <c:pt idx="1076">
                  <c:v>3760.78</c:v>
                </c:pt>
                <c:pt idx="1077">
                  <c:v>3725.35</c:v>
                </c:pt>
                <c:pt idx="1078">
                  <c:v>3764.78</c:v>
                </c:pt>
                <c:pt idx="1079">
                  <c:v>3740.73</c:v>
                </c:pt>
                <c:pt idx="1080">
                  <c:v>3752.84</c:v>
                </c:pt>
                <c:pt idx="1081">
                  <c:v>3786.11</c:v>
                </c:pt>
                <c:pt idx="1082">
                  <c:v>3794.38</c:v>
                </c:pt>
                <c:pt idx="1083">
                  <c:v>3802.84</c:v>
                </c:pt>
                <c:pt idx="1084">
                  <c:v>3822.93</c:v>
                </c:pt>
                <c:pt idx="1085">
                  <c:v>3862.94</c:v>
                </c:pt>
                <c:pt idx="1086">
                  <c:v>3938.3</c:v>
                </c:pt>
                <c:pt idx="1087">
                  <c:v>3938.11</c:v>
                </c:pt>
                <c:pt idx="1088">
                  <c:v>3953.31</c:v>
                </c:pt>
                <c:pt idx="1089">
                  <c:v>3975.77</c:v>
                </c:pt>
                <c:pt idx="1090">
                  <c:v>3917.77</c:v>
                </c:pt>
                <c:pt idx="1091">
                  <c:v>3797.06</c:v>
                </c:pt>
                <c:pt idx="1092">
                  <c:v>3908.32</c:v>
                </c:pt>
                <c:pt idx="1093">
                  <c:v>3885.75</c:v>
                </c:pt>
                <c:pt idx="1094">
                  <c:v>3837.46</c:v>
                </c:pt>
                <c:pt idx="1095">
                  <c:v>3850.69</c:v>
                </c:pt>
                <c:pt idx="1096">
                  <c:v>3880.82</c:v>
                </c:pt>
                <c:pt idx="1097">
                  <c:v>3873.27</c:v>
                </c:pt>
                <c:pt idx="1098">
                  <c:v>3910.1</c:v>
                </c:pt>
                <c:pt idx="1099">
                  <c:v>3915.76</c:v>
                </c:pt>
                <c:pt idx="1100">
                  <c:v>3938.45</c:v>
                </c:pt>
                <c:pt idx="1101">
                  <c:v>3882.98</c:v>
                </c:pt>
                <c:pt idx="1102">
                  <c:v>3895.73</c:v>
                </c:pt>
                <c:pt idx="1103">
                  <c:v>3927.75</c:v>
                </c:pt>
                <c:pt idx="1104">
                  <c:v>3936.29</c:v>
                </c:pt>
                <c:pt idx="1105">
                  <c:v>3929.69</c:v>
                </c:pt>
                <c:pt idx="1106">
                  <c:v>3926.09</c:v>
                </c:pt>
                <c:pt idx="1107">
                  <c:v>4008.53</c:v>
                </c:pt>
                <c:pt idx="1108">
                  <c:v>4049.79</c:v>
                </c:pt>
                <c:pt idx="1109">
                  <c:v>4091.56</c:v>
                </c:pt>
                <c:pt idx="1110">
                  <c:v>4114.6099999999997</c:v>
                </c:pt>
                <c:pt idx="1111">
                  <c:v>4154.66</c:v>
                </c:pt>
                <c:pt idx="1112">
                  <c:v>4203.3999999999996</c:v>
                </c:pt>
                <c:pt idx="1113">
                  <c:v>4237.67</c:v>
                </c:pt>
                <c:pt idx="1114">
                  <c:v>4200.87</c:v>
                </c:pt>
                <c:pt idx="1115">
                  <c:v>4272.28</c:v>
                </c:pt>
                <c:pt idx="1116">
                  <c:v>4337.67</c:v>
                </c:pt>
                <c:pt idx="1117">
                  <c:v>4382.58</c:v>
                </c:pt>
                <c:pt idx="1118">
                  <c:v>4497.2299999999996</c:v>
                </c:pt>
                <c:pt idx="1119">
                  <c:v>4570.0600000000004</c:v>
                </c:pt>
                <c:pt idx="1120">
                  <c:v>4596.87</c:v>
                </c:pt>
                <c:pt idx="1121">
                  <c:v>4649.6099999999997</c:v>
                </c:pt>
                <c:pt idx="1122">
                  <c:v>4662.34</c:v>
                </c:pt>
                <c:pt idx="1123">
                  <c:v>4710.7299999999996</c:v>
                </c:pt>
                <c:pt idx="1124">
                  <c:v>4635.57</c:v>
                </c:pt>
                <c:pt idx="1125">
                  <c:v>4576.63</c:v>
                </c:pt>
                <c:pt idx="1126">
                  <c:v>4588.09</c:v>
                </c:pt>
                <c:pt idx="1127">
                  <c:v>4609.07</c:v>
                </c:pt>
                <c:pt idx="1128">
                  <c:v>4572.79</c:v>
                </c:pt>
                <c:pt idx="1129">
                  <c:v>4571.82</c:v>
                </c:pt>
                <c:pt idx="1130">
                  <c:v>4591.22</c:v>
                </c:pt>
                <c:pt idx="1131">
                  <c:v>4614.09</c:v>
                </c:pt>
                <c:pt idx="1132">
                  <c:v>4613.1099999999997</c:v>
                </c:pt>
                <c:pt idx="1133">
                  <c:v>4633.29</c:v>
                </c:pt>
                <c:pt idx="1134">
                  <c:v>4654.0600000000004</c:v>
                </c:pt>
                <c:pt idx="1135">
                  <c:v>4680.55</c:v>
                </c:pt>
                <c:pt idx="1136">
                  <c:v>4788.66</c:v>
                </c:pt>
                <c:pt idx="1137">
                  <c:v>4822.5200000000004</c:v>
                </c:pt>
                <c:pt idx="1138">
                  <c:v>4854.66</c:v>
                </c:pt>
                <c:pt idx="1139">
                  <c:v>4857.3900000000003</c:v>
                </c:pt>
                <c:pt idx="1140">
                  <c:v>4884.87</c:v>
                </c:pt>
                <c:pt idx="1141">
                  <c:v>4992.17</c:v>
                </c:pt>
                <c:pt idx="1142">
                  <c:v>5060.51</c:v>
                </c:pt>
                <c:pt idx="1143">
                  <c:v>5138.45</c:v>
                </c:pt>
                <c:pt idx="1144">
                  <c:v>5079.34</c:v>
                </c:pt>
                <c:pt idx="1145">
                  <c:v>5100.33</c:v>
                </c:pt>
                <c:pt idx="1146">
                  <c:v>5094.74</c:v>
                </c:pt>
                <c:pt idx="1147">
                  <c:v>5050.1899999999996</c:v>
                </c:pt>
                <c:pt idx="1148">
                  <c:v>5042.21</c:v>
                </c:pt>
                <c:pt idx="1149">
                  <c:v>5057.57</c:v>
                </c:pt>
                <c:pt idx="1150">
                  <c:v>4964.32</c:v>
                </c:pt>
                <c:pt idx="1151">
                  <c:v>4883.3900000000003</c:v>
                </c:pt>
                <c:pt idx="1152">
                  <c:v>4973.09</c:v>
                </c:pt>
                <c:pt idx="1153">
                  <c:v>4960.07</c:v>
                </c:pt>
                <c:pt idx="1154">
                  <c:v>4976.79</c:v>
                </c:pt>
                <c:pt idx="1155">
                  <c:v>5028.9399999999996</c:v>
                </c:pt>
                <c:pt idx="1156">
                  <c:v>5000.12</c:v>
                </c:pt>
                <c:pt idx="1157">
                  <c:v>4961.37</c:v>
                </c:pt>
                <c:pt idx="1158">
                  <c:v>4917.2299999999996</c:v>
                </c:pt>
                <c:pt idx="1159">
                  <c:v>4889.1400000000003</c:v>
                </c:pt>
                <c:pt idx="1160">
                  <c:v>4851.78</c:v>
                </c:pt>
                <c:pt idx="1161">
                  <c:v>4808.0600000000004</c:v>
                </c:pt>
                <c:pt idx="1162">
                  <c:v>4755.41</c:v>
                </c:pt>
                <c:pt idx="1163">
                  <c:v>4804.5200000000004</c:v>
                </c:pt>
                <c:pt idx="1164">
                  <c:v>4878.8999999999996</c:v>
                </c:pt>
                <c:pt idx="1165">
                  <c:v>4780.8500000000004</c:v>
                </c:pt>
                <c:pt idx="1166">
                  <c:v>4808.72</c:v>
                </c:pt>
                <c:pt idx="1167">
                  <c:v>4795.62</c:v>
                </c:pt>
                <c:pt idx="1168">
                  <c:v>4799.8599999999997</c:v>
                </c:pt>
                <c:pt idx="1169">
                  <c:v>4863.5</c:v>
                </c:pt>
                <c:pt idx="1170">
                  <c:v>4843.34</c:v>
                </c:pt>
                <c:pt idx="1171">
                  <c:v>4847.12</c:v>
                </c:pt>
                <c:pt idx="1172">
                  <c:v>4835.28</c:v>
                </c:pt>
                <c:pt idx="1173">
                  <c:v>4799.6499999999996</c:v>
                </c:pt>
                <c:pt idx="1174">
                  <c:v>4795.7299999999996</c:v>
                </c:pt>
                <c:pt idx="1175">
                  <c:v>4723.71</c:v>
                </c:pt>
                <c:pt idx="1176">
                  <c:v>4724.45</c:v>
                </c:pt>
                <c:pt idx="1177">
                  <c:v>4759.6899999999996</c:v>
                </c:pt>
                <c:pt idx="1178">
                  <c:v>4741.4799999999996</c:v>
                </c:pt>
                <c:pt idx="1179">
                  <c:v>4772.08</c:v>
                </c:pt>
                <c:pt idx="1180">
                  <c:v>4766.51</c:v>
                </c:pt>
                <c:pt idx="1181">
                  <c:v>4747.28</c:v>
                </c:pt>
                <c:pt idx="1182">
                  <c:v>4766.49</c:v>
                </c:pt>
                <c:pt idx="1183">
                  <c:v>4775.21</c:v>
                </c:pt>
                <c:pt idx="1184">
                  <c:v>4785.1099999999997</c:v>
                </c:pt>
                <c:pt idx="1185">
                  <c:v>4811.8</c:v>
                </c:pt>
                <c:pt idx="1186">
                  <c:v>4796.4799999999996</c:v>
                </c:pt>
                <c:pt idx="1187">
                  <c:v>4821.26</c:v>
                </c:pt>
                <c:pt idx="1188">
                  <c:v>4972.45</c:v>
                </c:pt>
                <c:pt idx="1189">
                  <c:v>4994.4799999999996</c:v>
                </c:pt>
                <c:pt idx="1190">
                  <c:v>4958.09</c:v>
                </c:pt>
                <c:pt idx="1191">
                  <c:v>4949.5600000000004</c:v>
                </c:pt>
                <c:pt idx="1192">
                  <c:v>4993.2</c:v>
                </c:pt>
                <c:pt idx="1193">
                  <c:v>4986.76</c:v>
                </c:pt>
                <c:pt idx="1194">
                  <c:v>5039.8900000000003</c:v>
                </c:pt>
                <c:pt idx="1195">
                  <c:v>5043.8599999999997</c:v>
                </c:pt>
                <c:pt idx="1196">
                  <c:v>5043.49</c:v>
                </c:pt>
                <c:pt idx="1197">
                  <c:v>5018.72</c:v>
                </c:pt>
                <c:pt idx="1198">
                  <c:v>4978.8900000000003</c:v>
                </c:pt>
                <c:pt idx="1199">
                  <c:v>4994.01</c:v>
                </c:pt>
                <c:pt idx="1200">
                  <c:v>4993.75</c:v>
                </c:pt>
                <c:pt idx="1201">
                  <c:v>5032.6099999999997</c:v>
                </c:pt>
                <c:pt idx="1202">
                  <c:v>5016.91</c:v>
                </c:pt>
                <c:pt idx="1203">
                  <c:v>4987.5</c:v>
                </c:pt>
                <c:pt idx="1204">
                  <c:v>4988.43</c:v>
                </c:pt>
                <c:pt idx="1205">
                  <c:v>4846.2700000000004</c:v>
                </c:pt>
                <c:pt idx="1206">
                  <c:v>4806.37</c:v>
                </c:pt>
                <c:pt idx="1207">
                  <c:v>4863.3599999999997</c:v>
                </c:pt>
                <c:pt idx="1208">
                  <c:v>4850.43</c:v>
                </c:pt>
                <c:pt idx="1209">
                  <c:v>4825.7</c:v>
                </c:pt>
                <c:pt idx="1210">
                  <c:v>4770.42</c:v>
                </c:pt>
                <c:pt idx="1211">
                  <c:v>4736.74</c:v>
                </c:pt>
                <c:pt idx="1212">
                  <c:v>4708.3999999999996</c:v>
                </c:pt>
                <c:pt idx="1213">
                  <c:v>4706.67</c:v>
                </c:pt>
                <c:pt idx="1214">
                  <c:v>4750.09</c:v>
                </c:pt>
                <c:pt idx="1215">
                  <c:v>4755.91</c:v>
                </c:pt>
                <c:pt idx="1216">
                  <c:v>4760.3900000000003</c:v>
                </c:pt>
                <c:pt idx="1217">
                  <c:v>4694.82</c:v>
                </c:pt>
                <c:pt idx="1218">
                  <c:v>4664.67</c:v>
                </c:pt>
                <c:pt idx="1219">
                  <c:v>4677.75</c:v>
                </c:pt>
                <c:pt idx="1220">
                  <c:v>4718.43</c:v>
                </c:pt>
                <c:pt idx="1221">
                  <c:v>4736.08</c:v>
                </c:pt>
                <c:pt idx="1222">
                  <c:v>4718.6899999999996</c:v>
                </c:pt>
                <c:pt idx="1223">
                  <c:v>4691.75</c:v>
                </c:pt>
                <c:pt idx="1224">
                  <c:v>4667.83</c:v>
                </c:pt>
                <c:pt idx="1225">
                  <c:v>4662.93</c:v>
                </c:pt>
                <c:pt idx="1226">
                  <c:v>4647.4399999999996</c:v>
                </c:pt>
                <c:pt idx="1227">
                  <c:v>4579.08</c:v>
                </c:pt>
                <c:pt idx="1228">
                  <c:v>4582.28</c:v>
                </c:pt>
                <c:pt idx="1229">
                  <c:v>4746.49</c:v>
                </c:pt>
                <c:pt idx="1230">
                  <c:v>4805.41</c:v>
                </c:pt>
                <c:pt idx="1231">
                  <c:v>4837.72</c:v>
                </c:pt>
                <c:pt idx="1232">
                  <c:v>4845.5</c:v>
                </c:pt>
                <c:pt idx="1233">
                  <c:v>4889.59</c:v>
                </c:pt>
                <c:pt idx="1234">
                  <c:v>5020.1400000000003</c:v>
                </c:pt>
                <c:pt idx="1235">
                  <c:v>5066.41</c:v>
                </c:pt>
                <c:pt idx="1236">
                  <c:v>5037.1899999999996</c:v>
                </c:pt>
                <c:pt idx="1237">
                  <c:v>5061.8999999999996</c:v>
                </c:pt>
                <c:pt idx="1238">
                  <c:v>5116.55</c:v>
                </c:pt>
                <c:pt idx="1239">
                  <c:v>5197.17</c:v>
                </c:pt>
                <c:pt idx="1240">
                  <c:v>5179.88</c:v>
                </c:pt>
                <c:pt idx="1241">
                  <c:v>5175.9399999999996</c:v>
                </c:pt>
                <c:pt idx="1242">
                  <c:v>5216.1000000000004</c:v>
                </c:pt>
                <c:pt idx="1243">
                  <c:v>5273.17</c:v>
                </c:pt>
                <c:pt idx="1244">
                  <c:v>5264.11</c:v>
                </c:pt>
                <c:pt idx="1245">
                  <c:v>5309.62</c:v>
                </c:pt>
                <c:pt idx="1246">
                  <c:v>5392.94</c:v>
                </c:pt>
                <c:pt idx="1247">
                  <c:v>5362.86</c:v>
                </c:pt>
                <c:pt idx="1248">
                  <c:v>5338.36</c:v>
                </c:pt>
                <c:pt idx="1249">
                  <c:v>5375.87</c:v>
                </c:pt>
                <c:pt idx="1250">
                  <c:v>5368.13</c:v>
                </c:pt>
                <c:pt idx="1251">
                  <c:v>5311.67</c:v>
                </c:pt>
                <c:pt idx="1252">
                  <c:v>5355.44</c:v>
                </c:pt>
                <c:pt idx="1253">
                  <c:v>5346.11</c:v>
                </c:pt>
                <c:pt idx="1254">
                  <c:v>5325.04</c:v>
                </c:pt>
                <c:pt idx="1255">
                  <c:v>5301.82</c:v>
                </c:pt>
                <c:pt idx="1256">
                  <c:v>5241.87</c:v>
                </c:pt>
                <c:pt idx="1257">
                  <c:v>5150.72</c:v>
                </c:pt>
                <c:pt idx="1258">
                  <c:v>5123.63</c:v>
                </c:pt>
                <c:pt idx="1259">
                  <c:v>4985.7299999999996</c:v>
                </c:pt>
                <c:pt idx="1260">
                  <c:v>5007.6899999999996</c:v>
                </c:pt>
                <c:pt idx="1261">
                  <c:v>4991.87</c:v>
                </c:pt>
                <c:pt idx="1262">
                  <c:v>4958.5200000000004</c:v>
                </c:pt>
                <c:pt idx="1263">
                  <c:v>4979.3100000000004</c:v>
                </c:pt>
                <c:pt idx="1264">
                  <c:v>4959.67</c:v>
                </c:pt>
                <c:pt idx="1265">
                  <c:v>4967.3999999999996</c:v>
                </c:pt>
                <c:pt idx="1266">
                  <c:v>4969.7700000000004</c:v>
                </c:pt>
                <c:pt idx="1267">
                  <c:v>4886.58</c:v>
                </c:pt>
                <c:pt idx="1268">
                  <c:v>4740.2299999999996</c:v>
                </c:pt>
                <c:pt idx="1269">
                  <c:v>4574.0600000000004</c:v>
                </c:pt>
                <c:pt idx="1270">
                  <c:v>4622.63</c:v>
                </c:pt>
                <c:pt idx="1271">
                  <c:v>4628.6400000000003</c:v>
                </c:pt>
                <c:pt idx="1272">
                  <c:v>4617.91</c:v>
                </c:pt>
                <c:pt idx="1273">
                  <c:v>4685.88</c:v>
                </c:pt>
                <c:pt idx="1274">
                  <c:v>4729.1099999999997</c:v>
                </c:pt>
                <c:pt idx="1275">
                  <c:v>4651.57</c:v>
                </c:pt>
                <c:pt idx="1276">
                  <c:v>4600.8</c:v>
                </c:pt>
                <c:pt idx="1277">
                  <c:v>4626.08</c:v>
                </c:pt>
                <c:pt idx="1278">
                  <c:v>4657.51</c:v>
                </c:pt>
                <c:pt idx="1279">
                  <c:v>4641.3599999999997</c:v>
                </c:pt>
                <c:pt idx="1280">
                  <c:v>4692.91</c:v>
                </c:pt>
                <c:pt idx="1281">
                  <c:v>4839.82</c:v>
                </c:pt>
                <c:pt idx="1282">
                  <c:v>4965.66</c:v>
                </c:pt>
                <c:pt idx="1283">
                  <c:v>4926.1899999999996</c:v>
                </c:pt>
                <c:pt idx="1284">
                  <c:v>4931.8999999999996</c:v>
                </c:pt>
                <c:pt idx="1285">
                  <c:v>5001.5200000000004</c:v>
                </c:pt>
                <c:pt idx="1286">
                  <c:v>4985.09</c:v>
                </c:pt>
                <c:pt idx="1287">
                  <c:v>4955.58</c:v>
                </c:pt>
                <c:pt idx="1288">
                  <c:v>4928.91</c:v>
                </c:pt>
                <c:pt idx="1289">
                  <c:v>4888.04</c:v>
                </c:pt>
                <c:pt idx="1290">
                  <c:v>4989.58</c:v>
                </c:pt>
                <c:pt idx="1291">
                  <c:v>5032.16</c:v>
                </c:pt>
                <c:pt idx="1292">
                  <c:v>5037.8500000000004</c:v>
                </c:pt>
                <c:pt idx="1293">
                  <c:v>5064.88</c:v>
                </c:pt>
                <c:pt idx="1294">
                  <c:v>5129.1099999999997</c:v>
                </c:pt>
                <c:pt idx="1295">
                  <c:v>5210.33</c:v>
                </c:pt>
                <c:pt idx="1296">
                  <c:v>5239.03</c:v>
                </c:pt>
                <c:pt idx="1297">
                  <c:v>5245.58</c:v>
                </c:pt>
                <c:pt idx="1298">
                  <c:v>5273.88</c:v>
                </c:pt>
                <c:pt idx="1299">
                  <c:v>5279.14</c:v>
                </c:pt>
                <c:pt idx="1300">
                  <c:v>5147.84</c:v>
                </c:pt>
                <c:pt idx="1301">
                  <c:v>5109.1400000000003</c:v>
                </c:pt>
                <c:pt idx="1302">
                  <c:v>5079.1099999999997</c:v>
                </c:pt>
                <c:pt idx="1303">
                  <c:v>5144.29</c:v>
                </c:pt>
                <c:pt idx="1304">
                  <c:v>5173.66</c:v>
                </c:pt>
                <c:pt idx="1305">
                  <c:v>5134.24</c:v>
                </c:pt>
                <c:pt idx="1306">
                  <c:v>5035.3500000000004</c:v>
                </c:pt>
                <c:pt idx="1307">
                  <c:v>4895.6899999999996</c:v>
                </c:pt>
                <c:pt idx="1308">
                  <c:v>4923.88</c:v>
                </c:pt>
                <c:pt idx="1309">
                  <c:v>4848.07</c:v>
                </c:pt>
                <c:pt idx="1310">
                  <c:v>4613.8900000000003</c:v>
                </c:pt>
                <c:pt idx="1311">
                  <c:v>4518.41</c:v>
                </c:pt>
                <c:pt idx="1312">
                  <c:v>4410.57</c:v>
                </c:pt>
                <c:pt idx="1313">
                  <c:v>4502.67</c:v>
                </c:pt>
                <c:pt idx="1314">
                  <c:v>4513.08</c:v>
                </c:pt>
                <c:pt idx="1315">
                  <c:v>4431.2700000000004</c:v>
                </c:pt>
                <c:pt idx="1316">
                  <c:v>4487.82</c:v>
                </c:pt>
                <c:pt idx="1317">
                  <c:v>4511.7</c:v>
                </c:pt>
                <c:pt idx="1318">
                  <c:v>4497.18</c:v>
                </c:pt>
                <c:pt idx="1319">
                  <c:v>4477.8999999999996</c:v>
                </c:pt>
                <c:pt idx="1320">
                  <c:v>4506.3100000000004</c:v>
                </c:pt>
                <c:pt idx="1321">
                  <c:v>4406.58</c:v>
                </c:pt>
                <c:pt idx="1322">
                  <c:v>4298.78</c:v>
                </c:pt>
                <c:pt idx="1323">
                  <c:v>4164.3900000000003</c:v>
                </c:pt>
                <c:pt idx="1324">
                  <c:v>4108.38</c:v>
                </c:pt>
                <c:pt idx="1325">
                  <c:v>4017.87</c:v>
                </c:pt>
                <c:pt idx="1326">
                  <c:v>4180.88</c:v>
                </c:pt>
                <c:pt idx="1327">
                  <c:v>4076.31</c:v>
                </c:pt>
                <c:pt idx="1328">
                  <c:v>4064.14</c:v>
                </c:pt>
                <c:pt idx="1329">
                  <c:v>4010.01</c:v>
                </c:pt>
                <c:pt idx="1330">
                  <c:v>3994.78</c:v>
                </c:pt>
                <c:pt idx="1331">
                  <c:v>4033.7</c:v>
                </c:pt>
                <c:pt idx="1332">
                  <c:v>4126.8</c:v>
                </c:pt>
                <c:pt idx="1333">
                  <c:v>4260.1000000000004</c:v>
                </c:pt>
                <c:pt idx="1334">
                  <c:v>4164.6400000000003</c:v>
                </c:pt>
                <c:pt idx="1335">
                  <c:v>4203.76</c:v>
                </c:pt>
                <c:pt idx="1336">
                  <c:v>4227.6400000000003</c:v>
                </c:pt>
                <c:pt idx="1337">
                  <c:v>4210.47</c:v>
                </c:pt>
                <c:pt idx="1338">
                  <c:v>4241.45</c:v>
                </c:pt>
                <c:pt idx="1339">
                  <c:v>4232.2700000000004</c:v>
                </c:pt>
                <c:pt idx="1340">
                  <c:v>4197.01</c:v>
                </c:pt>
                <c:pt idx="1341">
                  <c:v>4217.84</c:v>
                </c:pt>
                <c:pt idx="1342">
                  <c:v>4267.6400000000003</c:v>
                </c:pt>
                <c:pt idx="1343">
                  <c:v>4234.75</c:v>
                </c:pt>
                <c:pt idx="1344">
                  <c:v>4175.88</c:v>
                </c:pt>
                <c:pt idx="1345">
                  <c:v>4110.1499999999996</c:v>
                </c:pt>
                <c:pt idx="1346">
                  <c:v>4093.3</c:v>
                </c:pt>
                <c:pt idx="1347">
                  <c:v>4074.94</c:v>
                </c:pt>
                <c:pt idx="1348">
                  <c:v>4009.86</c:v>
                </c:pt>
                <c:pt idx="1349">
                  <c:v>4002.43</c:v>
                </c:pt>
                <c:pt idx="1350">
                  <c:v>3793.31</c:v>
                </c:pt>
                <c:pt idx="1351">
                  <c:v>3841.44</c:v>
                </c:pt>
                <c:pt idx="1352">
                  <c:v>3848.56</c:v>
                </c:pt>
                <c:pt idx="1353">
                  <c:v>3839.06</c:v>
                </c:pt>
                <c:pt idx="1354">
                  <c:v>3894.56</c:v>
                </c:pt>
                <c:pt idx="1355">
                  <c:v>3850.51</c:v>
                </c:pt>
                <c:pt idx="1356">
                  <c:v>3836.65</c:v>
                </c:pt>
                <c:pt idx="1357">
                  <c:v>3906.69</c:v>
                </c:pt>
                <c:pt idx="1358">
                  <c:v>3845.09</c:v>
                </c:pt>
                <c:pt idx="1359">
                  <c:v>3792.46</c:v>
                </c:pt>
                <c:pt idx="1360">
                  <c:v>3796.54</c:v>
                </c:pt>
                <c:pt idx="1361">
                  <c:v>3776.92</c:v>
                </c:pt>
                <c:pt idx="1362">
                  <c:v>3713</c:v>
                </c:pt>
                <c:pt idx="1363">
                  <c:v>3611.21</c:v>
                </c:pt>
                <c:pt idx="1364">
                  <c:v>3631.57</c:v>
                </c:pt>
                <c:pt idx="1365">
                  <c:v>3638.49</c:v>
                </c:pt>
                <c:pt idx="1366">
                  <c:v>3560.36</c:v>
                </c:pt>
                <c:pt idx="1367">
                  <c:v>3461.75</c:v>
                </c:pt>
                <c:pt idx="1368">
                  <c:v>3264.77</c:v>
                </c:pt>
                <c:pt idx="1369">
                  <c:v>3347.26</c:v>
                </c:pt>
                <c:pt idx="1370">
                  <c:v>3513.24</c:v>
                </c:pt>
                <c:pt idx="1371">
                  <c:v>3519.68</c:v>
                </c:pt>
                <c:pt idx="1372">
                  <c:v>3610.58</c:v>
                </c:pt>
                <c:pt idx="1373">
                  <c:v>3681.67</c:v>
                </c:pt>
                <c:pt idx="1374">
                  <c:v>3603.44</c:v>
                </c:pt>
                <c:pt idx="1375">
                  <c:v>3619.27</c:v>
                </c:pt>
                <c:pt idx="1376">
                  <c:v>3695.23</c:v>
                </c:pt>
                <c:pt idx="1377">
                  <c:v>3757.73</c:v>
                </c:pt>
                <c:pt idx="1378">
                  <c:v>3842.98</c:v>
                </c:pt>
                <c:pt idx="1379">
                  <c:v>3734.79</c:v>
                </c:pt>
                <c:pt idx="1380">
                  <c:v>3792.72</c:v>
                </c:pt>
                <c:pt idx="1381">
                  <c:v>3836.11</c:v>
                </c:pt>
                <c:pt idx="1382">
                  <c:v>3879.41</c:v>
                </c:pt>
                <c:pt idx="1383">
                  <c:v>3892.8</c:v>
                </c:pt>
                <c:pt idx="1384">
                  <c:v>3919.7</c:v>
                </c:pt>
                <c:pt idx="1385">
                  <c:v>3917.37</c:v>
                </c:pt>
                <c:pt idx="1386">
                  <c:v>3989.86</c:v>
                </c:pt>
                <c:pt idx="1387">
                  <c:v>4035.52</c:v>
                </c:pt>
                <c:pt idx="1388">
                  <c:v>4110.8999999999996</c:v>
                </c:pt>
                <c:pt idx="1389">
                  <c:v>4114.6400000000003</c:v>
                </c:pt>
                <c:pt idx="1390">
                  <c:v>4105.05</c:v>
                </c:pt>
                <c:pt idx="1391">
                  <c:v>4105.3999999999996</c:v>
                </c:pt>
                <c:pt idx="1392">
                  <c:v>4015.81</c:v>
                </c:pt>
                <c:pt idx="1393">
                  <c:v>3966.98</c:v>
                </c:pt>
                <c:pt idx="1394">
                  <c:v>3917.11</c:v>
                </c:pt>
                <c:pt idx="1395">
                  <c:v>3800.31</c:v>
                </c:pt>
                <c:pt idx="1396">
                  <c:v>3844.11</c:v>
                </c:pt>
                <c:pt idx="1397">
                  <c:v>3928.18</c:v>
                </c:pt>
                <c:pt idx="1398">
                  <c:v>3918.36</c:v>
                </c:pt>
                <c:pt idx="1399">
                  <c:v>3988.12</c:v>
                </c:pt>
                <c:pt idx="1400">
                  <c:v>4036.42</c:v>
                </c:pt>
                <c:pt idx="1401">
                  <c:v>3969.68</c:v>
                </c:pt>
                <c:pt idx="1402">
                  <c:v>3938.59</c:v>
                </c:pt>
                <c:pt idx="1403">
                  <c:v>3916.05</c:v>
                </c:pt>
                <c:pt idx="1404">
                  <c:v>3911.12</c:v>
                </c:pt>
                <c:pt idx="1405">
                  <c:v>3849.23</c:v>
                </c:pt>
                <c:pt idx="1406">
                  <c:v>3762.27</c:v>
                </c:pt>
                <c:pt idx="1407">
                  <c:v>3774.07</c:v>
                </c:pt>
                <c:pt idx="1408">
                  <c:v>3766.74</c:v>
                </c:pt>
                <c:pt idx="1409">
                  <c:v>3775.02</c:v>
                </c:pt>
                <c:pt idx="1410">
                  <c:v>3793.77</c:v>
                </c:pt>
                <c:pt idx="1411">
                  <c:v>3811.27</c:v>
                </c:pt>
                <c:pt idx="1412">
                  <c:v>3711.87</c:v>
                </c:pt>
                <c:pt idx="1413">
                  <c:v>3692.19</c:v>
                </c:pt>
                <c:pt idx="1414">
                  <c:v>3674.76</c:v>
                </c:pt>
                <c:pt idx="1415">
                  <c:v>3645.39</c:v>
                </c:pt>
                <c:pt idx="1416">
                  <c:v>3624.81</c:v>
                </c:pt>
                <c:pt idx="1417">
                  <c:v>3578.91</c:v>
                </c:pt>
                <c:pt idx="1418">
                  <c:v>3621.64</c:v>
                </c:pt>
                <c:pt idx="1419">
                  <c:v>3587.59</c:v>
                </c:pt>
                <c:pt idx="1420">
                  <c:v>3509.08</c:v>
                </c:pt>
                <c:pt idx="1421">
                  <c:v>3527.19</c:v>
                </c:pt>
                <c:pt idx="1422">
                  <c:v>3489.99</c:v>
                </c:pt>
                <c:pt idx="1423">
                  <c:v>3503.77</c:v>
                </c:pt>
                <c:pt idx="1424">
                  <c:v>3504.29</c:v>
                </c:pt>
                <c:pt idx="1425">
                  <c:v>3500.17</c:v>
                </c:pt>
                <c:pt idx="1426">
                  <c:v>3556.05</c:v>
                </c:pt>
                <c:pt idx="1427">
                  <c:v>3686.52</c:v>
                </c:pt>
                <c:pt idx="1428">
                  <c:v>3596.68</c:v>
                </c:pt>
                <c:pt idx="1429">
                  <c:v>3616.58</c:v>
                </c:pt>
                <c:pt idx="1430">
                  <c:v>3579.53</c:v>
                </c:pt>
                <c:pt idx="1431">
                  <c:v>3530.04</c:v>
                </c:pt>
                <c:pt idx="1432">
                  <c:v>3590.59</c:v>
                </c:pt>
                <c:pt idx="1433">
                  <c:v>3607.7</c:v>
                </c:pt>
                <c:pt idx="1434">
                  <c:v>3637.47</c:v>
                </c:pt>
                <c:pt idx="1435">
                  <c:v>3598.83</c:v>
                </c:pt>
                <c:pt idx="1436">
                  <c:v>3638.56</c:v>
                </c:pt>
                <c:pt idx="1437">
                  <c:v>3644.5</c:v>
                </c:pt>
                <c:pt idx="1438">
                  <c:v>3637.69</c:v>
                </c:pt>
                <c:pt idx="1439">
                  <c:v>3608.83</c:v>
                </c:pt>
                <c:pt idx="1440">
                  <c:v>3635.56</c:v>
                </c:pt>
                <c:pt idx="1441">
                  <c:v>3640.09</c:v>
                </c:pt>
                <c:pt idx="1442">
                  <c:v>3637.55</c:v>
                </c:pt>
                <c:pt idx="1443">
                  <c:v>3638.07</c:v>
                </c:pt>
                <c:pt idx="1444">
                  <c:v>3638.41</c:v>
                </c:pt>
                <c:pt idx="1445">
                  <c:v>3640.44</c:v>
                </c:pt>
                <c:pt idx="1446">
                  <c:v>3631.83</c:v>
                </c:pt>
                <c:pt idx="1447">
                  <c:v>3628.82</c:v>
                </c:pt>
                <c:pt idx="1448">
                  <c:v>3627.64</c:v>
                </c:pt>
                <c:pt idx="1449">
                  <c:v>3633.8</c:v>
                </c:pt>
                <c:pt idx="1450">
                  <c:v>3651.9</c:v>
                </c:pt>
                <c:pt idx="1451">
                  <c:v>3623.91</c:v>
                </c:pt>
                <c:pt idx="1452">
                  <c:v>3624.69</c:v>
                </c:pt>
                <c:pt idx="1453">
                  <c:v>3591.42</c:v>
                </c:pt>
                <c:pt idx="1454">
                  <c:v>3536.15</c:v>
                </c:pt>
                <c:pt idx="1455">
                  <c:v>3539.06</c:v>
                </c:pt>
                <c:pt idx="1456">
                  <c:v>3512.08</c:v>
                </c:pt>
                <c:pt idx="1457">
                  <c:v>3499.87</c:v>
                </c:pt>
                <c:pt idx="1458">
                  <c:v>3455.72</c:v>
                </c:pt>
                <c:pt idx="1459">
                  <c:v>3475.17</c:v>
                </c:pt>
                <c:pt idx="1460">
                  <c:v>3495.02</c:v>
                </c:pt>
                <c:pt idx="1461">
                  <c:v>3494.41</c:v>
                </c:pt>
                <c:pt idx="1462">
                  <c:v>3490.7</c:v>
                </c:pt>
                <c:pt idx="1463">
                  <c:v>3487.06</c:v>
                </c:pt>
                <c:pt idx="1464">
                  <c:v>3481.39</c:v>
                </c:pt>
                <c:pt idx="1465">
                  <c:v>3450.15</c:v>
                </c:pt>
                <c:pt idx="1466">
                  <c:v>3466.62</c:v>
                </c:pt>
                <c:pt idx="1467">
                  <c:v>3446.48</c:v>
                </c:pt>
                <c:pt idx="1468">
                  <c:v>3391.36</c:v>
                </c:pt>
                <c:pt idx="1469">
                  <c:v>3310.24</c:v>
                </c:pt>
                <c:pt idx="1470">
                  <c:v>3346.34</c:v>
                </c:pt>
                <c:pt idx="1471">
                  <c:v>3255.45</c:v>
                </c:pt>
                <c:pt idx="1472">
                  <c:v>3090.17</c:v>
                </c:pt>
                <c:pt idx="1473">
                  <c:v>3119.25</c:v>
                </c:pt>
                <c:pt idx="1474">
                  <c:v>3020.69</c:v>
                </c:pt>
                <c:pt idx="1475">
                  <c:v>3259.52</c:v>
                </c:pt>
                <c:pt idx="1476">
                  <c:v>3183.74</c:v>
                </c:pt>
                <c:pt idx="1477">
                  <c:v>3090.28</c:v>
                </c:pt>
                <c:pt idx="1478">
                  <c:v>3088.02</c:v>
                </c:pt>
                <c:pt idx="1479">
                  <c:v>3125.64</c:v>
                </c:pt>
                <c:pt idx="1480">
                  <c:v>3100.2</c:v>
                </c:pt>
                <c:pt idx="1481">
                  <c:v>3044.25</c:v>
                </c:pt>
                <c:pt idx="1482">
                  <c:v>2990.97</c:v>
                </c:pt>
                <c:pt idx="1483">
                  <c:v>3037.69</c:v>
                </c:pt>
                <c:pt idx="1484">
                  <c:v>2975.91</c:v>
                </c:pt>
                <c:pt idx="1485">
                  <c:v>2967.01</c:v>
                </c:pt>
                <c:pt idx="1486">
                  <c:v>2777.09</c:v>
                </c:pt>
                <c:pt idx="1487">
                  <c:v>2662.68</c:v>
                </c:pt>
                <c:pt idx="1488">
                  <c:v>2460.56</c:v>
                </c:pt>
                <c:pt idx="1489">
                  <c:v>2209.4699999999998</c:v>
                </c:pt>
                <c:pt idx="1490">
                  <c:v>2561.37</c:v>
                </c:pt>
                <c:pt idx="1491">
                  <c:v>2762.62</c:v>
                </c:pt>
                <c:pt idx="1492">
                  <c:v>2542.2600000000002</c:v>
                </c:pt>
                <c:pt idx="1493">
                  <c:v>2607.04</c:v>
                </c:pt>
                <c:pt idx="1494">
                  <c:v>2531.73</c:v>
                </c:pt>
                <c:pt idx="1495">
                  <c:v>2580.08</c:v>
                </c:pt>
                <c:pt idx="1496">
                  <c:v>2551.0100000000002</c:v>
                </c:pt>
                <c:pt idx="1497">
                  <c:v>2411.16</c:v>
                </c:pt>
                <c:pt idx="1498">
                  <c:v>2372.63</c:v>
                </c:pt>
                <c:pt idx="1499">
                  <c:v>2192.85</c:v>
                </c:pt>
                <c:pt idx="1500">
                  <c:v>2083.89</c:v>
                </c:pt>
                <c:pt idx="1501">
                  <c:v>2152.6799999999998</c:v>
                </c:pt>
                <c:pt idx="1502">
                  <c:v>2161.61</c:v>
                </c:pt>
                <c:pt idx="1503">
                  <c:v>2177.5</c:v>
                </c:pt>
                <c:pt idx="1504">
                  <c:v>2191.84</c:v>
                </c:pt>
                <c:pt idx="1505">
                  <c:v>2232.77</c:v>
                </c:pt>
                <c:pt idx="1506">
                  <c:v>2399.31</c:v>
                </c:pt>
                <c:pt idx="1507">
                  <c:v>2313.88</c:v>
                </c:pt>
                <c:pt idx="1508">
                  <c:v>2196.94</c:v>
                </c:pt>
                <c:pt idx="1509">
                  <c:v>2190.7199999999998</c:v>
                </c:pt>
                <c:pt idx="1510">
                  <c:v>2216.9899999999998</c:v>
                </c:pt>
                <c:pt idx="1511">
                  <c:v>2111.89</c:v>
                </c:pt>
                <c:pt idx="1512">
                  <c:v>2050.39</c:v>
                </c:pt>
                <c:pt idx="1513">
                  <c:v>2050.59</c:v>
                </c:pt>
                <c:pt idx="1514">
                  <c:v>2044.25</c:v>
                </c:pt>
                <c:pt idx="1515">
                  <c:v>1932.87</c:v>
                </c:pt>
                <c:pt idx="1516">
                  <c:v>1869.35</c:v>
                </c:pt>
                <c:pt idx="1517">
                  <c:v>1818.22</c:v>
                </c:pt>
                <c:pt idx="1518">
                  <c:v>1696.91</c:v>
                </c:pt>
                <c:pt idx="1519">
                  <c:v>1713.66</c:v>
                </c:pt>
                <c:pt idx="1520">
                  <c:v>1732.55</c:v>
                </c:pt>
                <c:pt idx="1521">
                  <c:v>1734.3</c:v>
                </c:pt>
                <c:pt idx="1522">
                  <c:v>1642.65</c:v>
                </c:pt>
                <c:pt idx="1523">
                  <c:v>1680.33</c:v>
                </c:pt>
                <c:pt idx="1524">
                  <c:v>1607.29</c:v>
                </c:pt>
                <c:pt idx="1525">
                  <c:v>1503.36</c:v>
                </c:pt>
                <c:pt idx="1526">
                  <c:v>1515.22</c:v>
                </c:pt>
                <c:pt idx="1527">
                  <c:v>1518.13</c:v>
                </c:pt>
                <c:pt idx="1528">
                  <c:v>1562.23</c:v>
                </c:pt>
                <c:pt idx="1529">
                  <c:v>1539.61</c:v>
                </c:pt>
                <c:pt idx="1530">
                  <c:v>1631.17</c:v>
                </c:pt>
                <c:pt idx="1531">
                  <c:v>1664.87</c:v>
                </c:pt>
                <c:pt idx="1532">
                  <c:v>1704.71</c:v>
                </c:pt>
                <c:pt idx="1533">
                  <c:v>1667.55</c:v>
                </c:pt>
                <c:pt idx="1534">
                  <c:v>1619.17</c:v>
                </c:pt>
                <c:pt idx="1535">
                  <c:v>1674.61</c:v>
                </c:pt>
                <c:pt idx="1536">
                  <c:v>1732.22</c:v>
                </c:pt>
                <c:pt idx="1537">
                  <c:v>1743.86</c:v>
                </c:pt>
                <c:pt idx="1538">
                  <c:v>1739.81</c:v>
                </c:pt>
                <c:pt idx="1539">
                  <c:v>1737.64</c:v>
                </c:pt>
                <c:pt idx="1540">
                  <c:v>1760.24</c:v>
                </c:pt>
                <c:pt idx="1541">
                  <c:v>1756.75</c:v>
                </c:pt>
                <c:pt idx="1542">
                  <c:v>1758.57</c:v>
                </c:pt>
                <c:pt idx="1543">
                  <c:v>1752.11</c:v>
                </c:pt>
                <c:pt idx="1544">
                  <c:v>1715.6</c:v>
                </c:pt>
                <c:pt idx="1545">
                  <c:v>1722.25</c:v>
                </c:pt>
                <c:pt idx="1546">
                  <c:v>1772.19</c:v>
                </c:pt>
                <c:pt idx="1547">
                  <c:v>1779.4</c:v>
                </c:pt>
                <c:pt idx="1548">
                  <c:v>1773.48</c:v>
                </c:pt>
                <c:pt idx="1549">
                  <c:v>1831.29</c:v>
                </c:pt>
                <c:pt idx="1550">
                  <c:v>1871.81</c:v>
                </c:pt>
                <c:pt idx="1551">
                  <c:v>1826.67</c:v>
                </c:pt>
                <c:pt idx="1552">
                  <c:v>1743.8</c:v>
                </c:pt>
                <c:pt idx="1553">
                  <c:v>1762.35</c:v>
                </c:pt>
                <c:pt idx="1554">
                  <c:v>1790.72</c:v>
                </c:pt>
                <c:pt idx="1555">
                  <c:v>1777.01</c:v>
                </c:pt>
                <c:pt idx="1556">
                  <c:v>1760.77</c:v>
                </c:pt>
                <c:pt idx="1557">
                  <c:v>1787.98</c:v>
                </c:pt>
                <c:pt idx="1558">
                  <c:v>1762.93</c:v>
                </c:pt>
                <c:pt idx="1559">
                  <c:v>1746.95</c:v>
                </c:pt>
                <c:pt idx="1560">
                  <c:v>1745.21</c:v>
                </c:pt>
                <c:pt idx="1561">
                  <c:v>1713.09</c:v>
                </c:pt>
                <c:pt idx="1562">
                  <c:v>1718.61</c:v>
                </c:pt>
                <c:pt idx="1563">
                  <c:v>1699.41</c:v>
                </c:pt>
                <c:pt idx="1564">
                  <c:v>1681.77</c:v>
                </c:pt>
                <c:pt idx="1565">
                  <c:v>1615.36</c:v>
                </c:pt>
                <c:pt idx="1566">
                  <c:v>1620.98</c:v>
                </c:pt>
                <c:pt idx="1567">
                  <c:v>1656.93</c:v>
                </c:pt>
                <c:pt idx="1568">
                  <c:v>1664.96</c:v>
                </c:pt>
                <c:pt idx="1569">
                  <c:v>1691.96</c:v>
                </c:pt>
                <c:pt idx="1570">
                  <c:v>1689.72</c:v>
                </c:pt>
                <c:pt idx="1571">
                  <c:v>1673.54</c:v>
                </c:pt>
                <c:pt idx="1572">
                  <c:v>1660.2</c:v>
                </c:pt>
                <c:pt idx="1573">
                  <c:v>1566.79</c:v>
                </c:pt>
                <c:pt idx="1574">
                  <c:v>1601.41</c:v>
                </c:pt>
                <c:pt idx="1575">
                  <c:v>1559.1</c:v>
                </c:pt>
                <c:pt idx="1576">
                  <c:v>1484.39</c:v>
                </c:pt>
                <c:pt idx="1577">
                  <c:v>1511.38</c:v>
                </c:pt>
                <c:pt idx="1578">
                  <c:v>1516.13</c:v>
                </c:pt>
                <c:pt idx="1579">
                  <c:v>1465.15</c:v>
                </c:pt>
                <c:pt idx="1580">
                  <c:v>1457.45</c:v>
                </c:pt>
                <c:pt idx="1581">
                  <c:v>1402.47</c:v>
                </c:pt>
                <c:pt idx="1582">
                  <c:v>1404.96</c:v>
                </c:pt>
                <c:pt idx="1583">
                  <c:v>1409.23</c:v>
                </c:pt>
                <c:pt idx="1584">
                  <c:v>1383.71</c:v>
                </c:pt>
                <c:pt idx="1585">
                  <c:v>1332.06</c:v>
                </c:pt>
                <c:pt idx="1586">
                  <c:v>1288.49</c:v>
                </c:pt>
                <c:pt idx="1587">
                  <c:v>1308.8900000000001</c:v>
                </c:pt>
                <c:pt idx="1588">
                  <c:v>1291.47</c:v>
                </c:pt>
                <c:pt idx="1589">
                  <c:v>1283.45</c:v>
                </c:pt>
                <c:pt idx="1590">
                  <c:v>1262.58</c:v>
                </c:pt>
                <c:pt idx="1591">
                  <c:v>1313.91</c:v>
                </c:pt>
                <c:pt idx="1592">
                  <c:v>1322.41</c:v>
                </c:pt>
                <c:pt idx="1593">
                  <c:v>1305.3399999999999</c:v>
                </c:pt>
                <c:pt idx="1594">
                  <c:v>1324.96</c:v>
                </c:pt>
                <c:pt idx="1595">
                  <c:v>1330.91</c:v>
                </c:pt>
                <c:pt idx="1596">
                  <c:v>1315.48</c:v>
                </c:pt>
                <c:pt idx="1597">
                  <c:v>1326.41</c:v>
                </c:pt>
                <c:pt idx="1598">
                  <c:v>1367.32</c:v>
                </c:pt>
                <c:pt idx="1599">
                  <c:v>1376.04</c:v>
                </c:pt>
                <c:pt idx="1600">
                  <c:v>1420.83</c:v>
                </c:pt>
                <c:pt idx="1601">
                  <c:v>1413.85</c:v>
                </c:pt>
                <c:pt idx="1602">
                  <c:v>1440.26</c:v>
                </c:pt>
                <c:pt idx="1603">
                  <c:v>1455.68</c:v>
                </c:pt>
                <c:pt idx="1604">
                  <c:v>1448.57</c:v>
                </c:pt>
                <c:pt idx="1605">
                  <c:v>1395.31</c:v>
                </c:pt>
                <c:pt idx="1606">
                  <c:v>1451.32</c:v>
                </c:pt>
                <c:pt idx="1607">
                  <c:v>1451.96</c:v>
                </c:pt>
                <c:pt idx="1608">
                  <c:v>1534.27</c:v>
                </c:pt>
                <c:pt idx="1609">
                  <c:v>1533.74</c:v>
                </c:pt>
                <c:pt idx="1610">
                  <c:v>1528.34</c:v>
                </c:pt>
                <c:pt idx="1611">
                  <c:v>1516.79</c:v>
                </c:pt>
                <c:pt idx="1612">
                  <c:v>1512.48</c:v>
                </c:pt>
                <c:pt idx="1613">
                  <c:v>1552.31</c:v>
                </c:pt>
                <c:pt idx="1614">
                  <c:v>1569.69</c:v>
                </c:pt>
                <c:pt idx="1615">
                  <c:v>1564.45</c:v>
                </c:pt>
                <c:pt idx="1616">
                  <c:v>1597.34</c:v>
                </c:pt>
                <c:pt idx="1617">
                  <c:v>1588.66</c:v>
                </c:pt>
                <c:pt idx="1618">
                  <c:v>1533.81</c:v>
                </c:pt>
                <c:pt idx="1619">
                  <c:v>1523.87</c:v>
                </c:pt>
                <c:pt idx="1620">
                  <c:v>1524.74</c:v>
                </c:pt>
                <c:pt idx="1621">
                  <c:v>1533.96</c:v>
                </c:pt>
                <c:pt idx="1622">
                  <c:v>1540.43</c:v>
                </c:pt>
                <c:pt idx="1623">
                  <c:v>1523.8</c:v>
                </c:pt>
                <c:pt idx="1624">
                  <c:v>1504.82</c:v>
                </c:pt>
                <c:pt idx="1625">
                  <c:v>1539.29</c:v>
                </c:pt>
                <c:pt idx="1626">
                  <c:v>1593.57</c:v>
                </c:pt>
                <c:pt idx="1627">
                  <c:v>1634.49</c:v>
                </c:pt>
                <c:pt idx="1628">
                  <c:v>1649.17</c:v>
                </c:pt>
                <c:pt idx="1629">
                  <c:v>1717.3</c:v>
                </c:pt>
                <c:pt idx="1630">
                  <c:v>1828.49</c:v>
                </c:pt>
                <c:pt idx="1631">
                  <c:v>1836.55</c:v>
                </c:pt>
                <c:pt idx="1632">
                  <c:v>1819.3</c:v>
                </c:pt>
                <c:pt idx="1633">
                  <c:v>1866.15</c:v>
                </c:pt>
                <c:pt idx="1634">
                  <c:v>1801.73</c:v>
                </c:pt>
                <c:pt idx="1635">
                  <c:v>1772.03</c:v>
                </c:pt>
                <c:pt idx="1636">
                  <c:v>1800.12</c:v>
                </c:pt>
                <c:pt idx="1637">
                  <c:v>1815.77</c:v>
                </c:pt>
                <c:pt idx="1638">
                  <c:v>1861.92</c:v>
                </c:pt>
                <c:pt idx="1639">
                  <c:v>1933.05</c:v>
                </c:pt>
                <c:pt idx="1640">
                  <c:v>1891.72</c:v>
                </c:pt>
                <c:pt idx="1641">
                  <c:v>1946.17</c:v>
                </c:pt>
                <c:pt idx="1642">
                  <c:v>1979.53</c:v>
                </c:pt>
                <c:pt idx="1643">
                  <c:v>1988.74</c:v>
                </c:pt>
                <c:pt idx="1644">
                  <c:v>2082.1</c:v>
                </c:pt>
                <c:pt idx="1645">
                  <c:v>2117.0300000000002</c:v>
                </c:pt>
                <c:pt idx="1646">
                  <c:v>2144.14</c:v>
                </c:pt>
                <c:pt idx="1647">
                  <c:v>2272.94</c:v>
                </c:pt>
                <c:pt idx="1648">
                  <c:v>2247.19</c:v>
                </c:pt>
                <c:pt idx="1649">
                  <c:v>2094.84</c:v>
                </c:pt>
                <c:pt idx="1650">
                  <c:v>2006.82</c:v>
                </c:pt>
                <c:pt idx="1651">
                  <c:v>2037.67</c:v>
                </c:pt>
                <c:pt idx="1652">
                  <c:v>1986.13</c:v>
                </c:pt>
                <c:pt idx="1653">
                  <c:v>1943.19</c:v>
                </c:pt>
                <c:pt idx="1654">
                  <c:v>2015.19</c:v>
                </c:pt>
                <c:pt idx="1655">
                  <c:v>2036.31</c:v>
                </c:pt>
                <c:pt idx="1656">
                  <c:v>1956.86</c:v>
                </c:pt>
                <c:pt idx="1657">
                  <c:v>1973.42</c:v>
                </c:pt>
                <c:pt idx="1658">
                  <c:v>1904.7</c:v>
                </c:pt>
                <c:pt idx="1659">
                  <c:v>1909.79</c:v>
                </c:pt>
                <c:pt idx="1660">
                  <c:v>1922.24</c:v>
                </c:pt>
                <c:pt idx="1661">
                  <c:v>1866.51</c:v>
                </c:pt>
                <c:pt idx="1662">
                  <c:v>1889.3</c:v>
                </c:pt>
                <c:pt idx="1663">
                  <c:v>1891.96</c:v>
                </c:pt>
                <c:pt idx="1664">
                  <c:v>1905.41</c:v>
                </c:pt>
                <c:pt idx="1665">
                  <c:v>1896.36</c:v>
                </c:pt>
                <c:pt idx="1666">
                  <c:v>1821.81</c:v>
                </c:pt>
                <c:pt idx="1667">
                  <c:v>1783.8</c:v>
                </c:pt>
                <c:pt idx="1668">
                  <c:v>1725.37</c:v>
                </c:pt>
                <c:pt idx="1669">
                  <c:v>1687.08</c:v>
                </c:pt>
                <c:pt idx="1670">
                  <c:v>1736.4</c:v>
                </c:pt>
                <c:pt idx="1671">
                  <c:v>1736.49</c:v>
                </c:pt>
                <c:pt idx="1672">
                  <c:v>1792.47</c:v>
                </c:pt>
                <c:pt idx="1673">
                  <c:v>1777.1</c:v>
                </c:pt>
                <c:pt idx="1674">
                  <c:v>1763.91</c:v>
                </c:pt>
                <c:pt idx="1675">
                  <c:v>1808.42</c:v>
                </c:pt>
                <c:pt idx="1676">
                  <c:v>1889.14</c:v>
                </c:pt>
                <c:pt idx="1677">
                  <c:v>1910.31</c:v>
                </c:pt>
                <c:pt idx="1678">
                  <c:v>1864.39</c:v>
                </c:pt>
                <c:pt idx="1679">
                  <c:v>1877.18</c:v>
                </c:pt>
                <c:pt idx="1680">
                  <c:v>1887.95</c:v>
                </c:pt>
                <c:pt idx="1681">
                  <c:v>1843.7</c:v>
                </c:pt>
                <c:pt idx="1682">
                  <c:v>1831.56</c:v>
                </c:pt>
                <c:pt idx="1683">
                  <c:v>1859.89</c:v>
                </c:pt>
                <c:pt idx="1684">
                  <c:v>1856.59</c:v>
                </c:pt>
                <c:pt idx="1685">
                  <c:v>1833.04</c:v>
                </c:pt>
                <c:pt idx="1686">
                  <c:v>1817.89</c:v>
                </c:pt>
                <c:pt idx="1687">
                  <c:v>1849.56</c:v>
                </c:pt>
                <c:pt idx="1688">
                  <c:v>1878.94</c:v>
                </c:pt>
                <c:pt idx="1689">
                  <c:v>1928.62</c:v>
                </c:pt>
                <c:pt idx="1690">
                  <c:v>1904.56</c:v>
                </c:pt>
                <c:pt idx="1691">
                  <c:v>1899.8</c:v>
                </c:pt>
                <c:pt idx="1692">
                  <c:v>1913.27</c:v>
                </c:pt>
                <c:pt idx="1693">
                  <c:v>1893.4</c:v>
                </c:pt>
                <c:pt idx="1694">
                  <c:v>1894.72</c:v>
                </c:pt>
                <c:pt idx="1695">
                  <c:v>1891.08</c:v>
                </c:pt>
                <c:pt idx="1696">
                  <c:v>1926.59</c:v>
                </c:pt>
                <c:pt idx="1697">
                  <c:v>1917.57</c:v>
                </c:pt>
                <c:pt idx="1698">
                  <c:v>1884.44</c:v>
                </c:pt>
                <c:pt idx="1699">
                  <c:v>1896.93</c:v>
                </c:pt>
                <c:pt idx="1700">
                  <c:v>1893.51</c:v>
                </c:pt>
                <c:pt idx="1701">
                  <c:v>1897.22</c:v>
                </c:pt>
                <c:pt idx="1702">
                  <c:v>1963.68</c:v>
                </c:pt>
                <c:pt idx="1703">
                  <c:v>2013.41</c:v>
                </c:pt>
                <c:pt idx="1704">
                  <c:v>2039.84</c:v>
                </c:pt>
                <c:pt idx="1705">
                  <c:v>2029.64</c:v>
                </c:pt>
                <c:pt idx="1706">
                  <c:v>2009.66</c:v>
                </c:pt>
                <c:pt idx="1707">
                  <c:v>2038.29</c:v>
                </c:pt>
                <c:pt idx="1708">
                  <c:v>2009.02</c:v>
                </c:pt>
                <c:pt idx="1709">
                  <c:v>2015.45</c:v>
                </c:pt>
                <c:pt idx="1710">
                  <c:v>1996.03</c:v>
                </c:pt>
                <c:pt idx="1711">
                  <c:v>2028.87</c:v>
                </c:pt>
                <c:pt idx="1712">
                  <c:v>2026.1</c:v>
                </c:pt>
                <c:pt idx="1713">
                  <c:v>2051.87</c:v>
                </c:pt>
                <c:pt idx="1714">
                  <c:v>2076.23</c:v>
                </c:pt>
                <c:pt idx="1715">
                  <c:v>2067.79</c:v>
                </c:pt>
                <c:pt idx="1716">
                  <c:v>2076.1999999999998</c:v>
                </c:pt>
                <c:pt idx="1717">
                  <c:v>2141.09</c:v>
                </c:pt>
                <c:pt idx="1718">
                  <c:v>2144.5100000000002</c:v>
                </c:pt>
                <c:pt idx="1719">
                  <c:v>2200.84</c:v>
                </c:pt>
                <c:pt idx="1720">
                  <c:v>2228.91</c:v>
                </c:pt>
                <c:pt idx="1721">
                  <c:v>2236.65</c:v>
                </c:pt>
                <c:pt idx="1722">
                  <c:v>2219.6</c:v>
                </c:pt>
                <c:pt idx="1723">
                  <c:v>2184.81</c:v>
                </c:pt>
                <c:pt idx="1724">
                  <c:v>2200.7199999999998</c:v>
                </c:pt>
                <c:pt idx="1725">
                  <c:v>2197.83</c:v>
                </c:pt>
                <c:pt idx="1726">
                  <c:v>2194.61</c:v>
                </c:pt>
                <c:pt idx="1727">
                  <c:v>2155.7800000000002</c:v>
                </c:pt>
                <c:pt idx="1728">
                  <c:v>2161.65</c:v>
                </c:pt>
                <c:pt idx="1729">
                  <c:v>2200.5500000000002</c:v>
                </c:pt>
                <c:pt idx="1730">
                  <c:v>2197.36</c:v>
                </c:pt>
                <c:pt idx="1731">
                  <c:v>2212.86</c:v>
                </c:pt>
                <c:pt idx="1732">
                  <c:v>2175.0500000000002</c:v>
                </c:pt>
                <c:pt idx="1733">
                  <c:v>2167.36</c:v>
                </c:pt>
                <c:pt idx="1734">
                  <c:v>2205.13</c:v>
                </c:pt>
                <c:pt idx="1735">
                  <c:v>2197.4499999999998</c:v>
                </c:pt>
                <c:pt idx="1736">
                  <c:v>2251.7199999999998</c:v>
                </c:pt>
                <c:pt idx="1737">
                  <c:v>2243.69</c:v>
                </c:pt>
                <c:pt idx="1738">
                  <c:v>2298.9899999999998</c:v>
                </c:pt>
                <c:pt idx="1739">
                  <c:v>2292.23</c:v>
                </c:pt>
                <c:pt idx="1740">
                  <c:v>2282.79</c:v>
                </c:pt>
                <c:pt idx="1741">
                  <c:v>2273.65</c:v>
                </c:pt>
                <c:pt idx="1742">
                  <c:v>2265.3200000000002</c:v>
                </c:pt>
                <c:pt idx="1743">
                  <c:v>2237.58</c:v>
                </c:pt>
                <c:pt idx="1744">
                  <c:v>2232.84</c:v>
                </c:pt>
                <c:pt idx="1745">
                  <c:v>2232.75</c:v>
                </c:pt>
                <c:pt idx="1746">
                  <c:v>2164.73</c:v>
                </c:pt>
                <c:pt idx="1747">
                  <c:v>2172.38</c:v>
                </c:pt>
                <c:pt idx="1748">
                  <c:v>2148.63</c:v>
                </c:pt>
                <c:pt idx="1749">
                  <c:v>2145.8200000000002</c:v>
                </c:pt>
                <c:pt idx="1750">
                  <c:v>2144.77</c:v>
                </c:pt>
                <c:pt idx="1751">
                  <c:v>2117.7399999999998</c:v>
                </c:pt>
                <c:pt idx="1752">
                  <c:v>2087.58</c:v>
                </c:pt>
                <c:pt idx="1753">
                  <c:v>2110.3000000000002</c:v>
                </c:pt>
                <c:pt idx="1754">
                  <c:v>2133.85</c:v>
                </c:pt>
                <c:pt idx="1755">
                  <c:v>2120.58</c:v>
                </c:pt>
                <c:pt idx="1756">
                  <c:v>2109.59</c:v>
                </c:pt>
                <c:pt idx="1757">
                  <c:v>2070.44</c:v>
                </c:pt>
                <c:pt idx="1758">
                  <c:v>2085.27</c:v>
                </c:pt>
                <c:pt idx="1759">
                  <c:v>2109.71</c:v>
                </c:pt>
                <c:pt idx="1760">
                  <c:v>2116.4299999999998</c:v>
                </c:pt>
                <c:pt idx="1761">
                  <c:v>2146.52</c:v>
                </c:pt>
                <c:pt idx="1762">
                  <c:v>2135.67</c:v>
                </c:pt>
                <c:pt idx="1763">
                  <c:v>2128.63</c:v>
                </c:pt>
                <c:pt idx="1764">
                  <c:v>2110.58</c:v>
                </c:pt>
                <c:pt idx="1765">
                  <c:v>2090.92</c:v>
                </c:pt>
                <c:pt idx="1766">
                  <c:v>2073.48</c:v>
                </c:pt>
                <c:pt idx="1767">
                  <c:v>2052.2600000000002</c:v>
                </c:pt>
                <c:pt idx="1768">
                  <c:v>2066.9899999999998</c:v>
                </c:pt>
                <c:pt idx="1769">
                  <c:v>2039.6</c:v>
                </c:pt>
                <c:pt idx="1770">
                  <c:v>2038.04</c:v>
                </c:pt>
                <c:pt idx="1771">
                  <c:v>2066.91</c:v>
                </c:pt>
                <c:pt idx="1772">
                  <c:v>2115</c:v>
                </c:pt>
                <c:pt idx="1773">
                  <c:v>2124.12</c:v>
                </c:pt>
                <c:pt idx="1774">
                  <c:v>2102.1999999999998</c:v>
                </c:pt>
                <c:pt idx="1775">
                  <c:v>2110.31</c:v>
                </c:pt>
                <c:pt idx="1776">
                  <c:v>2080.7399999999998</c:v>
                </c:pt>
                <c:pt idx="1777">
                  <c:v>2059.0700000000002</c:v>
                </c:pt>
                <c:pt idx="1778">
                  <c:v>2058.25</c:v>
                </c:pt>
                <c:pt idx="1779">
                  <c:v>2067.7800000000002</c:v>
                </c:pt>
                <c:pt idx="1780">
                  <c:v>2066.5500000000002</c:v>
                </c:pt>
                <c:pt idx="1781">
                  <c:v>2041.81</c:v>
                </c:pt>
                <c:pt idx="1782">
                  <c:v>2022.46</c:v>
                </c:pt>
                <c:pt idx="1783">
                  <c:v>2025.7</c:v>
                </c:pt>
                <c:pt idx="1784">
                  <c:v>2004.59</c:v>
                </c:pt>
                <c:pt idx="1785">
                  <c:v>1977.02</c:v>
                </c:pt>
                <c:pt idx="1786">
                  <c:v>1936.53</c:v>
                </c:pt>
                <c:pt idx="1787">
                  <c:v>1982.5</c:v>
                </c:pt>
                <c:pt idx="1788">
                  <c:v>1996.32</c:v>
                </c:pt>
                <c:pt idx="1789">
                  <c:v>1987.42</c:v>
                </c:pt>
                <c:pt idx="1790">
                  <c:v>1997.13</c:v>
                </c:pt>
                <c:pt idx="1791">
                  <c:v>1993.83</c:v>
                </c:pt>
                <c:pt idx="1792">
                  <c:v>1979.05</c:v>
                </c:pt>
                <c:pt idx="1793">
                  <c:v>2004.06</c:v>
                </c:pt>
                <c:pt idx="1794">
                  <c:v>2023.36</c:v>
                </c:pt>
                <c:pt idx="1795">
                  <c:v>2050.69</c:v>
                </c:pt>
                <c:pt idx="1796">
                  <c:v>2059.9</c:v>
                </c:pt>
                <c:pt idx="1797">
                  <c:v>2074.79</c:v>
                </c:pt>
                <c:pt idx="1798">
                  <c:v>2112.17</c:v>
                </c:pt>
                <c:pt idx="1799">
                  <c:v>2104.4699999999998</c:v>
                </c:pt>
                <c:pt idx="1800">
                  <c:v>2128.94</c:v>
                </c:pt>
                <c:pt idx="1801">
                  <c:v>2131.25</c:v>
                </c:pt>
                <c:pt idx="1802">
                  <c:v>2158.21</c:v>
                </c:pt>
                <c:pt idx="1803">
                  <c:v>2157.94</c:v>
                </c:pt>
                <c:pt idx="1804">
                  <c:v>2155.2199999999998</c:v>
                </c:pt>
                <c:pt idx="1805">
                  <c:v>2168.69</c:v>
                </c:pt>
                <c:pt idx="1806">
                  <c:v>2171.5300000000002</c:v>
                </c:pt>
                <c:pt idx="1807">
                  <c:v>2155.5300000000002</c:v>
                </c:pt>
                <c:pt idx="1808">
                  <c:v>2140.8200000000002</c:v>
                </c:pt>
                <c:pt idx="1809">
                  <c:v>2170.6999999999998</c:v>
                </c:pt>
                <c:pt idx="1810">
                  <c:v>2198.73</c:v>
                </c:pt>
                <c:pt idx="1811">
                  <c:v>2196.41</c:v>
                </c:pt>
                <c:pt idx="1812">
                  <c:v>2203.4</c:v>
                </c:pt>
                <c:pt idx="1813">
                  <c:v>2194.75</c:v>
                </c:pt>
                <c:pt idx="1814">
                  <c:v>2193.14</c:v>
                </c:pt>
                <c:pt idx="1815">
                  <c:v>2212.1799999999998</c:v>
                </c:pt>
                <c:pt idx="1816">
                  <c:v>2178.5500000000002</c:v>
                </c:pt>
                <c:pt idx="1817">
                  <c:v>2150.3200000000002</c:v>
                </c:pt>
                <c:pt idx="1818">
                  <c:v>2147.3200000000002</c:v>
                </c:pt>
                <c:pt idx="1819">
                  <c:v>2159.12</c:v>
                </c:pt>
                <c:pt idx="1820">
                  <c:v>2143.71</c:v>
                </c:pt>
                <c:pt idx="1821">
                  <c:v>2140.67</c:v>
                </c:pt>
                <c:pt idx="1822">
                  <c:v>2145.0300000000002</c:v>
                </c:pt>
                <c:pt idx="1823">
                  <c:v>2141.02</c:v>
                </c:pt>
                <c:pt idx="1824">
                  <c:v>2134.69</c:v>
                </c:pt>
                <c:pt idx="1825">
                  <c:v>2162.85</c:v>
                </c:pt>
                <c:pt idx="1826">
                  <c:v>2171.37</c:v>
                </c:pt>
                <c:pt idx="1827">
                  <c:v>2183.7199999999998</c:v>
                </c:pt>
                <c:pt idx="1828">
                  <c:v>2174.7399999999998</c:v>
                </c:pt>
                <c:pt idx="1829">
                  <c:v>2160.25</c:v>
                </c:pt>
                <c:pt idx="1830">
                  <c:v>2160.2800000000002</c:v>
                </c:pt>
                <c:pt idx="1831">
                  <c:v>2143.1999999999998</c:v>
                </c:pt>
                <c:pt idx="1832">
                  <c:v>2138.12</c:v>
                </c:pt>
                <c:pt idx="1833">
                  <c:v>2144.87</c:v>
                </c:pt>
                <c:pt idx="1834">
                  <c:v>2149.36</c:v>
                </c:pt>
                <c:pt idx="1835">
                  <c:v>2121.1999999999998</c:v>
                </c:pt>
                <c:pt idx="1836">
                  <c:v>2126.2600000000002</c:v>
                </c:pt>
                <c:pt idx="1837">
                  <c:v>2138.0300000000002</c:v>
                </c:pt>
                <c:pt idx="1838">
                  <c:v>2139.13</c:v>
                </c:pt>
                <c:pt idx="1839">
                  <c:v>2126.0500000000002</c:v>
                </c:pt>
                <c:pt idx="1840">
                  <c:v>2142.59</c:v>
                </c:pt>
                <c:pt idx="1841">
                  <c:v>2141.5700000000002</c:v>
                </c:pt>
                <c:pt idx="1842">
                  <c:v>2171.31</c:v>
                </c:pt>
                <c:pt idx="1843">
                  <c:v>2171.1999999999998</c:v>
                </c:pt>
                <c:pt idx="1844">
                  <c:v>2162.11</c:v>
                </c:pt>
                <c:pt idx="1845">
                  <c:v>2166.46</c:v>
                </c:pt>
                <c:pt idx="1846">
                  <c:v>2162.54</c:v>
                </c:pt>
                <c:pt idx="1847">
                  <c:v>2151.66</c:v>
                </c:pt>
                <c:pt idx="1848">
                  <c:v>2135.09</c:v>
                </c:pt>
                <c:pt idx="1849">
                  <c:v>2143.58</c:v>
                </c:pt>
                <c:pt idx="1850">
                  <c:v>2138.3000000000002</c:v>
                </c:pt>
                <c:pt idx="1851">
                  <c:v>2140.7399999999998</c:v>
                </c:pt>
                <c:pt idx="1852">
                  <c:v>2140.75</c:v>
                </c:pt>
                <c:pt idx="1853">
                  <c:v>2135.19</c:v>
                </c:pt>
                <c:pt idx="1854">
                  <c:v>2137.06</c:v>
                </c:pt>
                <c:pt idx="1855">
                  <c:v>2142.8200000000002</c:v>
                </c:pt>
                <c:pt idx="1856">
                  <c:v>2145.7199999999998</c:v>
                </c:pt>
                <c:pt idx="1857">
                  <c:v>2153.9899999999998</c:v>
                </c:pt>
                <c:pt idx="1858">
                  <c:v>2172.6</c:v>
                </c:pt>
                <c:pt idx="1859">
                  <c:v>2169.64</c:v>
                </c:pt>
                <c:pt idx="1860">
                  <c:v>2174.35</c:v>
                </c:pt>
                <c:pt idx="1861">
                  <c:v>2169.71</c:v>
                </c:pt>
                <c:pt idx="1862">
                  <c:v>2174.14</c:v>
                </c:pt>
                <c:pt idx="1863">
                  <c:v>2184</c:v>
                </c:pt>
                <c:pt idx="1864">
                  <c:v>2196.14</c:v>
                </c:pt>
                <c:pt idx="1865">
                  <c:v>2195.0100000000002</c:v>
                </c:pt>
                <c:pt idx="1866">
                  <c:v>2170.4499999999998</c:v>
                </c:pt>
                <c:pt idx="1867">
                  <c:v>2206.15</c:v>
                </c:pt>
                <c:pt idx="1868">
                  <c:v>2213.12</c:v>
                </c:pt>
                <c:pt idx="1869">
                  <c:v>2170.88</c:v>
                </c:pt>
                <c:pt idx="1870">
                  <c:v>2192.9499999999998</c:v>
                </c:pt>
                <c:pt idx="1871">
                  <c:v>2215.1799999999998</c:v>
                </c:pt>
                <c:pt idx="1872">
                  <c:v>2207.7600000000002</c:v>
                </c:pt>
                <c:pt idx="1873">
                  <c:v>2187.35</c:v>
                </c:pt>
                <c:pt idx="1874">
                  <c:v>2177.96</c:v>
                </c:pt>
                <c:pt idx="1875">
                  <c:v>2161.2600000000002</c:v>
                </c:pt>
                <c:pt idx="1876">
                  <c:v>2156.48</c:v>
                </c:pt>
                <c:pt idx="1877">
                  <c:v>2128.17</c:v>
                </c:pt>
                <c:pt idx="1878">
                  <c:v>2100.5700000000002</c:v>
                </c:pt>
                <c:pt idx="1879">
                  <c:v>2089.3000000000002</c:v>
                </c:pt>
                <c:pt idx="1880">
                  <c:v>2075.48</c:v>
                </c:pt>
                <c:pt idx="1881">
                  <c:v>2109.4499999999998</c:v>
                </c:pt>
                <c:pt idx="1882">
                  <c:v>2082.84</c:v>
                </c:pt>
                <c:pt idx="1883">
                  <c:v>2095.41</c:v>
                </c:pt>
                <c:pt idx="1884">
                  <c:v>2081.41</c:v>
                </c:pt>
                <c:pt idx="1885">
                  <c:v>2063.36</c:v>
                </c:pt>
                <c:pt idx="1886">
                  <c:v>2037.15</c:v>
                </c:pt>
                <c:pt idx="1887">
                  <c:v>2052.0100000000002</c:v>
                </c:pt>
                <c:pt idx="1888">
                  <c:v>2043.51</c:v>
                </c:pt>
                <c:pt idx="1889">
                  <c:v>2016.3</c:v>
                </c:pt>
                <c:pt idx="1890">
                  <c:v>1994.44</c:v>
                </c:pt>
                <c:pt idx="1891">
                  <c:v>1983.51</c:v>
                </c:pt>
                <c:pt idx="1892">
                  <c:v>1948.63</c:v>
                </c:pt>
                <c:pt idx="1893">
                  <c:v>1972.95</c:v>
                </c:pt>
                <c:pt idx="1894">
                  <c:v>1987.57</c:v>
                </c:pt>
                <c:pt idx="1895">
                  <c:v>2002.54</c:v>
                </c:pt>
                <c:pt idx="1896">
                  <c:v>1986.4</c:v>
                </c:pt>
                <c:pt idx="1897">
                  <c:v>1971.71</c:v>
                </c:pt>
                <c:pt idx="1898">
                  <c:v>1960.2</c:v>
                </c:pt>
                <c:pt idx="1899">
                  <c:v>1966.32</c:v>
                </c:pt>
                <c:pt idx="1900">
                  <c:v>1925.1</c:v>
                </c:pt>
                <c:pt idx="1901">
                  <c:v>1903.25</c:v>
                </c:pt>
                <c:pt idx="1902">
                  <c:v>1920.11</c:v>
                </c:pt>
                <c:pt idx="1903">
                  <c:v>1928.67</c:v>
                </c:pt>
                <c:pt idx="1904">
                  <c:v>1924.59</c:v>
                </c:pt>
                <c:pt idx="1905">
                  <c:v>1954.48</c:v>
                </c:pt>
                <c:pt idx="1906">
                  <c:v>1951.54</c:v>
                </c:pt>
                <c:pt idx="1907">
                  <c:v>1953.51</c:v>
                </c:pt>
                <c:pt idx="1908">
                  <c:v>1945.39</c:v>
                </c:pt>
                <c:pt idx="1909">
                  <c:v>1947.31</c:v>
                </c:pt>
                <c:pt idx="1910">
                  <c:v>1941.41</c:v>
                </c:pt>
                <c:pt idx="1911">
                  <c:v>1939.19</c:v>
                </c:pt>
                <c:pt idx="1912">
                  <c:v>1941.35</c:v>
                </c:pt>
                <c:pt idx="1913">
                  <c:v>1922.96</c:v>
                </c:pt>
                <c:pt idx="1914">
                  <c:v>1875.4</c:v>
                </c:pt>
                <c:pt idx="1915">
                  <c:v>1855.19</c:v>
                </c:pt>
                <c:pt idx="1916">
                  <c:v>1847.09</c:v>
                </c:pt>
                <c:pt idx="1917">
                  <c:v>1829.49</c:v>
                </c:pt>
                <c:pt idx="1918">
                  <c:v>1825.95</c:v>
                </c:pt>
                <c:pt idx="1919">
                  <c:v>1825.16</c:v>
                </c:pt>
                <c:pt idx="1920">
                  <c:v>1819.7</c:v>
                </c:pt>
                <c:pt idx="1921">
                  <c:v>1836.55</c:v>
                </c:pt>
                <c:pt idx="1922">
                  <c:v>1824.21</c:v>
                </c:pt>
                <c:pt idx="1923">
                  <c:v>1785.41</c:v>
                </c:pt>
                <c:pt idx="1924">
                  <c:v>1813.27</c:v>
                </c:pt>
                <c:pt idx="1925">
                  <c:v>1815.32</c:v>
                </c:pt>
                <c:pt idx="1926">
                  <c:v>1843.69</c:v>
                </c:pt>
                <c:pt idx="1927">
                  <c:v>1855.14</c:v>
                </c:pt>
                <c:pt idx="1928">
                  <c:v>1848.81</c:v>
                </c:pt>
                <c:pt idx="1929">
                  <c:v>1842.35</c:v>
                </c:pt>
                <c:pt idx="1930">
                  <c:v>1843.06</c:v>
                </c:pt>
                <c:pt idx="1931">
                  <c:v>1846.08</c:v>
                </c:pt>
                <c:pt idx="1932">
                  <c:v>1843.54</c:v>
                </c:pt>
                <c:pt idx="1933">
                  <c:v>1821.15</c:v>
                </c:pt>
                <c:pt idx="1934">
                  <c:v>1828.74</c:v>
                </c:pt>
                <c:pt idx="1935">
                  <c:v>1839</c:v>
                </c:pt>
                <c:pt idx="1936">
                  <c:v>1863.15</c:v>
                </c:pt>
                <c:pt idx="1937">
                  <c:v>1856.55</c:v>
                </c:pt>
                <c:pt idx="1938">
                  <c:v>1869.82</c:v>
                </c:pt>
                <c:pt idx="1939">
                  <c:v>1876.57</c:v>
                </c:pt>
                <c:pt idx="1940">
                  <c:v>1874.63</c:v>
                </c:pt>
                <c:pt idx="1941">
                  <c:v>1876.95</c:v>
                </c:pt>
                <c:pt idx="1942">
                  <c:v>1885.91</c:v>
                </c:pt>
                <c:pt idx="1943">
                  <c:v>1870.34</c:v>
                </c:pt>
                <c:pt idx="1944">
                  <c:v>1856.41</c:v>
                </c:pt>
                <c:pt idx="1945">
                  <c:v>1846.08</c:v>
                </c:pt>
                <c:pt idx="1946">
                  <c:v>1846.28</c:v>
                </c:pt>
                <c:pt idx="1947">
                  <c:v>1853.08</c:v>
                </c:pt>
                <c:pt idx="1948">
                  <c:v>1866.28</c:v>
                </c:pt>
                <c:pt idx="1949">
                  <c:v>1867.41</c:v>
                </c:pt>
                <c:pt idx="1950">
                  <c:v>1873.22</c:v>
                </c:pt>
                <c:pt idx="1951">
                  <c:v>1876.65</c:v>
                </c:pt>
                <c:pt idx="1952">
                  <c:v>1860.94</c:v>
                </c:pt>
                <c:pt idx="1953">
                  <c:v>1843.1</c:v>
                </c:pt>
                <c:pt idx="1954">
                  <c:v>1848.46</c:v>
                </c:pt>
                <c:pt idx="1955">
                  <c:v>1855.11</c:v>
                </c:pt>
                <c:pt idx="1956">
                  <c:v>1852.09</c:v>
                </c:pt>
                <c:pt idx="1957">
                  <c:v>1848.06</c:v>
                </c:pt>
                <c:pt idx="1958">
                  <c:v>1864.3</c:v>
                </c:pt>
                <c:pt idx="1959">
                  <c:v>1875.52</c:v>
                </c:pt>
                <c:pt idx="1960">
                  <c:v>1889.71</c:v>
                </c:pt>
                <c:pt idx="1961">
                  <c:v>1876.4</c:v>
                </c:pt>
                <c:pt idx="1962">
                  <c:v>1869.22</c:v>
                </c:pt>
                <c:pt idx="1963">
                  <c:v>1888.33</c:v>
                </c:pt>
                <c:pt idx="1964">
                  <c:v>1900.1</c:v>
                </c:pt>
                <c:pt idx="1965">
                  <c:v>1905.97</c:v>
                </c:pt>
                <c:pt idx="1966">
                  <c:v>1917.72</c:v>
                </c:pt>
                <c:pt idx="1967">
                  <c:v>1908.99</c:v>
                </c:pt>
                <c:pt idx="1968">
                  <c:v>1908.51</c:v>
                </c:pt>
                <c:pt idx="1969">
                  <c:v>1910.46</c:v>
                </c:pt>
                <c:pt idx="1970">
                  <c:v>1896.13</c:v>
                </c:pt>
                <c:pt idx="1971">
                  <c:v>1901.44</c:v>
                </c:pt>
                <c:pt idx="1972">
                  <c:v>1907.71</c:v>
                </c:pt>
                <c:pt idx="1973">
                  <c:v>1898.32</c:v>
                </c:pt>
                <c:pt idx="1974">
                  <c:v>1897.53</c:v>
                </c:pt>
                <c:pt idx="1975">
                  <c:v>1905.29</c:v>
                </c:pt>
                <c:pt idx="1976">
                  <c:v>1914.42</c:v>
                </c:pt>
                <c:pt idx="1977">
                  <c:v>1922.25</c:v>
                </c:pt>
                <c:pt idx="1978">
                  <c:v>1923.79</c:v>
                </c:pt>
                <c:pt idx="1979">
                  <c:v>1915.58</c:v>
                </c:pt>
                <c:pt idx="1980">
                  <c:v>1921.53</c:v>
                </c:pt>
                <c:pt idx="1981">
                  <c:v>1910.65</c:v>
                </c:pt>
                <c:pt idx="1982">
                  <c:v>1906.67</c:v>
                </c:pt>
                <c:pt idx="1983">
                  <c:v>1916.36</c:v>
                </c:pt>
                <c:pt idx="1984">
                  <c:v>1903.29</c:v>
                </c:pt>
                <c:pt idx="1985">
                  <c:v>1906.72</c:v>
                </c:pt>
                <c:pt idx="1986">
                  <c:v>1889.22</c:v>
                </c:pt>
                <c:pt idx="1987">
                  <c:v>1898.11</c:v>
                </c:pt>
                <c:pt idx="1988">
                  <c:v>1891.6</c:v>
                </c:pt>
                <c:pt idx="1989">
                  <c:v>1905.67</c:v>
                </c:pt>
                <c:pt idx="1990">
                  <c:v>1904.11</c:v>
                </c:pt>
                <c:pt idx="1991">
                  <c:v>1890.02</c:v>
                </c:pt>
                <c:pt idx="1992">
                  <c:v>1877.72</c:v>
                </c:pt>
                <c:pt idx="1993">
                  <c:v>1879.38</c:v>
                </c:pt>
                <c:pt idx="1994">
                  <c:v>1872.9</c:v>
                </c:pt>
                <c:pt idx="1995">
                  <c:v>1873.09</c:v>
                </c:pt>
                <c:pt idx="1996">
                  <c:v>1893.59</c:v>
                </c:pt>
                <c:pt idx="1997">
                  <c:v>1901.77</c:v>
                </c:pt>
                <c:pt idx="1998">
                  <c:v>1893.11</c:v>
                </c:pt>
                <c:pt idx="1999">
                  <c:v>1869.36</c:v>
                </c:pt>
                <c:pt idx="2000">
                  <c:v>1865.59</c:v>
                </c:pt>
                <c:pt idx="2001">
                  <c:v>1874.47</c:v>
                </c:pt>
                <c:pt idx="2002">
                  <c:v>1879.34</c:v>
                </c:pt>
                <c:pt idx="2003">
                  <c:v>1881.17</c:v>
                </c:pt>
                <c:pt idx="2004">
                  <c:v>1875.08</c:v>
                </c:pt>
                <c:pt idx="2005">
                  <c:v>1864.16</c:v>
                </c:pt>
                <c:pt idx="2006">
                  <c:v>1843.95</c:v>
                </c:pt>
                <c:pt idx="2007">
                  <c:v>1860.01</c:v>
                </c:pt>
                <c:pt idx="2008">
                  <c:v>1862.62</c:v>
                </c:pt>
                <c:pt idx="2009">
                  <c:v>1843.77</c:v>
                </c:pt>
                <c:pt idx="2010">
                  <c:v>1813.05</c:v>
                </c:pt>
                <c:pt idx="2011">
                  <c:v>1847.82</c:v>
                </c:pt>
                <c:pt idx="2012">
                  <c:v>1852.45</c:v>
                </c:pt>
                <c:pt idx="2013">
                  <c:v>1842.48</c:v>
                </c:pt>
                <c:pt idx="2014">
                  <c:v>1831.36</c:v>
                </c:pt>
                <c:pt idx="2015">
                  <c:v>1816.05</c:v>
                </c:pt>
                <c:pt idx="2016">
                  <c:v>1809.89</c:v>
                </c:pt>
                <c:pt idx="2017">
                  <c:v>1804.16</c:v>
                </c:pt>
                <c:pt idx="2018">
                  <c:v>1784.91</c:v>
                </c:pt>
                <c:pt idx="2019">
                  <c:v>1779.24</c:v>
                </c:pt>
                <c:pt idx="2020">
                  <c:v>1787.15</c:v>
                </c:pt>
                <c:pt idx="2021">
                  <c:v>1795.42</c:v>
                </c:pt>
                <c:pt idx="2022">
                  <c:v>1784.53</c:v>
                </c:pt>
                <c:pt idx="2023">
                  <c:v>1815.61</c:v>
                </c:pt>
                <c:pt idx="2024">
                  <c:v>1817.3</c:v>
                </c:pt>
                <c:pt idx="2025">
                  <c:v>1825.53</c:v>
                </c:pt>
                <c:pt idx="2026">
                  <c:v>1855.38</c:v>
                </c:pt>
                <c:pt idx="2027">
                  <c:v>1882.83</c:v>
                </c:pt>
                <c:pt idx="2028">
                  <c:v>1893.67</c:v>
                </c:pt>
                <c:pt idx="2029">
                  <c:v>1893.36</c:v>
                </c:pt>
                <c:pt idx="2030">
                  <c:v>2062.63</c:v>
                </c:pt>
                <c:pt idx="2031">
                  <c:v>2068.81</c:v>
                </c:pt>
                <c:pt idx="2032">
                  <c:v>2038.61</c:v>
                </c:pt>
                <c:pt idx="2033">
                  <c:v>2044.27</c:v>
                </c:pt>
                <c:pt idx="2034">
                  <c:v>2039.08</c:v>
                </c:pt>
                <c:pt idx="2035">
                  <c:v>2036.22</c:v>
                </c:pt>
                <c:pt idx="2036">
                  <c:v>2044.93</c:v>
                </c:pt>
                <c:pt idx="2037">
                  <c:v>2066.35</c:v>
                </c:pt>
                <c:pt idx="2038">
                  <c:v>2077</c:v>
                </c:pt>
                <c:pt idx="2039">
                  <c:v>2061.75</c:v>
                </c:pt>
                <c:pt idx="2040">
                  <c:v>2079.52</c:v>
                </c:pt>
                <c:pt idx="2041">
                  <c:v>2089.5</c:v>
                </c:pt>
                <c:pt idx="2042">
                  <c:v>2101.02</c:v>
                </c:pt>
                <c:pt idx="2043">
                  <c:v>2110.9299999999998</c:v>
                </c:pt>
                <c:pt idx="2044">
                  <c:v>2132.7800000000002</c:v>
                </c:pt>
                <c:pt idx="2045">
                  <c:v>2151.25</c:v>
                </c:pt>
                <c:pt idx="2046">
                  <c:v>2150.6999999999998</c:v>
                </c:pt>
                <c:pt idx="2047">
                  <c:v>2160.37</c:v>
                </c:pt>
                <c:pt idx="2048">
                  <c:v>2198.23</c:v>
                </c:pt>
                <c:pt idx="2049">
                  <c:v>2232.54</c:v>
                </c:pt>
                <c:pt idx="2050">
                  <c:v>2237.54</c:v>
                </c:pt>
                <c:pt idx="2051">
                  <c:v>2258.35</c:v>
                </c:pt>
                <c:pt idx="2052">
                  <c:v>2240.42</c:v>
                </c:pt>
                <c:pt idx="2053">
                  <c:v>2273.79</c:v>
                </c:pt>
                <c:pt idx="2054">
                  <c:v>2301.2199999999998</c:v>
                </c:pt>
                <c:pt idx="2055">
                  <c:v>2272.77</c:v>
                </c:pt>
                <c:pt idx="2056">
                  <c:v>2278.0500000000002</c:v>
                </c:pt>
                <c:pt idx="2057">
                  <c:v>2297.59</c:v>
                </c:pt>
                <c:pt idx="2058">
                  <c:v>2306.16</c:v>
                </c:pt>
                <c:pt idx="2059">
                  <c:v>2305.8000000000002</c:v>
                </c:pt>
                <c:pt idx="2060">
                  <c:v>2316.38</c:v>
                </c:pt>
                <c:pt idx="2061">
                  <c:v>2327.77</c:v>
                </c:pt>
                <c:pt idx="2062">
                  <c:v>2302.9299999999998</c:v>
                </c:pt>
                <c:pt idx="2063">
                  <c:v>2292.58</c:v>
                </c:pt>
                <c:pt idx="2064">
                  <c:v>2311.11</c:v>
                </c:pt>
                <c:pt idx="2065">
                  <c:v>2309.7600000000002</c:v>
                </c:pt>
                <c:pt idx="2066">
                  <c:v>2312.35</c:v>
                </c:pt>
                <c:pt idx="2067">
                  <c:v>2305</c:v>
                </c:pt>
                <c:pt idx="2068">
                  <c:v>2311.0700000000002</c:v>
                </c:pt>
                <c:pt idx="2069">
                  <c:v>2309.29</c:v>
                </c:pt>
                <c:pt idx="2070">
                  <c:v>2330.11</c:v>
                </c:pt>
                <c:pt idx="2071">
                  <c:v>2330.19</c:v>
                </c:pt>
                <c:pt idx="2072">
                  <c:v>2333.7600000000002</c:v>
                </c:pt>
                <c:pt idx="2073">
                  <c:v>2311.5</c:v>
                </c:pt>
                <c:pt idx="2074">
                  <c:v>2289.4</c:v>
                </c:pt>
                <c:pt idx="2075">
                  <c:v>2272.34</c:v>
                </c:pt>
                <c:pt idx="2076">
                  <c:v>2261.9699999999998</c:v>
                </c:pt>
                <c:pt idx="2077">
                  <c:v>2256.59</c:v>
                </c:pt>
                <c:pt idx="2078">
                  <c:v>2265.2199999999998</c:v>
                </c:pt>
                <c:pt idx="2079">
                  <c:v>2246.0700000000002</c:v>
                </c:pt>
                <c:pt idx="2080">
                  <c:v>2248.75</c:v>
                </c:pt>
                <c:pt idx="2081">
                  <c:v>2241.91</c:v>
                </c:pt>
                <c:pt idx="2082">
                  <c:v>2250.38</c:v>
                </c:pt>
                <c:pt idx="2083">
                  <c:v>2241.04</c:v>
                </c:pt>
                <c:pt idx="2084">
                  <c:v>2236.66</c:v>
                </c:pt>
                <c:pt idx="2085">
                  <c:v>2211.25</c:v>
                </c:pt>
                <c:pt idx="2086">
                  <c:v>2225.81</c:v>
                </c:pt>
                <c:pt idx="2087">
                  <c:v>2241.39</c:v>
                </c:pt>
                <c:pt idx="2088">
                  <c:v>2228.71</c:v>
                </c:pt>
                <c:pt idx="2089">
                  <c:v>2227.2800000000002</c:v>
                </c:pt>
                <c:pt idx="2090">
                  <c:v>2258.15</c:v>
                </c:pt>
                <c:pt idx="2091">
                  <c:v>2270.34</c:v>
                </c:pt>
                <c:pt idx="2092">
                  <c:v>2252.4499999999998</c:v>
                </c:pt>
                <c:pt idx="2093">
                  <c:v>2260.75</c:v>
                </c:pt>
                <c:pt idx="2094">
                  <c:v>2236.08</c:v>
                </c:pt>
                <c:pt idx="2095">
                  <c:v>2245.83</c:v>
                </c:pt>
                <c:pt idx="2096">
                  <c:v>2259</c:v>
                </c:pt>
                <c:pt idx="2097">
                  <c:v>2260.7199999999998</c:v>
                </c:pt>
                <c:pt idx="2098">
                  <c:v>2270.36</c:v>
                </c:pt>
                <c:pt idx="2099">
                  <c:v>2282.48</c:v>
                </c:pt>
                <c:pt idx="2100">
                  <c:v>2273.92</c:v>
                </c:pt>
                <c:pt idx="2101">
                  <c:v>2294.67</c:v>
                </c:pt>
                <c:pt idx="2102">
                  <c:v>2302.0500000000002</c:v>
                </c:pt>
                <c:pt idx="2103">
                  <c:v>2280.7600000000002</c:v>
                </c:pt>
                <c:pt idx="2104">
                  <c:v>2278.58</c:v>
                </c:pt>
                <c:pt idx="2105">
                  <c:v>2292.9699999999998</c:v>
                </c:pt>
                <c:pt idx="2106">
                  <c:v>2290.4499999999998</c:v>
                </c:pt>
                <c:pt idx="2107">
                  <c:v>2268.9899999999998</c:v>
                </c:pt>
                <c:pt idx="2108">
                  <c:v>2251.81</c:v>
                </c:pt>
                <c:pt idx="2109">
                  <c:v>2247.2399999999998</c:v>
                </c:pt>
                <c:pt idx="2110">
                  <c:v>2255.64</c:v>
                </c:pt>
                <c:pt idx="2111">
                  <c:v>2247.25</c:v>
                </c:pt>
                <c:pt idx="2112">
                  <c:v>2245.4699999999998</c:v>
                </c:pt>
                <c:pt idx="2113">
                  <c:v>2204.8000000000002</c:v>
                </c:pt>
                <c:pt idx="2114">
                  <c:v>2201.54</c:v>
                </c:pt>
                <c:pt idx="2115">
                  <c:v>2211.9699999999998</c:v>
                </c:pt>
                <c:pt idx="2116">
                  <c:v>2203.86</c:v>
                </c:pt>
                <c:pt idx="2117">
                  <c:v>2197.4899999999998</c:v>
                </c:pt>
                <c:pt idx="2118">
                  <c:v>2182.6</c:v>
                </c:pt>
                <c:pt idx="2119">
                  <c:v>2181.41</c:v>
                </c:pt>
                <c:pt idx="2120">
                  <c:v>2190.17</c:v>
                </c:pt>
                <c:pt idx="2121">
                  <c:v>2194.64</c:v>
                </c:pt>
                <c:pt idx="2122">
                  <c:v>2224.2800000000002</c:v>
                </c:pt>
                <c:pt idx="2123">
                  <c:v>2231.1799999999998</c:v>
                </c:pt>
                <c:pt idx="2124">
                  <c:v>2237.8200000000002</c:v>
                </c:pt>
                <c:pt idx="2125">
                  <c:v>2229.81</c:v>
                </c:pt>
                <c:pt idx="2126">
                  <c:v>2233.9699999999998</c:v>
                </c:pt>
                <c:pt idx="2127">
                  <c:v>2196.91</c:v>
                </c:pt>
                <c:pt idx="2128">
                  <c:v>2198.6999999999998</c:v>
                </c:pt>
                <c:pt idx="2129">
                  <c:v>2197.2199999999998</c:v>
                </c:pt>
                <c:pt idx="2130">
                  <c:v>2199.86</c:v>
                </c:pt>
                <c:pt idx="2131">
                  <c:v>2206.9499999999998</c:v>
                </c:pt>
                <c:pt idx="2132">
                  <c:v>2208.81</c:v>
                </c:pt>
                <c:pt idx="2133">
                  <c:v>2210.79</c:v>
                </c:pt>
                <c:pt idx="2134">
                  <c:v>2208.33</c:v>
                </c:pt>
                <c:pt idx="2135">
                  <c:v>2209.29</c:v>
                </c:pt>
                <c:pt idx="2136">
                  <c:v>2209.87</c:v>
                </c:pt>
                <c:pt idx="2137">
                  <c:v>2211.94</c:v>
                </c:pt>
                <c:pt idx="2138">
                  <c:v>2205.21</c:v>
                </c:pt>
                <c:pt idx="2139">
                  <c:v>2218.94</c:v>
                </c:pt>
                <c:pt idx="2140">
                  <c:v>2256.86</c:v>
                </c:pt>
                <c:pt idx="2141">
                  <c:v>2243.4699999999998</c:v>
                </c:pt>
                <c:pt idx="2142">
                  <c:v>2223.62</c:v>
                </c:pt>
                <c:pt idx="2143">
                  <c:v>2219.33</c:v>
                </c:pt>
                <c:pt idx="2144">
                  <c:v>2227.08</c:v>
                </c:pt>
                <c:pt idx="2145">
                  <c:v>2237.63</c:v>
                </c:pt>
                <c:pt idx="2146">
                  <c:v>2252.7399999999998</c:v>
                </c:pt>
                <c:pt idx="2147">
                  <c:v>2270.02</c:v>
                </c:pt>
                <c:pt idx="2148">
                  <c:v>2278.88</c:v>
                </c:pt>
                <c:pt idx="2149">
                  <c:v>2272.4</c:v>
                </c:pt>
                <c:pt idx="2150">
                  <c:v>2259.98</c:v>
                </c:pt>
                <c:pt idx="2151">
                  <c:v>2269.9</c:v>
                </c:pt>
                <c:pt idx="2152">
                  <c:v>2254.2399999999998</c:v>
                </c:pt>
                <c:pt idx="2153">
                  <c:v>2256.9699999999998</c:v>
                </c:pt>
                <c:pt idx="2154">
                  <c:v>2260.42</c:v>
                </c:pt>
                <c:pt idx="2155">
                  <c:v>2268.84</c:v>
                </c:pt>
                <c:pt idx="2156">
                  <c:v>2275.04</c:v>
                </c:pt>
                <c:pt idx="2157">
                  <c:v>2271.25</c:v>
                </c:pt>
                <c:pt idx="2158">
                  <c:v>2256.9899999999998</c:v>
                </c:pt>
                <c:pt idx="2159">
                  <c:v>2252.54</c:v>
                </c:pt>
                <c:pt idx="2160">
                  <c:v>2244.61</c:v>
                </c:pt>
                <c:pt idx="2161">
                  <c:v>2240.96</c:v>
                </c:pt>
                <c:pt idx="2162">
                  <c:v>2232.4699999999998</c:v>
                </c:pt>
                <c:pt idx="2163">
                  <c:v>2243.0100000000002</c:v>
                </c:pt>
                <c:pt idx="2164">
                  <c:v>2242.15</c:v>
                </c:pt>
                <c:pt idx="2165">
                  <c:v>2226.17</c:v>
                </c:pt>
                <c:pt idx="2166">
                  <c:v>2230.79</c:v>
                </c:pt>
                <c:pt idx="2167">
                  <c:v>2240.1799999999998</c:v>
                </c:pt>
                <c:pt idx="2168">
                  <c:v>2230.85</c:v>
                </c:pt>
                <c:pt idx="2169">
                  <c:v>2236.62</c:v>
                </c:pt>
                <c:pt idx="2170">
                  <c:v>2230.6799999999998</c:v>
                </c:pt>
                <c:pt idx="2171">
                  <c:v>2228.96</c:v>
                </c:pt>
                <c:pt idx="2172">
                  <c:v>2224.15</c:v>
                </c:pt>
                <c:pt idx="2173">
                  <c:v>2222.92</c:v>
                </c:pt>
                <c:pt idx="2174">
                  <c:v>2233.63</c:v>
                </c:pt>
                <c:pt idx="2175">
                  <c:v>2220.5300000000002</c:v>
                </c:pt>
                <c:pt idx="2176">
                  <c:v>2192.89</c:v>
                </c:pt>
                <c:pt idx="2177">
                  <c:v>2200.88</c:v>
                </c:pt>
                <c:pt idx="2178">
                  <c:v>2196.73</c:v>
                </c:pt>
                <c:pt idx="2179">
                  <c:v>2206.8200000000002</c:v>
                </c:pt>
                <c:pt idx="2180">
                  <c:v>2198.4299999999998</c:v>
                </c:pt>
                <c:pt idx="2181">
                  <c:v>2200.08</c:v>
                </c:pt>
                <c:pt idx="2182">
                  <c:v>2188.9</c:v>
                </c:pt>
                <c:pt idx="2183">
                  <c:v>2197.04</c:v>
                </c:pt>
                <c:pt idx="2184">
                  <c:v>2094.5700000000002</c:v>
                </c:pt>
                <c:pt idx="2185">
                  <c:v>2065.46</c:v>
                </c:pt>
                <c:pt idx="2186">
                  <c:v>2059.46</c:v>
                </c:pt>
                <c:pt idx="2187">
                  <c:v>2154.79</c:v>
                </c:pt>
                <c:pt idx="2188">
                  <c:v>2160.79</c:v>
                </c:pt>
                <c:pt idx="2189">
                  <c:v>2173.73</c:v>
                </c:pt>
                <c:pt idx="2190">
                  <c:v>2163.65</c:v>
                </c:pt>
                <c:pt idx="2191">
                  <c:v>2161.17</c:v>
                </c:pt>
                <c:pt idx="2192">
                  <c:v>2144.08</c:v>
                </c:pt>
                <c:pt idx="2193">
                  <c:v>2131.35</c:v>
                </c:pt>
                <c:pt idx="2194">
                  <c:v>2033.85</c:v>
                </c:pt>
                <c:pt idx="2195">
                  <c:v>2005.65</c:v>
                </c:pt>
                <c:pt idx="2196">
                  <c:v>1981.99</c:v>
                </c:pt>
                <c:pt idx="2197">
                  <c:v>1989.41</c:v>
                </c:pt>
                <c:pt idx="2198">
                  <c:v>2036.18</c:v>
                </c:pt>
                <c:pt idx="2199">
                  <c:v>2013.22</c:v>
                </c:pt>
                <c:pt idx="2200">
                  <c:v>2023.74</c:v>
                </c:pt>
                <c:pt idx="2201">
                  <c:v>1991.01</c:v>
                </c:pt>
                <c:pt idx="2202">
                  <c:v>1978.86</c:v>
                </c:pt>
                <c:pt idx="2203">
                  <c:v>1985.06</c:v>
                </c:pt>
                <c:pt idx="2204">
                  <c:v>1985.44</c:v>
                </c:pt>
                <c:pt idx="2205">
                  <c:v>1988.37</c:v>
                </c:pt>
                <c:pt idx="2206">
                  <c:v>2000.74</c:v>
                </c:pt>
                <c:pt idx="2207">
                  <c:v>1986.24</c:v>
                </c:pt>
                <c:pt idx="2208">
                  <c:v>2011.71</c:v>
                </c:pt>
                <c:pt idx="2209">
                  <c:v>2014.63</c:v>
                </c:pt>
                <c:pt idx="2210">
                  <c:v>2033.92</c:v>
                </c:pt>
                <c:pt idx="2211">
                  <c:v>2028.68</c:v>
                </c:pt>
                <c:pt idx="2212">
                  <c:v>2012.2</c:v>
                </c:pt>
                <c:pt idx="2213">
                  <c:v>1976.85</c:v>
                </c:pt>
                <c:pt idx="2214">
                  <c:v>1982.84</c:v>
                </c:pt>
                <c:pt idx="2215">
                  <c:v>1989.2</c:v>
                </c:pt>
                <c:pt idx="2216">
                  <c:v>1986.31</c:v>
                </c:pt>
                <c:pt idx="2217">
                  <c:v>1973.62</c:v>
                </c:pt>
                <c:pt idx="2218">
                  <c:v>1940.12</c:v>
                </c:pt>
                <c:pt idx="2219">
                  <c:v>1932.73</c:v>
                </c:pt>
                <c:pt idx="2220">
                  <c:v>1929.63</c:v>
                </c:pt>
                <c:pt idx="2221">
                  <c:v>1949.65</c:v>
                </c:pt>
                <c:pt idx="2222">
                  <c:v>1985.88</c:v>
                </c:pt>
                <c:pt idx="2223">
                  <c:v>1929.38</c:v>
                </c:pt>
                <c:pt idx="2224">
                  <c:v>1916.2</c:v>
                </c:pt>
                <c:pt idx="2225">
                  <c:v>1927.72</c:v>
                </c:pt>
                <c:pt idx="2226">
                  <c:v>1877.31</c:v>
                </c:pt>
                <c:pt idx="2227">
                  <c:v>1846.96</c:v>
                </c:pt>
                <c:pt idx="2228">
                  <c:v>1850.48</c:v>
                </c:pt>
                <c:pt idx="2229">
                  <c:v>1865.02</c:v>
                </c:pt>
                <c:pt idx="2230">
                  <c:v>1871.66</c:v>
                </c:pt>
                <c:pt idx="2231">
                  <c:v>1854.03</c:v>
                </c:pt>
                <c:pt idx="2232">
                  <c:v>1854.41</c:v>
                </c:pt>
                <c:pt idx="2233">
                  <c:v>1816.76</c:v>
                </c:pt>
                <c:pt idx="2234">
                  <c:v>1787.89</c:v>
                </c:pt>
                <c:pt idx="2235">
                  <c:v>1810.89</c:v>
                </c:pt>
                <c:pt idx="2236">
                  <c:v>1813.83</c:v>
                </c:pt>
                <c:pt idx="2237">
                  <c:v>1822.23</c:v>
                </c:pt>
                <c:pt idx="2238">
                  <c:v>1806.6</c:v>
                </c:pt>
                <c:pt idx="2239">
                  <c:v>1794.15</c:v>
                </c:pt>
                <c:pt idx="2240">
                  <c:v>1820.02</c:v>
                </c:pt>
                <c:pt idx="2241">
                  <c:v>1820.72</c:v>
                </c:pt>
                <c:pt idx="2242">
                  <c:v>1823.5</c:v>
                </c:pt>
                <c:pt idx="2243">
                  <c:v>1826.44</c:v>
                </c:pt>
                <c:pt idx="2244">
                  <c:v>1803.86</c:v>
                </c:pt>
                <c:pt idx="2245">
                  <c:v>1802.67</c:v>
                </c:pt>
                <c:pt idx="2246">
                  <c:v>1788.82</c:v>
                </c:pt>
                <c:pt idx="2247">
                  <c:v>1802.66</c:v>
                </c:pt>
                <c:pt idx="2248">
                  <c:v>1800.98</c:v>
                </c:pt>
                <c:pt idx="2249">
                  <c:v>1809.23</c:v>
                </c:pt>
                <c:pt idx="2250">
                  <c:v>1838.85</c:v>
                </c:pt>
                <c:pt idx="2251">
                  <c:v>1848.49</c:v>
                </c:pt>
                <c:pt idx="2252">
                  <c:v>1852.27</c:v>
                </c:pt>
                <c:pt idx="2253">
                  <c:v>1842.63</c:v>
                </c:pt>
                <c:pt idx="2254">
                  <c:v>1819.05</c:v>
                </c:pt>
                <c:pt idx="2255">
                  <c:v>1820.58</c:v>
                </c:pt>
                <c:pt idx="2256">
                  <c:v>1840.99</c:v>
                </c:pt>
                <c:pt idx="2257">
                  <c:v>1829.8</c:v>
                </c:pt>
                <c:pt idx="2258">
                  <c:v>1842.39</c:v>
                </c:pt>
                <c:pt idx="2259">
                  <c:v>1825.78</c:v>
                </c:pt>
                <c:pt idx="2260">
                  <c:v>1835.94</c:v>
                </c:pt>
                <c:pt idx="2261">
                  <c:v>1844.55</c:v>
                </c:pt>
                <c:pt idx="2262">
                  <c:v>1845.4</c:v>
                </c:pt>
                <c:pt idx="2263">
                  <c:v>1830.78</c:v>
                </c:pt>
                <c:pt idx="2264">
                  <c:v>1821.71</c:v>
                </c:pt>
                <c:pt idx="2265">
                  <c:v>1820.69</c:v>
                </c:pt>
                <c:pt idx="2266">
                  <c:v>1811.05</c:v>
                </c:pt>
                <c:pt idx="2267">
                  <c:v>1788.94</c:v>
                </c:pt>
                <c:pt idx="2268">
                  <c:v>1782.88</c:v>
                </c:pt>
                <c:pt idx="2269">
                  <c:v>1765.21</c:v>
                </c:pt>
                <c:pt idx="2270">
                  <c:v>1749.91</c:v>
                </c:pt>
                <c:pt idx="2271">
                  <c:v>1721.05</c:v>
                </c:pt>
                <c:pt idx="2272">
                  <c:v>1744.25</c:v>
                </c:pt>
                <c:pt idx="2273">
                  <c:v>1721.66</c:v>
                </c:pt>
                <c:pt idx="2274">
                  <c:v>1739.2</c:v>
                </c:pt>
                <c:pt idx="2275">
                  <c:v>1758.63</c:v>
                </c:pt>
                <c:pt idx="2276">
                  <c:v>1799.53</c:v>
                </c:pt>
                <c:pt idx="2277">
                  <c:v>1809.23</c:v>
                </c:pt>
                <c:pt idx="2278">
                  <c:v>1776.23</c:v>
                </c:pt>
                <c:pt idx="2279">
                  <c:v>1776.15</c:v>
                </c:pt>
                <c:pt idx="2280">
                  <c:v>1770.98</c:v>
                </c:pt>
                <c:pt idx="2281">
                  <c:v>1787.47</c:v>
                </c:pt>
                <c:pt idx="2282">
                  <c:v>1761.37</c:v>
                </c:pt>
                <c:pt idx="2283">
                  <c:v>1756.26</c:v>
                </c:pt>
                <c:pt idx="2284">
                  <c:v>1740.04</c:v>
                </c:pt>
                <c:pt idx="2285">
                  <c:v>1736.27</c:v>
                </c:pt>
                <c:pt idx="2286">
                  <c:v>1754.23</c:v>
                </c:pt>
                <c:pt idx="2287">
                  <c:v>1740.23</c:v>
                </c:pt>
                <c:pt idx="2288">
                  <c:v>1732.41</c:v>
                </c:pt>
                <c:pt idx="2289">
                  <c:v>1735.75</c:v>
                </c:pt>
                <c:pt idx="2290">
                  <c:v>1733.54</c:v>
                </c:pt>
                <c:pt idx="2291">
                  <c:v>1736.77</c:v>
                </c:pt>
                <c:pt idx="2292">
                  <c:v>1736.28</c:v>
                </c:pt>
                <c:pt idx="2293">
                  <c:v>1727.65</c:v>
                </c:pt>
                <c:pt idx="2294">
                  <c:v>1725.07</c:v>
                </c:pt>
                <c:pt idx="2295">
                  <c:v>1740.21</c:v>
                </c:pt>
                <c:pt idx="2296">
                  <c:v>1746.71</c:v>
                </c:pt>
                <c:pt idx="2297">
                  <c:v>1771.05</c:v>
                </c:pt>
                <c:pt idx="2298">
                  <c:v>1768.56</c:v>
                </c:pt>
                <c:pt idx="2299">
                  <c:v>1738.37</c:v>
                </c:pt>
                <c:pt idx="2300">
                  <c:v>1740.22</c:v>
                </c:pt>
                <c:pt idx="2301">
                  <c:v>1733.45</c:v>
                </c:pt>
                <c:pt idx="2302">
                  <c:v>1747.08</c:v>
                </c:pt>
                <c:pt idx="2303">
                  <c:v>1737.77</c:v>
                </c:pt>
                <c:pt idx="2304">
                  <c:v>1726.63</c:v>
                </c:pt>
                <c:pt idx="2305">
                  <c:v>1717.08</c:v>
                </c:pt>
                <c:pt idx="2306">
                  <c:v>1722.69</c:v>
                </c:pt>
                <c:pt idx="2307">
                  <c:v>1721.65</c:v>
                </c:pt>
                <c:pt idx="2308">
                  <c:v>1723.75</c:v>
                </c:pt>
                <c:pt idx="2309">
                  <c:v>1724.83</c:v>
                </c:pt>
                <c:pt idx="2310">
                  <c:v>1724.71</c:v>
                </c:pt>
                <c:pt idx="2311">
                  <c:v>1715.67</c:v>
                </c:pt>
                <c:pt idx="2312">
                  <c:v>1723.41</c:v>
                </c:pt>
                <c:pt idx="2313">
                  <c:v>1740.08</c:v>
                </c:pt>
                <c:pt idx="2314">
                  <c:v>1737.06</c:v>
                </c:pt>
                <c:pt idx="2315">
                  <c:v>1738.2</c:v>
                </c:pt>
                <c:pt idx="2316">
                  <c:v>1727.28</c:v>
                </c:pt>
                <c:pt idx="2317">
                  <c:v>1729.14</c:v>
                </c:pt>
                <c:pt idx="2318">
                  <c:v>1740.76</c:v>
                </c:pt>
                <c:pt idx="2319">
                  <c:v>1756.07</c:v>
                </c:pt>
                <c:pt idx="2320">
                  <c:v>1756.09</c:v>
                </c:pt>
                <c:pt idx="2321">
                  <c:v>1759.47</c:v>
                </c:pt>
                <c:pt idx="2322">
                  <c:v>1768.75</c:v>
                </c:pt>
                <c:pt idx="2323">
                  <c:v>1778.11</c:v>
                </c:pt>
                <c:pt idx="2324">
                  <c:v>1766.26</c:v>
                </c:pt>
                <c:pt idx="2325">
                  <c:v>1762.86</c:v>
                </c:pt>
                <c:pt idx="2326">
                  <c:v>1746.93</c:v>
                </c:pt>
                <c:pt idx="2327">
                  <c:v>1729.99</c:v>
                </c:pt>
                <c:pt idx="2328">
                  <c:v>1728.89</c:v>
                </c:pt>
                <c:pt idx="2329">
                  <c:v>1733.17</c:v>
                </c:pt>
                <c:pt idx="2330">
                  <c:v>1736.8</c:v>
                </c:pt>
                <c:pt idx="2331">
                  <c:v>1754.16</c:v>
                </c:pt>
                <c:pt idx="2332">
                  <c:v>1752.16</c:v>
                </c:pt>
                <c:pt idx="2333">
                  <c:v>1763.13</c:v>
                </c:pt>
                <c:pt idx="2334">
                  <c:v>1776.35</c:v>
                </c:pt>
                <c:pt idx="2335">
                  <c:v>1787.65</c:v>
                </c:pt>
                <c:pt idx="2336">
                  <c:v>1769.25</c:v>
                </c:pt>
                <c:pt idx="2337">
                  <c:v>1787.23</c:v>
                </c:pt>
                <c:pt idx="2338">
                  <c:v>1794.23</c:v>
                </c:pt>
                <c:pt idx="2339">
                  <c:v>1809.09</c:v>
                </c:pt>
                <c:pt idx="2340">
                  <c:v>1784.98</c:v>
                </c:pt>
                <c:pt idx="2341">
                  <c:v>1767.65</c:v>
                </c:pt>
                <c:pt idx="2342">
                  <c:v>1772.87</c:v>
                </c:pt>
                <c:pt idx="2343">
                  <c:v>1793.62</c:v>
                </c:pt>
                <c:pt idx="2344">
                  <c:v>1788.89</c:v>
                </c:pt>
                <c:pt idx="2345">
                  <c:v>1799.98</c:v>
                </c:pt>
                <c:pt idx="2346">
                  <c:v>1796.24</c:v>
                </c:pt>
                <c:pt idx="2347">
                  <c:v>1819.06</c:v>
                </c:pt>
                <c:pt idx="2348">
                  <c:v>1830.45</c:v>
                </c:pt>
                <c:pt idx="2349">
                  <c:v>1844.03</c:v>
                </c:pt>
                <c:pt idx="2350">
                  <c:v>1848.42</c:v>
                </c:pt>
                <c:pt idx="2351">
                  <c:v>1837.39</c:v>
                </c:pt>
                <c:pt idx="2352">
                  <c:v>1831.79</c:v>
                </c:pt>
                <c:pt idx="2353">
                  <c:v>1809.59</c:v>
                </c:pt>
                <c:pt idx="2354">
                  <c:v>1803.56</c:v>
                </c:pt>
                <c:pt idx="2355">
                  <c:v>1803.9</c:v>
                </c:pt>
                <c:pt idx="2356">
                  <c:v>1805.55</c:v>
                </c:pt>
                <c:pt idx="2357">
                  <c:v>1804.98</c:v>
                </c:pt>
                <c:pt idx="2358">
                  <c:v>1813.52</c:v>
                </c:pt>
                <c:pt idx="2359">
                  <c:v>1833.54</c:v>
                </c:pt>
                <c:pt idx="2360">
                  <c:v>1830.28</c:v>
                </c:pt>
                <c:pt idx="2361">
                  <c:v>1835.55</c:v>
                </c:pt>
                <c:pt idx="2362">
                  <c:v>1838.74</c:v>
                </c:pt>
                <c:pt idx="2363">
                  <c:v>1843.86</c:v>
                </c:pt>
                <c:pt idx="2364">
                  <c:v>1843.22</c:v>
                </c:pt>
                <c:pt idx="2365">
                  <c:v>1830.98</c:v>
                </c:pt>
                <c:pt idx="2366">
                  <c:v>1822.72</c:v>
                </c:pt>
                <c:pt idx="2367">
                  <c:v>1831.63</c:v>
                </c:pt>
                <c:pt idx="2368">
                  <c:v>1837.99</c:v>
                </c:pt>
                <c:pt idx="2369">
                  <c:v>1836.03</c:v>
                </c:pt>
                <c:pt idx="2370">
                  <c:v>1845.02</c:v>
                </c:pt>
                <c:pt idx="2371">
                  <c:v>1839.83</c:v>
                </c:pt>
                <c:pt idx="2372">
                  <c:v>1830.14</c:v>
                </c:pt>
                <c:pt idx="2373">
                  <c:v>1828.28</c:v>
                </c:pt>
                <c:pt idx="2374">
                  <c:v>1805.71</c:v>
                </c:pt>
                <c:pt idx="2375">
                  <c:v>1806.99</c:v>
                </c:pt>
                <c:pt idx="2376">
                  <c:v>1813.07</c:v>
                </c:pt>
                <c:pt idx="2377">
                  <c:v>1803.36</c:v>
                </c:pt>
                <c:pt idx="2378">
                  <c:v>1802.34</c:v>
                </c:pt>
                <c:pt idx="2379">
                  <c:v>1800.76</c:v>
                </c:pt>
                <c:pt idx="2380">
                  <c:v>1815.61</c:v>
                </c:pt>
                <c:pt idx="2381">
                  <c:v>1820.7</c:v>
                </c:pt>
                <c:pt idx="2382">
                  <c:v>1828.4</c:v>
                </c:pt>
                <c:pt idx="2383">
                  <c:v>1813.58</c:v>
                </c:pt>
                <c:pt idx="2384">
                  <c:v>1808.73</c:v>
                </c:pt>
                <c:pt idx="2385">
                  <c:v>1801.41</c:v>
                </c:pt>
                <c:pt idx="2386">
                  <c:v>1795.17</c:v>
                </c:pt>
                <c:pt idx="2387">
                  <c:v>1783.98</c:v>
                </c:pt>
                <c:pt idx="2388">
                  <c:v>1763.51</c:v>
                </c:pt>
                <c:pt idx="2389">
                  <c:v>1756.27</c:v>
                </c:pt>
                <c:pt idx="2390">
                  <c:v>1736.3</c:v>
                </c:pt>
                <c:pt idx="2391">
                  <c:v>1711.12</c:v>
                </c:pt>
                <c:pt idx="2392">
                  <c:v>1733.32</c:v>
                </c:pt>
                <c:pt idx="2393">
                  <c:v>1733.03</c:v>
                </c:pt>
                <c:pt idx="2394">
                  <c:v>1745.11</c:v>
                </c:pt>
                <c:pt idx="2395">
                  <c:v>1720.36</c:v>
                </c:pt>
                <c:pt idx="2396">
                  <c:v>1714.13</c:v>
                </c:pt>
                <c:pt idx="2397">
                  <c:v>1696.78</c:v>
                </c:pt>
                <c:pt idx="2398">
                  <c:v>1684.47</c:v>
                </c:pt>
                <c:pt idx="2399">
                  <c:v>1687.61</c:v>
                </c:pt>
                <c:pt idx="2400">
                  <c:v>1670.33</c:v>
                </c:pt>
                <c:pt idx="2401">
                  <c:v>1668.46</c:v>
                </c:pt>
                <c:pt idx="2402">
                  <c:v>1628.36</c:v>
                </c:pt>
                <c:pt idx="2403">
                  <c:v>1637.29</c:v>
                </c:pt>
                <c:pt idx="2404">
                  <c:v>1638.61</c:v>
                </c:pt>
                <c:pt idx="2405">
                  <c:v>1644.88</c:v>
                </c:pt>
                <c:pt idx="2406">
                  <c:v>1635.82</c:v>
                </c:pt>
                <c:pt idx="2407">
                  <c:v>1651.82</c:v>
                </c:pt>
                <c:pt idx="2408">
                  <c:v>1636.83</c:v>
                </c:pt>
                <c:pt idx="2409">
                  <c:v>1622.43</c:v>
                </c:pt>
                <c:pt idx="2410">
                  <c:v>1624.18</c:v>
                </c:pt>
                <c:pt idx="2411">
                  <c:v>1619.35</c:v>
                </c:pt>
                <c:pt idx="2412">
                  <c:v>1623.08</c:v>
                </c:pt>
                <c:pt idx="2413">
                  <c:v>1619.96</c:v>
                </c:pt>
                <c:pt idx="2414">
                  <c:v>1619.75</c:v>
                </c:pt>
                <c:pt idx="2415">
                  <c:v>1635.5</c:v>
                </c:pt>
                <c:pt idx="2416">
                  <c:v>1626.33</c:v>
                </c:pt>
                <c:pt idx="2417">
                  <c:v>1622.05</c:v>
                </c:pt>
                <c:pt idx="2418">
                  <c:v>1637.4</c:v>
                </c:pt>
                <c:pt idx="2419">
                  <c:v>1693.85</c:v>
                </c:pt>
                <c:pt idx="2420">
                  <c:v>1699.71</c:v>
                </c:pt>
                <c:pt idx="2421">
                  <c:v>1676.55</c:v>
                </c:pt>
                <c:pt idx="2422">
                  <c:v>1667.11</c:v>
                </c:pt>
                <c:pt idx="2423">
                  <c:v>1677.2</c:v>
                </c:pt>
                <c:pt idx="2424">
                  <c:v>1674.78</c:v>
                </c:pt>
                <c:pt idx="2425">
                  <c:v>1665.26</c:v>
                </c:pt>
                <c:pt idx="2426">
                  <c:v>1660.77</c:v>
                </c:pt>
                <c:pt idx="2427">
                  <c:v>1672.34</c:v>
                </c:pt>
                <c:pt idx="2428">
                  <c:v>1668.74</c:v>
                </c:pt>
                <c:pt idx="2429">
                  <c:v>1678.05</c:v>
                </c:pt>
                <c:pt idx="2430">
                  <c:v>1685.79</c:v>
                </c:pt>
                <c:pt idx="2431">
                  <c:v>1694.55</c:v>
                </c:pt>
                <c:pt idx="2432">
                  <c:v>1692.08</c:v>
                </c:pt>
                <c:pt idx="2433">
                  <c:v>1701.03</c:v>
                </c:pt>
                <c:pt idx="2434">
                  <c:v>1693.33</c:v>
                </c:pt>
                <c:pt idx="2435">
                  <c:v>1676.63</c:v>
                </c:pt>
                <c:pt idx="2436">
                  <c:v>1670.99</c:v>
                </c:pt>
                <c:pt idx="2437">
                  <c:v>1680.51</c:v>
                </c:pt>
                <c:pt idx="2438">
                  <c:v>1690.6</c:v>
                </c:pt>
                <c:pt idx="2439">
                  <c:v>1691.46</c:v>
                </c:pt>
                <c:pt idx="2440">
                  <c:v>1692.89</c:v>
                </c:pt>
                <c:pt idx="2441">
                  <c:v>1698.23</c:v>
                </c:pt>
                <c:pt idx="2442">
                  <c:v>1709.53</c:v>
                </c:pt>
                <c:pt idx="2443">
                  <c:v>1701.09</c:v>
                </c:pt>
                <c:pt idx="2444">
                  <c:v>1709.03</c:v>
                </c:pt>
                <c:pt idx="2445">
                  <c:v>1708.08</c:v>
                </c:pt>
                <c:pt idx="2446">
                  <c:v>1693.31</c:v>
                </c:pt>
                <c:pt idx="2447">
                  <c:v>1687.73</c:v>
                </c:pt>
                <c:pt idx="2448">
                  <c:v>1692.96</c:v>
                </c:pt>
                <c:pt idx="2449">
                  <c:v>1694.78</c:v>
                </c:pt>
                <c:pt idx="2450">
                  <c:v>1689.15</c:v>
                </c:pt>
                <c:pt idx="2451">
                  <c:v>1693.51</c:v>
                </c:pt>
                <c:pt idx="2452">
                  <c:v>1701.12</c:v>
                </c:pt>
                <c:pt idx="2453">
                  <c:v>1704.5</c:v>
                </c:pt>
                <c:pt idx="2454">
                  <c:v>1702.85</c:v>
                </c:pt>
                <c:pt idx="2455">
                  <c:v>1697.74</c:v>
                </c:pt>
                <c:pt idx="2456">
                  <c:v>1682.9</c:v>
                </c:pt>
                <c:pt idx="2457">
                  <c:v>1684.94</c:v>
                </c:pt>
                <c:pt idx="2458">
                  <c:v>1690.55</c:v>
                </c:pt>
                <c:pt idx="2459">
                  <c:v>1678.24</c:v>
                </c:pt>
                <c:pt idx="2460">
                  <c:v>1681.24</c:v>
                </c:pt>
                <c:pt idx="2461">
                  <c:v>1681.73</c:v>
                </c:pt>
                <c:pt idx="2462">
                  <c:v>1678.03</c:v>
                </c:pt>
                <c:pt idx="2463">
                  <c:v>1679.95</c:v>
                </c:pt>
                <c:pt idx="2464">
                  <c:v>1671.84</c:v>
                </c:pt>
                <c:pt idx="2465">
                  <c:v>1667.62</c:v>
                </c:pt>
                <c:pt idx="2466">
                  <c:v>1666.34</c:v>
                </c:pt>
                <c:pt idx="2467">
                  <c:v>1670.96</c:v>
                </c:pt>
                <c:pt idx="2468">
                  <c:v>1684.64</c:v>
                </c:pt>
                <c:pt idx="2469">
                  <c:v>1684.59</c:v>
                </c:pt>
                <c:pt idx="2470">
                  <c:v>1693.15</c:v>
                </c:pt>
                <c:pt idx="2471">
                  <c:v>1703.99</c:v>
                </c:pt>
                <c:pt idx="2472">
                  <c:v>1704.44</c:v>
                </c:pt>
                <c:pt idx="2473">
                  <c:v>1716.39</c:v>
                </c:pt>
                <c:pt idx="2474">
                  <c:v>1715.59</c:v>
                </c:pt>
                <c:pt idx="2475">
                  <c:v>1700.27</c:v>
                </c:pt>
                <c:pt idx="2476">
                  <c:v>1713.07</c:v>
                </c:pt>
                <c:pt idx="2477">
                  <c:v>1703.68</c:v>
                </c:pt>
                <c:pt idx="2478">
                  <c:v>1702</c:v>
                </c:pt>
                <c:pt idx="2479">
                  <c:v>1696.15</c:v>
                </c:pt>
                <c:pt idx="2480">
                  <c:v>1682.66</c:v>
                </c:pt>
                <c:pt idx="2481">
                  <c:v>1682.27</c:v>
                </c:pt>
                <c:pt idx="2482">
                  <c:v>1695.56</c:v>
                </c:pt>
                <c:pt idx="2483">
                  <c:v>1715.24</c:v>
                </c:pt>
                <c:pt idx="2484">
                  <c:v>1727.67</c:v>
                </c:pt>
                <c:pt idx="2485">
                  <c:v>1750.94</c:v>
                </c:pt>
                <c:pt idx="2486">
                  <c:v>1754.44</c:v>
                </c:pt>
                <c:pt idx="2487">
                  <c:v>1752.78</c:v>
                </c:pt>
                <c:pt idx="2488">
                  <c:v>1754.83</c:v>
                </c:pt>
                <c:pt idx="2489">
                  <c:v>1747.83</c:v>
                </c:pt>
                <c:pt idx="2490">
                  <c:v>1757.94</c:v>
                </c:pt>
                <c:pt idx="2491">
                  <c:v>1752.24</c:v>
                </c:pt>
                <c:pt idx="2492">
                  <c:v>1748.15</c:v>
                </c:pt>
                <c:pt idx="2493">
                  <c:v>1750.77</c:v>
                </c:pt>
                <c:pt idx="2494">
                  <c:v>1765.12</c:v>
                </c:pt>
                <c:pt idx="2495">
                  <c:v>1768.75</c:v>
                </c:pt>
                <c:pt idx="2496">
                  <c:v>1780.54</c:v>
                </c:pt>
                <c:pt idx="2497">
                  <c:v>1777.46</c:v>
                </c:pt>
                <c:pt idx="2498">
                  <c:v>1768.23</c:v>
                </c:pt>
                <c:pt idx="2499">
                  <c:v>1767.62</c:v>
                </c:pt>
                <c:pt idx="2500">
                  <c:v>1773.04</c:v>
                </c:pt>
                <c:pt idx="2501">
                  <c:v>1770.22</c:v>
                </c:pt>
                <c:pt idx="2502">
                  <c:v>1776.7</c:v>
                </c:pt>
                <c:pt idx="2503">
                  <c:v>1749.5</c:v>
                </c:pt>
                <c:pt idx="2504">
                  <c:v>1744.41</c:v>
                </c:pt>
                <c:pt idx="2505">
                  <c:v>1754.82</c:v>
                </c:pt>
                <c:pt idx="2506">
                  <c:v>1744.18</c:v>
                </c:pt>
                <c:pt idx="2507">
                  <c:v>1746.29</c:v>
                </c:pt>
                <c:pt idx="2508">
                  <c:v>1768.22</c:v>
                </c:pt>
                <c:pt idx="2509">
                  <c:v>1776.55</c:v>
                </c:pt>
                <c:pt idx="2510">
                  <c:v>1761.33</c:v>
                </c:pt>
                <c:pt idx="2511">
                  <c:v>1753.82</c:v>
                </c:pt>
                <c:pt idx="2512">
                  <c:v>1746.87</c:v>
                </c:pt>
                <c:pt idx="2513">
                  <c:v>1745.54</c:v>
                </c:pt>
                <c:pt idx="2514">
                  <c:v>1737.72</c:v>
                </c:pt>
                <c:pt idx="2515">
                  <c:v>1735.54</c:v>
                </c:pt>
                <c:pt idx="2516">
                  <c:v>1738.74</c:v>
                </c:pt>
                <c:pt idx="2517">
                  <c:v>1750.67</c:v>
                </c:pt>
                <c:pt idx="2518">
                  <c:v>1752.86</c:v>
                </c:pt>
                <c:pt idx="2519">
                  <c:v>1759.83</c:v>
                </c:pt>
                <c:pt idx="2520">
                  <c:v>1759.1</c:v>
                </c:pt>
                <c:pt idx="2521">
                  <c:v>1767.61</c:v>
                </c:pt>
                <c:pt idx="2522">
                  <c:v>1763.41</c:v>
                </c:pt>
                <c:pt idx="2523">
                  <c:v>1759.19</c:v>
                </c:pt>
                <c:pt idx="2524">
                  <c:v>1756.59</c:v>
                </c:pt>
                <c:pt idx="2525">
                  <c:v>1768.51</c:v>
                </c:pt>
                <c:pt idx="2526">
                  <c:v>1760.16</c:v>
                </c:pt>
                <c:pt idx="2527">
                  <c:v>1773.62</c:v>
                </c:pt>
                <c:pt idx="2528">
                  <c:v>1760.41</c:v>
                </c:pt>
                <c:pt idx="2529">
                  <c:v>1766.18</c:v>
                </c:pt>
                <c:pt idx="2530">
                  <c:v>1760.65</c:v>
                </c:pt>
                <c:pt idx="2531">
                  <c:v>1758.06</c:v>
                </c:pt>
                <c:pt idx="2532">
                  <c:v>1739.66</c:v>
                </c:pt>
                <c:pt idx="2533">
                  <c:v>1739.15</c:v>
                </c:pt>
                <c:pt idx="2534">
                  <c:v>1727.19</c:v>
                </c:pt>
                <c:pt idx="2535">
                  <c:v>1723.93</c:v>
                </c:pt>
                <c:pt idx="2536">
                  <c:v>1720.25</c:v>
                </c:pt>
                <c:pt idx="2537">
                  <c:v>1680.55</c:v>
                </c:pt>
                <c:pt idx="2538">
                  <c:v>1693.74</c:v>
                </c:pt>
                <c:pt idx="2539">
                  <c:v>1718.28</c:v>
                </c:pt>
                <c:pt idx="2540">
                  <c:v>1729.07</c:v>
                </c:pt>
                <c:pt idx="2541">
                  <c:v>1728.91</c:v>
                </c:pt>
                <c:pt idx="2542">
                  <c:v>1726.54</c:v>
                </c:pt>
                <c:pt idx="2543">
                  <c:v>1727.96</c:v>
                </c:pt>
                <c:pt idx="2544">
                  <c:v>1738.86</c:v>
                </c:pt>
                <c:pt idx="2545">
                  <c:v>1740.39</c:v>
                </c:pt>
                <c:pt idx="2546">
                  <c:v>1763.45</c:v>
                </c:pt>
                <c:pt idx="2547">
                  <c:v>1770.76</c:v>
                </c:pt>
                <c:pt idx="2548">
                  <c:v>1810.14</c:v>
                </c:pt>
                <c:pt idx="2549">
                  <c:v>1804.02</c:v>
                </c:pt>
                <c:pt idx="2550">
                  <c:v>1808.4</c:v>
                </c:pt>
                <c:pt idx="2551">
                  <c:v>1827.92</c:v>
                </c:pt>
                <c:pt idx="2552">
                  <c:v>1845.67</c:v>
                </c:pt>
                <c:pt idx="2553">
                  <c:v>1844.24</c:v>
                </c:pt>
                <c:pt idx="2554">
                  <c:v>1876.98</c:v>
                </c:pt>
                <c:pt idx="2555">
                  <c:v>1876.42</c:v>
                </c:pt>
                <c:pt idx="2556">
                  <c:v>1865.64</c:v>
                </c:pt>
                <c:pt idx="2557">
                  <c:v>1880.9</c:v>
                </c:pt>
                <c:pt idx="2558">
                  <c:v>1885.33</c:v>
                </c:pt>
                <c:pt idx="2559">
                  <c:v>1891.66</c:v>
                </c:pt>
                <c:pt idx="2560">
                  <c:v>1886.7</c:v>
                </c:pt>
                <c:pt idx="2561">
                  <c:v>1896.87</c:v>
                </c:pt>
                <c:pt idx="2562">
                  <c:v>1902.81</c:v>
                </c:pt>
                <c:pt idx="2563">
                  <c:v>1902.25</c:v>
                </c:pt>
                <c:pt idx="2564">
                  <c:v>1903.42</c:v>
                </c:pt>
                <c:pt idx="2565">
                  <c:v>1897.06</c:v>
                </c:pt>
                <c:pt idx="2566">
                  <c:v>1894.19</c:v>
                </c:pt>
                <c:pt idx="2567">
                  <c:v>1887.81</c:v>
                </c:pt>
                <c:pt idx="2568">
                  <c:v>1899.66</c:v>
                </c:pt>
                <c:pt idx="2569">
                  <c:v>1923.54</c:v>
                </c:pt>
                <c:pt idx="2570">
                  <c:v>1921.37</c:v>
                </c:pt>
                <c:pt idx="2571">
                  <c:v>1931.99</c:v>
                </c:pt>
                <c:pt idx="2572">
                  <c:v>1928</c:v>
                </c:pt>
                <c:pt idx="2573">
                  <c:v>1961.07</c:v>
                </c:pt>
                <c:pt idx="2574">
                  <c:v>1982.63</c:v>
                </c:pt>
                <c:pt idx="2575">
                  <c:v>1959.12</c:v>
                </c:pt>
                <c:pt idx="2576">
                  <c:v>1939.54</c:v>
                </c:pt>
                <c:pt idx="2577">
                  <c:v>1928.9</c:v>
                </c:pt>
                <c:pt idx="2578">
                  <c:v>1926.39</c:v>
                </c:pt>
                <c:pt idx="2579">
                  <c:v>1914.71</c:v>
                </c:pt>
                <c:pt idx="2580">
                  <c:v>1915.9</c:v>
                </c:pt>
                <c:pt idx="2581">
                  <c:v>1930.42</c:v>
                </c:pt>
                <c:pt idx="2582">
                  <c:v>1921.19</c:v>
                </c:pt>
                <c:pt idx="2583">
                  <c:v>1910.9</c:v>
                </c:pt>
                <c:pt idx="2584">
                  <c:v>1912.4</c:v>
                </c:pt>
                <c:pt idx="2585">
                  <c:v>1912.13</c:v>
                </c:pt>
                <c:pt idx="2586">
                  <c:v>1914.81</c:v>
                </c:pt>
                <c:pt idx="2587">
                  <c:v>1945.38</c:v>
                </c:pt>
                <c:pt idx="2588">
                  <c:v>1957.14</c:v>
                </c:pt>
                <c:pt idx="2589">
                  <c:v>1968.53</c:v>
                </c:pt>
                <c:pt idx="2590">
                  <c:v>1982.1</c:v>
                </c:pt>
                <c:pt idx="2591">
                  <c:v>2007.07</c:v>
                </c:pt>
                <c:pt idx="2592">
                  <c:v>2007.05</c:v>
                </c:pt>
                <c:pt idx="2593">
                  <c:v>2004.64</c:v>
                </c:pt>
                <c:pt idx="2594">
                  <c:v>1996.04</c:v>
                </c:pt>
                <c:pt idx="2595">
                  <c:v>2018.84</c:v>
                </c:pt>
                <c:pt idx="2596">
                  <c:v>2025.28</c:v>
                </c:pt>
                <c:pt idx="2597">
                  <c:v>2019.82</c:v>
                </c:pt>
                <c:pt idx="2598">
                  <c:v>2002.31</c:v>
                </c:pt>
                <c:pt idx="2599">
                  <c:v>1995.22</c:v>
                </c:pt>
                <c:pt idx="2600">
                  <c:v>1984.61</c:v>
                </c:pt>
                <c:pt idx="2601">
                  <c:v>1994.11</c:v>
                </c:pt>
                <c:pt idx="2602">
                  <c:v>1992.42</c:v>
                </c:pt>
                <c:pt idx="2603">
                  <c:v>2004.05</c:v>
                </c:pt>
                <c:pt idx="2604">
                  <c:v>2013.42</c:v>
                </c:pt>
                <c:pt idx="2605">
                  <c:v>2005.91</c:v>
                </c:pt>
                <c:pt idx="2606">
                  <c:v>2003.82</c:v>
                </c:pt>
                <c:pt idx="2607">
                  <c:v>2008.78</c:v>
                </c:pt>
                <c:pt idx="2608">
                  <c:v>2007.94</c:v>
                </c:pt>
                <c:pt idx="2609">
                  <c:v>1998</c:v>
                </c:pt>
                <c:pt idx="2610">
                  <c:v>1999.26</c:v>
                </c:pt>
                <c:pt idx="2611">
                  <c:v>1990.01</c:v>
                </c:pt>
                <c:pt idx="2612">
                  <c:v>1974.19</c:v>
                </c:pt>
                <c:pt idx="2613">
                  <c:v>1976.18</c:v>
                </c:pt>
                <c:pt idx="2614">
                  <c:v>1974.52</c:v>
                </c:pt>
                <c:pt idx="2615">
                  <c:v>1981.84</c:v>
                </c:pt>
                <c:pt idx="2616">
                  <c:v>1982.69</c:v>
                </c:pt>
                <c:pt idx="2617">
                  <c:v>1971.99</c:v>
                </c:pt>
                <c:pt idx="2618">
                  <c:v>1975.2</c:v>
                </c:pt>
                <c:pt idx="2619">
                  <c:v>1955.75</c:v>
                </c:pt>
                <c:pt idx="2620">
                  <c:v>1945.74</c:v>
                </c:pt>
                <c:pt idx="2621">
                  <c:v>1955.91</c:v>
                </c:pt>
                <c:pt idx="2622">
                  <c:v>1948.45</c:v>
                </c:pt>
                <c:pt idx="2623">
                  <c:v>1958.46</c:v>
                </c:pt>
                <c:pt idx="2624">
                  <c:v>1950.91</c:v>
                </c:pt>
                <c:pt idx="2625">
                  <c:v>1956.84</c:v>
                </c:pt>
                <c:pt idx="2626">
                  <c:v>1946.56</c:v>
                </c:pt>
                <c:pt idx="2627">
                  <c:v>1942.05</c:v>
                </c:pt>
                <c:pt idx="2628">
                  <c:v>1948.39</c:v>
                </c:pt>
                <c:pt idx="2629">
                  <c:v>1948.39</c:v>
                </c:pt>
                <c:pt idx="2630">
                  <c:v>1942.72</c:v>
                </c:pt>
                <c:pt idx="2631">
                  <c:v>1945.6</c:v>
                </c:pt>
                <c:pt idx="2632">
                  <c:v>1947.68</c:v>
                </c:pt>
                <c:pt idx="2633">
                  <c:v>1931.4</c:v>
                </c:pt>
                <c:pt idx="2634">
                  <c:v>1915.73</c:v>
                </c:pt>
                <c:pt idx="2635">
                  <c:v>1919.91</c:v>
                </c:pt>
                <c:pt idx="2636">
                  <c:v>1921.89</c:v>
                </c:pt>
                <c:pt idx="2637">
                  <c:v>1918.5</c:v>
                </c:pt>
                <c:pt idx="2638">
                  <c:v>1926.19</c:v>
                </c:pt>
                <c:pt idx="2639">
                  <c:v>1925.36</c:v>
                </c:pt>
                <c:pt idx="2640">
                  <c:v>1917.41</c:v>
                </c:pt>
                <c:pt idx="2641">
                  <c:v>1898.35</c:v>
                </c:pt>
                <c:pt idx="2642">
                  <c:v>1886.26</c:v>
                </c:pt>
                <c:pt idx="2643">
                  <c:v>1879.44</c:v>
                </c:pt>
                <c:pt idx="2644">
                  <c:v>1882.12</c:v>
                </c:pt>
                <c:pt idx="2645">
                  <c:v>1862.32</c:v>
                </c:pt>
                <c:pt idx="2646">
                  <c:v>1881.08</c:v>
                </c:pt>
                <c:pt idx="2647">
                  <c:v>1884.25</c:v>
                </c:pt>
                <c:pt idx="2648">
                  <c:v>1862.97</c:v>
                </c:pt>
                <c:pt idx="2649">
                  <c:v>1854.48</c:v>
                </c:pt>
                <c:pt idx="2650">
                  <c:v>1853.97</c:v>
                </c:pt>
                <c:pt idx="2651">
                  <c:v>1838.46</c:v>
                </c:pt>
                <c:pt idx="2652">
                  <c:v>1852.74</c:v>
                </c:pt>
                <c:pt idx="2653">
                  <c:v>1841.9</c:v>
                </c:pt>
                <c:pt idx="2654">
                  <c:v>1858.71</c:v>
                </c:pt>
                <c:pt idx="2655">
                  <c:v>1850.14</c:v>
                </c:pt>
                <c:pt idx="2656">
                  <c:v>1839.71</c:v>
                </c:pt>
                <c:pt idx="2657">
                  <c:v>1835.77</c:v>
                </c:pt>
                <c:pt idx="2658">
                  <c:v>1824.83</c:v>
                </c:pt>
                <c:pt idx="2659">
                  <c:v>1799.76</c:v>
                </c:pt>
                <c:pt idx="2660">
                  <c:v>1801.82</c:v>
                </c:pt>
                <c:pt idx="2661">
                  <c:v>1805.88</c:v>
                </c:pt>
                <c:pt idx="2662">
                  <c:v>1784.67</c:v>
                </c:pt>
                <c:pt idx="2663">
                  <c:v>1784.01</c:v>
                </c:pt>
                <c:pt idx="2664">
                  <c:v>1783.85</c:v>
                </c:pt>
                <c:pt idx="2665">
                  <c:v>1795.57</c:v>
                </c:pt>
                <c:pt idx="2666">
                  <c:v>1787.84</c:v>
                </c:pt>
                <c:pt idx="2667">
                  <c:v>1781.17</c:v>
                </c:pt>
                <c:pt idx="2668">
                  <c:v>1796.98</c:v>
                </c:pt>
                <c:pt idx="2669">
                  <c:v>1804.69</c:v>
                </c:pt>
                <c:pt idx="2670">
                  <c:v>1804.09</c:v>
                </c:pt>
                <c:pt idx="2671">
                  <c:v>1808.88</c:v>
                </c:pt>
                <c:pt idx="2672">
                  <c:v>1810.68</c:v>
                </c:pt>
                <c:pt idx="2673">
                  <c:v>1801.26</c:v>
                </c:pt>
                <c:pt idx="2674">
                  <c:v>1804.18</c:v>
                </c:pt>
                <c:pt idx="2675">
                  <c:v>1806.02</c:v>
                </c:pt>
                <c:pt idx="2676">
                  <c:v>1820.86</c:v>
                </c:pt>
                <c:pt idx="2677">
                  <c:v>1811.73</c:v>
                </c:pt>
                <c:pt idx="2678">
                  <c:v>1824.57</c:v>
                </c:pt>
                <c:pt idx="2679">
                  <c:v>1827.74</c:v>
                </c:pt>
                <c:pt idx="2680">
                  <c:v>1825.33</c:v>
                </c:pt>
                <c:pt idx="2681">
                  <c:v>1835.1</c:v>
                </c:pt>
                <c:pt idx="2682">
                  <c:v>1829.05</c:v>
                </c:pt>
                <c:pt idx="2683">
                  <c:v>1856.58</c:v>
                </c:pt>
                <c:pt idx="2684">
                  <c:v>1850.69</c:v>
                </c:pt>
                <c:pt idx="2685">
                  <c:v>1842.69</c:v>
                </c:pt>
                <c:pt idx="2686">
                  <c:v>1840.34</c:v>
                </c:pt>
                <c:pt idx="2687">
                  <c:v>1850.96</c:v>
                </c:pt>
                <c:pt idx="2688">
                  <c:v>1846.03</c:v>
                </c:pt>
                <c:pt idx="2689">
                  <c:v>1839.79</c:v>
                </c:pt>
                <c:pt idx="2690">
                  <c:v>1829.12</c:v>
                </c:pt>
                <c:pt idx="2691">
                  <c:v>1843.17</c:v>
                </c:pt>
                <c:pt idx="2692">
                  <c:v>1848.55</c:v>
                </c:pt>
                <c:pt idx="2693">
                  <c:v>1859.51</c:v>
                </c:pt>
                <c:pt idx="2694">
                  <c:v>1853.65</c:v>
                </c:pt>
                <c:pt idx="2695">
                  <c:v>1839.88</c:v>
                </c:pt>
                <c:pt idx="2696">
                  <c:v>1835.37</c:v>
                </c:pt>
                <c:pt idx="2697">
                  <c:v>1830.96</c:v>
                </c:pt>
                <c:pt idx="2698">
                  <c:v>1827.09</c:v>
                </c:pt>
                <c:pt idx="2699">
                  <c:v>1829.47</c:v>
                </c:pt>
                <c:pt idx="2700">
                  <c:v>1826.87</c:v>
                </c:pt>
                <c:pt idx="2701">
                  <c:v>1835.6</c:v>
                </c:pt>
                <c:pt idx="2702">
                  <c:v>1837.31</c:v>
                </c:pt>
                <c:pt idx="2703">
                  <c:v>1843.85</c:v>
                </c:pt>
                <c:pt idx="2704">
                  <c:v>1854.08</c:v>
                </c:pt>
                <c:pt idx="2705">
                  <c:v>1842.82</c:v>
                </c:pt>
                <c:pt idx="2706">
                  <c:v>1851.76</c:v>
                </c:pt>
                <c:pt idx="2707">
                  <c:v>1849.47</c:v>
                </c:pt>
                <c:pt idx="2708">
                  <c:v>1847.81</c:v>
                </c:pt>
                <c:pt idx="2709">
                  <c:v>1839.16</c:v>
                </c:pt>
                <c:pt idx="2710">
                  <c:v>1830.97</c:v>
                </c:pt>
                <c:pt idx="2711">
                  <c:v>1833.52</c:v>
                </c:pt>
                <c:pt idx="2712">
                  <c:v>1841.41</c:v>
                </c:pt>
                <c:pt idx="2713">
                  <c:v>1845.62</c:v>
                </c:pt>
                <c:pt idx="2714">
                  <c:v>1840.85</c:v>
                </c:pt>
                <c:pt idx="2715">
                  <c:v>1833.14</c:v>
                </c:pt>
                <c:pt idx="2716">
                  <c:v>1835.26</c:v>
                </c:pt>
                <c:pt idx="2717">
                  <c:v>1826.19</c:v>
                </c:pt>
                <c:pt idx="2718">
                  <c:v>1834.31</c:v>
                </c:pt>
                <c:pt idx="2719">
                  <c:v>1833.55</c:v>
                </c:pt>
                <c:pt idx="2720">
                  <c:v>1831.36</c:v>
                </c:pt>
                <c:pt idx="2721">
                  <c:v>1825.53</c:v>
                </c:pt>
                <c:pt idx="2722">
                  <c:v>1828.35</c:v>
                </c:pt>
                <c:pt idx="2723">
                  <c:v>1825.7</c:v>
                </c:pt>
                <c:pt idx="2724">
                  <c:v>1819.02</c:v>
                </c:pt>
                <c:pt idx="2725">
                  <c:v>1820.68</c:v>
                </c:pt>
                <c:pt idx="2726">
                  <c:v>1829.82</c:v>
                </c:pt>
                <c:pt idx="2727">
                  <c:v>1823.97</c:v>
                </c:pt>
                <c:pt idx="2728">
                  <c:v>1822.03</c:v>
                </c:pt>
                <c:pt idx="2729">
                  <c:v>1818.01</c:v>
                </c:pt>
                <c:pt idx="2730">
                  <c:v>1822.35</c:v>
                </c:pt>
                <c:pt idx="2731">
                  <c:v>1818.65</c:v>
                </c:pt>
                <c:pt idx="2732">
                  <c:v>1819.42</c:v>
                </c:pt>
                <c:pt idx="2733">
                  <c:v>1810.54</c:v>
                </c:pt>
                <c:pt idx="2734">
                  <c:v>1812.19</c:v>
                </c:pt>
                <c:pt idx="2735">
                  <c:v>1816.21</c:v>
                </c:pt>
                <c:pt idx="2736">
                  <c:v>1818.77</c:v>
                </c:pt>
                <c:pt idx="2737">
                  <c:v>1804.94</c:v>
                </c:pt>
                <c:pt idx="2738">
                  <c:v>1794.96</c:v>
                </c:pt>
                <c:pt idx="2739">
                  <c:v>1795.41</c:v>
                </c:pt>
                <c:pt idx="2740">
                  <c:v>1787.7</c:v>
                </c:pt>
                <c:pt idx="2741">
                  <c:v>1794.06</c:v>
                </c:pt>
                <c:pt idx="2742">
                  <c:v>1782.55</c:v>
                </c:pt>
                <c:pt idx="2743">
                  <c:v>1777.43</c:v>
                </c:pt>
                <c:pt idx="2744">
                  <c:v>1777.41</c:v>
                </c:pt>
                <c:pt idx="2745">
                  <c:v>1765.09</c:v>
                </c:pt>
                <c:pt idx="2746">
                  <c:v>1768.11</c:v>
                </c:pt>
                <c:pt idx="2747">
                  <c:v>1760.25</c:v>
                </c:pt>
                <c:pt idx="2748">
                  <c:v>1762.55</c:v>
                </c:pt>
                <c:pt idx="2749">
                  <c:v>1756.76</c:v>
                </c:pt>
                <c:pt idx="2750">
                  <c:v>1766.01</c:v>
                </c:pt>
                <c:pt idx="2751">
                  <c:v>1764.1</c:v>
                </c:pt>
                <c:pt idx="2752">
                  <c:v>1762.22</c:v>
                </c:pt>
                <c:pt idx="2753">
                  <c:v>1766.22</c:v>
                </c:pt>
                <c:pt idx="2754">
                  <c:v>1754.43</c:v>
                </c:pt>
                <c:pt idx="2755">
                  <c:v>1764.41</c:v>
                </c:pt>
                <c:pt idx="2756">
                  <c:v>1751.13</c:v>
                </c:pt>
                <c:pt idx="2757">
                  <c:v>1753.11</c:v>
                </c:pt>
                <c:pt idx="2758">
                  <c:v>1748.57</c:v>
                </c:pt>
                <c:pt idx="2759">
                  <c:v>1757.42</c:v>
                </c:pt>
                <c:pt idx="2760">
                  <c:v>1767.02</c:v>
                </c:pt>
                <c:pt idx="2761">
                  <c:v>1753.68</c:v>
                </c:pt>
                <c:pt idx="2762">
                  <c:v>1741.65</c:v>
                </c:pt>
                <c:pt idx="2763">
                  <c:v>1740.44</c:v>
                </c:pt>
                <c:pt idx="2764">
                  <c:v>1741.33</c:v>
                </c:pt>
                <c:pt idx="2765">
                  <c:v>1745.62</c:v>
                </c:pt>
                <c:pt idx="2766">
                  <c:v>1748.16</c:v>
                </c:pt>
                <c:pt idx="2767">
                  <c:v>1758.18</c:v>
                </c:pt>
                <c:pt idx="2768">
                  <c:v>1765.84</c:v>
                </c:pt>
                <c:pt idx="2769">
                  <c:v>1771.8</c:v>
                </c:pt>
                <c:pt idx="2770">
                  <c:v>1772.37</c:v>
                </c:pt>
                <c:pt idx="2771">
                  <c:v>1776.21</c:v>
                </c:pt>
                <c:pt idx="2772">
                  <c:v>1768.62</c:v>
                </c:pt>
                <c:pt idx="2773">
                  <c:v>1767.79</c:v>
                </c:pt>
                <c:pt idx="2774">
                  <c:v>1766.57</c:v>
                </c:pt>
                <c:pt idx="2775">
                  <c:v>1772.11</c:v>
                </c:pt>
                <c:pt idx="2776">
                  <c:v>1767.04</c:v>
                </c:pt>
                <c:pt idx="2777">
                  <c:v>1760.55</c:v>
                </c:pt>
                <c:pt idx="2778">
                  <c:v>1768.72</c:v>
                </c:pt>
                <c:pt idx="2779">
                  <c:v>1765.46</c:v>
                </c:pt>
                <c:pt idx="2780">
                  <c:v>1765.29</c:v>
                </c:pt>
                <c:pt idx="2781">
                  <c:v>1759.39</c:v>
                </c:pt>
                <c:pt idx="2782">
                  <c:v>1758.03</c:v>
                </c:pt>
                <c:pt idx="2783">
                  <c:v>1760.85</c:v>
                </c:pt>
                <c:pt idx="2784">
                  <c:v>1762.43</c:v>
                </c:pt>
                <c:pt idx="2785">
                  <c:v>1766.52</c:v>
                </c:pt>
                <c:pt idx="2786">
                  <c:v>1771.08</c:v>
                </c:pt>
                <c:pt idx="2787">
                  <c:v>1770.09</c:v>
                </c:pt>
                <c:pt idx="2788">
                  <c:v>1777.99</c:v>
                </c:pt>
                <c:pt idx="2789">
                  <c:v>1786.56</c:v>
                </c:pt>
                <c:pt idx="2790">
                  <c:v>1778.49</c:v>
                </c:pt>
                <c:pt idx="2791">
                  <c:v>1783.23</c:v>
                </c:pt>
                <c:pt idx="2792">
                  <c:v>1780.38</c:v>
                </c:pt>
                <c:pt idx="2793">
                  <c:v>1779.75</c:v>
                </c:pt>
                <c:pt idx="2794">
                  <c:v>1794.28</c:v>
                </c:pt>
                <c:pt idx="2795">
                  <c:v>1804.55</c:v>
                </c:pt>
                <c:pt idx="2796">
                  <c:v>1799.24</c:v>
                </c:pt>
                <c:pt idx="2797">
                  <c:v>1802.6</c:v>
                </c:pt>
                <c:pt idx="2798">
                  <c:v>1800.64</c:v>
                </c:pt>
                <c:pt idx="2799">
                  <c:v>1812.63</c:v>
                </c:pt>
                <c:pt idx="2800">
                  <c:v>1804.47</c:v>
                </c:pt>
                <c:pt idx="2801">
                  <c:v>1816.26</c:v>
                </c:pt>
                <c:pt idx="2802">
                  <c:v>1814.76</c:v>
                </c:pt>
                <c:pt idx="2803">
                  <c:v>1810.91</c:v>
                </c:pt>
                <c:pt idx="2804">
                  <c:v>1801.89</c:v>
                </c:pt>
                <c:pt idx="2805">
                  <c:v>1812.12</c:v>
                </c:pt>
                <c:pt idx="2806">
                  <c:v>1812.97</c:v>
                </c:pt>
                <c:pt idx="2807">
                  <c:v>1809.53</c:v>
                </c:pt>
                <c:pt idx="2808">
                  <c:v>1810.75</c:v>
                </c:pt>
                <c:pt idx="2809">
                  <c:v>1811.16</c:v>
                </c:pt>
                <c:pt idx="2810">
                  <c:v>1804.33</c:v>
                </c:pt>
                <c:pt idx="2811">
                  <c:v>1796.24</c:v>
                </c:pt>
                <c:pt idx="2812">
                  <c:v>1795.18</c:v>
                </c:pt>
                <c:pt idx="2813">
                  <c:v>1801.67</c:v>
                </c:pt>
                <c:pt idx="2814">
                  <c:v>1807.3</c:v>
                </c:pt>
                <c:pt idx="2815">
                  <c:v>1803.53</c:v>
                </c:pt>
                <c:pt idx="2816">
                  <c:v>1795.09</c:v>
                </c:pt>
                <c:pt idx="2817">
                  <c:v>1789.13</c:v>
                </c:pt>
                <c:pt idx="2818">
                  <c:v>1797.79</c:v>
                </c:pt>
                <c:pt idx="2819">
                  <c:v>1800.65</c:v>
                </c:pt>
                <c:pt idx="2820">
                  <c:v>1804.62</c:v>
                </c:pt>
                <c:pt idx="2821">
                  <c:v>1804.72</c:v>
                </c:pt>
                <c:pt idx="2822">
                  <c:v>1806.21</c:v>
                </c:pt>
                <c:pt idx="2823">
                  <c:v>1810.22</c:v>
                </c:pt>
                <c:pt idx="2824">
                  <c:v>1811.59</c:v>
                </c:pt>
                <c:pt idx="2825">
                  <c:v>1798.87</c:v>
                </c:pt>
                <c:pt idx="2826">
                  <c:v>1798.34</c:v>
                </c:pt>
                <c:pt idx="2827">
                  <c:v>1791</c:v>
                </c:pt>
                <c:pt idx="2828">
                  <c:v>1786.73</c:v>
                </c:pt>
                <c:pt idx="2829">
                  <c:v>1788.36</c:v>
                </c:pt>
                <c:pt idx="2830">
                  <c:v>1787.15</c:v>
                </c:pt>
                <c:pt idx="2831">
                  <c:v>1784.61</c:v>
                </c:pt>
                <c:pt idx="2832">
                  <c:v>1783.84</c:v>
                </c:pt>
                <c:pt idx="2833">
                  <c:v>1781.13</c:v>
                </c:pt>
                <c:pt idx="2834">
                  <c:v>1778.54</c:v>
                </c:pt>
                <c:pt idx="2835">
                  <c:v>1795.09</c:v>
                </c:pt>
                <c:pt idx="2836">
                  <c:v>1775.32</c:v>
                </c:pt>
                <c:pt idx="2837">
                  <c:v>1773.33</c:v>
                </c:pt>
                <c:pt idx="2838">
                  <c:v>1772.45</c:v>
                </c:pt>
                <c:pt idx="2839">
                  <c:v>1781.08</c:v>
                </c:pt>
                <c:pt idx="2840">
                  <c:v>1782.71</c:v>
                </c:pt>
                <c:pt idx="2841">
                  <c:v>1777.56</c:v>
                </c:pt>
                <c:pt idx="2842">
                  <c:v>1773.68</c:v>
                </c:pt>
                <c:pt idx="2843">
                  <c:v>1776.79</c:v>
                </c:pt>
                <c:pt idx="2844">
                  <c:v>1764.51</c:v>
                </c:pt>
                <c:pt idx="2845">
                  <c:v>1761.88</c:v>
                </c:pt>
                <c:pt idx="2846">
                  <c:v>1763.78</c:v>
                </c:pt>
                <c:pt idx="2847">
                  <c:v>1763.7</c:v>
                </c:pt>
                <c:pt idx="2848">
                  <c:v>1764.52</c:v>
                </c:pt>
                <c:pt idx="2849">
                  <c:v>1771.2</c:v>
                </c:pt>
                <c:pt idx="2850">
                  <c:v>1776.23</c:v>
                </c:pt>
                <c:pt idx="2851">
                  <c:v>1760.14</c:v>
                </c:pt>
                <c:pt idx="2852">
                  <c:v>1766.1</c:v>
                </c:pt>
                <c:pt idx="2853">
                  <c:v>1752.08</c:v>
                </c:pt>
                <c:pt idx="2854">
                  <c:v>1752.25</c:v>
                </c:pt>
                <c:pt idx="2855">
                  <c:v>1753.22</c:v>
                </c:pt>
                <c:pt idx="2856">
                  <c:v>1758.44</c:v>
                </c:pt>
                <c:pt idx="2857">
                  <c:v>1756.5</c:v>
                </c:pt>
                <c:pt idx="2858">
                  <c:v>1751.24</c:v>
                </c:pt>
                <c:pt idx="2859">
                  <c:v>1749.56</c:v>
                </c:pt>
                <c:pt idx="2860">
                  <c:v>1749.76</c:v>
                </c:pt>
                <c:pt idx="2861">
                  <c:v>1749.55</c:v>
                </c:pt>
                <c:pt idx="2862">
                  <c:v>1742.95</c:v>
                </c:pt>
                <c:pt idx="2863">
                  <c:v>1749.97</c:v>
                </c:pt>
                <c:pt idx="2864">
                  <c:v>1744.32</c:v>
                </c:pt>
                <c:pt idx="2865">
                  <c:v>1744.84</c:v>
                </c:pt>
                <c:pt idx="2866">
                  <c:v>1734.54</c:v>
                </c:pt>
                <c:pt idx="2867">
                  <c:v>1740.77</c:v>
                </c:pt>
                <c:pt idx="2868">
                  <c:v>1733.8</c:v>
                </c:pt>
                <c:pt idx="2869">
                  <c:v>1736.2</c:v>
                </c:pt>
                <c:pt idx="2870">
                  <c:v>1739.97</c:v>
                </c:pt>
                <c:pt idx="2871">
                  <c:v>1747.42</c:v>
                </c:pt>
                <c:pt idx="2872">
                  <c:v>1753.32</c:v>
                </c:pt>
                <c:pt idx="2873">
                  <c:v>1757.18</c:v>
                </c:pt>
                <c:pt idx="2874">
                  <c:v>1749.09</c:v>
                </c:pt>
                <c:pt idx="2875">
                  <c:v>1746.57</c:v>
                </c:pt>
                <c:pt idx="2876">
                  <c:v>1739.18</c:v>
                </c:pt>
                <c:pt idx="2877">
                  <c:v>1721.39</c:v>
                </c:pt>
                <c:pt idx="2878">
                  <c:v>1708.77</c:v>
                </c:pt>
                <c:pt idx="2879">
                  <c:v>1704.75</c:v>
                </c:pt>
                <c:pt idx="2880">
                  <c:v>1698.39</c:v>
                </c:pt>
                <c:pt idx="2881">
                  <c:v>1679.64</c:v>
                </c:pt>
                <c:pt idx="2882">
                  <c:v>1671.6</c:v>
                </c:pt>
                <c:pt idx="2883">
                  <c:v>1687.66</c:v>
                </c:pt>
                <c:pt idx="2884">
                  <c:v>1677.52</c:v>
                </c:pt>
                <c:pt idx="2885">
                  <c:v>1676.1</c:v>
                </c:pt>
                <c:pt idx="2886">
                  <c:v>1680.2</c:v>
                </c:pt>
                <c:pt idx="2887">
                  <c:v>1697.79</c:v>
                </c:pt>
                <c:pt idx="2888">
                  <c:v>1707.84</c:v>
                </c:pt>
                <c:pt idx="2889">
                  <c:v>1686.06</c:v>
                </c:pt>
                <c:pt idx="2890">
                  <c:v>1664.3</c:v>
                </c:pt>
                <c:pt idx="2891">
                  <c:v>1675.93</c:v>
                </c:pt>
                <c:pt idx="2892">
                  <c:v>1687.44</c:v>
                </c:pt>
                <c:pt idx="2893">
                  <c:v>1693.15</c:v>
                </c:pt>
                <c:pt idx="2894">
                  <c:v>1689.33</c:v>
                </c:pt>
                <c:pt idx="2895">
                  <c:v>1696.52</c:v>
                </c:pt>
                <c:pt idx="2896">
                  <c:v>1702.82</c:v>
                </c:pt>
                <c:pt idx="2897">
                  <c:v>1719.86</c:v>
                </c:pt>
                <c:pt idx="2898">
                  <c:v>1701.51</c:v>
                </c:pt>
                <c:pt idx="2899">
                  <c:v>1690.52</c:v>
                </c:pt>
                <c:pt idx="2900">
                  <c:v>1713.63</c:v>
                </c:pt>
                <c:pt idx="2901">
                  <c:v>1715.83</c:v>
                </c:pt>
                <c:pt idx="2902">
                  <c:v>1721.09</c:v>
                </c:pt>
                <c:pt idx="2903">
                  <c:v>1729.93</c:v>
                </c:pt>
                <c:pt idx="2904">
                  <c:v>1739.39</c:v>
                </c:pt>
                <c:pt idx="2905">
                  <c:v>1762.93</c:v>
                </c:pt>
                <c:pt idx="2906">
                  <c:v>1765.19</c:v>
                </c:pt>
                <c:pt idx="2907">
                  <c:v>1774.2</c:v>
                </c:pt>
                <c:pt idx="2908">
                  <c:v>1781.42</c:v>
                </c:pt>
                <c:pt idx="2909">
                  <c:v>1789.89</c:v>
                </c:pt>
                <c:pt idx="2910">
                  <c:v>1797.37</c:v>
                </c:pt>
                <c:pt idx="2911">
                  <c:v>1804.64</c:v>
                </c:pt>
                <c:pt idx="2912">
                  <c:v>1817.58</c:v>
                </c:pt>
                <c:pt idx="2913">
                  <c:v>1804.4</c:v>
                </c:pt>
                <c:pt idx="2914">
                  <c:v>1796.98</c:v>
                </c:pt>
                <c:pt idx="2915">
                  <c:v>1806.18</c:v>
                </c:pt>
                <c:pt idx="2916">
                  <c:v>1802.86</c:v>
                </c:pt>
                <c:pt idx="2917">
                  <c:v>1791.48</c:v>
                </c:pt>
                <c:pt idx="2918">
                  <c:v>1781.96</c:v>
                </c:pt>
                <c:pt idx="2919">
                  <c:v>1774.07</c:v>
                </c:pt>
                <c:pt idx="2920">
                  <c:v>1772.57</c:v>
                </c:pt>
                <c:pt idx="2921">
                  <c:v>1796.43</c:v>
                </c:pt>
                <c:pt idx="2922">
                  <c:v>1805.28</c:v>
                </c:pt>
                <c:pt idx="2923">
                  <c:v>1790.94</c:v>
                </c:pt>
                <c:pt idx="2924">
                  <c:v>1796.04</c:v>
                </c:pt>
                <c:pt idx="2925">
                  <c:v>1806.76</c:v>
                </c:pt>
                <c:pt idx="2926">
                  <c:v>1805.57</c:v>
                </c:pt>
                <c:pt idx="2927">
                  <c:v>1802.85</c:v>
                </c:pt>
                <c:pt idx="2928">
                  <c:v>1808.38</c:v>
                </c:pt>
                <c:pt idx="2929">
                  <c:v>1822.61</c:v>
                </c:pt>
                <c:pt idx="2930">
                  <c:v>1805.06</c:v>
                </c:pt>
                <c:pt idx="2931">
                  <c:v>1838.51</c:v>
                </c:pt>
                <c:pt idx="2932">
                  <c:v>1837</c:v>
                </c:pt>
                <c:pt idx="2933">
                  <c:v>1844.03</c:v>
                </c:pt>
                <c:pt idx="2934">
                  <c:v>1826.46</c:v>
                </c:pt>
                <c:pt idx="2935">
                  <c:v>1830.84</c:v>
                </c:pt>
                <c:pt idx="2936">
                  <c:v>1831.9</c:v>
                </c:pt>
                <c:pt idx="2937">
                  <c:v>1819.25</c:v>
                </c:pt>
                <c:pt idx="2938">
                  <c:v>1822.14</c:v>
                </c:pt>
                <c:pt idx="2939">
                  <c:v>1806.6</c:v>
                </c:pt>
                <c:pt idx="2940">
                  <c:v>1815.3</c:v>
                </c:pt>
                <c:pt idx="2941">
                  <c:v>1813.66</c:v>
                </c:pt>
                <c:pt idx="2942">
                  <c:v>1811.23</c:v>
                </c:pt>
                <c:pt idx="2943">
                  <c:v>1803.23</c:v>
                </c:pt>
                <c:pt idx="2944">
                  <c:v>1809.55</c:v>
                </c:pt>
                <c:pt idx="2945">
                  <c:v>1806.25</c:v>
                </c:pt>
                <c:pt idx="2946">
                  <c:v>1799.15</c:v>
                </c:pt>
                <c:pt idx="2947">
                  <c:v>1799.8</c:v>
                </c:pt>
                <c:pt idx="2948">
                  <c:v>1817.61</c:v>
                </c:pt>
                <c:pt idx="2949">
                  <c:v>1823.23</c:v>
                </c:pt>
                <c:pt idx="2950">
                  <c:v>1833.17</c:v>
                </c:pt>
                <c:pt idx="2951">
                  <c:v>1845.54</c:v>
                </c:pt>
                <c:pt idx="2952">
                  <c:v>1854.76</c:v>
                </c:pt>
                <c:pt idx="2953">
                  <c:v>1859.15</c:v>
                </c:pt>
                <c:pt idx="2954">
                  <c:v>1866.63</c:v>
                </c:pt>
                <c:pt idx="2955">
                  <c:v>1851.32</c:v>
                </c:pt>
                <c:pt idx="2956">
                  <c:v>1861.13</c:v>
                </c:pt>
                <c:pt idx="2957">
                  <c:v>1869.5</c:v>
                </c:pt>
                <c:pt idx="2958">
                  <c:v>1863.17</c:v>
                </c:pt>
                <c:pt idx="2959">
                  <c:v>1850.73</c:v>
                </c:pt>
                <c:pt idx="2960">
                  <c:v>1846.85</c:v>
                </c:pt>
                <c:pt idx="2961">
                  <c:v>1852.83</c:v>
                </c:pt>
                <c:pt idx="2962">
                  <c:v>1847.17</c:v>
                </c:pt>
                <c:pt idx="2963">
                  <c:v>1847.18</c:v>
                </c:pt>
                <c:pt idx="2964">
                  <c:v>1841.95</c:v>
                </c:pt>
                <c:pt idx="2965">
                  <c:v>1849.67</c:v>
                </c:pt>
                <c:pt idx="2966">
                  <c:v>1851.22</c:v>
                </c:pt>
                <c:pt idx="2967">
                  <c:v>1855.42</c:v>
                </c:pt>
                <c:pt idx="2968">
                  <c:v>1864.2</c:v>
                </c:pt>
                <c:pt idx="2969">
                  <c:v>1858.2</c:v>
                </c:pt>
                <c:pt idx="2970">
                  <c:v>1861.02</c:v>
                </c:pt>
                <c:pt idx="2971">
                  <c:v>1868.36</c:v>
                </c:pt>
                <c:pt idx="2972">
                  <c:v>1881.47</c:v>
                </c:pt>
                <c:pt idx="2973">
                  <c:v>1894.08</c:v>
                </c:pt>
                <c:pt idx="2974">
                  <c:v>1909.87</c:v>
                </c:pt>
                <c:pt idx="2975">
                  <c:v>1912.97</c:v>
                </c:pt>
                <c:pt idx="2976">
                  <c:v>1922.52</c:v>
                </c:pt>
                <c:pt idx="2977">
                  <c:v>1930.34</c:v>
                </c:pt>
                <c:pt idx="2978">
                  <c:v>1923.41</c:v>
                </c:pt>
                <c:pt idx="2979">
                  <c:v>1922.22</c:v>
                </c:pt>
                <c:pt idx="2980">
                  <c:v>1919.02</c:v>
                </c:pt>
                <c:pt idx="2981">
                  <c:v>1918.06</c:v>
                </c:pt>
                <c:pt idx="2982">
                  <c:v>1923.76</c:v>
                </c:pt>
                <c:pt idx="2983">
                  <c:v>1927.22</c:v>
                </c:pt>
                <c:pt idx="2984">
                  <c:v>1927.23</c:v>
                </c:pt>
                <c:pt idx="2985">
                  <c:v>1913.89</c:v>
                </c:pt>
                <c:pt idx="2986">
                  <c:v>1909.25</c:v>
                </c:pt>
                <c:pt idx="2987">
                  <c:v>1895.93</c:v>
                </c:pt>
                <c:pt idx="2988">
                  <c:v>1880.97</c:v>
                </c:pt>
                <c:pt idx="2989">
                  <c:v>1864.92</c:v>
                </c:pt>
                <c:pt idx="2990">
                  <c:v>1861.02</c:v>
                </c:pt>
                <c:pt idx="2991">
                  <c:v>1824.11</c:v>
                </c:pt>
                <c:pt idx="2992">
                  <c:v>1814.92</c:v>
                </c:pt>
                <c:pt idx="2993">
                  <c:v>1837.3</c:v>
                </c:pt>
                <c:pt idx="2994">
                  <c:v>1835.12</c:v>
                </c:pt>
                <c:pt idx="2995">
                  <c:v>1833.08</c:v>
                </c:pt>
                <c:pt idx="2996">
                  <c:v>1851.73</c:v>
                </c:pt>
                <c:pt idx="2997">
                  <c:v>1844.25</c:v>
                </c:pt>
                <c:pt idx="2998">
                  <c:v>1845.99</c:v>
                </c:pt>
                <c:pt idx="2999">
                  <c:v>1826.5</c:v>
                </c:pt>
                <c:pt idx="3000">
                  <c:v>1825.48</c:v>
                </c:pt>
                <c:pt idx="3001">
                  <c:v>1824.79</c:v>
                </c:pt>
                <c:pt idx="3002">
                  <c:v>1835.29</c:v>
                </c:pt>
                <c:pt idx="3003">
                  <c:v>1838.75</c:v>
                </c:pt>
                <c:pt idx="3004">
                  <c:v>1844.09</c:v>
                </c:pt>
                <c:pt idx="3005">
                  <c:v>1835.84</c:v>
                </c:pt>
                <c:pt idx="3006">
                  <c:v>1837.43</c:v>
                </c:pt>
                <c:pt idx="3007">
                  <c:v>1843.94</c:v>
                </c:pt>
                <c:pt idx="3008">
                  <c:v>1831.99</c:v>
                </c:pt>
                <c:pt idx="3009">
                  <c:v>1820.03</c:v>
                </c:pt>
                <c:pt idx="3010">
                  <c:v>1811.74</c:v>
                </c:pt>
                <c:pt idx="3011">
                  <c:v>1809.72</c:v>
                </c:pt>
                <c:pt idx="3012">
                  <c:v>1814.21</c:v>
                </c:pt>
                <c:pt idx="3013">
                  <c:v>1815.37</c:v>
                </c:pt>
                <c:pt idx="3014">
                  <c:v>1800.44</c:v>
                </c:pt>
                <c:pt idx="3015">
                  <c:v>1797.37</c:v>
                </c:pt>
                <c:pt idx="3016">
                  <c:v>1806.65</c:v>
                </c:pt>
                <c:pt idx="3017">
                  <c:v>1806.78</c:v>
                </c:pt>
                <c:pt idx="3018">
                  <c:v>1809.61</c:v>
                </c:pt>
                <c:pt idx="3019">
                  <c:v>1797.21</c:v>
                </c:pt>
                <c:pt idx="3020">
                  <c:v>1809.9</c:v>
                </c:pt>
                <c:pt idx="3021">
                  <c:v>1812.69</c:v>
                </c:pt>
                <c:pt idx="3022">
                  <c:v>1802.63</c:v>
                </c:pt>
                <c:pt idx="3023">
                  <c:v>1792.02</c:v>
                </c:pt>
                <c:pt idx="3024">
                  <c:v>1785.03</c:v>
                </c:pt>
                <c:pt idx="3025">
                  <c:v>1782.22</c:v>
                </c:pt>
                <c:pt idx="3026">
                  <c:v>1771.68</c:v>
                </c:pt>
                <c:pt idx="3027">
                  <c:v>1773.12</c:v>
                </c:pt>
                <c:pt idx="3028">
                  <c:v>1776.13</c:v>
                </c:pt>
                <c:pt idx="3029">
                  <c:v>1762.19</c:v>
                </c:pt>
                <c:pt idx="3030">
                  <c:v>1758.77</c:v>
                </c:pt>
                <c:pt idx="3031">
                  <c:v>1756.03</c:v>
                </c:pt>
                <c:pt idx="3032">
                  <c:v>1760.51</c:v>
                </c:pt>
                <c:pt idx="3033">
                  <c:v>1758.37</c:v>
                </c:pt>
                <c:pt idx="3034">
                  <c:v>1744.38</c:v>
                </c:pt>
                <c:pt idx="3035">
                  <c:v>1737.76</c:v>
                </c:pt>
                <c:pt idx="3036">
                  <c:v>1736.9</c:v>
                </c:pt>
                <c:pt idx="3037">
                  <c:v>1742.99</c:v>
                </c:pt>
                <c:pt idx="3038">
                  <c:v>1751.94</c:v>
                </c:pt>
                <c:pt idx="3039">
                  <c:v>1751.07</c:v>
                </c:pt>
                <c:pt idx="3040">
                  <c:v>1740.2</c:v>
                </c:pt>
                <c:pt idx="3041">
                  <c:v>1735.23</c:v>
                </c:pt>
                <c:pt idx="3042">
                  <c:v>1738.84</c:v>
                </c:pt>
                <c:pt idx="3043">
                  <c:v>1745.44</c:v>
                </c:pt>
                <c:pt idx="3044">
                  <c:v>1740.6</c:v>
                </c:pt>
                <c:pt idx="3045">
                  <c:v>1765.12</c:v>
                </c:pt>
                <c:pt idx="3046">
                  <c:v>1770.68</c:v>
                </c:pt>
                <c:pt idx="3047">
                  <c:v>1781.74</c:v>
                </c:pt>
                <c:pt idx="3048">
                  <c:v>1772.13</c:v>
                </c:pt>
                <c:pt idx="3049">
                  <c:v>1770.25</c:v>
                </c:pt>
                <c:pt idx="3050">
                  <c:v>1777.52</c:v>
                </c:pt>
                <c:pt idx="3051">
                  <c:v>1787.94</c:v>
                </c:pt>
                <c:pt idx="3052">
                  <c:v>1772.92</c:v>
                </c:pt>
                <c:pt idx="3053">
                  <c:v>1779.88</c:v>
                </c:pt>
                <c:pt idx="3054">
                  <c:v>1790.89</c:v>
                </c:pt>
                <c:pt idx="3055">
                  <c:v>1796.7</c:v>
                </c:pt>
                <c:pt idx="3056">
                  <c:v>1807.9</c:v>
                </c:pt>
                <c:pt idx="3057">
                  <c:v>1790.76</c:v>
                </c:pt>
                <c:pt idx="3058">
                  <c:v>1780.67</c:v>
                </c:pt>
                <c:pt idx="3059">
                  <c:v>1778.9</c:v>
                </c:pt>
                <c:pt idx="3060">
                  <c:v>1771.6</c:v>
                </c:pt>
                <c:pt idx="3061">
                  <c:v>1771.89</c:v>
                </c:pt>
                <c:pt idx="3062">
                  <c:v>1764.11</c:v>
                </c:pt>
                <c:pt idx="3063">
                  <c:v>1764.75</c:v>
                </c:pt>
                <c:pt idx="3064">
                  <c:v>1754.21</c:v>
                </c:pt>
                <c:pt idx="3065">
                  <c:v>1757.79</c:v>
                </c:pt>
                <c:pt idx="3066">
                  <c:v>1755.3</c:v>
                </c:pt>
                <c:pt idx="3067">
                  <c:v>1758.3</c:v>
                </c:pt>
                <c:pt idx="3068">
                  <c:v>1764.57</c:v>
                </c:pt>
                <c:pt idx="3069">
                  <c:v>1756.97</c:v>
                </c:pt>
                <c:pt idx="3070">
                  <c:v>1761.49</c:v>
                </c:pt>
                <c:pt idx="3071">
                  <c:v>1758.71</c:v>
                </c:pt>
                <c:pt idx="3072">
                  <c:v>1760.15</c:v>
                </c:pt>
                <c:pt idx="3073">
                  <c:v>1767.22</c:v>
                </c:pt>
                <c:pt idx="3074">
                  <c:v>1751.21</c:v>
                </c:pt>
                <c:pt idx="3075">
                  <c:v>1747.85</c:v>
                </c:pt>
                <c:pt idx="3076">
                  <c:v>1744.57</c:v>
                </c:pt>
                <c:pt idx="3077">
                  <c:v>1742.56</c:v>
                </c:pt>
                <c:pt idx="3078">
                  <c:v>1754.89</c:v>
                </c:pt>
                <c:pt idx="3079">
                  <c:v>1745.82</c:v>
                </c:pt>
                <c:pt idx="3080">
                  <c:v>1739.04</c:v>
                </c:pt>
                <c:pt idx="3081">
                  <c:v>1729.95</c:v>
                </c:pt>
                <c:pt idx="3082">
                  <c:v>1740.74</c:v>
                </c:pt>
                <c:pt idx="3083">
                  <c:v>1745.56</c:v>
                </c:pt>
                <c:pt idx="3084">
                  <c:v>1744.44</c:v>
                </c:pt>
                <c:pt idx="3085">
                  <c:v>1743.66</c:v>
                </c:pt>
                <c:pt idx="3086">
                  <c:v>1744.77</c:v>
                </c:pt>
                <c:pt idx="3087">
                  <c:v>1755.79</c:v>
                </c:pt>
                <c:pt idx="3088">
                  <c:v>1761.17</c:v>
                </c:pt>
                <c:pt idx="3089">
                  <c:v>1756.46</c:v>
                </c:pt>
                <c:pt idx="3090">
                  <c:v>1754.96</c:v>
                </c:pt>
                <c:pt idx="3091">
                  <c:v>1750.54</c:v>
                </c:pt>
                <c:pt idx="3092">
                  <c:v>1748.05</c:v>
                </c:pt>
                <c:pt idx="3093">
                  <c:v>1749.74</c:v>
                </c:pt>
                <c:pt idx="3094">
                  <c:v>1751.5</c:v>
                </c:pt>
                <c:pt idx="3095">
                  <c:v>1745.3</c:v>
                </c:pt>
                <c:pt idx="3096">
                  <c:v>1740.04</c:v>
                </c:pt>
                <c:pt idx="3097">
                  <c:v>1736.21</c:v>
                </c:pt>
                <c:pt idx="3098">
                  <c:v>1727.37</c:v>
                </c:pt>
                <c:pt idx="3099">
                  <c:v>1730.34</c:v>
                </c:pt>
                <c:pt idx="3100">
                  <c:v>1718.94</c:v>
                </c:pt>
                <c:pt idx="3101">
                  <c:v>1712.6</c:v>
                </c:pt>
                <c:pt idx="3102">
                  <c:v>1710.65</c:v>
                </c:pt>
                <c:pt idx="3103">
                  <c:v>1709.75</c:v>
                </c:pt>
                <c:pt idx="3104">
                  <c:v>1713.53</c:v>
                </c:pt>
                <c:pt idx="3105">
                  <c:v>1712.82</c:v>
                </c:pt>
                <c:pt idx="3106">
                  <c:v>1719.82</c:v>
                </c:pt>
                <c:pt idx="3107">
                  <c:v>1721.49</c:v>
                </c:pt>
                <c:pt idx="3108">
                  <c:v>1707.28</c:v>
                </c:pt>
                <c:pt idx="3109">
                  <c:v>1709.83</c:v>
                </c:pt>
                <c:pt idx="3110">
                  <c:v>1711.32</c:v>
                </c:pt>
                <c:pt idx="3111">
                  <c:v>1723.55</c:v>
                </c:pt>
                <c:pt idx="3112">
                  <c:v>1724.99</c:v>
                </c:pt>
                <c:pt idx="3113">
                  <c:v>1724.31</c:v>
                </c:pt>
                <c:pt idx="3114">
                  <c:v>1745.46</c:v>
                </c:pt>
                <c:pt idx="3115">
                  <c:v>1736.37</c:v>
                </c:pt>
                <c:pt idx="3116">
                  <c:v>1736.46</c:v>
                </c:pt>
                <c:pt idx="3117">
                  <c:v>1734.27</c:v>
                </c:pt>
                <c:pt idx="3118">
                  <c:v>1733.24</c:v>
                </c:pt>
                <c:pt idx="3119">
                  <c:v>1733.63</c:v>
                </c:pt>
                <c:pt idx="3120">
                  <c:v>1741.84</c:v>
                </c:pt>
                <c:pt idx="3121">
                  <c:v>1737.11</c:v>
                </c:pt>
                <c:pt idx="3122">
                  <c:v>1731.42</c:v>
                </c:pt>
                <c:pt idx="3123">
                  <c:v>1743.09</c:v>
                </c:pt>
                <c:pt idx="3124">
                  <c:v>1742.19</c:v>
                </c:pt>
                <c:pt idx="3125">
                  <c:v>1751.67</c:v>
                </c:pt>
                <c:pt idx="3126">
                  <c:v>1757.48</c:v>
                </c:pt>
                <c:pt idx="3127">
                  <c:v>1755.01</c:v>
                </c:pt>
                <c:pt idx="3128">
                  <c:v>1741.97</c:v>
                </c:pt>
                <c:pt idx="3129">
                  <c:v>1736.87</c:v>
                </c:pt>
                <c:pt idx="3130">
                  <c:v>1725.83</c:v>
                </c:pt>
                <c:pt idx="3131">
                  <c:v>1717.34</c:v>
                </c:pt>
                <c:pt idx="3132">
                  <c:v>1713.21</c:v>
                </c:pt>
                <c:pt idx="3133">
                  <c:v>1714.3</c:v>
                </c:pt>
                <c:pt idx="3134">
                  <c:v>1716.58</c:v>
                </c:pt>
                <c:pt idx="3135">
                  <c:v>1719.23</c:v>
                </c:pt>
                <c:pt idx="3136">
                  <c:v>1725.67</c:v>
                </c:pt>
                <c:pt idx="3137">
                  <c:v>1724.84</c:v>
                </c:pt>
                <c:pt idx="3138">
                  <c:v>1721.41</c:v>
                </c:pt>
                <c:pt idx="3139">
                  <c:v>1723.15</c:v>
                </c:pt>
                <c:pt idx="3140">
                  <c:v>1723.81</c:v>
                </c:pt>
                <c:pt idx="3141">
                  <c:v>1731.91</c:v>
                </c:pt>
                <c:pt idx="3142">
                  <c:v>1722.81</c:v>
                </c:pt>
                <c:pt idx="3143">
                  <c:v>1726.73</c:v>
                </c:pt>
                <c:pt idx="3144">
                  <c:v>1729.25</c:v>
                </c:pt>
                <c:pt idx="3145">
                  <c:v>1729.44</c:v>
                </c:pt>
                <c:pt idx="3146">
                  <c:v>1746.19</c:v>
                </c:pt>
                <c:pt idx="3147">
                  <c:v>1743.08</c:v>
                </c:pt>
                <c:pt idx="3148">
                  <c:v>1733.51</c:v>
                </c:pt>
                <c:pt idx="3149">
                  <c:v>1742.06</c:v>
                </c:pt>
                <c:pt idx="3150">
                  <c:v>1737.02</c:v>
                </c:pt>
                <c:pt idx="3151">
                  <c:v>1744.8</c:v>
                </c:pt>
                <c:pt idx="3152">
                  <c:v>1751.4</c:v>
                </c:pt>
                <c:pt idx="3153">
                  <c:v>1753.91</c:v>
                </c:pt>
                <c:pt idx="3154">
                  <c:v>1753.91</c:v>
                </c:pt>
                <c:pt idx="3155">
                  <c:v>1752.28</c:v>
                </c:pt>
                <c:pt idx="3156">
                  <c:v>1752.22</c:v>
                </c:pt>
                <c:pt idx="3157">
                  <c:v>1759.66</c:v>
                </c:pt>
                <c:pt idx="3158">
                  <c:v>1756.8</c:v>
                </c:pt>
                <c:pt idx="3159">
                  <c:v>1755.6</c:v>
                </c:pt>
                <c:pt idx="3160">
                  <c:v>1757.86</c:v>
                </c:pt>
                <c:pt idx="3161">
                  <c:v>1757.38</c:v>
                </c:pt>
                <c:pt idx="3162">
                  <c:v>1742.89</c:v>
                </c:pt>
                <c:pt idx="3163">
                  <c:v>1726.35</c:v>
                </c:pt>
                <c:pt idx="3164">
                  <c:v>1737.55</c:v>
                </c:pt>
                <c:pt idx="3165">
                  <c:v>1750.44</c:v>
                </c:pt>
                <c:pt idx="3166">
                  <c:v>1748.42</c:v>
                </c:pt>
                <c:pt idx="3167">
                  <c:v>1746.36</c:v>
                </c:pt>
                <c:pt idx="3168">
                  <c:v>1743.41</c:v>
                </c:pt>
                <c:pt idx="3169">
                  <c:v>1737.18</c:v>
                </c:pt>
                <c:pt idx="3170">
                  <c:v>1738.54</c:v>
                </c:pt>
                <c:pt idx="3171">
                  <c:v>1747.1</c:v>
                </c:pt>
                <c:pt idx="3172">
                  <c:v>1744.21</c:v>
                </c:pt>
                <c:pt idx="3173">
                  <c:v>1761.97</c:v>
                </c:pt>
                <c:pt idx="3174">
                  <c:v>1784.64</c:v>
                </c:pt>
                <c:pt idx="3175">
                  <c:v>1779.68</c:v>
                </c:pt>
                <c:pt idx="3176">
                  <c:v>1770.75</c:v>
                </c:pt>
                <c:pt idx="3177">
                  <c:v>1790.25</c:v>
                </c:pt>
                <c:pt idx="3178">
                  <c:v>1784.75</c:v>
                </c:pt>
                <c:pt idx="3179">
                  <c:v>1784.15</c:v>
                </c:pt>
                <c:pt idx="3180">
                  <c:v>1787.46</c:v>
                </c:pt>
                <c:pt idx="3181">
                  <c:v>1789.27</c:v>
                </c:pt>
                <c:pt idx="3182">
                  <c:v>1786.7</c:v>
                </c:pt>
                <c:pt idx="3183">
                  <c:v>1784.98</c:v>
                </c:pt>
                <c:pt idx="3184">
                  <c:v>1784.81</c:v>
                </c:pt>
                <c:pt idx="3185">
                  <c:v>1798.37</c:v>
                </c:pt>
                <c:pt idx="3186">
                  <c:v>1800.47</c:v>
                </c:pt>
                <c:pt idx="3187">
                  <c:v>1798.44</c:v>
                </c:pt>
                <c:pt idx="3188">
                  <c:v>1796.52</c:v>
                </c:pt>
                <c:pt idx="3189">
                  <c:v>1804.64</c:v>
                </c:pt>
                <c:pt idx="3190">
                  <c:v>1811.93</c:v>
                </c:pt>
                <c:pt idx="3191">
                  <c:v>1817.7</c:v>
                </c:pt>
                <c:pt idx="3192">
                  <c:v>1807.81</c:v>
                </c:pt>
                <c:pt idx="3193">
                  <c:v>1809.19</c:v>
                </c:pt>
                <c:pt idx="3194">
                  <c:v>1808.07</c:v>
                </c:pt>
                <c:pt idx="3195">
                  <c:v>1804.88</c:v>
                </c:pt>
                <c:pt idx="3196">
                  <c:v>1805.56</c:v>
                </c:pt>
                <c:pt idx="3197">
                  <c:v>1800.23</c:v>
                </c:pt>
                <c:pt idx="3198">
                  <c:v>1793.46</c:v>
                </c:pt>
                <c:pt idx="3199">
                  <c:v>1788.15</c:v>
                </c:pt>
                <c:pt idx="3200">
                  <c:v>1787.32</c:v>
                </c:pt>
                <c:pt idx="3201">
                  <c:v>1783.55</c:v>
                </c:pt>
                <c:pt idx="3202">
                  <c:v>1731.51</c:v>
                </c:pt>
                <c:pt idx="3203">
                  <c:v>1739.97</c:v>
                </c:pt>
                <c:pt idx="3204">
                  <c:v>1736.51</c:v>
                </c:pt>
                <c:pt idx="3205">
                  <c:v>1750.49</c:v>
                </c:pt>
                <c:pt idx="3206">
                  <c:v>1750.7</c:v>
                </c:pt>
                <c:pt idx="3207">
                  <c:v>1738.18</c:v>
                </c:pt>
                <c:pt idx="3208">
                  <c:v>1737.21</c:v>
                </c:pt>
                <c:pt idx="3209">
                  <c:v>1734.87</c:v>
                </c:pt>
                <c:pt idx="3210">
                  <c:v>1739.8</c:v>
                </c:pt>
                <c:pt idx="3211">
                  <c:v>1738.66</c:v>
                </c:pt>
                <c:pt idx="3212">
                  <c:v>1733.71</c:v>
                </c:pt>
                <c:pt idx="3213">
                  <c:v>1737.9</c:v>
                </c:pt>
                <c:pt idx="3214">
                  <c:v>1737.62</c:v>
                </c:pt>
                <c:pt idx="3215">
                  <c:v>1740.24</c:v>
                </c:pt>
                <c:pt idx="3216">
                  <c:v>1745.42</c:v>
                </c:pt>
                <c:pt idx="3217">
                  <c:v>1736.77</c:v>
                </c:pt>
                <c:pt idx="3218">
                  <c:v>1726.16</c:v>
                </c:pt>
                <c:pt idx="3219">
                  <c:v>1719.31</c:v>
                </c:pt>
                <c:pt idx="3220">
                  <c:v>1717.24</c:v>
                </c:pt>
                <c:pt idx="3221">
                  <c:v>1714.83</c:v>
                </c:pt>
              </c:numCache>
            </c:numRef>
          </c:val>
          <c:smooth val="0"/>
        </c:ser>
        <c:dLbls>
          <c:showLegendKey val="0"/>
          <c:showVal val="0"/>
          <c:showCatName val="0"/>
          <c:showSerName val="0"/>
          <c:showPercent val="0"/>
          <c:showBubbleSize val="0"/>
        </c:dLbls>
        <c:marker val="1"/>
        <c:smooth val="0"/>
        <c:axId val="605522944"/>
        <c:axId val="612258560"/>
      </c:lineChart>
      <c:dateAx>
        <c:axId val="605522944"/>
        <c:scaling>
          <c:orientation val="minMax"/>
        </c:scaling>
        <c:delete val="0"/>
        <c:axPos val="b"/>
        <c:numFmt formatCode="m/d/yyyy" sourceLinked="1"/>
        <c:majorTickMark val="out"/>
        <c:minorTickMark val="none"/>
        <c:tickLblPos val="nextTo"/>
        <c:crossAx val="612258560"/>
        <c:crosses val="autoZero"/>
        <c:auto val="1"/>
        <c:lblOffset val="100"/>
        <c:baseTimeUnit val="days"/>
      </c:dateAx>
      <c:valAx>
        <c:axId val="612258560"/>
        <c:scaling>
          <c:orientation val="minMax"/>
        </c:scaling>
        <c:delete val="0"/>
        <c:axPos val="l"/>
        <c:majorGridlines/>
        <c:numFmt formatCode="#,##0.00" sourceLinked="1"/>
        <c:majorTickMark val="out"/>
        <c:minorTickMark val="none"/>
        <c:tickLblPos val="nextTo"/>
        <c:crossAx val="605522944"/>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List1!$B$1</c:f>
              <c:strCache>
                <c:ptCount val="1"/>
                <c:pt idx="0">
                  <c:v>Kamatna stopa na dugoročne oročene depozite u eurima</c:v>
                </c:pt>
              </c:strCache>
            </c:strRef>
          </c:tx>
          <c:marker>
            <c:symbol val="none"/>
          </c:marker>
          <c:cat>
            <c:strRef>
              <c:f>List1!$A$2:$A$172</c:f>
              <c:strCache>
                <c:ptCount val="169"/>
                <c:pt idx="0">
                  <c:v>2000.</c:v>
                </c:pt>
                <c:pt idx="12">
                  <c:v>2001.</c:v>
                </c:pt>
                <c:pt idx="24">
                  <c:v>2002.</c:v>
                </c:pt>
                <c:pt idx="36">
                  <c:v>2003.</c:v>
                </c:pt>
                <c:pt idx="48">
                  <c:v>2004.</c:v>
                </c:pt>
                <c:pt idx="60">
                  <c:v>2005.</c:v>
                </c:pt>
                <c:pt idx="72">
                  <c:v>2006.</c:v>
                </c:pt>
                <c:pt idx="84">
                  <c:v>2007.</c:v>
                </c:pt>
                <c:pt idx="96">
                  <c:v>2008.</c:v>
                </c:pt>
                <c:pt idx="108">
                  <c:v>2009.</c:v>
                </c:pt>
                <c:pt idx="120">
                  <c:v>2010.</c:v>
                </c:pt>
                <c:pt idx="132">
                  <c:v>2011.</c:v>
                </c:pt>
                <c:pt idx="144">
                  <c:v>2012.</c:v>
                </c:pt>
                <c:pt idx="156">
                  <c:v>2013.</c:v>
                </c:pt>
                <c:pt idx="168">
                  <c:v>2014.</c:v>
                </c:pt>
              </c:strCache>
            </c:strRef>
          </c:cat>
          <c:val>
            <c:numRef>
              <c:f>List1!$B$2:$B$172</c:f>
              <c:numCache>
                <c:formatCode>0.00</c:formatCode>
                <c:ptCount val="171"/>
                <c:pt idx="0">
                  <c:v>6.07</c:v>
                </c:pt>
                <c:pt idx="1">
                  <c:v>6.19</c:v>
                </c:pt>
                <c:pt idx="2">
                  <c:v>6.29</c:v>
                </c:pt>
                <c:pt idx="3">
                  <c:v>6.05</c:v>
                </c:pt>
                <c:pt idx="4">
                  <c:v>5.59</c:v>
                </c:pt>
                <c:pt idx="5">
                  <c:v>5.76</c:v>
                </c:pt>
                <c:pt idx="6">
                  <c:v>5.4</c:v>
                </c:pt>
                <c:pt idx="7">
                  <c:v>5.84</c:v>
                </c:pt>
                <c:pt idx="8">
                  <c:v>5.16</c:v>
                </c:pt>
                <c:pt idx="9">
                  <c:v>5.31</c:v>
                </c:pt>
                <c:pt idx="10">
                  <c:v>5.18</c:v>
                </c:pt>
                <c:pt idx="11">
                  <c:v>5.17</c:v>
                </c:pt>
                <c:pt idx="12">
                  <c:v>5.26</c:v>
                </c:pt>
                <c:pt idx="13">
                  <c:v>4.93</c:v>
                </c:pt>
                <c:pt idx="14">
                  <c:v>4.97</c:v>
                </c:pt>
                <c:pt idx="15">
                  <c:v>4.99</c:v>
                </c:pt>
                <c:pt idx="16">
                  <c:v>4.2699999999999996</c:v>
                </c:pt>
                <c:pt idx="17">
                  <c:v>4.5</c:v>
                </c:pt>
                <c:pt idx="18">
                  <c:v>4.74</c:v>
                </c:pt>
                <c:pt idx="19">
                  <c:v>4.87</c:v>
                </c:pt>
                <c:pt idx="20">
                  <c:v>4.6500000000000004</c:v>
                </c:pt>
                <c:pt idx="21">
                  <c:v>4.6399999999999997</c:v>
                </c:pt>
                <c:pt idx="22">
                  <c:v>4.59</c:v>
                </c:pt>
                <c:pt idx="23">
                  <c:v>4.72</c:v>
                </c:pt>
                <c:pt idx="24">
                  <c:v>5.08</c:v>
                </c:pt>
                <c:pt idx="25">
                  <c:v>4.95</c:v>
                </c:pt>
                <c:pt idx="26">
                  <c:v>4.75</c:v>
                </c:pt>
                <c:pt idx="27">
                  <c:v>4.72</c:v>
                </c:pt>
                <c:pt idx="28">
                  <c:v>4.66</c:v>
                </c:pt>
                <c:pt idx="29">
                  <c:v>4.7300000000000004</c:v>
                </c:pt>
                <c:pt idx="30">
                  <c:v>4.68</c:v>
                </c:pt>
                <c:pt idx="31" formatCode="#,##0.00">
                  <c:v>4.84</c:v>
                </c:pt>
                <c:pt idx="32" formatCode="#,##0.00">
                  <c:v>4.6399999999999997</c:v>
                </c:pt>
                <c:pt idx="33" formatCode="#,##0.00">
                  <c:v>4.57</c:v>
                </c:pt>
                <c:pt idx="34" formatCode="#,##0.00">
                  <c:v>4.6100000000000003</c:v>
                </c:pt>
                <c:pt idx="35" formatCode="#,##0.00">
                  <c:v>4.6900000000000004</c:v>
                </c:pt>
                <c:pt idx="36" formatCode="#,##0.00">
                  <c:v>4.63</c:v>
                </c:pt>
                <c:pt idx="37" formatCode="#,##0.00">
                  <c:v>4.47</c:v>
                </c:pt>
                <c:pt idx="38" formatCode="#,##0.00">
                  <c:v>4.53</c:v>
                </c:pt>
                <c:pt idx="39" formatCode="#,##0.00">
                  <c:v>4.07</c:v>
                </c:pt>
                <c:pt idx="40" formatCode="#,##0.00">
                  <c:v>4.41</c:v>
                </c:pt>
                <c:pt idx="41" formatCode="#,##0.00">
                  <c:v>4.5999999999999996</c:v>
                </c:pt>
                <c:pt idx="42" formatCode="#,##0.00">
                  <c:v>4.4400000000000004</c:v>
                </c:pt>
                <c:pt idx="43" formatCode="#,##0.00">
                  <c:v>4.8600000000000003</c:v>
                </c:pt>
                <c:pt idx="44" formatCode="#,##0.00">
                  <c:v>4.9000000000000004</c:v>
                </c:pt>
                <c:pt idx="45">
                  <c:v>4.8499999999999996</c:v>
                </c:pt>
                <c:pt idx="46">
                  <c:v>4.3099999999999996</c:v>
                </c:pt>
                <c:pt idx="47">
                  <c:v>4.71</c:v>
                </c:pt>
                <c:pt idx="48" formatCode="#,##0.00">
                  <c:v>4.8499999999999996</c:v>
                </c:pt>
                <c:pt idx="49" formatCode="#,##0.00">
                  <c:v>4.95</c:v>
                </c:pt>
                <c:pt idx="50" formatCode="#,##0.00">
                  <c:v>4.8899999999999997</c:v>
                </c:pt>
                <c:pt idx="51" formatCode="#,##0.00">
                  <c:v>4.93</c:v>
                </c:pt>
                <c:pt idx="52" formatCode="#,##0.00">
                  <c:v>4.76</c:v>
                </c:pt>
                <c:pt idx="53" formatCode="#,##0.00">
                  <c:v>4.8600000000000003</c:v>
                </c:pt>
                <c:pt idx="54" formatCode="#,##0.00">
                  <c:v>4.8899999999999997</c:v>
                </c:pt>
                <c:pt idx="55">
                  <c:v>4.95</c:v>
                </c:pt>
                <c:pt idx="56">
                  <c:v>4.96</c:v>
                </c:pt>
                <c:pt idx="57">
                  <c:v>4.9400000000000004</c:v>
                </c:pt>
                <c:pt idx="58">
                  <c:v>4.9800000000000004</c:v>
                </c:pt>
                <c:pt idx="59">
                  <c:v>4.8499999999999996</c:v>
                </c:pt>
                <c:pt idx="60">
                  <c:v>4.82</c:v>
                </c:pt>
                <c:pt idx="61">
                  <c:v>4.84</c:v>
                </c:pt>
                <c:pt idx="62">
                  <c:v>4.79</c:v>
                </c:pt>
                <c:pt idx="63">
                  <c:v>4.8099999999999996</c:v>
                </c:pt>
                <c:pt idx="64">
                  <c:v>4.78</c:v>
                </c:pt>
                <c:pt idx="65">
                  <c:v>3.91</c:v>
                </c:pt>
                <c:pt idx="66">
                  <c:v>4.05</c:v>
                </c:pt>
                <c:pt idx="67">
                  <c:v>4.01</c:v>
                </c:pt>
                <c:pt idx="68">
                  <c:v>3.26</c:v>
                </c:pt>
                <c:pt idx="69">
                  <c:v>4.08</c:v>
                </c:pt>
                <c:pt idx="70">
                  <c:v>3.48</c:v>
                </c:pt>
                <c:pt idx="71" formatCode="#,##0.00">
                  <c:v>4.25</c:v>
                </c:pt>
                <c:pt idx="72" formatCode="#,##0.00">
                  <c:v>4.3</c:v>
                </c:pt>
                <c:pt idx="73" formatCode="#,##0.00">
                  <c:v>4.26</c:v>
                </c:pt>
                <c:pt idx="74">
                  <c:v>4.37</c:v>
                </c:pt>
                <c:pt idx="75">
                  <c:v>4.33</c:v>
                </c:pt>
                <c:pt idx="76">
                  <c:v>3.89</c:v>
                </c:pt>
                <c:pt idx="77">
                  <c:v>4.3499999999999996</c:v>
                </c:pt>
                <c:pt idx="78">
                  <c:v>4.49</c:v>
                </c:pt>
                <c:pt idx="79">
                  <c:v>4.43</c:v>
                </c:pt>
                <c:pt idx="80">
                  <c:v>4.55</c:v>
                </c:pt>
                <c:pt idx="81">
                  <c:v>4.58</c:v>
                </c:pt>
                <c:pt idx="82">
                  <c:v>4.62</c:v>
                </c:pt>
                <c:pt idx="83">
                  <c:v>4.47</c:v>
                </c:pt>
                <c:pt idx="84">
                  <c:v>4.51</c:v>
                </c:pt>
                <c:pt idx="85">
                  <c:v>4.54</c:v>
                </c:pt>
                <c:pt idx="86">
                  <c:v>4.5599999999999996</c:v>
                </c:pt>
                <c:pt idx="87">
                  <c:v>4.59</c:v>
                </c:pt>
                <c:pt idx="88">
                  <c:v>4.58</c:v>
                </c:pt>
                <c:pt idx="89">
                  <c:v>4.3099999999999996</c:v>
                </c:pt>
                <c:pt idx="90">
                  <c:v>4.71</c:v>
                </c:pt>
                <c:pt idx="91">
                  <c:v>4.8</c:v>
                </c:pt>
                <c:pt idx="92">
                  <c:v>4.72</c:v>
                </c:pt>
                <c:pt idx="93">
                  <c:v>4.7699999999999996</c:v>
                </c:pt>
                <c:pt idx="94">
                  <c:v>4.79</c:v>
                </c:pt>
                <c:pt idx="95">
                  <c:v>4.83</c:v>
                </c:pt>
                <c:pt idx="96">
                  <c:v>4.75</c:v>
                </c:pt>
                <c:pt idx="97">
                  <c:v>4.84</c:v>
                </c:pt>
                <c:pt idx="98">
                  <c:v>4.78</c:v>
                </c:pt>
                <c:pt idx="99">
                  <c:v>4.88</c:v>
                </c:pt>
                <c:pt idx="100">
                  <c:v>4.72</c:v>
                </c:pt>
                <c:pt idx="101">
                  <c:v>4.7699999999999996</c:v>
                </c:pt>
                <c:pt idx="102">
                  <c:v>4.8</c:v>
                </c:pt>
                <c:pt idx="103">
                  <c:v>4.76</c:v>
                </c:pt>
                <c:pt idx="104">
                  <c:v>4.9800000000000004</c:v>
                </c:pt>
                <c:pt idx="105">
                  <c:v>5.33</c:v>
                </c:pt>
                <c:pt idx="106">
                  <c:v>5.41</c:v>
                </c:pt>
                <c:pt idx="107">
                  <c:v>5.57</c:v>
                </c:pt>
                <c:pt idx="108">
                  <c:v>5.47</c:v>
                </c:pt>
                <c:pt idx="109">
                  <c:v>5.57</c:v>
                </c:pt>
                <c:pt idx="110">
                  <c:v>5.44</c:v>
                </c:pt>
                <c:pt idx="111">
                  <c:v>5.57</c:v>
                </c:pt>
                <c:pt idx="112">
                  <c:v>5.42</c:v>
                </c:pt>
                <c:pt idx="113">
                  <c:v>5.55</c:v>
                </c:pt>
                <c:pt idx="114">
                  <c:v>5.6</c:v>
                </c:pt>
                <c:pt idx="115">
                  <c:v>5.4</c:v>
                </c:pt>
                <c:pt idx="116">
                  <c:v>5.25</c:v>
                </c:pt>
                <c:pt idx="117">
                  <c:v>5.42</c:v>
                </c:pt>
                <c:pt idx="118">
                  <c:v>5.37</c:v>
                </c:pt>
                <c:pt idx="119">
                  <c:v>5.43</c:v>
                </c:pt>
                <c:pt idx="120">
                  <c:v>5.39</c:v>
                </c:pt>
                <c:pt idx="121">
                  <c:v>5.25</c:v>
                </c:pt>
                <c:pt idx="122">
                  <c:v>5.2</c:v>
                </c:pt>
                <c:pt idx="123">
                  <c:v>5.07</c:v>
                </c:pt>
                <c:pt idx="124">
                  <c:v>4.7300000000000004</c:v>
                </c:pt>
                <c:pt idx="125">
                  <c:v>4.68</c:v>
                </c:pt>
                <c:pt idx="126">
                  <c:v>4.74</c:v>
                </c:pt>
                <c:pt idx="127">
                  <c:v>4.6900000000000004</c:v>
                </c:pt>
                <c:pt idx="128">
                  <c:v>4.46</c:v>
                </c:pt>
                <c:pt idx="129">
                  <c:v>4.2300000000000004</c:v>
                </c:pt>
                <c:pt idx="130">
                  <c:v>4.29</c:v>
                </c:pt>
                <c:pt idx="131">
                  <c:v>4.28</c:v>
                </c:pt>
                <c:pt idx="132">
                  <c:v>4.29</c:v>
                </c:pt>
                <c:pt idx="133">
                  <c:v>4.3</c:v>
                </c:pt>
                <c:pt idx="134">
                  <c:v>4.01</c:v>
                </c:pt>
                <c:pt idx="135">
                  <c:v>4.12</c:v>
                </c:pt>
                <c:pt idx="136">
                  <c:v>3.96</c:v>
                </c:pt>
                <c:pt idx="137">
                  <c:v>4.02944146764563</c:v>
                </c:pt>
                <c:pt idx="138">
                  <c:v>3.95</c:v>
                </c:pt>
                <c:pt idx="139">
                  <c:v>4.04</c:v>
                </c:pt>
                <c:pt idx="140">
                  <c:v>4</c:v>
                </c:pt>
                <c:pt idx="141">
                  <c:v>3.85</c:v>
                </c:pt>
                <c:pt idx="142">
                  <c:v>3.92</c:v>
                </c:pt>
                <c:pt idx="143">
                  <c:v>3.92</c:v>
                </c:pt>
                <c:pt idx="144">
                  <c:v>3.82</c:v>
                </c:pt>
                <c:pt idx="145">
                  <c:v>3.94</c:v>
                </c:pt>
                <c:pt idx="146">
                  <c:v>3.93</c:v>
                </c:pt>
                <c:pt idx="147">
                  <c:v>3.85</c:v>
                </c:pt>
                <c:pt idx="148">
                  <c:v>3.77</c:v>
                </c:pt>
                <c:pt idx="149">
                  <c:v>3.79</c:v>
                </c:pt>
                <c:pt idx="150">
                  <c:v>3.81</c:v>
                </c:pt>
                <c:pt idx="151">
                  <c:v>3.87</c:v>
                </c:pt>
                <c:pt idx="152">
                  <c:v>3.86</c:v>
                </c:pt>
                <c:pt idx="153">
                  <c:v>3.79</c:v>
                </c:pt>
                <c:pt idx="154">
                  <c:v>3.76</c:v>
                </c:pt>
                <c:pt idx="155">
                  <c:v>3.67</c:v>
                </c:pt>
                <c:pt idx="156">
                  <c:v>3.64</c:v>
                </c:pt>
                <c:pt idx="157">
                  <c:v>3.65</c:v>
                </c:pt>
                <c:pt idx="158">
                  <c:v>3.6</c:v>
                </c:pt>
                <c:pt idx="159">
                  <c:v>3.41</c:v>
                </c:pt>
                <c:pt idx="160">
                  <c:v>3.33</c:v>
                </c:pt>
                <c:pt idx="161">
                  <c:v>3.29</c:v>
                </c:pt>
                <c:pt idx="162">
                  <c:v>3.25</c:v>
                </c:pt>
                <c:pt idx="163">
                  <c:v>3.19</c:v>
                </c:pt>
                <c:pt idx="164">
                  <c:v>3.16</c:v>
                </c:pt>
                <c:pt idx="165">
                  <c:v>3.01</c:v>
                </c:pt>
                <c:pt idx="166">
                  <c:v>2.91</c:v>
                </c:pt>
                <c:pt idx="167">
                  <c:v>2.95</c:v>
                </c:pt>
                <c:pt idx="168">
                  <c:v>2.89</c:v>
                </c:pt>
                <c:pt idx="169">
                  <c:v>2.86</c:v>
                </c:pt>
                <c:pt idx="170">
                  <c:v>2.8</c:v>
                </c:pt>
              </c:numCache>
            </c:numRef>
          </c:val>
          <c:smooth val="0"/>
        </c:ser>
        <c:ser>
          <c:idx val="1"/>
          <c:order val="1"/>
          <c:tx>
            <c:strRef>
              <c:f>List1!$C$1</c:f>
              <c:strCache>
                <c:ptCount val="1"/>
                <c:pt idx="0">
                  <c:v>Kamatna stopa na kratkročne oročene depozite u eurima</c:v>
                </c:pt>
              </c:strCache>
            </c:strRef>
          </c:tx>
          <c:marker>
            <c:symbol val="none"/>
          </c:marker>
          <c:cat>
            <c:strRef>
              <c:f>List1!$A$2:$A$172</c:f>
              <c:strCache>
                <c:ptCount val="169"/>
                <c:pt idx="0">
                  <c:v>2000.</c:v>
                </c:pt>
                <c:pt idx="12">
                  <c:v>2001.</c:v>
                </c:pt>
                <c:pt idx="24">
                  <c:v>2002.</c:v>
                </c:pt>
                <c:pt idx="36">
                  <c:v>2003.</c:v>
                </c:pt>
                <c:pt idx="48">
                  <c:v>2004.</c:v>
                </c:pt>
                <c:pt idx="60">
                  <c:v>2005.</c:v>
                </c:pt>
                <c:pt idx="72">
                  <c:v>2006.</c:v>
                </c:pt>
                <c:pt idx="84">
                  <c:v>2007.</c:v>
                </c:pt>
                <c:pt idx="96">
                  <c:v>2008.</c:v>
                </c:pt>
                <c:pt idx="108">
                  <c:v>2009.</c:v>
                </c:pt>
                <c:pt idx="120">
                  <c:v>2010.</c:v>
                </c:pt>
                <c:pt idx="132">
                  <c:v>2011.</c:v>
                </c:pt>
                <c:pt idx="144">
                  <c:v>2012.</c:v>
                </c:pt>
                <c:pt idx="156">
                  <c:v>2013.</c:v>
                </c:pt>
                <c:pt idx="168">
                  <c:v>2014.</c:v>
                </c:pt>
              </c:strCache>
            </c:strRef>
          </c:cat>
          <c:val>
            <c:numRef>
              <c:f>List1!$C$2:$C$172</c:f>
              <c:numCache>
                <c:formatCode>0.00</c:formatCode>
                <c:ptCount val="171"/>
                <c:pt idx="0">
                  <c:v>4.92</c:v>
                </c:pt>
                <c:pt idx="1">
                  <c:v>4.57</c:v>
                </c:pt>
                <c:pt idx="2">
                  <c:v>4.5</c:v>
                </c:pt>
                <c:pt idx="3">
                  <c:v>4.33</c:v>
                </c:pt>
                <c:pt idx="4">
                  <c:v>4.29</c:v>
                </c:pt>
                <c:pt idx="5">
                  <c:v>4.1900000000000004</c:v>
                </c:pt>
                <c:pt idx="6">
                  <c:v>4.2300000000000004</c:v>
                </c:pt>
                <c:pt idx="7">
                  <c:v>4.2300000000000004</c:v>
                </c:pt>
                <c:pt idx="8">
                  <c:v>3.9</c:v>
                </c:pt>
                <c:pt idx="9">
                  <c:v>3.84</c:v>
                </c:pt>
                <c:pt idx="10">
                  <c:v>3.7</c:v>
                </c:pt>
                <c:pt idx="11">
                  <c:v>3.65</c:v>
                </c:pt>
                <c:pt idx="12">
                  <c:v>3.64</c:v>
                </c:pt>
                <c:pt idx="13">
                  <c:v>3.5</c:v>
                </c:pt>
                <c:pt idx="14">
                  <c:v>3.47</c:v>
                </c:pt>
                <c:pt idx="15">
                  <c:v>3.48</c:v>
                </c:pt>
                <c:pt idx="16">
                  <c:v>3.47</c:v>
                </c:pt>
                <c:pt idx="17">
                  <c:v>3.5</c:v>
                </c:pt>
                <c:pt idx="18">
                  <c:v>3.52</c:v>
                </c:pt>
                <c:pt idx="19">
                  <c:v>3.5</c:v>
                </c:pt>
                <c:pt idx="20">
                  <c:v>3.48</c:v>
                </c:pt>
                <c:pt idx="21">
                  <c:v>3.46</c:v>
                </c:pt>
                <c:pt idx="22">
                  <c:v>3.24</c:v>
                </c:pt>
                <c:pt idx="23">
                  <c:v>3.42</c:v>
                </c:pt>
                <c:pt idx="24">
                  <c:v>3.63</c:v>
                </c:pt>
                <c:pt idx="25">
                  <c:v>3.35</c:v>
                </c:pt>
                <c:pt idx="26">
                  <c:v>3.42</c:v>
                </c:pt>
                <c:pt idx="27">
                  <c:v>3.33</c:v>
                </c:pt>
                <c:pt idx="28">
                  <c:v>3.31</c:v>
                </c:pt>
                <c:pt idx="29">
                  <c:v>3.34</c:v>
                </c:pt>
                <c:pt idx="30">
                  <c:v>3.36</c:v>
                </c:pt>
                <c:pt idx="31" formatCode="#,##0.00">
                  <c:v>3.4</c:v>
                </c:pt>
                <c:pt idx="32" formatCode="#,##0.00">
                  <c:v>3.35</c:v>
                </c:pt>
                <c:pt idx="33" formatCode="#,##0.00">
                  <c:v>3.3</c:v>
                </c:pt>
                <c:pt idx="34" formatCode="#,##0.00">
                  <c:v>3.25</c:v>
                </c:pt>
                <c:pt idx="35" formatCode="#,##0.00">
                  <c:v>3.27</c:v>
                </c:pt>
                <c:pt idx="36" formatCode="#,##0.00">
                  <c:v>3.29</c:v>
                </c:pt>
                <c:pt idx="37" formatCode="#,##0.00">
                  <c:v>3.25</c:v>
                </c:pt>
                <c:pt idx="38" formatCode="#,##0.00">
                  <c:v>3.12</c:v>
                </c:pt>
                <c:pt idx="39" formatCode="#,##0.00">
                  <c:v>3.14</c:v>
                </c:pt>
                <c:pt idx="40" formatCode="#,##0.00">
                  <c:v>2.94</c:v>
                </c:pt>
                <c:pt idx="41" formatCode="#,##0.00">
                  <c:v>3.01</c:v>
                </c:pt>
                <c:pt idx="42" formatCode="#,##0.00">
                  <c:v>2.91</c:v>
                </c:pt>
                <c:pt idx="43" formatCode="#,##0.00">
                  <c:v>2.89</c:v>
                </c:pt>
                <c:pt idx="44" formatCode="#,##0.00">
                  <c:v>2.89</c:v>
                </c:pt>
                <c:pt idx="45">
                  <c:v>2.85</c:v>
                </c:pt>
                <c:pt idx="46">
                  <c:v>2.79</c:v>
                </c:pt>
                <c:pt idx="47">
                  <c:v>2.83</c:v>
                </c:pt>
                <c:pt idx="48" formatCode="#,##0.00">
                  <c:v>2.86</c:v>
                </c:pt>
                <c:pt idx="49" formatCode="#,##0.00">
                  <c:v>2.82</c:v>
                </c:pt>
                <c:pt idx="50" formatCode="#,##0.00">
                  <c:v>2.85</c:v>
                </c:pt>
                <c:pt idx="51" formatCode="#,##0.00">
                  <c:v>2.82</c:v>
                </c:pt>
                <c:pt idx="52" formatCode="#,##0.00">
                  <c:v>3.02</c:v>
                </c:pt>
                <c:pt idx="53" formatCode="#,##0.00">
                  <c:v>3.05</c:v>
                </c:pt>
                <c:pt idx="54" formatCode="#,##0.00">
                  <c:v>3.08</c:v>
                </c:pt>
                <c:pt idx="55">
                  <c:v>3.1</c:v>
                </c:pt>
                <c:pt idx="56">
                  <c:v>3.05</c:v>
                </c:pt>
                <c:pt idx="57">
                  <c:v>3.05</c:v>
                </c:pt>
                <c:pt idx="58">
                  <c:v>3</c:v>
                </c:pt>
                <c:pt idx="59">
                  <c:v>3.01</c:v>
                </c:pt>
                <c:pt idx="60">
                  <c:v>3.03</c:v>
                </c:pt>
                <c:pt idx="61">
                  <c:v>3.05</c:v>
                </c:pt>
                <c:pt idx="62">
                  <c:v>3.03</c:v>
                </c:pt>
                <c:pt idx="63">
                  <c:v>3.02</c:v>
                </c:pt>
                <c:pt idx="64">
                  <c:v>3.05</c:v>
                </c:pt>
                <c:pt idx="65">
                  <c:v>3.02</c:v>
                </c:pt>
                <c:pt idx="66">
                  <c:v>3.04</c:v>
                </c:pt>
                <c:pt idx="67">
                  <c:v>3.11</c:v>
                </c:pt>
                <c:pt idx="68">
                  <c:v>3.02</c:v>
                </c:pt>
                <c:pt idx="69">
                  <c:v>3.04</c:v>
                </c:pt>
                <c:pt idx="70">
                  <c:v>3.02</c:v>
                </c:pt>
                <c:pt idx="71" formatCode="#,##0.00">
                  <c:v>2.99</c:v>
                </c:pt>
                <c:pt idx="72" formatCode="#,##0.00">
                  <c:v>2.97</c:v>
                </c:pt>
                <c:pt idx="73" formatCode="#,##0.00">
                  <c:v>3.05</c:v>
                </c:pt>
                <c:pt idx="74">
                  <c:v>3</c:v>
                </c:pt>
                <c:pt idx="75">
                  <c:v>3.02</c:v>
                </c:pt>
                <c:pt idx="76">
                  <c:v>2.98</c:v>
                </c:pt>
                <c:pt idx="77">
                  <c:v>2.95</c:v>
                </c:pt>
                <c:pt idx="78">
                  <c:v>3.04</c:v>
                </c:pt>
                <c:pt idx="79">
                  <c:v>3.06</c:v>
                </c:pt>
                <c:pt idx="80">
                  <c:v>3.09</c:v>
                </c:pt>
                <c:pt idx="81">
                  <c:v>3.19</c:v>
                </c:pt>
                <c:pt idx="82">
                  <c:v>3.2</c:v>
                </c:pt>
                <c:pt idx="83">
                  <c:v>3.16</c:v>
                </c:pt>
                <c:pt idx="84">
                  <c:v>3.19</c:v>
                </c:pt>
                <c:pt idx="85">
                  <c:v>3.21</c:v>
                </c:pt>
                <c:pt idx="86">
                  <c:v>3.16</c:v>
                </c:pt>
                <c:pt idx="87">
                  <c:v>3.16</c:v>
                </c:pt>
                <c:pt idx="88">
                  <c:v>3.21</c:v>
                </c:pt>
                <c:pt idx="89">
                  <c:v>3.2</c:v>
                </c:pt>
                <c:pt idx="90">
                  <c:v>3.28</c:v>
                </c:pt>
                <c:pt idx="91">
                  <c:v>3.43</c:v>
                </c:pt>
                <c:pt idx="92">
                  <c:v>3.37</c:v>
                </c:pt>
                <c:pt idx="93">
                  <c:v>3.39</c:v>
                </c:pt>
                <c:pt idx="94">
                  <c:v>3.5</c:v>
                </c:pt>
                <c:pt idx="95">
                  <c:v>3.47</c:v>
                </c:pt>
                <c:pt idx="96">
                  <c:v>3.45</c:v>
                </c:pt>
                <c:pt idx="97">
                  <c:v>3.53</c:v>
                </c:pt>
                <c:pt idx="98">
                  <c:v>3.51</c:v>
                </c:pt>
                <c:pt idx="99">
                  <c:v>3.62</c:v>
                </c:pt>
                <c:pt idx="100">
                  <c:v>3.63</c:v>
                </c:pt>
                <c:pt idx="101">
                  <c:v>3.51</c:v>
                </c:pt>
                <c:pt idx="102">
                  <c:v>3.65</c:v>
                </c:pt>
                <c:pt idx="103">
                  <c:v>3.68</c:v>
                </c:pt>
                <c:pt idx="104">
                  <c:v>3.71</c:v>
                </c:pt>
                <c:pt idx="105">
                  <c:v>3.88</c:v>
                </c:pt>
                <c:pt idx="106">
                  <c:v>3.87</c:v>
                </c:pt>
                <c:pt idx="107">
                  <c:v>4.33</c:v>
                </c:pt>
                <c:pt idx="108">
                  <c:v>4.38</c:v>
                </c:pt>
                <c:pt idx="109">
                  <c:v>4.18</c:v>
                </c:pt>
                <c:pt idx="110">
                  <c:v>4.1100000000000003</c:v>
                </c:pt>
                <c:pt idx="111">
                  <c:v>4.16</c:v>
                </c:pt>
                <c:pt idx="112">
                  <c:v>4.0999999999999996</c:v>
                </c:pt>
                <c:pt idx="113">
                  <c:v>4.25</c:v>
                </c:pt>
                <c:pt idx="114">
                  <c:v>4.3899999999999997</c:v>
                </c:pt>
                <c:pt idx="115">
                  <c:v>4.4800000000000004</c:v>
                </c:pt>
                <c:pt idx="116">
                  <c:v>4.58</c:v>
                </c:pt>
                <c:pt idx="117">
                  <c:v>4.2699999999999996</c:v>
                </c:pt>
                <c:pt idx="118">
                  <c:v>4.25</c:v>
                </c:pt>
                <c:pt idx="119">
                  <c:v>4.33</c:v>
                </c:pt>
                <c:pt idx="120">
                  <c:v>4.22</c:v>
                </c:pt>
                <c:pt idx="121">
                  <c:v>4.04</c:v>
                </c:pt>
                <c:pt idx="122">
                  <c:v>3.78</c:v>
                </c:pt>
                <c:pt idx="123">
                  <c:v>3.73</c:v>
                </c:pt>
                <c:pt idx="124">
                  <c:v>3.63</c:v>
                </c:pt>
                <c:pt idx="125">
                  <c:v>3.48</c:v>
                </c:pt>
                <c:pt idx="126">
                  <c:v>3.5</c:v>
                </c:pt>
                <c:pt idx="127">
                  <c:v>3.48</c:v>
                </c:pt>
                <c:pt idx="128">
                  <c:v>3.47</c:v>
                </c:pt>
                <c:pt idx="129">
                  <c:v>3.36</c:v>
                </c:pt>
                <c:pt idx="130">
                  <c:v>3.24</c:v>
                </c:pt>
                <c:pt idx="131">
                  <c:v>3.13</c:v>
                </c:pt>
                <c:pt idx="132">
                  <c:v>3</c:v>
                </c:pt>
                <c:pt idx="133">
                  <c:v>3</c:v>
                </c:pt>
                <c:pt idx="134">
                  <c:v>2.97</c:v>
                </c:pt>
                <c:pt idx="135">
                  <c:v>2.88</c:v>
                </c:pt>
                <c:pt idx="136">
                  <c:v>2.87</c:v>
                </c:pt>
                <c:pt idx="137">
                  <c:v>2.8464937980976734</c:v>
                </c:pt>
                <c:pt idx="138">
                  <c:v>2.86</c:v>
                </c:pt>
                <c:pt idx="139">
                  <c:v>2.97</c:v>
                </c:pt>
                <c:pt idx="140">
                  <c:v>2.96</c:v>
                </c:pt>
                <c:pt idx="141">
                  <c:v>2.87</c:v>
                </c:pt>
                <c:pt idx="142">
                  <c:v>2.83</c:v>
                </c:pt>
                <c:pt idx="143">
                  <c:v>2.87</c:v>
                </c:pt>
                <c:pt idx="144">
                  <c:v>2.84</c:v>
                </c:pt>
                <c:pt idx="145">
                  <c:v>2.83</c:v>
                </c:pt>
                <c:pt idx="146">
                  <c:v>2.82</c:v>
                </c:pt>
                <c:pt idx="147">
                  <c:v>2.82</c:v>
                </c:pt>
                <c:pt idx="148">
                  <c:v>2.81</c:v>
                </c:pt>
                <c:pt idx="149">
                  <c:v>2.79</c:v>
                </c:pt>
                <c:pt idx="150">
                  <c:v>2.9</c:v>
                </c:pt>
                <c:pt idx="151">
                  <c:v>2.98</c:v>
                </c:pt>
                <c:pt idx="152">
                  <c:v>2.89</c:v>
                </c:pt>
                <c:pt idx="153">
                  <c:v>2.95</c:v>
                </c:pt>
                <c:pt idx="154">
                  <c:v>2.8</c:v>
                </c:pt>
                <c:pt idx="155">
                  <c:v>2.7</c:v>
                </c:pt>
                <c:pt idx="156">
                  <c:v>2.67</c:v>
                </c:pt>
                <c:pt idx="157">
                  <c:v>2.5099999999999998</c:v>
                </c:pt>
                <c:pt idx="158">
                  <c:v>2.5</c:v>
                </c:pt>
                <c:pt idx="159">
                  <c:v>2.34</c:v>
                </c:pt>
                <c:pt idx="160">
                  <c:v>2.35</c:v>
                </c:pt>
                <c:pt idx="161">
                  <c:v>2.29</c:v>
                </c:pt>
                <c:pt idx="162">
                  <c:v>2.29</c:v>
                </c:pt>
                <c:pt idx="163">
                  <c:v>2.2799999999999998</c:v>
                </c:pt>
                <c:pt idx="164">
                  <c:v>2.2400000000000002</c:v>
                </c:pt>
                <c:pt idx="165">
                  <c:v>2.15</c:v>
                </c:pt>
                <c:pt idx="166">
                  <c:v>2.08</c:v>
                </c:pt>
                <c:pt idx="167">
                  <c:v>2.11</c:v>
                </c:pt>
                <c:pt idx="168">
                  <c:v>2.0499999999999998</c:v>
                </c:pt>
                <c:pt idx="169">
                  <c:v>2.04</c:v>
                </c:pt>
                <c:pt idx="170">
                  <c:v>1.95</c:v>
                </c:pt>
              </c:numCache>
            </c:numRef>
          </c:val>
          <c:smooth val="0"/>
        </c:ser>
        <c:ser>
          <c:idx val="2"/>
          <c:order val="2"/>
          <c:tx>
            <c:strRef>
              <c:f>List1!$D$1</c:f>
              <c:strCache>
                <c:ptCount val="1"/>
                <c:pt idx="0">
                  <c:v>Kamatna stopa na kratkročne oročene depozite ukunama</c:v>
                </c:pt>
              </c:strCache>
            </c:strRef>
          </c:tx>
          <c:marker>
            <c:symbol val="none"/>
          </c:marker>
          <c:cat>
            <c:strRef>
              <c:f>List1!$A$2:$A$172</c:f>
              <c:strCache>
                <c:ptCount val="169"/>
                <c:pt idx="0">
                  <c:v>2000.</c:v>
                </c:pt>
                <c:pt idx="12">
                  <c:v>2001.</c:v>
                </c:pt>
                <c:pt idx="24">
                  <c:v>2002.</c:v>
                </c:pt>
                <c:pt idx="36">
                  <c:v>2003.</c:v>
                </c:pt>
                <c:pt idx="48">
                  <c:v>2004.</c:v>
                </c:pt>
                <c:pt idx="60">
                  <c:v>2005.</c:v>
                </c:pt>
                <c:pt idx="72">
                  <c:v>2006.</c:v>
                </c:pt>
                <c:pt idx="84">
                  <c:v>2007.</c:v>
                </c:pt>
                <c:pt idx="96">
                  <c:v>2008.</c:v>
                </c:pt>
                <c:pt idx="108">
                  <c:v>2009.</c:v>
                </c:pt>
                <c:pt idx="120">
                  <c:v>2010.</c:v>
                </c:pt>
                <c:pt idx="132">
                  <c:v>2011.</c:v>
                </c:pt>
                <c:pt idx="144">
                  <c:v>2012.</c:v>
                </c:pt>
                <c:pt idx="156">
                  <c:v>2013.</c:v>
                </c:pt>
                <c:pt idx="168">
                  <c:v>2014.</c:v>
                </c:pt>
              </c:strCache>
            </c:strRef>
          </c:cat>
          <c:val>
            <c:numRef>
              <c:f>List1!$D$2:$D$172</c:f>
              <c:numCache>
                <c:formatCode>#,##0.00</c:formatCode>
                <c:ptCount val="171"/>
                <c:pt idx="0">
                  <c:v>9.73</c:v>
                </c:pt>
                <c:pt idx="1">
                  <c:v>8.64</c:v>
                </c:pt>
                <c:pt idx="2">
                  <c:v>8.8000000000000007</c:v>
                </c:pt>
                <c:pt idx="3">
                  <c:v>8.32</c:v>
                </c:pt>
                <c:pt idx="4">
                  <c:v>8.32</c:v>
                </c:pt>
                <c:pt idx="5">
                  <c:v>8.4600000000000009</c:v>
                </c:pt>
                <c:pt idx="6">
                  <c:v>7.86</c:v>
                </c:pt>
                <c:pt idx="7">
                  <c:v>8.2100000000000009</c:v>
                </c:pt>
                <c:pt idx="8">
                  <c:v>7.67</c:v>
                </c:pt>
                <c:pt idx="9">
                  <c:v>7.61</c:v>
                </c:pt>
                <c:pt idx="10">
                  <c:v>7.52</c:v>
                </c:pt>
                <c:pt idx="11">
                  <c:v>7.44</c:v>
                </c:pt>
                <c:pt idx="12">
                  <c:v>7.17</c:v>
                </c:pt>
                <c:pt idx="13">
                  <c:v>7.01</c:v>
                </c:pt>
                <c:pt idx="14">
                  <c:v>6.99</c:v>
                </c:pt>
                <c:pt idx="15">
                  <c:v>6.88</c:v>
                </c:pt>
                <c:pt idx="16">
                  <c:v>6.66</c:v>
                </c:pt>
                <c:pt idx="17">
                  <c:v>6.51</c:v>
                </c:pt>
                <c:pt idx="18">
                  <c:v>6.58</c:v>
                </c:pt>
                <c:pt idx="19">
                  <c:v>6.4</c:v>
                </c:pt>
                <c:pt idx="20">
                  <c:v>6.56</c:v>
                </c:pt>
                <c:pt idx="21">
                  <c:v>6.46</c:v>
                </c:pt>
                <c:pt idx="22">
                  <c:v>6.18</c:v>
                </c:pt>
                <c:pt idx="23">
                  <c:v>6.35</c:v>
                </c:pt>
                <c:pt idx="24">
                  <c:v>6.31</c:v>
                </c:pt>
                <c:pt idx="25">
                  <c:v>5.93</c:v>
                </c:pt>
                <c:pt idx="26">
                  <c:v>5.55</c:v>
                </c:pt>
                <c:pt idx="27">
                  <c:v>5.62</c:v>
                </c:pt>
                <c:pt idx="28">
                  <c:v>5.54</c:v>
                </c:pt>
                <c:pt idx="29">
                  <c:v>5.48</c:v>
                </c:pt>
                <c:pt idx="30">
                  <c:v>5.45</c:v>
                </c:pt>
                <c:pt idx="31">
                  <c:v>5.45</c:v>
                </c:pt>
                <c:pt idx="32">
                  <c:v>5.24</c:v>
                </c:pt>
                <c:pt idx="33">
                  <c:v>5.22</c:v>
                </c:pt>
                <c:pt idx="34">
                  <c:v>4.3600000000000003</c:v>
                </c:pt>
                <c:pt idx="35">
                  <c:v>4.3899999999999997</c:v>
                </c:pt>
                <c:pt idx="36">
                  <c:v>4.21</c:v>
                </c:pt>
                <c:pt idx="37">
                  <c:v>4.3099999999999996</c:v>
                </c:pt>
                <c:pt idx="38">
                  <c:v>3.82</c:v>
                </c:pt>
                <c:pt idx="39">
                  <c:v>3.87</c:v>
                </c:pt>
                <c:pt idx="40">
                  <c:v>3.74</c:v>
                </c:pt>
                <c:pt idx="41">
                  <c:v>3.74</c:v>
                </c:pt>
                <c:pt idx="42">
                  <c:v>3.59</c:v>
                </c:pt>
                <c:pt idx="43">
                  <c:v>3.62</c:v>
                </c:pt>
                <c:pt idx="44">
                  <c:v>3.88</c:v>
                </c:pt>
                <c:pt idx="45">
                  <c:v>3.66</c:v>
                </c:pt>
                <c:pt idx="46">
                  <c:v>3.58</c:v>
                </c:pt>
                <c:pt idx="47">
                  <c:v>3.62</c:v>
                </c:pt>
                <c:pt idx="48">
                  <c:v>3.86</c:v>
                </c:pt>
                <c:pt idx="49">
                  <c:v>3.67</c:v>
                </c:pt>
                <c:pt idx="50">
                  <c:v>3.65</c:v>
                </c:pt>
                <c:pt idx="51">
                  <c:v>3.57</c:v>
                </c:pt>
                <c:pt idx="52">
                  <c:v>3.81</c:v>
                </c:pt>
                <c:pt idx="53">
                  <c:v>3.82</c:v>
                </c:pt>
                <c:pt idx="54">
                  <c:v>3.88</c:v>
                </c:pt>
                <c:pt idx="55">
                  <c:v>3.8</c:v>
                </c:pt>
                <c:pt idx="56">
                  <c:v>3.87</c:v>
                </c:pt>
                <c:pt idx="57">
                  <c:v>3.92</c:v>
                </c:pt>
                <c:pt idx="58">
                  <c:v>4.01</c:v>
                </c:pt>
                <c:pt idx="59">
                  <c:v>3.93</c:v>
                </c:pt>
                <c:pt idx="60">
                  <c:v>4.0599999999999996</c:v>
                </c:pt>
                <c:pt idx="61">
                  <c:v>4.04</c:v>
                </c:pt>
                <c:pt idx="62">
                  <c:v>3.9</c:v>
                </c:pt>
                <c:pt idx="63">
                  <c:v>3.98</c:v>
                </c:pt>
                <c:pt idx="64">
                  <c:v>3.94</c:v>
                </c:pt>
                <c:pt idx="65">
                  <c:v>4.01</c:v>
                </c:pt>
                <c:pt idx="66">
                  <c:v>4</c:v>
                </c:pt>
                <c:pt idx="67">
                  <c:v>3.99</c:v>
                </c:pt>
                <c:pt idx="68">
                  <c:v>4.01</c:v>
                </c:pt>
                <c:pt idx="69">
                  <c:v>3.98</c:v>
                </c:pt>
                <c:pt idx="70">
                  <c:v>3.97</c:v>
                </c:pt>
                <c:pt idx="71">
                  <c:v>3.89</c:v>
                </c:pt>
                <c:pt idx="72">
                  <c:v>4</c:v>
                </c:pt>
                <c:pt idx="73">
                  <c:v>3.93</c:v>
                </c:pt>
                <c:pt idx="74">
                  <c:v>4.07</c:v>
                </c:pt>
                <c:pt idx="75">
                  <c:v>4.0199999999999996</c:v>
                </c:pt>
                <c:pt idx="76">
                  <c:v>4.05</c:v>
                </c:pt>
                <c:pt idx="77">
                  <c:v>3.78</c:v>
                </c:pt>
                <c:pt idx="78">
                  <c:v>3.96</c:v>
                </c:pt>
                <c:pt idx="79">
                  <c:v>3.92</c:v>
                </c:pt>
                <c:pt idx="80">
                  <c:v>4.05</c:v>
                </c:pt>
                <c:pt idx="81">
                  <c:v>4.0999999999999996</c:v>
                </c:pt>
                <c:pt idx="82">
                  <c:v>3.99</c:v>
                </c:pt>
                <c:pt idx="83">
                  <c:v>4.0999999999999996</c:v>
                </c:pt>
                <c:pt idx="84">
                  <c:v>4.1500000000000004</c:v>
                </c:pt>
                <c:pt idx="85">
                  <c:v>4.13</c:v>
                </c:pt>
                <c:pt idx="86">
                  <c:v>4.04</c:v>
                </c:pt>
                <c:pt idx="87">
                  <c:v>4.03</c:v>
                </c:pt>
                <c:pt idx="88">
                  <c:v>4.12</c:v>
                </c:pt>
                <c:pt idx="89">
                  <c:v>4.12</c:v>
                </c:pt>
                <c:pt idx="90">
                  <c:v>4.2</c:v>
                </c:pt>
                <c:pt idx="91">
                  <c:v>4.3099999999999996</c:v>
                </c:pt>
                <c:pt idx="92">
                  <c:v>4.29</c:v>
                </c:pt>
                <c:pt idx="93">
                  <c:v>4.43</c:v>
                </c:pt>
                <c:pt idx="94">
                  <c:v>4.41</c:v>
                </c:pt>
                <c:pt idx="95">
                  <c:v>4.47</c:v>
                </c:pt>
                <c:pt idx="96">
                  <c:v>4.57</c:v>
                </c:pt>
                <c:pt idx="97">
                  <c:v>4.8</c:v>
                </c:pt>
                <c:pt idx="98">
                  <c:v>4.6900000000000004</c:v>
                </c:pt>
                <c:pt idx="99">
                  <c:v>4.6900000000000004</c:v>
                </c:pt>
                <c:pt idx="100">
                  <c:v>4.68</c:v>
                </c:pt>
                <c:pt idx="101">
                  <c:v>4.6399999999999997</c:v>
                </c:pt>
                <c:pt idx="102">
                  <c:v>4.6500000000000004</c:v>
                </c:pt>
                <c:pt idx="103">
                  <c:v>4.6100000000000003</c:v>
                </c:pt>
                <c:pt idx="104">
                  <c:v>4.53</c:v>
                </c:pt>
                <c:pt idx="105">
                  <c:v>4.97</c:v>
                </c:pt>
                <c:pt idx="106">
                  <c:v>5.3</c:v>
                </c:pt>
                <c:pt idx="107">
                  <c:v>5.34</c:v>
                </c:pt>
                <c:pt idx="108">
                  <c:v>5.26</c:v>
                </c:pt>
                <c:pt idx="109">
                  <c:v>5.68</c:v>
                </c:pt>
                <c:pt idx="110">
                  <c:v>5.51</c:v>
                </c:pt>
                <c:pt idx="111">
                  <c:v>5.3</c:v>
                </c:pt>
                <c:pt idx="112">
                  <c:v>5.38</c:v>
                </c:pt>
                <c:pt idx="113">
                  <c:v>5.38</c:v>
                </c:pt>
                <c:pt idx="114">
                  <c:v>5.23</c:v>
                </c:pt>
                <c:pt idx="115">
                  <c:v>5.12</c:v>
                </c:pt>
                <c:pt idx="116">
                  <c:v>5.25</c:v>
                </c:pt>
                <c:pt idx="117">
                  <c:v>5.3</c:v>
                </c:pt>
                <c:pt idx="118">
                  <c:v>5.04</c:v>
                </c:pt>
                <c:pt idx="119">
                  <c:v>4.8899999999999997</c:v>
                </c:pt>
                <c:pt idx="120">
                  <c:v>4.95</c:v>
                </c:pt>
                <c:pt idx="121">
                  <c:v>4.6500000000000004</c:v>
                </c:pt>
                <c:pt idx="122">
                  <c:v>4.4400000000000004</c:v>
                </c:pt>
                <c:pt idx="123">
                  <c:v>4.3499999999999996</c:v>
                </c:pt>
                <c:pt idx="124">
                  <c:v>4.22</c:v>
                </c:pt>
                <c:pt idx="125">
                  <c:v>4.12</c:v>
                </c:pt>
                <c:pt idx="126">
                  <c:v>4.0599999999999996</c:v>
                </c:pt>
                <c:pt idx="127">
                  <c:v>3.93</c:v>
                </c:pt>
                <c:pt idx="128">
                  <c:v>3.92</c:v>
                </c:pt>
                <c:pt idx="129">
                  <c:v>3.85</c:v>
                </c:pt>
                <c:pt idx="130">
                  <c:v>3.75</c:v>
                </c:pt>
                <c:pt idx="131">
                  <c:v>3.66</c:v>
                </c:pt>
                <c:pt idx="132">
                  <c:v>3.6</c:v>
                </c:pt>
                <c:pt idx="133">
                  <c:v>3.42</c:v>
                </c:pt>
                <c:pt idx="134">
                  <c:v>3.48</c:v>
                </c:pt>
                <c:pt idx="135">
                  <c:v>3.44</c:v>
                </c:pt>
                <c:pt idx="136">
                  <c:v>3.5</c:v>
                </c:pt>
                <c:pt idx="137">
                  <c:v>3.49</c:v>
                </c:pt>
                <c:pt idx="138">
                  <c:v>3.49</c:v>
                </c:pt>
                <c:pt idx="139">
                  <c:v>3.45</c:v>
                </c:pt>
                <c:pt idx="140">
                  <c:v>3.5</c:v>
                </c:pt>
                <c:pt idx="141">
                  <c:v>3.41</c:v>
                </c:pt>
                <c:pt idx="142">
                  <c:v>3.46</c:v>
                </c:pt>
                <c:pt idx="143">
                  <c:v>3.55</c:v>
                </c:pt>
                <c:pt idx="144">
                  <c:v>3.57</c:v>
                </c:pt>
                <c:pt idx="145">
                  <c:v>3.48</c:v>
                </c:pt>
                <c:pt idx="146">
                  <c:v>3.45</c:v>
                </c:pt>
                <c:pt idx="147">
                  <c:v>3.38</c:v>
                </c:pt>
                <c:pt idx="148">
                  <c:v>3.42</c:v>
                </c:pt>
                <c:pt idx="149">
                  <c:v>3.43</c:v>
                </c:pt>
                <c:pt idx="150">
                  <c:v>3.48</c:v>
                </c:pt>
                <c:pt idx="151">
                  <c:v>3.51</c:v>
                </c:pt>
                <c:pt idx="152">
                  <c:v>3.55</c:v>
                </c:pt>
                <c:pt idx="153">
                  <c:v>3.52</c:v>
                </c:pt>
                <c:pt idx="154">
                  <c:v>3.43</c:v>
                </c:pt>
                <c:pt idx="155">
                  <c:v>3.37</c:v>
                </c:pt>
                <c:pt idx="156">
                  <c:v>3.34</c:v>
                </c:pt>
                <c:pt idx="157">
                  <c:v>3.15</c:v>
                </c:pt>
                <c:pt idx="158">
                  <c:v>3.14</c:v>
                </c:pt>
                <c:pt idx="159">
                  <c:v>3.05</c:v>
                </c:pt>
                <c:pt idx="160">
                  <c:v>3.02</c:v>
                </c:pt>
                <c:pt idx="161">
                  <c:v>2.9</c:v>
                </c:pt>
                <c:pt idx="162">
                  <c:v>2.9</c:v>
                </c:pt>
                <c:pt idx="163">
                  <c:v>2.92</c:v>
                </c:pt>
                <c:pt idx="164">
                  <c:v>2.96</c:v>
                </c:pt>
                <c:pt idx="165">
                  <c:v>2.85</c:v>
                </c:pt>
                <c:pt idx="166">
                  <c:v>2.82</c:v>
                </c:pt>
                <c:pt idx="167">
                  <c:v>2.78</c:v>
                </c:pt>
                <c:pt idx="168">
                  <c:v>2.73</c:v>
                </c:pt>
                <c:pt idx="169">
                  <c:v>2.64</c:v>
                </c:pt>
                <c:pt idx="170">
                  <c:v>2.54</c:v>
                </c:pt>
              </c:numCache>
            </c:numRef>
          </c:val>
          <c:smooth val="0"/>
        </c:ser>
        <c:ser>
          <c:idx val="3"/>
          <c:order val="3"/>
          <c:tx>
            <c:strRef>
              <c:f>List1!$E$1</c:f>
              <c:strCache>
                <c:ptCount val="1"/>
                <c:pt idx="0">
                  <c:v>Kamatna stopa na dugroočne oročene depozite ukunama</c:v>
                </c:pt>
              </c:strCache>
            </c:strRef>
          </c:tx>
          <c:marker>
            <c:symbol val="none"/>
          </c:marker>
          <c:cat>
            <c:strRef>
              <c:f>List1!$A$2:$A$172</c:f>
              <c:strCache>
                <c:ptCount val="169"/>
                <c:pt idx="0">
                  <c:v>2000.</c:v>
                </c:pt>
                <c:pt idx="12">
                  <c:v>2001.</c:v>
                </c:pt>
                <c:pt idx="24">
                  <c:v>2002.</c:v>
                </c:pt>
                <c:pt idx="36">
                  <c:v>2003.</c:v>
                </c:pt>
                <c:pt idx="48">
                  <c:v>2004.</c:v>
                </c:pt>
                <c:pt idx="60">
                  <c:v>2005.</c:v>
                </c:pt>
                <c:pt idx="72">
                  <c:v>2006.</c:v>
                </c:pt>
                <c:pt idx="84">
                  <c:v>2007.</c:v>
                </c:pt>
                <c:pt idx="96">
                  <c:v>2008.</c:v>
                </c:pt>
                <c:pt idx="108">
                  <c:v>2009.</c:v>
                </c:pt>
                <c:pt idx="120">
                  <c:v>2010.</c:v>
                </c:pt>
                <c:pt idx="132">
                  <c:v>2011.</c:v>
                </c:pt>
                <c:pt idx="144">
                  <c:v>2012.</c:v>
                </c:pt>
                <c:pt idx="156">
                  <c:v>2013.</c:v>
                </c:pt>
                <c:pt idx="168">
                  <c:v>2014.</c:v>
                </c:pt>
              </c:strCache>
            </c:strRef>
          </c:cat>
          <c:val>
            <c:numRef>
              <c:f>List1!$E$2:$E$172</c:f>
              <c:numCache>
                <c:formatCode>#,##0.00</c:formatCode>
                <c:ptCount val="171"/>
                <c:pt idx="0">
                  <c:v>11.7</c:v>
                </c:pt>
                <c:pt idx="1">
                  <c:v>11.3</c:v>
                </c:pt>
                <c:pt idx="2">
                  <c:v>11.2</c:v>
                </c:pt>
                <c:pt idx="3">
                  <c:v>10.74</c:v>
                </c:pt>
                <c:pt idx="4">
                  <c:v>10.16</c:v>
                </c:pt>
                <c:pt idx="5">
                  <c:v>11.05</c:v>
                </c:pt>
                <c:pt idx="6">
                  <c:v>11.22</c:v>
                </c:pt>
                <c:pt idx="7">
                  <c:v>11.24</c:v>
                </c:pt>
                <c:pt idx="8">
                  <c:v>9.8699999999999992</c:v>
                </c:pt>
                <c:pt idx="9">
                  <c:v>10.15</c:v>
                </c:pt>
                <c:pt idx="10">
                  <c:v>9.34</c:v>
                </c:pt>
                <c:pt idx="11">
                  <c:v>9.19</c:v>
                </c:pt>
                <c:pt idx="12">
                  <c:v>9.3000000000000007</c:v>
                </c:pt>
                <c:pt idx="13">
                  <c:v>9.0299999999999994</c:v>
                </c:pt>
                <c:pt idx="14">
                  <c:v>8.83</c:v>
                </c:pt>
                <c:pt idx="15">
                  <c:v>8.07</c:v>
                </c:pt>
                <c:pt idx="16">
                  <c:v>8.24</c:v>
                </c:pt>
                <c:pt idx="17">
                  <c:v>8.42</c:v>
                </c:pt>
                <c:pt idx="18">
                  <c:v>8.14</c:v>
                </c:pt>
                <c:pt idx="19">
                  <c:v>8.64</c:v>
                </c:pt>
                <c:pt idx="20">
                  <c:v>8.4700000000000006</c:v>
                </c:pt>
                <c:pt idx="21">
                  <c:v>8.02</c:v>
                </c:pt>
                <c:pt idx="22">
                  <c:v>8</c:v>
                </c:pt>
                <c:pt idx="23">
                  <c:v>7.93</c:v>
                </c:pt>
                <c:pt idx="24">
                  <c:v>7.74</c:v>
                </c:pt>
                <c:pt idx="25">
                  <c:v>7.59</c:v>
                </c:pt>
                <c:pt idx="26">
                  <c:v>7.47</c:v>
                </c:pt>
                <c:pt idx="27">
                  <c:v>7.12</c:v>
                </c:pt>
                <c:pt idx="28">
                  <c:v>7.45</c:v>
                </c:pt>
                <c:pt idx="29">
                  <c:v>7.37</c:v>
                </c:pt>
                <c:pt idx="30">
                  <c:v>7.57</c:v>
                </c:pt>
                <c:pt idx="31">
                  <c:v>7.57</c:v>
                </c:pt>
                <c:pt idx="32">
                  <c:v>7.33</c:v>
                </c:pt>
                <c:pt idx="33">
                  <c:v>7.21</c:v>
                </c:pt>
                <c:pt idx="34">
                  <c:v>7.11</c:v>
                </c:pt>
                <c:pt idx="35">
                  <c:v>7.24</c:v>
                </c:pt>
                <c:pt idx="36">
                  <c:v>7.27</c:v>
                </c:pt>
                <c:pt idx="37">
                  <c:v>6.68</c:v>
                </c:pt>
                <c:pt idx="38">
                  <c:v>5.37</c:v>
                </c:pt>
                <c:pt idx="39">
                  <c:v>5.31</c:v>
                </c:pt>
                <c:pt idx="40">
                  <c:v>5.54</c:v>
                </c:pt>
                <c:pt idx="41">
                  <c:v>5.79</c:v>
                </c:pt>
                <c:pt idx="42">
                  <c:v>5.53</c:v>
                </c:pt>
                <c:pt idx="43">
                  <c:v>5.25</c:v>
                </c:pt>
                <c:pt idx="44">
                  <c:v>5.3</c:v>
                </c:pt>
                <c:pt idx="45">
                  <c:v>4.71</c:v>
                </c:pt>
                <c:pt idx="46">
                  <c:v>4.49</c:v>
                </c:pt>
                <c:pt idx="47">
                  <c:v>4.9000000000000004</c:v>
                </c:pt>
                <c:pt idx="48">
                  <c:v>5.07</c:v>
                </c:pt>
                <c:pt idx="49">
                  <c:v>4.84</c:v>
                </c:pt>
                <c:pt idx="50">
                  <c:v>4.59</c:v>
                </c:pt>
                <c:pt idx="51">
                  <c:v>4.71</c:v>
                </c:pt>
                <c:pt idx="52">
                  <c:v>4.8</c:v>
                </c:pt>
                <c:pt idx="53">
                  <c:v>4.84</c:v>
                </c:pt>
                <c:pt idx="54">
                  <c:v>4.84</c:v>
                </c:pt>
                <c:pt idx="55">
                  <c:v>4.9000000000000004</c:v>
                </c:pt>
                <c:pt idx="56">
                  <c:v>4.6900000000000004</c:v>
                </c:pt>
                <c:pt idx="57">
                  <c:v>4.76</c:v>
                </c:pt>
                <c:pt idx="58">
                  <c:v>4.67</c:v>
                </c:pt>
                <c:pt idx="59">
                  <c:v>4.6500000000000004</c:v>
                </c:pt>
                <c:pt idx="60">
                  <c:v>4.28</c:v>
                </c:pt>
                <c:pt idx="61">
                  <c:v>4.3899999999999997</c:v>
                </c:pt>
                <c:pt idx="62">
                  <c:v>4.93</c:v>
                </c:pt>
                <c:pt idx="63">
                  <c:v>4.97</c:v>
                </c:pt>
                <c:pt idx="64">
                  <c:v>5.17</c:v>
                </c:pt>
                <c:pt idx="65">
                  <c:v>4.88</c:v>
                </c:pt>
                <c:pt idx="66">
                  <c:v>5.29</c:v>
                </c:pt>
                <c:pt idx="67">
                  <c:v>4.97</c:v>
                </c:pt>
                <c:pt idx="68">
                  <c:v>5.03</c:v>
                </c:pt>
                <c:pt idx="69">
                  <c:v>4.95</c:v>
                </c:pt>
                <c:pt idx="70">
                  <c:v>5.73</c:v>
                </c:pt>
                <c:pt idx="71">
                  <c:v>5.04</c:v>
                </c:pt>
                <c:pt idx="72">
                  <c:v>5.09</c:v>
                </c:pt>
                <c:pt idx="73">
                  <c:v>4.79</c:v>
                </c:pt>
                <c:pt idx="74">
                  <c:v>4.7699999999999996</c:v>
                </c:pt>
                <c:pt idx="75">
                  <c:v>5.23</c:v>
                </c:pt>
                <c:pt idx="76">
                  <c:v>5.08</c:v>
                </c:pt>
                <c:pt idx="77">
                  <c:v>4.9400000000000004</c:v>
                </c:pt>
                <c:pt idx="78">
                  <c:v>4.91</c:v>
                </c:pt>
                <c:pt idx="79">
                  <c:v>4.9400000000000004</c:v>
                </c:pt>
                <c:pt idx="80">
                  <c:v>4.82</c:v>
                </c:pt>
                <c:pt idx="81">
                  <c:v>4.8</c:v>
                </c:pt>
                <c:pt idx="82">
                  <c:v>4.79</c:v>
                </c:pt>
                <c:pt idx="83">
                  <c:v>4.9800000000000004</c:v>
                </c:pt>
                <c:pt idx="84">
                  <c:v>4.72</c:v>
                </c:pt>
                <c:pt idx="85">
                  <c:v>4.8499999999999996</c:v>
                </c:pt>
                <c:pt idx="86">
                  <c:v>4.82</c:v>
                </c:pt>
                <c:pt idx="87">
                  <c:v>5.2</c:v>
                </c:pt>
                <c:pt idx="88">
                  <c:v>5.2</c:v>
                </c:pt>
                <c:pt idx="89">
                  <c:v>5.15</c:v>
                </c:pt>
                <c:pt idx="90">
                  <c:v>5.3</c:v>
                </c:pt>
                <c:pt idx="91">
                  <c:v>5.51</c:v>
                </c:pt>
                <c:pt idx="92">
                  <c:v>5.44</c:v>
                </c:pt>
                <c:pt idx="93">
                  <c:v>5.66</c:v>
                </c:pt>
                <c:pt idx="94">
                  <c:v>5.4</c:v>
                </c:pt>
                <c:pt idx="95">
                  <c:v>5.45</c:v>
                </c:pt>
                <c:pt idx="96">
                  <c:v>5.56</c:v>
                </c:pt>
                <c:pt idx="97">
                  <c:v>5.35</c:v>
                </c:pt>
                <c:pt idx="98">
                  <c:v>5.43</c:v>
                </c:pt>
                <c:pt idx="99">
                  <c:v>5.45</c:v>
                </c:pt>
                <c:pt idx="100">
                  <c:v>5.41</c:v>
                </c:pt>
                <c:pt idx="101">
                  <c:v>5.46</c:v>
                </c:pt>
                <c:pt idx="102">
                  <c:v>5.36</c:v>
                </c:pt>
                <c:pt idx="103">
                  <c:v>5.26</c:v>
                </c:pt>
                <c:pt idx="104">
                  <c:v>5.21</c:v>
                </c:pt>
                <c:pt idx="105">
                  <c:v>5.91</c:v>
                </c:pt>
                <c:pt idx="106">
                  <c:v>5.85</c:v>
                </c:pt>
                <c:pt idx="107">
                  <c:v>5.88</c:v>
                </c:pt>
                <c:pt idx="108">
                  <c:v>5.7</c:v>
                </c:pt>
                <c:pt idx="109">
                  <c:v>5.67</c:v>
                </c:pt>
                <c:pt idx="110">
                  <c:v>5.89</c:v>
                </c:pt>
                <c:pt idx="111">
                  <c:v>6.17</c:v>
                </c:pt>
                <c:pt idx="112">
                  <c:v>6.21</c:v>
                </c:pt>
                <c:pt idx="113">
                  <c:v>6.27</c:v>
                </c:pt>
                <c:pt idx="114">
                  <c:v>6.12</c:v>
                </c:pt>
                <c:pt idx="115">
                  <c:v>6.18</c:v>
                </c:pt>
                <c:pt idx="116">
                  <c:v>6.13</c:v>
                </c:pt>
                <c:pt idx="117">
                  <c:v>6.14</c:v>
                </c:pt>
                <c:pt idx="118">
                  <c:v>6.28</c:v>
                </c:pt>
                <c:pt idx="119">
                  <c:v>6.12</c:v>
                </c:pt>
                <c:pt idx="120">
                  <c:v>6.23</c:v>
                </c:pt>
                <c:pt idx="121">
                  <c:v>5.63</c:v>
                </c:pt>
                <c:pt idx="122">
                  <c:v>5.42</c:v>
                </c:pt>
                <c:pt idx="123">
                  <c:v>5.52</c:v>
                </c:pt>
                <c:pt idx="124">
                  <c:v>5.38</c:v>
                </c:pt>
                <c:pt idx="125">
                  <c:v>5.34</c:v>
                </c:pt>
                <c:pt idx="126">
                  <c:v>5.19</c:v>
                </c:pt>
                <c:pt idx="127">
                  <c:v>5.0999999999999996</c:v>
                </c:pt>
                <c:pt idx="128">
                  <c:v>4.9000000000000004</c:v>
                </c:pt>
                <c:pt idx="129">
                  <c:v>4.8099999999999996</c:v>
                </c:pt>
                <c:pt idx="130">
                  <c:v>4.66</c:v>
                </c:pt>
                <c:pt idx="131">
                  <c:v>4.76</c:v>
                </c:pt>
                <c:pt idx="132">
                  <c:v>4.6900000000000004</c:v>
                </c:pt>
                <c:pt idx="133">
                  <c:v>4.6100000000000003</c:v>
                </c:pt>
                <c:pt idx="134">
                  <c:v>4.58</c:v>
                </c:pt>
                <c:pt idx="135">
                  <c:v>4.5999999999999996</c:v>
                </c:pt>
                <c:pt idx="136">
                  <c:v>4.5</c:v>
                </c:pt>
                <c:pt idx="137">
                  <c:v>4.7</c:v>
                </c:pt>
                <c:pt idx="138">
                  <c:v>4.59</c:v>
                </c:pt>
                <c:pt idx="139">
                  <c:v>4.76</c:v>
                </c:pt>
                <c:pt idx="140">
                  <c:v>4.58</c:v>
                </c:pt>
                <c:pt idx="141">
                  <c:v>4.32</c:v>
                </c:pt>
                <c:pt idx="142">
                  <c:v>4.59</c:v>
                </c:pt>
                <c:pt idx="143">
                  <c:v>4.58</c:v>
                </c:pt>
                <c:pt idx="144">
                  <c:v>4.42</c:v>
                </c:pt>
                <c:pt idx="145">
                  <c:v>4.63</c:v>
                </c:pt>
                <c:pt idx="146">
                  <c:v>4.6399999999999997</c:v>
                </c:pt>
                <c:pt idx="147">
                  <c:v>4.53</c:v>
                </c:pt>
                <c:pt idx="148">
                  <c:v>4.41</c:v>
                </c:pt>
                <c:pt idx="149">
                  <c:v>4.58</c:v>
                </c:pt>
                <c:pt idx="150">
                  <c:v>4.71</c:v>
                </c:pt>
                <c:pt idx="151">
                  <c:v>4.75</c:v>
                </c:pt>
                <c:pt idx="152">
                  <c:v>4.7699999999999996</c:v>
                </c:pt>
                <c:pt idx="153">
                  <c:v>4.55</c:v>
                </c:pt>
                <c:pt idx="154">
                  <c:v>4.32</c:v>
                </c:pt>
                <c:pt idx="155">
                  <c:v>4.33</c:v>
                </c:pt>
                <c:pt idx="156">
                  <c:v>4.34</c:v>
                </c:pt>
                <c:pt idx="157">
                  <c:v>4.09</c:v>
                </c:pt>
                <c:pt idx="158">
                  <c:v>4.1900000000000004</c:v>
                </c:pt>
                <c:pt idx="159">
                  <c:v>4.1100000000000003</c:v>
                </c:pt>
                <c:pt idx="160">
                  <c:v>3.98</c:v>
                </c:pt>
                <c:pt idx="161">
                  <c:v>3.9</c:v>
                </c:pt>
                <c:pt idx="162">
                  <c:v>3.9</c:v>
                </c:pt>
                <c:pt idx="163">
                  <c:v>3.84</c:v>
                </c:pt>
                <c:pt idx="164">
                  <c:v>3.86</c:v>
                </c:pt>
                <c:pt idx="165">
                  <c:v>3.81</c:v>
                </c:pt>
                <c:pt idx="166">
                  <c:v>4.55</c:v>
                </c:pt>
                <c:pt idx="167">
                  <c:v>3.69</c:v>
                </c:pt>
                <c:pt idx="168">
                  <c:v>3.58</c:v>
                </c:pt>
                <c:pt idx="169">
                  <c:v>3.52</c:v>
                </c:pt>
                <c:pt idx="170">
                  <c:v>3.43</c:v>
                </c:pt>
              </c:numCache>
            </c:numRef>
          </c:val>
          <c:smooth val="0"/>
        </c:ser>
        <c:dLbls>
          <c:showLegendKey val="0"/>
          <c:showVal val="0"/>
          <c:showCatName val="0"/>
          <c:showSerName val="0"/>
          <c:showPercent val="0"/>
          <c:showBubbleSize val="0"/>
        </c:dLbls>
        <c:marker val="1"/>
        <c:smooth val="0"/>
        <c:axId val="612276480"/>
        <c:axId val="612294656"/>
      </c:lineChart>
      <c:catAx>
        <c:axId val="612276480"/>
        <c:scaling>
          <c:orientation val="minMax"/>
        </c:scaling>
        <c:delete val="0"/>
        <c:axPos val="b"/>
        <c:majorTickMark val="out"/>
        <c:minorTickMark val="none"/>
        <c:tickLblPos val="nextTo"/>
        <c:crossAx val="612294656"/>
        <c:crosses val="autoZero"/>
        <c:auto val="1"/>
        <c:lblAlgn val="ctr"/>
        <c:lblOffset val="100"/>
        <c:noMultiLvlLbl val="0"/>
      </c:catAx>
      <c:valAx>
        <c:axId val="612294656"/>
        <c:scaling>
          <c:orientation val="minMax"/>
        </c:scaling>
        <c:delete val="0"/>
        <c:axPos val="l"/>
        <c:majorGridlines/>
        <c:numFmt formatCode="0.00" sourceLinked="1"/>
        <c:majorTickMark val="out"/>
        <c:minorTickMark val="none"/>
        <c:tickLblPos val="nextTo"/>
        <c:crossAx val="612276480"/>
        <c:crosses val="autoZero"/>
        <c:crossBetween val="between"/>
      </c:valAx>
    </c:plotArea>
    <c:legend>
      <c:legendPos val="b"/>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B0DDCE3-9E6A-42A7-B245-62290185DEC9}" type="doc">
      <dgm:prSet loTypeId="urn:microsoft.com/office/officeart/2005/8/layout/orgChart1" loCatId="hierarchy" qsTypeId="urn:microsoft.com/office/officeart/2005/8/quickstyle/simple1" qsCatId="simple" csTypeId="urn:microsoft.com/office/officeart/2005/8/colors/accent1_2" csCatId="accent1" phldr="1"/>
      <dgm:spPr/>
    </dgm:pt>
    <dgm:pt modelId="{676F3F09-E2F3-45D8-97D3-6D98E88B3C73}">
      <dgm:prSet custT="1"/>
      <dgm:spPr/>
      <dgm:t>
        <a:bodyPr/>
        <a:lstStyle/>
        <a:p>
          <a:pPr marR="0" algn="ctr" rtl="0"/>
          <a:r>
            <a:rPr lang="hr-HR" sz="1200" b="0" i="0" u="none" strike="noStrike" baseline="0" smtClean="0">
              <a:latin typeface="Calibri"/>
            </a:rPr>
            <a:t>FAZE PLANIRANJA OSOBNIH FINANCIJA</a:t>
          </a:r>
          <a:endParaRPr lang="hr-HR" sz="1200" smtClean="0"/>
        </a:p>
      </dgm:t>
    </dgm:pt>
    <dgm:pt modelId="{36855FE5-C979-4D56-9590-D0CD2572939E}" type="parTrans" cxnId="{1D26D3BB-952E-416D-B058-4911B10F3FAA}">
      <dgm:prSet/>
      <dgm:spPr/>
      <dgm:t>
        <a:bodyPr/>
        <a:lstStyle/>
        <a:p>
          <a:endParaRPr lang="hr-HR"/>
        </a:p>
      </dgm:t>
    </dgm:pt>
    <dgm:pt modelId="{8E71950E-E625-4083-A836-F467C9551166}" type="sibTrans" cxnId="{1D26D3BB-952E-416D-B058-4911B10F3FAA}">
      <dgm:prSet/>
      <dgm:spPr/>
      <dgm:t>
        <a:bodyPr/>
        <a:lstStyle/>
        <a:p>
          <a:endParaRPr lang="hr-HR"/>
        </a:p>
      </dgm:t>
    </dgm:pt>
    <dgm:pt modelId="{E49B1B7B-8A66-4135-93D1-F1617103396F}">
      <dgm:prSet custT="1"/>
      <dgm:spPr/>
      <dgm:t>
        <a:bodyPr/>
        <a:lstStyle/>
        <a:p>
          <a:pPr marR="0" algn="just" rtl="0">
            <a:buFont typeface="TimesNewRoman"/>
            <a:buNone/>
          </a:pPr>
          <a:r>
            <a:rPr lang="hr-HR" sz="1200" b="0" i="0" u="none" strike="noStrike" baseline="0" smtClean="0">
              <a:latin typeface="TimesNewRoman"/>
            </a:rPr>
            <a:t> 1. </a:t>
          </a:r>
          <a:r>
            <a:rPr lang="vi-VN" sz="1400" b="0" i="0" u="none" strike="noStrike" baseline="0" smtClean="0">
              <a:latin typeface="Calibri" panose="020F0502020204030204" pitchFamily="34" charset="0"/>
            </a:rPr>
            <a:t>određivanje trenutne financijske situacije </a:t>
          </a:r>
        </a:p>
      </dgm:t>
    </dgm:pt>
    <dgm:pt modelId="{979E4E2B-4857-470A-BB77-1FDB0187C078}" type="parTrans" cxnId="{B94D3F68-6AFE-4396-9D1B-DEE96B18954A}">
      <dgm:prSet/>
      <dgm:spPr/>
      <dgm:t>
        <a:bodyPr/>
        <a:lstStyle/>
        <a:p>
          <a:endParaRPr lang="hr-HR"/>
        </a:p>
      </dgm:t>
    </dgm:pt>
    <dgm:pt modelId="{0859C2AF-E93B-4C90-A670-6620F3ED987C}" type="sibTrans" cxnId="{B94D3F68-6AFE-4396-9D1B-DEE96B18954A}">
      <dgm:prSet/>
      <dgm:spPr/>
      <dgm:t>
        <a:bodyPr/>
        <a:lstStyle/>
        <a:p>
          <a:endParaRPr lang="hr-HR"/>
        </a:p>
      </dgm:t>
    </dgm:pt>
    <dgm:pt modelId="{208E05D0-2B39-4B25-AC55-08CDAF9D2EDE}">
      <dgm:prSet custT="1"/>
      <dgm:spPr/>
      <dgm:t>
        <a:bodyPr/>
        <a:lstStyle/>
        <a:p>
          <a:pPr marR="0" algn="just" rtl="0">
            <a:buFont typeface="TimesNewRoman"/>
            <a:buNone/>
          </a:pPr>
          <a:r>
            <a:rPr lang="hr-HR" sz="1200" b="0" i="0" u="none" strike="noStrike" baseline="0" smtClean="0">
              <a:latin typeface="TimesNewRoman"/>
            </a:rPr>
            <a:t> 2. </a:t>
          </a:r>
          <a:r>
            <a:rPr lang="vi-VN" sz="1400" b="0" i="0" u="none" strike="noStrike" baseline="0" smtClean="0">
              <a:latin typeface="Calibri" panose="020F0502020204030204" pitchFamily="34" charset="0"/>
            </a:rPr>
            <a:t>određivanje financijskih ciljeva</a:t>
          </a:r>
        </a:p>
      </dgm:t>
    </dgm:pt>
    <dgm:pt modelId="{F1DF492F-4435-43D4-B972-95E3B620FD10}" type="parTrans" cxnId="{CDF261AB-D9B4-4967-AE3B-80B23CCAECA7}">
      <dgm:prSet/>
      <dgm:spPr/>
      <dgm:t>
        <a:bodyPr/>
        <a:lstStyle/>
        <a:p>
          <a:endParaRPr lang="hr-HR"/>
        </a:p>
      </dgm:t>
    </dgm:pt>
    <dgm:pt modelId="{C8BF5ECB-63FE-4FE1-86FE-6BD0E281ED42}" type="sibTrans" cxnId="{CDF261AB-D9B4-4967-AE3B-80B23CCAECA7}">
      <dgm:prSet/>
      <dgm:spPr/>
      <dgm:t>
        <a:bodyPr/>
        <a:lstStyle/>
        <a:p>
          <a:endParaRPr lang="hr-HR"/>
        </a:p>
      </dgm:t>
    </dgm:pt>
    <dgm:pt modelId="{7F38AD6E-370C-4B68-A70A-E74DA36C719C}">
      <dgm:prSet custT="1"/>
      <dgm:spPr/>
      <dgm:t>
        <a:bodyPr/>
        <a:lstStyle/>
        <a:p>
          <a:pPr marR="0" algn="just" rtl="0">
            <a:buFont typeface="TimesNewRoman"/>
            <a:buNone/>
          </a:pPr>
          <a:r>
            <a:rPr lang="hr-HR" sz="1400" b="0" i="0" u="none" strike="noStrike" baseline="0" smtClean="0">
              <a:latin typeface="+mn-lt"/>
            </a:rPr>
            <a:t> 3. identificiranje alternativa postizanja cilja</a:t>
          </a:r>
        </a:p>
      </dgm:t>
    </dgm:pt>
    <dgm:pt modelId="{67508E70-ED0F-49E8-8470-7D4A387D6223}" type="parTrans" cxnId="{2C5D3456-9FF3-4EFF-BD30-B135039E3C3C}">
      <dgm:prSet/>
      <dgm:spPr/>
      <dgm:t>
        <a:bodyPr/>
        <a:lstStyle/>
        <a:p>
          <a:endParaRPr lang="hr-HR"/>
        </a:p>
      </dgm:t>
    </dgm:pt>
    <dgm:pt modelId="{994C69B0-D4DA-41FF-92A1-58C65374B752}" type="sibTrans" cxnId="{2C5D3456-9FF3-4EFF-BD30-B135039E3C3C}">
      <dgm:prSet/>
      <dgm:spPr/>
      <dgm:t>
        <a:bodyPr/>
        <a:lstStyle/>
        <a:p>
          <a:endParaRPr lang="hr-HR"/>
        </a:p>
      </dgm:t>
    </dgm:pt>
    <dgm:pt modelId="{92165B57-7A77-4C25-93B2-A7E139767141}">
      <dgm:prSet custT="1"/>
      <dgm:spPr/>
      <dgm:t>
        <a:bodyPr/>
        <a:lstStyle/>
        <a:p>
          <a:pPr marR="0" algn="just" rtl="0">
            <a:buFont typeface="TimesNewRoman"/>
            <a:buNone/>
          </a:pPr>
          <a:r>
            <a:rPr lang="hr-HR" sz="1400" b="0" i="0" u="none" strike="noStrike" baseline="0" smtClean="0">
              <a:latin typeface="Calibri" panose="020F0502020204030204" pitchFamily="34" charset="0"/>
            </a:rPr>
            <a:t> 4. vrednovanje alternativa</a:t>
          </a:r>
        </a:p>
      </dgm:t>
    </dgm:pt>
    <dgm:pt modelId="{CB0D3415-DD16-4B80-84DC-95A20A4D488A}" type="parTrans" cxnId="{FFCA5944-CA10-40A3-88DA-3D4C018D2554}">
      <dgm:prSet/>
      <dgm:spPr/>
      <dgm:t>
        <a:bodyPr/>
        <a:lstStyle/>
        <a:p>
          <a:endParaRPr lang="hr-HR"/>
        </a:p>
      </dgm:t>
    </dgm:pt>
    <dgm:pt modelId="{E2570976-1C10-439A-A6E6-07091A080598}" type="sibTrans" cxnId="{FFCA5944-CA10-40A3-88DA-3D4C018D2554}">
      <dgm:prSet/>
      <dgm:spPr/>
      <dgm:t>
        <a:bodyPr/>
        <a:lstStyle/>
        <a:p>
          <a:endParaRPr lang="hr-HR"/>
        </a:p>
      </dgm:t>
    </dgm:pt>
    <dgm:pt modelId="{1CBB21CF-B425-409F-9A38-55F95F24B7C0}">
      <dgm:prSet custT="1"/>
      <dgm:spPr/>
      <dgm:t>
        <a:bodyPr/>
        <a:lstStyle/>
        <a:p>
          <a:pPr marR="0" algn="just" rtl="0">
            <a:buFont typeface="TimesNewRoman"/>
            <a:buNone/>
          </a:pPr>
          <a:r>
            <a:rPr lang="hr-HR" sz="1400" b="0" i="0" u="none" strike="noStrike" baseline="0" smtClean="0">
              <a:latin typeface="Calibri" panose="020F0502020204030204" pitchFamily="34" charset="0"/>
            </a:rPr>
            <a:t> 5. izrada i implementacija plana financijskih aktivnosti</a:t>
          </a:r>
        </a:p>
      </dgm:t>
    </dgm:pt>
    <dgm:pt modelId="{19F53073-5068-4BE1-9AE2-1A81EC411FFC}" type="parTrans" cxnId="{600BA317-835F-4D63-B1C4-76A54EEDF1EB}">
      <dgm:prSet/>
      <dgm:spPr/>
      <dgm:t>
        <a:bodyPr/>
        <a:lstStyle/>
        <a:p>
          <a:endParaRPr lang="hr-HR"/>
        </a:p>
      </dgm:t>
    </dgm:pt>
    <dgm:pt modelId="{618E8581-6003-43DB-827F-C51BEB303CCA}" type="sibTrans" cxnId="{600BA317-835F-4D63-B1C4-76A54EEDF1EB}">
      <dgm:prSet/>
      <dgm:spPr/>
      <dgm:t>
        <a:bodyPr/>
        <a:lstStyle/>
        <a:p>
          <a:endParaRPr lang="hr-HR"/>
        </a:p>
      </dgm:t>
    </dgm:pt>
    <dgm:pt modelId="{E3151B0C-B3A1-4A9F-9AD2-EC37C81F87BD}">
      <dgm:prSet custT="1"/>
      <dgm:spPr/>
      <dgm:t>
        <a:bodyPr/>
        <a:lstStyle/>
        <a:p>
          <a:pPr marR="0" algn="l" rtl="0">
            <a:spcAft>
              <a:spcPts val="0"/>
            </a:spcAft>
            <a:buFont typeface="TimesNewRoman"/>
            <a:buNone/>
          </a:pPr>
          <a:r>
            <a:rPr lang="hr-HR" sz="1400" b="0" i="0" u="none" strike="noStrike" baseline="0" smtClean="0">
              <a:latin typeface="Calibri" panose="020F0502020204030204" pitchFamily="34" charset="0"/>
            </a:rPr>
            <a:t> 6. provjera dinamike i ispunjenja ciljeva te recenzija i revizija plana</a:t>
          </a:r>
          <a:endParaRPr lang="hr-HR" sz="1400" smtClean="0">
            <a:latin typeface="Calibri" panose="020F0502020204030204" pitchFamily="34" charset="0"/>
          </a:endParaRPr>
        </a:p>
      </dgm:t>
    </dgm:pt>
    <dgm:pt modelId="{3BFA5941-4C00-4C21-B2CD-794D55302D8D}" type="parTrans" cxnId="{68F9132A-6953-4483-BD40-CB8CCD34FE81}">
      <dgm:prSet/>
      <dgm:spPr/>
      <dgm:t>
        <a:bodyPr/>
        <a:lstStyle/>
        <a:p>
          <a:endParaRPr lang="hr-HR"/>
        </a:p>
      </dgm:t>
    </dgm:pt>
    <dgm:pt modelId="{22CC7F49-45A0-4C50-B9E8-8BB23B4FF3D5}" type="sibTrans" cxnId="{68F9132A-6953-4483-BD40-CB8CCD34FE81}">
      <dgm:prSet/>
      <dgm:spPr/>
      <dgm:t>
        <a:bodyPr/>
        <a:lstStyle/>
        <a:p>
          <a:endParaRPr lang="hr-HR"/>
        </a:p>
      </dgm:t>
    </dgm:pt>
    <dgm:pt modelId="{F2635BD4-30A3-4228-B2C2-44F4F16B6727}" type="pres">
      <dgm:prSet presAssocID="{DB0DDCE3-9E6A-42A7-B245-62290185DEC9}" presName="hierChild1" presStyleCnt="0">
        <dgm:presLayoutVars>
          <dgm:orgChart val="1"/>
          <dgm:chPref val="1"/>
          <dgm:dir/>
          <dgm:animOne val="branch"/>
          <dgm:animLvl val="lvl"/>
          <dgm:resizeHandles/>
        </dgm:presLayoutVars>
      </dgm:prSet>
      <dgm:spPr/>
    </dgm:pt>
    <dgm:pt modelId="{F935F2D3-89FB-4AB0-918E-D94D224263B1}" type="pres">
      <dgm:prSet presAssocID="{676F3F09-E2F3-45D8-97D3-6D98E88B3C73}" presName="hierRoot1" presStyleCnt="0">
        <dgm:presLayoutVars>
          <dgm:hierBranch val="r"/>
        </dgm:presLayoutVars>
      </dgm:prSet>
      <dgm:spPr/>
    </dgm:pt>
    <dgm:pt modelId="{C558480F-4BE9-407F-AD74-664AA0CE6B0F}" type="pres">
      <dgm:prSet presAssocID="{676F3F09-E2F3-45D8-97D3-6D98E88B3C73}" presName="rootComposite1" presStyleCnt="0"/>
      <dgm:spPr/>
    </dgm:pt>
    <dgm:pt modelId="{9F56880C-032C-4BF3-91E2-BD103D6DA661}" type="pres">
      <dgm:prSet presAssocID="{676F3F09-E2F3-45D8-97D3-6D98E88B3C73}" presName="rootText1" presStyleLbl="node0" presStyleIdx="0" presStyleCnt="1" custScaleX="374779">
        <dgm:presLayoutVars>
          <dgm:chPref val="3"/>
        </dgm:presLayoutVars>
      </dgm:prSet>
      <dgm:spPr/>
      <dgm:t>
        <a:bodyPr/>
        <a:lstStyle/>
        <a:p>
          <a:endParaRPr lang="hr-HR"/>
        </a:p>
      </dgm:t>
    </dgm:pt>
    <dgm:pt modelId="{46B2D50C-FCCB-4EFA-8B34-72AB901DCE5F}" type="pres">
      <dgm:prSet presAssocID="{676F3F09-E2F3-45D8-97D3-6D98E88B3C73}" presName="rootConnector1" presStyleLbl="node1" presStyleIdx="0" presStyleCnt="0"/>
      <dgm:spPr/>
      <dgm:t>
        <a:bodyPr/>
        <a:lstStyle/>
        <a:p>
          <a:endParaRPr lang="hr-HR"/>
        </a:p>
      </dgm:t>
    </dgm:pt>
    <dgm:pt modelId="{D32F9028-CD4C-4375-AD68-CD8C8EF323E6}" type="pres">
      <dgm:prSet presAssocID="{676F3F09-E2F3-45D8-97D3-6D98E88B3C73}" presName="hierChild2" presStyleCnt="0"/>
      <dgm:spPr/>
    </dgm:pt>
    <dgm:pt modelId="{935E774E-D070-4927-B8C0-2275F5619AF9}" type="pres">
      <dgm:prSet presAssocID="{979E4E2B-4857-470A-BB77-1FDB0187C078}" presName="Name50" presStyleLbl="parChTrans1D2" presStyleIdx="0" presStyleCnt="6"/>
      <dgm:spPr/>
      <dgm:t>
        <a:bodyPr/>
        <a:lstStyle/>
        <a:p>
          <a:endParaRPr lang="hr-HR"/>
        </a:p>
      </dgm:t>
    </dgm:pt>
    <dgm:pt modelId="{39992524-5D6E-4325-8190-DBC2BF02285B}" type="pres">
      <dgm:prSet presAssocID="{E49B1B7B-8A66-4135-93D1-F1617103396F}" presName="hierRoot2" presStyleCnt="0">
        <dgm:presLayoutVars>
          <dgm:hierBranch/>
        </dgm:presLayoutVars>
      </dgm:prSet>
      <dgm:spPr/>
    </dgm:pt>
    <dgm:pt modelId="{4745E005-08C5-4ABF-9EC4-A3794FC8359C}" type="pres">
      <dgm:prSet presAssocID="{E49B1B7B-8A66-4135-93D1-F1617103396F}" presName="rootComposite" presStyleCnt="0"/>
      <dgm:spPr/>
    </dgm:pt>
    <dgm:pt modelId="{CA2BC0E6-5ECC-4955-99A5-5D7F07F4A9EE}" type="pres">
      <dgm:prSet presAssocID="{E49B1B7B-8A66-4135-93D1-F1617103396F}" presName="rootText" presStyleLbl="node2" presStyleIdx="0" presStyleCnt="6" custScaleX="512037">
        <dgm:presLayoutVars>
          <dgm:chPref val="3"/>
        </dgm:presLayoutVars>
      </dgm:prSet>
      <dgm:spPr/>
      <dgm:t>
        <a:bodyPr/>
        <a:lstStyle/>
        <a:p>
          <a:endParaRPr lang="hr-HR"/>
        </a:p>
      </dgm:t>
    </dgm:pt>
    <dgm:pt modelId="{DCC91DFF-1E78-4F5D-A87C-6E1CBB57B487}" type="pres">
      <dgm:prSet presAssocID="{E49B1B7B-8A66-4135-93D1-F1617103396F}" presName="rootConnector" presStyleLbl="node2" presStyleIdx="0" presStyleCnt="6"/>
      <dgm:spPr/>
      <dgm:t>
        <a:bodyPr/>
        <a:lstStyle/>
        <a:p>
          <a:endParaRPr lang="hr-HR"/>
        </a:p>
      </dgm:t>
    </dgm:pt>
    <dgm:pt modelId="{99B68D0B-7EBD-4BC1-87EB-78DC24AE93B1}" type="pres">
      <dgm:prSet presAssocID="{E49B1B7B-8A66-4135-93D1-F1617103396F}" presName="hierChild4" presStyleCnt="0"/>
      <dgm:spPr/>
    </dgm:pt>
    <dgm:pt modelId="{8EE7902B-BCE8-4D10-A747-4F4763AB8D7E}" type="pres">
      <dgm:prSet presAssocID="{E49B1B7B-8A66-4135-93D1-F1617103396F}" presName="hierChild5" presStyleCnt="0"/>
      <dgm:spPr/>
    </dgm:pt>
    <dgm:pt modelId="{CC1C023D-0415-4FA5-AD37-70B07FC3F4FA}" type="pres">
      <dgm:prSet presAssocID="{F1DF492F-4435-43D4-B972-95E3B620FD10}" presName="Name50" presStyleLbl="parChTrans1D2" presStyleIdx="1" presStyleCnt="6"/>
      <dgm:spPr/>
      <dgm:t>
        <a:bodyPr/>
        <a:lstStyle/>
        <a:p>
          <a:endParaRPr lang="hr-HR"/>
        </a:p>
      </dgm:t>
    </dgm:pt>
    <dgm:pt modelId="{E1C3A335-EC79-4D76-8016-FC1D01FF6728}" type="pres">
      <dgm:prSet presAssocID="{208E05D0-2B39-4B25-AC55-08CDAF9D2EDE}" presName="hierRoot2" presStyleCnt="0">
        <dgm:presLayoutVars>
          <dgm:hierBranch/>
        </dgm:presLayoutVars>
      </dgm:prSet>
      <dgm:spPr/>
    </dgm:pt>
    <dgm:pt modelId="{D5164CD2-5741-4CBE-ACDA-E6CBA53FC7AF}" type="pres">
      <dgm:prSet presAssocID="{208E05D0-2B39-4B25-AC55-08CDAF9D2EDE}" presName="rootComposite" presStyleCnt="0"/>
      <dgm:spPr/>
    </dgm:pt>
    <dgm:pt modelId="{16046FF5-3F1A-44C8-BFA5-6309CFF9C6EB}" type="pres">
      <dgm:prSet presAssocID="{208E05D0-2B39-4B25-AC55-08CDAF9D2EDE}" presName="rootText" presStyleLbl="node2" presStyleIdx="1" presStyleCnt="6" custScaleX="414914">
        <dgm:presLayoutVars>
          <dgm:chPref val="3"/>
        </dgm:presLayoutVars>
      </dgm:prSet>
      <dgm:spPr/>
      <dgm:t>
        <a:bodyPr/>
        <a:lstStyle/>
        <a:p>
          <a:endParaRPr lang="hr-HR"/>
        </a:p>
      </dgm:t>
    </dgm:pt>
    <dgm:pt modelId="{211EB2C8-7499-493E-9D48-5B1EDB733C4A}" type="pres">
      <dgm:prSet presAssocID="{208E05D0-2B39-4B25-AC55-08CDAF9D2EDE}" presName="rootConnector" presStyleLbl="node2" presStyleIdx="1" presStyleCnt="6"/>
      <dgm:spPr/>
      <dgm:t>
        <a:bodyPr/>
        <a:lstStyle/>
        <a:p>
          <a:endParaRPr lang="hr-HR"/>
        </a:p>
      </dgm:t>
    </dgm:pt>
    <dgm:pt modelId="{151EA694-61A4-4BD5-A6FC-0B1D8A2CC1DF}" type="pres">
      <dgm:prSet presAssocID="{208E05D0-2B39-4B25-AC55-08CDAF9D2EDE}" presName="hierChild4" presStyleCnt="0"/>
      <dgm:spPr/>
    </dgm:pt>
    <dgm:pt modelId="{6AA5E0F8-8F93-4231-927B-64A96926630C}" type="pres">
      <dgm:prSet presAssocID="{208E05D0-2B39-4B25-AC55-08CDAF9D2EDE}" presName="hierChild5" presStyleCnt="0"/>
      <dgm:spPr/>
    </dgm:pt>
    <dgm:pt modelId="{116DD145-D0B0-4977-9E1E-8D02BCE43EFF}" type="pres">
      <dgm:prSet presAssocID="{67508E70-ED0F-49E8-8470-7D4A387D6223}" presName="Name50" presStyleLbl="parChTrans1D2" presStyleIdx="2" presStyleCnt="6"/>
      <dgm:spPr/>
      <dgm:t>
        <a:bodyPr/>
        <a:lstStyle/>
        <a:p>
          <a:endParaRPr lang="hr-HR"/>
        </a:p>
      </dgm:t>
    </dgm:pt>
    <dgm:pt modelId="{4252BA7D-B3BF-4681-9504-F91B4B0B9746}" type="pres">
      <dgm:prSet presAssocID="{7F38AD6E-370C-4B68-A70A-E74DA36C719C}" presName="hierRoot2" presStyleCnt="0">
        <dgm:presLayoutVars>
          <dgm:hierBranch/>
        </dgm:presLayoutVars>
      </dgm:prSet>
      <dgm:spPr/>
    </dgm:pt>
    <dgm:pt modelId="{9E75B415-E525-4C68-8BE6-E609488EC129}" type="pres">
      <dgm:prSet presAssocID="{7F38AD6E-370C-4B68-A70A-E74DA36C719C}" presName="rootComposite" presStyleCnt="0"/>
      <dgm:spPr/>
    </dgm:pt>
    <dgm:pt modelId="{991908F5-56C0-42DE-8E1A-067A3170507B}" type="pres">
      <dgm:prSet presAssocID="{7F38AD6E-370C-4B68-A70A-E74DA36C719C}" presName="rootText" presStyleLbl="node2" presStyleIdx="2" presStyleCnt="6" custScaleX="498909">
        <dgm:presLayoutVars>
          <dgm:chPref val="3"/>
        </dgm:presLayoutVars>
      </dgm:prSet>
      <dgm:spPr/>
      <dgm:t>
        <a:bodyPr/>
        <a:lstStyle/>
        <a:p>
          <a:endParaRPr lang="hr-HR"/>
        </a:p>
      </dgm:t>
    </dgm:pt>
    <dgm:pt modelId="{5DE2B9E9-7C83-4EB0-A197-FA27ED2F2CF4}" type="pres">
      <dgm:prSet presAssocID="{7F38AD6E-370C-4B68-A70A-E74DA36C719C}" presName="rootConnector" presStyleLbl="node2" presStyleIdx="2" presStyleCnt="6"/>
      <dgm:spPr/>
      <dgm:t>
        <a:bodyPr/>
        <a:lstStyle/>
        <a:p>
          <a:endParaRPr lang="hr-HR"/>
        </a:p>
      </dgm:t>
    </dgm:pt>
    <dgm:pt modelId="{4989E39B-62A2-4E99-B16B-DA390D74944C}" type="pres">
      <dgm:prSet presAssocID="{7F38AD6E-370C-4B68-A70A-E74DA36C719C}" presName="hierChild4" presStyleCnt="0"/>
      <dgm:spPr/>
    </dgm:pt>
    <dgm:pt modelId="{B530F718-AB12-493A-B85E-21F5FED653D4}" type="pres">
      <dgm:prSet presAssocID="{7F38AD6E-370C-4B68-A70A-E74DA36C719C}" presName="hierChild5" presStyleCnt="0"/>
      <dgm:spPr/>
    </dgm:pt>
    <dgm:pt modelId="{513AE26A-F850-4EAA-8979-A0F54BFD61D4}" type="pres">
      <dgm:prSet presAssocID="{CB0D3415-DD16-4B80-84DC-95A20A4D488A}" presName="Name50" presStyleLbl="parChTrans1D2" presStyleIdx="3" presStyleCnt="6"/>
      <dgm:spPr/>
      <dgm:t>
        <a:bodyPr/>
        <a:lstStyle/>
        <a:p>
          <a:endParaRPr lang="hr-HR"/>
        </a:p>
      </dgm:t>
    </dgm:pt>
    <dgm:pt modelId="{C1438FB5-54D8-4931-8A3A-25078BC39D8E}" type="pres">
      <dgm:prSet presAssocID="{92165B57-7A77-4C25-93B2-A7E139767141}" presName="hierRoot2" presStyleCnt="0">
        <dgm:presLayoutVars>
          <dgm:hierBranch/>
        </dgm:presLayoutVars>
      </dgm:prSet>
      <dgm:spPr/>
    </dgm:pt>
    <dgm:pt modelId="{E2D45B57-1694-4A1C-82CE-E50C54A71346}" type="pres">
      <dgm:prSet presAssocID="{92165B57-7A77-4C25-93B2-A7E139767141}" presName="rootComposite" presStyleCnt="0"/>
      <dgm:spPr/>
    </dgm:pt>
    <dgm:pt modelId="{A42CABA3-1A3F-4A5F-94DC-3B9BA653819D}" type="pres">
      <dgm:prSet presAssocID="{92165B57-7A77-4C25-93B2-A7E139767141}" presName="rootText" presStyleLbl="node2" presStyleIdx="3" presStyleCnt="6" custScaleX="304682">
        <dgm:presLayoutVars>
          <dgm:chPref val="3"/>
        </dgm:presLayoutVars>
      </dgm:prSet>
      <dgm:spPr/>
      <dgm:t>
        <a:bodyPr/>
        <a:lstStyle/>
        <a:p>
          <a:endParaRPr lang="hr-HR"/>
        </a:p>
      </dgm:t>
    </dgm:pt>
    <dgm:pt modelId="{3E88B40C-ED6C-42A3-904E-B0FC739F57DF}" type="pres">
      <dgm:prSet presAssocID="{92165B57-7A77-4C25-93B2-A7E139767141}" presName="rootConnector" presStyleLbl="node2" presStyleIdx="3" presStyleCnt="6"/>
      <dgm:spPr/>
      <dgm:t>
        <a:bodyPr/>
        <a:lstStyle/>
        <a:p>
          <a:endParaRPr lang="hr-HR"/>
        </a:p>
      </dgm:t>
    </dgm:pt>
    <dgm:pt modelId="{5D9F1EEF-A6C7-4E26-8E10-064185552060}" type="pres">
      <dgm:prSet presAssocID="{92165B57-7A77-4C25-93B2-A7E139767141}" presName="hierChild4" presStyleCnt="0"/>
      <dgm:spPr/>
    </dgm:pt>
    <dgm:pt modelId="{A7A0D6BF-6F25-457C-AD7D-E98DBAE4FD30}" type="pres">
      <dgm:prSet presAssocID="{92165B57-7A77-4C25-93B2-A7E139767141}" presName="hierChild5" presStyleCnt="0"/>
      <dgm:spPr/>
    </dgm:pt>
    <dgm:pt modelId="{8D6171D9-86C0-4D7E-8E5F-57C9B24FC94B}" type="pres">
      <dgm:prSet presAssocID="{19F53073-5068-4BE1-9AE2-1A81EC411FFC}" presName="Name50" presStyleLbl="parChTrans1D2" presStyleIdx="4" presStyleCnt="6"/>
      <dgm:spPr/>
      <dgm:t>
        <a:bodyPr/>
        <a:lstStyle/>
        <a:p>
          <a:endParaRPr lang="hr-HR"/>
        </a:p>
      </dgm:t>
    </dgm:pt>
    <dgm:pt modelId="{0BF94185-08D6-4DF6-B438-F06C327701F5}" type="pres">
      <dgm:prSet presAssocID="{1CBB21CF-B425-409F-9A38-55F95F24B7C0}" presName="hierRoot2" presStyleCnt="0">
        <dgm:presLayoutVars>
          <dgm:hierBranch/>
        </dgm:presLayoutVars>
      </dgm:prSet>
      <dgm:spPr/>
    </dgm:pt>
    <dgm:pt modelId="{4670BCCD-CDB4-4C2A-906E-323A5C4F1DA6}" type="pres">
      <dgm:prSet presAssocID="{1CBB21CF-B425-409F-9A38-55F95F24B7C0}" presName="rootComposite" presStyleCnt="0"/>
      <dgm:spPr/>
    </dgm:pt>
    <dgm:pt modelId="{97A52BFC-6E13-442A-8E54-5ABEB0F81EC7}" type="pres">
      <dgm:prSet presAssocID="{1CBB21CF-B425-409F-9A38-55F95F24B7C0}" presName="rootText" presStyleLbl="node2" presStyleIdx="4" presStyleCnt="6" custScaleX="639964">
        <dgm:presLayoutVars>
          <dgm:chPref val="3"/>
        </dgm:presLayoutVars>
      </dgm:prSet>
      <dgm:spPr/>
      <dgm:t>
        <a:bodyPr/>
        <a:lstStyle/>
        <a:p>
          <a:endParaRPr lang="hr-HR"/>
        </a:p>
      </dgm:t>
    </dgm:pt>
    <dgm:pt modelId="{58DD465D-8B45-4043-B686-56A79ED0C139}" type="pres">
      <dgm:prSet presAssocID="{1CBB21CF-B425-409F-9A38-55F95F24B7C0}" presName="rootConnector" presStyleLbl="node2" presStyleIdx="4" presStyleCnt="6"/>
      <dgm:spPr/>
      <dgm:t>
        <a:bodyPr/>
        <a:lstStyle/>
        <a:p>
          <a:endParaRPr lang="hr-HR"/>
        </a:p>
      </dgm:t>
    </dgm:pt>
    <dgm:pt modelId="{BC1C56A5-5629-49DE-8941-11F62EFB5716}" type="pres">
      <dgm:prSet presAssocID="{1CBB21CF-B425-409F-9A38-55F95F24B7C0}" presName="hierChild4" presStyleCnt="0"/>
      <dgm:spPr/>
    </dgm:pt>
    <dgm:pt modelId="{5BA839A3-4984-46FA-BEE0-0CFB571A0D09}" type="pres">
      <dgm:prSet presAssocID="{1CBB21CF-B425-409F-9A38-55F95F24B7C0}" presName="hierChild5" presStyleCnt="0"/>
      <dgm:spPr/>
    </dgm:pt>
    <dgm:pt modelId="{E4DF8EC5-9340-4829-B42E-FCDC945B5259}" type="pres">
      <dgm:prSet presAssocID="{3BFA5941-4C00-4C21-B2CD-794D55302D8D}" presName="Name50" presStyleLbl="parChTrans1D2" presStyleIdx="5" presStyleCnt="6"/>
      <dgm:spPr/>
      <dgm:t>
        <a:bodyPr/>
        <a:lstStyle/>
        <a:p>
          <a:endParaRPr lang="hr-HR"/>
        </a:p>
      </dgm:t>
    </dgm:pt>
    <dgm:pt modelId="{6B9FC14F-35B9-41F8-BC1D-A1731B650AA0}" type="pres">
      <dgm:prSet presAssocID="{E3151B0C-B3A1-4A9F-9AD2-EC37C81F87BD}" presName="hierRoot2" presStyleCnt="0">
        <dgm:presLayoutVars>
          <dgm:hierBranch/>
        </dgm:presLayoutVars>
      </dgm:prSet>
      <dgm:spPr/>
    </dgm:pt>
    <dgm:pt modelId="{04FBFB37-FA29-4E57-A9B4-9E9EBDE4B795}" type="pres">
      <dgm:prSet presAssocID="{E3151B0C-B3A1-4A9F-9AD2-EC37C81F87BD}" presName="rootComposite" presStyleCnt="0"/>
      <dgm:spPr/>
    </dgm:pt>
    <dgm:pt modelId="{3B0BC59C-6937-4187-8E6F-A2204FF41991}" type="pres">
      <dgm:prSet presAssocID="{E3151B0C-B3A1-4A9F-9AD2-EC37C81F87BD}" presName="rootText" presStyleLbl="node2" presStyleIdx="5" presStyleCnt="6" custScaleX="523238">
        <dgm:presLayoutVars>
          <dgm:chPref val="3"/>
        </dgm:presLayoutVars>
      </dgm:prSet>
      <dgm:spPr/>
      <dgm:t>
        <a:bodyPr/>
        <a:lstStyle/>
        <a:p>
          <a:endParaRPr lang="hr-HR"/>
        </a:p>
      </dgm:t>
    </dgm:pt>
    <dgm:pt modelId="{6F3D5642-C277-4BFF-8586-61769ABA0B4F}" type="pres">
      <dgm:prSet presAssocID="{E3151B0C-B3A1-4A9F-9AD2-EC37C81F87BD}" presName="rootConnector" presStyleLbl="node2" presStyleIdx="5" presStyleCnt="6"/>
      <dgm:spPr/>
      <dgm:t>
        <a:bodyPr/>
        <a:lstStyle/>
        <a:p>
          <a:endParaRPr lang="hr-HR"/>
        </a:p>
      </dgm:t>
    </dgm:pt>
    <dgm:pt modelId="{8932F63B-88B7-4B86-8FB5-3D4684C9A1C4}" type="pres">
      <dgm:prSet presAssocID="{E3151B0C-B3A1-4A9F-9AD2-EC37C81F87BD}" presName="hierChild4" presStyleCnt="0"/>
      <dgm:spPr/>
    </dgm:pt>
    <dgm:pt modelId="{6060A592-7DB4-4564-BCD6-970E9DC033DE}" type="pres">
      <dgm:prSet presAssocID="{E3151B0C-B3A1-4A9F-9AD2-EC37C81F87BD}" presName="hierChild5" presStyleCnt="0"/>
      <dgm:spPr/>
    </dgm:pt>
    <dgm:pt modelId="{E7FF3303-9D18-4679-8836-ED3CE99EDA6A}" type="pres">
      <dgm:prSet presAssocID="{676F3F09-E2F3-45D8-97D3-6D98E88B3C73}" presName="hierChild3" presStyleCnt="0"/>
      <dgm:spPr/>
    </dgm:pt>
  </dgm:ptLst>
  <dgm:cxnLst>
    <dgm:cxn modelId="{600BA317-835F-4D63-B1C4-76A54EEDF1EB}" srcId="{676F3F09-E2F3-45D8-97D3-6D98E88B3C73}" destId="{1CBB21CF-B425-409F-9A38-55F95F24B7C0}" srcOrd="4" destOrd="0" parTransId="{19F53073-5068-4BE1-9AE2-1A81EC411FFC}" sibTransId="{618E8581-6003-43DB-827F-C51BEB303CCA}"/>
    <dgm:cxn modelId="{84E50E00-EFB3-4E0E-AE66-A8FFB1A67AF4}" type="presOf" srcId="{CB0D3415-DD16-4B80-84DC-95A20A4D488A}" destId="{513AE26A-F850-4EAA-8979-A0F54BFD61D4}" srcOrd="0" destOrd="0" presId="urn:microsoft.com/office/officeart/2005/8/layout/orgChart1"/>
    <dgm:cxn modelId="{A0A36A32-B9D0-41AC-B45F-05DA44AA0EDF}" type="presOf" srcId="{19F53073-5068-4BE1-9AE2-1A81EC411FFC}" destId="{8D6171D9-86C0-4D7E-8E5F-57C9B24FC94B}" srcOrd="0" destOrd="0" presId="urn:microsoft.com/office/officeart/2005/8/layout/orgChart1"/>
    <dgm:cxn modelId="{95D3708E-499B-453F-82C7-1A30C89F8B3D}" type="presOf" srcId="{676F3F09-E2F3-45D8-97D3-6D98E88B3C73}" destId="{46B2D50C-FCCB-4EFA-8B34-72AB901DCE5F}" srcOrd="1" destOrd="0" presId="urn:microsoft.com/office/officeart/2005/8/layout/orgChart1"/>
    <dgm:cxn modelId="{2BB75869-D689-4316-A460-4FA129600D1B}" type="presOf" srcId="{E3151B0C-B3A1-4A9F-9AD2-EC37C81F87BD}" destId="{3B0BC59C-6937-4187-8E6F-A2204FF41991}" srcOrd="0" destOrd="0" presId="urn:microsoft.com/office/officeart/2005/8/layout/orgChart1"/>
    <dgm:cxn modelId="{C7E728FE-31E8-47A6-89C4-DFC5BAA8019D}" type="presOf" srcId="{E3151B0C-B3A1-4A9F-9AD2-EC37C81F87BD}" destId="{6F3D5642-C277-4BFF-8586-61769ABA0B4F}" srcOrd="1" destOrd="0" presId="urn:microsoft.com/office/officeart/2005/8/layout/orgChart1"/>
    <dgm:cxn modelId="{B94D3F68-6AFE-4396-9D1B-DEE96B18954A}" srcId="{676F3F09-E2F3-45D8-97D3-6D98E88B3C73}" destId="{E49B1B7B-8A66-4135-93D1-F1617103396F}" srcOrd="0" destOrd="0" parTransId="{979E4E2B-4857-470A-BB77-1FDB0187C078}" sibTransId="{0859C2AF-E93B-4C90-A670-6620F3ED987C}"/>
    <dgm:cxn modelId="{C3ADBC10-FC8C-4570-9A58-2D2A9BB9F588}" type="presOf" srcId="{3BFA5941-4C00-4C21-B2CD-794D55302D8D}" destId="{E4DF8EC5-9340-4829-B42E-FCDC945B5259}" srcOrd="0" destOrd="0" presId="urn:microsoft.com/office/officeart/2005/8/layout/orgChart1"/>
    <dgm:cxn modelId="{72FE2BD8-89B5-4618-B086-4D833817AA04}" type="presOf" srcId="{92165B57-7A77-4C25-93B2-A7E139767141}" destId="{3E88B40C-ED6C-42A3-904E-B0FC739F57DF}" srcOrd="1" destOrd="0" presId="urn:microsoft.com/office/officeart/2005/8/layout/orgChart1"/>
    <dgm:cxn modelId="{406A15EE-8376-47A0-A827-DA9FC16E69A1}" type="presOf" srcId="{208E05D0-2B39-4B25-AC55-08CDAF9D2EDE}" destId="{211EB2C8-7499-493E-9D48-5B1EDB733C4A}" srcOrd="1" destOrd="0" presId="urn:microsoft.com/office/officeart/2005/8/layout/orgChart1"/>
    <dgm:cxn modelId="{EF3B78F7-FBD6-4647-9827-3A55B089AB09}" type="presOf" srcId="{7F38AD6E-370C-4B68-A70A-E74DA36C719C}" destId="{991908F5-56C0-42DE-8E1A-067A3170507B}" srcOrd="0" destOrd="0" presId="urn:microsoft.com/office/officeart/2005/8/layout/orgChart1"/>
    <dgm:cxn modelId="{AB2BC5C4-6FB7-48BD-8561-210162EC8F2C}" type="presOf" srcId="{7F38AD6E-370C-4B68-A70A-E74DA36C719C}" destId="{5DE2B9E9-7C83-4EB0-A197-FA27ED2F2CF4}" srcOrd="1" destOrd="0" presId="urn:microsoft.com/office/officeart/2005/8/layout/orgChart1"/>
    <dgm:cxn modelId="{1303B49C-E23A-47F4-8828-35265F86AA5F}" type="presOf" srcId="{676F3F09-E2F3-45D8-97D3-6D98E88B3C73}" destId="{9F56880C-032C-4BF3-91E2-BD103D6DA661}" srcOrd="0" destOrd="0" presId="urn:microsoft.com/office/officeart/2005/8/layout/orgChart1"/>
    <dgm:cxn modelId="{2D35EA89-30DA-4457-BC09-9DCEED690BA4}" type="presOf" srcId="{979E4E2B-4857-470A-BB77-1FDB0187C078}" destId="{935E774E-D070-4927-B8C0-2275F5619AF9}" srcOrd="0" destOrd="0" presId="urn:microsoft.com/office/officeart/2005/8/layout/orgChart1"/>
    <dgm:cxn modelId="{2C5D3456-9FF3-4EFF-BD30-B135039E3C3C}" srcId="{676F3F09-E2F3-45D8-97D3-6D98E88B3C73}" destId="{7F38AD6E-370C-4B68-A70A-E74DA36C719C}" srcOrd="2" destOrd="0" parTransId="{67508E70-ED0F-49E8-8470-7D4A387D6223}" sibTransId="{994C69B0-D4DA-41FF-92A1-58C65374B752}"/>
    <dgm:cxn modelId="{A8F13031-C191-43CF-8A8E-9EC6B5E6F0F5}" type="presOf" srcId="{E49B1B7B-8A66-4135-93D1-F1617103396F}" destId="{DCC91DFF-1E78-4F5D-A87C-6E1CBB57B487}" srcOrd="1" destOrd="0" presId="urn:microsoft.com/office/officeart/2005/8/layout/orgChart1"/>
    <dgm:cxn modelId="{1DECB634-9CDF-460E-9DD2-A2D68775AE97}" type="presOf" srcId="{67508E70-ED0F-49E8-8470-7D4A387D6223}" destId="{116DD145-D0B0-4977-9E1E-8D02BCE43EFF}" srcOrd="0" destOrd="0" presId="urn:microsoft.com/office/officeart/2005/8/layout/orgChart1"/>
    <dgm:cxn modelId="{20F5F4A9-7C06-413E-BE21-044738ECF015}" type="presOf" srcId="{208E05D0-2B39-4B25-AC55-08CDAF9D2EDE}" destId="{16046FF5-3F1A-44C8-BFA5-6309CFF9C6EB}" srcOrd="0" destOrd="0" presId="urn:microsoft.com/office/officeart/2005/8/layout/orgChart1"/>
    <dgm:cxn modelId="{CDF261AB-D9B4-4967-AE3B-80B23CCAECA7}" srcId="{676F3F09-E2F3-45D8-97D3-6D98E88B3C73}" destId="{208E05D0-2B39-4B25-AC55-08CDAF9D2EDE}" srcOrd="1" destOrd="0" parTransId="{F1DF492F-4435-43D4-B972-95E3B620FD10}" sibTransId="{C8BF5ECB-63FE-4FE1-86FE-6BD0E281ED42}"/>
    <dgm:cxn modelId="{2AC5E2C8-C914-496A-B449-10DF99A15B6B}" type="presOf" srcId="{92165B57-7A77-4C25-93B2-A7E139767141}" destId="{A42CABA3-1A3F-4A5F-94DC-3B9BA653819D}" srcOrd="0" destOrd="0" presId="urn:microsoft.com/office/officeart/2005/8/layout/orgChart1"/>
    <dgm:cxn modelId="{FFCA5944-CA10-40A3-88DA-3D4C018D2554}" srcId="{676F3F09-E2F3-45D8-97D3-6D98E88B3C73}" destId="{92165B57-7A77-4C25-93B2-A7E139767141}" srcOrd="3" destOrd="0" parTransId="{CB0D3415-DD16-4B80-84DC-95A20A4D488A}" sibTransId="{E2570976-1C10-439A-A6E6-07091A080598}"/>
    <dgm:cxn modelId="{C75E74A7-CDB2-4F35-959E-286533E90BCE}" type="presOf" srcId="{DB0DDCE3-9E6A-42A7-B245-62290185DEC9}" destId="{F2635BD4-30A3-4228-B2C2-44F4F16B6727}" srcOrd="0" destOrd="0" presId="urn:microsoft.com/office/officeart/2005/8/layout/orgChart1"/>
    <dgm:cxn modelId="{68F9132A-6953-4483-BD40-CB8CCD34FE81}" srcId="{676F3F09-E2F3-45D8-97D3-6D98E88B3C73}" destId="{E3151B0C-B3A1-4A9F-9AD2-EC37C81F87BD}" srcOrd="5" destOrd="0" parTransId="{3BFA5941-4C00-4C21-B2CD-794D55302D8D}" sibTransId="{22CC7F49-45A0-4C50-B9E8-8BB23B4FF3D5}"/>
    <dgm:cxn modelId="{F3BA48F5-D5E9-4DB1-8C34-D1414DB553B9}" type="presOf" srcId="{1CBB21CF-B425-409F-9A38-55F95F24B7C0}" destId="{97A52BFC-6E13-442A-8E54-5ABEB0F81EC7}" srcOrd="0" destOrd="0" presId="urn:microsoft.com/office/officeart/2005/8/layout/orgChart1"/>
    <dgm:cxn modelId="{7693C9DA-71F7-4B1F-83BA-312F4E136EA8}" type="presOf" srcId="{1CBB21CF-B425-409F-9A38-55F95F24B7C0}" destId="{58DD465D-8B45-4043-B686-56A79ED0C139}" srcOrd="1" destOrd="0" presId="urn:microsoft.com/office/officeart/2005/8/layout/orgChart1"/>
    <dgm:cxn modelId="{1CBDD1A1-D104-460B-B001-333ABFEF5FBB}" type="presOf" srcId="{F1DF492F-4435-43D4-B972-95E3B620FD10}" destId="{CC1C023D-0415-4FA5-AD37-70B07FC3F4FA}" srcOrd="0" destOrd="0" presId="urn:microsoft.com/office/officeart/2005/8/layout/orgChart1"/>
    <dgm:cxn modelId="{C0B06191-65B2-4E8B-868B-D748461A72DD}" type="presOf" srcId="{E49B1B7B-8A66-4135-93D1-F1617103396F}" destId="{CA2BC0E6-5ECC-4955-99A5-5D7F07F4A9EE}" srcOrd="0" destOrd="0" presId="urn:microsoft.com/office/officeart/2005/8/layout/orgChart1"/>
    <dgm:cxn modelId="{1D26D3BB-952E-416D-B058-4911B10F3FAA}" srcId="{DB0DDCE3-9E6A-42A7-B245-62290185DEC9}" destId="{676F3F09-E2F3-45D8-97D3-6D98E88B3C73}" srcOrd="0" destOrd="0" parTransId="{36855FE5-C979-4D56-9590-D0CD2572939E}" sibTransId="{8E71950E-E625-4083-A836-F467C9551166}"/>
    <dgm:cxn modelId="{8EE60B61-D70F-4999-B592-E0AF14568F13}" type="presParOf" srcId="{F2635BD4-30A3-4228-B2C2-44F4F16B6727}" destId="{F935F2D3-89FB-4AB0-918E-D94D224263B1}" srcOrd="0" destOrd="0" presId="urn:microsoft.com/office/officeart/2005/8/layout/orgChart1"/>
    <dgm:cxn modelId="{D9BEDDD4-4153-4076-AF5A-A631B3A95BF3}" type="presParOf" srcId="{F935F2D3-89FB-4AB0-918E-D94D224263B1}" destId="{C558480F-4BE9-407F-AD74-664AA0CE6B0F}" srcOrd="0" destOrd="0" presId="urn:microsoft.com/office/officeart/2005/8/layout/orgChart1"/>
    <dgm:cxn modelId="{4086E328-A5A3-4423-8AE0-BEB91D551697}" type="presParOf" srcId="{C558480F-4BE9-407F-AD74-664AA0CE6B0F}" destId="{9F56880C-032C-4BF3-91E2-BD103D6DA661}" srcOrd="0" destOrd="0" presId="urn:microsoft.com/office/officeart/2005/8/layout/orgChart1"/>
    <dgm:cxn modelId="{41310851-14EE-4366-AEC0-004FC4154A2B}" type="presParOf" srcId="{C558480F-4BE9-407F-AD74-664AA0CE6B0F}" destId="{46B2D50C-FCCB-4EFA-8B34-72AB901DCE5F}" srcOrd="1" destOrd="0" presId="urn:microsoft.com/office/officeart/2005/8/layout/orgChart1"/>
    <dgm:cxn modelId="{A12DC70D-A081-4ED4-9E86-F0ADEF8B6705}" type="presParOf" srcId="{F935F2D3-89FB-4AB0-918E-D94D224263B1}" destId="{D32F9028-CD4C-4375-AD68-CD8C8EF323E6}" srcOrd="1" destOrd="0" presId="urn:microsoft.com/office/officeart/2005/8/layout/orgChart1"/>
    <dgm:cxn modelId="{7DEF53CD-D71E-41D2-AFD8-2AC9D2613ED8}" type="presParOf" srcId="{D32F9028-CD4C-4375-AD68-CD8C8EF323E6}" destId="{935E774E-D070-4927-B8C0-2275F5619AF9}" srcOrd="0" destOrd="0" presId="urn:microsoft.com/office/officeart/2005/8/layout/orgChart1"/>
    <dgm:cxn modelId="{19B481CD-46C4-42D1-9F8E-AA494997F0D9}" type="presParOf" srcId="{D32F9028-CD4C-4375-AD68-CD8C8EF323E6}" destId="{39992524-5D6E-4325-8190-DBC2BF02285B}" srcOrd="1" destOrd="0" presId="urn:microsoft.com/office/officeart/2005/8/layout/orgChart1"/>
    <dgm:cxn modelId="{DEDDD9FD-E129-476A-87F4-89AFF07E5E3B}" type="presParOf" srcId="{39992524-5D6E-4325-8190-DBC2BF02285B}" destId="{4745E005-08C5-4ABF-9EC4-A3794FC8359C}" srcOrd="0" destOrd="0" presId="urn:microsoft.com/office/officeart/2005/8/layout/orgChart1"/>
    <dgm:cxn modelId="{631E6FB2-15AB-4D26-B69F-3BD4FECB7266}" type="presParOf" srcId="{4745E005-08C5-4ABF-9EC4-A3794FC8359C}" destId="{CA2BC0E6-5ECC-4955-99A5-5D7F07F4A9EE}" srcOrd="0" destOrd="0" presId="urn:microsoft.com/office/officeart/2005/8/layout/orgChart1"/>
    <dgm:cxn modelId="{BA343992-DB9D-4F54-8B33-93160931E04C}" type="presParOf" srcId="{4745E005-08C5-4ABF-9EC4-A3794FC8359C}" destId="{DCC91DFF-1E78-4F5D-A87C-6E1CBB57B487}" srcOrd="1" destOrd="0" presId="urn:microsoft.com/office/officeart/2005/8/layout/orgChart1"/>
    <dgm:cxn modelId="{C5ED1BE5-45E2-49FF-8F37-C94125C29273}" type="presParOf" srcId="{39992524-5D6E-4325-8190-DBC2BF02285B}" destId="{99B68D0B-7EBD-4BC1-87EB-78DC24AE93B1}" srcOrd="1" destOrd="0" presId="urn:microsoft.com/office/officeart/2005/8/layout/orgChart1"/>
    <dgm:cxn modelId="{343BEA39-0C1A-4282-AB1F-5328BDE83F4E}" type="presParOf" srcId="{39992524-5D6E-4325-8190-DBC2BF02285B}" destId="{8EE7902B-BCE8-4D10-A747-4F4763AB8D7E}" srcOrd="2" destOrd="0" presId="urn:microsoft.com/office/officeart/2005/8/layout/orgChart1"/>
    <dgm:cxn modelId="{ED0D04DA-0B1F-4F83-BA34-6B1FC3493B5B}" type="presParOf" srcId="{D32F9028-CD4C-4375-AD68-CD8C8EF323E6}" destId="{CC1C023D-0415-4FA5-AD37-70B07FC3F4FA}" srcOrd="2" destOrd="0" presId="urn:microsoft.com/office/officeart/2005/8/layout/orgChart1"/>
    <dgm:cxn modelId="{CE0114DA-7B7D-4FD9-82F6-D614D2590A1C}" type="presParOf" srcId="{D32F9028-CD4C-4375-AD68-CD8C8EF323E6}" destId="{E1C3A335-EC79-4D76-8016-FC1D01FF6728}" srcOrd="3" destOrd="0" presId="urn:microsoft.com/office/officeart/2005/8/layout/orgChart1"/>
    <dgm:cxn modelId="{9D9D9D5C-4943-4B5D-9CAB-E7EFDC17A33F}" type="presParOf" srcId="{E1C3A335-EC79-4D76-8016-FC1D01FF6728}" destId="{D5164CD2-5741-4CBE-ACDA-E6CBA53FC7AF}" srcOrd="0" destOrd="0" presId="urn:microsoft.com/office/officeart/2005/8/layout/orgChart1"/>
    <dgm:cxn modelId="{E4BD08DE-6F8F-4E12-A37B-691CE6FF7222}" type="presParOf" srcId="{D5164CD2-5741-4CBE-ACDA-E6CBA53FC7AF}" destId="{16046FF5-3F1A-44C8-BFA5-6309CFF9C6EB}" srcOrd="0" destOrd="0" presId="urn:microsoft.com/office/officeart/2005/8/layout/orgChart1"/>
    <dgm:cxn modelId="{940E4CF9-7261-4E16-8BE7-CDFA446AA6FF}" type="presParOf" srcId="{D5164CD2-5741-4CBE-ACDA-E6CBA53FC7AF}" destId="{211EB2C8-7499-493E-9D48-5B1EDB733C4A}" srcOrd="1" destOrd="0" presId="urn:microsoft.com/office/officeart/2005/8/layout/orgChart1"/>
    <dgm:cxn modelId="{49487F59-EBF0-4AD5-B148-FA3D5E18A604}" type="presParOf" srcId="{E1C3A335-EC79-4D76-8016-FC1D01FF6728}" destId="{151EA694-61A4-4BD5-A6FC-0B1D8A2CC1DF}" srcOrd="1" destOrd="0" presId="urn:microsoft.com/office/officeart/2005/8/layout/orgChart1"/>
    <dgm:cxn modelId="{D19AFD2F-4DF2-4EB3-BCDF-024F4590E1C6}" type="presParOf" srcId="{E1C3A335-EC79-4D76-8016-FC1D01FF6728}" destId="{6AA5E0F8-8F93-4231-927B-64A96926630C}" srcOrd="2" destOrd="0" presId="urn:microsoft.com/office/officeart/2005/8/layout/orgChart1"/>
    <dgm:cxn modelId="{14A1087A-B6C0-447B-A69E-F9E699014A86}" type="presParOf" srcId="{D32F9028-CD4C-4375-AD68-CD8C8EF323E6}" destId="{116DD145-D0B0-4977-9E1E-8D02BCE43EFF}" srcOrd="4" destOrd="0" presId="urn:microsoft.com/office/officeart/2005/8/layout/orgChart1"/>
    <dgm:cxn modelId="{C96B0C7B-D646-4FCB-8A6E-0F526F5E85E9}" type="presParOf" srcId="{D32F9028-CD4C-4375-AD68-CD8C8EF323E6}" destId="{4252BA7D-B3BF-4681-9504-F91B4B0B9746}" srcOrd="5" destOrd="0" presId="urn:microsoft.com/office/officeart/2005/8/layout/orgChart1"/>
    <dgm:cxn modelId="{C95251EC-628D-4DE1-84F1-6281BAE23380}" type="presParOf" srcId="{4252BA7D-B3BF-4681-9504-F91B4B0B9746}" destId="{9E75B415-E525-4C68-8BE6-E609488EC129}" srcOrd="0" destOrd="0" presId="urn:microsoft.com/office/officeart/2005/8/layout/orgChart1"/>
    <dgm:cxn modelId="{4AAB847F-3023-4261-89B3-EB5073100B00}" type="presParOf" srcId="{9E75B415-E525-4C68-8BE6-E609488EC129}" destId="{991908F5-56C0-42DE-8E1A-067A3170507B}" srcOrd="0" destOrd="0" presId="urn:microsoft.com/office/officeart/2005/8/layout/orgChart1"/>
    <dgm:cxn modelId="{C5AE8B05-F7AB-48C8-8833-8A5474DDECEA}" type="presParOf" srcId="{9E75B415-E525-4C68-8BE6-E609488EC129}" destId="{5DE2B9E9-7C83-4EB0-A197-FA27ED2F2CF4}" srcOrd="1" destOrd="0" presId="urn:microsoft.com/office/officeart/2005/8/layout/orgChart1"/>
    <dgm:cxn modelId="{A22AD4EA-4585-4661-8A8F-2E370415F7F6}" type="presParOf" srcId="{4252BA7D-B3BF-4681-9504-F91B4B0B9746}" destId="{4989E39B-62A2-4E99-B16B-DA390D74944C}" srcOrd="1" destOrd="0" presId="urn:microsoft.com/office/officeart/2005/8/layout/orgChart1"/>
    <dgm:cxn modelId="{47CD67CD-629F-4841-91BF-B49EABEF1D2D}" type="presParOf" srcId="{4252BA7D-B3BF-4681-9504-F91B4B0B9746}" destId="{B530F718-AB12-493A-B85E-21F5FED653D4}" srcOrd="2" destOrd="0" presId="urn:microsoft.com/office/officeart/2005/8/layout/orgChart1"/>
    <dgm:cxn modelId="{500652A5-7A87-4119-B7B5-944434FE9063}" type="presParOf" srcId="{D32F9028-CD4C-4375-AD68-CD8C8EF323E6}" destId="{513AE26A-F850-4EAA-8979-A0F54BFD61D4}" srcOrd="6" destOrd="0" presId="urn:microsoft.com/office/officeart/2005/8/layout/orgChart1"/>
    <dgm:cxn modelId="{23A355B5-30D8-4D4A-9C4C-0A4757A7BAFB}" type="presParOf" srcId="{D32F9028-CD4C-4375-AD68-CD8C8EF323E6}" destId="{C1438FB5-54D8-4931-8A3A-25078BC39D8E}" srcOrd="7" destOrd="0" presId="urn:microsoft.com/office/officeart/2005/8/layout/orgChart1"/>
    <dgm:cxn modelId="{D5EEAFB6-D188-41B7-BCCE-832A988785B2}" type="presParOf" srcId="{C1438FB5-54D8-4931-8A3A-25078BC39D8E}" destId="{E2D45B57-1694-4A1C-82CE-E50C54A71346}" srcOrd="0" destOrd="0" presId="urn:microsoft.com/office/officeart/2005/8/layout/orgChart1"/>
    <dgm:cxn modelId="{18BFE94D-84C7-4C32-AF80-8C52B5CA0135}" type="presParOf" srcId="{E2D45B57-1694-4A1C-82CE-E50C54A71346}" destId="{A42CABA3-1A3F-4A5F-94DC-3B9BA653819D}" srcOrd="0" destOrd="0" presId="urn:microsoft.com/office/officeart/2005/8/layout/orgChart1"/>
    <dgm:cxn modelId="{1A9AE089-319F-44D6-B5C3-A69E4FBAA103}" type="presParOf" srcId="{E2D45B57-1694-4A1C-82CE-E50C54A71346}" destId="{3E88B40C-ED6C-42A3-904E-B0FC739F57DF}" srcOrd="1" destOrd="0" presId="urn:microsoft.com/office/officeart/2005/8/layout/orgChart1"/>
    <dgm:cxn modelId="{080EBA8C-7BA5-4A65-9002-6EE14B9E7D8C}" type="presParOf" srcId="{C1438FB5-54D8-4931-8A3A-25078BC39D8E}" destId="{5D9F1EEF-A6C7-4E26-8E10-064185552060}" srcOrd="1" destOrd="0" presId="urn:microsoft.com/office/officeart/2005/8/layout/orgChart1"/>
    <dgm:cxn modelId="{25A8A53E-0E2F-4E7C-A574-B4B597EC021C}" type="presParOf" srcId="{C1438FB5-54D8-4931-8A3A-25078BC39D8E}" destId="{A7A0D6BF-6F25-457C-AD7D-E98DBAE4FD30}" srcOrd="2" destOrd="0" presId="urn:microsoft.com/office/officeart/2005/8/layout/orgChart1"/>
    <dgm:cxn modelId="{3DFC262A-7265-46B7-9541-6E2A19B85E41}" type="presParOf" srcId="{D32F9028-CD4C-4375-AD68-CD8C8EF323E6}" destId="{8D6171D9-86C0-4D7E-8E5F-57C9B24FC94B}" srcOrd="8" destOrd="0" presId="urn:microsoft.com/office/officeart/2005/8/layout/orgChart1"/>
    <dgm:cxn modelId="{187FFF06-6A99-48EF-9CED-139B8BD3CBA9}" type="presParOf" srcId="{D32F9028-CD4C-4375-AD68-CD8C8EF323E6}" destId="{0BF94185-08D6-4DF6-B438-F06C327701F5}" srcOrd="9" destOrd="0" presId="urn:microsoft.com/office/officeart/2005/8/layout/orgChart1"/>
    <dgm:cxn modelId="{456DDB47-8B3A-4B23-8F76-6BDF076153E3}" type="presParOf" srcId="{0BF94185-08D6-4DF6-B438-F06C327701F5}" destId="{4670BCCD-CDB4-4C2A-906E-323A5C4F1DA6}" srcOrd="0" destOrd="0" presId="urn:microsoft.com/office/officeart/2005/8/layout/orgChart1"/>
    <dgm:cxn modelId="{7E2A92B2-4D66-4AE5-89C9-9115DDD6A231}" type="presParOf" srcId="{4670BCCD-CDB4-4C2A-906E-323A5C4F1DA6}" destId="{97A52BFC-6E13-442A-8E54-5ABEB0F81EC7}" srcOrd="0" destOrd="0" presId="urn:microsoft.com/office/officeart/2005/8/layout/orgChart1"/>
    <dgm:cxn modelId="{937F2EF2-953A-46E6-8E64-B08D25B9704E}" type="presParOf" srcId="{4670BCCD-CDB4-4C2A-906E-323A5C4F1DA6}" destId="{58DD465D-8B45-4043-B686-56A79ED0C139}" srcOrd="1" destOrd="0" presId="urn:microsoft.com/office/officeart/2005/8/layout/orgChart1"/>
    <dgm:cxn modelId="{57249CB7-3978-4ED5-836B-8B5DE79E152D}" type="presParOf" srcId="{0BF94185-08D6-4DF6-B438-F06C327701F5}" destId="{BC1C56A5-5629-49DE-8941-11F62EFB5716}" srcOrd="1" destOrd="0" presId="urn:microsoft.com/office/officeart/2005/8/layout/orgChart1"/>
    <dgm:cxn modelId="{DF7296AD-E9A7-4CED-94EF-79865C3C0E28}" type="presParOf" srcId="{0BF94185-08D6-4DF6-B438-F06C327701F5}" destId="{5BA839A3-4984-46FA-BEE0-0CFB571A0D09}" srcOrd="2" destOrd="0" presId="urn:microsoft.com/office/officeart/2005/8/layout/orgChart1"/>
    <dgm:cxn modelId="{480195C0-9D6F-4FC2-B318-345CEFB1A22E}" type="presParOf" srcId="{D32F9028-CD4C-4375-AD68-CD8C8EF323E6}" destId="{E4DF8EC5-9340-4829-B42E-FCDC945B5259}" srcOrd="10" destOrd="0" presId="urn:microsoft.com/office/officeart/2005/8/layout/orgChart1"/>
    <dgm:cxn modelId="{EA2C36AB-6D85-4B37-8CE0-1602063E1F4F}" type="presParOf" srcId="{D32F9028-CD4C-4375-AD68-CD8C8EF323E6}" destId="{6B9FC14F-35B9-41F8-BC1D-A1731B650AA0}" srcOrd="11" destOrd="0" presId="urn:microsoft.com/office/officeart/2005/8/layout/orgChart1"/>
    <dgm:cxn modelId="{2A36619B-927C-4759-B06A-2668E1688DC5}" type="presParOf" srcId="{6B9FC14F-35B9-41F8-BC1D-A1731B650AA0}" destId="{04FBFB37-FA29-4E57-A9B4-9E9EBDE4B795}" srcOrd="0" destOrd="0" presId="urn:microsoft.com/office/officeart/2005/8/layout/orgChart1"/>
    <dgm:cxn modelId="{2DA3A092-0560-4AAD-9162-D97E847E90F3}" type="presParOf" srcId="{04FBFB37-FA29-4E57-A9B4-9E9EBDE4B795}" destId="{3B0BC59C-6937-4187-8E6F-A2204FF41991}" srcOrd="0" destOrd="0" presId="urn:microsoft.com/office/officeart/2005/8/layout/orgChart1"/>
    <dgm:cxn modelId="{13217535-F858-448D-AB0B-FA6FF03F1C7D}" type="presParOf" srcId="{04FBFB37-FA29-4E57-A9B4-9E9EBDE4B795}" destId="{6F3D5642-C277-4BFF-8586-61769ABA0B4F}" srcOrd="1" destOrd="0" presId="urn:microsoft.com/office/officeart/2005/8/layout/orgChart1"/>
    <dgm:cxn modelId="{5D1CEDF3-A461-4819-8235-2981B962A2FA}" type="presParOf" srcId="{6B9FC14F-35B9-41F8-BC1D-A1731B650AA0}" destId="{8932F63B-88B7-4B86-8FB5-3D4684C9A1C4}" srcOrd="1" destOrd="0" presId="urn:microsoft.com/office/officeart/2005/8/layout/orgChart1"/>
    <dgm:cxn modelId="{544341D7-341C-495E-BFB8-C9E94C3E65A4}" type="presParOf" srcId="{6B9FC14F-35B9-41F8-BC1D-A1731B650AA0}" destId="{6060A592-7DB4-4564-BCD6-970E9DC033DE}" srcOrd="2" destOrd="0" presId="urn:microsoft.com/office/officeart/2005/8/layout/orgChart1"/>
    <dgm:cxn modelId="{6DB11499-B972-4753-BF32-EB0CC6FF7764}" type="presParOf" srcId="{F935F2D3-89FB-4AB0-918E-D94D224263B1}" destId="{E7FF3303-9D18-4679-8836-ED3CE99EDA6A}" srcOrd="2" destOrd="0" presId="urn:microsoft.com/office/officeart/2005/8/layout/orgChart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DF8EC5-9340-4829-B42E-FCDC945B5259}">
      <dsp:nvSpPr>
        <dsp:cNvPr id="0" name=""/>
        <dsp:cNvSpPr/>
      </dsp:nvSpPr>
      <dsp:spPr>
        <a:xfrm>
          <a:off x="438125" y="359291"/>
          <a:ext cx="402394" cy="2870314"/>
        </a:xfrm>
        <a:custGeom>
          <a:avLst/>
          <a:gdLst/>
          <a:ahLst/>
          <a:cxnLst/>
          <a:rect l="0" t="0" r="0" b="0"/>
          <a:pathLst>
            <a:path>
              <a:moveTo>
                <a:pt x="0" y="0"/>
              </a:moveTo>
              <a:lnTo>
                <a:pt x="0" y="2870314"/>
              </a:lnTo>
              <a:lnTo>
                <a:pt x="402394" y="28703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6171D9-86C0-4D7E-8E5F-57C9B24FC94B}">
      <dsp:nvSpPr>
        <dsp:cNvPr id="0" name=""/>
        <dsp:cNvSpPr/>
      </dsp:nvSpPr>
      <dsp:spPr>
        <a:xfrm>
          <a:off x="438125" y="359291"/>
          <a:ext cx="402394" cy="2362104"/>
        </a:xfrm>
        <a:custGeom>
          <a:avLst/>
          <a:gdLst/>
          <a:ahLst/>
          <a:cxnLst/>
          <a:rect l="0" t="0" r="0" b="0"/>
          <a:pathLst>
            <a:path>
              <a:moveTo>
                <a:pt x="0" y="0"/>
              </a:moveTo>
              <a:lnTo>
                <a:pt x="0" y="2362104"/>
              </a:lnTo>
              <a:lnTo>
                <a:pt x="402394" y="236210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3AE26A-F850-4EAA-8979-A0F54BFD61D4}">
      <dsp:nvSpPr>
        <dsp:cNvPr id="0" name=""/>
        <dsp:cNvSpPr/>
      </dsp:nvSpPr>
      <dsp:spPr>
        <a:xfrm>
          <a:off x="438125" y="359291"/>
          <a:ext cx="402394" cy="1853893"/>
        </a:xfrm>
        <a:custGeom>
          <a:avLst/>
          <a:gdLst/>
          <a:ahLst/>
          <a:cxnLst/>
          <a:rect l="0" t="0" r="0" b="0"/>
          <a:pathLst>
            <a:path>
              <a:moveTo>
                <a:pt x="0" y="0"/>
              </a:moveTo>
              <a:lnTo>
                <a:pt x="0" y="1853893"/>
              </a:lnTo>
              <a:lnTo>
                <a:pt x="402394" y="185389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6DD145-D0B0-4977-9E1E-8D02BCE43EFF}">
      <dsp:nvSpPr>
        <dsp:cNvPr id="0" name=""/>
        <dsp:cNvSpPr/>
      </dsp:nvSpPr>
      <dsp:spPr>
        <a:xfrm>
          <a:off x="438125" y="359291"/>
          <a:ext cx="402394" cy="1345683"/>
        </a:xfrm>
        <a:custGeom>
          <a:avLst/>
          <a:gdLst/>
          <a:ahLst/>
          <a:cxnLst/>
          <a:rect l="0" t="0" r="0" b="0"/>
          <a:pathLst>
            <a:path>
              <a:moveTo>
                <a:pt x="0" y="0"/>
              </a:moveTo>
              <a:lnTo>
                <a:pt x="0" y="1345683"/>
              </a:lnTo>
              <a:lnTo>
                <a:pt x="402394" y="13456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1C023D-0415-4FA5-AD37-70B07FC3F4FA}">
      <dsp:nvSpPr>
        <dsp:cNvPr id="0" name=""/>
        <dsp:cNvSpPr/>
      </dsp:nvSpPr>
      <dsp:spPr>
        <a:xfrm>
          <a:off x="438125" y="359291"/>
          <a:ext cx="402394" cy="837473"/>
        </a:xfrm>
        <a:custGeom>
          <a:avLst/>
          <a:gdLst/>
          <a:ahLst/>
          <a:cxnLst/>
          <a:rect l="0" t="0" r="0" b="0"/>
          <a:pathLst>
            <a:path>
              <a:moveTo>
                <a:pt x="0" y="0"/>
              </a:moveTo>
              <a:lnTo>
                <a:pt x="0" y="837473"/>
              </a:lnTo>
              <a:lnTo>
                <a:pt x="402394" y="8374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5E774E-D070-4927-B8C0-2275F5619AF9}">
      <dsp:nvSpPr>
        <dsp:cNvPr id="0" name=""/>
        <dsp:cNvSpPr/>
      </dsp:nvSpPr>
      <dsp:spPr>
        <a:xfrm>
          <a:off x="438125" y="359291"/>
          <a:ext cx="402394" cy="329263"/>
        </a:xfrm>
        <a:custGeom>
          <a:avLst/>
          <a:gdLst/>
          <a:ahLst/>
          <a:cxnLst/>
          <a:rect l="0" t="0" r="0" b="0"/>
          <a:pathLst>
            <a:path>
              <a:moveTo>
                <a:pt x="0" y="0"/>
              </a:moveTo>
              <a:lnTo>
                <a:pt x="0" y="329263"/>
              </a:lnTo>
              <a:lnTo>
                <a:pt x="402394" y="3292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56880C-032C-4BF3-91E2-BD103D6DA661}">
      <dsp:nvSpPr>
        <dsp:cNvPr id="0" name=""/>
        <dsp:cNvSpPr/>
      </dsp:nvSpPr>
      <dsp:spPr>
        <a:xfrm>
          <a:off x="169862" y="1396"/>
          <a:ext cx="2682627"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hr-HR" sz="1200" b="0" i="0" u="none" strike="noStrike" kern="1200" baseline="0" smtClean="0">
              <a:latin typeface="Calibri"/>
            </a:rPr>
            <a:t>FAZE PLANIRANJA OSOBNIH FINANCIJA</a:t>
          </a:r>
          <a:endParaRPr lang="hr-HR" sz="1200" kern="1200" smtClean="0"/>
        </a:p>
      </dsp:txBody>
      <dsp:txXfrm>
        <a:off x="169862" y="1396"/>
        <a:ext cx="2682627" cy="357894"/>
      </dsp:txXfrm>
    </dsp:sp>
    <dsp:sp modelId="{CA2BC0E6-5ECC-4955-99A5-5D7F07F4A9EE}">
      <dsp:nvSpPr>
        <dsp:cNvPr id="0" name=""/>
        <dsp:cNvSpPr/>
      </dsp:nvSpPr>
      <dsp:spPr>
        <a:xfrm>
          <a:off x="840519" y="509607"/>
          <a:ext cx="3665105"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just" defTabSz="533400" rtl="0">
            <a:lnSpc>
              <a:spcPct val="90000"/>
            </a:lnSpc>
            <a:spcBef>
              <a:spcPct val="0"/>
            </a:spcBef>
            <a:spcAft>
              <a:spcPct val="35000"/>
            </a:spcAft>
            <a:buFont typeface="TimesNewRoman"/>
            <a:buNone/>
          </a:pPr>
          <a:r>
            <a:rPr lang="hr-HR" sz="1200" b="0" i="0" u="none" strike="noStrike" kern="1200" baseline="0" smtClean="0">
              <a:latin typeface="TimesNewRoman"/>
            </a:rPr>
            <a:t> 1. </a:t>
          </a:r>
          <a:r>
            <a:rPr lang="vi-VN" sz="1400" b="0" i="0" u="none" strike="noStrike" kern="1200" baseline="0" smtClean="0">
              <a:latin typeface="Calibri" panose="020F0502020204030204" pitchFamily="34" charset="0"/>
            </a:rPr>
            <a:t>određivanje trenutne financijske situacije </a:t>
          </a:r>
        </a:p>
      </dsp:txBody>
      <dsp:txXfrm>
        <a:off x="840519" y="509607"/>
        <a:ext cx="3665105" cy="357894"/>
      </dsp:txXfrm>
    </dsp:sp>
    <dsp:sp modelId="{16046FF5-3F1A-44C8-BFA5-6309CFF9C6EB}">
      <dsp:nvSpPr>
        <dsp:cNvPr id="0" name=""/>
        <dsp:cNvSpPr/>
      </dsp:nvSpPr>
      <dsp:spPr>
        <a:xfrm>
          <a:off x="840519" y="1017817"/>
          <a:ext cx="2969909"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just" defTabSz="533400" rtl="0">
            <a:lnSpc>
              <a:spcPct val="90000"/>
            </a:lnSpc>
            <a:spcBef>
              <a:spcPct val="0"/>
            </a:spcBef>
            <a:spcAft>
              <a:spcPct val="35000"/>
            </a:spcAft>
            <a:buFont typeface="TimesNewRoman"/>
            <a:buNone/>
          </a:pPr>
          <a:r>
            <a:rPr lang="hr-HR" sz="1200" b="0" i="0" u="none" strike="noStrike" kern="1200" baseline="0" smtClean="0">
              <a:latin typeface="TimesNewRoman"/>
            </a:rPr>
            <a:t> 2. </a:t>
          </a:r>
          <a:r>
            <a:rPr lang="vi-VN" sz="1400" b="0" i="0" u="none" strike="noStrike" kern="1200" baseline="0" smtClean="0">
              <a:latin typeface="Calibri" panose="020F0502020204030204" pitchFamily="34" charset="0"/>
            </a:rPr>
            <a:t>određivanje financijskih ciljeva</a:t>
          </a:r>
        </a:p>
      </dsp:txBody>
      <dsp:txXfrm>
        <a:off x="840519" y="1017817"/>
        <a:ext cx="2969909" cy="357894"/>
      </dsp:txXfrm>
    </dsp:sp>
    <dsp:sp modelId="{991908F5-56C0-42DE-8E1A-067A3170507B}">
      <dsp:nvSpPr>
        <dsp:cNvPr id="0" name=""/>
        <dsp:cNvSpPr/>
      </dsp:nvSpPr>
      <dsp:spPr>
        <a:xfrm>
          <a:off x="840519" y="1526027"/>
          <a:ext cx="3571136"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just" defTabSz="622300" rtl="0">
            <a:lnSpc>
              <a:spcPct val="90000"/>
            </a:lnSpc>
            <a:spcBef>
              <a:spcPct val="0"/>
            </a:spcBef>
            <a:spcAft>
              <a:spcPct val="35000"/>
            </a:spcAft>
            <a:buFont typeface="TimesNewRoman"/>
            <a:buNone/>
          </a:pPr>
          <a:r>
            <a:rPr lang="hr-HR" sz="1400" b="0" i="0" u="none" strike="noStrike" kern="1200" baseline="0" smtClean="0">
              <a:latin typeface="+mn-lt"/>
            </a:rPr>
            <a:t> 3. identificiranje alternativa postizanja cilja</a:t>
          </a:r>
        </a:p>
      </dsp:txBody>
      <dsp:txXfrm>
        <a:off x="840519" y="1526027"/>
        <a:ext cx="3571136" cy="357894"/>
      </dsp:txXfrm>
    </dsp:sp>
    <dsp:sp modelId="{A42CABA3-1A3F-4A5F-94DC-3B9BA653819D}">
      <dsp:nvSpPr>
        <dsp:cNvPr id="0" name=""/>
        <dsp:cNvSpPr/>
      </dsp:nvSpPr>
      <dsp:spPr>
        <a:xfrm>
          <a:off x="840519" y="2034238"/>
          <a:ext cx="2180880"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just" defTabSz="622300" rtl="0">
            <a:lnSpc>
              <a:spcPct val="90000"/>
            </a:lnSpc>
            <a:spcBef>
              <a:spcPct val="0"/>
            </a:spcBef>
            <a:spcAft>
              <a:spcPct val="35000"/>
            </a:spcAft>
            <a:buFont typeface="TimesNewRoman"/>
            <a:buNone/>
          </a:pPr>
          <a:r>
            <a:rPr lang="hr-HR" sz="1400" b="0" i="0" u="none" strike="noStrike" kern="1200" baseline="0" smtClean="0">
              <a:latin typeface="Calibri" panose="020F0502020204030204" pitchFamily="34" charset="0"/>
            </a:rPr>
            <a:t> 4. vrednovanje alternativa</a:t>
          </a:r>
        </a:p>
      </dsp:txBody>
      <dsp:txXfrm>
        <a:off x="840519" y="2034238"/>
        <a:ext cx="2180880" cy="357894"/>
      </dsp:txXfrm>
    </dsp:sp>
    <dsp:sp modelId="{97A52BFC-6E13-442A-8E54-5ABEB0F81EC7}">
      <dsp:nvSpPr>
        <dsp:cNvPr id="0" name=""/>
        <dsp:cNvSpPr/>
      </dsp:nvSpPr>
      <dsp:spPr>
        <a:xfrm>
          <a:off x="840519" y="2542448"/>
          <a:ext cx="4580792"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just" defTabSz="622300" rtl="0">
            <a:lnSpc>
              <a:spcPct val="90000"/>
            </a:lnSpc>
            <a:spcBef>
              <a:spcPct val="0"/>
            </a:spcBef>
            <a:spcAft>
              <a:spcPct val="35000"/>
            </a:spcAft>
            <a:buFont typeface="TimesNewRoman"/>
            <a:buNone/>
          </a:pPr>
          <a:r>
            <a:rPr lang="hr-HR" sz="1400" b="0" i="0" u="none" strike="noStrike" kern="1200" baseline="0" smtClean="0">
              <a:latin typeface="Calibri" panose="020F0502020204030204" pitchFamily="34" charset="0"/>
            </a:rPr>
            <a:t> 5. izrada i implementacija plana financijskih aktivnosti</a:t>
          </a:r>
        </a:p>
      </dsp:txBody>
      <dsp:txXfrm>
        <a:off x="840519" y="2542448"/>
        <a:ext cx="4580792" cy="357894"/>
      </dsp:txXfrm>
    </dsp:sp>
    <dsp:sp modelId="{3B0BC59C-6937-4187-8E6F-A2204FF41991}">
      <dsp:nvSpPr>
        <dsp:cNvPr id="0" name=""/>
        <dsp:cNvSpPr/>
      </dsp:nvSpPr>
      <dsp:spPr>
        <a:xfrm>
          <a:off x="840519" y="3050658"/>
          <a:ext cx="3745280" cy="3578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l" defTabSz="622300" rtl="0">
            <a:lnSpc>
              <a:spcPct val="90000"/>
            </a:lnSpc>
            <a:spcBef>
              <a:spcPct val="0"/>
            </a:spcBef>
            <a:spcAft>
              <a:spcPts val="0"/>
            </a:spcAft>
            <a:buFont typeface="TimesNewRoman"/>
            <a:buNone/>
          </a:pPr>
          <a:r>
            <a:rPr lang="hr-HR" sz="1400" b="0" i="0" u="none" strike="noStrike" kern="1200" baseline="0" smtClean="0">
              <a:latin typeface="Calibri" panose="020F0502020204030204" pitchFamily="34" charset="0"/>
            </a:rPr>
            <a:t> 6. provjera dinamike i ispunjenja ciljeva te recenzija i revizija plana</a:t>
          </a:r>
          <a:endParaRPr lang="hr-HR" sz="1400" kern="1200" smtClean="0">
            <a:latin typeface="Calibri" panose="020F0502020204030204" pitchFamily="34" charset="0"/>
          </a:endParaRPr>
        </a:p>
      </dsp:txBody>
      <dsp:txXfrm>
        <a:off x="840519" y="3050658"/>
        <a:ext cx="3745280" cy="35789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75497F-9FD8-46F5-92F4-EC9B64034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350</Pages>
  <Words>128276</Words>
  <Characters>731179</Characters>
  <Application>Microsoft Office Word</Application>
  <DocSecurity>0</DocSecurity>
  <Lines>6093</Lines>
  <Paragraphs>1715</Paragraphs>
  <ScaleCrop>false</ScaleCrop>
  <HeadingPairs>
    <vt:vector size="2" baseType="variant">
      <vt:variant>
        <vt:lpstr>Naslov</vt:lpstr>
      </vt:variant>
      <vt:variant>
        <vt:i4>1</vt:i4>
      </vt:variant>
    </vt:vector>
  </HeadingPairs>
  <TitlesOfParts>
    <vt:vector size="1" baseType="lpstr">
      <vt:lpstr/>
    </vt:vector>
  </TitlesOfParts>
  <Company>Korisnik</Company>
  <LinksUpToDate>false</LinksUpToDate>
  <CharactersWithSpaces>857740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Marijana Ivanov</dc:creator>
  <cp:lastModifiedBy>Marijana Ivanov</cp:lastModifiedBy>
  <cp:revision>2</cp:revision>
  <dcterms:created xsi:type="dcterms:W3CDTF">2015-10-06T21:43:00Z</dcterms:created>
  <dcterms:modified xsi:type="dcterms:W3CDTF">2015-10-06T21:43:00Z</dcterms:modified>
</cp:coreProperties>
</file>