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775" w:rsidRPr="0066018D" w:rsidRDefault="00B81775" w:rsidP="00B81775">
      <w:pPr>
        <w:pStyle w:val="ListParagraph"/>
        <w:spacing w:after="0" w:line="480" w:lineRule="auto"/>
        <w:ind w:left="0"/>
        <w:jc w:val="center"/>
        <w:rPr>
          <w:rFonts w:ascii="Times New Roman" w:hAnsi="Times New Roman"/>
          <w:b/>
          <w:bCs/>
        </w:rPr>
      </w:pPr>
      <w:r w:rsidRPr="0066018D">
        <w:rPr>
          <w:rFonts w:ascii="Times New Roman" w:hAnsi="Times New Roman"/>
          <w:b/>
          <w:bCs/>
        </w:rPr>
        <w:t>Rapid fatal acute peripheral T-cell lymphoma ass</w:t>
      </w:r>
      <w:bookmarkStart w:id="0" w:name="_GoBack"/>
      <w:bookmarkEnd w:id="0"/>
      <w:r w:rsidRPr="0066018D">
        <w:rPr>
          <w:rFonts w:ascii="Times New Roman" w:hAnsi="Times New Roman"/>
          <w:b/>
          <w:bCs/>
        </w:rPr>
        <w:t>ociated with IgG plasma cell leukemia and IgA hypergammaglobulinemia</w:t>
      </w:r>
    </w:p>
    <w:p w:rsidR="00B81775" w:rsidRPr="0066018D" w:rsidRDefault="00B81775" w:rsidP="00B81775">
      <w:pPr>
        <w:pStyle w:val="ListParagraph"/>
        <w:spacing w:after="0" w:line="480" w:lineRule="auto"/>
        <w:ind w:left="0"/>
        <w:jc w:val="center"/>
        <w:rPr>
          <w:rFonts w:ascii="Times New Roman" w:hAnsi="Times New Roman"/>
          <w:b/>
          <w:bCs/>
        </w:rPr>
      </w:pPr>
    </w:p>
    <w:p w:rsidR="00B81775" w:rsidRPr="0066018D" w:rsidRDefault="00B81775" w:rsidP="00B81775">
      <w:pPr>
        <w:pStyle w:val="ListParagraph"/>
        <w:spacing w:after="0" w:line="480" w:lineRule="auto"/>
        <w:ind w:left="0"/>
        <w:jc w:val="center"/>
        <w:rPr>
          <w:rFonts w:ascii="Times New Roman" w:hAnsi="Times New Roman"/>
          <w:b/>
          <w:bCs/>
        </w:rPr>
      </w:pPr>
    </w:p>
    <w:p w:rsidR="00B81775" w:rsidRPr="0066018D" w:rsidRDefault="00B81775" w:rsidP="00B81775">
      <w:pPr>
        <w:pStyle w:val="ListParagraph"/>
        <w:spacing w:after="0" w:line="480" w:lineRule="auto"/>
        <w:ind w:left="0"/>
        <w:jc w:val="center"/>
        <w:rPr>
          <w:rFonts w:ascii="Times New Roman" w:hAnsi="Times New Roman"/>
          <w:b/>
          <w:bCs/>
        </w:rPr>
      </w:pPr>
      <w:r w:rsidRPr="0066018D">
        <w:rPr>
          <w:rFonts w:ascii="Times New Roman" w:hAnsi="Times New Roman"/>
          <w:b/>
          <w:bCs/>
        </w:rPr>
        <w:t>Case report</w:t>
      </w:r>
    </w:p>
    <w:p w:rsidR="00B81775" w:rsidRPr="0066018D" w:rsidRDefault="00B81775" w:rsidP="00B81775">
      <w:pPr>
        <w:pStyle w:val="ListParagraph"/>
        <w:spacing w:after="0" w:line="480" w:lineRule="auto"/>
        <w:ind w:left="0"/>
        <w:jc w:val="center"/>
        <w:rPr>
          <w:rFonts w:ascii="Times New Roman" w:hAnsi="Times New Roman"/>
          <w:b/>
          <w:bCs/>
        </w:rPr>
      </w:pPr>
    </w:p>
    <w:p w:rsidR="00B81775" w:rsidRPr="0066018D" w:rsidRDefault="00B81775" w:rsidP="00B81775">
      <w:pPr>
        <w:pStyle w:val="ListParagraph"/>
        <w:spacing w:after="0" w:line="480" w:lineRule="auto"/>
        <w:ind w:left="0" w:right="-284"/>
        <w:rPr>
          <w:rFonts w:ascii="Times New Roman" w:hAnsi="Times New Roman"/>
        </w:rPr>
      </w:pPr>
      <w:r w:rsidRPr="0066018D">
        <w:rPr>
          <w:rFonts w:ascii="Times New Roman" w:hAnsi="Times New Roman"/>
        </w:rPr>
        <w:t>Jonjić N</w:t>
      </w:r>
      <w:r w:rsidRPr="0066018D">
        <w:rPr>
          <w:rFonts w:ascii="Times New Roman" w:hAnsi="Times New Roman"/>
          <w:vertAlign w:val="superscript"/>
        </w:rPr>
        <w:t>1</w:t>
      </w:r>
      <w:r w:rsidRPr="0066018D">
        <w:rPr>
          <w:rFonts w:ascii="Times New Roman" w:hAnsi="Times New Roman"/>
        </w:rPr>
        <w:t>, Seili Bekafigo I</w:t>
      </w:r>
      <w:r w:rsidRPr="0066018D">
        <w:rPr>
          <w:rFonts w:ascii="Times New Roman" w:hAnsi="Times New Roman"/>
          <w:vertAlign w:val="superscript"/>
        </w:rPr>
        <w:t>2</w:t>
      </w:r>
      <w:r w:rsidRPr="0066018D">
        <w:rPr>
          <w:rFonts w:ascii="Times New Roman" w:hAnsi="Times New Roman"/>
        </w:rPr>
        <w:t>, Fučkar Čupić D</w:t>
      </w:r>
      <w:r w:rsidRPr="0066018D">
        <w:rPr>
          <w:rFonts w:ascii="Times New Roman" w:hAnsi="Times New Roman"/>
          <w:vertAlign w:val="superscript"/>
        </w:rPr>
        <w:t>1</w:t>
      </w:r>
      <w:r w:rsidRPr="0066018D">
        <w:rPr>
          <w:rFonts w:ascii="Times New Roman" w:hAnsi="Times New Roman"/>
        </w:rPr>
        <w:t>, Lučin K</w:t>
      </w:r>
      <w:r w:rsidRPr="0066018D">
        <w:rPr>
          <w:rFonts w:ascii="Times New Roman" w:hAnsi="Times New Roman"/>
          <w:vertAlign w:val="superscript"/>
        </w:rPr>
        <w:t>1</w:t>
      </w:r>
      <w:r w:rsidRPr="0066018D">
        <w:rPr>
          <w:rFonts w:ascii="Times New Roman" w:hAnsi="Times New Roman"/>
        </w:rPr>
        <w:t>, Duletić Načinović A</w:t>
      </w:r>
      <w:r w:rsidRPr="0066018D">
        <w:rPr>
          <w:rFonts w:ascii="Times New Roman" w:hAnsi="Times New Roman"/>
          <w:vertAlign w:val="superscript"/>
        </w:rPr>
        <w:t>3</w:t>
      </w:r>
      <w:r w:rsidRPr="0066018D">
        <w:rPr>
          <w:rFonts w:ascii="Times New Roman" w:hAnsi="Times New Roman"/>
        </w:rPr>
        <w:t>, Valković T</w:t>
      </w:r>
      <w:r w:rsidRPr="0066018D">
        <w:rPr>
          <w:rFonts w:ascii="Times New Roman" w:hAnsi="Times New Roman"/>
          <w:vertAlign w:val="superscript"/>
        </w:rPr>
        <w:t>3</w:t>
      </w:r>
      <w:r w:rsidRPr="0066018D">
        <w:rPr>
          <w:rFonts w:ascii="Times New Roman" w:hAnsi="Times New Roman"/>
        </w:rPr>
        <w:t xml:space="preserve"> </w:t>
      </w:r>
    </w:p>
    <w:p w:rsidR="00B81775" w:rsidRPr="0066018D" w:rsidRDefault="00B81775" w:rsidP="00B81775">
      <w:pPr>
        <w:pStyle w:val="ListParagraph"/>
        <w:spacing w:after="0" w:line="480" w:lineRule="auto"/>
        <w:ind w:left="0"/>
        <w:rPr>
          <w:rFonts w:ascii="Times New Roman" w:hAnsi="Times New Roman"/>
          <w:vertAlign w:val="superscript"/>
        </w:rPr>
      </w:pPr>
    </w:p>
    <w:p w:rsidR="00B81775" w:rsidRPr="0066018D" w:rsidRDefault="00B81775" w:rsidP="00B81775">
      <w:pPr>
        <w:pStyle w:val="ListParagraph"/>
        <w:spacing w:after="0" w:line="480" w:lineRule="auto"/>
        <w:ind w:left="0"/>
        <w:rPr>
          <w:rFonts w:ascii="Times New Roman" w:hAnsi="Times New Roman"/>
        </w:rPr>
      </w:pPr>
      <w:r w:rsidRPr="0066018D">
        <w:rPr>
          <w:rFonts w:ascii="Times New Roman" w:hAnsi="Times New Roman"/>
          <w:vertAlign w:val="superscript"/>
        </w:rPr>
        <w:t>1</w:t>
      </w:r>
      <w:r w:rsidRPr="0066018D">
        <w:rPr>
          <w:rFonts w:ascii="Times New Roman" w:hAnsi="Times New Roman"/>
        </w:rPr>
        <w:t xml:space="preserve">Department of Pathology, Faculty of Medicine, University of Rijeka, Rijeka, Croatia </w:t>
      </w:r>
    </w:p>
    <w:p w:rsidR="00B81775" w:rsidRPr="0066018D" w:rsidRDefault="00B81775" w:rsidP="00B81775">
      <w:pPr>
        <w:pStyle w:val="ListParagraph"/>
        <w:spacing w:after="0" w:line="480" w:lineRule="auto"/>
        <w:ind w:left="0"/>
        <w:rPr>
          <w:rFonts w:ascii="Times New Roman" w:hAnsi="Times New Roman"/>
        </w:rPr>
      </w:pPr>
      <w:r w:rsidRPr="0066018D">
        <w:rPr>
          <w:rFonts w:ascii="Times New Roman" w:hAnsi="Times New Roman"/>
          <w:vertAlign w:val="superscript"/>
        </w:rPr>
        <w:t>2</w:t>
      </w:r>
      <w:r w:rsidRPr="0066018D">
        <w:rPr>
          <w:rFonts w:ascii="Times New Roman" w:hAnsi="Times New Roman"/>
        </w:rPr>
        <w:t xml:space="preserve">Department of Cytology, Clinical Hospital Centre, Rijeka, Croatia </w:t>
      </w:r>
    </w:p>
    <w:p w:rsidR="00B81775" w:rsidRPr="0066018D" w:rsidRDefault="00B81775" w:rsidP="00B81775">
      <w:pPr>
        <w:spacing w:after="0" w:line="480" w:lineRule="auto"/>
        <w:rPr>
          <w:rFonts w:ascii="Times New Roman" w:hAnsi="Times New Roman"/>
        </w:rPr>
      </w:pPr>
      <w:r w:rsidRPr="0066018D">
        <w:rPr>
          <w:rFonts w:ascii="Times New Roman" w:hAnsi="Times New Roman"/>
          <w:vertAlign w:val="superscript"/>
        </w:rPr>
        <w:t>3</w:t>
      </w:r>
      <w:r w:rsidRPr="0066018D">
        <w:rPr>
          <w:rFonts w:ascii="Times New Roman" w:hAnsi="Times New Roman"/>
        </w:rPr>
        <w:t>Department of Hematology, Clinical Hospital Centre, Rijeka, Croatia</w:t>
      </w:r>
    </w:p>
    <w:p w:rsidR="00B81775" w:rsidRPr="0066018D" w:rsidRDefault="00B81775" w:rsidP="00B81775">
      <w:pPr>
        <w:spacing w:after="0" w:line="480" w:lineRule="auto"/>
        <w:rPr>
          <w:rFonts w:ascii="Times New Roman" w:hAnsi="Times New Roman"/>
          <w:bCs/>
          <w:lang w:eastAsia="hr-HR"/>
        </w:rPr>
      </w:pPr>
    </w:p>
    <w:p w:rsidR="00B81775" w:rsidRPr="0066018D" w:rsidRDefault="00B81775" w:rsidP="00B81775">
      <w:pPr>
        <w:spacing w:after="0" w:line="480" w:lineRule="auto"/>
        <w:rPr>
          <w:rFonts w:ascii="Times New Roman" w:hAnsi="Times New Roman"/>
          <w:bCs/>
          <w:lang w:eastAsia="hr-HR"/>
        </w:rPr>
      </w:pPr>
    </w:p>
    <w:p w:rsidR="00B81775" w:rsidRPr="0066018D" w:rsidRDefault="00B81775" w:rsidP="00B81775">
      <w:pPr>
        <w:spacing w:after="0" w:line="480" w:lineRule="auto"/>
        <w:rPr>
          <w:rFonts w:ascii="Times New Roman" w:hAnsi="Times New Roman"/>
          <w:bCs/>
          <w:lang w:eastAsia="hr-HR"/>
        </w:rPr>
      </w:pPr>
    </w:p>
    <w:p w:rsidR="00B81775" w:rsidRPr="0066018D" w:rsidRDefault="00B81775" w:rsidP="00B81775">
      <w:pPr>
        <w:spacing w:line="360" w:lineRule="auto"/>
        <w:jc w:val="both"/>
        <w:rPr>
          <w:rFonts w:ascii="Times New Roman" w:hAnsi="Times New Roman"/>
          <w:b/>
        </w:rPr>
      </w:pPr>
      <w:r w:rsidRPr="0066018D">
        <w:rPr>
          <w:rFonts w:ascii="Times New Roman" w:hAnsi="Times New Roman"/>
          <w:b/>
        </w:rPr>
        <w:t>Corresponding author:</w:t>
      </w:r>
    </w:p>
    <w:p w:rsidR="00B81775" w:rsidRPr="0066018D" w:rsidRDefault="00B81775" w:rsidP="00B81775">
      <w:pPr>
        <w:jc w:val="both"/>
        <w:rPr>
          <w:rFonts w:ascii="Times New Roman" w:hAnsi="Times New Roman"/>
        </w:rPr>
      </w:pPr>
      <w:r w:rsidRPr="0066018D">
        <w:rPr>
          <w:rFonts w:ascii="Times New Roman" w:hAnsi="Times New Roman"/>
        </w:rPr>
        <w:t>Prof. Ksenija Lucin, M.D., PhD</w:t>
      </w:r>
    </w:p>
    <w:p w:rsidR="00B81775" w:rsidRPr="0066018D" w:rsidRDefault="00B81775" w:rsidP="00B81775">
      <w:pPr>
        <w:jc w:val="both"/>
        <w:rPr>
          <w:rFonts w:ascii="Times New Roman" w:hAnsi="Times New Roman"/>
        </w:rPr>
      </w:pPr>
      <w:r w:rsidRPr="0066018D">
        <w:rPr>
          <w:rFonts w:ascii="Times New Roman" w:hAnsi="Times New Roman"/>
        </w:rPr>
        <w:t>Department of Pathology</w:t>
      </w:r>
    </w:p>
    <w:p w:rsidR="00B81775" w:rsidRPr="0066018D" w:rsidRDefault="00B81775" w:rsidP="00B81775">
      <w:pPr>
        <w:jc w:val="both"/>
        <w:rPr>
          <w:rFonts w:ascii="Times New Roman" w:hAnsi="Times New Roman"/>
        </w:rPr>
      </w:pPr>
      <w:r w:rsidRPr="0066018D">
        <w:rPr>
          <w:rFonts w:ascii="Times New Roman" w:hAnsi="Times New Roman"/>
        </w:rPr>
        <w:t>Medical Faculty</w:t>
      </w:r>
    </w:p>
    <w:p w:rsidR="00B81775" w:rsidRPr="0066018D" w:rsidRDefault="00B81775" w:rsidP="00B81775">
      <w:pPr>
        <w:jc w:val="both"/>
        <w:rPr>
          <w:rFonts w:ascii="Times New Roman" w:hAnsi="Times New Roman"/>
        </w:rPr>
      </w:pPr>
      <w:r w:rsidRPr="0066018D">
        <w:rPr>
          <w:rFonts w:ascii="Times New Roman" w:hAnsi="Times New Roman"/>
        </w:rPr>
        <w:t>University of Rijeka</w:t>
      </w:r>
    </w:p>
    <w:p w:rsidR="00B81775" w:rsidRPr="0066018D" w:rsidRDefault="00B81775" w:rsidP="00B81775">
      <w:pPr>
        <w:jc w:val="both"/>
        <w:rPr>
          <w:rFonts w:ascii="Times New Roman" w:hAnsi="Times New Roman"/>
        </w:rPr>
      </w:pPr>
      <w:r w:rsidRPr="0066018D">
        <w:rPr>
          <w:rFonts w:ascii="Times New Roman" w:hAnsi="Times New Roman"/>
        </w:rPr>
        <w:t>B. Branchetta 20</w:t>
      </w:r>
    </w:p>
    <w:p w:rsidR="00B81775" w:rsidRPr="0066018D" w:rsidRDefault="00B81775" w:rsidP="00B81775">
      <w:pPr>
        <w:jc w:val="both"/>
        <w:rPr>
          <w:rFonts w:ascii="Times New Roman" w:hAnsi="Times New Roman"/>
        </w:rPr>
      </w:pPr>
      <w:r w:rsidRPr="0066018D">
        <w:rPr>
          <w:rFonts w:ascii="Times New Roman" w:hAnsi="Times New Roman"/>
        </w:rPr>
        <w:t>51000 Rijeka</w:t>
      </w:r>
    </w:p>
    <w:p w:rsidR="00B81775" w:rsidRPr="0066018D" w:rsidRDefault="00B81775" w:rsidP="00B81775">
      <w:pPr>
        <w:jc w:val="both"/>
        <w:rPr>
          <w:rFonts w:ascii="Times New Roman" w:hAnsi="Times New Roman"/>
        </w:rPr>
      </w:pPr>
      <w:r w:rsidRPr="0066018D">
        <w:rPr>
          <w:rFonts w:ascii="Times New Roman" w:hAnsi="Times New Roman"/>
        </w:rPr>
        <w:t>Croatia</w:t>
      </w:r>
    </w:p>
    <w:p w:rsidR="00B81775" w:rsidRPr="0066018D" w:rsidRDefault="00B81775" w:rsidP="00B81775">
      <w:pPr>
        <w:spacing w:line="360" w:lineRule="auto"/>
        <w:jc w:val="both"/>
        <w:rPr>
          <w:rFonts w:ascii="Times New Roman" w:hAnsi="Times New Roman"/>
        </w:rPr>
      </w:pPr>
    </w:p>
    <w:p w:rsidR="00B81775" w:rsidRPr="0066018D" w:rsidRDefault="00B81775" w:rsidP="00B81775">
      <w:pPr>
        <w:spacing w:line="360" w:lineRule="auto"/>
        <w:jc w:val="both"/>
        <w:rPr>
          <w:rFonts w:ascii="Times New Roman" w:hAnsi="Times New Roman"/>
        </w:rPr>
      </w:pPr>
      <w:r w:rsidRPr="0066018D">
        <w:rPr>
          <w:rFonts w:ascii="Times New Roman" w:hAnsi="Times New Roman"/>
        </w:rPr>
        <w:t>Telephone: 0038551325805</w:t>
      </w:r>
    </w:p>
    <w:p w:rsidR="00B81775" w:rsidRPr="0066018D" w:rsidRDefault="00B81775" w:rsidP="00B81775">
      <w:pPr>
        <w:spacing w:line="360" w:lineRule="auto"/>
        <w:jc w:val="both"/>
        <w:rPr>
          <w:rFonts w:ascii="Times New Roman" w:hAnsi="Times New Roman"/>
        </w:rPr>
      </w:pPr>
      <w:r w:rsidRPr="0066018D">
        <w:rPr>
          <w:rFonts w:ascii="Times New Roman" w:hAnsi="Times New Roman"/>
        </w:rPr>
        <w:t>Fax: 0038551325810</w:t>
      </w:r>
    </w:p>
    <w:p w:rsidR="00B81775" w:rsidRPr="0066018D" w:rsidRDefault="00B81775" w:rsidP="00B81775">
      <w:pPr>
        <w:spacing w:line="360" w:lineRule="auto"/>
        <w:jc w:val="both"/>
        <w:rPr>
          <w:rFonts w:ascii="Times New Roman" w:hAnsi="Times New Roman"/>
        </w:rPr>
      </w:pPr>
      <w:r w:rsidRPr="0066018D">
        <w:rPr>
          <w:rFonts w:ascii="Times New Roman" w:hAnsi="Times New Roman"/>
        </w:rPr>
        <w:t>e-mail: ksenija.lucin@medri.uniri.hr</w:t>
      </w:r>
    </w:p>
    <w:p w:rsidR="00C6516C" w:rsidRPr="0066018D" w:rsidRDefault="00C6516C" w:rsidP="00351C59">
      <w:pPr>
        <w:pStyle w:val="ListParagraph"/>
        <w:spacing w:after="0" w:line="480" w:lineRule="auto"/>
        <w:ind w:left="0"/>
        <w:rPr>
          <w:rFonts w:ascii="Times New Roman" w:hAnsi="Times New Roman"/>
          <w:i/>
        </w:rPr>
      </w:pPr>
    </w:p>
    <w:p w:rsidR="00351C59" w:rsidRPr="0066018D" w:rsidRDefault="00124C14" w:rsidP="00351C59">
      <w:pPr>
        <w:pStyle w:val="ListParagraph"/>
        <w:spacing w:after="0" w:line="480" w:lineRule="auto"/>
        <w:ind w:left="0"/>
        <w:rPr>
          <w:rFonts w:ascii="Times New Roman" w:hAnsi="Times New Roman"/>
          <w:i/>
        </w:rPr>
      </w:pPr>
      <w:r w:rsidRPr="0066018D">
        <w:rPr>
          <w:rFonts w:ascii="Times New Roman" w:hAnsi="Times New Roman"/>
          <w:i/>
        </w:rPr>
        <w:lastRenderedPageBreak/>
        <w:t>A</w:t>
      </w:r>
      <w:r w:rsidR="00351C59" w:rsidRPr="0066018D">
        <w:rPr>
          <w:rFonts w:ascii="Times New Roman" w:hAnsi="Times New Roman"/>
          <w:i/>
        </w:rPr>
        <w:t xml:space="preserve">bstract </w:t>
      </w:r>
    </w:p>
    <w:p w:rsidR="00351C59" w:rsidRPr="0066018D" w:rsidRDefault="00351C59" w:rsidP="00351C59">
      <w:pPr>
        <w:pStyle w:val="ListParagraph"/>
        <w:spacing w:after="0" w:line="480" w:lineRule="auto"/>
        <w:ind w:left="0"/>
        <w:rPr>
          <w:rFonts w:ascii="Times New Roman" w:hAnsi="Times New Roman"/>
          <w:b/>
        </w:rPr>
      </w:pPr>
      <w:r w:rsidRPr="0066018D">
        <w:rPr>
          <w:rFonts w:ascii="Times New Roman" w:hAnsi="Times New Roman"/>
        </w:rPr>
        <w:t xml:space="preserve">Simultaneous occurrence of T-cell and B-cell neoplasms is rare and etiologic relationships between these two malignancies are poorly understood. </w:t>
      </w:r>
      <w:r w:rsidR="00744549" w:rsidRPr="0066018D">
        <w:rPr>
          <w:rFonts w:ascii="Times New Roman" w:hAnsi="Times New Roman"/>
          <w:lang w:eastAsia="hr-HR"/>
        </w:rPr>
        <w:t>We describe</w:t>
      </w:r>
      <w:r w:rsidRPr="0066018D">
        <w:rPr>
          <w:rFonts w:ascii="Times New Roman" w:hAnsi="Times New Roman"/>
          <w:lang w:eastAsia="hr-HR"/>
        </w:rPr>
        <w:t xml:space="preserve"> a case of </w:t>
      </w:r>
      <w:r w:rsidRPr="0066018D">
        <w:rPr>
          <w:rFonts w:ascii="Times New Roman" w:hAnsi="Times New Roman"/>
          <w:bCs/>
          <w:lang w:eastAsia="hr-HR"/>
        </w:rPr>
        <w:t xml:space="preserve">66-year-old woman who was </w:t>
      </w:r>
      <w:r w:rsidRPr="0066018D">
        <w:rPr>
          <w:rFonts w:ascii="Times New Roman" w:hAnsi="Times New Roman"/>
        </w:rPr>
        <w:t>admitted to the hospital because of fever, hemoptysis, lymphadenopathy</w:t>
      </w:r>
      <w:r w:rsidR="004408F3" w:rsidRPr="0066018D">
        <w:rPr>
          <w:rFonts w:ascii="Times New Roman" w:hAnsi="Times New Roman"/>
        </w:rPr>
        <w:t>,</w:t>
      </w:r>
      <w:r w:rsidRPr="0066018D">
        <w:rPr>
          <w:rFonts w:ascii="Times New Roman" w:hAnsi="Times New Roman"/>
        </w:rPr>
        <w:t xml:space="preserve"> and skin rash. E</w:t>
      </w:r>
      <w:r w:rsidRPr="0066018D">
        <w:rPr>
          <w:rFonts w:ascii="Times New Roman" w:hAnsi="Times New Roman"/>
          <w:bCs/>
          <w:lang w:eastAsia="hr-HR"/>
        </w:rPr>
        <w:t>nlarged lymph nodes in the axillary, pectoral, paratracheal and periportal regions</w:t>
      </w:r>
      <w:r w:rsidR="004408F3" w:rsidRPr="0066018D">
        <w:rPr>
          <w:rFonts w:ascii="Times New Roman" w:hAnsi="Times New Roman"/>
          <w:bCs/>
          <w:lang w:eastAsia="hr-HR"/>
        </w:rPr>
        <w:t>,</w:t>
      </w:r>
      <w:r w:rsidRPr="0066018D">
        <w:rPr>
          <w:rFonts w:ascii="Times New Roman" w:hAnsi="Times New Roman"/>
          <w:bCs/>
          <w:lang w:eastAsia="hr-HR"/>
        </w:rPr>
        <w:t xml:space="preserve"> as well as slight hepato- and splenomegaly were confirmed. </w:t>
      </w:r>
      <w:r w:rsidRPr="0066018D">
        <w:rPr>
          <w:rFonts w:ascii="Times New Roman" w:eastAsia="SimSun" w:hAnsi="Times New Roman"/>
          <w:lang w:eastAsia="zh-CN"/>
        </w:rPr>
        <w:t>Peripheral blood smear revealed rouleaux formation and numerous circulating plasma cells, with plasmacytoid lymphocytes. Immunofixation-electrophoresis detected a monoclonal band defined as IgG-lambda light chains with broad band polyclonal IgA. The patient died from abrupt splenic rupture before diagnostic work-up was finished. Postmortem examination revealed infiltration of atypical lymphoid cells exhibiting high proliferative activity admixed with typical and atypical plasma cells in several organs. Thus plasma cell leukemia (IgG-lambda) as a rare and aggressive variant of plasma cell myeloma in present case was associated with aggressive peripheral T cell lymphoma and polyclonal (IgA) plasmacytosis.</w:t>
      </w:r>
      <w:r w:rsidRPr="0066018D">
        <w:rPr>
          <w:rFonts w:ascii="Times New Roman" w:hAnsi="Times New Roman"/>
        </w:rPr>
        <w:t xml:space="preserve"> </w:t>
      </w:r>
    </w:p>
    <w:p w:rsidR="00351C59" w:rsidRPr="0066018D" w:rsidRDefault="00351C59" w:rsidP="00351C59">
      <w:pPr>
        <w:spacing w:after="0" w:line="480" w:lineRule="auto"/>
        <w:rPr>
          <w:rFonts w:ascii="Times New Roman" w:hAnsi="Times New Roman"/>
          <w:b/>
          <w:bCs/>
        </w:rPr>
      </w:pPr>
    </w:p>
    <w:p w:rsidR="00C608CE" w:rsidRPr="0066018D" w:rsidRDefault="00C608CE" w:rsidP="00C608CE">
      <w:pPr>
        <w:spacing w:after="0" w:line="480" w:lineRule="auto"/>
        <w:rPr>
          <w:rFonts w:ascii="Times New Roman" w:hAnsi="Times New Roman"/>
        </w:rPr>
      </w:pPr>
      <w:r w:rsidRPr="0066018D">
        <w:rPr>
          <w:rFonts w:ascii="Times New Roman" w:hAnsi="Times New Roman"/>
          <w:bCs/>
          <w:i/>
        </w:rPr>
        <w:t>Keywords:</w:t>
      </w:r>
      <w:r w:rsidRPr="0066018D">
        <w:rPr>
          <w:rFonts w:ascii="Times New Roman" w:hAnsi="Times New Roman"/>
          <w:b/>
          <w:bCs/>
        </w:rPr>
        <w:t xml:space="preserve"> </w:t>
      </w:r>
      <w:r w:rsidRPr="0066018D">
        <w:rPr>
          <w:rFonts w:ascii="Times New Roman" w:hAnsi="Times New Roman"/>
          <w:bCs/>
        </w:rPr>
        <w:t xml:space="preserve">Leukemia, plasma cell; Lymphoma, T cell, </w:t>
      </w:r>
      <w:r w:rsidRPr="0066018D">
        <w:rPr>
          <w:rFonts w:ascii="Times New Roman" w:hAnsi="Times New Roman"/>
        </w:rPr>
        <w:t xml:space="preserve">Hypergammaglobulinemia </w:t>
      </w:r>
    </w:p>
    <w:p w:rsidR="00351C59" w:rsidRPr="0066018D" w:rsidRDefault="00351C59" w:rsidP="000C3794">
      <w:pPr>
        <w:spacing w:after="0" w:line="480" w:lineRule="auto"/>
        <w:rPr>
          <w:rFonts w:ascii="Times New Roman" w:hAnsi="Times New Roman"/>
          <w:bCs/>
        </w:rPr>
      </w:pPr>
    </w:p>
    <w:p w:rsidR="00351C59" w:rsidRPr="0066018D" w:rsidRDefault="00A10B76" w:rsidP="00351C59">
      <w:pPr>
        <w:spacing w:after="0" w:line="480" w:lineRule="auto"/>
        <w:rPr>
          <w:rFonts w:ascii="Times New Roman" w:hAnsi="Times New Roman"/>
          <w:bCs/>
          <w:i/>
        </w:rPr>
      </w:pPr>
      <w:r w:rsidRPr="0066018D">
        <w:rPr>
          <w:rFonts w:ascii="Times New Roman" w:hAnsi="Times New Roman"/>
          <w:bCs/>
          <w:i/>
        </w:rPr>
        <w:t>Introduction</w:t>
      </w:r>
    </w:p>
    <w:p w:rsidR="00A10B76" w:rsidRPr="0066018D" w:rsidRDefault="00A10B76" w:rsidP="00351C59">
      <w:pPr>
        <w:spacing w:after="0" w:line="480" w:lineRule="auto"/>
        <w:rPr>
          <w:rFonts w:ascii="Times New Roman" w:hAnsi="Times New Roman"/>
          <w:b/>
        </w:rPr>
      </w:pPr>
      <w:r w:rsidRPr="0066018D">
        <w:rPr>
          <w:rFonts w:ascii="Times New Roman" w:hAnsi="Times New Roman"/>
        </w:rPr>
        <w:t xml:space="preserve">Simultaneous occurrence of T-cell and B-cell neoplasms is rare and etiologic relationships between these two malignancies are poorly understood. Most of the reported cases included cutaneous T-cell lymphoma </w:t>
      </w:r>
      <w:r w:rsidR="0099634E" w:rsidRPr="0066018D">
        <w:rPr>
          <w:rFonts w:ascii="Times New Roman" w:hAnsi="Times New Roman"/>
        </w:rPr>
        <w:t>(</w:t>
      </w:r>
      <w:r w:rsidRPr="0066018D">
        <w:rPr>
          <w:rFonts w:ascii="Times New Roman" w:hAnsi="Times New Roman"/>
        </w:rPr>
        <w:t xml:space="preserve">mycosis fungoides) with B-cell small lymphocytic lymphoma/chronic lymphocytic leukemia, either lymphoma type antedating the other </w:t>
      </w:r>
      <w:r w:rsidR="0053299B" w:rsidRPr="0066018D">
        <w:rPr>
          <w:rFonts w:ascii="Times New Roman" w:hAnsi="Times New Roman"/>
        </w:rPr>
        <w:t>(</w:t>
      </w:r>
      <w:r w:rsidRPr="0066018D">
        <w:rPr>
          <w:rFonts w:ascii="Times New Roman" w:hAnsi="Times New Roman"/>
        </w:rPr>
        <w:t>1,</w:t>
      </w:r>
      <w:r w:rsidR="002F0309">
        <w:rPr>
          <w:rFonts w:ascii="Times New Roman" w:hAnsi="Times New Roman"/>
        </w:rPr>
        <w:t xml:space="preserve"> </w:t>
      </w:r>
      <w:r w:rsidRPr="0066018D">
        <w:rPr>
          <w:rFonts w:ascii="Times New Roman" w:hAnsi="Times New Roman"/>
        </w:rPr>
        <w:t>2</w:t>
      </w:r>
      <w:r w:rsidR="0053299B" w:rsidRPr="0066018D">
        <w:rPr>
          <w:rFonts w:ascii="Times New Roman" w:hAnsi="Times New Roman"/>
        </w:rPr>
        <w:t>)</w:t>
      </w:r>
      <w:r w:rsidRPr="0066018D">
        <w:rPr>
          <w:rFonts w:ascii="Times New Roman" w:hAnsi="Times New Roman"/>
        </w:rPr>
        <w:t>. Besides cutaneous T-cell lymphoma, cases of concurrent angiocentric T-cell lymphoma, peripheral T-cell lymphoma not otherwise specified (PTCL-NOS) and other peripheral T-cell non-Hodgkin's lymphomas (NHLs) with diffuse large</w:t>
      </w:r>
      <w:r w:rsidR="004E0ECB" w:rsidRPr="0066018D">
        <w:rPr>
          <w:rFonts w:ascii="Times New Roman" w:hAnsi="Times New Roman"/>
        </w:rPr>
        <w:t xml:space="preserve"> B-cell lymphoma (DLBCL) or </w:t>
      </w:r>
      <w:r w:rsidRPr="0066018D">
        <w:rPr>
          <w:rFonts w:ascii="Times New Roman" w:hAnsi="Times New Roman"/>
        </w:rPr>
        <w:t xml:space="preserve">low grade B-cell NHLs have also been reported </w:t>
      </w:r>
      <w:r w:rsidR="0053299B" w:rsidRPr="0066018D">
        <w:rPr>
          <w:rFonts w:ascii="Times New Roman" w:hAnsi="Times New Roman"/>
        </w:rPr>
        <w:t>(</w:t>
      </w:r>
      <w:r w:rsidRPr="0066018D">
        <w:rPr>
          <w:rFonts w:ascii="Times New Roman" w:hAnsi="Times New Roman"/>
        </w:rPr>
        <w:t>3-5</w:t>
      </w:r>
      <w:r w:rsidR="0053299B" w:rsidRPr="0066018D">
        <w:rPr>
          <w:rFonts w:ascii="Times New Roman" w:hAnsi="Times New Roman"/>
        </w:rPr>
        <w:t>)</w:t>
      </w:r>
      <w:r w:rsidRPr="0066018D">
        <w:rPr>
          <w:rFonts w:ascii="Times New Roman" w:hAnsi="Times New Roman"/>
        </w:rPr>
        <w:t xml:space="preserve">. Furthermore, cases of cutaneous T-cell lymphomas in association with clonal plasma cell proliferation have been described </w:t>
      </w:r>
      <w:r w:rsidR="0053299B" w:rsidRPr="0066018D">
        <w:rPr>
          <w:rFonts w:ascii="Times New Roman" w:hAnsi="Times New Roman"/>
        </w:rPr>
        <w:t>(</w:t>
      </w:r>
      <w:r w:rsidRPr="0066018D">
        <w:rPr>
          <w:rFonts w:ascii="Times New Roman" w:hAnsi="Times New Roman"/>
        </w:rPr>
        <w:t>6-9</w:t>
      </w:r>
      <w:r w:rsidR="0053299B" w:rsidRPr="0066018D">
        <w:rPr>
          <w:rFonts w:ascii="Times New Roman" w:hAnsi="Times New Roman"/>
        </w:rPr>
        <w:t>)</w:t>
      </w:r>
      <w:r w:rsidRPr="0066018D">
        <w:rPr>
          <w:rFonts w:ascii="Times New Roman" w:hAnsi="Times New Roman"/>
        </w:rPr>
        <w:t>.</w:t>
      </w:r>
    </w:p>
    <w:p w:rsidR="00A10B76" w:rsidRPr="0066018D" w:rsidRDefault="00A10B76" w:rsidP="000C3794">
      <w:pPr>
        <w:spacing w:after="0" w:line="480" w:lineRule="auto"/>
        <w:rPr>
          <w:rFonts w:ascii="Times New Roman" w:hAnsi="Times New Roman"/>
        </w:rPr>
      </w:pPr>
      <w:r w:rsidRPr="0066018D">
        <w:rPr>
          <w:rFonts w:ascii="Times New Roman" w:hAnsi="Times New Roman"/>
          <w:lang w:eastAsia="hr-HR"/>
        </w:rPr>
        <w:t xml:space="preserve">We describe a very unusual and until now unreported case of simultaneous occurrence of PTCL-NOS, primary IgG plasma cell leukemia (PCL) and polyclonal IgA hypergammaglobulinemia. Leukemia is </w:t>
      </w:r>
      <w:r w:rsidRPr="0066018D">
        <w:rPr>
          <w:rFonts w:ascii="Times New Roman" w:hAnsi="Times New Roman"/>
          <w:lang w:eastAsia="hr-HR"/>
        </w:rPr>
        <w:lastRenderedPageBreak/>
        <w:t xml:space="preserve">classified as primary when it is the initial presenting manifestation </w:t>
      </w:r>
      <w:r w:rsidRPr="0066018D">
        <w:rPr>
          <w:rFonts w:ascii="Times New Roman" w:hAnsi="Times New Roman"/>
        </w:rPr>
        <w:t>of plasma cell neoplasm, or secondary when it is seen in the context of refractory or relapsing disease of multiple myeloma. The diagnosis is based on the presence of clonal plasma cells in peripheral blood exceeding 2x10</w:t>
      </w:r>
      <w:r w:rsidRPr="0066018D">
        <w:rPr>
          <w:rFonts w:ascii="Times New Roman" w:hAnsi="Times New Roman"/>
          <w:vertAlign w:val="superscript"/>
        </w:rPr>
        <w:t>9</w:t>
      </w:r>
      <w:r w:rsidRPr="0066018D">
        <w:rPr>
          <w:rFonts w:ascii="Times New Roman" w:hAnsi="Times New Roman"/>
        </w:rPr>
        <w:t xml:space="preserve">/L or more than 20% of the nucleated peripheral blood </w:t>
      </w:r>
      <w:r w:rsidR="00AB4883" w:rsidRPr="0066018D">
        <w:rPr>
          <w:rFonts w:ascii="Times New Roman" w:hAnsi="Times New Roman"/>
        </w:rPr>
        <w:t xml:space="preserve">cells </w:t>
      </w:r>
      <w:r w:rsidRPr="0066018D">
        <w:rPr>
          <w:rFonts w:ascii="Times New Roman" w:hAnsi="Times New Roman"/>
        </w:rPr>
        <w:t xml:space="preserve">count. In addition to peripheral blood and bone marrow, neoplastic plasma cells may be found in extramedullary tissue, such as spleen and liver, in pleural effusions and in peritoneal and cerebrospinal fluid </w:t>
      </w:r>
      <w:r w:rsidR="0053299B" w:rsidRPr="0066018D">
        <w:rPr>
          <w:rFonts w:ascii="Times New Roman" w:hAnsi="Times New Roman"/>
        </w:rPr>
        <w:t>(</w:t>
      </w:r>
      <w:r w:rsidRPr="0066018D">
        <w:rPr>
          <w:rFonts w:ascii="Times New Roman" w:hAnsi="Times New Roman"/>
        </w:rPr>
        <w:t>10</w:t>
      </w:r>
      <w:r w:rsidR="0053299B" w:rsidRPr="0066018D">
        <w:rPr>
          <w:rFonts w:ascii="Times New Roman" w:hAnsi="Times New Roman"/>
        </w:rPr>
        <w:t>)</w:t>
      </w:r>
      <w:r w:rsidRPr="0066018D">
        <w:rPr>
          <w:rFonts w:ascii="Times New Roman" w:hAnsi="Times New Roman"/>
        </w:rPr>
        <w:t xml:space="preserve">. Thus, clinically, patients with primary PCL have a greater incidence of hepatosplenomegaly and lymphadenopathy, and fewer lytic bone lesions compared with multiple myeloma. PCL is an aggressive disease associated with poor prognosis and shorter survival than those in patients affected by typical multiple myeloma </w:t>
      </w:r>
      <w:r w:rsidR="0053299B" w:rsidRPr="0066018D">
        <w:rPr>
          <w:rFonts w:ascii="Times New Roman" w:hAnsi="Times New Roman"/>
        </w:rPr>
        <w:t>(</w:t>
      </w:r>
      <w:r w:rsidRPr="0066018D">
        <w:rPr>
          <w:rFonts w:ascii="Times New Roman" w:hAnsi="Times New Roman"/>
        </w:rPr>
        <w:t>11,</w:t>
      </w:r>
      <w:r w:rsidR="002F0309">
        <w:rPr>
          <w:rFonts w:ascii="Times New Roman" w:hAnsi="Times New Roman"/>
        </w:rPr>
        <w:t xml:space="preserve"> </w:t>
      </w:r>
      <w:r w:rsidRPr="0066018D">
        <w:rPr>
          <w:rFonts w:ascii="Times New Roman" w:hAnsi="Times New Roman"/>
        </w:rPr>
        <w:t>12</w:t>
      </w:r>
      <w:r w:rsidR="0053299B" w:rsidRPr="0066018D">
        <w:rPr>
          <w:rFonts w:ascii="Times New Roman" w:hAnsi="Times New Roman"/>
        </w:rPr>
        <w:t>)</w:t>
      </w:r>
      <w:r w:rsidRPr="0066018D">
        <w:rPr>
          <w:rFonts w:ascii="Times New Roman" w:hAnsi="Times New Roman"/>
        </w:rPr>
        <w:t xml:space="preserve">. </w:t>
      </w:r>
    </w:p>
    <w:p w:rsidR="00A10B76" w:rsidRPr="0066018D" w:rsidRDefault="00A10B76" w:rsidP="000C3794">
      <w:pPr>
        <w:spacing w:after="0" w:line="480" w:lineRule="auto"/>
        <w:rPr>
          <w:rFonts w:ascii="Times New Roman" w:hAnsi="Times New Roman"/>
        </w:rPr>
      </w:pPr>
    </w:p>
    <w:p w:rsidR="00A10B76" w:rsidRPr="0066018D" w:rsidRDefault="00857AD5" w:rsidP="000C3794">
      <w:pPr>
        <w:spacing w:after="0" w:line="480" w:lineRule="auto"/>
        <w:rPr>
          <w:rFonts w:ascii="Times New Roman" w:hAnsi="Times New Roman"/>
          <w:bCs/>
          <w:i/>
        </w:rPr>
      </w:pPr>
      <w:r w:rsidRPr="0066018D">
        <w:rPr>
          <w:rFonts w:ascii="Times New Roman" w:hAnsi="Times New Roman"/>
          <w:bCs/>
          <w:i/>
        </w:rPr>
        <w:t>C</w:t>
      </w:r>
      <w:r w:rsidR="00EA4992" w:rsidRPr="0066018D">
        <w:rPr>
          <w:rFonts w:ascii="Times New Roman" w:hAnsi="Times New Roman"/>
          <w:bCs/>
          <w:i/>
        </w:rPr>
        <w:t>ase report</w:t>
      </w:r>
    </w:p>
    <w:p w:rsidR="00A10B76" w:rsidRPr="0066018D" w:rsidRDefault="0099634E" w:rsidP="000C3794">
      <w:pPr>
        <w:spacing w:after="0" w:line="480" w:lineRule="auto"/>
        <w:rPr>
          <w:rFonts w:ascii="Times New Roman" w:hAnsi="Times New Roman"/>
          <w:bCs/>
          <w:lang w:eastAsia="hr-HR"/>
        </w:rPr>
      </w:pPr>
      <w:r w:rsidRPr="0066018D">
        <w:rPr>
          <w:rFonts w:ascii="Times New Roman" w:hAnsi="Times New Roman"/>
          <w:bCs/>
          <w:lang w:eastAsia="hr-HR"/>
        </w:rPr>
        <w:t xml:space="preserve">A 66-year-old woman was </w:t>
      </w:r>
      <w:r w:rsidRPr="0066018D">
        <w:rPr>
          <w:rFonts w:ascii="Times New Roman" w:hAnsi="Times New Roman"/>
        </w:rPr>
        <w:t xml:space="preserve">admitted to the hospital because of fever, hemoptysis, lymphadenopathy, and skin rash. </w:t>
      </w:r>
      <w:r w:rsidR="00F0235D" w:rsidRPr="0066018D">
        <w:rPr>
          <w:rFonts w:ascii="Times New Roman" w:eastAsia="SimSun" w:hAnsi="Times New Roman"/>
          <w:lang w:eastAsia="zh-CN"/>
        </w:rPr>
        <w:t xml:space="preserve">Her past medical history included therapy with </w:t>
      </w:r>
      <w:r w:rsidR="007C0C77" w:rsidRPr="0066018D">
        <w:rPr>
          <w:rFonts w:ascii="Times New Roman" w:eastAsia="SimSun" w:hAnsi="Times New Roman"/>
          <w:lang w:eastAsia="zh-CN"/>
        </w:rPr>
        <w:t>lisinopril-hydrochlorthiazide and rosuvastatin du</w:t>
      </w:r>
      <w:r w:rsidR="00F0235D" w:rsidRPr="0066018D">
        <w:rPr>
          <w:rFonts w:ascii="Times New Roman" w:eastAsia="SimSun" w:hAnsi="Times New Roman"/>
          <w:lang w:eastAsia="zh-CN"/>
        </w:rPr>
        <w:t xml:space="preserve">e to </w:t>
      </w:r>
      <w:r w:rsidR="007C0C77" w:rsidRPr="0066018D">
        <w:rPr>
          <w:rFonts w:ascii="Times New Roman" w:eastAsia="SimSun" w:hAnsi="Times New Roman"/>
          <w:lang w:eastAsia="zh-CN"/>
        </w:rPr>
        <w:t>arterial hypertension</w:t>
      </w:r>
      <w:r w:rsidR="00B417EA" w:rsidRPr="0066018D">
        <w:rPr>
          <w:rFonts w:ascii="Times New Roman" w:eastAsia="SimSun" w:hAnsi="Times New Roman"/>
          <w:lang w:eastAsia="zh-CN"/>
        </w:rPr>
        <w:t xml:space="preserve"> and hyperlipidemia</w:t>
      </w:r>
      <w:r w:rsidR="00F0235D" w:rsidRPr="0066018D">
        <w:rPr>
          <w:rFonts w:ascii="Times New Roman" w:eastAsia="SimSun" w:hAnsi="Times New Roman"/>
          <w:lang w:eastAsia="zh-CN"/>
        </w:rPr>
        <w:t>.</w:t>
      </w:r>
      <w:r w:rsidR="00F0235D" w:rsidRPr="0066018D">
        <w:rPr>
          <w:rFonts w:ascii="Times New Roman" w:eastAsia="SimSun" w:hAnsi="Times New Roman"/>
          <w:sz w:val="24"/>
          <w:szCs w:val="24"/>
          <w:lang w:eastAsia="zh-CN"/>
        </w:rPr>
        <w:t xml:space="preserve"> </w:t>
      </w:r>
      <w:r w:rsidR="00D76301" w:rsidRPr="0066018D">
        <w:rPr>
          <w:rFonts w:ascii="Times New Roman" w:eastAsia="SimSun" w:hAnsi="Times New Roman"/>
          <w:sz w:val="24"/>
          <w:szCs w:val="24"/>
          <w:lang w:eastAsia="zh-CN"/>
        </w:rPr>
        <w:t xml:space="preserve"> She denied any hematological diseases in the past. </w:t>
      </w:r>
      <w:r w:rsidR="00A10B76" w:rsidRPr="0066018D">
        <w:rPr>
          <w:rFonts w:ascii="Times New Roman" w:hAnsi="Times New Roman"/>
          <w:bCs/>
          <w:lang w:eastAsia="hr-HR"/>
        </w:rPr>
        <w:t xml:space="preserve">On examination, she was febrile, her blood pressure was 110/80 mm Hg, and pulse 100/min, with enlarged cervical and axillary lymph nodes not tender to palpation. The abdomen was not tender, the liver and spleen were not palpable with certainty. Multi-slice computed tomography of the thorax and abdomen revealed enlarged lymph nodes in the axillary, pectoral, paratracheal and periportal regions. Splenomegaly with a subcapsular wedge-shaped hypodense lesion measuring 15x10 mm was seen and the liver was slightly enlarged. Abdominal ultrasonography findings confirmed slight </w:t>
      </w:r>
      <w:r w:rsidRPr="0066018D">
        <w:rPr>
          <w:rFonts w:ascii="Times New Roman" w:hAnsi="Times New Roman"/>
          <w:bCs/>
          <w:lang w:eastAsia="hr-HR"/>
        </w:rPr>
        <w:t xml:space="preserve">hepato </w:t>
      </w:r>
      <w:r w:rsidR="00A10B76" w:rsidRPr="0066018D">
        <w:rPr>
          <w:rFonts w:ascii="Times New Roman" w:hAnsi="Times New Roman"/>
          <w:bCs/>
          <w:lang w:eastAsia="hr-HR"/>
        </w:rPr>
        <w:t>- and splenomegaly, while</w:t>
      </w:r>
      <w:r w:rsidR="00F47587" w:rsidRPr="0066018D">
        <w:rPr>
          <w:rFonts w:ascii="Times New Roman" w:hAnsi="Times New Roman"/>
          <w:bCs/>
          <w:lang w:eastAsia="hr-HR"/>
        </w:rPr>
        <w:t xml:space="preserve"> abdominal</w:t>
      </w:r>
      <w:r w:rsidR="00A10B76" w:rsidRPr="0066018D">
        <w:rPr>
          <w:rFonts w:ascii="Times New Roman" w:hAnsi="Times New Roman"/>
          <w:bCs/>
          <w:lang w:eastAsia="hr-HR"/>
        </w:rPr>
        <w:t xml:space="preserve"> lymph nodes were not seen due to meteorism.</w:t>
      </w:r>
      <w:r w:rsidR="00F47587" w:rsidRPr="0066018D">
        <w:rPr>
          <w:rFonts w:ascii="Times New Roman" w:hAnsi="Times New Roman"/>
          <w:bCs/>
          <w:lang w:eastAsia="hr-HR"/>
        </w:rPr>
        <w:t xml:space="preserve"> Radiological skeletal survey did not find evidence of osteolytic lesions.</w:t>
      </w:r>
    </w:p>
    <w:p w:rsidR="00A10B76" w:rsidRPr="0066018D" w:rsidRDefault="00A10B76" w:rsidP="00E671D9">
      <w:pPr>
        <w:spacing w:after="0" w:line="480" w:lineRule="auto"/>
        <w:rPr>
          <w:rFonts w:ascii="Times New Roman" w:eastAsia="SimSun" w:hAnsi="Times New Roman"/>
          <w:lang w:eastAsia="zh-CN"/>
        </w:rPr>
      </w:pPr>
      <w:r w:rsidRPr="0066018D">
        <w:rPr>
          <w:rFonts w:ascii="Times New Roman" w:eastAsia="SimSun" w:hAnsi="Times New Roman"/>
          <w:lang w:eastAsia="zh-CN"/>
        </w:rPr>
        <w:t>Laboratory findings revealed normocytic anemia (Hb 84 g/L) and decreased platelet count (26x10</w:t>
      </w:r>
      <w:r w:rsidRPr="0066018D">
        <w:rPr>
          <w:rFonts w:ascii="Times New Roman" w:eastAsia="SimSun" w:hAnsi="Times New Roman"/>
          <w:vertAlign w:val="superscript"/>
          <w:lang w:eastAsia="zh-CN"/>
        </w:rPr>
        <w:t>9</w:t>
      </w:r>
      <w:r w:rsidRPr="0066018D">
        <w:rPr>
          <w:rFonts w:ascii="Times New Roman" w:eastAsia="SimSun" w:hAnsi="Times New Roman"/>
          <w:lang w:eastAsia="zh-CN"/>
        </w:rPr>
        <w:t>/L). Peripheral blood smear revealed rouleaux formation</w:t>
      </w:r>
      <w:r w:rsidR="00AB4883" w:rsidRPr="0066018D">
        <w:rPr>
          <w:rFonts w:ascii="Times New Roman" w:eastAsia="SimSun" w:hAnsi="Times New Roman"/>
          <w:lang w:eastAsia="zh-CN"/>
        </w:rPr>
        <w:t>s</w:t>
      </w:r>
      <w:r w:rsidRPr="0066018D">
        <w:rPr>
          <w:rFonts w:ascii="Times New Roman" w:eastAsia="SimSun" w:hAnsi="Times New Roman"/>
          <w:lang w:eastAsia="zh-CN"/>
        </w:rPr>
        <w:t xml:space="preserve"> and numerous circulating plasma cells</w:t>
      </w:r>
      <w:r w:rsidR="00AB4883" w:rsidRPr="0066018D">
        <w:rPr>
          <w:rFonts w:ascii="Times New Roman" w:eastAsia="SimSun" w:hAnsi="Times New Roman"/>
          <w:lang w:eastAsia="zh-CN"/>
        </w:rPr>
        <w:t>, accounting</w:t>
      </w:r>
      <w:r w:rsidRPr="0066018D">
        <w:rPr>
          <w:rFonts w:ascii="Times New Roman" w:eastAsia="SimSun" w:hAnsi="Times New Roman"/>
          <w:lang w:eastAsia="zh-CN"/>
        </w:rPr>
        <w:t xml:space="preserve"> for </w:t>
      </w:r>
      <w:r w:rsidRPr="0066018D">
        <w:rPr>
          <w:rFonts w:ascii="Times New Roman" w:hAnsi="Times New Roman"/>
          <w:lang w:eastAsia="hr-HR"/>
        </w:rPr>
        <w:t>26% of all nucleated cells</w:t>
      </w:r>
      <w:r w:rsidR="00AB4883" w:rsidRPr="0066018D">
        <w:rPr>
          <w:rFonts w:ascii="Times New Roman" w:hAnsi="Times New Roman"/>
          <w:lang w:eastAsia="hr-HR"/>
        </w:rPr>
        <w:t>, as well as some proplasma and lymphoplasmacytoid cells</w:t>
      </w:r>
      <w:r w:rsidR="00E26E5D">
        <w:rPr>
          <w:rFonts w:ascii="Times New Roman" w:hAnsi="Times New Roman"/>
          <w:lang w:eastAsia="hr-HR"/>
        </w:rPr>
        <w:t xml:space="preserve"> (Fig. 1a</w:t>
      </w:r>
      <w:r w:rsidRPr="0066018D">
        <w:rPr>
          <w:rFonts w:ascii="Times New Roman" w:hAnsi="Times New Roman"/>
          <w:lang w:eastAsia="hr-HR"/>
        </w:rPr>
        <w:t xml:space="preserve">). Serum electrophoresis showed M-peak, but also polyclonal hypergammaglobulinemia in the background. </w:t>
      </w:r>
      <w:r w:rsidR="0099634E" w:rsidRPr="0066018D">
        <w:rPr>
          <w:rFonts w:ascii="Times New Roman" w:eastAsia="SimSun" w:hAnsi="Times New Roman"/>
          <w:lang w:eastAsia="zh-CN"/>
        </w:rPr>
        <w:t xml:space="preserve">Immunofixation - electrophoresis detected a monoclonal band defined as IgG-lambda </w:t>
      </w:r>
      <w:r w:rsidR="0099634E" w:rsidRPr="0066018D">
        <w:rPr>
          <w:rFonts w:ascii="Times New Roman" w:eastAsia="SimSun" w:hAnsi="Times New Roman"/>
          <w:lang w:eastAsia="zh-CN"/>
        </w:rPr>
        <w:lastRenderedPageBreak/>
        <w:t>light chains (IgG level, 37.2 g/L; normal range, 7.0-16.0 g/L) with broad band polyclonal IgA (IgA level, 29.4 g/L; normal range, 0.7-4.0 g/L ) (Fig. 1</w:t>
      </w:r>
      <w:r w:rsidR="00E26E5D">
        <w:rPr>
          <w:rFonts w:ascii="Times New Roman" w:eastAsia="SimSun" w:hAnsi="Times New Roman"/>
          <w:lang w:eastAsia="zh-CN"/>
        </w:rPr>
        <w:t>b</w:t>
      </w:r>
      <w:r w:rsidR="0099634E" w:rsidRPr="0066018D">
        <w:rPr>
          <w:rFonts w:ascii="Times New Roman" w:eastAsia="SimSun" w:hAnsi="Times New Roman"/>
          <w:lang w:eastAsia="zh-CN"/>
        </w:rPr>
        <w:t xml:space="preserve">). </w:t>
      </w:r>
      <w:r w:rsidR="000505B7" w:rsidRPr="0066018D">
        <w:rPr>
          <w:rFonts w:ascii="Times New Roman" w:eastAsia="SimSun" w:hAnsi="Times New Roman"/>
          <w:lang w:eastAsia="zh-CN"/>
        </w:rPr>
        <w:t>The most important laboratory findings are shown in Table 1.</w:t>
      </w:r>
      <w:r w:rsidR="000505B7" w:rsidRPr="0066018D">
        <w:rPr>
          <w:rFonts w:ascii="Arial" w:hAnsi="Arial" w:cs="Arial"/>
          <w:shd w:val="clear" w:color="auto" w:fill="F5F5F5"/>
        </w:rPr>
        <w:br/>
      </w:r>
      <w:r w:rsidRPr="0066018D">
        <w:rPr>
          <w:rFonts w:ascii="Times New Roman" w:eastAsia="SimSun" w:hAnsi="Times New Roman"/>
          <w:lang w:eastAsia="zh-CN"/>
        </w:rPr>
        <w:t>Bone marrow aspirate showed excess of plasma cells</w:t>
      </w:r>
      <w:r w:rsidR="00AB4883" w:rsidRPr="0066018D">
        <w:rPr>
          <w:rFonts w:ascii="Times New Roman" w:eastAsia="SimSun" w:hAnsi="Times New Roman"/>
          <w:lang w:eastAsia="zh-CN"/>
        </w:rPr>
        <w:t xml:space="preserve"> (35%), partly atypical</w:t>
      </w:r>
      <w:r w:rsidRPr="0066018D">
        <w:rPr>
          <w:rFonts w:ascii="Times New Roman" w:eastAsia="SimSun" w:hAnsi="Times New Roman"/>
          <w:lang w:eastAsia="zh-CN"/>
        </w:rPr>
        <w:t>. B</w:t>
      </w:r>
      <w:r w:rsidR="00825DC9" w:rsidRPr="0066018D">
        <w:rPr>
          <w:rFonts w:ascii="Times New Roman" w:eastAsia="SimSun" w:hAnsi="Times New Roman"/>
          <w:lang w:eastAsia="zh-CN"/>
        </w:rPr>
        <w:t xml:space="preserve">one marrow biopsy showed </w:t>
      </w:r>
      <w:r w:rsidRPr="0066018D">
        <w:rPr>
          <w:rFonts w:ascii="Times New Roman" w:eastAsia="SimSun" w:hAnsi="Times New Roman"/>
          <w:lang w:eastAsia="zh-CN"/>
        </w:rPr>
        <w:t>hypercellularity with focal and diffuse increase in CD138-positive cells</w:t>
      </w:r>
      <w:r w:rsidR="00825DC9" w:rsidRPr="0066018D">
        <w:rPr>
          <w:rFonts w:ascii="Times New Roman" w:eastAsia="SimSun" w:hAnsi="Times New Roman"/>
          <w:lang w:eastAsia="zh-CN"/>
        </w:rPr>
        <w:t xml:space="preserve"> (57%)</w:t>
      </w:r>
      <w:r w:rsidRPr="0066018D">
        <w:rPr>
          <w:rFonts w:ascii="Times New Roman" w:eastAsia="SimSun" w:hAnsi="Times New Roman"/>
          <w:lang w:eastAsia="zh-CN"/>
        </w:rPr>
        <w:t xml:space="preserve"> </w:t>
      </w:r>
      <w:r w:rsidR="0099634E" w:rsidRPr="0066018D">
        <w:rPr>
          <w:rFonts w:ascii="Times New Roman" w:eastAsia="SimSun" w:hAnsi="Times New Roman"/>
          <w:lang w:eastAsia="zh-CN"/>
        </w:rPr>
        <w:t>(Fig. 1</w:t>
      </w:r>
      <w:r w:rsidR="00E26E5D">
        <w:rPr>
          <w:rFonts w:ascii="Times New Roman" w:eastAsia="SimSun" w:hAnsi="Times New Roman"/>
          <w:lang w:eastAsia="zh-CN"/>
        </w:rPr>
        <w:t>c</w:t>
      </w:r>
      <w:r w:rsidR="0099634E" w:rsidRPr="0066018D">
        <w:rPr>
          <w:rFonts w:ascii="Times New Roman" w:eastAsia="SimSun" w:hAnsi="Times New Roman"/>
          <w:lang w:eastAsia="zh-CN"/>
        </w:rPr>
        <w:t>), and lambda light chain restriction in plasma cells (Fig. 1</w:t>
      </w:r>
      <w:r w:rsidR="00E26E5D">
        <w:rPr>
          <w:rFonts w:ascii="Times New Roman" w:eastAsia="SimSun" w:hAnsi="Times New Roman"/>
          <w:lang w:eastAsia="zh-CN"/>
        </w:rPr>
        <w:t>d</w:t>
      </w:r>
      <w:r w:rsidR="0099634E" w:rsidRPr="0066018D">
        <w:rPr>
          <w:rFonts w:ascii="Times New Roman" w:eastAsia="SimSun" w:hAnsi="Times New Roman"/>
          <w:lang w:eastAsia="zh-CN"/>
        </w:rPr>
        <w:t xml:space="preserve">). </w:t>
      </w:r>
      <w:r w:rsidRPr="0066018D">
        <w:rPr>
          <w:rFonts w:ascii="Times New Roman" w:eastAsia="SimSun" w:hAnsi="Times New Roman"/>
          <w:lang w:eastAsia="zh-CN"/>
        </w:rPr>
        <w:t xml:space="preserve">There was no evidence of osteolytic lesions. Neck lymph node fine-needle aspiration biopsy (FNA) was suggestive of hematologic malignancy possibly originating from plasma cells. Some large lymphoid cells with lobulated nuclei, though, were negative for CD138 and CD20. Additional immunocytochemistry was not performed due to insufficient material. </w:t>
      </w:r>
    </w:p>
    <w:p w:rsidR="00CF3C3D" w:rsidRPr="0066018D" w:rsidRDefault="00F47587" w:rsidP="00E671D9">
      <w:pPr>
        <w:spacing w:after="0" w:line="480" w:lineRule="auto"/>
        <w:rPr>
          <w:rFonts w:ascii="Times New Roman" w:eastAsia="SimSun" w:hAnsi="Times New Roman"/>
          <w:lang w:eastAsia="zh-CN"/>
        </w:rPr>
      </w:pPr>
      <w:r w:rsidRPr="0066018D">
        <w:rPr>
          <w:rFonts w:ascii="Times New Roman" w:eastAsia="SimSun" w:hAnsi="Times New Roman"/>
          <w:lang w:eastAsia="zh-CN"/>
        </w:rPr>
        <w:t>All the time the patient was completely disabled,</w:t>
      </w:r>
      <w:r w:rsidR="00853CF0" w:rsidRPr="0066018D">
        <w:rPr>
          <w:rFonts w:ascii="Times New Roman" w:eastAsia="SimSun" w:hAnsi="Times New Roman"/>
          <w:lang w:eastAsia="zh-CN"/>
        </w:rPr>
        <w:t xml:space="preserve"> febrile, totally confined to be</w:t>
      </w:r>
      <w:r w:rsidRPr="0066018D">
        <w:rPr>
          <w:rFonts w:ascii="Times New Roman" w:eastAsia="SimSun" w:hAnsi="Times New Roman"/>
          <w:lang w:eastAsia="zh-CN"/>
        </w:rPr>
        <w:t xml:space="preserve">d. The patient died </w:t>
      </w:r>
      <w:r w:rsidR="000505B7" w:rsidRPr="0066018D">
        <w:rPr>
          <w:rFonts w:ascii="Times New Roman" w:eastAsia="SimSun" w:hAnsi="Times New Roman"/>
          <w:lang w:eastAsia="zh-CN"/>
        </w:rPr>
        <w:t>1</w:t>
      </w:r>
      <w:r w:rsidR="007C0C77" w:rsidRPr="0066018D">
        <w:rPr>
          <w:rFonts w:ascii="Times New Roman" w:eastAsia="SimSun" w:hAnsi="Times New Roman"/>
          <w:lang w:eastAsia="zh-CN"/>
        </w:rPr>
        <w:t>8</w:t>
      </w:r>
      <w:r w:rsidR="000505B7" w:rsidRPr="0066018D">
        <w:rPr>
          <w:rFonts w:ascii="Times New Roman" w:eastAsia="SimSun" w:hAnsi="Times New Roman"/>
          <w:lang w:eastAsia="zh-CN"/>
        </w:rPr>
        <w:t xml:space="preserve"> days after hospital admission </w:t>
      </w:r>
      <w:r w:rsidRPr="0066018D">
        <w:rPr>
          <w:rFonts w:ascii="Times New Roman" w:eastAsia="SimSun" w:hAnsi="Times New Roman"/>
          <w:lang w:eastAsia="zh-CN"/>
        </w:rPr>
        <w:t>from abrupt splenic rupture before diagnostic work-up was finished. Except for corticosteroids and supportive therapy, other specific treatment was not initiated.</w:t>
      </w:r>
    </w:p>
    <w:p w:rsidR="00857AD5" w:rsidRPr="0066018D" w:rsidRDefault="00A10B76" w:rsidP="00E671D9">
      <w:pPr>
        <w:spacing w:after="0" w:line="480" w:lineRule="auto"/>
        <w:rPr>
          <w:rFonts w:ascii="Times New Roman" w:eastAsia="SimSun" w:hAnsi="Times New Roman"/>
          <w:lang w:eastAsia="zh-CN"/>
        </w:rPr>
      </w:pPr>
      <w:r w:rsidRPr="0066018D">
        <w:rPr>
          <w:rFonts w:ascii="Times New Roman" w:eastAsia="SimSun" w:hAnsi="Times New Roman"/>
          <w:lang w:eastAsia="zh-CN"/>
        </w:rPr>
        <w:t>Postmortem examination revealed pathologic findings in several organs. Lymph nodes were enlarged with affected architecture. Diffuse infiltrates were</w:t>
      </w:r>
      <w:r w:rsidR="00857AD5" w:rsidRPr="0066018D">
        <w:rPr>
          <w:rFonts w:ascii="Times New Roman" w:eastAsia="SimSun" w:hAnsi="Times New Roman"/>
          <w:lang w:eastAsia="zh-CN"/>
        </w:rPr>
        <w:t xml:space="preserve"> </w:t>
      </w:r>
      <w:r w:rsidRPr="0066018D">
        <w:rPr>
          <w:rFonts w:ascii="Times New Roman" w:eastAsia="SimSun" w:hAnsi="Times New Roman"/>
          <w:lang w:eastAsia="zh-CN"/>
        </w:rPr>
        <w:t>composed of polymorphous medium-sized and large lymphoid cells with irregular, pleomorphic nuclei exhibiting high proliferative activity, admixed with typical and atypical plasma cells (Fig. 2). Immunophenotyping revealed CD3 and CD4 positivity in atypical lymphocytes, while CD8, BCL-6, CD10 and PD-1 were negative. Scattered expression of CD30 was also present on large lymphocytes, while atypical plasma cells in lymph nodes were CD38 positive and mostly CD138 negative. In situ hybridization of Epstein-Barr virus (EBV) encoded RNA 1 detected EBV transcripts in rare lymphoid cells (Fig. 2). The spleen, liver and kidney were also infiltrated with atypical lymphocytes and plasma cells. Skin biopsy showed superficial and deep dermal infiltrate consisting of medium- to large-sized atypical cells with irregular nuclei, occasionally prominent nucleoli, variable chromatin pattern, and high mitotic activity. Atypical cells were mostly CD3 and CD4 positive, while CD30 revealed scattered large CD30 positive lymphocytes in the background of lymphocytes and rare neutrophils and eosinophils.</w:t>
      </w:r>
    </w:p>
    <w:p w:rsidR="00857AD5" w:rsidRPr="0066018D" w:rsidRDefault="00EA4992" w:rsidP="00857AD5">
      <w:pPr>
        <w:spacing w:after="0" w:line="480" w:lineRule="auto"/>
        <w:rPr>
          <w:rFonts w:ascii="Times New Roman" w:eastAsia="SimSun" w:hAnsi="Times New Roman"/>
          <w:lang w:eastAsia="zh-CN"/>
        </w:rPr>
      </w:pPr>
      <w:r w:rsidRPr="0066018D">
        <w:rPr>
          <w:rFonts w:ascii="Times New Roman" w:eastAsia="SimSun" w:hAnsi="Times New Roman"/>
          <w:lang w:eastAsia="zh-CN"/>
        </w:rPr>
        <w:t>B</w:t>
      </w:r>
      <w:r w:rsidR="00857AD5" w:rsidRPr="0066018D">
        <w:rPr>
          <w:rFonts w:ascii="Times New Roman" w:eastAsia="SimSun" w:hAnsi="Times New Roman"/>
          <w:lang w:eastAsia="zh-CN"/>
        </w:rPr>
        <w:t>one marrow aspirate showed excess of plasma cells (35%), partly atypical. Bone marrow biopsy showed hypercellularity with focal and diffuse increase in CD1</w:t>
      </w:r>
      <w:r w:rsidR="00E26E5D">
        <w:rPr>
          <w:rFonts w:ascii="Times New Roman" w:eastAsia="SimSun" w:hAnsi="Times New Roman"/>
          <w:lang w:eastAsia="zh-CN"/>
        </w:rPr>
        <w:t>38-positive cells (57%) (Fig. 1c</w:t>
      </w:r>
      <w:r w:rsidR="00857AD5" w:rsidRPr="0066018D">
        <w:rPr>
          <w:rFonts w:ascii="Times New Roman" w:eastAsia="SimSun" w:hAnsi="Times New Roman"/>
          <w:lang w:eastAsia="zh-CN"/>
        </w:rPr>
        <w:t xml:space="preserve">), and </w:t>
      </w:r>
      <w:r w:rsidR="00857AD5" w:rsidRPr="0066018D">
        <w:rPr>
          <w:rFonts w:ascii="Times New Roman" w:eastAsia="SimSun" w:hAnsi="Times New Roman"/>
          <w:lang w:eastAsia="zh-CN"/>
        </w:rPr>
        <w:lastRenderedPageBreak/>
        <w:t>lambda light chain rest</w:t>
      </w:r>
      <w:r w:rsidR="00E26E5D">
        <w:rPr>
          <w:rFonts w:ascii="Times New Roman" w:eastAsia="SimSun" w:hAnsi="Times New Roman"/>
          <w:lang w:eastAsia="zh-CN"/>
        </w:rPr>
        <w:t>riction in plasma cells (Fig. 1d</w:t>
      </w:r>
      <w:r w:rsidR="00857AD5" w:rsidRPr="0066018D">
        <w:rPr>
          <w:rFonts w:ascii="Times New Roman" w:eastAsia="SimSun" w:hAnsi="Times New Roman"/>
          <w:lang w:eastAsia="zh-CN"/>
        </w:rPr>
        <w:t xml:space="preserve">). There was no evidence of osteolytic lesions. Neck lymph node fine-needle aspiration biopsy (FNA) was suggestive of hematologic malignancy possibly originating from plasma cells. Some large lymphoid cells with lobulated nuclei, though, were negative for CD138 and CD20. Additional immunocytochemistry was not performed due to insufficient material. </w:t>
      </w:r>
    </w:p>
    <w:p w:rsidR="00857AD5" w:rsidRPr="0066018D" w:rsidRDefault="00857AD5" w:rsidP="00857AD5">
      <w:pPr>
        <w:spacing w:after="0" w:line="480" w:lineRule="auto"/>
        <w:rPr>
          <w:rFonts w:ascii="Times New Roman" w:eastAsia="SimSun" w:hAnsi="Times New Roman"/>
          <w:lang w:eastAsia="zh-CN"/>
        </w:rPr>
      </w:pPr>
      <w:r w:rsidRPr="0066018D">
        <w:rPr>
          <w:rFonts w:ascii="Times New Roman" w:eastAsia="SimSun" w:hAnsi="Times New Roman"/>
          <w:lang w:eastAsia="zh-CN"/>
        </w:rPr>
        <w:t>Postmortem examination revealed pathologic findings in several organs. Lymph nodes were enlarged with affected architecture. Diffuse infiltrates were composed of polymorphous medium-sized and large lymphoid cells with irregular, pleomorphic nuclei exhibiting high proliferative activity, admixed with typical and atypical plasma cells (Fig. 2). Immunophenotyping revealed CD3 and CD4 positivity in atypical lymphocytes, while CD8, BCL-6, CD10 and PD-1 were negative. Scattered expression of CD30 was also present on large lymphocytes, while atypical plasma cells in lymph nodes were CD38 positive and mostly CD138 negative. In situ hybridization of Epstein-Barr virus (EBV) encoded RNA 1 detected EBV transcripts in rare lymphoid cells (Fig. 2). The spleen, liver and kidney were also infiltrated with atypical lymphocytes and plasma cells. Skin biopsy showed superficial and deep dermal infiltrate consisting of medium- to large-sized atypical cells with irregular nuclei, occasionally prominent nucleoli, variable chromatin pattern, and high mitotic activity. Atypical cells were mostly CD3 and CD4 positive, while CD30 revealed scattered large CD30 positive lymphocytes in the background of lymphocytes and rare neutrophils and eosinophils.</w:t>
      </w:r>
    </w:p>
    <w:p w:rsidR="000C2CCD" w:rsidRPr="0066018D" w:rsidRDefault="000C2CCD" w:rsidP="000C3794">
      <w:pPr>
        <w:spacing w:after="0" w:line="480" w:lineRule="auto"/>
        <w:rPr>
          <w:rFonts w:ascii="Times New Roman" w:hAnsi="Times New Roman"/>
          <w:bCs/>
          <w:i/>
        </w:rPr>
      </w:pPr>
    </w:p>
    <w:p w:rsidR="00A10B76" w:rsidRPr="0066018D" w:rsidRDefault="00A10B76" w:rsidP="000C3794">
      <w:pPr>
        <w:spacing w:after="0" w:line="480" w:lineRule="auto"/>
        <w:rPr>
          <w:rFonts w:ascii="Times New Roman" w:hAnsi="Times New Roman"/>
          <w:bCs/>
          <w:i/>
        </w:rPr>
      </w:pPr>
      <w:r w:rsidRPr="0066018D">
        <w:rPr>
          <w:rFonts w:ascii="Times New Roman" w:hAnsi="Times New Roman"/>
          <w:bCs/>
          <w:i/>
        </w:rPr>
        <w:t>Discussion</w:t>
      </w:r>
    </w:p>
    <w:p w:rsidR="00A10B76" w:rsidRPr="0066018D" w:rsidRDefault="00A10B76" w:rsidP="000C3794">
      <w:pPr>
        <w:spacing w:after="0" w:line="480" w:lineRule="auto"/>
        <w:rPr>
          <w:rFonts w:ascii="Times New Roman" w:hAnsi="Times New Roman"/>
        </w:rPr>
      </w:pPr>
      <w:r w:rsidRPr="0066018D">
        <w:rPr>
          <w:rFonts w:ascii="Times New Roman" w:hAnsi="Times New Roman"/>
        </w:rPr>
        <w:t xml:space="preserve">This case is presented for the rare concurrence of IgG PCL, PTCL-NOS and IgA hypergammaglobulinemia. Plasma cell neoplasm may coexist with other lymphoid malignancies, most commonly chronic lymphocytic </w:t>
      </w:r>
      <w:r w:rsidR="009A2C14" w:rsidRPr="0066018D">
        <w:rPr>
          <w:rFonts w:ascii="Times New Roman" w:hAnsi="Times New Roman"/>
        </w:rPr>
        <w:t xml:space="preserve">leukemia </w:t>
      </w:r>
      <w:r w:rsidRPr="0066018D">
        <w:rPr>
          <w:rFonts w:ascii="Times New Roman" w:hAnsi="Times New Roman"/>
        </w:rPr>
        <w:t xml:space="preserve">and monoclonal B-cell lymphocytosis. Simultaneous occurrence with T-cell neoplasm is rare. When the development of malignancies is metachronous, they are usually </w:t>
      </w:r>
      <w:r w:rsidR="009A2C14" w:rsidRPr="0066018D">
        <w:rPr>
          <w:rFonts w:ascii="Times New Roman" w:hAnsi="Times New Roman"/>
        </w:rPr>
        <w:t>diagnosed straightforward</w:t>
      </w:r>
      <w:r w:rsidRPr="0066018D">
        <w:rPr>
          <w:rFonts w:ascii="Times New Roman" w:hAnsi="Times New Roman"/>
        </w:rPr>
        <w:t xml:space="preserve">. On the other hand, synchronous detection of plasma cell neoplasm and lymphoid malignancy brings up a broad differential diagnosis. </w:t>
      </w:r>
    </w:p>
    <w:p w:rsidR="00A10B76" w:rsidRPr="0066018D" w:rsidRDefault="00A10B76" w:rsidP="000C3794">
      <w:pPr>
        <w:spacing w:after="0" w:line="480" w:lineRule="auto"/>
        <w:rPr>
          <w:rFonts w:ascii="Times New Roman" w:hAnsi="Times New Roman"/>
        </w:rPr>
      </w:pPr>
      <w:r w:rsidRPr="0066018D">
        <w:rPr>
          <w:rFonts w:ascii="Times New Roman" w:hAnsi="Times New Roman"/>
        </w:rPr>
        <w:t xml:space="preserve">In the present case, the first differential diagnostic challenge was the increased number of plasma cells in peripheral blood. Generally, the presence of plasma cells, plasmacytoid lymphocytes and </w:t>
      </w:r>
      <w:r w:rsidRPr="0066018D">
        <w:rPr>
          <w:rFonts w:ascii="Times New Roman" w:hAnsi="Times New Roman"/>
        </w:rPr>
        <w:lastRenderedPageBreak/>
        <w:t>immunoblasts in the peripheral blood smear is suggestive of a reactive process. The latter may include bacterial or viral infections and autoimmune diseases. It is more rarely associated with a neoplastic process, as in angioimmuno</w:t>
      </w:r>
      <w:r w:rsidR="0007108B" w:rsidRPr="0066018D">
        <w:rPr>
          <w:rFonts w:ascii="Times New Roman" w:hAnsi="Times New Roman"/>
        </w:rPr>
        <w:t xml:space="preserve">blastic T-cell lymphoma (AITL) </w:t>
      </w:r>
      <w:r w:rsidR="0053299B" w:rsidRPr="0066018D">
        <w:rPr>
          <w:rFonts w:ascii="Times New Roman" w:hAnsi="Times New Roman"/>
        </w:rPr>
        <w:t>(</w:t>
      </w:r>
      <w:r w:rsidRPr="0066018D">
        <w:rPr>
          <w:rFonts w:ascii="Times New Roman" w:hAnsi="Times New Roman"/>
        </w:rPr>
        <w:t>13</w:t>
      </w:r>
      <w:r w:rsidR="0053299B" w:rsidRPr="0066018D">
        <w:rPr>
          <w:rFonts w:ascii="Times New Roman" w:hAnsi="Times New Roman"/>
        </w:rPr>
        <w:t>)</w:t>
      </w:r>
      <w:r w:rsidRPr="0066018D">
        <w:rPr>
          <w:rFonts w:ascii="Times New Roman" w:hAnsi="Times New Roman"/>
        </w:rPr>
        <w:t xml:space="preserve">. These plasma cells are polyclonal in nature and should be distinguished from clonal proliferation. However, in our patient, serum immunofixation detected both polyclonal IgA plasma cell proliferation and clonal IgG. AITL is frequently associated with polyclonal B-cell or plasma cell proliferation, while clonal proliferation has been rarely reported </w:t>
      </w:r>
      <w:r w:rsidR="0053299B" w:rsidRPr="0066018D">
        <w:rPr>
          <w:rFonts w:ascii="Times New Roman" w:hAnsi="Times New Roman"/>
        </w:rPr>
        <w:t>(</w:t>
      </w:r>
      <w:r w:rsidRPr="0066018D">
        <w:rPr>
          <w:rFonts w:ascii="Times New Roman" w:hAnsi="Times New Roman"/>
        </w:rPr>
        <w:t>14-16</w:t>
      </w:r>
      <w:r w:rsidR="0053299B" w:rsidRPr="0066018D">
        <w:rPr>
          <w:rFonts w:ascii="Times New Roman" w:hAnsi="Times New Roman"/>
        </w:rPr>
        <w:t>)</w:t>
      </w:r>
      <w:r w:rsidRPr="0066018D">
        <w:rPr>
          <w:rFonts w:ascii="Times New Roman" w:hAnsi="Times New Roman"/>
        </w:rPr>
        <w:t xml:space="preserve">. The B-cell expansion observed in AITL has been proposed to be related to the function of neoplastic follicular helper T cells. </w:t>
      </w:r>
    </w:p>
    <w:p w:rsidR="00A10B76" w:rsidRPr="0066018D" w:rsidRDefault="00A10B76" w:rsidP="000C3794">
      <w:pPr>
        <w:spacing w:after="0" w:line="480" w:lineRule="auto"/>
        <w:rPr>
          <w:rFonts w:ascii="Times New Roman" w:hAnsi="Times New Roman"/>
        </w:rPr>
      </w:pPr>
      <w:r w:rsidRPr="0066018D">
        <w:rPr>
          <w:rFonts w:ascii="Times New Roman" w:hAnsi="Times New Roman"/>
        </w:rPr>
        <w:t xml:space="preserve">In the case described, lymph nodes, spleen, bone marrow, liver, skin and other organs were infiltrated with typical and atypical plasma cells masking underlying lymphoma composed of atypical T lymphocytes. Thus, our second differential diagnosis included AITL </w:t>
      </w:r>
      <w:r w:rsidRPr="0066018D">
        <w:rPr>
          <w:rFonts w:ascii="Times New Roman" w:hAnsi="Times New Roman"/>
          <w:lang w:eastAsia="hr-HR"/>
        </w:rPr>
        <w:t xml:space="preserve">as one of the most common subtypes of peripheral T-cell lymphoma </w:t>
      </w:r>
      <w:r w:rsidRPr="0066018D">
        <w:rPr>
          <w:rFonts w:ascii="Times New Roman" w:hAnsi="Times New Roman"/>
        </w:rPr>
        <w:t xml:space="preserve">commonly accompanied with polyclonal hypergammaglobulinemia, circulating plasma cells, plasmacytoid lymphocytes and immunoblasts. Even exuberant reactive plasmacytosis mimicking plasma cell leukemia </w:t>
      </w:r>
      <w:r w:rsidR="0053299B" w:rsidRPr="0066018D">
        <w:rPr>
          <w:rFonts w:ascii="Times New Roman" w:hAnsi="Times New Roman"/>
        </w:rPr>
        <w:t>(</w:t>
      </w:r>
      <w:r w:rsidRPr="0066018D">
        <w:rPr>
          <w:rFonts w:ascii="Times New Roman" w:hAnsi="Times New Roman"/>
        </w:rPr>
        <w:t>17-19</w:t>
      </w:r>
      <w:r w:rsidR="0053299B" w:rsidRPr="0066018D">
        <w:rPr>
          <w:rFonts w:ascii="Times New Roman" w:hAnsi="Times New Roman"/>
        </w:rPr>
        <w:t>)</w:t>
      </w:r>
      <w:r w:rsidRPr="0066018D">
        <w:rPr>
          <w:rFonts w:ascii="Times New Roman" w:hAnsi="Times New Roman"/>
        </w:rPr>
        <w:t xml:space="preserve"> or simultaneous occurrence of AITL and plasma cell leukemia has been reported </w:t>
      </w:r>
      <w:r w:rsidR="0053299B" w:rsidRPr="0066018D">
        <w:rPr>
          <w:rFonts w:ascii="Times New Roman" w:hAnsi="Times New Roman"/>
        </w:rPr>
        <w:t>(</w:t>
      </w:r>
      <w:r w:rsidRPr="0066018D">
        <w:rPr>
          <w:rFonts w:ascii="Times New Roman" w:hAnsi="Times New Roman"/>
        </w:rPr>
        <w:t>20</w:t>
      </w:r>
      <w:r w:rsidR="0053299B" w:rsidRPr="0066018D">
        <w:rPr>
          <w:rFonts w:ascii="Times New Roman" w:hAnsi="Times New Roman"/>
        </w:rPr>
        <w:t>)</w:t>
      </w:r>
      <w:r w:rsidRPr="0066018D">
        <w:rPr>
          <w:rFonts w:ascii="Times New Roman" w:hAnsi="Times New Roman"/>
        </w:rPr>
        <w:t xml:space="preserve">. </w:t>
      </w:r>
    </w:p>
    <w:p w:rsidR="00A10B76" w:rsidRPr="0066018D" w:rsidRDefault="00A10B76" w:rsidP="000C3794">
      <w:pPr>
        <w:spacing w:after="0" w:line="480" w:lineRule="auto"/>
        <w:rPr>
          <w:rFonts w:ascii="Times New Roman" w:hAnsi="Times New Roman"/>
        </w:rPr>
      </w:pPr>
      <w:r w:rsidRPr="0066018D">
        <w:rPr>
          <w:rFonts w:ascii="Times New Roman" w:hAnsi="Times New Roman"/>
        </w:rPr>
        <w:t xml:space="preserve">Morphologically, AITL is characterized by polymorphous infiltrates, atypical neoplastic T-cells, clear cells, and the presence of high endothelial and extrafollicular proliferation of follicular dendritic cellular meshwork. It is a systemic disease clinically characterized by lymphadenopathy, hepatosplenomegaly, skin rash, constitutional symptoms, bone marrow plasmacytosis in 50% of cases, polyclonal hypergammaglobulinemia and hematologic abnormalities. In the present case, many of these symptoms were present. </w:t>
      </w:r>
      <w:r w:rsidR="0099634E" w:rsidRPr="0066018D">
        <w:rPr>
          <w:rFonts w:ascii="Times New Roman" w:hAnsi="Times New Roman"/>
        </w:rPr>
        <w:t xml:space="preserve">However, histological and immunohistochemical findings were more consistent with PTCL-NOS rather than AITL. </w:t>
      </w:r>
    </w:p>
    <w:p w:rsidR="00A10B76" w:rsidRPr="0066018D" w:rsidRDefault="00A10B76" w:rsidP="000C3794">
      <w:pPr>
        <w:spacing w:after="0" w:line="480" w:lineRule="auto"/>
        <w:rPr>
          <w:rFonts w:ascii="Times New Roman" w:hAnsi="Times New Roman"/>
        </w:rPr>
      </w:pPr>
      <w:r w:rsidRPr="0066018D">
        <w:rPr>
          <w:rFonts w:ascii="Times New Roman" w:hAnsi="Times New Roman"/>
        </w:rPr>
        <w:t xml:space="preserve">The mechanism of polyclonal proliferation of plasma cells in peripheral blood of T-cell lymphoma patients is probably multifactorial. According to some authors, the EBV infection of B-cells in AITL may contribute to reactive plasma cell proliferation </w:t>
      </w:r>
      <w:r w:rsidR="0053299B" w:rsidRPr="0066018D">
        <w:rPr>
          <w:rFonts w:ascii="Times New Roman" w:hAnsi="Times New Roman"/>
        </w:rPr>
        <w:t>(</w:t>
      </w:r>
      <w:r w:rsidRPr="0066018D">
        <w:rPr>
          <w:rFonts w:ascii="Times New Roman" w:hAnsi="Times New Roman"/>
        </w:rPr>
        <w:t>17</w:t>
      </w:r>
      <w:r w:rsidR="0053299B" w:rsidRPr="0066018D">
        <w:rPr>
          <w:rFonts w:ascii="Times New Roman" w:hAnsi="Times New Roman"/>
        </w:rPr>
        <w:t>)</w:t>
      </w:r>
      <w:r w:rsidRPr="0066018D">
        <w:rPr>
          <w:rFonts w:ascii="Times New Roman" w:hAnsi="Times New Roman"/>
        </w:rPr>
        <w:t xml:space="preserve">. Namely, increased release of cytokines, such as IL-6 or IL-10, which are known to stimulate plasma cell generation, may contribute to this process. Probably, this mechanism could have also been involved in our case, since </w:t>
      </w:r>
      <w:r w:rsidRPr="0066018D">
        <w:rPr>
          <w:rFonts w:ascii="Times New Roman" w:eastAsia="SimSun" w:hAnsi="Times New Roman"/>
          <w:lang w:eastAsia="zh-CN"/>
        </w:rPr>
        <w:t xml:space="preserve">EBV encoded RNA 1 transcripts were detected in rare lymphoid cells. </w:t>
      </w:r>
      <w:r w:rsidRPr="0066018D">
        <w:rPr>
          <w:rFonts w:ascii="Times New Roman" w:hAnsi="Times New Roman"/>
        </w:rPr>
        <w:t xml:space="preserve">However, the relationship between T-cell and plasma </w:t>
      </w:r>
      <w:r w:rsidRPr="0066018D">
        <w:rPr>
          <w:rFonts w:ascii="Times New Roman" w:hAnsi="Times New Roman"/>
        </w:rPr>
        <w:lastRenderedPageBreak/>
        <w:t xml:space="preserve">cell neoplasms is unclear, as various studies have described different possible mechanisms of tumorigenesis. Yet, some authors hypothesize that the clonal plasma cell population is unrelated to T-cell lymphoma </w:t>
      </w:r>
      <w:r w:rsidR="0053299B" w:rsidRPr="0066018D">
        <w:rPr>
          <w:rFonts w:ascii="Times New Roman" w:hAnsi="Times New Roman"/>
        </w:rPr>
        <w:t>(</w:t>
      </w:r>
      <w:r w:rsidRPr="0066018D">
        <w:rPr>
          <w:rFonts w:ascii="Times New Roman" w:hAnsi="Times New Roman"/>
        </w:rPr>
        <w:t>20</w:t>
      </w:r>
      <w:r w:rsidR="0053299B" w:rsidRPr="0066018D">
        <w:rPr>
          <w:rFonts w:ascii="Times New Roman" w:hAnsi="Times New Roman"/>
        </w:rPr>
        <w:t>)</w:t>
      </w:r>
      <w:r w:rsidRPr="0066018D">
        <w:rPr>
          <w:rFonts w:ascii="Times New Roman" w:hAnsi="Times New Roman"/>
        </w:rPr>
        <w:t>.</w:t>
      </w:r>
    </w:p>
    <w:p w:rsidR="00A10B76" w:rsidRPr="0066018D" w:rsidRDefault="00A10B76" w:rsidP="000C3794">
      <w:pPr>
        <w:spacing w:after="0" w:line="480" w:lineRule="auto"/>
        <w:rPr>
          <w:rFonts w:ascii="Times New Roman" w:hAnsi="Times New Roman"/>
        </w:rPr>
      </w:pPr>
      <w:r w:rsidRPr="0066018D">
        <w:rPr>
          <w:rFonts w:ascii="Times New Roman" w:hAnsi="Times New Roman"/>
        </w:rPr>
        <w:t>To the best of our knowledge, the case presented is the first report of PTCL-NOS associated with marked proliferation of monoclonal and polyclonal plasma cells, thereby potentially masking underlying T cell lymphoma. It is clinically important to be aware of this possible effect when determining treatment strategies and prognostic stratification.</w:t>
      </w:r>
      <w:r w:rsidR="00F96439" w:rsidRPr="0066018D">
        <w:rPr>
          <w:rFonts w:ascii="Times New Roman" w:hAnsi="Times New Roman"/>
        </w:rPr>
        <w:t xml:space="preserve"> Despite the fact that lymphadenopathy</w:t>
      </w:r>
      <w:r w:rsidR="009A1097" w:rsidRPr="0066018D">
        <w:rPr>
          <w:rFonts w:ascii="Times New Roman" w:hAnsi="Times New Roman"/>
        </w:rPr>
        <w:t xml:space="preserve"> </w:t>
      </w:r>
      <w:r w:rsidR="00F96439" w:rsidRPr="0066018D">
        <w:rPr>
          <w:rFonts w:ascii="Times New Roman" w:hAnsi="Times New Roman"/>
        </w:rPr>
        <w:t xml:space="preserve">is expected finding, the presence of enlarged lymph nodes in plasma cell leukemia requires additional morphological analysis. Furthermore, this case emphasizes the importance of serious interpretation of serum electrophoresis when monoclonal and polyclonal gammopathy simultaneously exist. </w:t>
      </w:r>
      <w:r w:rsidRPr="0066018D">
        <w:rPr>
          <w:rFonts w:ascii="Times New Roman" w:hAnsi="Times New Roman"/>
        </w:rPr>
        <w:t xml:space="preserve"> In the present case, the patient developed more than one </w:t>
      </w:r>
      <w:r w:rsidR="0099634E" w:rsidRPr="0066018D">
        <w:rPr>
          <w:rFonts w:ascii="Times New Roman" w:hAnsi="Times New Roman"/>
        </w:rPr>
        <w:t>histological</w:t>
      </w:r>
      <w:r w:rsidRPr="0066018D">
        <w:rPr>
          <w:rFonts w:ascii="Times New Roman" w:hAnsi="Times New Roman"/>
        </w:rPr>
        <w:t xml:space="preserve"> type of lymphoproliferative disease, i.e. PTCL-NOS and aggressive plasma cell leukemia, which were associated with poor prognosis. </w:t>
      </w:r>
    </w:p>
    <w:p w:rsidR="00857AD5" w:rsidRPr="0066018D" w:rsidRDefault="00857AD5" w:rsidP="000C3794">
      <w:pPr>
        <w:spacing w:after="0" w:line="480" w:lineRule="auto"/>
        <w:rPr>
          <w:rFonts w:ascii="Times New Roman" w:hAnsi="Times New Roman"/>
        </w:rPr>
      </w:pPr>
    </w:p>
    <w:p w:rsidR="009A1097" w:rsidRPr="0066018D" w:rsidRDefault="00857AD5" w:rsidP="000C3794">
      <w:pPr>
        <w:spacing w:after="0" w:line="480" w:lineRule="auto"/>
        <w:rPr>
          <w:rFonts w:ascii="Times New Roman" w:hAnsi="Times New Roman"/>
        </w:rPr>
      </w:pPr>
      <w:r w:rsidRPr="0066018D">
        <w:rPr>
          <w:rFonts w:ascii="Times New Roman" w:hAnsi="Times New Roman"/>
          <w:i/>
        </w:rPr>
        <w:t>Compliance with ethical standards</w:t>
      </w:r>
      <w:r w:rsidR="00A10B76" w:rsidRPr="0066018D">
        <w:rPr>
          <w:rFonts w:ascii="Times New Roman" w:hAnsi="Times New Roman"/>
          <w:b/>
        </w:rPr>
        <w:t xml:space="preserve"> </w:t>
      </w:r>
      <w:r w:rsidR="00D44082" w:rsidRPr="0066018D">
        <w:rPr>
          <w:rFonts w:ascii="Times New Roman" w:hAnsi="Times New Roman"/>
        </w:rPr>
        <w:t xml:space="preserve">This article does not contain any studies with human participants performed by any of the authors. All the procedures performed and described in this case report were done due to diagnostic purposes. </w:t>
      </w:r>
    </w:p>
    <w:p w:rsidR="00D44082" w:rsidRPr="0066018D" w:rsidRDefault="00D44082" w:rsidP="000C3794">
      <w:pPr>
        <w:spacing w:after="0" w:line="480" w:lineRule="auto"/>
        <w:rPr>
          <w:rFonts w:ascii="Times New Roman" w:hAnsi="Times New Roman"/>
        </w:rPr>
      </w:pPr>
    </w:p>
    <w:p w:rsidR="002E065E" w:rsidRPr="0066018D" w:rsidRDefault="00981834" w:rsidP="000C3794">
      <w:pPr>
        <w:spacing w:after="0" w:line="480" w:lineRule="auto"/>
        <w:rPr>
          <w:rFonts w:ascii="Times New Roman" w:hAnsi="Times New Roman"/>
        </w:rPr>
      </w:pPr>
      <w:r w:rsidRPr="0066018D">
        <w:rPr>
          <w:rFonts w:ascii="Times New Roman" w:hAnsi="Times New Roman"/>
          <w:i/>
        </w:rPr>
        <w:t>Conflict of interes:</w:t>
      </w:r>
      <w:r w:rsidRPr="0066018D">
        <w:rPr>
          <w:rFonts w:ascii="Times New Roman" w:hAnsi="Times New Roman"/>
        </w:rPr>
        <w:t xml:space="preserve"> The authors declare that they have no conflict of interes.</w:t>
      </w:r>
    </w:p>
    <w:p w:rsidR="002E065E" w:rsidRPr="0066018D" w:rsidRDefault="002E065E" w:rsidP="000C3794">
      <w:pPr>
        <w:spacing w:after="0" w:line="480" w:lineRule="auto"/>
        <w:rPr>
          <w:rFonts w:ascii="Times New Roman" w:hAnsi="Times New Roman"/>
        </w:rPr>
      </w:pPr>
    </w:p>
    <w:p w:rsidR="000C2CCD" w:rsidRPr="0066018D" w:rsidRDefault="000C2CCD" w:rsidP="00893763">
      <w:pPr>
        <w:spacing w:after="0" w:line="480" w:lineRule="auto"/>
        <w:ind w:left="360"/>
        <w:rPr>
          <w:rFonts w:ascii="Times New Roman" w:hAnsi="Times New Roman"/>
          <w:bCs/>
          <w:i/>
        </w:rPr>
      </w:pPr>
    </w:p>
    <w:p w:rsidR="00A10B76" w:rsidRPr="0066018D" w:rsidRDefault="002E065E" w:rsidP="00893763">
      <w:pPr>
        <w:spacing w:after="0" w:line="480" w:lineRule="auto"/>
        <w:ind w:left="360"/>
        <w:rPr>
          <w:rFonts w:ascii="Times New Roman" w:hAnsi="Times New Roman"/>
          <w:bCs/>
          <w:i/>
        </w:rPr>
      </w:pPr>
      <w:r w:rsidRPr="0066018D">
        <w:rPr>
          <w:rFonts w:ascii="Times New Roman" w:hAnsi="Times New Roman"/>
          <w:bCs/>
          <w:i/>
        </w:rPr>
        <w:t>R</w:t>
      </w:r>
      <w:r w:rsidR="00A10B76" w:rsidRPr="0066018D">
        <w:rPr>
          <w:rFonts w:ascii="Times New Roman" w:hAnsi="Times New Roman"/>
          <w:bCs/>
          <w:i/>
        </w:rPr>
        <w:t>eferences</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lang w:val="it-IT"/>
        </w:rPr>
        <w:t xml:space="preserve">Volk AL, Vannucci SA, Cook W, et al. </w:t>
      </w:r>
      <w:r w:rsidRPr="0066018D">
        <w:rPr>
          <w:rFonts w:ascii="Times New Roman" w:hAnsi="Times New Roman"/>
        </w:rPr>
        <w:t>Composite mycosis fungoides and B cell chronic lymphocytic leukemia. Ann Diag Pathol. 2002;6:172 182.</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Whitling NA, Shanesmith RP, Jacob L, et al.</w:t>
      </w:r>
      <w:r w:rsidRPr="0066018D">
        <w:rPr>
          <w:rFonts w:ascii="Times New Roman" w:hAnsi="Times New Roman"/>
          <w:vertAlign w:val="superscript"/>
        </w:rPr>
        <w:t xml:space="preserve">, </w:t>
      </w:r>
      <w:r w:rsidRPr="0066018D">
        <w:rPr>
          <w:rFonts w:ascii="Times New Roman" w:hAnsi="Times New Roman"/>
        </w:rPr>
        <w:t>Composite lymphoma of mycosis fungoides and cutaneous small B  cell lymphoma in a 73  year  old male patient. Hum Pathol 2013;44:670 675.</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lastRenderedPageBreak/>
        <w:t>Cotter FE, Young BD, Ilister TA. Simultaneous presentation of T   and B cell malignant lymphoma with bcl  2 gene involvement. Blood 1989;73:1387 1388.</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Ioachim HL, Medeiros LJ. Composite lymphoma. In: Ioachim HL, Medeiros LJ, eds. Ioachim’s Lymph node pathology, 4</w:t>
      </w:r>
      <w:r w:rsidRPr="0066018D">
        <w:rPr>
          <w:rFonts w:ascii="Times New Roman" w:hAnsi="Times New Roman"/>
          <w:vertAlign w:val="superscript"/>
        </w:rPr>
        <w:t>th</w:t>
      </w:r>
      <w:r w:rsidRPr="0066018D">
        <w:rPr>
          <w:rFonts w:ascii="Times New Roman" w:hAnsi="Times New Roman"/>
        </w:rPr>
        <w:t xml:space="preserve"> Edition. </w:t>
      </w:r>
      <w:r w:rsidRPr="0066018D">
        <w:rPr>
          <w:rFonts w:ascii="Times New Roman" w:hAnsi="Times New Roman"/>
          <w:shd w:val="clear" w:color="auto" w:fill="FFFFFF"/>
        </w:rPr>
        <w:t xml:space="preserve">Philadelphia:  </w:t>
      </w:r>
      <w:r w:rsidRPr="0066018D">
        <w:rPr>
          <w:rFonts w:ascii="Times New Roman" w:hAnsi="Times New Roman"/>
        </w:rPr>
        <w:t xml:space="preserve">Lippincott Williams &amp; Wilkins, 2009:452-459. </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Kim HK, Park CJ, Jang S, et al. The first case report of composite bone marrow involvement by simultaneously developed peripheral T cell lymphoma, not otherwise specified, and diffuse large B cell lymphoma. Ann Lab Med 2015;35:152 154.</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Cartron G, Roingeard P, Benboubker L, et al. Sezary syndrome in a patient with multiple myeloma: demonstration of a clonally distinct second malignancy. Eur J Haematol 1999;63(5):354 357.</w:t>
      </w:r>
    </w:p>
    <w:p w:rsidR="00162A40" w:rsidRPr="0066018D" w:rsidRDefault="00162A40" w:rsidP="00095A09">
      <w:pPr>
        <w:pStyle w:val="ListParagraph"/>
        <w:numPr>
          <w:ilvl w:val="0"/>
          <w:numId w:val="8"/>
        </w:numPr>
        <w:spacing w:after="0" w:line="600" w:lineRule="auto"/>
        <w:rPr>
          <w:rFonts w:ascii="Times New Roman" w:hAnsi="Times New Roman"/>
        </w:rPr>
      </w:pPr>
      <w:r w:rsidRPr="0066018D">
        <w:rPr>
          <w:rFonts w:ascii="Times New Roman" w:hAnsi="Times New Roman"/>
        </w:rPr>
        <w:t xml:space="preserve">Wickenhauser C, Borchmann P, Diehl V, et al. Development of IgG lambda multiple myeloma in a patient with cutaneous CD30+ anaplastic T  cell lymphoma. Leukemia Lymphoma 1999;35:201 206. </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 xml:space="preserve">Tangour M, Chelly I, Haouet S, et al. Multiple myeloma and cutaneous anaplastic large T cell lymphoma in the same patients: is there a causal relation? J Cutan Pathol 2011;38(3):298 300. </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Nassif S, El  Majzoub N, Abbas O, et al. Simultaneous occurrence of a CD30 positive/ALK  negative high grade T  cell lymphoma and plasma cell myeloma: report of a case. Hematol Oncol Stem Cell 2015;8:40 42.</w:t>
      </w:r>
      <w:r w:rsidRPr="0066018D">
        <w:rPr>
          <w:rFonts w:ascii="Times New Roman" w:hAnsi="Times New Roman"/>
          <w:highlight w:val="yellow"/>
        </w:rPr>
        <w:t xml:space="preserve"> </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 xml:space="preserve">Lorsbach RB, His ED, Dogan A, et al. Plasma cell myeloma and related neoplasms. Am J Clin Pathol 2011;136:168 182. </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lang w:val="it-IT"/>
        </w:rPr>
        <w:t xml:space="preserve">Gertz MA, Buadi FK. Plasma cell leukemia. </w:t>
      </w:r>
      <w:r w:rsidRPr="0066018D">
        <w:rPr>
          <w:rFonts w:ascii="Times New Roman" w:hAnsi="Times New Roman"/>
        </w:rPr>
        <w:t>Haematologica 2010;95:705 707.</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lastRenderedPageBreak/>
        <w:t xml:space="preserve">Naseem S, Kaur S, Gupta R, et al. Plasma cell leukemia: case series from a tertiary center with review of literature. Indian J Hematol Blood Transfus 2012;28:10 14. </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 xml:space="preserve">Lachenal F, Berger F, Ghesquieres H, et al. Angioimmunoblastic T  cell lymphoma: clinical and laboratory features at diagnosis in 77 patients. Medicine (Baltimore) 2007;86:282 292. </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Grogg KL, Morice WG, Macon WR. Spectrum of bone marrow findings in patients with angioimmunoblastic T cell lymphoma. Br J Haematol 2007;137:416 22.</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lang w:val="de-DE"/>
        </w:rPr>
        <w:t xml:space="preserve">Willenbrock K, Brauninger A, Hansmann ML. </w:t>
      </w:r>
      <w:r w:rsidRPr="0066018D">
        <w:rPr>
          <w:rFonts w:ascii="Times New Roman" w:hAnsi="Times New Roman"/>
        </w:rPr>
        <w:t>Frequent occurrence of B cell lymphomas in angioimmunoblastic T cell lymphoma and proliferation of Epstein  Barr virus  infected cells in early cases. Br J Haematol 2007;138:733 739.</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lang w:val="de-DE"/>
        </w:rPr>
        <w:t xml:space="preserve">Huppmann AR, Roullet MR, Raffeld M, et al. </w:t>
      </w:r>
      <w:r w:rsidRPr="0066018D">
        <w:rPr>
          <w:rFonts w:ascii="Times New Roman" w:hAnsi="Times New Roman"/>
        </w:rPr>
        <w:t xml:space="preserve">Angioimmunoblastic T cell lymphoma partially obscured by an Epstein Barr virus negative clonal plasma cell proliferation. J Clin Oncol 2013;31:28 30. </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Ahsanuddin AN, Brynes RK, Li S. Peripheral blood polyclonal plasmacytosis mimicking plasma cell leukemia in patients with angioimmunoblastic T  cell lymphoma: report of 3 cases and review of the literature. Int J Clin Exp Pathol 2011;4:416 420.</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Yamane A, Awaya N, Shimizu T, et al. Angioimmunoblastic T cell lymphoma with polyclonal proliferation of plasma cells in peripheral blood and marrow. Acta Haematol 2007;117:74 77.</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rPr>
        <w:t xml:space="preserve"> Saki H, Tanaka H, Katsurada T, et al. Angioimmunoblastic T  cell lymphoma initially presenting with replacement of bone marrow and peripheral plasmacytosis. Intern Med 2007;46:419 424.</w:t>
      </w:r>
    </w:p>
    <w:p w:rsidR="00162A40" w:rsidRPr="0066018D" w:rsidRDefault="00162A40" w:rsidP="00095A09">
      <w:pPr>
        <w:pStyle w:val="ListParagraph"/>
        <w:numPr>
          <w:ilvl w:val="0"/>
          <w:numId w:val="8"/>
        </w:numPr>
        <w:spacing w:before="100" w:beforeAutospacing="1" w:after="100" w:afterAutospacing="1" w:line="600" w:lineRule="auto"/>
        <w:rPr>
          <w:rFonts w:ascii="Times New Roman" w:hAnsi="Times New Roman"/>
        </w:rPr>
      </w:pPr>
      <w:r w:rsidRPr="0066018D">
        <w:rPr>
          <w:rFonts w:ascii="Times New Roman" w:hAnsi="Times New Roman"/>
          <w:lang w:val="pl-PL"/>
        </w:rPr>
        <w:lastRenderedPageBreak/>
        <w:t xml:space="preserve">Jang MA, Lee ST, Kim HJ, et al. </w:t>
      </w:r>
      <w:r w:rsidRPr="0066018D">
        <w:rPr>
          <w:rFonts w:ascii="Times New Roman" w:hAnsi="Times New Roman"/>
        </w:rPr>
        <w:t>Simultaneous occurrence of angioimmunoblastic T cell lymphoma and plasma cell leukemia. Ann Lab Med 2015;35:149 151.</w:t>
      </w:r>
    </w:p>
    <w:p w:rsidR="00162A40" w:rsidRPr="0066018D" w:rsidRDefault="00162A40" w:rsidP="00162A40">
      <w:pPr>
        <w:pStyle w:val="ListParagraph"/>
        <w:spacing w:after="0" w:line="480" w:lineRule="auto"/>
        <w:rPr>
          <w:rFonts w:ascii="Times New Roman" w:hAnsi="Times New Roman"/>
        </w:rPr>
      </w:pPr>
    </w:p>
    <w:p w:rsidR="00A10B76" w:rsidRPr="0066018D" w:rsidRDefault="003954BB" w:rsidP="000C3794">
      <w:pPr>
        <w:spacing w:after="0" w:line="480" w:lineRule="auto"/>
        <w:rPr>
          <w:rFonts w:ascii="Times New Roman" w:hAnsi="Times New Roman"/>
          <w:b/>
        </w:rPr>
      </w:pPr>
      <w:r w:rsidRPr="0066018D">
        <w:rPr>
          <w:rFonts w:ascii="Times New Roman" w:hAnsi="Times New Roman"/>
          <w:i/>
        </w:rPr>
        <w:t xml:space="preserve">Figure </w:t>
      </w:r>
      <w:r w:rsidR="009B0BC5" w:rsidRPr="0066018D">
        <w:rPr>
          <w:rFonts w:ascii="Times New Roman" w:hAnsi="Times New Roman"/>
          <w:i/>
        </w:rPr>
        <w:t>Legends</w:t>
      </w:r>
    </w:p>
    <w:p w:rsidR="00A10B76" w:rsidRPr="0066018D" w:rsidRDefault="003954BB" w:rsidP="000C3794">
      <w:pPr>
        <w:spacing w:after="0" w:line="480" w:lineRule="auto"/>
        <w:rPr>
          <w:rFonts w:ascii="Times New Roman" w:hAnsi="Times New Roman"/>
        </w:rPr>
      </w:pPr>
      <w:r w:rsidRPr="0066018D">
        <w:rPr>
          <w:rFonts w:ascii="Times New Roman" w:hAnsi="Times New Roman"/>
          <w:b/>
        </w:rPr>
        <w:t>Fig 1</w:t>
      </w:r>
      <w:r w:rsidR="00A10B76" w:rsidRPr="0066018D">
        <w:rPr>
          <w:rFonts w:ascii="Times New Roman" w:hAnsi="Times New Roman"/>
        </w:rPr>
        <w:t xml:space="preserve"> Increased number</w:t>
      </w:r>
      <w:r w:rsidR="00981834" w:rsidRPr="0066018D">
        <w:rPr>
          <w:rFonts w:ascii="Times New Roman" w:hAnsi="Times New Roman"/>
        </w:rPr>
        <w:t xml:space="preserve"> </w:t>
      </w:r>
      <w:r w:rsidR="00A10B76" w:rsidRPr="0066018D">
        <w:rPr>
          <w:rFonts w:ascii="Times New Roman" w:hAnsi="Times New Roman"/>
        </w:rPr>
        <w:t>of typical and atypical plasma cells in bone marrow smears</w:t>
      </w:r>
      <w:r w:rsidRPr="0066018D">
        <w:rPr>
          <w:rFonts w:ascii="Times New Roman" w:hAnsi="Times New Roman"/>
        </w:rPr>
        <w:t xml:space="preserve"> (a</w:t>
      </w:r>
      <w:r w:rsidR="00E25357" w:rsidRPr="0066018D">
        <w:rPr>
          <w:rFonts w:ascii="Times New Roman" w:hAnsi="Times New Roman"/>
        </w:rPr>
        <w:t>)</w:t>
      </w:r>
      <w:r w:rsidR="00A10B76" w:rsidRPr="0066018D">
        <w:rPr>
          <w:rFonts w:ascii="Times New Roman" w:hAnsi="Times New Roman"/>
        </w:rPr>
        <w:t>. Immunofixation electrophoresis detected a monoclonal band defined as IgG-lambda light chains, with broad band polyclonal IgA</w:t>
      </w:r>
      <w:r w:rsidRPr="0066018D">
        <w:rPr>
          <w:rFonts w:ascii="Times New Roman" w:hAnsi="Times New Roman"/>
        </w:rPr>
        <w:t xml:space="preserve"> (b</w:t>
      </w:r>
      <w:r w:rsidR="00E25357" w:rsidRPr="0066018D">
        <w:rPr>
          <w:rFonts w:ascii="Times New Roman" w:hAnsi="Times New Roman"/>
        </w:rPr>
        <w:t>)</w:t>
      </w:r>
      <w:r w:rsidR="006A236C" w:rsidRPr="0066018D">
        <w:rPr>
          <w:rFonts w:ascii="Times New Roman" w:hAnsi="Times New Roman"/>
        </w:rPr>
        <w:t>. H</w:t>
      </w:r>
      <w:r w:rsidR="00A10B76" w:rsidRPr="0066018D">
        <w:rPr>
          <w:rFonts w:ascii="Times New Roman" w:hAnsi="Times New Roman"/>
        </w:rPr>
        <w:t>ypercellular marrow with increased plasma cells</w:t>
      </w:r>
      <w:r w:rsidR="006A236C" w:rsidRPr="0066018D">
        <w:rPr>
          <w:rFonts w:ascii="Times New Roman" w:hAnsi="Times New Roman"/>
        </w:rPr>
        <w:t xml:space="preserve"> detected with CD138</w:t>
      </w:r>
      <w:r w:rsidRPr="0066018D">
        <w:rPr>
          <w:rFonts w:ascii="Times New Roman" w:hAnsi="Times New Roman"/>
        </w:rPr>
        <w:t xml:space="preserve"> (c</w:t>
      </w:r>
      <w:r w:rsidR="00E25357" w:rsidRPr="0066018D">
        <w:rPr>
          <w:rFonts w:ascii="Times New Roman" w:hAnsi="Times New Roman"/>
        </w:rPr>
        <w:t>)</w:t>
      </w:r>
      <w:r w:rsidR="00942902" w:rsidRPr="0066018D">
        <w:rPr>
          <w:rFonts w:ascii="Times New Roman" w:hAnsi="Times New Roman"/>
        </w:rPr>
        <w:t xml:space="preserve"> and restriction of lambda light chain immunoglobulin</w:t>
      </w:r>
      <w:r w:rsidRPr="0066018D">
        <w:rPr>
          <w:rFonts w:ascii="Times New Roman" w:hAnsi="Times New Roman"/>
        </w:rPr>
        <w:t xml:space="preserve"> (d</w:t>
      </w:r>
      <w:r w:rsidR="00E25357" w:rsidRPr="0066018D">
        <w:rPr>
          <w:rFonts w:ascii="Times New Roman" w:hAnsi="Times New Roman"/>
        </w:rPr>
        <w:t>)</w:t>
      </w:r>
      <w:r w:rsidR="00942902" w:rsidRPr="0066018D">
        <w:rPr>
          <w:rFonts w:ascii="Times New Roman" w:hAnsi="Times New Roman"/>
        </w:rPr>
        <w:t xml:space="preserve">. </w:t>
      </w:r>
      <w:r w:rsidR="00A10B76" w:rsidRPr="0066018D">
        <w:rPr>
          <w:rFonts w:ascii="Times New Roman" w:hAnsi="Times New Roman"/>
        </w:rPr>
        <w:t xml:space="preserve"> </w:t>
      </w:r>
    </w:p>
    <w:p w:rsidR="00A10B76" w:rsidRPr="0066018D" w:rsidRDefault="00A10B76" w:rsidP="000C3794">
      <w:pPr>
        <w:spacing w:after="0" w:line="480" w:lineRule="auto"/>
        <w:rPr>
          <w:rFonts w:ascii="Times New Roman" w:hAnsi="Times New Roman"/>
        </w:rPr>
      </w:pPr>
    </w:p>
    <w:p w:rsidR="00A10B76" w:rsidRPr="0066018D" w:rsidRDefault="00A10B76" w:rsidP="000C3794">
      <w:pPr>
        <w:spacing w:after="0" w:line="480" w:lineRule="auto"/>
        <w:rPr>
          <w:rFonts w:ascii="Times New Roman" w:hAnsi="Times New Roman"/>
        </w:rPr>
      </w:pPr>
      <w:r w:rsidRPr="0066018D">
        <w:rPr>
          <w:rFonts w:ascii="Times New Roman" w:hAnsi="Times New Roman"/>
          <w:b/>
          <w:bCs/>
        </w:rPr>
        <w:t>Fig 2</w:t>
      </w:r>
      <w:r w:rsidRPr="0066018D">
        <w:rPr>
          <w:rFonts w:ascii="Times New Roman" w:hAnsi="Times New Roman"/>
          <w:bCs/>
        </w:rPr>
        <w:t xml:space="preserve"> </w:t>
      </w:r>
      <w:r w:rsidRPr="0066018D">
        <w:rPr>
          <w:rFonts w:ascii="Times New Roman" w:hAnsi="Times New Roman"/>
        </w:rPr>
        <w:t>Diffuse infiltrates with effacement of the normal lymph node architecture. Among polymorphous small, medium-sized and large lymphoid cells with irregular, pleomorphic nuclei of high proliferative activity</w:t>
      </w:r>
      <w:r w:rsidR="006A236C" w:rsidRPr="0066018D">
        <w:rPr>
          <w:rFonts w:ascii="Times New Roman" w:hAnsi="Times New Roman"/>
        </w:rPr>
        <w:t xml:space="preserve"> (Ki67)</w:t>
      </w:r>
      <w:r w:rsidRPr="0066018D">
        <w:rPr>
          <w:rFonts w:ascii="Times New Roman" w:hAnsi="Times New Roman"/>
        </w:rPr>
        <w:t>, typical and atypical plasma cells are also presen</w:t>
      </w:r>
      <w:r w:rsidR="006A236C" w:rsidRPr="0066018D">
        <w:rPr>
          <w:rFonts w:ascii="Times New Roman" w:hAnsi="Times New Roman"/>
        </w:rPr>
        <w:t>t (CD138)</w:t>
      </w:r>
      <w:r w:rsidRPr="0066018D">
        <w:rPr>
          <w:rFonts w:ascii="Times New Roman" w:hAnsi="Times New Roman"/>
        </w:rPr>
        <w:t xml:space="preserve">. Immunophenotyping revealed CD3+/CD4+/CD8-/BCL-6 -/+/CD10- and scattered expression of CD30 on lymphoid cells and CD38+/CD138- expression on atypical plasma cells. In situ hybridization of EBV encoded RNA 1 detected EBV transcripts in rare cells. </w:t>
      </w:r>
    </w:p>
    <w:p w:rsidR="000C2CCD" w:rsidRPr="0066018D" w:rsidRDefault="000C2CCD">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p w:rsidR="00D97290" w:rsidRPr="001B7DB8" w:rsidRDefault="00D97290" w:rsidP="00D97290">
      <w:pPr>
        <w:spacing w:after="0" w:line="480" w:lineRule="auto"/>
        <w:rPr>
          <w:rFonts w:ascii="Times New Roman" w:hAnsi="Times New Roman"/>
        </w:rPr>
      </w:pPr>
      <w:r>
        <w:rPr>
          <w:rFonts w:ascii="Times New Roman" w:hAnsi="Times New Roman"/>
        </w:rPr>
        <w:t>Table 1</w:t>
      </w:r>
      <w:r w:rsidRPr="001B7DB8">
        <w:rPr>
          <w:rFonts w:ascii="Times New Roman" w:hAnsi="Times New Roman"/>
        </w:rPr>
        <w:t xml:space="preserve"> The patient’s most important laboratory findings</w:t>
      </w:r>
    </w:p>
    <w:p w:rsidR="00D97290" w:rsidRPr="001B7DB8" w:rsidRDefault="00D97290" w:rsidP="00D97290">
      <w:pPr>
        <w:spacing w:after="0" w:line="480" w:lineRule="auto"/>
        <w:rPr>
          <w:rFonts w:ascii="Times New Roman" w:hAnsi="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531"/>
        <w:gridCol w:w="4531"/>
      </w:tblGrid>
      <w:tr w:rsidR="00D97290" w:rsidRPr="001B7DB8" w:rsidTr="001D6F4D">
        <w:tc>
          <w:tcPr>
            <w:tcW w:w="4531" w:type="dxa"/>
          </w:tcPr>
          <w:p w:rsidR="00D97290" w:rsidRPr="001B7DB8" w:rsidRDefault="00D97290" w:rsidP="001D6F4D">
            <w:pPr>
              <w:jc w:val="center"/>
              <w:rPr>
                <w:rFonts w:ascii="Times New Roman" w:hAnsi="Times New Roman"/>
                <w:b/>
              </w:rPr>
            </w:pPr>
            <w:r w:rsidRPr="001B7DB8">
              <w:rPr>
                <w:rFonts w:ascii="Times New Roman" w:hAnsi="Times New Roman"/>
                <w:b/>
              </w:rPr>
              <w:t>LABORATORY FINDINGS</w:t>
            </w:r>
          </w:p>
        </w:tc>
        <w:tc>
          <w:tcPr>
            <w:tcW w:w="4531" w:type="dxa"/>
          </w:tcPr>
          <w:p w:rsidR="00D97290" w:rsidRDefault="00D97290" w:rsidP="001D6F4D">
            <w:pPr>
              <w:jc w:val="center"/>
              <w:rPr>
                <w:rFonts w:ascii="Times New Roman" w:hAnsi="Times New Roman"/>
                <w:b/>
              </w:rPr>
            </w:pPr>
            <w:r w:rsidRPr="001B7DB8">
              <w:rPr>
                <w:rFonts w:ascii="Times New Roman" w:hAnsi="Times New Roman"/>
                <w:b/>
              </w:rPr>
              <w:t>VALUE</w:t>
            </w:r>
          </w:p>
          <w:p w:rsidR="00D97290" w:rsidRPr="001B7DB8" w:rsidRDefault="00D97290" w:rsidP="001D6F4D">
            <w:pPr>
              <w:jc w:val="center"/>
              <w:rPr>
                <w:rFonts w:ascii="Times New Roman" w:hAnsi="Times New Roman"/>
                <w:b/>
              </w:rPr>
            </w:pP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Erythrocyte sedimentation rate</w:t>
            </w:r>
          </w:p>
        </w:tc>
        <w:tc>
          <w:tcPr>
            <w:tcW w:w="4531" w:type="dxa"/>
          </w:tcPr>
          <w:p w:rsidR="00D97290" w:rsidRPr="001B7DB8" w:rsidRDefault="00D97290" w:rsidP="001D6F4D">
            <w:pPr>
              <w:rPr>
                <w:rFonts w:ascii="Times New Roman" w:hAnsi="Times New Roman"/>
              </w:rPr>
            </w:pPr>
            <w:r w:rsidRPr="001B7DB8">
              <w:rPr>
                <w:rFonts w:ascii="Times New Roman" w:hAnsi="Times New Roman"/>
              </w:rPr>
              <w:t>140 mm/h (normal range 5-28)</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Erythrocyte count</w:t>
            </w:r>
          </w:p>
        </w:tc>
        <w:tc>
          <w:tcPr>
            <w:tcW w:w="4531" w:type="dxa"/>
          </w:tcPr>
          <w:p w:rsidR="00D97290" w:rsidRPr="001B7DB8" w:rsidRDefault="00D97290" w:rsidP="001D6F4D">
            <w:pPr>
              <w:rPr>
                <w:rFonts w:ascii="Times New Roman" w:hAnsi="Times New Roman"/>
              </w:rPr>
            </w:pPr>
            <w:r w:rsidRPr="001B7DB8">
              <w:rPr>
                <w:rFonts w:ascii="Times New Roman" w:hAnsi="Times New Roman"/>
              </w:rPr>
              <w:t>3,01 x 10</w:t>
            </w:r>
            <w:r w:rsidRPr="001B7DB8">
              <w:rPr>
                <w:rFonts w:ascii="Times New Roman" w:hAnsi="Times New Roman"/>
                <w:vertAlign w:val="superscript"/>
              </w:rPr>
              <w:t>12</w:t>
            </w:r>
            <w:r w:rsidRPr="001B7DB8">
              <w:rPr>
                <w:rFonts w:ascii="Times New Roman" w:hAnsi="Times New Roman"/>
              </w:rPr>
              <w:t>/L (normal range 3.86-5.08 x 10</w:t>
            </w:r>
            <w:r w:rsidRPr="001B7DB8">
              <w:rPr>
                <w:rFonts w:ascii="Times New Roman" w:hAnsi="Times New Roman"/>
                <w:vertAlign w:val="superscript"/>
              </w:rPr>
              <w:t>12</w:t>
            </w:r>
            <w:r w:rsidRPr="001B7DB8">
              <w:rPr>
                <w:rFonts w:ascii="Times New Roman" w:hAnsi="Times New Roman"/>
              </w:rPr>
              <w:t>/L)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Hemoglobin</w:t>
            </w:r>
          </w:p>
        </w:tc>
        <w:tc>
          <w:tcPr>
            <w:tcW w:w="4531" w:type="dxa"/>
          </w:tcPr>
          <w:p w:rsidR="00D97290" w:rsidRPr="001B7DB8" w:rsidRDefault="00D97290" w:rsidP="001D6F4D">
            <w:pPr>
              <w:rPr>
                <w:rFonts w:ascii="Times New Roman" w:hAnsi="Times New Roman"/>
              </w:rPr>
            </w:pPr>
            <w:r w:rsidRPr="001B7DB8">
              <w:rPr>
                <w:rFonts w:ascii="Times New Roman" w:eastAsia="SimSun" w:hAnsi="Times New Roman"/>
                <w:lang w:eastAsia="zh-CN"/>
              </w:rPr>
              <w:t xml:space="preserve">84 g/L </w:t>
            </w:r>
            <w:r w:rsidRPr="001B7DB8">
              <w:rPr>
                <w:rFonts w:ascii="Times New Roman" w:hAnsi="Times New Roman"/>
              </w:rPr>
              <w:t>(normal range 119-157 g/L)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Hematocrit</w:t>
            </w:r>
          </w:p>
        </w:tc>
        <w:tc>
          <w:tcPr>
            <w:tcW w:w="4531" w:type="dxa"/>
          </w:tcPr>
          <w:p w:rsidR="00D97290" w:rsidRPr="001B7DB8" w:rsidRDefault="00D97290" w:rsidP="001D6F4D">
            <w:pPr>
              <w:rPr>
                <w:rFonts w:ascii="Times New Roman" w:hAnsi="Times New Roman"/>
              </w:rPr>
            </w:pPr>
            <w:r w:rsidRPr="001B7DB8">
              <w:rPr>
                <w:rFonts w:ascii="Times New Roman" w:hAnsi="Times New Roman"/>
              </w:rPr>
              <w:t>0.253 (normal range 0.356-0.470)</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White blood count</w:t>
            </w:r>
          </w:p>
        </w:tc>
        <w:tc>
          <w:tcPr>
            <w:tcW w:w="4531" w:type="dxa"/>
          </w:tcPr>
          <w:p w:rsidR="00D97290" w:rsidRPr="001B7DB8" w:rsidRDefault="00D97290" w:rsidP="001D6F4D">
            <w:pPr>
              <w:rPr>
                <w:rFonts w:ascii="Times New Roman" w:hAnsi="Times New Roman"/>
              </w:rPr>
            </w:pPr>
            <w:r w:rsidRPr="001B7DB8">
              <w:rPr>
                <w:rFonts w:ascii="Times New Roman" w:hAnsi="Times New Roman"/>
              </w:rPr>
              <w:t>11.6 x 10</w:t>
            </w:r>
            <w:r w:rsidRPr="001B7DB8">
              <w:rPr>
                <w:rFonts w:ascii="Times New Roman" w:hAnsi="Times New Roman"/>
                <w:vertAlign w:val="superscript"/>
              </w:rPr>
              <w:t>9</w:t>
            </w:r>
            <w:r w:rsidRPr="001B7DB8">
              <w:rPr>
                <w:rFonts w:ascii="Times New Roman" w:hAnsi="Times New Roman"/>
              </w:rPr>
              <w:t>/L (normal range 3.4-9.7 x 10</w:t>
            </w:r>
            <w:r w:rsidRPr="001B7DB8">
              <w:rPr>
                <w:rFonts w:ascii="Times New Roman" w:hAnsi="Times New Roman"/>
                <w:vertAlign w:val="superscript"/>
              </w:rPr>
              <w:t>9</w:t>
            </w:r>
            <w:r w:rsidRPr="001B7DB8">
              <w:rPr>
                <w:rFonts w:ascii="Times New Roman" w:hAnsi="Times New Roman"/>
              </w:rPr>
              <w:t>/L)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Neutrophils</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62% </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lastRenderedPageBreak/>
              <w:t>Lymphocytes</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4%  </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Eosinophils</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3% </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Basophils</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0% </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Monocytes</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4% </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Plasma cells</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26% </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Proplasma cells</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1% </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Lymphoplasmacytes </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1% </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Platelet count</w:t>
            </w:r>
          </w:p>
        </w:tc>
        <w:tc>
          <w:tcPr>
            <w:tcW w:w="4531" w:type="dxa"/>
          </w:tcPr>
          <w:p w:rsidR="00D97290" w:rsidRPr="001B7DB8" w:rsidRDefault="00D97290" w:rsidP="001D6F4D">
            <w:pPr>
              <w:rPr>
                <w:rFonts w:ascii="Times New Roman" w:hAnsi="Times New Roman"/>
              </w:rPr>
            </w:pPr>
            <w:r w:rsidRPr="001B7DB8">
              <w:rPr>
                <w:rFonts w:ascii="Times New Roman" w:eastAsia="SimSun" w:hAnsi="Times New Roman"/>
                <w:lang w:eastAsia="zh-CN"/>
              </w:rPr>
              <w:t>26 x 10</w:t>
            </w:r>
            <w:r w:rsidRPr="001B7DB8">
              <w:rPr>
                <w:rFonts w:ascii="Times New Roman" w:eastAsia="SimSun" w:hAnsi="Times New Roman"/>
                <w:vertAlign w:val="superscript"/>
                <w:lang w:eastAsia="zh-CN"/>
              </w:rPr>
              <w:t>9</w:t>
            </w:r>
            <w:r w:rsidRPr="001B7DB8">
              <w:rPr>
                <w:rFonts w:ascii="Times New Roman" w:eastAsia="SimSun" w:hAnsi="Times New Roman"/>
                <w:lang w:eastAsia="zh-CN"/>
              </w:rPr>
              <w:t xml:space="preserve">/L </w:t>
            </w:r>
            <w:r w:rsidRPr="001B7DB8">
              <w:rPr>
                <w:rFonts w:ascii="Times New Roman" w:hAnsi="Times New Roman"/>
              </w:rPr>
              <w:t>(normal range 158-424</w:t>
            </w:r>
            <w:r w:rsidRPr="001B7DB8">
              <w:rPr>
                <w:rFonts w:ascii="Times New Roman" w:eastAsia="SimSun" w:hAnsi="Times New Roman"/>
                <w:lang w:eastAsia="zh-CN"/>
              </w:rPr>
              <w:t xml:space="preserve"> x 10</w:t>
            </w:r>
            <w:r w:rsidRPr="001B7DB8">
              <w:rPr>
                <w:rFonts w:ascii="Times New Roman" w:eastAsia="SimSun" w:hAnsi="Times New Roman"/>
                <w:vertAlign w:val="superscript"/>
                <w:lang w:eastAsia="zh-CN"/>
              </w:rPr>
              <w:t>9</w:t>
            </w:r>
            <w:r w:rsidRPr="001B7DB8">
              <w:rPr>
                <w:rFonts w:ascii="Times New Roman" w:eastAsia="SimSun" w:hAnsi="Times New Roman"/>
                <w:lang w:eastAsia="zh-CN"/>
              </w:rPr>
              <w:t>/L</w:t>
            </w:r>
            <w:r w:rsidRPr="001B7DB8">
              <w:rPr>
                <w:rFonts w:ascii="Times New Roman" w:hAnsi="Times New Roman"/>
              </w:rPr>
              <w:t>)</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Creatinine </w:t>
            </w:r>
          </w:p>
        </w:tc>
        <w:tc>
          <w:tcPr>
            <w:tcW w:w="4531" w:type="dxa"/>
          </w:tcPr>
          <w:p w:rsidR="00D97290" w:rsidRPr="001B7DB8" w:rsidRDefault="00D97290" w:rsidP="001D6F4D">
            <w:pPr>
              <w:rPr>
                <w:rFonts w:ascii="Times New Roman" w:hAnsi="Times New Roman"/>
              </w:rPr>
            </w:pPr>
            <w:r w:rsidRPr="001B7DB8">
              <w:t>78 μ</w:t>
            </w:r>
            <w:r w:rsidRPr="001B7DB8">
              <w:rPr>
                <w:rFonts w:ascii="Times New Roman" w:hAnsi="Times New Roman"/>
              </w:rPr>
              <w:t xml:space="preserve">mol/L (normal range 49-90 </w:t>
            </w:r>
            <w:r w:rsidRPr="001B7DB8">
              <w:t>μ</w:t>
            </w:r>
            <w:r w:rsidRPr="001B7DB8">
              <w:rPr>
                <w:rFonts w:ascii="Times New Roman" w:hAnsi="Times New Roman"/>
              </w:rPr>
              <w:t>mol/L)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Aspartate aminotransferase</w:t>
            </w:r>
          </w:p>
        </w:tc>
        <w:tc>
          <w:tcPr>
            <w:tcW w:w="4531" w:type="dxa"/>
          </w:tcPr>
          <w:p w:rsidR="00D97290" w:rsidRPr="001B7DB8" w:rsidRDefault="00D97290" w:rsidP="001D6F4D">
            <w:pPr>
              <w:rPr>
                <w:rFonts w:ascii="Times New Roman" w:hAnsi="Times New Roman"/>
              </w:rPr>
            </w:pPr>
            <w:r w:rsidRPr="001B7DB8">
              <w:rPr>
                <w:rFonts w:ascii="Times New Roman" w:hAnsi="Times New Roman"/>
              </w:rPr>
              <w:t>22 U/L (normal range 8-30 U/L)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Alanine aminotransferase</w:t>
            </w:r>
          </w:p>
        </w:tc>
        <w:tc>
          <w:tcPr>
            <w:tcW w:w="4531" w:type="dxa"/>
          </w:tcPr>
          <w:p w:rsidR="00D97290" w:rsidRPr="001B7DB8" w:rsidRDefault="00D97290" w:rsidP="001D6F4D">
            <w:pPr>
              <w:rPr>
                <w:rFonts w:ascii="Times New Roman" w:hAnsi="Times New Roman"/>
              </w:rPr>
            </w:pPr>
            <w:r w:rsidRPr="001B7DB8">
              <w:rPr>
                <w:rFonts w:ascii="Times New Roman" w:hAnsi="Times New Roman"/>
              </w:rPr>
              <w:t>24 U/L (normal range 10-36 U/L)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Lactate dehydrogenase</w:t>
            </w:r>
          </w:p>
        </w:tc>
        <w:tc>
          <w:tcPr>
            <w:tcW w:w="4531" w:type="dxa"/>
          </w:tcPr>
          <w:p w:rsidR="00D97290" w:rsidRPr="001B7DB8" w:rsidRDefault="00D97290" w:rsidP="001D6F4D">
            <w:pPr>
              <w:rPr>
                <w:rFonts w:ascii="Times New Roman" w:hAnsi="Times New Roman"/>
              </w:rPr>
            </w:pPr>
            <w:r w:rsidRPr="001B7DB8">
              <w:rPr>
                <w:rFonts w:ascii="Times New Roman" w:hAnsi="Times New Roman"/>
              </w:rPr>
              <w:t>352 U/L (normal range &lt;241 U/L)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C-reactive protein</w:t>
            </w:r>
          </w:p>
        </w:tc>
        <w:tc>
          <w:tcPr>
            <w:tcW w:w="4531" w:type="dxa"/>
          </w:tcPr>
          <w:p w:rsidR="00D97290" w:rsidRPr="001B7DB8" w:rsidRDefault="00D97290" w:rsidP="001D6F4D">
            <w:pPr>
              <w:rPr>
                <w:rFonts w:ascii="Times New Roman" w:hAnsi="Times New Roman"/>
              </w:rPr>
            </w:pPr>
            <w:r w:rsidRPr="001B7DB8">
              <w:rPr>
                <w:rFonts w:ascii="Times New Roman" w:hAnsi="Times New Roman"/>
              </w:rPr>
              <w:t>26.6 mg/L (normal range &lt;5 mg/L)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IgG </w:t>
            </w:r>
          </w:p>
        </w:tc>
        <w:tc>
          <w:tcPr>
            <w:tcW w:w="4531" w:type="dxa"/>
          </w:tcPr>
          <w:p w:rsidR="00D97290" w:rsidRPr="001B7DB8" w:rsidRDefault="00D97290" w:rsidP="001D6F4D">
            <w:pPr>
              <w:rPr>
                <w:rFonts w:ascii="Times New Roman" w:hAnsi="Times New Roman"/>
              </w:rPr>
            </w:pPr>
            <w:r w:rsidRPr="001B7DB8">
              <w:rPr>
                <w:rFonts w:ascii="Times New Roman" w:eastAsia="SimSun" w:hAnsi="Times New Roman"/>
                <w:lang w:eastAsia="zh-CN"/>
              </w:rPr>
              <w:t>37.2 g/L (normal range 7.0-16.0 g/L)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IgA </w:t>
            </w:r>
          </w:p>
        </w:tc>
        <w:tc>
          <w:tcPr>
            <w:tcW w:w="4531" w:type="dxa"/>
          </w:tcPr>
          <w:p w:rsidR="00D97290" w:rsidRPr="001B7DB8" w:rsidRDefault="00D97290" w:rsidP="001D6F4D">
            <w:pPr>
              <w:rPr>
                <w:rFonts w:ascii="Times New Roman" w:hAnsi="Times New Roman"/>
              </w:rPr>
            </w:pPr>
            <w:r w:rsidRPr="001B7DB8">
              <w:rPr>
                <w:rFonts w:ascii="Times New Roman" w:eastAsia="SimSun" w:hAnsi="Times New Roman"/>
                <w:lang w:eastAsia="zh-CN"/>
              </w:rPr>
              <w:t>29.4 g/L (normal range 0.7-4.0 g/L)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IgM </w:t>
            </w:r>
          </w:p>
        </w:tc>
        <w:tc>
          <w:tcPr>
            <w:tcW w:w="4531" w:type="dxa"/>
          </w:tcPr>
          <w:p w:rsidR="00D97290" w:rsidRPr="001B7DB8" w:rsidRDefault="00D97290" w:rsidP="001D6F4D">
            <w:pPr>
              <w:rPr>
                <w:rFonts w:ascii="Times New Roman" w:hAnsi="Times New Roman"/>
              </w:rPr>
            </w:pPr>
            <w:r w:rsidRPr="001B7DB8">
              <w:rPr>
                <w:rFonts w:ascii="Times New Roman" w:eastAsia="SimSun" w:hAnsi="Times New Roman"/>
                <w:lang w:eastAsia="zh-CN"/>
              </w:rPr>
              <w:t>1.5 g/L (normal range 0.4-2.3 g/L)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Serum calcium</w:t>
            </w:r>
          </w:p>
        </w:tc>
        <w:tc>
          <w:tcPr>
            <w:tcW w:w="4531" w:type="dxa"/>
          </w:tcPr>
          <w:p w:rsidR="00D97290" w:rsidRPr="001B7DB8" w:rsidRDefault="00D97290" w:rsidP="001D6F4D">
            <w:pPr>
              <w:rPr>
                <w:rFonts w:ascii="Times New Roman" w:hAnsi="Times New Roman"/>
              </w:rPr>
            </w:pPr>
            <w:r w:rsidRPr="001B7DB8">
              <w:rPr>
                <w:rFonts w:ascii="Times New Roman" w:hAnsi="Times New Roman"/>
              </w:rPr>
              <w:t>2.16 mmol/L (normal range 2.14-2.53 mmol/L)</w:t>
            </w:r>
          </w:p>
          <w:p w:rsidR="00D97290" w:rsidRPr="001B7DB8" w:rsidRDefault="00D97290" w:rsidP="001D6F4D">
            <w:pPr>
              <w:rPr>
                <w:rFonts w:ascii="Times New Roman" w:hAnsi="Times New Roman"/>
              </w:rPr>
            </w:pP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Serum protein electrophoresis with Immunofixation</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M-peak with polyclonal hypergammaglobulinemia; </w:t>
            </w:r>
            <w:r w:rsidRPr="001B7DB8">
              <w:rPr>
                <w:rFonts w:ascii="Times New Roman" w:eastAsia="SimSun" w:hAnsi="Times New Roman"/>
                <w:lang w:eastAsia="zh-CN"/>
              </w:rPr>
              <w:t>monoclonal IgG-lambda band with broad polyclonal IgA band</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 serum free light Ig kappa</w:t>
            </w:r>
          </w:p>
          <w:p w:rsidR="00D97290" w:rsidRPr="001B7DB8" w:rsidRDefault="00D97290" w:rsidP="001D6F4D">
            <w:pPr>
              <w:rPr>
                <w:rFonts w:ascii="Times New Roman" w:hAnsi="Times New Roman"/>
              </w:rPr>
            </w:pPr>
            <w:r w:rsidRPr="001B7DB8">
              <w:rPr>
                <w:rFonts w:ascii="Times New Roman" w:hAnsi="Times New Roman"/>
              </w:rPr>
              <w:t>- serum free light Ig lambda</w:t>
            </w:r>
          </w:p>
          <w:p w:rsidR="00D97290" w:rsidRPr="001B7DB8" w:rsidRDefault="00D97290" w:rsidP="001D6F4D">
            <w:pPr>
              <w:rPr>
                <w:rFonts w:ascii="Times New Roman" w:hAnsi="Times New Roman"/>
              </w:rPr>
            </w:pPr>
            <w:r w:rsidRPr="001B7DB8">
              <w:rPr>
                <w:rFonts w:ascii="Times New Roman" w:hAnsi="Times New Roman"/>
              </w:rPr>
              <w:t>- serum free light chain ratio (kappa/lambda)</w:t>
            </w:r>
          </w:p>
        </w:tc>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220.0 mg/L (normal range 6.7-22.4 mg/L) </w:t>
            </w:r>
          </w:p>
          <w:p w:rsidR="00D97290" w:rsidRPr="001B7DB8" w:rsidRDefault="00D97290" w:rsidP="001D6F4D">
            <w:pPr>
              <w:rPr>
                <w:rFonts w:ascii="Times New Roman" w:hAnsi="Times New Roman"/>
              </w:rPr>
            </w:pPr>
            <w:r w:rsidRPr="001B7DB8">
              <w:rPr>
                <w:rFonts w:ascii="Times New Roman" w:hAnsi="Times New Roman"/>
              </w:rPr>
              <w:t>232.0 mg/L (normal range 8.3-27.0 mg/L)</w:t>
            </w:r>
          </w:p>
          <w:p w:rsidR="00D97290" w:rsidRPr="001B7DB8" w:rsidRDefault="00D97290" w:rsidP="001D6F4D">
            <w:pPr>
              <w:rPr>
                <w:rFonts w:ascii="Times New Roman" w:hAnsi="Times New Roman"/>
              </w:rPr>
            </w:pPr>
            <w:r w:rsidRPr="001B7DB8">
              <w:rPr>
                <w:rFonts w:ascii="Times New Roman" w:hAnsi="Times New Roman"/>
              </w:rPr>
              <w:t>0.95 (0.31-1.56)</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Serum albumin</w:t>
            </w:r>
          </w:p>
        </w:tc>
        <w:tc>
          <w:tcPr>
            <w:tcW w:w="4531" w:type="dxa"/>
          </w:tcPr>
          <w:p w:rsidR="00D97290" w:rsidRPr="001B7DB8" w:rsidRDefault="00D97290" w:rsidP="001D6F4D">
            <w:pPr>
              <w:rPr>
                <w:rFonts w:ascii="Times New Roman" w:hAnsi="Times New Roman"/>
              </w:rPr>
            </w:pPr>
            <w:r w:rsidRPr="001B7DB8">
              <w:rPr>
                <w:rFonts w:ascii="Times New Roman" w:eastAsia="SimSun" w:hAnsi="Times New Roman"/>
                <w:lang w:eastAsia="zh-CN"/>
              </w:rPr>
              <w:t>16.2 g/L (normal range 40.6-51.4 g/L)</w:t>
            </w:r>
          </w:p>
        </w:tc>
      </w:tr>
      <w:tr w:rsidR="00D97290" w:rsidRPr="001B7DB8" w:rsidTr="001D6F4D">
        <w:tc>
          <w:tcPr>
            <w:tcW w:w="4531" w:type="dxa"/>
          </w:tcPr>
          <w:p w:rsidR="00D97290" w:rsidRPr="001B7DB8" w:rsidRDefault="00D97290" w:rsidP="001D6F4D">
            <w:pPr>
              <w:rPr>
                <w:rFonts w:ascii="Times New Roman" w:hAnsi="Times New Roman"/>
              </w:rPr>
            </w:pPr>
            <w:r w:rsidRPr="001B7DB8">
              <w:rPr>
                <w:rFonts w:ascii="Times New Roman" w:hAnsi="Times New Roman"/>
              </w:rPr>
              <w:t xml:space="preserve">Serum </w:t>
            </w:r>
            <w:r w:rsidRPr="001B7DB8">
              <w:t>ß</w:t>
            </w:r>
            <w:r w:rsidRPr="001B7DB8">
              <w:rPr>
                <w:rFonts w:ascii="Times New Roman" w:hAnsi="Times New Roman"/>
              </w:rPr>
              <w:t>2-microglobulin</w:t>
            </w:r>
          </w:p>
        </w:tc>
        <w:tc>
          <w:tcPr>
            <w:tcW w:w="4531" w:type="dxa"/>
          </w:tcPr>
          <w:p w:rsidR="00D97290" w:rsidRPr="001B7DB8" w:rsidRDefault="00D97290" w:rsidP="001D6F4D">
            <w:pPr>
              <w:rPr>
                <w:rFonts w:ascii="Times New Roman" w:hAnsi="Times New Roman"/>
              </w:rPr>
            </w:pPr>
            <w:r w:rsidRPr="001B7DB8">
              <w:rPr>
                <w:rFonts w:ascii="Times New Roman" w:hAnsi="Times New Roman"/>
              </w:rPr>
              <w:t>12.7 mg/L (normal range 1.09-2.53 mg/L)</w:t>
            </w:r>
          </w:p>
        </w:tc>
      </w:tr>
    </w:tbl>
    <w:p w:rsidR="00D97290" w:rsidRPr="001B7DB8" w:rsidRDefault="00D97290" w:rsidP="00D97290">
      <w:pPr>
        <w:spacing w:after="0" w:line="480" w:lineRule="auto"/>
        <w:rPr>
          <w:rFonts w:ascii="Times New Roman" w:hAnsi="Times New Roman"/>
        </w:rPr>
      </w:pPr>
    </w:p>
    <w:p w:rsidR="00D97290" w:rsidRDefault="00D97290" w:rsidP="00D97290">
      <w:pPr>
        <w:rPr>
          <w:lang w:val="hr-HR"/>
        </w:rPr>
      </w:pPr>
    </w:p>
    <w:p w:rsidR="00D97290" w:rsidRDefault="00D97290" w:rsidP="00D97290">
      <w:pPr>
        <w:rPr>
          <w:lang w:val="hr-HR"/>
        </w:rPr>
      </w:pPr>
    </w:p>
    <w:p w:rsidR="00D97290" w:rsidRDefault="00D97290" w:rsidP="00D97290">
      <w:pPr>
        <w:rPr>
          <w:lang w:val="hr-HR"/>
        </w:rPr>
      </w:pPr>
      <w:r>
        <w:rPr>
          <w:lang w:val="hr-HR"/>
        </w:rPr>
        <w:lastRenderedPageBreak/>
        <w:t xml:space="preserve">Figure 1 </w:t>
      </w:r>
    </w:p>
    <w:p w:rsidR="00D97290" w:rsidRDefault="00D97290" w:rsidP="00D97290">
      <w:pPr>
        <w:rPr>
          <w:lang w:val="hr-HR"/>
        </w:rPr>
      </w:pPr>
      <w:r w:rsidRPr="00443A47">
        <w:rPr>
          <w:lang w:val="hr-HR"/>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98.8pt" o:ole="">
            <v:imagedata r:id="rId8" o:title=""/>
          </v:shape>
          <o:OLEObject Type="Embed" ProgID="PowerPoint.Slide.12" ShapeID="_x0000_i1025" DrawAspect="Content" ObjectID="_1523703168" r:id="rId9"/>
        </w:object>
      </w:r>
    </w:p>
    <w:p w:rsidR="00D97290" w:rsidRDefault="00D97290" w:rsidP="00D97290">
      <w:pPr>
        <w:rPr>
          <w:lang w:val="hr-HR"/>
        </w:rPr>
      </w:pPr>
      <w:r>
        <w:rPr>
          <w:lang w:val="hr-HR"/>
        </w:rPr>
        <w:t>Figure 2</w:t>
      </w:r>
    </w:p>
    <w:p w:rsidR="00D97290" w:rsidRPr="00A25A2B" w:rsidRDefault="00D97290" w:rsidP="00D97290">
      <w:pPr>
        <w:rPr>
          <w:lang w:val="hr-HR"/>
        </w:rPr>
      </w:pPr>
      <w:r w:rsidRPr="00A25A2B">
        <w:rPr>
          <w:lang w:val="hr-HR"/>
        </w:rPr>
        <w:object w:dxaOrig="7156" w:dyaOrig="5398">
          <v:shape id="_x0000_i1026" type="#_x0000_t75" style="width:388.8pt;height:293.4pt" o:ole="">
            <v:imagedata r:id="rId10" o:title=""/>
          </v:shape>
          <o:OLEObject Type="Embed" ProgID="PowerPoint.Slide.12" ShapeID="_x0000_i1026" DrawAspect="Content" ObjectID="_1523703169" r:id="rId11"/>
        </w:object>
      </w:r>
    </w:p>
    <w:p w:rsidR="000505B7" w:rsidRPr="0066018D" w:rsidRDefault="000505B7">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p w:rsidR="000505B7" w:rsidRPr="0066018D" w:rsidRDefault="000505B7">
      <w:pPr>
        <w:spacing w:after="0" w:line="480" w:lineRule="auto"/>
        <w:rPr>
          <w:rFonts w:ascii="Times New Roman" w:hAnsi="Times New Roman"/>
        </w:rPr>
      </w:pPr>
    </w:p>
    <w:sectPr w:rsidR="000505B7" w:rsidRPr="0066018D" w:rsidSect="004221D7">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761" w:rsidRDefault="00354761" w:rsidP="00EC7313">
      <w:pPr>
        <w:spacing w:after="0" w:line="240" w:lineRule="auto"/>
      </w:pPr>
      <w:r>
        <w:separator/>
      </w:r>
    </w:p>
  </w:endnote>
  <w:endnote w:type="continuationSeparator" w:id="0">
    <w:p w:rsidR="00354761" w:rsidRDefault="00354761" w:rsidP="00EC73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76" w:rsidRDefault="009B053F">
    <w:pPr>
      <w:pStyle w:val="Footer"/>
      <w:jc w:val="right"/>
    </w:pPr>
    <w:r>
      <w:fldChar w:fldCharType="begin"/>
    </w:r>
    <w:r w:rsidR="009F7D13">
      <w:instrText xml:space="preserve"> PAGE   \* MERGEFORMAT </w:instrText>
    </w:r>
    <w:r>
      <w:fldChar w:fldCharType="separate"/>
    </w:r>
    <w:r w:rsidR="00D97290">
      <w:rPr>
        <w:noProof/>
      </w:rPr>
      <w:t>9</w:t>
    </w:r>
    <w:r>
      <w:rPr>
        <w:noProof/>
      </w:rPr>
      <w:fldChar w:fldCharType="end"/>
    </w:r>
  </w:p>
  <w:p w:rsidR="00A10B76" w:rsidRDefault="00A10B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761" w:rsidRDefault="00354761" w:rsidP="00EC7313">
      <w:pPr>
        <w:spacing w:after="0" w:line="240" w:lineRule="auto"/>
      </w:pPr>
      <w:r>
        <w:separator/>
      </w:r>
    </w:p>
  </w:footnote>
  <w:footnote w:type="continuationSeparator" w:id="0">
    <w:p w:rsidR="00354761" w:rsidRDefault="00354761" w:rsidP="00EC73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3503"/>
    <w:multiLevelType w:val="hybridMultilevel"/>
    <w:tmpl w:val="C472ED96"/>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nsid w:val="042C2A49"/>
    <w:multiLevelType w:val="hybridMultilevel"/>
    <w:tmpl w:val="FAB6B2B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nsid w:val="06620BA5"/>
    <w:multiLevelType w:val="multilevel"/>
    <w:tmpl w:val="F56C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E4646C"/>
    <w:multiLevelType w:val="hybridMultilevel"/>
    <w:tmpl w:val="A6B02EC0"/>
    <w:lvl w:ilvl="0" w:tplc="F4088DF4">
      <w:start w:val="1"/>
      <w:numFmt w:val="bullet"/>
      <w:lvlText w:val="•"/>
      <w:lvlJc w:val="left"/>
      <w:pPr>
        <w:tabs>
          <w:tab w:val="num" w:pos="720"/>
        </w:tabs>
        <w:ind w:left="720" w:hanging="360"/>
      </w:pPr>
      <w:rPr>
        <w:rFonts w:ascii="Arial" w:hAnsi="Arial" w:hint="default"/>
      </w:rPr>
    </w:lvl>
    <w:lvl w:ilvl="1" w:tplc="33F82B22" w:tentative="1">
      <w:start w:val="1"/>
      <w:numFmt w:val="bullet"/>
      <w:lvlText w:val="•"/>
      <w:lvlJc w:val="left"/>
      <w:pPr>
        <w:tabs>
          <w:tab w:val="num" w:pos="1440"/>
        </w:tabs>
        <w:ind w:left="1440" w:hanging="360"/>
      </w:pPr>
      <w:rPr>
        <w:rFonts w:ascii="Arial" w:hAnsi="Arial" w:hint="default"/>
      </w:rPr>
    </w:lvl>
    <w:lvl w:ilvl="2" w:tplc="04EA045C" w:tentative="1">
      <w:start w:val="1"/>
      <w:numFmt w:val="bullet"/>
      <w:lvlText w:val="•"/>
      <w:lvlJc w:val="left"/>
      <w:pPr>
        <w:tabs>
          <w:tab w:val="num" w:pos="2160"/>
        </w:tabs>
        <w:ind w:left="2160" w:hanging="360"/>
      </w:pPr>
      <w:rPr>
        <w:rFonts w:ascii="Arial" w:hAnsi="Arial" w:hint="default"/>
      </w:rPr>
    </w:lvl>
    <w:lvl w:ilvl="3" w:tplc="7772AA60" w:tentative="1">
      <w:start w:val="1"/>
      <w:numFmt w:val="bullet"/>
      <w:lvlText w:val="•"/>
      <w:lvlJc w:val="left"/>
      <w:pPr>
        <w:tabs>
          <w:tab w:val="num" w:pos="2880"/>
        </w:tabs>
        <w:ind w:left="2880" w:hanging="360"/>
      </w:pPr>
      <w:rPr>
        <w:rFonts w:ascii="Arial" w:hAnsi="Arial" w:hint="default"/>
      </w:rPr>
    </w:lvl>
    <w:lvl w:ilvl="4" w:tplc="C9EE2832" w:tentative="1">
      <w:start w:val="1"/>
      <w:numFmt w:val="bullet"/>
      <w:lvlText w:val="•"/>
      <w:lvlJc w:val="left"/>
      <w:pPr>
        <w:tabs>
          <w:tab w:val="num" w:pos="3600"/>
        </w:tabs>
        <w:ind w:left="3600" w:hanging="360"/>
      </w:pPr>
      <w:rPr>
        <w:rFonts w:ascii="Arial" w:hAnsi="Arial" w:hint="default"/>
      </w:rPr>
    </w:lvl>
    <w:lvl w:ilvl="5" w:tplc="94BEDB54" w:tentative="1">
      <w:start w:val="1"/>
      <w:numFmt w:val="bullet"/>
      <w:lvlText w:val="•"/>
      <w:lvlJc w:val="left"/>
      <w:pPr>
        <w:tabs>
          <w:tab w:val="num" w:pos="4320"/>
        </w:tabs>
        <w:ind w:left="4320" w:hanging="360"/>
      </w:pPr>
      <w:rPr>
        <w:rFonts w:ascii="Arial" w:hAnsi="Arial" w:hint="default"/>
      </w:rPr>
    </w:lvl>
    <w:lvl w:ilvl="6" w:tplc="E19CDBCA" w:tentative="1">
      <w:start w:val="1"/>
      <w:numFmt w:val="bullet"/>
      <w:lvlText w:val="•"/>
      <w:lvlJc w:val="left"/>
      <w:pPr>
        <w:tabs>
          <w:tab w:val="num" w:pos="5040"/>
        </w:tabs>
        <w:ind w:left="5040" w:hanging="360"/>
      </w:pPr>
      <w:rPr>
        <w:rFonts w:ascii="Arial" w:hAnsi="Arial" w:hint="default"/>
      </w:rPr>
    </w:lvl>
    <w:lvl w:ilvl="7" w:tplc="61660EF8" w:tentative="1">
      <w:start w:val="1"/>
      <w:numFmt w:val="bullet"/>
      <w:lvlText w:val="•"/>
      <w:lvlJc w:val="left"/>
      <w:pPr>
        <w:tabs>
          <w:tab w:val="num" w:pos="5760"/>
        </w:tabs>
        <w:ind w:left="5760" w:hanging="360"/>
      </w:pPr>
      <w:rPr>
        <w:rFonts w:ascii="Arial" w:hAnsi="Arial" w:hint="default"/>
      </w:rPr>
    </w:lvl>
    <w:lvl w:ilvl="8" w:tplc="A0903F86" w:tentative="1">
      <w:start w:val="1"/>
      <w:numFmt w:val="bullet"/>
      <w:lvlText w:val="•"/>
      <w:lvlJc w:val="left"/>
      <w:pPr>
        <w:tabs>
          <w:tab w:val="num" w:pos="6480"/>
        </w:tabs>
        <w:ind w:left="6480" w:hanging="360"/>
      </w:pPr>
      <w:rPr>
        <w:rFonts w:ascii="Arial" w:hAnsi="Arial" w:hint="default"/>
      </w:rPr>
    </w:lvl>
  </w:abstractNum>
  <w:abstractNum w:abstractNumId="4">
    <w:nsid w:val="11355D51"/>
    <w:multiLevelType w:val="hybridMultilevel"/>
    <w:tmpl w:val="7CCE7C4A"/>
    <w:lvl w:ilvl="0" w:tplc="A2D652CE">
      <w:start w:val="1"/>
      <w:numFmt w:val="bullet"/>
      <w:lvlText w:val="•"/>
      <w:lvlJc w:val="left"/>
      <w:pPr>
        <w:tabs>
          <w:tab w:val="num" w:pos="720"/>
        </w:tabs>
        <w:ind w:left="720" w:hanging="360"/>
      </w:pPr>
      <w:rPr>
        <w:rFonts w:ascii="Arial" w:hAnsi="Arial" w:hint="default"/>
      </w:rPr>
    </w:lvl>
    <w:lvl w:ilvl="1" w:tplc="2FB21ADC" w:tentative="1">
      <w:start w:val="1"/>
      <w:numFmt w:val="bullet"/>
      <w:lvlText w:val="•"/>
      <w:lvlJc w:val="left"/>
      <w:pPr>
        <w:tabs>
          <w:tab w:val="num" w:pos="1440"/>
        </w:tabs>
        <w:ind w:left="1440" w:hanging="360"/>
      </w:pPr>
      <w:rPr>
        <w:rFonts w:ascii="Arial" w:hAnsi="Arial" w:hint="default"/>
      </w:rPr>
    </w:lvl>
    <w:lvl w:ilvl="2" w:tplc="B64051EC" w:tentative="1">
      <w:start w:val="1"/>
      <w:numFmt w:val="bullet"/>
      <w:lvlText w:val="•"/>
      <w:lvlJc w:val="left"/>
      <w:pPr>
        <w:tabs>
          <w:tab w:val="num" w:pos="2160"/>
        </w:tabs>
        <w:ind w:left="2160" w:hanging="360"/>
      </w:pPr>
      <w:rPr>
        <w:rFonts w:ascii="Arial" w:hAnsi="Arial" w:hint="default"/>
      </w:rPr>
    </w:lvl>
    <w:lvl w:ilvl="3" w:tplc="385C92B0" w:tentative="1">
      <w:start w:val="1"/>
      <w:numFmt w:val="bullet"/>
      <w:lvlText w:val="•"/>
      <w:lvlJc w:val="left"/>
      <w:pPr>
        <w:tabs>
          <w:tab w:val="num" w:pos="2880"/>
        </w:tabs>
        <w:ind w:left="2880" w:hanging="360"/>
      </w:pPr>
      <w:rPr>
        <w:rFonts w:ascii="Arial" w:hAnsi="Arial" w:hint="default"/>
      </w:rPr>
    </w:lvl>
    <w:lvl w:ilvl="4" w:tplc="0090DBFA" w:tentative="1">
      <w:start w:val="1"/>
      <w:numFmt w:val="bullet"/>
      <w:lvlText w:val="•"/>
      <w:lvlJc w:val="left"/>
      <w:pPr>
        <w:tabs>
          <w:tab w:val="num" w:pos="3600"/>
        </w:tabs>
        <w:ind w:left="3600" w:hanging="360"/>
      </w:pPr>
      <w:rPr>
        <w:rFonts w:ascii="Arial" w:hAnsi="Arial" w:hint="default"/>
      </w:rPr>
    </w:lvl>
    <w:lvl w:ilvl="5" w:tplc="828A904A" w:tentative="1">
      <w:start w:val="1"/>
      <w:numFmt w:val="bullet"/>
      <w:lvlText w:val="•"/>
      <w:lvlJc w:val="left"/>
      <w:pPr>
        <w:tabs>
          <w:tab w:val="num" w:pos="4320"/>
        </w:tabs>
        <w:ind w:left="4320" w:hanging="360"/>
      </w:pPr>
      <w:rPr>
        <w:rFonts w:ascii="Arial" w:hAnsi="Arial" w:hint="default"/>
      </w:rPr>
    </w:lvl>
    <w:lvl w:ilvl="6" w:tplc="E65E4624" w:tentative="1">
      <w:start w:val="1"/>
      <w:numFmt w:val="bullet"/>
      <w:lvlText w:val="•"/>
      <w:lvlJc w:val="left"/>
      <w:pPr>
        <w:tabs>
          <w:tab w:val="num" w:pos="5040"/>
        </w:tabs>
        <w:ind w:left="5040" w:hanging="360"/>
      </w:pPr>
      <w:rPr>
        <w:rFonts w:ascii="Arial" w:hAnsi="Arial" w:hint="default"/>
      </w:rPr>
    </w:lvl>
    <w:lvl w:ilvl="7" w:tplc="4588092E" w:tentative="1">
      <w:start w:val="1"/>
      <w:numFmt w:val="bullet"/>
      <w:lvlText w:val="•"/>
      <w:lvlJc w:val="left"/>
      <w:pPr>
        <w:tabs>
          <w:tab w:val="num" w:pos="5760"/>
        </w:tabs>
        <w:ind w:left="5760" w:hanging="360"/>
      </w:pPr>
      <w:rPr>
        <w:rFonts w:ascii="Arial" w:hAnsi="Arial" w:hint="default"/>
      </w:rPr>
    </w:lvl>
    <w:lvl w:ilvl="8" w:tplc="8FB47E1E" w:tentative="1">
      <w:start w:val="1"/>
      <w:numFmt w:val="bullet"/>
      <w:lvlText w:val="•"/>
      <w:lvlJc w:val="left"/>
      <w:pPr>
        <w:tabs>
          <w:tab w:val="num" w:pos="6480"/>
        </w:tabs>
        <w:ind w:left="6480" w:hanging="360"/>
      </w:pPr>
      <w:rPr>
        <w:rFonts w:ascii="Arial" w:hAnsi="Arial" w:hint="default"/>
      </w:rPr>
    </w:lvl>
  </w:abstractNum>
  <w:abstractNum w:abstractNumId="5">
    <w:nsid w:val="1F0945C7"/>
    <w:multiLevelType w:val="hybridMultilevel"/>
    <w:tmpl w:val="6B9CDC1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283C35F1"/>
    <w:multiLevelType w:val="hybridMultilevel"/>
    <w:tmpl w:val="4C58570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nsid w:val="3919326B"/>
    <w:multiLevelType w:val="hybridMultilevel"/>
    <w:tmpl w:val="CE44A18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3AFD4334"/>
    <w:multiLevelType w:val="hybridMultilevel"/>
    <w:tmpl w:val="8A321E9C"/>
    <w:lvl w:ilvl="0" w:tplc="C8620FC2">
      <w:start w:val="1"/>
      <w:numFmt w:val="bullet"/>
      <w:lvlText w:val="•"/>
      <w:lvlJc w:val="left"/>
      <w:pPr>
        <w:tabs>
          <w:tab w:val="num" w:pos="720"/>
        </w:tabs>
        <w:ind w:left="720" w:hanging="360"/>
      </w:pPr>
      <w:rPr>
        <w:rFonts w:ascii="Arial" w:hAnsi="Arial" w:hint="default"/>
      </w:rPr>
    </w:lvl>
    <w:lvl w:ilvl="1" w:tplc="EBDE30A0" w:tentative="1">
      <w:start w:val="1"/>
      <w:numFmt w:val="bullet"/>
      <w:lvlText w:val="•"/>
      <w:lvlJc w:val="left"/>
      <w:pPr>
        <w:tabs>
          <w:tab w:val="num" w:pos="1440"/>
        </w:tabs>
        <w:ind w:left="1440" w:hanging="360"/>
      </w:pPr>
      <w:rPr>
        <w:rFonts w:ascii="Arial" w:hAnsi="Arial" w:hint="default"/>
      </w:rPr>
    </w:lvl>
    <w:lvl w:ilvl="2" w:tplc="F8F0BC2A" w:tentative="1">
      <w:start w:val="1"/>
      <w:numFmt w:val="bullet"/>
      <w:lvlText w:val="•"/>
      <w:lvlJc w:val="left"/>
      <w:pPr>
        <w:tabs>
          <w:tab w:val="num" w:pos="2160"/>
        </w:tabs>
        <w:ind w:left="2160" w:hanging="360"/>
      </w:pPr>
      <w:rPr>
        <w:rFonts w:ascii="Arial" w:hAnsi="Arial" w:hint="default"/>
      </w:rPr>
    </w:lvl>
    <w:lvl w:ilvl="3" w:tplc="07CED404" w:tentative="1">
      <w:start w:val="1"/>
      <w:numFmt w:val="bullet"/>
      <w:lvlText w:val="•"/>
      <w:lvlJc w:val="left"/>
      <w:pPr>
        <w:tabs>
          <w:tab w:val="num" w:pos="2880"/>
        </w:tabs>
        <w:ind w:left="2880" w:hanging="360"/>
      </w:pPr>
      <w:rPr>
        <w:rFonts w:ascii="Arial" w:hAnsi="Arial" w:hint="default"/>
      </w:rPr>
    </w:lvl>
    <w:lvl w:ilvl="4" w:tplc="3502EED8" w:tentative="1">
      <w:start w:val="1"/>
      <w:numFmt w:val="bullet"/>
      <w:lvlText w:val="•"/>
      <w:lvlJc w:val="left"/>
      <w:pPr>
        <w:tabs>
          <w:tab w:val="num" w:pos="3600"/>
        </w:tabs>
        <w:ind w:left="3600" w:hanging="360"/>
      </w:pPr>
      <w:rPr>
        <w:rFonts w:ascii="Arial" w:hAnsi="Arial" w:hint="default"/>
      </w:rPr>
    </w:lvl>
    <w:lvl w:ilvl="5" w:tplc="7090E2FE" w:tentative="1">
      <w:start w:val="1"/>
      <w:numFmt w:val="bullet"/>
      <w:lvlText w:val="•"/>
      <w:lvlJc w:val="left"/>
      <w:pPr>
        <w:tabs>
          <w:tab w:val="num" w:pos="4320"/>
        </w:tabs>
        <w:ind w:left="4320" w:hanging="360"/>
      </w:pPr>
      <w:rPr>
        <w:rFonts w:ascii="Arial" w:hAnsi="Arial" w:hint="default"/>
      </w:rPr>
    </w:lvl>
    <w:lvl w:ilvl="6" w:tplc="A4C807DA" w:tentative="1">
      <w:start w:val="1"/>
      <w:numFmt w:val="bullet"/>
      <w:lvlText w:val="•"/>
      <w:lvlJc w:val="left"/>
      <w:pPr>
        <w:tabs>
          <w:tab w:val="num" w:pos="5040"/>
        </w:tabs>
        <w:ind w:left="5040" w:hanging="360"/>
      </w:pPr>
      <w:rPr>
        <w:rFonts w:ascii="Arial" w:hAnsi="Arial" w:hint="default"/>
      </w:rPr>
    </w:lvl>
    <w:lvl w:ilvl="7" w:tplc="AEF8DC08" w:tentative="1">
      <w:start w:val="1"/>
      <w:numFmt w:val="bullet"/>
      <w:lvlText w:val="•"/>
      <w:lvlJc w:val="left"/>
      <w:pPr>
        <w:tabs>
          <w:tab w:val="num" w:pos="5760"/>
        </w:tabs>
        <w:ind w:left="5760" w:hanging="360"/>
      </w:pPr>
      <w:rPr>
        <w:rFonts w:ascii="Arial" w:hAnsi="Arial" w:hint="default"/>
      </w:rPr>
    </w:lvl>
    <w:lvl w:ilvl="8" w:tplc="C9D22B4A" w:tentative="1">
      <w:start w:val="1"/>
      <w:numFmt w:val="bullet"/>
      <w:lvlText w:val="•"/>
      <w:lvlJc w:val="left"/>
      <w:pPr>
        <w:tabs>
          <w:tab w:val="num" w:pos="6480"/>
        </w:tabs>
        <w:ind w:left="6480" w:hanging="360"/>
      </w:pPr>
      <w:rPr>
        <w:rFonts w:ascii="Arial" w:hAnsi="Arial" w:hint="default"/>
      </w:rPr>
    </w:lvl>
  </w:abstractNum>
  <w:abstractNum w:abstractNumId="9">
    <w:nsid w:val="4C5B1654"/>
    <w:multiLevelType w:val="hybridMultilevel"/>
    <w:tmpl w:val="045EE28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
    <w:nsid w:val="5AAC3395"/>
    <w:multiLevelType w:val="hybridMultilevel"/>
    <w:tmpl w:val="21C4C99A"/>
    <w:lvl w:ilvl="0" w:tplc="9910A24A">
      <w:start w:val="1"/>
      <w:numFmt w:val="bullet"/>
      <w:lvlText w:val="•"/>
      <w:lvlJc w:val="left"/>
      <w:pPr>
        <w:tabs>
          <w:tab w:val="num" w:pos="720"/>
        </w:tabs>
        <w:ind w:left="720" w:hanging="360"/>
      </w:pPr>
      <w:rPr>
        <w:rFonts w:ascii="Arial" w:hAnsi="Arial" w:hint="default"/>
      </w:rPr>
    </w:lvl>
    <w:lvl w:ilvl="1" w:tplc="858E05A6" w:tentative="1">
      <w:start w:val="1"/>
      <w:numFmt w:val="bullet"/>
      <w:lvlText w:val="•"/>
      <w:lvlJc w:val="left"/>
      <w:pPr>
        <w:tabs>
          <w:tab w:val="num" w:pos="1440"/>
        </w:tabs>
        <w:ind w:left="1440" w:hanging="360"/>
      </w:pPr>
      <w:rPr>
        <w:rFonts w:ascii="Arial" w:hAnsi="Arial" w:hint="default"/>
      </w:rPr>
    </w:lvl>
    <w:lvl w:ilvl="2" w:tplc="F6FCCB82" w:tentative="1">
      <w:start w:val="1"/>
      <w:numFmt w:val="bullet"/>
      <w:lvlText w:val="•"/>
      <w:lvlJc w:val="left"/>
      <w:pPr>
        <w:tabs>
          <w:tab w:val="num" w:pos="2160"/>
        </w:tabs>
        <w:ind w:left="2160" w:hanging="360"/>
      </w:pPr>
      <w:rPr>
        <w:rFonts w:ascii="Arial" w:hAnsi="Arial" w:hint="default"/>
      </w:rPr>
    </w:lvl>
    <w:lvl w:ilvl="3" w:tplc="C66250DE" w:tentative="1">
      <w:start w:val="1"/>
      <w:numFmt w:val="bullet"/>
      <w:lvlText w:val="•"/>
      <w:lvlJc w:val="left"/>
      <w:pPr>
        <w:tabs>
          <w:tab w:val="num" w:pos="2880"/>
        </w:tabs>
        <w:ind w:left="2880" w:hanging="360"/>
      </w:pPr>
      <w:rPr>
        <w:rFonts w:ascii="Arial" w:hAnsi="Arial" w:hint="default"/>
      </w:rPr>
    </w:lvl>
    <w:lvl w:ilvl="4" w:tplc="D44C0A10" w:tentative="1">
      <w:start w:val="1"/>
      <w:numFmt w:val="bullet"/>
      <w:lvlText w:val="•"/>
      <w:lvlJc w:val="left"/>
      <w:pPr>
        <w:tabs>
          <w:tab w:val="num" w:pos="3600"/>
        </w:tabs>
        <w:ind w:left="3600" w:hanging="360"/>
      </w:pPr>
      <w:rPr>
        <w:rFonts w:ascii="Arial" w:hAnsi="Arial" w:hint="default"/>
      </w:rPr>
    </w:lvl>
    <w:lvl w:ilvl="5" w:tplc="5D06087E" w:tentative="1">
      <w:start w:val="1"/>
      <w:numFmt w:val="bullet"/>
      <w:lvlText w:val="•"/>
      <w:lvlJc w:val="left"/>
      <w:pPr>
        <w:tabs>
          <w:tab w:val="num" w:pos="4320"/>
        </w:tabs>
        <w:ind w:left="4320" w:hanging="360"/>
      </w:pPr>
      <w:rPr>
        <w:rFonts w:ascii="Arial" w:hAnsi="Arial" w:hint="default"/>
      </w:rPr>
    </w:lvl>
    <w:lvl w:ilvl="6" w:tplc="1F208F70" w:tentative="1">
      <w:start w:val="1"/>
      <w:numFmt w:val="bullet"/>
      <w:lvlText w:val="•"/>
      <w:lvlJc w:val="left"/>
      <w:pPr>
        <w:tabs>
          <w:tab w:val="num" w:pos="5040"/>
        </w:tabs>
        <w:ind w:left="5040" w:hanging="360"/>
      </w:pPr>
      <w:rPr>
        <w:rFonts w:ascii="Arial" w:hAnsi="Arial" w:hint="default"/>
      </w:rPr>
    </w:lvl>
    <w:lvl w:ilvl="7" w:tplc="4DEA7782" w:tentative="1">
      <w:start w:val="1"/>
      <w:numFmt w:val="bullet"/>
      <w:lvlText w:val="•"/>
      <w:lvlJc w:val="left"/>
      <w:pPr>
        <w:tabs>
          <w:tab w:val="num" w:pos="5760"/>
        </w:tabs>
        <w:ind w:left="5760" w:hanging="360"/>
      </w:pPr>
      <w:rPr>
        <w:rFonts w:ascii="Arial" w:hAnsi="Arial" w:hint="default"/>
      </w:rPr>
    </w:lvl>
    <w:lvl w:ilvl="8" w:tplc="5A04BA22" w:tentative="1">
      <w:start w:val="1"/>
      <w:numFmt w:val="bullet"/>
      <w:lvlText w:val="•"/>
      <w:lvlJc w:val="left"/>
      <w:pPr>
        <w:tabs>
          <w:tab w:val="num" w:pos="6480"/>
        </w:tabs>
        <w:ind w:left="6480" w:hanging="360"/>
      </w:pPr>
      <w:rPr>
        <w:rFonts w:ascii="Arial" w:hAnsi="Arial" w:hint="default"/>
      </w:rPr>
    </w:lvl>
  </w:abstractNum>
  <w:abstractNum w:abstractNumId="11">
    <w:nsid w:val="5B5A66E8"/>
    <w:multiLevelType w:val="multilevel"/>
    <w:tmpl w:val="2AE6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10"/>
  </w:num>
  <w:num w:numId="4">
    <w:abstractNumId w:val="3"/>
  </w:num>
  <w:num w:numId="5">
    <w:abstractNumId w:val="9"/>
  </w:num>
  <w:num w:numId="6">
    <w:abstractNumId w:val="7"/>
  </w:num>
  <w:num w:numId="7">
    <w:abstractNumId w:val="2"/>
  </w:num>
  <w:num w:numId="8">
    <w:abstractNumId w:val="0"/>
  </w:num>
  <w:num w:numId="9">
    <w:abstractNumId w:val="11"/>
  </w:num>
  <w:num w:numId="10">
    <w:abstractNumId w:val="5"/>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726417"/>
    <w:rsid w:val="00000C6B"/>
    <w:rsid w:val="0000525A"/>
    <w:rsid w:val="0000777D"/>
    <w:rsid w:val="00024898"/>
    <w:rsid w:val="00024BE1"/>
    <w:rsid w:val="000265DF"/>
    <w:rsid w:val="00034442"/>
    <w:rsid w:val="00035424"/>
    <w:rsid w:val="00037F01"/>
    <w:rsid w:val="00042639"/>
    <w:rsid w:val="00042651"/>
    <w:rsid w:val="00047B31"/>
    <w:rsid w:val="000505B7"/>
    <w:rsid w:val="00052CF5"/>
    <w:rsid w:val="000553D6"/>
    <w:rsid w:val="0005734B"/>
    <w:rsid w:val="00061CC9"/>
    <w:rsid w:val="000626DC"/>
    <w:rsid w:val="00062DB0"/>
    <w:rsid w:val="00065FBC"/>
    <w:rsid w:val="00067D97"/>
    <w:rsid w:val="000705F0"/>
    <w:rsid w:val="0007108B"/>
    <w:rsid w:val="00073648"/>
    <w:rsid w:val="00075325"/>
    <w:rsid w:val="0007567B"/>
    <w:rsid w:val="00076B24"/>
    <w:rsid w:val="00080F37"/>
    <w:rsid w:val="00081691"/>
    <w:rsid w:val="000829E1"/>
    <w:rsid w:val="00083D11"/>
    <w:rsid w:val="00090064"/>
    <w:rsid w:val="00093079"/>
    <w:rsid w:val="00094C28"/>
    <w:rsid w:val="00095A09"/>
    <w:rsid w:val="000971A6"/>
    <w:rsid w:val="000A3700"/>
    <w:rsid w:val="000A50F4"/>
    <w:rsid w:val="000B139F"/>
    <w:rsid w:val="000B2925"/>
    <w:rsid w:val="000B3296"/>
    <w:rsid w:val="000B3B32"/>
    <w:rsid w:val="000B4EFD"/>
    <w:rsid w:val="000B7315"/>
    <w:rsid w:val="000C0CAF"/>
    <w:rsid w:val="000C2CCD"/>
    <w:rsid w:val="000C3794"/>
    <w:rsid w:val="000C49BF"/>
    <w:rsid w:val="000C4BCC"/>
    <w:rsid w:val="000C4BD9"/>
    <w:rsid w:val="000D082D"/>
    <w:rsid w:val="000D656A"/>
    <w:rsid w:val="000D6B71"/>
    <w:rsid w:val="000E6932"/>
    <w:rsid w:val="000E7F08"/>
    <w:rsid w:val="000F14F6"/>
    <w:rsid w:val="000F240C"/>
    <w:rsid w:val="000F404E"/>
    <w:rsid w:val="00106476"/>
    <w:rsid w:val="00106C4D"/>
    <w:rsid w:val="00117143"/>
    <w:rsid w:val="00121C9A"/>
    <w:rsid w:val="00124C14"/>
    <w:rsid w:val="001310E8"/>
    <w:rsid w:val="001321DE"/>
    <w:rsid w:val="0013644E"/>
    <w:rsid w:val="001371AE"/>
    <w:rsid w:val="00140C5B"/>
    <w:rsid w:val="0014380F"/>
    <w:rsid w:val="00151BEB"/>
    <w:rsid w:val="00162A40"/>
    <w:rsid w:val="00165F4F"/>
    <w:rsid w:val="001715A4"/>
    <w:rsid w:val="00173A78"/>
    <w:rsid w:val="00173E51"/>
    <w:rsid w:val="00176571"/>
    <w:rsid w:val="00184232"/>
    <w:rsid w:val="00187658"/>
    <w:rsid w:val="00191857"/>
    <w:rsid w:val="001A0EC2"/>
    <w:rsid w:val="001A23CA"/>
    <w:rsid w:val="001B124F"/>
    <w:rsid w:val="001B2273"/>
    <w:rsid w:val="001C06F4"/>
    <w:rsid w:val="001C0B75"/>
    <w:rsid w:val="001C159C"/>
    <w:rsid w:val="001C1A59"/>
    <w:rsid w:val="001C3EB7"/>
    <w:rsid w:val="001C58FD"/>
    <w:rsid w:val="001F0DD4"/>
    <w:rsid w:val="001F0F79"/>
    <w:rsid w:val="001F2DB9"/>
    <w:rsid w:val="001F61A7"/>
    <w:rsid w:val="001F6BEF"/>
    <w:rsid w:val="00203DEB"/>
    <w:rsid w:val="002046A2"/>
    <w:rsid w:val="00206F87"/>
    <w:rsid w:val="00207337"/>
    <w:rsid w:val="0021107C"/>
    <w:rsid w:val="00212B73"/>
    <w:rsid w:val="00215C1B"/>
    <w:rsid w:val="0021628F"/>
    <w:rsid w:val="002172D6"/>
    <w:rsid w:val="00223B9E"/>
    <w:rsid w:val="00225EB1"/>
    <w:rsid w:val="00227754"/>
    <w:rsid w:val="0023070A"/>
    <w:rsid w:val="002346B9"/>
    <w:rsid w:val="002372F1"/>
    <w:rsid w:val="00240487"/>
    <w:rsid w:val="002460F4"/>
    <w:rsid w:val="00250855"/>
    <w:rsid w:val="00252BA3"/>
    <w:rsid w:val="00253A6B"/>
    <w:rsid w:val="00260899"/>
    <w:rsid w:val="00260BAF"/>
    <w:rsid w:val="00260EE7"/>
    <w:rsid w:val="00263457"/>
    <w:rsid w:val="00264F87"/>
    <w:rsid w:val="002654A0"/>
    <w:rsid w:val="0026714D"/>
    <w:rsid w:val="00267CE4"/>
    <w:rsid w:val="00276130"/>
    <w:rsid w:val="00280D7F"/>
    <w:rsid w:val="00285868"/>
    <w:rsid w:val="002870E8"/>
    <w:rsid w:val="00296DE5"/>
    <w:rsid w:val="002A04A1"/>
    <w:rsid w:val="002A55D2"/>
    <w:rsid w:val="002A5B4F"/>
    <w:rsid w:val="002B573B"/>
    <w:rsid w:val="002B6324"/>
    <w:rsid w:val="002B7EFE"/>
    <w:rsid w:val="002C109D"/>
    <w:rsid w:val="002D158E"/>
    <w:rsid w:val="002D1EE3"/>
    <w:rsid w:val="002D2905"/>
    <w:rsid w:val="002D2F8C"/>
    <w:rsid w:val="002D3A0D"/>
    <w:rsid w:val="002D704E"/>
    <w:rsid w:val="002E065E"/>
    <w:rsid w:val="002E6167"/>
    <w:rsid w:val="002F0309"/>
    <w:rsid w:val="002F5206"/>
    <w:rsid w:val="002F7C51"/>
    <w:rsid w:val="00305BAD"/>
    <w:rsid w:val="00310579"/>
    <w:rsid w:val="003165C2"/>
    <w:rsid w:val="00316CA9"/>
    <w:rsid w:val="00317E19"/>
    <w:rsid w:val="0032016E"/>
    <w:rsid w:val="00325708"/>
    <w:rsid w:val="0033375F"/>
    <w:rsid w:val="003348EF"/>
    <w:rsid w:val="00334FC1"/>
    <w:rsid w:val="0034059A"/>
    <w:rsid w:val="00344EAC"/>
    <w:rsid w:val="00346CD2"/>
    <w:rsid w:val="00347F01"/>
    <w:rsid w:val="00351C59"/>
    <w:rsid w:val="00352670"/>
    <w:rsid w:val="00354761"/>
    <w:rsid w:val="0035627A"/>
    <w:rsid w:val="00360AF0"/>
    <w:rsid w:val="00370E14"/>
    <w:rsid w:val="00375BFF"/>
    <w:rsid w:val="00377EC0"/>
    <w:rsid w:val="00381D63"/>
    <w:rsid w:val="00383468"/>
    <w:rsid w:val="003837EE"/>
    <w:rsid w:val="00385EC1"/>
    <w:rsid w:val="003954BB"/>
    <w:rsid w:val="003A0179"/>
    <w:rsid w:val="003A2256"/>
    <w:rsid w:val="003A3501"/>
    <w:rsid w:val="003A53FC"/>
    <w:rsid w:val="003B1C02"/>
    <w:rsid w:val="003B4DDE"/>
    <w:rsid w:val="003B50A1"/>
    <w:rsid w:val="003C0430"/>
    <w:rsid w:val="003C253F"/>
    <w:rsid w:val="003C39E4"/>
    <w:rsid w:val="003C6195"/>
    <w:rsid w:val="003C7723"/>
    <w:rsid w:val="003D28C9"/>
    <w:rsid w:val="003D3E99"/>
    <w:rsid w:val="003D4624"/>
    <w:rsid w:val="003D5577"/>
    <w:rsid w:val="003E6F9F"/>
    <w:rsid w:val="003E7A05"/>
    <w:rsid w:val="003F063B"/>
    <w:rsid w:val="003F6B75"/>
    <w:rsid w:val="004052C9"/>
    <w:rsid w:val="004119CF"/>
    <w:rsid w:val="00413FCD"/>
    <w:rsid w:val="0041761F"/>
    <w:rsid w:val="004221D7"/>
    <w:rsid w:val="004229C2"/>
    <w:rsid w:val="004260F4"/>
    <w:rsid w:val="00433EEF"/>
    <w:rsid w:val="00435EA9"/>
    <w:rsid w:val="004408F3"/>
    <w:rsid w:val="00440EC3"/>
    <w:rsid w:val="0045014F"/>
    <w:rsid w:val="00453A31"/>
    <w:rsid w:val="00455B71"/>
    <w:rsid w:val="004561F4"/>
    <w:rsid w:val="00464288"/>
    <w:rsid w:val="0047125A"/>
    <w:rsid w:val="00473BBC"/>
    <w:rsid w:val="00481993"/>
    <w:rsid w:val="00482DAD"/>
    <w:rsid w:val="00484B85"/>
    <w:rsid w:val="00487B5D"/>
    <w:rsid w:val="00494A9F"/>
    <w:rsid w:val="004A1A3C"/>
    <w:rsid w:val="004A53BB"/>
    <w:rsid w:val="004A6A69"/>
    <w:rsid w:val="004B00EA"/>
    <w:rsid w:val="004B3631"/>
    <w:rsid w:val="004B4F23"/>
    <w:rsid w:val="004B524B"/>
    <w:rsid w:val="004B6223"/>
    <w:rsid w:val="004B7895"/>
    <w:rsid w:val="004B79D9"/>
    <w:rsid w:val="004C248F"/>
    <w:rsid w:val="004C32C7"/>
    <w:rsid w:val="004C5713"/>
    <w:rsid w:val="004C7A14"/>
    <w:rsid w:val="004D6012"/>
    <w:rsid w:val="004D7AF3"/>
    <w:rsid w:val="004E0ECB"/>
    <w:rsid w:val="004E37A3"/>
    <w:rsid w:val="004E7614"/>
    <w:rsid w:val="004F04D3"/>
    <w:rsid w:val="004F48F6"/>
    <w:rsid w:val="004F5BE3"/>
    <w:rsid w:val="00500150"/>
    <w:rsid w:val="0050023B"/>
    <w:rsid w:val="00500A87"/>
    <w:rsid w:val="005018A2"/>
    <w:rsid w:val="00502A1F"/>
    <w:rsid w:val="00504D26"/>
    <w:rsid w:val="00521414"/>
    <w:rsid w:val="00521D27"/>
    <w:rsid w:val="0052297C"/>
    <w:rsid w:val="005306DA"/>
    <w:rsid w:val="0053299B"/>
    <w:rsid w:val="005376B4"/>
    <w:rsid w:val="00550E5C"/>
    <w:rsid w:val="00553F4F"/>
    <w:rsid w:val="005643B5"/>
    <w:rsid w:val="00564822"/>
    <w:rsid w:val="005700A7"/>
    <w:rsid w:val="00574EEB"/>
    <w:rsid w:val="0058213C"/>
    <w:rsid w:val="00591740"/>
    <w:rsid w:val="0059368F"/>
    <w:rsid w:val="00597A56"/>
    <w:rsid w:val="005A0A03"/>
    <w:rsid w:val="005A1186"/>
    <w:rsid w:val="005A742C"/>
    <w:rsid w:val="005B2426"/>
    <w:rsid w:val="005C1510"/>
    <w:rsid w:val="005C1A8A"/>
    <w:rsid w:val="005C59DB"/>
    <w:rsid w:val="005C5D87"/>
    <w:rsid w:val="005C789C"/>
    <w:rsid w:val="005D1461"/>
    <w:rsid w:val="005D2214"/>
    <w:rsid w:val="005D256A"/>
    <w:rsid w:val="005D37D1"/>
    <w:rsid w:val="005D5748"/>
    <w:rsid w:val="005D6FEF"/>
    <w:rsid w:val="005E440E"/>
    <w:rsid w:val="005F4AD1"/>
    <w:rsid w:val="00602093"/>
    <w:rsid w:val="006046DC"/>
    <w:rsid w:val="00604F33"/>
    <w:rsid w:val="00606CED"/>
    <w:rsid w:val="006078F2"/>
    <w:rsid w:val="00611288"/>
    <w:rsid w:val="0061170A"/>
    <w:rsid w:val="00641A1C"/>
    <w:rsid w:val="00641A79"/>
    <w:rsid w:val="006467D8"/>
    <w:rsid w:val="0065306D"/>
    <w:rsid w:val="00655566"/>
    <w:rsid w:val="0066018D"/>
    <w:rsid w:val="0066612E"/>
    <w:rsid w:val="0067335C"/>
    <w:rsid w:val="00676009"/>
    <w:rsid w:val="0068030D"/>
    <w:rsid w:val="00683BE8"/>
    <w:rsid w:val="00683FEF"/>
    <w:rsid w:val="006853DD"/>
    <w:rsid w:val="006869D8"/>
    <w:rsid w:val="00687DC7"/>
    <w:rsid w:val="00691DB3"/>
    <w:rsid w:val="00692578"/>
    <w:rsid w:val="00693916"/>
    <w:rsid w:val="00694316"/>
    <w:rsid w:val="006A14D9"/>
    <w:rsid w:val="006A236C"/>
    <w:rsid w:val="006A7B69"/>
    <w:rsid w:val="006B02F4"/>
    <w:rsid w:val="006B5B16"/>
    <w:rsid w:val="006C7A60"/>
    <w:rsid w:val="006C7D0D"/>
    <w:rsid w:val="006D1B8A"/>
    <w:rsid w:val="006D45B9"/>
    <w:rsid w:val="006D4D40"/>
    <w:rsid w:val="006E0387"/>
    <w:rsid w:val="006E1534"/>
    <w:rsid w:val="006E64F1"/>
    <w:rsid w:val="006E7D4C"/>
    <w:rsid w:val="006F4DF8"/>
    <w:rsid w:val="006F6373"/>
    <w:rsid w:val="00702407"/>
    <w:rsid w:val="00705091"/>
    <w:rsid w:val="007070FA"/>
    <w:rsid w:val="00712C03"/>
    <w:rsid w:val="00713A2C"/>
    <w:rsid w:val="00714DB4"/>
    <w:rsid w:val="00714E31"/>
    <w:rsid w:val="00726417"/>
    <w:rsid w:val="00731803"/>
    <w:rsid w:val="007324F6"/>
    <w:rsid w:val="00733E5E"/>
    <w:rsid w:val="00737CB7"/>
    <w:rsid w:val="00737ED8"/>
    <w:rsid w:val="007417C3"/>
    <w:rsid w:val="007436A1"/>
    <w:rsid w:val="007441C3"/>
    <w:rsid w:val="00744549"/>
    <w:rsid w:val="00744EE6"/>
    <w:rsid w:val="0074711E"/>
    <w:rsid w:val="00752685"/>
    <w:rsid w:val="00752FE7"/>
    <w:rsid w:val="00753F5E"/>
    <w:rsid w:val="00754CCC"/>
    <w:rsid w:val="00755506"/>
    <w:rsid w:val="00760291"/>
    <w:rsid w:val="007624B4"/>
    <w:rsid w:val="00764479"/>
    <w:rsid w:val="0076646C"/>
    <w:rsid w:val="007664BC"/>
    <w:rsid w:val="00771718"/>
    <w:rsid w:val="00774379"/>
    <w:rsid w:val="00775F95"/>
    <w:rsid w:val="00777034"/>
    <w:rsid w:val="00786250"/>
    <w:rsid w:val="0078798C"/>
    <w:rsid w:val="00794DC2"/>
    <w:rsid w:val="007A12EB"/>
    <w:rsid w:val="007A7AD4"/>
    <w:rsid w:val="007B0292"/>
    <w:rsid w:val="007C0C77"/>
    <w:rsid w:val="007C5892"/>
    <w:rsid w:val="007D0FD1"/>
    <w:rsid w:val="007E1057"/>
    <w:rsid w:val="007E4586"/>
    <w:rsid w:val="007F6C51"/>
    <w:rsid w:val="00800A70"/>
    <w:rsid w:val="0080398B"/>
    <w:rsid w:val="00803F04"/>
    <w:rsid w:val="0080412D"/>
    <w:rsid w:val="008060CB"/>
    <w:rsid w:val="008118B2"/>
    <w:rsid w:val="00811C52"/>
    <w:rsid w:val="00820118"/>
    <w:rsid w:val="00820BB2"/>
    <w:rsid w:val="00825328"/>
    <w:rsid w:val="00825DC9"/>
    <w:rsid w:val="00833802"/>
    <w:rsid w:val="00842712"/>
    <w:rsid w:val="00843585"/>
    <w:rsid w:val="008437FC"/>
    <w:rsid w:val="00853CF0"/>
    <w:rsid w:val="0085547C"/>
    <w:rsid w:val="00855B39"/>
    <w:rsid w:val="00856402"/>
    <w:rsid w:val="00857AD5"/>
    <w:rsid w:val="00860F07"/>
    <w:rsid w:val="00863C23"/>
    <w:rsid w:val="00863FF4"/>
    <w:rsid w:val="00865C93"/>
    <w:rsid w:val="00867746"/>
    <w:rsid w:val="00881AF5"/>
    <w:rsid w:val="0088385B"/>
    <w:rsid w:val="0089359B"/>
    <w:rsid w:val="00893763"/>
    <w:rsid w:val="008A12AB"/>
    <w:rsid w:val="008A17BA"/>
    <w:rsid w:val="008A536B"/>
    <w:rsid w:val="008B09B7"/>
    <w:rsid w:val="008C1D79"/>
    <w:rsid w:val="008C267B"/>
    <w:rsid w:val="008C655C"/>
    <w:rsid w:val="008D06EB"/>
    <w:rsid w:val="008D1F41"/>
    <w:rsid w:val="008E03F4"/>
    <w:rsid w:val="008E265A"/>
    <w:rsid w:val="008E681B"/>
    <w:rsid w:val="008F0805"/>
    <w:rsid w:val="008F49B7"/>
    <w:rsid w:val="008F4E09"/>
    <w:rsid w:val="00902994"/>
    <w:rsid w:val="00906AEC"/>
    <w:rsid w:val="00907AF7"/>
    <w:rsid w:val="009102F2"/>
    <w:rsid w:val="00911056"/>
    <w:rsid w:val="0091275F"/>
    <w:rsid w:val="00923D7A"/>
    <w:rsid w:val="00923F42"/>
    <w:rsid w:val="009254D6"/>
    <w:rsid w:val="009318E8"/>
    <w:rsid w:val="0094099C"/>
    <w:rsid w:val="00942902"/>
    <w:rsid w:val="0094554B"/>
    <w:rsid w:val="00955225"/>
    <w:rsid w:val="00961337"/>
    <w:rsid w:val="009620FF"/>
    <w:rsid w:val="00962169"/>
    <w:rsid w:val="00962FA8"/>
    <w:rsid w:val="00971253"/>
    <w:rsid w:val="009812D0"/>
    <w:rsid w:val="00981834"/>
    <w:rsid w:val="00983764"/>
    <w:rsid w:val="00993338"/>
    <w:rsid w:val="00993468"/>
    <w:rsid w:val="0099634E"/>
    <w:rsid w:val="00996CAE"/>
    <w:rsid w:val="00997D5F"/>
    <w:rsid w:val="009A1097"/>
    <w:rsid w:val="009A2C14"/>
    <w:rsid w:val="009A6CF4"/>
    <w:rsid w:val="009B053F"/>
    <w:rsid w:val="009B0BC5"/>
    <w:rsid w:val="009B0F17"/>
    <w:rsid w:val="009B1CC0"/>
    <w:rsid w:val="009D0CA7"/>
    <w:rsid w:val="009D28AA"/>
    <w:rsid w:val="009D2BFA"/>
    <w:rsid w:val="009E0B9E"/>
    <w:rsid w:val="009E6B4E"/>
    <w:rsid w:val="009F0614"/>
    <w:rsid w:val="009F7D13"/>
    <w:rsid w:val="00A00F05"/>
    <w:rsid w:val="00A04826"/>
    <w:rsid w:val="00A10B76"/>
    <w:rsid w:val="00A12766"/>
    <w:rsid w:val="00A139BB"/>
    <w:rsid w:val="00A15F0B"/>
    <w:rsid w:val="00A2336D"/>
    <w:rsid w:val="00A261DC"/>
    <w:rsid w:val="00A31205"/>
    <w:rsid w:val="00A31531"/>
    <w:rsid w:val="00A316F4"/>
    <w:rsid w:val="00A32E42"/>
    <w:rsid w:val="00A3300E"/>
    <w:rsid w:val="00A35D8F"/>
    <w:rsid w:val="00A36B82"/>
    <w:rsid w:val="00A373E8"/>
    <w:rsid w:val="00A42C7F"/>
    <w:rsid w:val="00A46CBE"/>
    <w:rsid w:val="00A47619"/>
    <w:rsid w:val="00A50248"/>
    <w:rsid w:val="00A56B55"/>
    <w:rsid w:val="00A61FC7"/>
    <w:rsid w:val="00A72A0C"/>
    <w:rsid w:val="00A77B3F"/>
    <w:rsid w:val="00A801A2"/>
    <w:rsid w:val="00A8178F"/>
    <w:rsid w:val="00A828FB"/>
    <w:rsid w:val="00A832DF"/>
    <w:rsid w:val="00A85565"/>
    <w:rsid w:val="00A92D47"/>
    <w:rsid w:val="00A95F26"/>
    <w:rsid w:val="00AA0739"/>
    <w:rsid w:val="00AA7832"/>
    <w:rsid w:val="00AB1259"/>
    <w:rsid w:val="00AB245B"/>
    <w:rsid w:val="00AB4883"/>
    <w:rsid w:val="00AB7B42"/>
    <w:rsid w:val="00AC09A5"/>
    <w:rsid w:val="00AC1E84"/>
    <w:rsid w:val="00AC4C8A"/>
    <w:rsid w:val="00AD2AB6"/>
    <w:rsid w:val="00AD7614"/>
    <w:rsid w:val="00AE064A"/>
    <w:rsid w:val="00AE2447"/>
    <w:rsid w:val="00AE3B82"/>
    <w:rsid w:val="00AE76E5"/>
    <w:rsid w:val="00AF32F7"/>
    <w:rsid w:val="00AF56A1"/>
    <w:rsid w:val="00B047A6"/>
    <w:rsid w:val="00B05FB4"/>
    <w:rsid w:val="00B129D0"/>
    <w:rsid w:val="00B277CC"/>
    <w:rsid w:val="00B32C94"/>
    <w:rsid w:val="00B331FF"/>
    <w:rsid w:val="00B36268"/>
    <w:rsid w:val="00B364BC"/>
    <w:rsid w:val="00B36B78"/>
    <w:rsid w:val="00B417EA"/>
    <w:rsid w:val="00B46535"/>
    <w:rsid w:val="00B46592"/>
    <w:rsid w:val="00B51358"/>
    <w:rsid w:val="00B51380"/>
    <w:rsid w:val="00B549A3"/>
    <w:rsid w:val="00B60158"/>
    <w:rsid w:val="00B65D66"/>
    <w:rsid w:val="00B7377E"/>
    <w:rsid w:val="00B75CCF"/>
    <w:rsid w:val="00B8175B"/>
    <w:rsid w:val="00B81775"/>
    <w:rsid w:val="00B85C1B"/>
    <w:rsid w:val="00B90251"/>
    <w:rsid w:val="00B95426"/>
    <w:rsid w:val="00B95AAF"/>
    <w:rsid w:val="00B975B6"/>
    <w:rsid w:val="00BA7E79"/>
    <w:rsid w:val="00BB18DE"/>
    <w:rsid w:val="00BC0529"/>
    <w:rsid w:val="00BC0B68"/>
    <w:rsid w:val="00BC2735"/>
    <w:rsid w:val="00BC28B4"/>
    <w:rsid w:val="00BC3A26"/>
    <w:rsid w:val="00BD20C0"/>
    <w:rsid w:val="00BD300B"/>
    <w:rsid w:val="00BD7916"/>
    <w:rsid w:val="00BE454D"/>
    <w:rsid w:val="00BE5B62"/>
    <w:rsid w:val="00BF0387"/>
    <w:rsid w:val="00BF409B"/>
    <w:rsid w:val="00BF5B50"/>
    <w:rsid w:val="00C01EBC"/>
    <w:rsid w:val="00C24CF4"/>
    <w:rsid w:val="00C25ED6"/>
    <w:rsid w:val="00C27F4C"/>
    <w:rsid w:val="00C304A4"/>
    <w:rsid w:val="00C317AD"/>
    <w:rsid w:val="00C35B33"/>
    <w:rsid w:val="00C370D8"/>
    <w:rsid w:val="00C42493"/>
    <w:rsid w:val="00C437F1"/>
    <w:rsid w:val="00C44795"/>
    <w:rsid w:val="00C44F42"/>
    <w:rsid w:val="00C56686"/>
    <w:rsid w:val="00C57F67"/>
    <w:rsid w:val="00C608CE"/>
    <w:rsid w:val="00C65069"/>
    <w:rsid w:val="00C6516C"/>
    <w:rsid w:val="00C663DE"/>
    <w:rsid w:val="00C669BD"/>
    <w:rsid w:val="00C7667E"/>
    <w:rsid w:val="00C777C8"/>
    <w:rsid w:val="00C84A6B"/>
    <w:rsid w:val="00C86512"/>
    <w:rsid w:val="00C86DC1"/>
    <w:rsid w:val="00C87122"/>
    <w:rsid w:val="00C87B71"/>
    <w:rsid w:val="00C92F28"/>
    <w:rsid w:val="00C9327A"/>
    <w:rsid w:val="00C932A0"/>
    <w:rsid w:val="00CA78B8"/>
    <w:rsid w:val="00CA7DCC"/>
    <w:rsid w:val="00CB0E70"/>
    <w:rsid w:val="00CB5BCC"/>
    <w:rsid w:val="00CB72B3"/>
    <w:rsid w:val="00CC5DAA"/>
    <w:rsid w:val="00CC726D"/>
    <w:rsid w:val="00CD257B"/>
    <w:rsid w:val="00CD75CF"/>
    <w:rsid w:val="00CE0D73"/>
    <w:rsid w:val="00CE1181"/>
    <w:rsid w:val="00CE17AF"/>
    <w:rsid w:val="00CE792E"/>
    <w:rsid w:val="00CF0354"/>
    <w:rsid w:val="00CF19E9"/>
    <w:rsid w:val="00CF30C5"/>
    <w:rsid w:val="00CF3BF4"/>
    <w:rsid w:val="00CF3C3D"/>
    <w:rsid w:val="00CF7FD1"/>
    <w:rsid w:val="00D00D6E"/>
    <w:rsid w:val="00D04F8E"/>
    <w:rsid w:val="00D1240C"/>
    <w:rsid w:val="00D141EB"/>
    <w:rsid w:val="00D156DC"/>
    <w:rsid w:val="00D203D5"/>
    <w:rsid w:val="00D37B3C"/>
    <w:rsid w:val="00D4139B"/>
    <w:rsid w:val="00D43A82"/>
    <w:rsid w:val="00D44082"/>
    <w:rsid w:val="00D508B0"/>
    <w:rsid w:val="00D566BB"/>
    <w:rsid w:val="00D62031"/>
    <w:rsid w:val="00D678C7"/>
    <w:rsid w:val="00D71194"/>
    <w:rsid w:val="00D713FE"/>
    <w:rsid w:val="00D71AE9"/>
    <w:rsid w:val="00D76301"/>
    <w:rsid w:val="00D76D92"/>
    <w:rsid w:val="00D779EF"/>
    <w:rsid w:val="00D8137B"/>
    <w:rsid w:val="00D85556"/>
    <w:rsid w:val="00D90BC7"/>
    <w:rsid w:val="00D97290"/>
    <w:rsid w:val="00DA54EC"/>
    <w:rsid w:val="00DA6FC9"/>
    <w:rsid w:val="00DB3A69"/>
    <w:rsid w:val="00DB544E"/>
    <w:rsid w:val="00DC4F5C"/>
    <w:rsid w:val="00DD3B9D"/>
    <w:rsid w:val="00DE27ED"/>
    <w:rsid w:val="00DF1A5C"/>
    <w:rsid w:val="00DF4F8F"/>
    <w:rsid w:val="00DF7BFC"/>
    <w:rsid w:val="00E01A0E"/>
    <w:rsid w:val="00E0582E"/>
    <w:rsid w:val="00E11C2F"/>
    <w:rsid w:val="00E12463"/>
    <w:rsid w:val="00E175F7"/>
    <w:rsid w:val="00E17805"/>
    <w:rsid w:val="00E17B0D"/>
    <w:rsid w:val="00E20242"/>
    <w:rsid w:val="00E21193"/>
    <w:rsid w:val="00E22EFC"/>
    <w:rsid w:val="00E25357"/>
    <w:rsid w:val="00E25EF7"/>
    <w:rsid w:val="00E26E5D"/>
    <w:rsid w:val="00E36B40"/>
    <w:rsid w:val="00E371A8"/>
    <w:rsid w:val="00E429EB"/>
    <w:rsid w:val="00E45D25"/>
    <w:rsid w:val="00E50F93"/>
    <w:rsid w:val="00E57A19"/>
    <w:rsid w:val="00E600E9"/>
    <w:rsid w:val="00E66752"/>
    <w:rsid w:val="00E671D9"/>
    <w:rsid w:val="00E8105F"/>
    <w:rsid w:val="00E9472D"/>
    <w:rsid w:val="00E95C09"/>
    <w:rsid w:val="00EA2A48"/>
    <w:rsid w:val="00EA38C1"/>
    <w:rsid w:val="00EA4992"/>
    <w:rsid w:val="00EA6F44"/>
    <w:rsid w:val="00EB692A"/>
    <w:rsid w:val="00EB7356"/>
    <w:rsid w:val="00EB7B89"/>
    <w:rsid w:val="00EC1295"/>
    <w:rsid w:val="00EC27B9"/>
    <w:rsid w:val="00EC5E2D"/>
    <w:rsid w:val="00EC7135"/>
    <w:rsid w:val="00EC7313"/>
    <w:rsid w:val="00ED174E"/>
    <w:rsid w:val="00ED2B83"/>
    <w:rsid w:val="00ED351D"/>
    <w:rsid w:val="00ED3916"/>
    <w:rsid w:val="00ED4364"/>
    <w:rsid w:val="00ED54CE"/>
    <w:rsid w:val="00EE5250"/>
    <w:rsid w:val="00EF093D"/>
    <w:rsid w:val="00EF6056"/>
    <w:rsid w:val="00EF6A99"/>
    <w:rsid w:val="00EF7825"/>
    <w:rsid w:val="00F0235D"/>
    <w:rsid w:val="00F02975"/>
    <w:rsid w:val="00F21A67"/>
    <w:rsid w:val="00F318B3"/>
    <w:rsid w:val="00F330AF"/>
    <w:rsid w:val="00F33578"/>
    <w:rsid w:val="00F3707D"/>
    <w:rsid w:val="00F4076A"/>
    <w:rsid w:val="00F452AD"/>
    <w:rsid w:val="00F453EA"/>
    <w:rsid w:val="00F45BCD"/>
    <w:rsid w:val="00F468AD"/>
    <w:rsid w:val="00F47587"/>
    <w:rsid w:val="00F50F89"/>
    <w:rsid w:val="00F5417E"/>
    <w:rsid w:val="00F6169A"/>
    <w:rsid w:val="00F633AD"/>
    <w:rsid w:val="00F66FB1"/>
    <w:rsid w:val="00F82C3B"/>
    <w:rsid w:val="00F82FA1"/>
    <w:rsid w:val="00F86150"/>
    <w:rsid w:val="00F87DCC"/>
    <w:rsid w:val="00F96439"/>
    <w:rsid w:val="00F975CC"/>
    <w:rsid w:val="00FA6BF4"/>
    <w:rsid w:val="00FC1B6A"/>
    <w:rsid w:val="00FC34BC"/>
    <w:rsid w:val="00FC74A7"/>
    <w:rsid w:val="00FC7F20"/>
    <w:rsid w:val="00FD4DC2"/>
    <w:rsid w:val="00FE1BBD"/>
    <w:rsid w:val="00FE1F81"/>
    <w:rsid w:val="00FE265A"/>
    <w:rsid w:val="00FE341E"/>
    <w:rsid w:val="00FE725C"/>
    <w:rsid w:val="00FE7B23"/>
    <w:rsid w:val="00FF1425"/>
    <w:rsid w:val="00FF4843"/>
    <w:rsid w:val="00FF7E1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1D7"/>
    <w:pPr>
      <w:spacing w:after="200" w:line="276" w:lineRule="auto"/>
    </w:pPr>
    <w:rPr>
      <w:sz w:val="22"/>
      <w:szCs w:val="22"/>
      <w:lang w:val="en-US" w:eastAsia="en-US"/>
    </w:rPr>
  </w:style>
  <w:style w:type="paragraph" w:styleId="Heading1">
    <w:name w:val="heading 1"/>
    <w:basedOn w:val="Normal"/>
    <w:link w:val="Heading1Char"/>
    <w:uiPriority w:val="99"/>
    <w:qFormat/>
    <w:rsid w:val="000829E1"/>
    <w:pPr>
      <w:spacing w:before="100" w:beforeAutospacing="1" w:after="100" w:afterAutospacing="1" w:line="240" w:lineRule="auto"/>
      <w:outlineLvl w:val="0"/>
    </w:pPr>
    <w:rPr>
      <w:rFonts w:ascii="Times New Roman" w:eastAsia="Times New Roman" w:hAnsi="Times New Roman"/>
      <w:b/>
      <w:bCs/>
      <w:kern w:val="36"/>
      <w:sz w:val="48"/>
      <w:szCs w:val="48"/>
      <w:lang w:val="hr-HR" w:eastAsia="hr-HR"/>
    </w:rPr>
  </w:style>
  <w:style w:type="paragraph" w:styleId="Heading3">
    <w:name w:val="heading 3"/>
    <w:basedOn w:val="Normal"/>
    <w:link w:val="Heading3Char"/>
    <w:uiPriority w:val="99"/>
    <w:qFormat/>
    <w:rsid w:val="000829E1"/>
    <w:pPr>
      <w:spacing w:before="100" w:beforeAutospacing="1" w:after="100" w:afterAutospacing="1" w:line="240" w:lineRule="auto"/>
      <w:outlineLvl w:val="2"/>
    </w:pPr>
    <w:rPr>
      <w:rFonts w:ascii="Times New Roman" w:eastAsia="Times New Roman" w:hAnsi="Times New Roman"/>
      <w:b/>
      <w:bCs/>
      <w:sz w:val="27"/>
      <w:szCs w:val="27"/>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29E1"/>
    <w:rPr>
      <w:rFonts w:ascii="Times New Roman" w:hAnsi="Times New Roman" w:cs="Times New Roman"/>
      <w:b/>
      <w:bCs/>
      <w:kern w:val="36"/>
      <w:sz w:val="48"/>
      <w:szCs w:val="48"/>
      <w:lang w:eastAsia="hr-HR"/>
    </w:rPr>
  </w:style>
  <w:style w:type="character" w:customStyle="1" w:styleId="Heading3Char">
    <w:name w:val="Heading 3 Char"/>
    <w:basedOn w:val="DefaultParagraphFont"/>
    <w:link w:val="Heading3"/>
    <w:uiPriority w:val="99"/>
    <w:locked/>
    <w:rsid w:val="000829E1"/>
    <w:rPr>
      <w:rFonts w:ascii="Times New Roman" w:hAnsi="Times New Roman" w:cs="Times New Roman"/>
      <w:b/>
      <w:bCs/>
      <w:sz w:val="27"/>
      <w:szCs w:val="27"/>
      <w:lang w:eastAsia="hr-HR"/>
    </w:rPr>
  </w:style>
  <w:style w:type="character" w:customStyle="1" w:styleId="highlight">
    <w:name w:val="highlight"/>
    <w:basedOn w:val="DefaultParagraphFont"/>
    <w:uiPriority w:val="99"/>
    <w:rsid w:val="0066612E"/>
    <w:rPr>
      <w:rFonts w:cs="Times New Roman"/>
    </w:rPr>
  </w:style>
  <w:style w:type="paragraph" w:styleId="ListParagraph">
    <w:name w:val="List Paragraph"/>
    <w:basedOn w:val="Normal"/>
    <w:uiPriority w:val="99"/>
    <w:qFormat/>
    <w:rsid w:val="0066612E"/>
    <w:pPr>
      <w:ind w:left="720"/>
      <w:contextualSpacing/>
    </w:pPr>
  </w:style>
  <w:style w:type="paragraph" w:styleId="Header">
    <w:name w:val="header"/>
    <w:basedOn w:val="Normal"/>
    <w:link w:val="HeaderChar"/>
    <w:uiPriority w:val="99"/>
    <w:rsid w:val="00EC7313"/>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EC7313"/>
    <w:rPr>
      <w:rFonts w:cs="Times New Roman"/>
      <w:lang w:val="en-US"/>
    </w:rPr>
  </w:style>
  <w:style w:type="paragraph" w:styleId="Footer">
    <w:name w:val="footer"/>
    <w:basedOn w:val="Normal"/>
    <w:link w:val="FooterChar"/>
    <w:uiPriority w:val="99"/>
    <w:rsid w:val="00EC7313"/>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C7313"/>
    <w:rPr>
      <w:rFonts w:cs="Times New Roman"/>
      <w:lang w:val="en-US"/>
    </w:rPr>
  </w:style>
  <w:style w:type="paragraph" w:styleId="NormalWeb">
    <w:name w:val="Normal (Web)"/>
    <w:basedOn w:val="Normal"/>
    <w:uiPriority w:val="99"/>
    <w:semiHidden/>
    <w:rsid w:val="001C1A59"/>
    <w:pPr>
      <w:spacing w:before="100" w:beforeAutospacing="1" w:after="100" w:afterAutospacing="1" w:line="240" w:lineRule="auto"/>
    </w:pPr>
    <w:rPr>
      <w:rFonts w:ascii="Times New Roman" w:eastAsia="Times New Roman" w:hAnsi="Times New Roman"/>
      <w:sz w:val="24"/>
      <w:szCs w:val="24"/>
      <w:lang w:val="hr-HR" w:eastAsia="hr-HR"/>
    </w:rPr>
  </w:style>
  <w:style w:type="character" w:styleId="Hyperlink">
    <w:name w:val="Hyperlink"/>
    <w:basedOn w:val="DefaultParagraphFont"/>
    <w:uiPriority w:val="99"/>
    <w:semiHidden/>
    <w:rsid w:val="000829E1"/>
    <w:rPr>
      <w:rFonts w:cs="Times New Roman"/>
      <w:color w:val="0000FF"/>
      <w:u w:val="single"/>
    </w:rPr>
  </w:style>
  <w:style w:type="character" w:customStyle="1" w:styleId="ui-ncbitoggler-master-text">
    <w:name w:val="ui-ncbitoggler-master-text"/>
    <w:basedOn w:val="DefaultParagraphFont"/>
    <w:uiPriority w:val="99"/>
    <w:rsid w:val="000829E1"/>
    <w:rPr>
      <w:rFonts w:cs="Times New Roman"/>
    </w:rPr>
  </w:style>
  <w:style w:type="paragraph" w:styleId="BalloonText">
    <w:name w:val="Balloon Text"/>
    <w:basedOn w:val="Normal"/>
    <w:link w:val="BalloonTextChar"/>
    <w:uiPriority w:val="99"/>
    <w:semiHidden/>
    <w:rsid w:val="0052141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21414"/>
    <w:rPr>
      <w:rFonts w:ascii="Lucida Grande" w:hAnsi="Lucida Grande" w:cs="Lucida Grande"/>
      <w:sz w:val="18"/>
      <w:szCs w:val="18"/>
      <w:lang w:val="en-US"/>
    </w:rPr>
  </w:style>
  <w:style w:type="character" w:styleId="CommentReference">
    <w:name w:val="annotation reference"/>
    <w:basedOn w:val="DefaultParagraphFont"/>
    <w:uiPriority w:val="99"/>
    <w:semiHidden/>
    <w:rsid w:val="00CF19E9"/>
    <w:rPr>
      <w:rFonts w:cs="Times New Roman"/>
      <w:sz w:val="18"/>
      <w:szCs w:val="18"/>
    </w:rPr>
  </w:style>
  <w:style w:type="paragraph" w:styleId="CommentText">
    <w:name w:val="annotation text"/>
    <w:basedOn w:val="Normal"/>
    <w:link w:val="CommentTextChar"/>
    <w:uiPriority w:val="99"/>
    <w:semiHidden/>
    <w:rsid w:val="00CF19E9"/>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F19E9"/>
    <w:rPr>
      <w:rFonts w:cs="Times New Roman"/>
      <w:sz w:val="24"/>
      <w:szCs w:val="24"/>
      <w:lang w:val="en-US"/>
    </w:rPr>
  </w:style>
  <w:style w:type="paragraph" w:styleId="CommentSubject">
    <w:name w:val="annotation subject"/>
    <w:basedOn w:val="CommentText"/>
    <w:next w:val="CommentText"/>
    <w:link w:val="CommentSubjectChar"/>
    <w:uiPriority w:val="99"/>
    <w:semiHidden/>
    <w:rsid w:val="00CF19E9"/>
    <w:rPr>
      <w:b/>
      <w:bCs/>
      <w:sz w:val="20"/>
      <w:szCs w:val="20"/>
    </w:rPr>
  </w:style>
  <w:style w:type="character" w:customStyle="1" w:styleId="CommentSubjectChar">
    <w:name w:val="Comment Subject Char"/>
    <w:basedOn w:val="CommentTextChar"/>
    <w:link w:val="CommentSubject"/>
    <w:uiPriority w:val="99"/>
    <w:semiHidden/>
    <w:locked/>
    <w:rsid w:val="00CF19E9"/>
    <w:rPr>
      <w:rFonts w:cs="Times New Roman"/>
      <w:b/>
      <w:bCs/>
      <w:sz w:val="20"/>
      <w:szCs w:val="20"/>
      <w:lang w:val="en-US"/>
    </w:rPr>
  </w:style>
  <w:style w:type="character" w:customStyle="1" w:styleId="authordegrees">
    <w:name w:val="authordegrees"/>
    <w:basedOn w:val="DefaultParagraphFont"/>
    <w:uiPriority w:val="99"/>
    <w:rsid w:val="00692578"/>
    <w:rPr>
      <w:rFonts w:cs="Times New Roman"/>
    </w:rPr>
  </w:style>
  <w:style w:type="paragraph" w:customStyle="1" w:styleId="volissue">
    <w:name w:val="volissue"/>
    <w:basedOn w:val="Normal"/>
    <w:uiPriority w:val="99"/>
    <w:rsid w:val="00692578"/>
    <w:pPr>
      <w:spacing w:before="100" w:beforeAutospacing="1" w:after="100" w:afterAutospacing="1" w:line="240" w:lineRule="auto"/>
    </w:pPr>
    <w:rPr>
      <w:rFonts w:ascii="Times New Roman" w:eastAsia="Times New Roman" w:hAnsi="Times New Roman"/>
      <w:sz w:val="24"/>
      <w:szCs w:val="24"/>
      <w:lang w:val="hr-HR" w:eastAsia="hr-HR"/>
    </w:rPr>
  </w:style>
  <w:style w:type="character" w:customStyle="1" w:styleId="hps">
    <w:name w:val="hps"/>
    <w:basedOn w:val="DefaultParagraphFont"/>
    <w:rsid w:val="000505B7"/>
  </w:style>
  <w:style w:type="character" w:customStyle="1" w:styleId="apple-converted-space">
    <w:name w:val="apple-converted-space"/>
    <w:basedOn w:val="DefaultParagraphFont"/>
    <w:rsid w:val="000505B7"/>
  </w:style>
  <w:style w:type="table" w:styleId="TableGrid">
    <w:name w:val="Table Grid"/>
    <w:basedOn w:val="TableNormal"/>
    <w:locked/>
    <w:rsid w:val="00050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53218360">
      <w:marLeft w:val="0"/>
      <w:marRight w:val="0"/>
      <w:marTop w:val="0"/>
      <w:marBottom w:val="0"/>
      <w:divBdr>
        <w:top w:val="none" w:sz="0" w:space="0" w:color="auto"/>
        <w:left w:val="none" w:sz="0" w:space="0" w:color="auto"/>
        <w:bottom w:val="none" w:sz="0" w:space="0" w:color="auto"/>
        <w:right w:val="none" w:sz="0" w:space="0" w:color="auto"/>
      </w:divBdr>
      <w:divsChild>
        <w:div w:id="1653218383">
          <w:marLeft w:val="547"/>
          <w:marRight w:val="0"/>
          <w:marTop w:val="77"/>
          <w:marBottom w:val="0"/>
          <w:divBdr>
            <w:top w:val="none" w:sz="0" w:space="0" w:color="auto"/>
            <w:left w:val="none" w:sz="0" w:space="0" w:color="auto"/>
            <w:bottom w:val="none" w:sz="0" w:space="0" w:color="auto"/>
            <w:right w:val="none" w:sz="0" w:space="0" w:color="auto"/>
          </w:divBdr>
        </w:div>
      </w:divsChild>
    </w:div>
    <w:div w:id="1653218367">
      <w:marLeft w:val="0"/>
      <w:marRight w:val="0"/>
      <w:marTop w:val="0"/>
      <w:marBottom w:val="0"/>
      <w:divBdr>
        <w:top w:val="none" w:sz="0" w:space="0" w:color="auto"/>
        <w:left w:val="none" w:sz="0" w:space="0" w:color="auto"/>
        <w:bottom w:val="none" w:sz="0" w:space="0" w:color="auto"/>
        <w:right w:val="none" w:sz="0" w:space="0" w:color="auto"/>
      </w:divBdr>
      <w:divsChild>
        <w:div w:id="1653218368">
          <w:marLeft w:val="0"/>
          <w:marRight w:val="0"/>
          <w:marTop w:val="0"/>
          <w:marBottom w:val="0"/>
          <w:divBdr>
            <w:top w:val="none" w:sz="0" w:space="0" w:color="auto"/>
            <w:left w:val="none" w:sz="0" w:space="0" w:color="auto"/>
            <w:bottom w:val="none" w:sz="0" w:space="0" w:color="auto"/>
            <w:right w:val="none" w:sz="0" w:space="0" w:color="auto"/>
          </w:divBdr>
        </w:div>
        <w:div w:id="1653218373">
          <w:marLeft w:val="0"/>
          <w:marRight w:val="0"/>
          <w:marTop w:val="0"/>
          <w:marBottom w:val="0"/>
          <w:divBdr>
            <w:top w:val="none" w:sz="0" w:space="0" w:color="auto"/>
            <w:left w:val="none" w:sz="0" w:space="0" w:color="auto"/>
            <w:bottom w:val="none" w:sz="0" w:space="0" w:color="auto"/>
            <w:right w:val="none" w:sz="0" w:space="0" w:color="auto"/>
          </w:divBdr>
        </w:div>
        <w:div w:id="1653218384">
          <w:marLeft w:val="0"/>
          <w:marRight w:val="0"/>
          <w:marTop w:val="0"/>
          <w:marBottom w:val="0"/>
          <w:divBdr>
            <w:top w:val="none" w:sz="0" w:space="0" w:color="auto"/>
            <w:left w:val="none" w:sz="0" w:space="0" w:color="auto"/>
            <w:bottom w:val="none" w:sz="0" w:space="0" w:color="auto"/>
            <w:right w:val="none" w:sz="0" w:space="0" w:color="auto"/>
          </w:divBdr>
        </w:div>
        <w:div w:id="1653218385">
          <w:marLeft w:val="0"/>
          <w:marRight w:val="0"/>
          <w:marTop w:val="0"/>
          <w:marBottom w:val="0"/>
          <w:divBdr>
            <w:top w:val="none" w:sz="0" w:space="0" w:color="auto"/>
            <w:left w:val="none" w:sz="0" w:space="0" w:color="auto"/>
            <w:bottom w:val="none" w:sz="0" w:space="0" w:color="auto"/>
            <w:right w:val="none" w:sz="0" w:space="0" w:color="auto"/>
          </w:divBdr>
        </w:div>
        <w:div w:id="1653218386">
          <w:marLeft w:val="0"/>
          <w:marRight w:val="0"/>
          <w:marTop w:val="0"/>
          <w:marBottom w:val="0"/>
          <w:divBdr>
            <w:top w:val="none" w:sz="0" w:space="0" w:color="auto"/>
            <w:left w:val="none" w:sz="0" w:space="0" w:color="auto"/>
            <w:bottom w:val="none" w:sz="0" w:space="0" w:color="auto"/>
            <w:right w:val="none" w:sz="0" w:space="0" w:color="auto"/>
          </w:divBdr>
        </w:div>
        <w:div w:id="1653218389">
          <w:marLeft w:val="0"/>
          <w:marRight w:val="0"/>
          <w:marTop w:val="0"/>
          <w:marBottom w:val="0"/>
          <w:divBdr>
            <w:top w:val="none" w:sz="0" w:space="0" w:color="auto"/>
            <w:left w:val="none" w:sz="0" w:space="0" w:color="auto"/>
            <w:bottom w:val="none" w:sz="0" w:space="0" w:color="auto"/>
            <w:right w:val="none" w:sz="0" w:space="0" w:color="auto"/>
          </w:divBdr>
        </w:div>
        <w:div w:id="1653218391">
          <w:marLeft w:val="0"/>
          <w:marRight w:val="0"/>
          <w:marTop w:val="0"/>
          <w:marBottom w:val="0"/>
          <w:divBdr>
            <w:top w:val="none" w:sz="0" w:space="0" w:color="auto"/>
            <w:left w:val="none" w:sz="0" w:space="0" w:color="auto"/>
            <w:bottom w:val="none" w:sz="0" w:space="0" w:color="auto"/>
            <w:right w:val="none" w:sz="0" w:space="0" w:color="auto"/>
          </w:divBdr>
        </w:div>
        <w:div w:id="1653218392">
          <w:marLeft w:val="0"/>
          <w:marRight w:val="0"/>
          <w:marTop w:val="0"/>
          <w:marBottom w:val="0"/>
          <w:divBdr>
            <w:top w:val="none" w:sz="0" w:space="0" w:color="auto"/>
            <w:left w:val="none" w:sz="0" w:space="0" w:color="auto"/>
            <w:bottom w:val="none" w:sz="0" w:space="0" w:color="auto"/>
            <w:right w:val="none" w:sz="0" w:space="0" w:color="auto"/>
          </w:divBdr>
        </w:div>
        <w:div w:id="1653218397">
          <w:marLeft w:val="0"/>
          <w:marRight w:val="0"/>
          <w:marTop w:val="0"/>
          <w:marBottom w:val="0"/>
          <w:divBdr>
            <w:top w:val="none" w:sz="0" w:space="0" w:color="auto"/>
            <w:left w:val="none" w:sz="0" w:space="0" w:color="auto"/>
            <w:bottom w:val="none" w:sz="0" w:space="0" w:color="auto"/>
            <w:right w:val="none" w:sz="0" w:space="0" w:color="auto"/>
          </w:divBdr>
        </w:div>
        <w:div w:id="1653218404">
          <w:marLeft w:val="0"/>
          <w:marRight w:val="0"/>
          <w:marTop w:val="0"/>
          <w:marBottom w:val="0"/>
          <w:divBdr>
            <w:top w:val="none" w:sz="0" w:space="0" w:color="auto"/>
            <w:left w:val="none" w:sz="0" w:space="0" w:color="auto"/>
            <w:bottom w:val="none" w:sz="0" w:space="0" w:color="auto"/>
            <w:right w:val="none" w:sz="0" w:space="0" w:color="auto"/>
          </w:divBdr>
        </w:div>
        <w:div w:id="1653218413">
          <w:marLeft w:val="0"/>
          <w:marRight w:val="0"/>
          <w:marTop w:val="0"/>
          <w:marBottom w:val="0"/>
          <w:divBdr>
            <w:top w:val="none" w:sz="0" w:space="0" w:color="auto"/>
            <w:left w:val="none" w:sz="0" w:space="0" w:color="auto"/>
            <w:bottom w:val="none" w:sz="0" w:space="0" w:color="auto"/>
            <w:right w:val="none" w:sz="0" w:space="0" w:color="auto"/>
          </w:divBdr>
        </w:div>
        <w:div w:id="1653218421">
          <w:marLeft w:val="0"/>
          <w:marRight w:val="0"/>
          <w:marTop w:val="0"/>
          <w:marBottom w:val="0"/>
          <w:divBdr>
            <w:top w:val="none" w:sz="0" w:space="0" w:color="auto"/>
            <w:left w:val="none" w:sz="0" w:space="0" w:color="auto"/>
            <w:bottom w:val="none" w:sz="0" w:space="0" w:color="auto"/>
            <w:right w:val="none" w:sz="0" w:space="0" w:color="auto"/>
          </w:divBdr>
        </w:div>
        <w:div w:id="1653218426">
          <w:marLeft w:val="0"/>
          <w:marRight w:val="0"/>
          <w:marTop w:val="0"/>
          <w:marBottom w:val="0"/>
          <w:divBdr>
            <w:top w:val="none" w:sz="0" w:space="0" w:color="auto"/>
            <w:left w:val="none" w:sz="0" w:space="0" w:color="auto"/>
            <w:bottom w:val="none" w:sz="0" w:space="0" w:color="auto"/>
            <w:right w:val="none" w:sz="0" w:space="0" w:color="auto"/>
          </w:divBdr>
        </w:div>
        <w:div w:id="1653218430">
          <w:marLeft w:val="0"/>
          <w:marRight w:val="0"/>
          <w:marTop w:val="0"/>
          <w:marBottom w:val="0"/>
          <w:divBdr>
            <w:top w:val="none" w:sz="0" w:space="0" w:color="auto"/>
            <w:left w:val="none" w:sz="0" w:space="0" w:color="auto"/>
            <w:bottom w:val="none" w:sz="0" w:space="0" w:color="auto"/>
            <w:right w:val="none" w:sz="0" w:space="0" w:color="auto"/>
          </w:divBdr>
        </w:div>
        <w:div w:id="1653218437">
          <w:marLeft w:val="0"/>
          <w:marRight w:val="0"/>
          <w:marTop w:val="0"/>
          <w:marBottom w:val="0"/>
          <w:divBdr>
            <w:top w:val="none" w:sz="0" w:space="0" w:color="auto"/>
            <w:left w:val="none" w:sz="0" w:space="0" w:color="auto"/>
            <w:bottom w:val="none" w:sz="0" w:space="0" w:color="auto"/>
            <w:right w:val="none" w:sz="0" w:space="0" w:color="auto"/>
          </w:divBdr>
        </w:div>
        <w:div w:id="1653218440">
          <w:marLeft w:val="0"/>
          <w:marRight w:val="0"/>
          <w:marTop w:val="0"/>
          <w:marBottom w:val="0"/>
          <w:divBdr>
            <w:top w:val="none" w:sz="0" w:space="0" w:color="auto"/>
            <w:left w:val="none" w:sz="0" w:space="0" w:color="auto"/>
            <w:bottom w:val="none" w:sz="0" w:space="0" w:color="auto"/>
            <w:right w:val="none" w:sz="0" w:space="0" w:color="auto"/>
          </w:divBdr>
        </w:div>
        <w:div w:id="1653218441">
          <w:marLeft w:val="0"/>
          <w:marRight w:val="0"/>
          <w:marTop w:val="0"/>
          <w:marBottom w:val="0"/>
          <w:divBdr>
            <w:top w:val="none" w:sz="0" w:space="0" w:color="auto"/>
            <w:left w:val="none" w:sz="0" w:space="0" w:color="auto"/>
            <w:bottom w:val="none" w:sz="0" w:space="0" w:color="auto"/>
            <w:right w:val="none" w:sz="0" w:space="0" w:color="auto"/>
          </w:divBdr>
        </w:div>
        <w:div w:id="1653218443">
          <w:marLeft w:val="0"/>
          <w:marRight w:val="0"/>
          <w:marTop w:val="0"/>
          <w:marBottom w:val="0"/>
          <w:divBdr>
            <w:top w:val="none" w:sz="0" w:space="0" w:color="auto"/>
            <w:left w:val="none" w:sz="0" w:space="0" w:color="auto"/>
            <w:bottom w:val="none" w:sz="0" w:space="0" w:color="auto"/>
            <w:right w:val="none" w:sz="0" w:space="0" w:color="auto"/>
          </w:divBdr>
        </w:div>
        <w:div w:id="1653218445">
          <w:marLeft w:val="0"/>
          <w:marRight w:val="0"/>
          <w:marTop w:val="0"/>
          <w:marBottom w:val="0"/>
          <w:divBdr>
            <w:top w:val="none" w:sz="0" w:space="0" w:color="auto"/>
            <w:left w:val="none" w:sz="0" w:space="0" w:color="auto"/>
            <w:bottom w:val="none" w:sz="0" w:space="0" w:color="auto"/>
            <w:right w:val="none" w:sz="0" w:space="0" w:color="auto"/>
          </w:divBdr>
        </w:div>
        <w:div w:id="1653218446">
          <w:marLeft w:val="0"/>
          <w:marRight w:val="0"/>
          <w:marTop w:val="0"/>
          <w:marBottom w:val="0"/>
          <w:divBdr>
            <w:top w:val="none" w:sz="0" w:space="0" w:color="auto"/>
            <w:left w:val="none" w:sz="0" w:space="0" w:color="auto"/>
            <w:bottom w:val="none" w:sz="0" w:space="0" w:color="auto"/>
            <w:right w:val="none" w:sz="0" w:space="0" w:color="auto"/>
          </w:divBdr>
        </w:div>
        <w:div w:id="1653218457">
          <w:marLeft w:val="0"/>
          <w:marRight w:val="0"/>
          <w:marTop w:val="0"/>
          <w:marBottom w:val="0"/>
          <w:divBdr>
            <w:top w:val="none" w:sz="0" w:space="0" w:color="auto"/>
            <w:left w:val="none" w:sz="0" w:space="0" w:color="auto"/>
            <w:bottom w:val="none" w:sz="0" w:space="0" w:color="auto"/>
            <w:right w:val="none" w:sz="0" w:space="0" w:color="auto"/>
          </w:divBdr>
        </w:div>
        <w:div w:id="1653218458">
          <w:marLeft w:val="0"/>
          <w:marRight w:val="0"/>
          <w:marTop w:val="0"/>
          <w:marBottom w:val="0"/>
          <w:divBdr>
            <w:top w:val="none" w:sz="0" w:space="0" w:color="auto"/>
            <w:left w:val="none" w:sz="0" w:space="0" w:color="auto"/>
            <w:bottom w:val="none" w:sz="0" w:space="0" w:color="auto"/>
            <w:right w:val="none" w:sz="0" w:space="0" w:color="auto"/>
          </w:divBdr>
        </w:div>
      </w:divsChild>
    </w:div>
    <w:div w:id="1653218370">
      <w:marLeft w:val="0"/>
      <w:marRight w:val="0"/>
      <w:marTop w:val="0"/>
      <w:marBottom w:val="0"/>
      <w:divBdr>
        <w:top w:val="none" w:sz="0" w:space="0" w:color="auto"/>
        <w:left w:val="none" w:sz="0" w:space="0" w:color="auto"/>
        <w:bottom w:val="none" w:sz="0" w:space="0" w:color="auto"/>
        <w:right w:val="none" w:sz="0" w:space="0" w:color="auto"/>
      </w:divBdr>
      <w:divsChild>
        <w:div w:id="1653218416">
          <w:marLeft w:val="0"/>
          <w:marRight w:val="0"/>
          <w:marTop w:val="0"/>
          <w:marBottom w:val="0"/>
          <w:divBdr>
            <w:top w:val="none" w:sz="0" w:space="0" w:color="auto"/>
            <w:left w:val="none" w:sz="0" w:space="0" w:color="auto"/>
            <w:bottom w:val="none" w:sz="0" w:space="0" w:color="auto"/>
            <w:right w:val="none" w:sz="0" w:space="0" w:color="auto"/>
          </w:divBdr>
          <w:divsChild>
            <w:div w:id="1653218410">
              <w:marLeft w:val="0"/>
              <w:marRight w:val="0"/>
              <w:marTop w:val="0"/>
              <w:marBottom w:val="0"/>
              <w:divBdr>
                <w:top w:val="none" w:sz="0" w:space="0" w:color="auto"/>
                <w:left w:val="none" w:sz="0" w:space="0" w:color="auto"/>
                <w:bottom w:val="none" w:sz="0" w:space="0" w:color="auto"/>
                <w:right w:val="none" w:sz="0" w:space="0" w:color="auto"/>
              </w:divBdr>
            </w:div>
          </w:divsChild>
        </w:div>
        <w:div w:id="1653218422">
          <w:marLeft w:val="0"/>
          <w:marRight w:val="0"/>
          <w:marTop w:val="0"/>
          <w:marBottom w:val="0"/>
          <w:divBdr>
            <w:top w:val="none" w:sz="0" w:space="0" w:color="auto"/>
            <w:left w:val="none" w:sz="0" w:space="0" w:color="auto"/>
            <w:bottom w:val="none" w:sz="0" w:space="0" w:color="auto"/>
            <w:right w:val="none" w:sz="0" w:space="0" w:color="auto"/>
          </w:divBdr>
        </w:div>
        <w:div w:id="1653218424">
          <w:marLeft w:val="0"/>
          <w:marRight w:val="0"/>
          <w:marTop w:val="0"/>
          <w:marBottom w:val="0"/>
          <w:divBdr>
            <w:top w:val="none" w:sz="0" w:space="0" w:color="auto"/>
            <w:left w:val="none" w:sz="0" w:space="0" w:color="auto"/>
            <w:bottom w:val="none" w:sz="0" w:space="0" w:color="auto"/>
            <w:right w:val="none" w:sz="0" w:space="0" w:color="auto"/>
          </w:divBdr>
        </w:div>
        <w:div w:id="1653218436">
          <w:marLeft w:val="0"/>
          <w:marRight w:val="0"/>
          <w:marTop w:val="0"/>
          <w:marBottom w:val="0"/>
          <w:divBdr>
            <w:top w:val="none" w:sz="0" w:space="0" w:color="auto"/>
            <w:left w:val="none" w:sz="0" w:space="0" w:color="auto"/>
            <w:bottom w:val="none" w:sz="0" w:space="0" w:color="auto"/>
            <w:right w:val="none" w:sz="0" w:space="0" w:color="auto"/>
          </w:divBdr>
        </w:div>
      </w:divsChild>
    </w:div>
    <w:div w:id="1653218371">
      <w:marLeft w:val="0"/>
      <w:marRight w:val="0"/>
      <w:marTop w:val="0"/>
      <w:marBottom w:val="0"/>
      <w:divBdr>
        <w:top w:val="none" w:sz="0" w:space="0" w:color="auto"/>
        <w:left w:val="none" w:sz="0" w:space="0" w:color="auto"/>
        <w:bottom w:val="none" w:sz="0" w:space="0" w:color="auto"/>
        <w:right w:val="none" w:sz="0" w:space="0" w:color="auto"/>
      </w:divBdr>
    </w:div>
    <w:div w:id="1653218375">
      <w:marLeft w:val="0"/>
      <w:marRight w:val="0"/>
      <w:marTop w:val="0"/>
      <w:marBottom w:val="0"/>
      <w:divBdr>
        <w:top w:val="none" w:sz="0" w:space="0" w:color="auto"/>
        <w:left w:val="none" w:sz="0" w:space="0" w:color="auto"/>
        <w:bottom w:val="none" w:sz="0" w:space="0" w:color="auto"/>
        <w:right w:val="none" w:sz="0" w:space="0" w:color="auto"/>
      </w:divBdr>
    </w:div>
    <w:div w:id="1653218378">
      <w:marLeft w:val="0"/>
      <w:marRight w:val="0"/>
      <w:marTop w:val="0"/>
      <w:marBottom w:val="0"/>
      <w:divBdr>
        <w:top w:val="none" w:sz="0" w:space="0" w:color="auto"/>
        <w:left w:val="none" w:sz="0" w:space="0" w:color="auto"/>
        <w:bottom w:val="none" w:sz="0" w:space="0" w:color="auto"/>
        <w:right w:val="none" w:sz="0" w:space="0" w:color="auto"/>
      </w:divBdr>
    </w:div>
    <w:div w:id="1653218379">
      <w:marLeft w:val="0"/>
      <w:marRight w:val="0"/>
      <w:marTop w:val="0"/>
      <w:marBottom w:val="0"/>
      <w:divBdr>
        <w:top w:val="none" w:sz="0" w:space="0" w:color="auto"/>
        <w:left w:val="none" w:sz="0" w:space="0" w:color="auto"/>
        <w:bottom w:val="none" w:sz="0" w:space="0" w:color="auto"/>
        <w:right w:val="none" w:sz="0" w:space="0" w:color="auto"/>
      </w:divBdr>
    </w:div>
    <w:div w:id="1653218388">
      <w:marLeft w:val="0"/>
      <w:marRight w:val="0"/>
      <w:marTop w:val="0"/>
      <w:marBottom w:val="0"/>
      <w:divBdr>
        <w:top w:val="none" w:sz="0" w:space="0" w:color="auto"/>
        <w:left w:val="none" w:sz="0" w:space="0" w:color="auto"/>
        <w:bottom w:val="none" w:sz="0" w:space="0" w:color="auto"/>
        <w:right w:val="none" w:sz="0" w:space="0" w:color="auto"/>
      </w:divBdr>
      <w:divsChild>
        <w:div w:id="1653218395">
          <w:marLeft w:val="0"/>
          <w:marRight w:val="0"/>
          <w:marTop w:val="0"/>
          <w:marBottom w:val="0"/>
          <w:divBdr>
            <w:top w:val="none" w:sz="0" w:space="0" w:color="auto"/>
            <w:left w:val="none" w:sz="0" w:space="0" w:color="auto"/>
            <w:bottom w:val="none" w:sz="0" w:space="0" w:color="auto"/>
            <w:right w:val="none" w:sz="0" w:space="0" w:color="auto"/>
          </w:divBdr>
          <w:divsChild>
            <w:div w:id="16532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8401">
      <w:marLeft w:val="0"/>
      <w:marRight w:val="0"/>
      <w:marTop w:val="0"/>
      <w:marBottom w:val="0"/>
      <w:divBdr>
        <w:top w:val="none" w:sz="0" w:space="0" w:color="auto"/>
        <w:left w:val="none" w:sz="0" w:space="0" w:color="auto"/>
        <w:bottom w:val="none" w:sz="0" w:space="0" w:color="auto"/>
        <w:right w:val="none" w:sz="0" w:space="0" w:color="auto"/>
      </w:divBdr>
      <w:divsChild>
        <w:div w:id="1653218363">
          <w:marLeft w:val="0"/>
          <w:marRight w:val="0"/>
          <w:marTop w:val="0"/>
          <w:marBottom w:val="0"/>
          <w:divBdr>
            <w:top w:val="none" w:sz="0" w:space="0" w:color="auto"/>
            <w:left w:val="none" w:sz="0" w:space="0" w:color="auto"/>
            <w:bottom w:val="none" w:sz="0" w:space="0" w:color="auto"/>
            <w:right w:val="none" w:sz="0" w:space="0" w:color="auto"/>
          </w:divBdr>
        </w:div>
        <w:div w:id="1653218364">
          <w:marLeft w:val="0"/>
          <w:marRight w:val="0"/>
          <w:marTop w:val="0"/>
          <w:marBottom w:val="0"/>
          <w:divBdr>
            <w:top w:val="none" w:sz="0" w:space="0" w:color="auto"/>
            <w:left w:val="none" w:sz="0" w:space="0" w:color="auto"/>
            <w:bottom w:val="none" w:sz="0" w:space="0" w:color="auto"/>
            <w:right w:val="none" w:sz="0" w:space="0" w:color="auto"/>
          </w:divBdr>
        </w:div>
        <w:div w:id="1653218372">
          <w:marLeft w:val="0"/>
          <w:marRight w:val="0"/>
          <w:marTop w:val="0"/>
          <w:marBottom w:val="0"/>
          <w:divBdr>
            <w:top w:val="none" w:sz="0" w:space="0" w:color="auto"/>
            <w:left w:val="none" w:sz="0" w:space="0" w:color="auto"/>
            <w:bottom w:val="none" w:sz="0" w:space="0" w:color="auto"/>
            <w:right w:val="none" w:sz="0" w:space="0" w:color="auto"/>
          </w:divBdr>
        </w:div>
        <w:div w:id="1653218374">
          <w:marLeft w:val="0"/>
          <w:marRight w:val="0"/>
          <w:marTop w:val="0"/>
          <w:marBottom w:val="0"/>
          <w:divBdr>
            <w:top w:val="none" w:sz="0" w:space="0" w:color="auto"/>
            <w:left w:val="none" w:sz="0" w:space="0" w:color="auto"/>
            <w:bottom w:val="none" w:sz="0" w:space="0" w:color="auto"/>
            <w:right w:val="none" w:sz="0" w:space="0" w:color="auto"/>
          </w:divBdr>
        </w:div>
        <w:div w:id="1653218376">
          <w:marLeft w:val="0"/>
          <w:marRight w:val="0"/>
          <w:marTop w:val="0"/>
          <w:marBottom w:val="0"/>
          <w:divBdr>
            <w:top w:val="none" w:sz="0" w:space="0" w:color="auto"/>
            <w:left w:val="none" w:sz="0" w:space="0" w:color="auto"/>
            <w:bottom w:val="none" w:sz="0" w:space="0" w:color="auto"/>
            <w:right w:val="none" w:sz="0" w:space="0" w:color="auto"/>
          </w:divBdr>
        </w:div>
        <w:div w:id="1653218380">
          <w:marLeft w:val="0"/>
          <w:marRight w:val="0"/>
          <w:marTop w:val="0"/>
          <w:marBottom w:val="0"/>
          <w:divBdr>
            <w:top w:val="none" w:sz="0" w:space="0" w:color="auto"/>
            <w:left w:val="none" w:sz="0" w:space="0" w:color="auto"/>
            <w:bottom w:val="none" w:sz="0" w:space="0" w:color="auto"/>
            <w:right w:val="none" w:sz="0" w:space="0" w:color="auto"/>
          </w:divBdr>
        </w:div>
        <w:div w:id="1653218382">
          <w:marLeft w:val="0"/>
          <w:marRight w:val="0"/>
          <w:marTop w:val="0"/>
          <w:marBottom w:val="0"/>
          <w:divBdr>
            <w:top w:val="none" w:sz="0" w:space="0" w:color="auto"/>
            <w:left w:val="none" w:sz="0" w:space="0" w:color="auto"/>
            <w:bottom w:val="none" w:sz="0" w:space="0" w:color="auto"/>
            <w:right w:val="none" w:sz="0" w:space="0" w:color="auto"/>
          </w:divBdr>
        </w:div>
        <w:div w:id="1653218387">
          <w:marLeft w:val="0"/>
          <w:marRight w:val="0"/>
          <w:marTop w:val="0"/>
          <w:marBottom w:val="0"/>
          <w:divBdr>
            <w:top w:val="none" w:sz="0" w:space="0" w:color="auto"/>
            <w:left w:val="none" w:sz="0" w:space="0" w:color="auto"/>
            <w:bottom w:val="none" w:sz="0" w:space="0" w:color="auto"/>
            <w:right w:val="none" w:sz="0" w:space="0" w:color="auto"/>
          </w:divBdr>
        </w:div>
        <w:div w:id="1653218390">
          <w:marLeft w:val="0"/>
          <w:marRight w:val="0"/>
          <w:marTop w:val="0"/>
          <w:marBottom w:val="0"/>
          <w:divBdr>
            <w:top w:val="none" w:sz="0" w:space="0" w:color="auto"/>
            <w:left w:val="none" w:sz="0" w:space="0" w:color="auto"/>
            <w:bottom w:val="none" w:sz="0" w:space="0" w:color="auto"/>
            <w:right w:val="none" w:sz="0" w:space="0" w:color="auto"/>
          </w:divBdr>
        </w:div>
        <w:div w:id="1653218393">
          <w:marLeft w:val="0"/>
          <w:marRight w:val="0"/>
          <w:marTop w:val="0"/>
          <w:marBottom w:val="0"/>
          <w:divBdr>
            <w:top w:val="none" w:sz="0" w:space="0" w:color="auto"/>
            <w:left w:val="none" w:sz="0" w:space="0" w:color="auto"/>
            <w:bottom w:val="none" w:sz="0" w:space="0" w:color="auto"/>
            <w:right w:val="none" w:sz="0" w:space="0" w:color="auto"/>
          </w:divBdr>
        </w:div>
        <w:div w:id="1653218396">
          <w:marLeft w:val="0"/>
          <w:marRight w:val="0"/>
          <w:marTop w:val="0"/>
          <w:marBottom w:val="0"/>
          <w:divBdr>
            <w:top w:val="none" w:sz="0" w:space="0" w:color="auto"/>
            <w:left w:val="none" w:sz="0" w:space="0" w:color="auto"/>
            <w:bottom w:val="none" w:sz="0" w:space="0" w:color="auto"/>
            <w:right w:val="none" w:sz="0" w:space="0" w:color="auto"/>
          </w:divBdr>
        </w:div>
        <w:div w:id="1653218399">
          <w:marLeft w:val="0"/>
          <w:marRight w:val="0"/>
          <w:marTop w:val="0"/>
          <w:marBottom w:val="0"/>
          <w:divBdr>
            <w:top w:val="none" w:sz="0" w:space="0" w:color="auto"/>
            <w:left w:val="none" w:sz="0" w:space="0" w:color="auto"/>
            <w:bottom w:val="none" w:sz="0" w:space="0" w:color="auto"/>
            <w:right w:val="none" w:sz="0" w:space="0" w:color="auto"/>
          </w:divBdr>
        </w:div>
        <w:div w:id="1653218400">
          <w:marLeft w:val="0"/>
          <w:marRight w:val="0"/>
          <w:marTop w:val="0"/>
          <w:marBottom w:val="0"/>
          <w:divBdr>
            <w:top w:val="none" w:sz="0" w:space="0" w:color="auto"/>
            <w:left w:val="none" w:sz="0" w:space="0" w:color="auto"/>
            <w:bottom w:val="none" w:sz="0" w:space="0" w:color="auto"/>
            <w:right w:val="none" w:sz="0" w:space="0" w:color="auto"/>
          </w:divBdr>
        </w:div>
        <w:div w:id="1653218402">
          <w:marLeft w:val="0"/>
          <w:marRight w:val="0"/>
          <w:marTop w:val="0"/>
          <w:marBottom w:val="0"/>
          <w:divBdr>
            <w:top w:val="none" w:sz="0" w:space="0" w:color="auto"/>
            <w:left w:val="none" w:sz="0" w:space="0" w:color="auto"/>
            <w:bottom w:val="none" w:sz="0" w:space="0" w:color="auto"/>
            <w:right w:val="none" w:sz="0" w:space="0" w:color="auto"/>
          </w:divBdr>
        </w:div>
        <w:div w:id="1653218403">
          <w:marLeft w:val="0"/>
          <w:marRight w:val="0"/>
          <w:marTop w:val="0"/>
          <w:marBottom w:val="0"/>
          <w:divBdr>
            <w:top w:val="none" w:sz="0" w:space="0" w:color="auto"/>
            <w:left w:val="none" w:sz="0" w:space="0" w:color="auto"/>
            <w:bottom w:val="none" w:sz="0" w:space="0" w:color="auto"/>
            <w:right w:val="none" w:sz="0" w:space="0" w:color="auto"/>
          </w:divBdr>
        </w:div>
        <w:div w:id="1653218405">
          <w:marLeft w:val="0"/>
          <w:marRight w:val="0"/>
          <w:marTop w:val="0"/>
          <w:marBottom w:val="0"/>
          <w:divBdr>
            <w:top w:val="none" w:sz="0" w:space="0" w:color="auto"/>
            <w:left w:val="none" w:sz="0" w:space="0" w:color="auto"/>
            <w:bottom w:val="none" w:sz="0" w:space="0" w:color="auto"/>
            <w:right w:val="none" w:sz="0" w:space="0" w:color="auto"/>
          </w:divBdr>
        </w:div>
        <w:div w:id="1653218406">
          <w:marLeft w:val="0"/>
          <w:marRight w:val="0"/>
          <w:marTop w:val="0"/>
          <w:marBottom w:val="0"/>
          <w:divBdr>
            <w:top w:val="none" w:sz="0" w:space="0" w:color="auto"/>
            <w:left w:val="none" w:sz="0" w:space="0" w:color="auto"/>
            <w:bottom w:val="none" w:sz="0" w:space="0" w:color="auto"/>
            <w:right w:val="none" w:sz="0" w:space="0" w:color="auto"/>
          </w:divBdr>
        </w:div>
        <w:div w:id="1653218407">
          <w:marLeft w:val="0"/>
          <w:marRight w:val="0"/>
          <w:marTop w:val="0"/>
          <w:marBottom w:val="0"/>
          <w:divBdr>
            <w:top w:val="none" w:sz="0" w:space="0" w:color="auto"/>
            <w:left w:val="none" w:sz="0" w:space="0" w:color="auto"/>
            <w:bottom w:val="none" w:sz="0" w:space="0" w:color="auto"/>
            <w:right w:val="none" w:sz="0" w:space="0" w:color="auto"/>
          </w:divBdr>
        </w:div>
        <w:div w:id="1653218408">
          <w:marLeft w:val="0"/>
          <w:marRight w:val="0"/>
          <w:marTop w:val="0"/>
          <w:marBottom w:val="0"/>
          <w:divBdr>
            <w:top w:val="none" w:sz="0" w:space="0" w:color="auto"/>
            <w:left w:val="none" w:sz="0" w:space="0" w:color="auto"/>
            <w:bottom w:val="none" w:sz="0" w:space="0" w:color="auto"/>
            <w:right w:val="none" w:sz="0" w:space="0" w:color="auto"/>
          </w:divBdr>
        </w:div>
        <w:div w:id="1653218409">
          <w:marLeft w:val="0"/>
          <w:marRight w:val="0"/>
          <w:marTop w:val="0"/>
          <w:marBottom w:val="0"/>
          <w:divBdr>
            <w:top w:val="none" w:sz="0" w:space="0" w:color="auto"/>
            <w:left w:val="none" w:sz="0" w:space="0" w:color="auto"/>
            <w:bottom w:val="none" w:sz="0" w:space="0" w:color="auto"/>
            <w:right w:val="none" w:sz="0" w:space="0" w:color="auto"/>
          </w:divBdr>
        </w:div>
        <w:div w:id="1653218414">
          <w:marLeft w:val="0"/>
          <w:marRight w:val="0"/>
          <w:marTop w:val="0"/>
          <w:marBottom w:val="0"/>
          <w:divBdr>
            <w:top w:val="none" w:sz="0" w:space="0" w:color="auto"/>
            <w:left w:val="none" w:sz="0" w:space="0" w:color="auto"/>
            <w:bottom w:val="none" w:sz="0" w:space="0" w:color="auto"/>
            <w:right w:val="none" w:sz="0" w:space="0" w:color="auto"/>
          </w:divBdr>
        </w:div>
        <w:div w:id="1653218415">
          <w:marLeft w:val="0"/>
          <w:marRight w:val="0"/>
          <w:marTop w:val="0"/>
          <w:marBottom w:val="0"/>
          <w:divBdr>
            <w:top w:val="none" w:sz="0" w:space="0" w:color="auto"/>
            <w:left w:val="none" w:sz="0" w:space="0" w:color="auto"/>
            <w:bottom w:val="none" w:sz="0" w:space="0" w:color="auto"/>
            <w:right w:val="none" w:sz="0" w:space="0" w:color="auto"/>
          </w:divBdr>
        </w:div>
        <w:div w:id="1653218417">
          <w:marLeft w:val="0"/>
          <w:marRight w:val="0"/>
          <w:marTop w:val="0"/>
          <w:marBottom w:val="0"/>
          <w:divBdr>
            <w:top w:val="none" w:sz="0" w:space="0" w:color="auto"/>
            <w:left w:val="none" w:sz="0" w:space="0" w:color="auto"/>
            <w:bottom w:val="none" w:sz="0" w:space="0" w:color="auto"/>
            <w:right w:val="none" w:sz="0" w:space="0" w:color="auto"/>
          </w:divBdr>
        </w:div>
        <w:div w:id="1653218418">
          <w:marLeft w:val="0"/>
          <w:marRight w:val="0"/>
          <w:marTop w:val="0"/>
          <w:marBottom w:val="0"/>
          <w:divBdr>
            <w:top w:val="none" w:sz="0" w:space="0" w:color="auto"/>
            <w:left w:val="none" w:sz="0" w:space="0" w:color="auto"/>
            <w:bottom w:val="none" w:sz="0" w:space="0" w:color="auto"/>
            <w:right w:val="none" w:sz="0" w:space="0" w:color="auto"/>
          </w:divBdr>
        </w:div>
        <w:div w:id="1653218419">
          <w:marLeft w:val="0"/>
          <w:marRight w:val="0"/>
          <w:marTop w:val="0"/>
          <w:marBottom w:val="0"/>
          <w:divBdr>
            <w:top w:val="none" w:sz="0" w:space="0" w:color="auto"/>
            <w:left w:val="none" w:sz="0" w:space="0" w:color="auto"/>
            <w:bottom w:val="none" w:sz="0" w:space="0" w:color="auto"/>
            <w:right w:val="none" w:sz="0" w:space="0" w:color="auto"/>
          </w:divBdr>
        </w:div>
        <w:div w:id="1653218427">
          <w:marLeft w:val="0"/>
          <w:marRight w:val="0"/>
          <w:marTop w:val="0"/>
          <w:marBottom w:val="0"/>
          <w:divBdr>
            <w:top w:val="none" w:sz="0" w:space="0" w:color="auto"/>
            <w:left w:val="none" w:sz="0" w:space="0" w:color="auto"/>
            <w:bottom w:val="none" w:sz="0" w:space="0" w:color="auto"/>
            <w:right w:val="none" w:sz="0" w:space="0" w:color="auto"/>
          </w:divBdr>
        </w:div>
        <w:div w:id="1653218429">
          <w:marLeft w:val="0"/>
          <w:marRight w:val="0"/>
          <w:marTop w:val="0"/>
          <w:marBottom w:val="0"/>
          <w:divBdr>
            <w:top w:val="none" w:sz="0" w:space="0" w:color="auto"/>
            <w:left w:val="none" w:sz="0" w:space="0" w:color="auto"/>
            <w:bottom w:val="none" w:sz="0" w:space="0" w:color="auto"/>
            <w:right w:val="none" w:sz="0" w:space="0" w:color="auto"/>
          </w:divBdr>
        </w:div>
        <w:div w:id="1653218435">
          <w:marLeft w:val="0"/>
          <w:marRight w:val="0"/>
          <w:marTop w:val="0"/>
          <w:marBottom w:val="0"/>
          <w:divBdr>
            <w:top w:val="none" w:sz="0" w:space="0" w:color="auto"/>
            <w:left w:val="none" w:sz="0" w:space="0" w:color="auto"/>
            <w:bottom w:val="none" w:sz="0" w:space="0" w:color="auto"/>
            <w:right w:val="none" w:sz="0" w:space="0" w:color="auto"/>
          </w:divBdr>
        </w:div>
        <w:div w:id="1653218438">
          <w:marLeft w:val="0"/>
          <w:marRight w:val="0"/>
          <w:marTop w:val="0"/>
          <w:marBottom w:val="0"/>
          <w:divBdr>
            <w:top w:val="none" w:sz="0" w:space="0" w:color="auto"/>
            <w:left w:val="none" w:sz="0" w:space="0" w:color="auto"/>
            <w:bottom w:val="none" w:sz="0" w:space="0" w:color="auto"/>
            <w:right w:val="none" w:sz="0" w:space="0" w:color="auto"/>
          </w:divBdr>
        </w:div>
        <w:div w:id="1653218447">
          <w:marLeft w:val="0"/>
          <w:marRight w:val="0"/>
          <w:marTop w:val="0"/>
          <w:marBottom w:val="0"/>
          <w:divBdr>
            <w:top w:val="none" w:sz="0" w:space="0" w:color="auto"/>
            <w:left w:val="none" w:sz="0" w:space="0" w:color="auto"/>
            <w:bottom w:val="none" w:sz="0" w:space="0" w:color="auto"/>
            <w:right w:val="none" w:sz="0" w:space="0" w:color="auto"/>
          </w:divBdr>
        </w:div>
        <w:div w:id="1653218448">
          <w:marLeft w:val="0"/>
          <w:marRight w:val="0"/>
          <w:marTop w:val="0"/>
          <w:marBottom w:val="0"/>
          <w:divBdr>
            <w:top w:val="none" w:sz="0" w:space="0" w:color="auto"/>
            <w:left w:val="none" w:sz="0" w:space="0" w:color="auto"/>
            <w:bottom w:val="none" w:sz="0" w:space="0" w:color="auto"/>
            <w:right w:val="none" w:sz="0" w:space="0" w:color="auto"/>
          </w:divBdr>
        </w:div>
        <w:div w:id="1653218451">
          <w:marLeft w:val="0"/>
          <w:marRight w:val="0"/>
          <w:marTop w:val="0"/>
          <w:marBottom w:val="0"/>
          <w:divBdr>
            <w:top w:val="none" w:sz="0" w:space="0" w:color="auto"/>
            <w:left w:val="none" w:sz="0" w:space="0" w:color="auto"/>
            <w:bottom w:val="none" w:sz="0" w:space="0" w:color="auto"/>
            <w:right w:val="none" w:sz="0" w:space="0" w:color="auto"/>
          </w:divBdr>
        </w:div>
        <w:div w:id="1653218452">
          <w:marLeft w:val="0"/>
          <w:marRight w:val="0"/>
          <w:marTop w:val="0"/>
          <w:marBottom w:val="0"/>
          <w:divBdr>
            <w:top w:val="none" w:sz="0" w:space="0" w:color="auto"/>
            <w:left w:val="none" w:sz="0" w:space="0" w:color="auto"/>
            <w:bottom w:val="none" w:sz="0" w:space="0" w:color="auto"/>
            <w:right w:val="none" w:sz="0" w:space="0" w:color="auto"/>
          </w:divBdr>
        </w:div>
        <w:div w:id="1653218455">
          <w:marLeft w:val="0"/>
          <w:marRight w:val="0"/>
          <w:marTop w:val="0"/>
          <w:marBottom w:val="0"/>
          <w:divBdr>
            <w:top w:val="none" w:sz="0" w:space="0" w:color="auto"/>
            <w:left w:val="none" w:sz="0" w:space="0" w:color="auto"/>
            <w:bottom w:val="none" w:sz="0" w:space="0" w:color="auto"/>
            <w:right w:val="none" w:sz="0" w:space="0" w:color="auto"/>
          </w:divBdr>
        </w:div>
        <w:div w:id="1653218456">
          <w:marLeft w:val="0"/>
          <w:marRight w:val="0"/>
          <w:marTop w:val="0"/>
          <w:marBottom w:val="0"/>
          <w:divBdr>
            <w:top w:val="none" w:sz="0" w:space="0" w:color="auto"/>
            <w:left w:val="none" w:sz="0" w:space="0" w:color="auto"/>
            <w:bottom w:val="none" w:sz="0" w:space="0" w:color="auto"/>
            <w:right w:val="none" w:sz="0" w:space="0" w:color="auto"/>
          </w:divBdr>
        </w:div>
        <w:div w:id="1653218459">
          <w:marLeft w:val="0"/>
          <w:marRight w:val="0"/>
          <w:marTop w:val="0"/>
          <w:marBottom w:val="0"/>
          <w:divBdr>
            <w:top w:val="none" w:sz="0" w:space="0" w:color="auto"/>
            <w:left w:val="none" w:sz="0" w:space="0" w:color="auto"/>
            <w:bottom w:val="none" w:sz="0" w:space="0" w:color="auto"/>
            <w:right w:val="none" w:sz="0" w:space="0" w:color="auto"/>
          </w:divBdr>
        </w:div>
        <w:div w:id="1653218460">
          <w:marLeft w:val="0"/>
          <w:marRight w:val="0"/>
          <w:marTop w:val="0"/>
          <w:marBottom w:val="0"/>
          <w:divBdr>
            <w:top w:val="none" w:sz="0" w:space="0" w:color="auto"/>
            <w:left w:val="none" w:sz="0" w:space="0" w:color="auto"/>
            <w:bottom w:val="none" w:sz="0" w:space="0" w:color="auto"/>
            <w:right w:val="none" w:sz="0" w:space="0" w:color="auto"/>
          </w:divBdr>
        </w:div>
        <w:div w:id="1653218461">
          <w:marLeft w:val="0"/>
          <w:marRight w:val="0"/>
          <w:marTop w:val="0"/>
          <w:marBottom w:val="0"/>
          <w:divBdr>
            <w:top w:val="none" w:sz="0" w:space="0" w:color="auto"/>
            <w:left w:val="none" w:sz="0" w:space="0" w:color="auto"/>
            <w:bottom w:val="none" w:sz="0" w:space="0" w:color="auto"/>
            <w:right w:val="none" w:sz="0" w:space="0" w:color="auto"/>
          </w:divBdr>
        </w:div>
      </w:divsChild>
    </w:div>
    <w:div w:id="1653218411">
      <w:marLeft w:val="0"/>
      <w:marRight w:val="0"/>
      <w:marTop w:val="0"/>
      <w:marBottom w:val="0"/>
      <w:divBdr>
        <w:top w:val="none" w:sz="0" w:space="0" w:color="auto"/>
        <w:left w:val="none" w:sz="0" w:space="0" w:color="auto"/>
        <w:bottom w:val="none" w:sz="0" w:space="0" w:color="auto"/>
        <w:right w:val="none" w:sz="0" w:space="0" w:color="auto"/>
      </w:divBdr>
      <w:divsChild>
        <w:div w:id="1653218365">
          <w:marLeft w:val="0"/>
          <w:marRight w:val="0"/>
          <w:marTop w:val="0"/>
          <w:marBottom w:val="0"/>
          <w:divBdr>
            <w:top w:val="none" w:sz="0" w:space="0" w:color="auto"/>
            <w:left w:val="none" w:sz="0" w:space="0" w:color="auto"/>
            <w:bottom w:val="none" w:sz="0" w:space="0" w:color="auto"/>
            <w:right w:val="none" w:sz="0" w:space="0" w:color="auto"/>
          </w:divBdr>
        </w:div>
        <w:div w:id="1653218366">
          <w:marLeft w:val="0"/>
          <w:marRight w:val="0"/>
          <w:marTop w:val="0"/>
          <w:marBottom w:val="0"/>
          <w:divBdr>
            <w:top w:val="none" w:sz="0" w:space="0" w:color="auto"/>
            <w:left w:val="none" w:sz="0" w:space="0" w:color="auto"/>
            <w:bottom w:val="none" w:sz="0" w:space="0" w:color="auto"/>
            <w:right w:val="none" w:sz="0" w:space="0" w:color="auto"/>
          </w:divBdr>
        </w:div>
        <w:div w:id="1653218369">
          <w:marLeft w:val="0"/>
          <w:marRight w:val="0"/>
          <w:marTop w:val="0"/>
          <w:marBottom w:val="0"/>
          <w:divBdr>
            <w:top w:val="none" w:sz="0" w:space="0" w:color="auto"/>
            <w:left w:val="none" w:sz="0" w:space="0" w:color="auto"/>
            <w:bottom w:val="none" w:sz="0" w:space="0" w:color="auto"/>
            <w:right w:val="none" w:sz="0" w:space="0" w:color="auto"/>
          </w:divBdr>
        </w:div>
        <w:div w:id="1653218394">
          <w:marLeft w:val="0"/>
          <w:marRight w:val="0"/>
          <w:marTop w:val="0"/>
          <w:marBottom w:val="0"/>
          <w:divBdr>
            <w:top w:val="none" w:sz="0" w:space="0" w:color="auto"/>
            <w:left w:val="none" w:sz="0" w:space="0" w:color="auto"/>
            <w:bottom w:val="none" w:sz="0" w:space="0" w:color="auto"/>
            <w:right w:val="none" w:sz="0" w:space="0" w:color="auto"/>
          </w:divBdr>
        </w:div>
        <w:div w:id="1653218398">
          <w:marLeft w:val="0"/>
          <w:marRight w:val="0"/>
          <w:marTop w:val="0"/>
          <w:marBottom w:val="0"/>
          <w:divBdr>
            <w:top w:val="none" w:sz="0" w:space="0" w:color="auto"/>
            <w:left w:val="none" w:sz="0" w:space="0" w:color="auto"/>
            <w:bottom w:val="none" w:sz="0" w:space="0" w:color="auto"/>
            <w:right w:val="none" w:sz="0" w:space="0" w:color="auto"/>
          </w:divBdr>
        </w:div>
        <w:div w:id="1653218420">
          <w:marLeft w:val="0"/>
          <w:marRight w:val="0"/>
          <w:marTop w:val="0"/>
          <w:marBottom w:val="0"/>
          <w:divBdr>
            <w:top w:val="none" w:sz="0" w:space="0" w:color="auto"/>
            <w:left w:val="none" w:sz="0" w:space="0" w:color="auto"/>
            <w:bottom w:val="none" w:sz="0" w:space="0" w:color="auto"/>
            <w:right w:val="none" w:sz="0" w:space="0" w:color="auto"/>
          </w:divBdr>
        </w:div>
        <w:div w:id="1653218425">
          <w:marLeft w:val="0"/>
          <w:marRight w:val="0"/>
          <w:marTop w:val="0"/>
          <w:marBottom w:val="0"/>
          <w:divBdr>
            <w:top w:val="none" w:sz="0" w:space="0" w:color="auto"/>
            <w:left w:val="none" w:sz="0" w:space="0" w:color="auto"/>
            <w:bottom w:val="none" w:sz="0" w:space="0" w:color="auto"/>
            <w:right w:val="none" w:sz="0" w:space="0" w:color="auto"/>
          </w:divBdr>
        </w:div>
        <w:div w:id="1653218433">
          <w:marLeft w:val="0"/>
          <w:marRight w:val="0"/>
          <w:marTop w:val="0"/>
          <w:marBottom w:val="0"/>
          <w:divBdr>
            <w:top w:val="none" w:sz="0" w:space="0" w:color="auto"/>
            <w:left w:val="none" w:sz="0" w:space="0" w:color="auto"/>
            <w:bottom w:val="none" w:sz="0" w:space="0" w:color="auto"/>
            <w:right w:val="none" w:sz="0" w:space="0" w:color="auto"/>
          </w:divBdr>
        </w:div>
        <w:div w:id="1653218434">
          <w:marLeft w:val="0"/>
          <w:marRight w:val="0"/>
          <w:marTop w:val="0"/>
          <w:marBottom w:val="0"/>
          <w:divBdr>
            <w:top w:val="none" w:sz="0" w:space="0" w:color="auto"/>
            <w:left w:val="none" w:sz="0" w:space="0" w:color="auto"/>
            <w:bottom w:val="none" w:sz="0" w:space="0" w:color="auto"/>
            <w:right w:val="none" w:sz="0" w:space="0" w:color="auto"/>
          </w:divBdr>
        </w:div>
        <w:div w:id="1653218439">
          <w:marLeft w:val="0"/>
          <w:marRight w:val="0"/>
          <w:marTop w:val="0"/>
          <w:marBottom w:val="0"/>
          <w:divBdr>
            <w:top w:val="none" w:sz="0" w:space="0" w:color="auto"/>
            <w:left w:val="none" w:sz="0" w:space="0" w:color="auto"/>
            <w:bottom w:val="none" w:sz="0" w:space="0" w:color="auto"/>
            <w:right w:val="none" w:sz="0" w:space="0" w:color="auto"/>
          </w:divBdr>
        </w:div>
        <w:div w:id="1653218442">
          <w:marLeft w:val="0"/>
          <w:marRight w:val="0"/>
          <w:marTop w:val="0"/>
          <w:marBottom w:val="0"/>
          <w:divBdr>
            <w:top w:val="none" w:sz="0" w:space="0" w:color="auto"/>
            <w:left w:val="none" w:sz="0" w:space="0" w:color="auto"/>
            <w:bottom w:val="none" w:sz="0" w:space="0" w:color="auto"/>
            <w:right w:val="none" w:sz="0" w:space="0" w:color="auto"/>
          </w:divBdr>
        </w:div>
        <w:div w:id="1653218444">
          <w:marLeft w:val="0"/>
          <w:marRight w:val="0"/>
          <w:marTop w:val="0"/>
          <w:marBottom w:val="0"/>
          <w:divBdr>
            <w:top w:val="none" w:sz="0" w:space="0" w:color="auto"/>
            <w:left w:val="none" w:sz="0" w:space="0" w:color="auto"/>
            <w:bottom w:val="none" w:sz="0" w:space="0" w:color="auto"/>
            <w:right w:val="none" w:sz="0" w:space="0" w:color="auto"/>
          </w:divBdr>
        </w:div>
        <w:div w:id="1653218450">
          <w:marLeft w:val="0"/>
          <w:marRight w:val="0"/>
          <w:marTop w:val="0"/>
          <w:marBottom w:val="0"/>
          <w:divBdr>
            <w:top w:val="none" w:sz="0" w:space="0" w:color="auto"/>
            <w:left w:val="none" w:sz="0" w:space="0" w:color="auto"/>
            <w:bottom w:val="none" w:sz="0" w:space="0" w:color="auto"/>
            <w:right w:val="none" w:sz="0" w:space="0" w:color="auto"/>
          </w:divBdr>
        </w:div>
        <w:div w:id="1653218454">
          <w:marLeft w:val="0"/>
          <w:marRight w:val="0"/>
          <w:marTop w:val="0"/>
          <w:marBottom w:val="0"/>
          <w:divBdr>
            <w:top w:val="none" w:sz="0" w:space="0" w:color="auto"/>
            <w:left w:val="none" w:sz="0" w:space="0" w:color="auto"/>
            <w:bottom w:val="none" w:sz="0" w:space="0" w:color="auto"/>
            <w:right w:val="none" w:sz="0" w:space="0" w:color="auto"/>
          </w:divBdr>
        </w:div>
        <w:div w:id="1653218462">
          <w:marLeft w:val="0"/>
          <w:marRight w:val="0"/>
          <w:marTop w:val="0"/>
          <w:marBottom w:val="0"/>
          <w:divBdr>
            <w:top w:val="none" w:sz="0" w:space="0" w:color="auto"/>
            <w:left w:val="none" w:sz="0" w:space="0" w:color="auto"/>
            <w:bottom w:val="none" w:sz="0" w:space="0" w:color="auto"/>
            <w:right w:val="none" w:sz="0" w:space="0" w:color="auto"/>
          </w:divBdr>
        </w:div>
      </w:divsChild>
    </w:div>
    <w:div w:id="1653218412">
      <w:marLeft w:val="0"/>
      <w:marRight w:val="0"/>
      <w:marTop w:val="0"/>
      <w:marBottom w:val="0"/>
      <w:divBdr>
        <w:top w:val="none" w:sz="0" w:space="0" w:color="auto"/>
        <w:left w:val="none" w:sz="0" w:space="0" w:color="auto"/>
        <w:bottom w:val="none" w:sz="0" w:space="0" w:color="auto"/>
        <w:right w:val="none" w:sz="0" w:space="0" w:color="auto"/>
      </w:divBdr>
      <w:divsChild>
        <w:div w:id="1653218362">
          <w:marLeft w:val="0"/>
          <w:marRight w:val="0"/>
          <w:marTop w:val="0"/>
          <w:marBottom w:val="0"/>
          <w:divBdr>
            <w:top w:val="none" w:sz="0" w:space="0" w:color="auto"/>
            <w:left w:val="none" w:sz="0" w:space="0" w:color="auto"/>
            <w:bottom w:val="none" w:sz="0" w:space="0" w:color="auto"/>
            <w:right w:val="none" w:sz="0" w:space="0" w:color="auto"/>
          </w:divBdr>
          <w:divsChild>
            <w:div w:id="1653218423">
              <w:marLeft w:val="0"/>
              <w:marRight w:val="0"/>
              <w:marTop w:val="0"/>
              <w:marBottom w:val="0"/>
              <w:divBdr>
                <w:top w:val="none" w:sz="0" w:space="0" w:color="auto"/>
                <w:left w:val="none" w:sz="0" w:space="0" w:color="auto"/>
                <w:bottom w:val="none" w:sz="0" w:space="0" w:color="auto"/>
                <w:right w:val="none" w:sz="0" w:space="0" w:color="auto"/>
              </w:divBdr>
            </w:div>
            <w:div w:id="1653218431">
              <w:marLeft w:val="0"/>
              <w:marRight w:val="0"/>
              <w:marTop w:val="0"/>
              <w:marBottom w:val="0"/>
              <w:divBdr>
                <w:top w:val="none" w:sz="0" w:space="0" w:color="auto"/>
                <w:left w:val="none" w:sz="0" w:space="0" w:color="auto"/>
                <w:bottom w:val="none" w:sz="0" w:space="0" w:color="auto"/>
                <w:right w:val="none" w:sz="0" w:space="0" w:color="auto"/>
              </w:divBdr>
              <w:divsChild>
                <w:div w:id="165321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8432">
          <w:marLeft w:val="0"/>
          <w:marRight w:val="0"/>
          <w:marTop w:val="0"/>
          <w:marBottom w:val="0"/>
          <w:divBdr>
            <w:top w:val="none" w:sz="0" w:space="0" w:color="auto"/>
            <w:left w:val="none" w:sz="0" w:space="0" w:color="auto"/>
            <w:bottom w:val="none" w:sz="0" w:space="0" w:color="auto"/>
            <w:right w:val="none" w:sz="0" w:space="0" w:color="auto"/>
          </w:divBdr>
          <w:divsChild>
            <w:div w:id="16532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8428">
      <w:marLeft w:val="0"/>
      <w:marRight w:val="0"/>
      <w:marTop w:val="0"/>
      <w:marBottom w:val="0"/>
      <w:divBdr>
        <w:top w:val="none" w:sz="0" w:space="0" w:color="auto"/>
        <w:left w:val="none" w:sz="0" w:space="0" w:color="auto"/>
        <w:bottom w:val="none" w:sz="0" w:space="0" w:color="auto"/>
        <w:right w:val="none" w:sz="0" w:space="0" w:color="auto"/>
      </w:divBdr>
    </w:div>
    <w:div w:id="1653218449">
      <w:marLeft w:val="0"/>
      <w:marRight w:val="0"/>
      <w:marTop w:val="0"/>
      <w:marBottom w:val="0"/>
      <w:divBdr>
        <w:top w:val="none" w:sz="0" w:space="0" w:color="auto"/>
        <w:left w:val="none" w:sz="0" w:space="0" w:color="auto"/>
        <w:bottom w:val="none" w:sz="0" w:space="0" w:color="auto"/>
        <w:right w:val="none" w:sz="0" w:space="0" w:color="auto"/>
      </w:divBdr>
    </w:div>
    <w:div w:id="16532184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2.sld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4CCA08-5839-4669-AF6B-0699CB62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3033</Words>
  <Characters>17289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Rapid fatal acute peripheral T-cell lymphoma associated with IgG plasma cell leukemia and IgA  hypergammaglobulinemia</vt:lpstr>
    </vt:vector>
  </TitlesOfParts>
  <Company/>
  <LinksUpToDate>false</LinksUpToDate>
  <CharactersWithSpaces>20282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fatal acute peripheral T-cell lymphoma associated with IgG plasma cell leukemia and IgA  hypergammaglobulinemia</dc:title>
  <dc:creator>Nives</dc:creator>
  <cp:lastModifiedBy>klucin</cp:lastModifiedBy>
  <cp:revision>4</cp:revision>
  <dcterms:created xsi:type="dcterms:W3CDTF">2016-02-14T12:54:00Z</dcterms:created>
  <dcterms:modified xsi:type="dcterms:W3CDTF">2016-05-02T12:06:00Z</dcterms:modified>
</cp:coreProperties>
</file>