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 xml:space="preserve">SVEUČILIŠTE U SPLITU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 xml:space="preserve">Podružnica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 xml:space="preserve">SVEUČILIŠNI ODJEL ZDRAVSTVENIH STUDIJA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 xml:space="preserve">PREDDIPLOMSKI SVEUČILIŠNI STUDIJ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 xml:space="preserve">MEDICINSKO LABORATORIJSKA DIJAGNOSTIKA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 w:rsidRPr="008C0A73">
        <w:rPr>
          <w:rFonts w:eastAsia="Times New Roman"/>
          <w:b/>
          <w:kern w:val="0"/>
          <w:sz w:val="32"/>
          <w:szCs w:val="32"/>
          <w:lang w:eastAsia="hr-BA"/>
        </w:rPr>
        <w:t xml:space="preserve">IVANA BANDOV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8C0A73" w:rsidRDefault="00781A99" w:rsidP="00977292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>
        <w:rPr>
          <w:rFonts w:eastAsia="Times New Roman"/>
          <w:b/>
          <w:kern w:val="0"/>
          <w:sz w:val="32"/>
          <w:szCs w:val="32"/>
          <w:lang w:eastAsia="hr-BA"/>
        </w:rPr>
        <w:t>IZRAŽAJ BILJEGA</w:t>
      </w:r>
      <w:r w:rsidR="00977292" w:rsidRPr="008C0A73">
        <w:rPr>
          <w:rFonts w:eastAsia="Times New Roman"/>
          <w:b/>
          <w:kern w:val="0"/>
          <w:sz w:val="32"/>
          <w:szCs w:val="32"/>
          <w:lang w:eastAsia="hr-BA"/>
        </w:rPr>
        <w:t xml:space="preserve"> CD34 </w:t>
      </w:r>
      <w:r>
        <w:rPr>
          <w:rFonts w:eastAsia="Times New Roman"/>
          <w:b/>
          <w:kern w:val="0"/>
          <w:sz w:val="32"/>
          <w:szCs w:val="32"/>
          <w:lang w:eastAsia="hr-BA"/>
        </w:rPr>
        <w:t xml:space="preserve">I CD77 </w:t>
      </w:r>
      <w:r w:rsidR="00977292" w:rsidRPr="008C0A73">
        <w:rPr>
          <w:rFonts w:eastAsia="Times New Roman"/>
          <w:b/>
          <w:kern w:val="0"/>
          <w:sz w:val="32"/>
          <w:szCs w:val="32"/>
          <w:lang w:eastAsia="hr-BA"/>
        </w:rPr>
        <w:t xml:space="preserve">NA PLAZMA MEMBRANI SRČANIH STANICA HIPERKALCIJEMIČNIH ŠTAKORA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8C0A73" w:rsidRDefault="00977292" w:rsidP="00977292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 w:rsidRPr="008C0A73">
        <w:rPr>
          <w:rFonts w:eastAsia="Times New Roman"/>
          <w:b/>
          <w:kern w:val="0"/>
          <w:sz w:val="32"/>
          <w:szCs w:val="32"/>
          <w:lang w:eastAsia="hr-BA"/>
        </w:rPr>
        <w:t xml:space="preserve">Završni rad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437D33" w:rsidRDefault="00437D33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</w:p>
    <w:p w:rsidR="00437D33" w:rsidRPr="00977292" w:rsidRDefault="00437D33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437D33" w:rsidRDefault="00437D33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</w:p>
    <w:p w:rsidR="00977292" w:rsidRPr="00977292" w:rsidRDefault="00977292" w:rsidP="00977292">
      <w:pPr>
        <w:widowControl/>
        <w:spacing w:after="200"/>
        <w:jc w:val="center"/>
        <w:rPr>
          <w:rFonts w:eastAsia="Times New Roman"/>
          <w:kern w:val="0"/>
          <w:szCs w:val="24"/>
          <w:lang w:eastAsia="hr-BA"/>
        </w:rPr>
      </w:pPr>
      <w:r w:rsidRPr="00977292">
        <w:rPr>
          <w:rFonts w:eastAsia="Times New Roman"/>
          <w:kern w:val="0"/>
          <w:szCs w:val="24"/>
          <w:lang w:eastAsia="hr-BA"/>
        </w:rPr>
        <w:t xml:space="preserve"> </w:t>
      </w:r>
    </w:p>
    <w:p w:rsidR="00977292" w:rsidRPr="00437D33" w:rsidRDefault="00977292" w:rsidP="00437D33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8C0A73">
        <w:rPr>
          <w:rFonts w:eastAsia="Times New Roman"/>
          <w:kern w:val="0"/>
          <w:sz w:val="28"/>
          <w:szCs w:val="28"/>
          <w:lang w:eastAsia="hr-BA"/>
        </w:rPr>
        <w:t>Split, 2014.</w:t>
      </w:r>
    </w:p>
    <w:p w:rsidR="00671287" w:rsidRPr="00437D33" w:rsidRDefault="00671287" w:rsidP="00655DE4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lastRenderedPageBreak/>
        <w:t>SVEUČILIŠTE U SPLITU</w:t>
      </w:r>
    </w:p>
    <w:p w:rsidR="00671287" w:rsidRPr="00437D33" w:rsidRDefault="00671287" w:rsidP="00655DE4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Podružnica</w:t>
      </w:r>
    </w:p>
    <w:p w:rsidR="00671287" w:rsidRPr="00437D33" w:rsidRDefault="00671287" w:rsidP="00655DE4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SVEUČILIŠNI ODJEL ZDRAVSTVENIH STUDIJA</w:t>
      </w:r>
    </w:p>
    <w:p w:rsidR="00671287" w:rsidRPr="00437D33" w:rsidRDefault="00671287" w:rsidP="00655DE4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PREDDIPLOMSKI SVEUČILIŠNI STUDIJ</w:t>
      </w:r>
    </w:p>
    <w:p w:rsidR="00671287" w:rsidRPr="00437D33" w:rsidRDefault="00655DE4" w:rsidP="00655DE4">
      <w:pPr>
        <w:widowControl/>
        <w:spacing w:after="200"/>
        <w:jc w:val="center"/>
        <w:rPr>
          <w:rFonts w:eastAsia="Times New Roman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MEDICINSKO LABORATORIJSKA DIJAGNOSTIKA</w:t>
      </w:r>
    </w:p>
    <w:p w:rsidR="00671287" w:rsidRDefault="00671287" w:rsidP="00655DE4">
      <w:pPr>
        <w:widowControl/>
        <w:spacing w:after="240"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437D33" w:rsidRDefault="00437D33" w:rsidP="00655DE4">
      <w:pPr>
        <w:widowControl/>
        <w:spacing w:after="240"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437D33" w:rsidRDefault="00437D33" w:rsidP="00655DE4">
      <w:pPr>
        <w:widowControl/>
        <w:spacing w:after="240"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671287" w:rsidRPr="00671287" w:rsidRDefault="00671287" w:rsidP="00655DE4">
      <w:pPr>
        <w:widowControl/>
        <w:spacing w:after="240"/>
        <w:jc w:val="center"/>
        <w:rPr>
          <w:rFonts w:eastAsia="Times New Roman"/>
          <w:kern w:val="0"/>
          <w:szCs w:val="24"/>
          <w:lang w:eastAsia="hr-BA"/>
        </w:rPr>
      </w:pPr>
    </w:p>
    <w:p w:rsidR="00671287" w:rsidRPr="00437D33" w:rsidRDefault="00671287" w:rsidP="00437D33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I</w:t>
      </w:r>
      <w:r w:rsidR="008C0A7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VANA BANDOV</w:t>
      </w:r>
    </w:p>
    <w:p w:rsidR="00671287" w:rsidRPr="00437D33" w:rsidRDefault="00671287" w:rsidP="00437D33">
      <w:pPr>
        <w:widowControl/>
        <w:spacing w:after="240"/>
        <w:rPr>
          <w:rFonts w:eastAsia="Times New Roman"/>
          <w:b/>
          <w:kern w:val="0"/>
          <w:sz w:val="32"/>
          <w:szCs w:val="32"/>
          <w:lang w:eastAsia="hr-BA"/>
        </w:rPr>
      </w:pPr>
    </w:p>
    <w:p w:rsidR="00671287" w:rsidRPr="00437D33" w:rsidRDefault="00781A99" w:rsidP="00437D33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IZRAŽAJ BILJEGA</w:t>
      </w:r>
      <w:r w:rsidR="008C0A7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 CD34</w:t>
      </w:r>
      <w:r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 I CD77</w:t>
      </w:r>
      <w:r w:rsidR="008C0A7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 NA PLAZMA MEMBRANI SRČANIH STANICA HIPERKALCIJEMIČNIH</w:t>
      </w:r>
      <w:r w:rsidR="00671287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 </w:t>
      </w:r>
      <w:r w:rsidR="008C0A7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ŠTAKORA</w:t>
      </w:r>
    </w:p>
    <w:p w:rsidR="00671287" w:rsidRPr="00437D33" w:rsidRDefault="00671287" w:rsidP="00437D33">
      <w:pPr>
        <w:widowControl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</w:p>
    <w:p w:rsidR="00671287" w:rsidRPr="00437D33" w:rsidRDefault="00671287" w:rsidP="00437D33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Z</w:t>
      </w:r>
      <w:r w:rsidR="00437D3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avršni rad</w:t>
      </w:r>
    </w:p>
    <w:p w:rsidR="00671287" w:rsidRPr="00437D33" w:rsidRDefault="00671287" w:rsidP="00437D33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</w:p>
    <w:p w:rsidR="00671287" w:rsidRPr="00437D33" w:rsidRDefault="00671287" w:rsidP="00437D33">
      <w:pPr>
        <w:widowControl/>
        <w:spacing w:after="24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</w:p>
    <w:p w:rsidR="00437D33" w:rsidRDefault="008C0A73" w:rsidP="00437D33">
      <w:pPr>
        <w:widowControl/>
        <w:spacing w:after="200"/>
        <w:jc w:val="center"/>
        <w:rPr>
          <w:rFonts w:eastAsia="Times New Roman"/>
          <w:b/>
          <w:color w:val="000000"/>
          <w:kern w:val="0"/>
          <w:sz w:val="32"/>
          <w:szCs w:val="32"/>
          <w:lang w:eastAsia="hr-BA"/>
        </w:rPr>
      </w:pPr>
      <w:r w:rsidRPr="00437D33">
        <w:rPr>
          <w:rFonts w:eastAsia="Times New Roman"/>
          <w:b/>
          <w:color w:val="000000"/>
          <w:kern w:val="0"/>
          <w:sz w:val="32"/>
          <w:szCs w:val="32"/>
          <w:lang w:eastAsia="hr-BA"/>
        </w:rPr>
        <w:t>M</w:t>
      </w:r>
      <w:r w:rsidR="00437D33">
        <w:rPr>
          <w:rFonts w:eastAsia="Times New Roman"/>
          <w:b/>
          <w:color w:val="000000"/>
          <w:kern w:val="0"/>
          <w:sz w:val="32"/>
          <w:szCs w:val="32"/>
          <w:lang w:eastAsia="hr-BA"/>
        </w:rPr>
        <w:t>entor</w:t>
      </w:r>
      <w:r w:rsidR="00671287" w:rsidRPr="00437D33">
        <w:rPr>
          <w:rFonts w:eastAsia="Times New Roman"/>
          <w:b/>
          <w:color w:val="000000"/>
          <w:kern w:val="0"/>
          <w:sz w:val="32"/>
          <w:szCs w:val="32"/>
          <w:lang w:eastAsia="hr-BA"/>
        </w:rPr>
        <w:t>:</w:t>
      </w:r>
    </w:p>
    <w:p w:rsidR="00437D33" w:rsidRPr="00437D33" w:rsidRDefault="00437D33" w:rsidP="00437D33">
      <w:pPr>
        <w:widowControl/>
        <w:spacing w:after="200"/>
        <w:jc w:val="center"/>
        <w:rPr>
          <w:rFonts w:eastAsia="Times New Roman"/>
          <w:b/>
          <w:color w:val="000000"/>
          <w:kern w:val="0"/>
          <w:sz w:val="32"/>
          <w:szCs w:val="32"/>
          <w:lang w:eastAsia="hr-BA"/>
        </w:rPr>
      </w:pPr>
    </w:p>
    <w:p w:rsidR="00671287" w:rsidRPr="00437D33" w:rsidRDefault="00671287" w:rsidP="00437D33">
      <w:pPr>
        <w:widowControl/>
        <w:spacing w:after="200"/>
        <w:jc w:val="center"/>
        <w:rPr>
          <w:rFonts w:eastAsia="Times New Roman"/>
          <w:b/>
          <w:kern w:val="0"/>
          <w:sz w:val="32"/>
          <w:szCs w:val="32"/>
          <w:lang w:eastAsia="hr-BA"/>
        </w:rPr>
      </w:pP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Doc. </w:t>
      </w:r>
      <w:r w:rsidR="00655DE4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d</w:t>
      </w: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r. </w:t>
      </w:r>
      <w:r w:rsidR="00655DE4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s</w:t>
      </w:r>
      <w:r w:rsidR="008C0A73"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>c.</w:t>
      </w: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t xml:space="preserve"> Vedrana Čikeš Čulić</w:t>
      </w:r>
      <w:r w:rsidRPr="00437D33">
        <w:rPr>
          <w:rFonts w:eastAsia="Times New Roman"/>
          <w:b/>
          <w:bCs/>
          <w:color w:val="000000"/>
          <w:kern w:val="0"/>
          <w:sz w:val="32"/>
          <w:szCs w:val="32"/>
          <w:lang w:eastAsia="hr-BA"/>
        </w:rPr>
        <w:br/>
      </w:r>
    </w:p>
    <w:p w:rsidR="00671287" w:rsidRDefault="00671287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671287" w:rsidRDefault="00671287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671287" w:rsidRDefault="00671287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671287" w:rsidRDefault="00671287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0C4BB1" w:rsidRDefault="000C4BB1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0C4BB1" w:rsidRDefault="000C4BB1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0C4BB1" w:rsidRDefault="000C4BB1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0C4BB1" w:rsidRDefault="000C4BB1" w:rsidP="00655DE4">
      <w:pPr>
        <w:widowControl/>
        <w:jc w:val="center"/>
        <w:rPr>
          <w:rFonts w:eastAsia="Times New Roman"/>
          <w:color w:val="000000"/>
          <w:kern w:val="0"/>
          <w:szCs w:val="24"/>
          <w:lang w:eastAsia="hr-BA"/>
        </w:rPr>
      </w:pPr>
    </w:p>
    <w:p w:rsidR="00671287" w:rsidRDefault="00671287" w:rsidP="00437D33">
      <w:pPr>
        <w:widowControl/>
        <w:rPr>
          <w:rFonts w:eastAsia="Times New Roman"/>
          <w:color w:val="000000"/>
          <w:kern w:val="0"/>
          <w:szCs w:val="24"/>
          <w:lang w:eastAsia="hr-BA"/>
        </w:rPr>
      </w:pPr>
    </w:p>
    <w:p w:rsidR="00AA03DC" w:rsidRPr="00437D33" w:rsidRDefault="00671287" w:rsidP="00437D33">
      <w:pPr>
        <w:widowControl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hr-BA"/>
        </w:rPr>
      </w:pPr>
      <w:r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Split, 2014</w:t>
      </w:r>
      <w:r w:rsidR="000C4BB1" w:rsidRPr="00437D33">
        <w:rPr>
          <w:rFonts w:eastAsia="Times New Roman"/>
          <w:color w:val="000000"/>
          <w:kern w:val="0"/>
          <w:sz w:val="28"/>
          <w:szCs w:val="28"/>
          <w:lang w:eastAsia="hr-BA"/>
        </w:rPr>
        <w:t>.</w:t>
      </w:r>
    </w:p>
    <w:p w:rsidR="00655DE4" w:rsidRPr="00B22B35" w:rsidRDefault="00655DE4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Pr="00B22B35" w:rsidRDefault="00AA03DC"/>
    <w:p w:rsidR="00AA03DC" w:rsidRDefault="00AA03DC"/>
    <w:p w:rsidR="009323A8" w:rsidRDefault="009323A8"/>
    <w:p w:rsidR="00E53194" w:rsidRDefault="00E53194"/>
    <w:p w:rsidR="00191D9A" w:rsidRDefault="00191D9A"/>
    <w:p w:rsidR="00E53194" w:rsidRDefault="00191D9A">
      <w:pPr>
        <w:rPr>
          <w:rFonts w:eastAsia="Times New Roman"/>
          <w:i/>
          <w:iCs/>
          <w:kern w:val="0"/>
          <w:szCs w:val="24"/>
          <w:lang w:eastAsia="hr-BA"/>
        </w:rPr>
      </w:pPr>
      <w:r>
        <w:rPr>
          <w:rFonts w:eastAsia="Times New Roman"/>
          <w:i/>
          <w:iCs/>
          <w:kern w:val="0"/>
          <w:szCs w:val="24"/>
          <w:lang w:val="en-US" w:eastAsia="hr-BA"/>
        </w:rPr>
        <w:t>Zahvaljujem mentorici doc. dr. sc. Vedrani Čikeš Čulić</w:t>
      </w:r>
      <w:r>
        <w:rPr>
          <w:rFonts w:eastAsia="Times New Roman"/>
          <w:i/>
          <w:iCs/>
          <w:kern w:val="0"/>
          <w:szCs w:val="24"/>
          <w:lang w:eastAsia="hr-BA"/>
        </w:rPr>
        <w:t xml:space="preserve"> na stručnoj pomoći i susretljivosti prilikom izrade završnog rada.</w:t>
      </w:r>
    </w:p>
    <w:p w:rsidR="009323A8" w:rsidRDefault="009323A8" w:rsidP="009323A8">
      <w:pPr>
        <w:pStyle w:val="Heading1"/>
        <w:rPr>
          <w:lang w:val="it-IT"/>
        </w:rPr>
      </w:pPr>
      <w:bookmarkStart w:id="0" w:name="_Toc392459987"/>
      <w:r>
        <w:rPr>
          <w:lang w:val="it-IT"/>
        </w:rPr>
        <w:lastRenderedPageBreak/>
        <w:t>SADR</w:t>
      </w:r>
      <w:r w:rsidRPr="00B22B35">
        <w:t>Ž</w:t>
      </w:r>
      <w:r>
        <w:rPr>
          <w:lang w:val="it-IT"/>
        </w:rPr>
        <w:t>AJ</w:t>
      </w:r>
      <w:bookmarkEnd w:id="0"/>
    </w:p>
    <w:p w:rsidR="009323A8" w:rsidRDefault="009323A8" w:rsidP="009323A8">
      <w:pPr>
        <w:rPr>
          <w:lang w:val="it-IT"/>
        </w:rPr>
      </w:pPr>
    </w:p>
    <w:p w:rsidR="009323A8" w:rsidRDefault="009323A8" w:rsidP="009323A8">
      <w:pPr>
        <w:pStyle w:val="TOC1"/>
        <w:rPr>
          <w:noProof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TOC \o "1-3" \h \z \u </w:instrText>
      </w:r>
      <w:r>
        <w:rPr>
          <w:lang w:val="it-IT"/>
        </w:rPr>
        <w:fldChar w:fldCharType="separate"/>
      </w:r>
      <w:hyperlink w:anchor="_Toc392459987" w:history="1">
        <w:r w:rsidRPr="00295631">
          <w:rPr>
            <w:rStyle w:val="Hyperlink"/>
            <w:noProof/>
            <w:lang w:val="it-IT"/>
          </w:rPr>
          <w:t>SADR</w:t>
        </w:r>
        <w:r w:rsidRPr="00295631">
          <w:rPr>
            <w:rStyle w:val="Hyperlink"/>
            <w:noProof/>
          </w:rPr>
          <w:t>Ž</w:t>
        </w:r>
        <w:r w:rsidRPr="00295631">
          <w:rPr>
            <w:rStyle w:val="Hyperlink"/>
            <w:noProof/>
            <w:lang w:val="it-IT"/>
          </w:rPr>
          <w:t>AJ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_Toc392459987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88" w:history="1">
        <w:r w:rsidRPr="00295631">
          <w:rPr>
            <w:rStyle w:val="Hyperlink"/>
            <w:noProof/>
          </w:rPr>
          <w:t>1.UVOD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_Toc392459988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89" w:history="1">
        <w:r w:rsidRPr="00295631">
          <w:rPr>
            <w:rStyle w:val="Hyperlink"/>
            <w:noProof/>
          </w:rPr>
          <w:t xml:space="preserve">1.1. </w:t>
        </w:r>
        <w:r w:rsidRPr="00295631">
          <w:rPr>
            <w:rStyle w:val="Hyperlink"/>
            <w:noProof/>
            <w:lang w:val="en-US"/>
          </w:rPr>
          <w:t>SR</w:t>
        </w:r>
        <w:r w:rsidRPr="00295631">
          <w:rPr>
            <w:rStyle w:val="Hyperlink"/>
            <w:noProof/>
          </w:rPr>
          <w:t>Č</w:t>
        </w:r>
        <w:r w:rsidRPr="00295631">
          <w:rPr>
            <w:rStyle w:val="Hyperlink"/>
            <w:noProof/>
            <w:lang w:val="en-US"/>
          </w:rPr>
          <w:t>ANE</w:t>
        </w:r>
        <w:r w:rsidRPr="00295631">
          <w:rPr>
            <w:rStyle w:val="Hyperlink"/>
            <w:noProof/>
          </w:rPr>
          <w:t xml:space="preserve"> </w:t>
        </w:r>
        <w:r w:rsidRPr="00295631">
          <w:rPr>
            <w:rStyle w:val="Hyperlink"/>
            <w:noProof/>
            <w:lang w:val="en-US"/>
          </w:rPr>
          <w:t>MI</w:t>
        </w:r>
        <w:r w:rsidRPr="00295631">
          <w:rPr>
            <w:rStyle w:val="Hyperlink"/>
            <w:noProof/>
          </w:rPr>
          <w:t>Š</w:t>
        </w:r>
        <w:r w:rsidRPr="00295631">
          <w:rPr>
            <w:rStyle w:val="Hyperlink"/>
            <w:noProof/>
            <w:lang w:val="en-US"/>
          </w:rPr>
          <w:t>I</w:t>
        </w:r>
        <w:r w:rsidRPr="00295631">
          <w:rPr>
            <w:rStyle w:val="Hyperlink"/>
            <w:noProof/>
          </w:rPr>
          <w:t>Ć</w:t>
        </w:r>
        <w:r w:rsidRPr="00295631">
          <w:rPr>
            <w:rStyle w:val="Hyperlink"/>
            <w:noProof/>
            <w:lang w:val="en-US"/>
          </w:rPr>
          <w:t>NE</w:t>
        </w:r>
        <w:r w:rsidRPr="00295631">
          <w:rPr>
            <w:rStyle w:val="Hyperlink"/>
            <w:noProof/>
          </w:rPr>
          <w:t xml:space="preserve"> </w:t>
        </w:r>
        <w:r w:rsidRPr="00295631">
          <w:rPr>
            <w:rStyle w:val="Hyperlink"/>
            <w:noProof/>
            <w:lang w:val="en-US"/>
          </w:rPr>
          <w:t>STANICE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_Toc392459989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90" w:history="1">
        <w:r w:rsidRPr="00295631">
          <w:rPr>
            <w:rStyle w:val="Hyperlink"/>
            <w:noProof/>
          </w:rPr>
          <w:t>1.2. KALCIJ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_Toc392459990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59991" w:history="1">
        <w:r w:rsidRPr="00295631">
          <w:rPr>
            <w:rStyle w:val="Hyperlink"/>
            <w:noProof/>
            <w:lang w:val="en-US"/>
          </w:rPr>
          <w:t>1.2.1.Hiperkalcijemija i njen utjecaj na srce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_Toc392459991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92" w:history="1">
        <w:r w:rsidRPr="00295631">
          <w:rPr>
            <w:rStyle w:val="Hyperlink"/>
            <w:noProof/>
          </w:rPr>
          <w:t>1.3. GLIKOSFINGOLIPIDI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_Toc392459992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59993" w:history="1">
        <w:r w:rsidRPr="00295631">
          <w:rPr>
            <w:rStyle w:val="Hyperlink"/>
            <w:noProof/>
          </w:rPr>
          <w:t>1.3.1. Funkcija glikosfingolipida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_Toc392459993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94" w:history="1">
        <w:r w:rsidRPr="00295631">
          <w:rPr>
            <w:rStyle w:val="Hyperlink"/>
            <w:noProof/>
          </w:rPr>
          <w:t>1.4. CD-sustav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_Toc392459994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59995" w:history="1">
        <w:r w:rsidRPr="00295631">
          <w:rPr>
            <w:rStyle w:val="Hyperlink"/>
            <w:noProof/>
          </w:rPr>
          <w:t>1.4.1. CD34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_Toc392459995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59996" w:history="1">
        <w:r w:rsidRPr="00295631">
          <w:rPr>
            <w:rStyle w:val="Hyperlink"/>
            <w:noProof/>
          </w:rPr>
          <w:t>1.4.2. CD77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_Toc392459996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97" w:history="1">
        <w:r w:rsidRPr="00295631">
          <w:rPr>
            <w:rStyle w:val="Hyperlink"/>
            <w:noProof/>
          </w:rPr>
          <w:t>1.5. PROTOČNA CITOMETRIJA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_Toc392459997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59998" w:history="1">
        <w:r w:rsidRPr="00295631">
          <w:rPr>
            <w:rStyle w:val="Hyperlink"/>
            <w:noProof/>
            <w:lang w:eastAsia="hr-BA"/>
          </w:rPr>
          <w:t>1.5.1. Načelo rada protočnog citometra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_Toc392459998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59999" w:history="1">
        <w:r w:rsidRPr="00295631">
          <w:rPr>
            <w:rStyle w:val="Hyperlink"/>
            <w:noProof/>
            <w:lang w:eastAsia="hr-BA"/>
          </w:rPr>
          <w:t>2. CILJ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_Toc392459999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00" w:history="1">
        <w:r w:rsidRPr="00295631">
          <w:rPr>
            <w:rStyle w:val="Hyperlink"/>
            <w:noProof/>
          </w:rPr>
          <w:t>3. MATERIJALI I 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_Toc392460000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60001" w:history="1">
        <w:r w:rsidRPr="00295631">
          <w:rPr>
            <w:rStyle w:val="Hyperlink"/>
            <w:noProof/>
          </w:rPr>
          <w:t>3.1. Životinje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_Toc392460001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60002" w:history="1">
        <w:r w:rsidRPr="00295631">
          <w:rPr>
            <w:rStyle w:val="Hyperlink"/>
            <w:noProof/>
          </w:rPr>
          <w:t>3.2. Određivanje koncentracije kalcija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_Toc392460002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60003" w:history="1">
        <w:r w:rsidRPr="00295631">
          <w:rPr>
            <w:rStyle w:val="Hyperlink"/>
            <w:noProof/>
          </w:rPr>
          <w:t>3.3. Obrada rezultata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_Toc392460003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60004" w:history="1">
        <w:r w:rsidRPr="00295631">
          <w:rPr>
            <w:rStyle w:val="Hyperlink"/>
            <w:noProof/>
          </w:rPr>
          <w:t>3.4. Protočna citometrija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_Toc392460004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23A8" w:rsidRDefault="009323A8">
      <w:pPr>
        <w:pStyle w:val="TOC2"/>
        <w:tabs>
          <w:tab w:val="right" w:leader="dot" w:pos="9062"/>
        </w:tabs>
        <w:rPr>
          <w:noProof/>
        </w:rPr>
      </w:pPr>
      <w:hyperlink w:anchor="_Toc392460005" w:history="1">
        <w:r w:rsidRPr="00295631">
          <w:rPr>
            <w:rStyle w:val="Hyperlink"/>
            <w:noProof/>
          </w:rPr>
          <w:t>3.5. Obrada rezultata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_Toc392460005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06" w:history="1">
        <w:r w:rsidRPr="00295631">
          <w:rPr>
            <w:rStyle w:val="Hyperlink"/>
            <w:noProof/>
          </w:rPr>
          <w:t>4. REZULTATI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_Toc392460006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07" w:history="1">
        <w:r w:rsidRPr="00295631">
          <w:rPr>
            <w:rStyle w:val="Hyperlink"/>
            <w:noProof/>
          </w:rPr>
          <w:t>5. RASPRAVA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_Toc392460007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08" w:history="1">
        <w:r w:rsidRPr="00295631">
          <w:rPr>
            <w:rStyle w:val="Hyperlink"/>
            <w:noProof/>
          </w:rPr>
          <w:t>6. ZAKLJUČCI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_Toc392460008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09" w:history="1">
        <w:r w:rsidRPr="00295631">
          <w:rPr>
            <w:rStyle w:val="Hyperlink"/>
            <w:noProof/>
          </w:rPr>
          <w:t>7. SAŽETAK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_Toc392460009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10" w:history="1">
        <w:r w:rsidRPr="00295631">
          <w:rPr>
            <w:rStyle w:val="Hyperlink"/>
            <w:noProof/>
          </w:rPr>
          <w:t>8.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_Toc392460010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11" w:history="1">
        <w:r w:rsidRPr="00295631">
          <w:rPr>
            <w:rStyle w:val="Hyperlink"/>
            <w:noProof/>
            <w:lang w:eastAsia="hr-BA"/>
          </w:rPr>
          <w:t>9.LITERATURA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_Toc392460011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pStyle w:val="TOC1"/>
        <w:rPr>
          <w:noProof/>
        </w:rPr>
      </w:pPr>
      <w:hyperlink w:anchor="_Toc392460012" w:history="1">
        <w:r w:rsidRPr="00295631">
          <w:rPr>
            <w:rStyle w:val="Hyperlink"/>
            <w:noProof/>
          </w:rPr>
          <w:t>10.ŽIVOTOPIS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_Toc392460012 \h </w:instrText>
        </w:r>
        <w:r w:rsidR="005F4A15">
          <w:rPr>
            <w:noProof/>
          </w:rPr>
        </w:r>
        <w:r>
          <w:rPr>
            <w:noProof/>
            <w:webHidden/>
          </w:rPr>
          <w:fldChar w:fldCharType="separate"/>
        </w:r>
        <w:r w:rsidR="00755C4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23A8" w:rsidRDefault="009323A8" w:rsidP="009323A8">
      <w:pPr>
        <w:rPr>
          <w:lang w:val="it-IT"/>
        </w:rPr>
      </w:pPr>
      <w:r>
        <w:rPr>
          <w:lang w:val="it-IT"/>
        </w:rPr>
        <w:fldChar w:fldCharType="end"/>
      </w:r>
    </w:p>
    <w:p w:rsidR="009323A8" w:rsidRPr="009323A8" w:rsidRDefault="009323A8" w:rsidP="009323A8">
      <w:pPr>
        <w:rPr>
          <w:lang w:val="it-IT"/>
        </w:rPr>
      </w:pPr>
    </w:p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9323A8" w:rsidRDefault="009323A8"/>
    <w:p w:rsidR="00E72027" w:rsidRPr="004E55EE" w:rsidRDefault="008059AF" w:rsidP="00570204">
      <w:pPr>
        <w:pStyle w:val="Heading1"/>
      </w:pPr>
      <w:bookmarkStart w:id="1" w:name="_Toc392459988"/>
      <w:r w:rsidRPr="004E55EE">
        <w:lastRenderedPageBreak/>
        <w:t>1.</w:t>
      </w:r>
      <w:r w:rsidR="00AA03DC" w:rsidRPr="00570204">
        <w:t>UVOD</w:t>
      </w:r>
      <w:bookmarkEnd w:id="1"/>
    </w:p>
    <w:p w:rsidR="007657D8" w:rsidRDefault="00B22B35" w:rsidP="004E55EE">
      <w:pPr>
        <w:spacing w:line="360" w:lineRule="auto"/>
      </w:pPr>
      <w:r w:rsidRPr="004E55EE">
        <w:br/>
      </w:r>
      <w:bookmarkStart w:id="2" w:name="_Toc392459989"/>
      <w:r w:rsidR="00E72027" w:rsidRPr="004E55EE">
        <w:rPr>
          <w:rStyle w:val="Heading1Char"/>
          <w:lang w:val="hr-BA"/>
        </w:rPr>
        <w:t>1</w:t>
      </w:r>
      <w:r w:rsidR="006671DB" w:rsidRPr="004E55EE">
        <w:rPr>
          <w:rStyle w:val="Heading1Char"/>
          <w:lang w:val="hr-BA"/>
        </w:rPr>
        <w:t xml:space="preserve">.1. </w:t>
      </w:r>
      <w:r w:rsidR="00E72027" w:rsidRPr="004E55EE">
        <w:rPr>
          <w:rStyle w:val="Heading1Char"/>
        </w:rPr>
        <w:t>SR</w:t>
      </w:r>
      <w:r w:rsidR="00E72027" w:rsidRPr="004E55EE">
        <w:rPr>
          <w:rStyle w:val="Heading1Char"/>
          <w:lang w:val="hr-BA"/>
        </w:rPr>
        <w:t>Č</w:t>
      </w:r>
      <w:r w:rsidR="00E72027" w:rsidRPr="004E55EE">
        <w:rPr>
          <w:rStyle w:val="Heading1Char"/>
        </w:rPr>
        <w:t>ANE</w:t>
      </w:r>
      <w:r w:rsidR="00E72027" w:rsidRPr="004E55EE">
        <w:rPr>
          <w:rStyle w:val="Heading1Char"/>
          <w:lang w:val="hr-BA"/>
        </w:rPr>
        <w:t xml:space="preserve"> </w:t>
      </w:r>
      <w:r w:rsidR="00E72027" w:rsidRPr="004E55EE">
        <w:rPr>
          <w:rStyle w:val="Heading1Char"/>
        </w:rPr>
        <w:t>MI</w:t>
      </w:r>
      <w:r w:rsidR="00E72027" w:rsidRPr="004E55EE">
        <w:rPr>
          <w:rStyle w:val="Heading1Char"/>
          <w:lang w:val="hr-BA"/>
        </w:rPr>
        <w:t>Š</w:t>
      </w:r>
      <w:r w:rsidR="00E72027" w:rsidRPr="004E55EE">
        <w:rPr>
          <w:rStyle w:val="Heading1Char"/>
        </w:rPr>
        <w:t>I</w:t>
      </w:r>
      <w:r w:rsidR="00E72027" w:rsidRPr="004E55EE">
        <w:rPr>
          <w:rStyle w:val="Heading1Char"/>
          <w:lang w:val="hr-BA"/>
        </w:rPr>
        <w:t>Ć</w:t>
      </w:r>
      <w:r w:rsidR="00E72027" w:rsidRPr="004E55EE">
        <w:rPr>
          <w:rStyle w:val="Heading1Char"/>
        </w:rPr>
        <w:t>NE</w:t>
      </w:r>
      <w:r w:rsidR="00E72027" w:rsidRPr="004E55EE">
        <w:rPr>
          <w:rStyle w:val="Heading1Char"/>
          <w:lang w:val="hr-BA"/>
        </w:rPr>
        <w:t xml:space="preserve"> </w:t>
      </w:r>
      <w:r w:rsidR="00E72027" w:rsidRPr="004E55EE">
        <w:rPr>
          <w:rStyle w:val="Heading1Char"/>
        </w:rPr>
        <w:t>STANICE</w:t>
      </w:r>
      <w:bookmarkEnd w:id="2"/>
    </w:p>
    <w:p w:rsidR="009E5612" w:rsidRDefault="00B22B35" w:rsidP="00CD495C">
      <w:pPr>
        <w:spacing w:line="360" w:lineRule="auto"/>
        <w:jc w:val="both"/>
      </w:pPr>
      <w:r w:rsidRPr="004E55EE">
        <w:br/>
      </w:r>
      <w:r w:rsidR="006A6B49">
        <w:t xml:space="preserve"> </w:t>
      </w:r>
      <w:r w:rsidR="006A6B49">
        <w:tab/>
      </w:r>
      <w:r w:rsidR="00E72027" w:rsidRPr="00570204">
        <w:t>Srce</w:t>
      </w:r>
      <w:r w:rsidR="00E72027" w:rsidRPr="004E55EE">
        <w:t xml:space="preserve"> </w:t>
      </w:r>
      <w:r w:rsidR="00E72027" w:rsidRPr="00570204">
        <w:t>je</w:t>
      </w:r>
      <w:r w:rsidR="00E72027" w:rsidRPr="004E55EE">
        <w:t xml:space="preserve"> </w:t>
      </w:r>
      <w:r w:rsidR="00E72027" w:rsidRPr="00570204">
        <w:t>gra</w:t>
      </w:r>
      <w:r w:rsidR="00E72027" w:rsidRPr="004E55EE">
        <w:t>đ</w:t>
      </w:r>
      <w:r w:rsidR="00E72027" w:rsidRPr="00570204">
        <w:t>eno</w:t>
      </w:r>
      <w:r w:rsidR="00E72027" w:rsidRPr="004E55EE">
        <w:t xml:space="preserve"> </w:t>
      </w:r>
      <w:r w:rsidR="00E72027" w:rsidRPr="00570204">
        <w:t>od</w:t>
      </w:r>
      <w:r w:rsidR="00E72027" w:rsidRPr="004E55EE">
        <w:t xml:space="preserve"> </w:t>
      </w:r>
      <w:r w:rsidRPr="00570204">
        <w:t>zbijenih</w:t>
      </w:r>
      <w:r w:rsidR="000776B0" w:rsidRPr="000776B0">
        <w:t xml:space="preserve">, </w:t>
      </w:r>
      <w:r w:rsidR="000776B0" w:rsidRPr="00570204">
        <w:t>isprepletenih</w:t>
      </w:r>
      <w:r w:rsidR="000776B0">
        <w:t xml:space="preserve"> </w:t>
      </w:r>
      <w:r w:rsidRPr="00570204">
        <w:t>snopo</w:t>
      </w:r>
      <w:r w:rsidR="00E72027" w:rsidRPr="00570204">
        <w:t>va</w:t>
      </w:r>
      <w:r w:rsidR="00E72027" w:rsidRPr="004E55EE">
        <w:t xml:space="preserve"> </w:t>
      </w:r>
      <w:r w:rsidR="00E72027" w:rsidRPr="00570204">
        <w:t>stanica</w:t>
      </w:r>
      <w:r w:rsidR="00E72027" w:rsidRPr="004E55EE">
        <w:t xml:space="preserve"> </w:t>
      </w:r>
      <w:r w:rsidR="000776B0">
        <w:t>koje</w:t>
      </w:r>
      <w:r w:rsidR="00E72027" w:rsidRPr="004E55EE">
        <w:t xml:space="preserve"> </w:t>
      </w:r>
      <w:r w:rsidR="00E72027" w:rsidRPr="00570204">
        <w:t>omogu</w:t>
      </w:r>
      <w:r w:rsidR="00E72027" w:rsidRPr="004E55EE">
        <w:t>ć</w:t>
      </w:r>
      <w:r w:rsidRPr="00570204">
        <w:t>uju</w:t>
      </w:r>
      <w:r w:rsidRPr="004E55EE">
        <w:t xml:space="preserve"> </w:t>
      </w:r>
      <w:r w:rsidRPr="00570204">
        <w:t>karakteris</w:t>
      </w:r>
      <w:r w:rsidR="00E72027" w:rsidRPr="00570204">
        <w:t>ti</w:t>
      </w:r>
      <w:r w:rsidR="00E72027" w:rsidRPr="004E55EE">
        <w:t>č</w:t>
      </w:r>
      <w:r w:rsidR="00EE3C97" w:rsidRPr="00570204">
        <w:t>ne</w:t>
      </w:r>
      <w:r w:rsidR="00EE3C97" w:rsidRPr="004E55EE">
        <w:t xml:space="preserve"> </w:t>
      </w:r>
      <w:r w:rsidR="00E72027" w:rsidRPr="00570204">
        <w:t>kontrakcije</w:t>
      </w:r>
      <w:r w:rsidR="00E72027" w:rsidRPr="004E55EE">
        <w:t xml:space="preserve">, </w:t>
      </w:r>
      <w:r w:rsidR="00E72027" w:rsidRPr="00570204">
        <w:t>pri</w:t>
      </w:r>
      <w:r w:rsidR="00E72027" w:rsidRPr="004E55EE">
        <w:t xml:space="preserve"> č</w:t>
      </w:r>
      <w:r w:rsidR="00E72027" w:rsidRPr="00570204">
        <w:t>emu</w:t>
      </w:r>
      <w:r w:rsidR="00E72027" w:rsidRPr="004E55EE">
        <w:t xml:space="preserve"> </w:t>
      </w:r>
      <w:r w:rsidR="00E72027" w:rsidRPr="00570204">
        <w:t>se</w:t>
      </w:r>
      <w:r w:rsidR="00E72027" w:rsidRPr="004E55EE">
        <w:t xml:space="preserve"> </w:t>
      </w:r>
      <w:r w:rsidR="00E72027" w:rsidRPr="00570204">
        <w:t>krv</w:t>
      </w:r>
      <w:r w:rsidR="00E72027" w:rsidRPr="004E55EE">
        <w:t xml:space="preserve"> </w:t>
      </w:r>
      <w:r w:rsidR="00E72027" w:rsidRPr="00570204">
        <w:t>istiskuje</w:t>
      </w:r>
      <w:r w:rsidR="00E72027" w:rsidRPr="004E55EE">
        <w:t xml:space="preserve"> </w:t>
      </w:r>
      <w:r w:rsidR="00E72027" w:rsidRPr="00570204">
        <w:t>iz</w:t>
      </w:r>
      <w:r w:rsidR="00E72027" w:rsidRPr="004E55EE">
        <w:t xml:space="preserve"> </w:t>
      </w:r>
      <w:r w:rsidR="00E72027" w:rsidRPr="00570204">
        <w:t>sr</w:t>
      </w:r>
      <w:r w:rsidR="00E72027" w:rsidRPr="004E55EE">
        <w:t>č</w:t>
      </w:r>
      <w:r w:rsidR="00E72027" w:rsidRPr="00570204">
        <w:t>anih</w:t>
      </w:r>
      <w:r w:rsidR="00E72027" w:rsidRPr="004E55EE">
        <w:t xml:space="preserve"> </w:t>
      </w:r>
      <w:r w:rsidR="00E72027" w:rsidRPr="00570204">
        <w:t>ventrikula</w:t>
      </w:r>
      <w:r w:rsidR="00E72027" w:rsidRPr="004E55EE">
        <w:t xml:space="preserve">. </w:t>
      </w:r>
      <w:r w:rsidR="006671DB" w:rsidRPr="00570204">
        <w:t>Sr</w:t>
      </w:r>
      <w:r w:rsidR="006671DB" w:rsidRPr="000776B0">
        <w:t>č</w:t>
      </w:r>
      <w:r w:rsidR="006671DB" w:rsidRPr="00570204">
        <w:t>ana</w:t>
      </w:r>
      <w:r w:rsidR="006671DB" w:rsidRPr="000776B0">
        <w:t xml:space="preserve"> </w:t>
      </w:r>
      <w:r w:rsidR="000776B0">
        <w:t xml:space="preserve">mišićna </w:t>
      </w:r>
      <w:r w:rsidR="006671DB" w:rsidRPr="00570204">
        <w:t>vlakna</w:t>
      </w:r>
      <w:r w:rsidR="006671DB" w:rsidRPr="000776B0">
        <w:t xml:space="preserve"> </w:t>
      </w:r>
      <w:r w:rsidR="006671DB" w:rsidRPr="00570204">
        <w:t>imaju</w:t>
      </w:r>
      <w:r w:rsidR="006671DB" w:rsidRPr="000776B0">
        <w:t xml:space="preserve"> </w:t>
      </w:r>
      <w:r w:rsidR="006671DB" w:rsidRPr="00570204">
        <w:t>karakteristi</w:t>
      </w:r>
      <w:r w:rsidR="006671DB" w:rsidRPr="000776B0">
        <w:t>č</w:t>
      </w:r>
      <w:r w:rsidR="006671DB" w:rsidRPr="00570204">
        <w:t>nu</w:t>
      </w:r>
      <w:r w:rsidR="006671DB" w:rsidRPr="000776B0">
        <w:t xml:space="preserve"> </w:t>
      </w:r>
      <w:r w:rsidR="006671DB" w:rsidRPr="00570204">
        <w:t>popre</w:t>
      </w:r>
      <w:r w:rsidR="006671DB" w:rsidRPr="000776B0">
        <w:t>č</w:t>
      </w:r>
      <w:r w:rsidR="006671DB" w:rsidRPr="00570204">
        <w:t>nu</w:t>
      </w:r>
      <w:r w:rsidR="006671DB" w:rsidRPr="000776B0">
        <w:t xml:space="preserve"> </w:t>
      </w:r>
      <w:r w:rsidR="00B26139">
        <w:t>ispruganost</w:t>
      </w:r>
      <w:r w:rsidR="006671DB" w:rsidRPr="000776B0">
        <w:t xml:space="preserve"> </w:t>
      </w:r>
      <w:r w:rsidR="006671DB" w:rsidRPr="00570204">
        <w:t>kao</w:t>
      </w:r>
      <w:r w:rsidR="006671DB" w:rsidRPr="000776B0">
        <w:t xml:space="preserve"> </w:t>
      </w:r>
      <w:r w:rsidR="00256904" w:rsidRPr="000776B0">
        <w:t>š</w:t>
      </w:r>
      <w:r w:rsidR="00256904" w:rsidRPr="00570204">
        <w:t>to</w:t>
      </w:r>
      <w:r w:rsidR="00256904" w:rsidRPr="000776B0">
        <w:t xml:space="preserve"> </w:t>
      </w:r>
      <w:r w:rsidR="00256904" w:rsidRPr="00570204">
        <w:t>je</w:t>
      </w:r>
      <w:r w:rsidR="00256904" w:rsidRPr="000776B0">
        <w:t xml:space="preserve"> </w:t>
      </w:r>
      <w:r w:rsidR="00256904" w:rsidRPr="00570204">
        <w:t>imaju</w:t>
      </w:r>
      <w:r w:rsidR="000776B0" w:rsidRPr="000776B0">
        <w:t xml:space="preserve"> </w:t>
      </w:r>
      <w:r w:rsidR="000776B0">
        <w:t>i</w:t>
      </w:r>
      <w:r w:rsidR="00256904" w:rsidRPr="000776B0">
        <w:t xml:space="preserve"> </w:t>
      </w:r>
      <w:r w:rsidR="006671DB" w:rsidRPr="00570204">
        <w:t>skeletna</w:t>
      </w:r>
      <w:r w:rsidR="00256904" w:rsidRPr="000776B0">
        <w:t xml:space="preserve"> </w:t>
      </w:r>
      <w:r w:rsidR="00256904" w:rsidRPr="00570204">
        <w:t>mi</w:t>
      </w:r>
      <w:r w:rsidR="00256904" w:rsidRPr="000776B0">
        <w:t>š</w:t>
      </w:r>
      <w:r w:rsidR="00256904" w:rsidRPr="00570204">
        <w:t>i</w:t>
      </w:r>
      <w:r w:rsidR="00256904" w:rsidRPr="000776B0">
        <w:t>ć</w:t>
      </w:r>
      <w:r w:rsidR="00256904" w:rsidRPr="00570204">
        <w:t>na</w:t>
      </w:r>
      <w:r w:rsidR="006671DB" w:rsidRPr="000776B0">
        <w:t xml:space="preserve"> </w:t>
      </w:r>
      <w:r w:rsidR="006671DB" w:rsidRPr="00570204">
        <w:t>vlakna</w:t>
      </w:r>
      <w:r w:rsidR="006671DB" w:rsidRPr="000776B0">
        <w:t>.</w:t>
      </w:r>
      <w:r w:rsidR="00256904" w:rsidRPr="000776B0">
        <w:t xml:space="preserve"> </w:t>
      </w:r>
      <w:r w:rsidR="00256904" w:rsidRPr="00570204">
        <w:t>Mišićn</w:t>
      </w:r>
      <w:r w:rsidR="00B26139">
        <w:t xml:space="preserve">e stanice široke su oko 15 μm </w:t>
      </w:r>
      <w:r w:rsidR="00256904" w:rsidRPr="00570204">
        <w:t>a duge su od 85 do 100 μm. Svaka srčana stanica ima jednu ili dvije blijedo obojane jezgre koje su smještene u sredini stanice.</w:t>
      </w:r>
      <w:r w:rsidR="009E5612">
        <w:t xml:space="preserve"> </w:t>
      </w:r>
      <w:r w:rsidR="00256904" w:rsidRPr="00570204">
        <w:t xml:space="preserve">Negdje oko 40% volumena citoplazme kod srčanih mišićnih stanica zauzimaju mitohondriji. Oko </w:t>
      </w:r>
      <w:r w:rsidR="000776B0">
        <w:t xml:space="preserve">srčanih </w:t>
      </w:r>
      <w:r w:rsidR="00256904" w:rsidRPr="00570204">
        <w:t xml:space="preserve">mišićnih stanica nalazi se omotač vezivnog tkiva, koji sadrži bogatu mrežu krvnih kapilara. </w:t>
      </w:r>
    </w:p>
    <w:p w:rsidR="004A35E0" w:rsidRDefault="004A35E0" w:rsidP="00CD495C">
      <w:pPr>
        <w:spacing w:line="360" w:lineRule="auto"/>
        <w:jc w:val="both"/>
      </w:pPr>
    </w:p>
    <w:p w:rsidR="00256904" w:rsidRDefault="00C61734" w:rsidP="00CD495C">
      <w:pPr>
        <w:spacing w:line="360" w:lineRule="auto"/>
        <w:ind w:firstLine="708"/>
        <w:jc w:val="both"/>
      </w:pPr>
      <w:r w:rsidRPr="00570204">
        <w:t>Srčani mišić ima karakteristične dijade</w:t>
      </w:r>
      <w:r w:rsidR="00A40571" w:rsidRPr="00570204">
        <w:t xml:space="preserve"> koje se sastoje </w:t>
      </w:r>
      <w:r w:rsidRPr="00570204">
        <w:t>od jednog T-tubula (duboka invaginacija sarkoleme</w:t>
      </w:r>
      <w:r w:rsidR="00A40571" w:rsidRPr="00570204">
        <w:t xml:space="preserve"> koja je </w:t>
      </w:r>
      <w:r w:rsidRPr="00570204">
        <w:t>smještena</w:t>
      </w:r>
      <w:r w:rsidR="00A40571" w:rsidRPr="00570204">
        <w:t xml:space="preserve"> </w:t>
      </w:r>
      <w:r w:rsidRPr="00570204">
        <w:t>u stanicama srčanog mišića) i jed</w:t>
      </w:r>
      <w:r w:rsidR="006671DB" w:rsidRPr="00570204">
        <w:t>ne cisterne sarkoplazmatske mrež</w:t>
      </w:r>
      <w:r w:rsidRPr="00570204">
        <w:t>ice</w:t>
      </w:r>
      <w:r w:rsidR="006346F7" w:rsidRPr="00570204">
        <w:t>. Sarkoplazmatska mrežica regulira protok kalcija koji je potreban</w:t>
      </w:r>
      <w:r w:rsidR="006671DB" w:rsidRPr="00570204">
        <w:t xml:space="preserve"> za </w:t>
      </w:r>
      <w:r w:rsidR="006346F7" w:rsidRPr="00570204">
        <w:t>kontr</w:t>
      </w:r>
      <w:r w:rsidR="006671DB" w:rsidRPr="00570204">
        <w:t>akcije i relaksacije</w:t>
      </w:r>
      <w:r w:rsidR="00256904" w:rsidRPr="00570204">
        <w:t xml:space="preserve"> srčanog mišića</w:t>
      </w:r>
      <w:r w:rsidR="00B26139">
        <w:t>. To je razgranat</w:t>
      </w:r>
      <w:r w:rsidR="006671DB" w:rsidRPr="00570204">
        <w:t>a mrež</w:t>
      </w:r>
      <w:r w:rsidR="006346F7" w:rsidRPr="00570204">
        <w:t>a cis</w:t>
      </w:r>
      <w:r w:rsidR="006671DB" w:rsidRPr="00570204">
        <w:t>terna glatke endoplazmatske mrežice koja okružuje svako mišić</w:t>
      </w:r>
      <w:r w:rsidR="006346F7" w:rsidRPr="00570204">
        <w:t>no vlakance.</w:t>
      </w:r>
      <w:r w:rsidR="006671DB" w:rsidRPr="00570204">
        <w:t xml:space="preserve"> (1)</w:t>
      </w:r>
      <w:r w:rsidR="006346F7" w:rsidRPr="00570204">
        <w:t xml:space="preserve">  </w:t>
      </w:r>
      <w:r w:rsidR="00EE3C97" w:rsidRPr="00570204">
        <w:t xml:space="preserve">Srčana mišićna vlakna se, prema građi i funkciji kontraktilnih bjelančevina, </w:t>
      </w:r>
      <w:r w:rsidR="00B22B35" w:rsidRPr="00570204">
        <w:t xml:space="preserve">ne razlikuju </w:t>
      </w:r>
      <w:r w:rsidR="00EE3C97" w:rsidRPr="00570204">
        <w:t>puno od skeletnih mišićnih vlakana</w:t>
      </w:r>
      <w:r w:rsidR="00A40571" w:rsidRPr="00570204">
        <w:t>. No</w:t>
      </w:r>
      <w:r w:rsidR="00B22B35" w:rsidRPr="00570204">
        <w:t xml:space="preserve">, </w:t>
      </w:r>
      <w:r w:rsidR="00A40571" w:rsidRPr="00570204">
        <w:t xml:space="preserve">kod srčanih mišićnih stanica </w:t>
      </w:r>
      <w:r w:rsidR="00B22B35" w:rsidRPr="00570204">
        <w:t>sustav T-tubula</w:t>
      </w:r>
      <w:r w:rsidRPr="00570204">
        <w:t xml:space="preserve">  i sarkoplazmatske mrež</w:t>
      </w:r>
      <w:r w:rsidR="00B22B35" w:rsidRPr="00570204">
        <w:t>ice</w:t>
      </w:r>
      <w:r w:rsidR="00A40571" w:rsidRPr="00570204">
        <w:t xml:space="preserve"> </w:t>
      </w:r>
      <w:r w:rsidR="00B26139">
        <w:t>nije</w:t>
      </w:r>
      <w:r w:rsidRPr="00570204">
        <w:t xml:space="preserve"> </w:t>
      </w:r>
      <w:r w:rsidR="00B22B35" w:rsidRPr="00570204">
        <w:t>prav</w:t>
      </w:r>
      <w:r w:rsidRPr="00570204">
        <w:t>i</w:t>
      </w:r>
      <w:r w:rsidR="00B22B35" w:rsidRPr="00570204">
        <w:t>lno</w:t>
      </w:r>
      <w:r w:rsidR="00B26139">
        <w:t xml:space="preserve"> raspoređen</w:t>
      </w:r>
      <w:r w:rsidR="00256904" w:rsidRPr="00570204">
        <w:t>.</w:t>
      </w:r>
    </w:p>
    <w:p w:rsidR="009E5612" w:rsidRDefault="009E5612" w:rsidP="00CD495C">
      <w:pPr>
        <w:spacing w:line="360" w:lineRule="auto"/>
        <w:jc w:val="both"/>
      </w:pPr>
    </w:p>
    <w:p w:rsidR="000776B0" w:rsidRDefault="00B26139" w:rsidP="00CD495C">
      <w:pPr>
        <w:spacing w:line="360" w:lineRule="auto"/>
        <w:ind w:firstLine="708"/>
        <w:jc w:val="both"/>
      </w:pPr>
      <w:r>
        <w:t xml:space="preserve">Depolarizacijski signal </w:t>
      </w:r>
      <w:r w:rsidR="00B8672F" w:rsidRPr="00570204">
        <w:t>koji je započet na površini mišićnog vlakna, potiče oslobađ</w:t>
      </w:r>
      <w:r w:rsidR="00D532C3">
        <w:t xml:space="preserve">anje </w:t>
      </w:r>
      <w:r w:rsidR="00D532C3" w:rsidRPr="00D532C3">
        <w:rPr>
          <w:color w:val="000000"/>
          <w:szCs w:val="24"/>
        </w:rPr>
        <w:t>Ca</w:t>
      </w:r>
      <w:r w:rsidR="00D532C3" w:rsidRPr="00D532C3">
        <w:rPr>
          <w:color w:val="000000"/>
          <w:szCs w:val="24"/>
          <w:vertAlign w:val="superscript"/>
        </w:rPr>
        <w:t>2+</w:t>
      </w:r>
      <w:r w:rsidR="00B8672F" w:rsidRPr="00570204">
        <w:t xml:space="preserve"> iz cisterne endoplazmatske mrežice i tako se širi kroz cijelo mišićno vlakno.</w:t>
      </w:r>
      <w:r w:rsidR="006346F7" w:rsidRPr="00570204">
        <w:t xml:space="preserve"> </w:t>
      </w:r>
      <w:r w:rsidR="00256904" w:rsidRPr="00570204">
        <w:t>Nakon depolarizacije, membrane sarkoplazmatske mrežice živčanim podražajem, ioni</w:t>
      </w:r>
      <w:r w:rsidR="00D532C3">
        <w:t xml:space="preserve"> </w:t>
      </w:r>
      <w:r w:rsidR="00D532C3" w:rsidRPr="00D532C3">
        <w:rPr>
          <w:color w:val="000000"/>
          <w:szCs w:val="24"/>
        </w:rPr>
        <w:t>Ca</w:t>
      </w:r>
      <w:r w:rsidR="00D532C3" w:rsidRPr="00D532C3">
        <w:rPr>
          <w:color w:val="000000"/>
          <w:szCs w:val="24"/>
          <w:vertAlign w:val="superscript"/>
        </w:rPr>
        <w:t>2+</w:t>
      </w:r>
      <w:r>
        <w:t xml:space="preserve"> </w:t>
      </w:r>
      <w:r w:rsidR="00256904" w:rsidRPr="00570204">
        <w:t xml:space="preserve">koji su nakupljeni u cisternama sarkoplazmatske mrežice, pasivno se ispuštaju u  blizini </w:t>
      </w:r>
      <w:r>
        <w:t xml:space="preserve">područja prekrivanja debelih i </w:t>
      </w:r>
      <w:r w:rsidR="00256904" w:rsidRPr="00570204">
        <w:t xml:space="preserve">tankih filamenata, </w:t>
      </w:r>
      <w:r w:rsidR="00146141" w:rsidRPr="00570204">
        <w:t>te se tu vežu za troponin i omoguć</w:t>
      </w:r>
      <w:r w:rsidR="00256904" w:rsidRPr="00570204">
        <w:t>uju povezivanje aktina s miozinom.</w:t>
      </w:r>
      <w:r w:rsidR="000776B0">
        <w:t xml:space="preserve"> (1</w:t>
      </w:r>
      <w:r w:rsidR="00146141" w:rsidRPr="00570204">
        <w:t>) Kada se depolarizacija membrane završi, sarkoplazma</w:t>
      </w:r>
      <w:r>
        <w:t xml:space="preserve">tska mrežica odvodi kalcij koji se </w:t>
      </w:r>
      <w:r w:rsidR="00146141" w:rsidRPr="00570204">
        <w:t xml:space="preserve">aktivno vraća u cisterne pa </w:t>
      </w:r>
      <w:r w:rsidR="00113BEC" w:rsidRPr="00570204">
        <w:t>kontrakcija</w:t>
      </w:r>
      <w:r w:rsidR="000A6222">
        <w:t xml:space="preserve"> prestaje.</w:t>
      </w:r>
    </w:p>
    <w:p w:rsidR="000A6222" w:rsidRPr="00570204" w:rsidRDefault="000A6222" w:rsidP="00CD495C">
      <w:pPr>
        <w:spacing w:line="360" w:lineRule="auto"/>
        <w:ind w:firstLine="708"/>
        <w:jc w:val="both"/>
      </w:pPr>
    </w:p>
    <w:p w:rsidR="004E55EE" w:rsidRDefault="006346F7" w:rsidP="00CD495C">
      <w:pPr>
        <w:spacing w:line="360" w:lineRule="auto"/>
        <w:ind w:firstLine="708"/>
        <w:jc w:val="both"/>
      </w:pPr>
      <w:r w:rsidRPr="00570204">
        <w:t xml:space="preserve">S ovim zaključujemo da su za srčanu </w:t>
      </w:r>
      <w:r w:rsidR="00B8672F" w:rsidRPr="00570204">
        <w:t>mišićnu k</w:t>
      </w:r>
      <w:r w:rsidRPr="00570204">
        <w:t>ontrakciju potrebni ioni</w:t>
      </w:r>
      <w:r w:rsidR="00D532C3" w:rsidRPr="00D532C3">
        <w:rPr>
          <w:color w:val="000000"/>
          <w:szCs w:val="24"/>
        </w:rPr>
        <w:t xml:space="preserve"> Ca</w:t>
      </w:r>
      <w:r w:rsidR="00D532C3" w:rsidRPr="00D532C3">
        <w:rPr>
          <w:color w:val="000000"/>
          <w:szCs w:val="24"/>
          <w:vertAlign w:val="superscript"/>
        </w:rPr>
        <w:t>2+</w:t>
      </w:r>
      <w:r w:rsidR="00D532C3" w:rsidRPr="00570204">
        <w:t xml:space="preserve"> </w:t>
      </w:r>
      <w:r w:rsidR="00B8672F" w:rsidRPr="00570204">
        <w:t xml:space="preserve">a </w:t>
      </w:r>
      <w:r w:rsidR="000776B0">
        <w:t>da za mišićnu relaksaciju nisu potrebni</w:t>
      </w:r>
      <w:r w:rsidRPr="00570204">
        <w:t>.</w:t>
      </w:r>
    </w:p>
    <w:p w:rsidR="00FE2D87" w:rsidRDefault="00FE2D87" w:rsidP="00CD495C">
      <w:pPr>
        <w:spacing w:line="360" w:lineRule="auto"/>
        <w:jc w:val="both"/>
      </w:pPr>
    </w:p>
    <w:p w:rsidR="00C43EFD" w:rsidRDefault="00146141" w:rsidP="00CD495C">
      <w:pPr>
        <w:pStyle w:val="Heading1"/>
        <w:jc w:val="both"/>
      </w:pPr>
      <w:bookmarkStart w:id="3" w:name="_Toc392459990"/>
      <w:r w:rsidRPr="00570204">
        <w:lastRenderedPageBreak/>
        <w:t>1.2. KALCIJ</w:t>
      </w:r>
      <w:bookmarkEnd w:id="3"/>
      <w:r w:rsidRPr="00570204">
        <w:t xml:space="preserve"> </w:t>
      </w:r>
    </w:p>
    <w:p w:rsidR="00862CB7" w:rsidRPr="00862CB7" w:rsidRDefault="00862CB7" w:rsidP="00CD495C">
      <w:pPr>
        <w:jc w:val="both"/>
      </w:pPr>
    </w:p>
    <w:p w:rsidR="00862CB7" w:rsidRDefault="005874AB" w:rsidP="00CD495C">
      <w:pPr>
        <w:spacing w:line="360" w:lineRule="auto"/>
        <w:ind w:firstLine="708"/>
        <w:jc w:val="both"/>
      </w:pPr>
      <w:r w:rsidRPr="00570204">
        <w:t>A</w:t>
      </w:r>
      <w:r w:rsidR="005D0EE5" w:rsidRPr="00570204">
        <w:t xml:space="preserve">psorpcija kalcija se vrši </w:t>
      </w:r>
      <w:r w:rsidRPr="00570204">
        <w:t xml:space="preserve">aktivnim procesom </w:t>
      </w:r>
      <w:r w:rsidR="005D0EE5" w:rsidRPr="00570204">
        <w:t>u gornjim dijelovima tankog c</w:t>
      </w:r>
      <w:r w:rsidRPr="00570204">
        <w:t>rijeva (</w:t>
      </w:r>
      <w:r w:rsidR="005D0EE5" w:rsidRPr="00570204">
        <w:t>dvan</w:t>
      </w:r>
      <w:r w:rsidRPr="00570204">
        <w:t>aesnik</w:t>
      </w:r>
      <w:r w:rsidR="00B26139">
        <w:t>u</w:t>
      </w:r>
      <w:r w:rsidR="005D0EE5" w:rsidRPr="00570204">
        <w:t xml:space="preserve"> </w:t>
      </w:r>
      <w:r w:rsidRPr="00570204">
        <w:t xml:space="preserve">i ileumu). Ona ovisi o nekoliko čimbenika: o koncentraciji u crijevu (veća koncentracija pospješuje apsorpciju), o pH sredine u crijevu (niži </w:t>
      </w:r>
      <w:r w:rsidR="00B26139">
        <w:t xml:space="preserve">pH </w:t>
      </w:r>
      <w:r w:rsidRPr="00570204">
        <w:t>pospješuje apsorpciju), o drugim sastojcima hrane (važan odnos kalcija i fosfora) i o vitaminu D (bez njega se kalcij ne može apsorbirati u crijevu).</w:t>
      </w:r>
    </w:p>
    <w:p w:rsidR="00C43EFD" w:rsidRDefault="005874AB" w:rsidP="00CD495C">
      <w:pPr>
        <w:spacing w:line="360" w:lineRule="auto"/>
        <w:ind w:firstLine="708"/>
        <w:jc w:val="both"/>
      </w:pPr>
      <w:r w:rsidRPr="00570204">
        <w:br/>
      </w:r>
      <w:r w:rsidR="00BA35B9">
        <w:t xml:space="preserve"> </w:t>
      </w:r>
      <w:r w:rsidR="00BA35B9">
        <w:tab/>
      </w:r>
      <w:r w:rsidRPr="00570204">
        <w:t>Kalcij pretežito možemo naći, u njegovom kationskom obliku, u krvnoj tek</w:t>
      </w:r>
      <w:r w:rsidR="00C43EFD" w:rsidRPr="00570204">
        <w:t>ućini.</w:t>
      </w:r>
      <w:r w:rsidR="00D532C3">
        <w:t xml:space="preserve"> Kalcij se </w:t>
      </w:r>
      <w:r w:rsidRPr="00570204">
        <w:t xml:space="preserve">određuje </w:t>
      </w:r>
      <w:r w:rsidR="00C43EFD" w:rsidRPr="00570204">
        <w:t xml:space="preserve">se u </w:t>
      </w:r>
      <w:r w:rsidRPr="00570204">
        <w:t xml:space="preserve">serumu gdje </w:t>
      </w:r>
      <w:r w:rsidR="00D532C3">
        <w:t>bi ga trebalo bit u od 2,14 do 2,53 mmol/L</w:t>
      </w:r>
      <w:r w:rsidR="00C43EFD" w:rsidRPr="00570204">
        <w:t xml:space="preserve">. </w:t>
      </w:r>
    </w:p>
    <w:p w:rsidR="009E5612" w:rsidRPr="00570204" w:rsidRDefault="009E5612" w:rsidP="00CD495C">
      <w:pPr>
        <w:spacing w:line="360" w:lineRule="auto"/>
        <w:jc w:val="both"/>
      </w:pPr>
    </w:p>
    <w:p w:rsidR="00571ADE" w:rsidRDefault="00C43EFD" w:rsidP="00CD495C">
      <w:pPr>
        <w:spacing w:line="360" w:lineRule="auto"/>
        <w:ind w:firstLine="708"/>
        <w:jc w:val="both"/>
      </w:pPr>
      <w:r w:rsidRPr="00570204">
        <w:t xml:space="preserve">U serumu kalcij se može nalaziti u dva oblika: difuzibilnom i nedifuzibilnom. Difuzibilni oblik kalcija prolazi kroz </w:t>
      </w:r>
      <w:r w:rsidR="00571ADE" w:rsidRPr="00570204">
        <w:t>polupropusne membrane, dok je nedifuzibilni oblik kalcija vezan uglavnom za serumske albumine i ne prolazi kroz polupropusnu membr</w:t>
      </w:r>
      <w:r w:rsidR="000776B0">
        <w:t>anu. (2</w:t>
      </w:r>
      <w:r w:rsidR="00571ADE" w:rsidRPr="00570204">
        <w:t xml:space="preserve">) </w:t>
      </w:r>
    </w:p>
    <w:p w:rsidR="000776B0" w:rsidRPr="00570204" w:rsidRDefault="000776B0" w:rsidP="00CD495C">
      <w:pPr>
        <w:spacing w:line="360" w:lineRule="auto"/>
        <w:jc w:val="both"/>
      </w:pPr>
    </w:p>
    <w:p w:rsidR="00E27A31" w:rsidRDefault="00B26139" w:rsidP="00E27A31">
      <w:pPr>
        <w:spacing w:line="360" w:lineRule="auto"/>
        <w:ind w:firstLine="708"/>
        <w:jc w:val="both"/>
      </w:pPr>
      <w:r>
        <w:rPr>
          <w:lang w:val="pl-PL"/>
        </w:rPr>
        <w:t>Oko 50</w:t>
      </w:r>
      <w:r w:rsidR="00571ADE" w:rsidRPr="000776B0">
        <w:rPr>
          <w:lang w:val="pl-PL"/>
        </w:rPr>
        <w:t xml:space="preserve">-60% kalcija koji se nalazi u serumu je u difuzibilnom obliku. </w:t>
      </w:r>
      <w:r w:rsidR="00571ADE" w:rsidRPr="00570204">
        <w:t xml:space="preserve">Taj oblik kalcija se sastoji od dvije frakcije: ioniziranog kalcija i kompleksno vezanog kalcija s citratom, bikarbonatom ili fosfatom. Unatoč ovim </w:t>
      </w:r>
      <w:r w:rsidR="00113BEC" w:rsidRPr="00570204">
        <w:t>dvjema</w:t>
      </w:r>
      <w:r w:rsidR="00571ADE" w:rsidRPr="00570204">
        <w:t xml:space="preserve"> frakcijama, jedino je ionizirani kalcij fiziološki aktivan, te njegova koncentracija ovisi o pH krvi: porast pH krvi smanjuje koncentraciju ioniziranog kalcija, a smanjenje pH povećava koncentraciju ioniziranog kalcija, s napomenom da se pri t</w:t>
      </w:r>
      <w:r>
        <w:t xml:space="preserve">ome ne mijenja koncentracija </w:t>
      </w:r>
      <w:r w:rsidR="00571ADE" w:rsidRPr="00570204">
        <w:t xml:space="preserve">ukupnog kalcija. </w:t>
      </w:r>
    </w:p>
    <w:p w:rsidR="00862CB7" w:rsidRDefault="00862CB7" w:rsidP="00CD495C">
      <w:pPr>
        <w:spacing w:line="360" w:lineRule="auto"/>
        <w:ind w:firstLine="708"/>
        <w:jc w:val="both"/>
      </w:pPr>
    </w:p>
    <w:p w:rsidR="000A6222" w:rsidRDefault="00CD495C" w:rsidP="00191D9A">
      <w:pPr>
        <w:spacing w:line="360" w:lineRule="auto"/>
      </w:pPr>
      <w:bookmarkStart w:id="4" w:name="_Toc392459991"/>
      <w:r>
        <w:rPr>
          <w:rStyle w:val="Heading2Char"/>
        </w:rPr>
        <w:t xml:space="preserve">1.2.1.Hiperkalcijemija </w:t>
      </w:r>
      <w:r w:rsidR="00276C50" w:rsidRPr="004E55EE">
        <w:rPr>
          <w:rStyle w:val="Heading2Char"/>
        </w:rPr>
        <w:t>i njen utjecaj na srce</w:t>
      </w:r>
      <w:bookmarkEnd w:id="4"/>
      <w:r w:rsidR="00276C50" w:rsidRPr="00570204">
        <w:t xml:space="preserve"> </w:t>
      </w:r>
      <w:r w:rsidR="00B22B35" w:rsidRPr="00570204">
        <w:br/>
      </w:r>
      <w:r w:rsidR="00B22B35" w:rsidRPr="00570204">
        <w:br/>
      </w:r>
      <w:r w:rsidR="00BA35B9">
        <w:t xml:space="preserve"> </w:t>
      </w:r>
      <w:r w:rsidR="00BA35B9">
        <w:tab/>
      </w:r>
      <w:r w:rsidR="00E214EE" w:rsidRPr="00570204">
        <w:t>K</w:t>
      </w:r>
      <w:r w:rsidR="00B22B35" w:rsidRPr="00570204">
        <w:t>oncentracija kalcija u plazmi iznad gornje g</w:t>
      </w:r>
      <w:r w:rsidR="00B26139">
        <w:t>ranice referentnih vrijednosti</w:t>
      </w:r>
      <w:r w:rsidR="00B22B35" w:rsidRPr="00570204">
        <w:t xml:space="preserve"> naziva se hiperkalcijemijom.</w:t>
      </w:r>
      <w:r w:rsidR="000776B0">
        <w:t xml:space="preserve"> (3</w:t>
      </w:r>
      <w:r w:rsidR="00E214EE" w:rsidRPr="00570204">
        <w:t>) Nastaje kada viš</w:t>
      </w:r>
      <w:r w:rsidR="00B22B35" w:rsidRPr="00570204">
        <w:t>e kalcij</w:t>
      </w:r>
      <w:r w:rsidR="00E214EE" w:rsidRPr="00570204">
        <w:t xml:space="preserve">a ulazi u krv (bilo iz probavnog, koštanog tkiva ili iz </w:t>
      </w:r>
      <w:r w:rsidR="00B26139">
        <w:t>bubrega) nego š</w:t>
      </w:r>
      <w:r w:rsidR="00B22B35" w:rsidRPr="00570204">
        <w:t>to se uklanja (mine</w:t>
      </w:r>
      <w:r w:rsidR="00E214EE" w:rsidRPr="00570204">
        <w:t>ralizacijom kosti) odnosno izluč</w:t>
      </w:r>
      <w:r w:rsidR="00BA35B9">
        <w:t>uje bubrezima.</w:t>
      </w:r>
      <w:r w:rsidR="000776B0">
        <w:t>(3</w:t>
      </w:r>
      <w:r w:rsidR="00E214EE" w:rsidRPr="00570204">
        <w:t>)</w:t>
      </w:r>
    </w:p>
    <w:p w:rsidR="004A35E0" w:rsidRDefault="00B22B35" w:rsidP="00CD495C">
      <w:pPr>
        <w:spacing w:line="360" w:lineRule="auto"/>
        <w:jc w:val="both"/>
      </w:pPr>
      <w:r w:rsidRPr="00570204">
        <w:br/>
      </w:r>
      <w:r w:rsidR="00BA35B9">
        <w:t xml:space="preserve"> </w:t>
      </w:r>
      <w:r w:rsidR="00BA35B9">
        <w:tab/>
      </w:r>
      <w:r w:rsidR="004417BE" w:rsidRPr="00570204">
        <w:t>Pri hiperkalcijemiji</w:t>
      </w:r>
      <w:r w:rsidR="00E214EE" w:rsidRPr="00570204">
        <w:t xml:space="preserve"> u srčanom mišiću, dolazi do skraćivanja</w:t>
      </w:r>
      <w:r w:rsidRPr="00570204">
        <w:t xml:space="preserve"> refraktorno</w:t>
      </w:r>
      <w:r w:rsidR="00E214EE" w:rsidRPr="00570204">
        <w:t>g razdoblja</w:t>
      </w:r>
      <w:r w:rsidR="005E62E6">
        <w:t xml:space="preserve"> (Slika 1.)</w:t>
      </w:r>
      <w:r w:rsidRPr="00570204">
        <w:t xml:space="preserve"> i </w:t>
      </w:r>
      <w:r w:rsidR="00E214EE" w:rsidRPr="00570204">
        <w:t>do uspo</w:t>
      </w:r>
      <w:r w:rsidR="00D532C3">
        <w:t>renog provođenja srčanih impulsa</w:t>
      </w:r>
      <w:r w:rsidR="00E214EE" w:rsidRPr="00570204">
        <w:t xml:space="preserve">, gdje za posljedicu imamo pojavu različitih aritmija </w:t>
      </w:r>
      <w:r w:rsidRPr="00570204">
        <w:t>(</w:t>
      </w:r>
      <w:r w:rsidR="00E214EE" w:rsidRPr="00570204">
        <w:t>bilo da se radi o ventrikularnim ekstrasistolama, tahikardiji ili fibrilaciji</w:t>
      </w:r>
      <w:r w:rsidR="004417BE" w:rsidRPr="00570204">
        <w:t>). Uz aritmije, hiperkalcijemija ujedno potič</w:t>
      </w:r>
      <w:r w:rsidRPr="00570204">
        <w:t xml:space="preserve">e </w:t>
      </w:r>
      <w:r w:rsidR="004417BE" w:rsidRPr="00570204">
        <w:t>kontrakciju srca i produž</w:t>
      </w:r>
      <w:r w:rsidRPr="00570204">
        <w:t>uje z</w:t>
      </w:r>
      <w:r w:rsidR="004417BE" w:rsidRPr="00570204">
        <w:t>aravan akcijskog potencijala te uzrokuje spastičku kontrakc</w:t>
      </w:r>
      <w:r w:rsidRPr="00570204">
        <w:t>iju miokarda</w:t>
      </w:r>
      <w:r w:rsidR="005D4A01">
        <w:t>.</w:t>
      </w:r>
      <w:r w:rsidRPr="00570204">
        <w:t xml:space="preserve"> Hipertenzija pri hiperkalcijemiji</w:t>
      </w:r>
      <w:r w:rsidR="004417BE" w:rsidRPr="00570204">
        <w:t xml:space="preserve"> se pojavljuje zbog </w:t>
      </w:r>
      <w:r w:rsidRPr="00570204">
        <w:t>vazokonstrikcijsk</w:t>
      </w:r>
      <w:r w:rsidR="004417BE" w:rsidRPr="00570204">
        <w:t>og djelovanja kalcija te oslobađ</w:t>
      </w:r>
      <w:r w:rsidRPr="00570204">
        <w:t xml:space="preserve">anja renina </w:t>
      </w:r>
      <w:r w:rsidR="004417BE" w:rsidRPr="00570204">
        <w:t xml:space="preserve">(gdje posljedično </w:t>
      </w:r>
      <w:r w:rsidR="004417BE" w:rsidRPr="00570204">
        <w:lastRenderedPageBreak/>
        <w:t>dolazi do konstrikcije aferentne arteriole).</w:t>
      </w:r>
    </w:p>
    <w:p w:rsidR="00862CB7" w:rsidRDefault="00862CB7" w:rsidP="00CD495C">
      <w:pPr>
        <w:spacing w:line="360" w:lineRule="auto"/>
        <w:jc w:val="both"/>
      </w:pPr>
    </w:p>
    <w:p w:rsidR="00862CB7" w:rsidRDefault="00862CB7" w:rsidP="00CD495C">
      <w:pPr>
        <w:spacing w:line="360" w:lineRule="auto"/>
        <w:jc w:val="both"/>
      </w:pPr>
    </w:p>
    <w:p w:rsidR="00862CB7" w:rsidRDefault="008951E8" w:rsidP="00CD495C">
      <w:pPr>
        <w:spacing w:line="360" w:lineRule="auto"/>
        <w:jc w:val="both"/>
      </w:pPr>
      <w:r>
        <w:rPr>
          <w:noProof/>
          <w:lang w:val="hr-HR" w:eastAsia="hr-HR"/>
        </w:rPr>
        <w:drawing>
          <wp:inline distT="0" distB="0" distL="0" distR="0">
            <wp:extent cx="5753100" cy="2314575"/>
            <wp:effectExtent l="19050" t="0" r="0" b="0"/>
            <wp:docPr id="1" name="Picture 1" descr="short_qt_hypercalca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_qt_hypercalcaem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E0" w:rsidRDefault="005E62E6" w:rsidP="005E62E6">
      <w:pPr>
        <w:pStyle w:val="Caption"/>
        <w:jc w:val="center"/>
      </w:pPr>
      <w:r>
        <w:t xml:space="preserve">Slika </w:t>
      </w:r>
      <w:fldSimple w:instr=" SEQ Slika \* ARABIC ">
        <w:r w:rsidR="00755C41">
          <w:rPr>
            <w:noProof/>
          </w:rPr>
          <w:t>1</w:t>
        </w:r>
      </w:fldSimple>
      <w:r>
        <w:t>. Skraćivanje QT intervala uzrokovano hiperkalcijemijom</w:t>
      </w:r>
    </w:p>
    <w:p w:rsidR="004A35E0" w:rsidRPr="004A35E0" w:rsidRDefault="004A35E0" w:rsidP="00CD495C">
      <w:pPr>
        <w:jc w:val="both"/>
      </w:pPr>
    </w:p>
    <w:p w:rsidR="004A35E0" w:rsidRDefault="004A35E0" w:rsidP="00CD495C">
      <w:pPr>
        <w:pStyle w:val="Heading1"/>
        <w:jc w:val="both"/>
      </w:pPr>
    </w:p>
    <w:p w:rsidR="004A35E0" w:rsidRDefault="004A35E0" w:rsidP="00CD495C">
      <w:pPr>
        <w:pStyle w:val="Heading1"/>
        <w:jc w:val="both"/>
      </w:pPr>
    </w:p>
    <w:p w:rsidR="004A35E0" w:rsidRDefault="004A35E0" w:rsidP="00CD495C">
      <w:pPr>
        <w:pStyle w:val="Heading1"/>
        <w:jc w:val="both"/>
      </w:pPr>
    </w:p>
    <w:p w:rsidR="004A35E0" w:rsidRDefault="004A35E0" w:rsidP="00CD495C">
      <w:pPr>
        <w:pStyle w:val="Heading1"/>
        <w:jc w:val="both"/>
      </w:pPr>
    </w:p>
    <w:p w:rsidR="004A35E0" w:rsidRDefault="004A35E0" w:rsidP="00CD495C">
      <w:pPr>
        <w:pStyle w:val="Heading1"/>
        <w:jc w:val="both"/>
      </w:pPr>
    </w:p>
    <w:p w:rsidR="004A35E0" w:rsidRDefault="004A35E0" w:rsidP="00CD495C">
      <w:pPr>
        <w:pStyle w:val="Heading1"/>
        <w:jc w:val="both"/>
      </w:pPr>
    </w:p>
    <w:p w:rsidR="00862CB7" w:rsidRDefault="00862CB7" w:rsidP="00CD495C">
      <w:pPr>
        <w:jc w:val="both"/>
      </w:pPr>
    </w:p>
    <w:p w:rsidR="00862CB7" w:rsidRDefault="00862CB7" w:rsidP="00CD495C">
      <w:pPr>
        <w:jc w:val="both"/>
      </w:pPr>
    </w:p>
    <w:p w:rsidR="00862CB7" w:rsidRDefault="00862CB7" w:rsidP="00CD495C">
      <w:pPr>
        <w:jc w:val="both"/>
      </w:pPr>
    </w:p>
    <w:p w:rsidR="00862CB7" w:rsidRDefault="00862CB7" w:rsidP="00CD495C">
      <w:pPr>
        <w:jc w:val="both"/>
      </w:pPr>
    </w:p>
    <w:p w:rsidR="00862CB7" w:rsidRDefault="00862CB7" w:rsidP="00CD495C">
      <w:pPr>
        <w:jc w:val="both"/>
      </w:pPr>
    </w:p>
    <w:p w:rsidR="00862CB7" w:rsidRDefault="00862CB7" w:rsidP="00CD495C">
      <w:pPr>
        <w:jc w:val="both"/>
      </w:pPr>
    </w:p>
    <w:p w:rsidR="005E62E6" w:rsidRDefault="005E62E6" w:rsidP="00CD495C">
      <w:pPr>
        <w:pStyle w:val="Heading1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</w:p>
    <w:p w:rsidR="005E62E6" w:rsidRDefault="005E62E6" w:rsidP="005E62E6"/>
    <w:p w:rsidR="005E62E6" w:rsidRDefault="005E62E6" w:rsidP="005E62E6"/>
    <w:p w:rsidR="005E62E6" w:rsidRDefault="005E62E6" w:rsidP="005E62E6"/>
    <w:p w:rsidR="005E62E6" w:rsidRDefault="005E62E6" w:rsidP="005E62E6"/>
    <w:p w:rsidR="005E62E6" w:rsidRDefault="005E62E6" w:rsidP="005E62E6"/>
    <w:p w:rsidR="00E27A31" w:rsidRPr="005E62E6" w:rsidRDefault="00E27A31" w:rsidP="005E62E6"/>
    <w:p w:rsidR="004A35E0" w:rsidRDefault="004A35E0" w:rsidP="00CD495C">
      <w:pPr>
        <w:pStyle w:val="Heading1"/>
        <w:jc w:val="both"/>
      </w:pPr>
      <w:bookmarkStart w:id="5" w:name="_Toc392459992"/>
      <w:r>
        <w:lastRenderedPageBreak/>
        <w:t>1.3</w:t>
      </w:r>
      <w:r w:rsidR="00F61C89">
        <w:t>.</w:t>
      </w:r>
      <w:r>
        <w:t xml:space="preserve"> GLIKOSFINGOLIPIDI</w:t>
      </w:r>
      <w:bookmarkEnd w:id="5"/>
    </w:p>
    <w:p w:rsidR="004A35E0" w:rsidRDefault="004A35E0" w:rsidP="00CD495C">
      <w:pPr>
        <w:spacing w:line="360" w:lineRule="auto"/>
        <w:jc w:val="both"/>
      </w:pPr>
    </w:p>
    <w:p w:rsidR="004A35E0" w:rsidRPr="00570204" w:rsidRDefault="00BA35B9" w:rsidP="00CD495C">
      <w:pPr>
        <w:spacing w:line="360" w:lineRule="auto"/>
        <w:jc w:val="both"/>
      </w:pPr>
      <w:r>
        <w:t xml:space="preserve"> </w:t>
      </w:r>
      <w:r>
        <w:tab/>
      </w:r>
      <w:r w:rsidR="004A35E0" w:rsidRPr="00570204">
        <w:t>Glikosfingolipidi (GSL) pripadaju glikolipidima.</w:t>
      </w:r>
      <w:r w:rsidR="004A35E0">
        <w:t xml:space="preserve"> </w:t>
      </w:r>
      <w:r w:rsidR="00B26139">
        <w:t>(S</w:t>
      </w:r>
      <w:r w:rsidR="005E7664">
        <w:t>lika 1</w:t>
      </w:r>
      <w:r w:rsidR="004A35E0" w:rsidRPr="00F61C89">
        <w:t xml:space="preserve">.) GSL su sastavni dijelovi stanične membrane svih stanica u sisavaca. </w:t>
      </w:r>
      <w:r w:rsidR="00B26139">
        <w:rPr>
          <w:lang w:val="it-IT"/>
        </w:rPr>
        <w:t>Prvi put ih</w:t>
      </w:r>
      <w:r w:rsidR="004A35E0" w:rsidRPr="004A35E0">
        <w:rPr>
          <w:lang w:val="it-IT"/>
        </w:rPr>
        <w:t xml:space="preserve"> je opisao Ludwig Johann Wilhelm Thudichum krajem 19-og stoljeća. Prava funkc</w:t>
      </w:r>
      <w:r w:rsidR="00B26139">
        <w:rPr>
          <w:lang w:val="it-IT"/>
        </w:rPr>
        <w:t xml:space="preserve">ija GSL-a je zagonetna i do </w:t>
      </w:r>
      <w:r w:rsidR="004A35E0" w:rsidRPr="004A35E0">
        <w:rPr>
          <w:lang w:val="it-IT"/>
        </w:rPr>
        <w:t xml:space="preserve">danas, iako je u međuvremenu otkriveno više od 400 molekula GSL-a. </w:t>
      </w:r>
      <w:r w:rsidR="00EB2D05">
        <w:t>(9</w:t>
      </w:r>
      <w:r w:rsidR="004A35E0" w:rsidRPr="00570204">
        <w:t xml:space="preserve">) </w:t>
      </w:r>
      <w:r w:rsidR="006327DA">
        <w:rPr>
          <w:rFonts w:eastAsia="Times New Roman"/>
          <w:kern w:val="0"/>
          <w:szCs w:val="24"/>
          <w:lang w:val="en-US" w:eastAsia="hr-BA"/>
        </w:rPr>
        <w:t>Nomenklatura GSL temelji se na preporukama IUPAC-IUB i Svennerholmovoj nomenklaturi (10).</w:t>
      </w:r>
    </w:p>
    <w:p w:rsidR="004A35E0" w:rsidRPr="00570204" w:rsidRDefault="004A35E0" w:rsidP="00CD495C">
      <w:pPr>
        <w:spacing w:line="360" w:lineRule="auto"/>
        <w:jc w:val="both"/>
      </w:pPr>
    </w:p>
    <w:p w:rsidR="00610A2F" w:rsidRDefault="008951E8" w:rsidP="00E34511">
      <w:pPr>
        <w:keepNext/>
        <w:spacing w:line="360" w:lineRule="auto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3352800" cy="136207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E0" w:rsidRPr="00570204" w:rsidRDefault="00610A2F" w:rsidP="00E34511">
      <w:pPr>
        <w:pStyle w:val="Caption"/>
        <w:jc w:val="center"/>
      </w:pPr>
      <w:r>
        <w:t xml:space="preserve">Slika </w:t>
      </w:r>
      <w:fldSimple w:instr=" SEQ Slika \* ARABIC ">
        <w:r w:rsidR="00755C41">
          <w:rPr>
            <w:noProof/>
          </w:rPr>
          <w:t>2</w:t>
        </w:r>
      </w:fldSimple>
      <w:r>
        <w:t>. Glikosfingolipid (A)</w:t>
      </w:r>
    </w:p>
    <w:p w:rsidR="00610A2F" w:rsidRDefault="00610A2F" w:rsidP="00CD495C">
      <w:pPr>
        <w:spacing w:line="360" w:lineRule="auto"/>
        <w:jc w:val="both"/>
      </w:pPr>
    </w:p>
    <w:p w:rsidR="004A35E0" w:rsidRDefault="00BA35B9" w:rsidP="00CD495C">
      <w:pPr>
        <w:spacing w:line="360" w:lineRule="auto"/>
        <w:jc w:val="both"/>
      </w:pPr>
      <w:r>
        <w:t xml:space="preserve"> </w:t>
      </w:r>
      <w:r>
        <w:tab/>
      </w:r>
      <w:r w:rsidR="00B26139">
        <w:t xml:space="preserve">GSL dijelimo </w:t>
      </w:r>
      <w:r w:rsidR="004A35E0" w:rsidRPr="00570204">
        <w:t>u 3 glavna razreda:</w:t>
      </w:r>
      <w:r w:rsidR="00B26139">
        <w:t xml:space="preserve"> neutralne GSL, kisele GSL i </w:t>
      </w:r>
      <w:r w:rsidR="004A35E0" w:rsidRPr="00570204">
        <w:t>gangliozide. GSL molekule možemo podijeliti i prema njihovoj sintezi: ganglio-, globo-, lakto-, i/ili neolakto- skupine. Građeni su od oligosaharidnog lanca koji je vezan za lipidnu strukturu koju nazivamo ceramid, za razliku od fosfolipida koji nastaju iz diacilglicerola</w:t>
      </w:r>
      <w:r w:rsidR="00B26139">
        <w:t>. Ceramid</w:t>
      </w:r>
      <w:r w:rsidR="004A35E0" w:rsidRPr="00570204">
        <w:t xml:space="preserve"> </w:t>
      </w:r>
      <w:r w:rsidR="00B26139">
        <w:t xml:space="preserve">umjesto glicerola sadrži amino alkohol sfingozin. </w:t>
      </w:r>
      <w:r w:rsidR="004A35E0">
        <w:t>(4</w:t>
      </w:r>
      <w:r w:rsidR="00B26139">
        <w:t>) Različite supstitucijske skupine</w:t>
      </w:r>
      <w:r w:rsidR="004A35E0" w:rsidRPr="00570204">
        <w:t>, koje su dodane osnovnim strukturama, upravo daju tako</w:t>
      </w:r>
      <w:r w:rsidR="00B26139">
        <w:t xml:space="preserve"> veliku raznolikost </w:t>
      </w:r>
      <w:r w:rsidR="004A35E0" w:rsidRPr="00570204">
        <w:t>među GSL molekula</w:t>
      </w:r>
      <w:r w:rsidR="00B26139">
        <w:t>ma. GSL-i su dijelovi</w:t>
      </w:r>
      <w:r w:rsidR="004A35E0" w:rsidRPr="00570204">
        <w:t xml:space="preserve"> „splavi“  ili kao „glikosignalizirajuće domene“ na vanjskoj strani plazma membrane.</w:t>
      </w:r>
      <w:r w:rsidR="004A35E0">
        <w:t xml:space="preserve"> (4</w:t>
      </w:r>
      <w:r w:rsidR="004A35E0" w:rsidRPr="00570204">
        <w:t>) U velikim količinama ih možemo n</w:t>
      </w:r>
      <w:r w:rsidR="00B26139">
        <w:t xml:space="preserve">aći u neuralnim tkivima, ali </w:t>
      </w:r>
      <w:r w:rsidR="004A35E0" w:rsidRPr="00570204">
        <w:t>takođe</w:t>
      </w:r>
      <w:r w:rsidR="00B26139">
        <w:t>r ih možemo naći i dijelove</w:t>
      </w:r>
      <w:r w:rsidR="004A35E0" w:rsidRPr="00570204">
        <w:t xml:space="preserve"> plazma membrana svih tkiva i stanica kralježnjaka, gdje su organizirani u posebne obrasce. </w:t>
      </w:r>
    </w:p>
    <w:p w:rsidR="004A35E0" w:rsidRPr="00570204" w:rsidRDefault="004A35E0" w:rsidP="00CD495C">
      <w:pPr>
        <w:spacing w:line="360" w:lineRule="auto"/>
        <w:jc w:val="both"/>
      </w:pPr>
    </w:p>
    <w:p w:rsidR="004A35E0" w:rsidRDefault="004A35E0" w:rsidP="00CD495C">
      <w:pPr>
        <w:pStyle w:val="Heading2"/>
        <w:jc w:val="both"/>
      </w:pPr>
      <w:bookmarkStart w:id="6" w:name="_Toc392459993"/>
      <w:r w:rsidRPr="00570204">
        <w:t>1.3.1. Funkcija glikosfingolipida</w:t>
      </w:r>
      <w:bookmarkEnd w:id="6"/>
    </w:p>
    <w:p w:rsidR="004A35E0" w:rsidRPr="00570204" w:rsidRDefault="004A35E0" w:rsidP="00CD495C">
      <w:pPr>
        <w:spacing w:line="360" w:lineRule="auto"/>
        <w:jc w:val="both"/>
      </w:pPr>
    </w:p>
    <w:p w:rsidR="004A35E0" w:rsidRDefault="00BA35B9" w:rsidP="00CD495C">
      <w:pPr>
        <w:spacing w:line="360" w:lineRule="auto"/>
        <w:jc w:val="both"/>
      </w:pPr>
      <w:r>
        <w:t xml:space="preserve"> </w:t>
      </w:r>
      <w:r>
        <w:tab/>
      </w:r>
      <w:r w:rsidR="004A35E0" w:rsidRPr="00570204">
        <w:t xml:space="preserve">Kod GSL molekula razlikujemo: hidrofobni (ceramidni dio) i hidrofilni (oligosaharidni lanac). Pri tom su znanstvenici pretpostavilli da je ceramidni dio uklopljen u membranu, a da se oligosaharidni dio pruža </w:t>
      </w:r>
      <w:r w:rsidR="00B26139">
        <w:t xml:space="preserve">u izvanstanični prostor, što </w:t>
      </w:r>
      <w:r w:rsidR="004A35E0" w:rsidRPr="00570204">
        <w:t xml:space="preserve">se </w:t>
      </w:r>
      <w:r w:rsidR="00B26139">
        <w:t>kasnije potvrdilo.</w:t>
      </w:r>
    </w:p>
    <w:p w:rsidR="004A35E0" w:rsidRDefault="004A35E0" w:rsidP="00CD495C">
      <w:pPr>
        <w:spacing w:line="360" w:lineRule="auto"/>
        <w:jc w:val="both"/>
      </w:pPr>
    </w:p>
    <w:p w:rsidR="004A35E0" w:rsidRPr="004A35E0" w:rsidRDefault="00BA35B9" w:rsidP="00CD495C">
      <w:pPr>
        <w:spacing w:line="360" w:lineRule="auto"/>
        <w:jc w:val="both"/>
        <w:rPr>
          <w:lang w:val="pl-PL"/>
        </w:rPr>
      </w:pPr>
      <w:r>
        <w:t xml:space="preserve"> </w:t>
      </w:r>
      <w:r>
        <w:tab/>
      </w:r>
      <w:r w:rsidR="004A35E0" w:rsidRPr="00570204">
        <w:t xml:space="preserve">Druga pretpostavka, koja se također </w:t>
      </w:r>
      <w:r w:rsidR="00B26139">
        <w:t xml:space="preserve">pokazala točnom, je bila </w:t>
      </w:r>
      <w:r w:rsidR="004A35E0" w:rsidRPr="00570204">
        <w:t xml:space="preserve">da su GSL molekule </w:t>
      </w:r>
      <w:r w:rsidR="004A35E0" w:rsidRPr="00570204">
        <w:lastRenderedPageBreak/>
        <w:t>potencijalne receptorske molekule i da su to molekule koje stupaju u interakciju s drugim bioaktivnim tvarima upravo zbog svoje izloženosti na s</w:t>
      </w:r>
      <w:r w:rsidR="00B26139">
        <w:t xml:space="preserve">taničnoj membrani. Kasnije je </w:t>
      </w:r>
      <w:r w:rsidR="004A35E0" w:rsidRPr="00570204">
        <w:t>ova prva uočena receptorska funkcija detaljnije prouč</w:t>
      </w:r>
      <w:r w:rsidR="00B26139">
        <w:t>ena. Najpoznatiji primjer je GM1</w:t>
      </w:r>
      <w:r w:rsidR="004A35E0" w:rsidRPr="00570204">
        <w:t xml:space="preserve"> gangliozid koji je </w:t>
      </w:r>
      <w:r w:rsidR="00113BEC" w:rsidRPr="00570204">
        <w:t>membranski</w:t>
      </w:r>
      <w:r w:rsidR="004A35E0" w:rsidRPr="00570204">
        <w:t xml:space="preserve"> receptor enterotoksina </w:t>
      </w:r>
      <w:r w:rsidR="004A35E0" w:rsidRPr="00452D96">
        <w:rPr>
          <w:i/>
        </w:rPr>
        <w:t xml:space="preserve">V. </w:t>
      </w:r>
      <w:r w:rsidR="00452D96" w:rsidRPr="00452D96">
        <w:rPr>
          <w:i/>
        </w:rPr>
        <w:t>C</w:t>
      </w:r>
      <w:r w:rsidR="004A35E0" w:rsidRPr="00452D96">
        <w:rPr>
          <w:i/>
        </w:rPr>
        <w:t>holerae</w:t>
      </w:r>
      <w:r w:rsidR="00452D96">
        <w:rPr>
          <w:i/>
        </w:rPr>
        <w:t>.</w:t>
      </w:r>
      <w:r w:rsidR="004A35E0" w:rsidRPr="00570204">
        <w:t xml:space="preserve"> (</w:t>
      </w:r>
      <w:r w:rsidR="004A35E0">
        <w:t>4</w:t>
      </w:r>
      <w:r w:rsidR="00452D96">
        <w:t>)</w:t>
      </w:r>
      <w:r w:rsidR="004A35E0" w:rsidRPr="00570204">
        <w:t xml:space="preserve"> Što se tiče njihove ligandne funkcije, odgovorni su za adhezijske procese koji su specifični za neke tipove stanica. Odavno je poznato da imaju i važnu ulogu u nizu bioloških procesa stanice (stanični rast, diferencijaciju, morfogenezu i onkogenezu). GSL molekule također m</w:t>
      </w:r>
      <w:r w:rsidR="00452D96">
        <w:t>oduliraju propusnost i fluidnost</w:t>
      </w:r>
      <w:r w:rsidR="004A35E0" w:rsidRPr="00570204">
        <w:t xml:space="preserve"> membrane te utječu na prijenos signala. </w:t>
      </w:r>
      <w:r w:rsidR="004A35E0" w:rsidRPr="004A35E0">
        <w:rPr>
          <w:lang w:val="pl-PL"/>
        </w:rPr>
        <w:t>Poznato je da imaju biomodulatorni učinak na fosforilaciju proteina koji je najbolje proučen na skeletnom mišiću. (4)</w:t>
      </w:r>
    </w:p>
    <w:p w:rsidR="004A35E0" w:rsidRPr="004A35E0" w:rsidRDefault="004A35E0" w:rsidP="00CD495C">
      <w:pPr>
        <w:spacing w:line="360" w:lineRule="auto"/>
        <w:jc w:val="both"/>
        <w:rPr>
          <w:lang w:val="pl-PL"/>
        </w:rPr>
      </w:pPr>
    </w:p>
    <w:p w:rsidR="004A35E0" w:rsidRPr="004A35E0" w:rsidRDefault="00BA35B9" w:rsidP="00CD495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 w:rsidR="00452D96">
        <w:rPr>
          <w:lang w:val="pl-PL"/>
        </w:rPr>
        <w:t xml:space="preserve">Iz </w:t>
      </w:r>
      <w:r w:rsidR="004A35E0" w:rsidRPr="004A35E0">
        <w:rPr>
          <w:lang w:val="pl-PL"/>
        </w:rPr>
        <w:t>svega</w:t>
      </w:r>
      <w:r w:rsidR="00452D96">
        <w:rPr>
          <w:lang w:val="pl-PL"/>
        </w:rPr>
        <w:t xml:space="preserve"> navedenog</w:t>
      </w:r>
      <w:r w:rsidR="004A35E0" w:rsidRPr="004A35E0">
        <w:rPr>
          <w:lang w:val="pl-PL"/>
        </w:rPr>
        <w:t xml:space="preserve"> možemo zaključiti da je najvažnija uloga GSL molekula modulacija proteina.</w:t>
      </w:r>
    </w:p>
    <w:p w:rsidR="004A35E0" w:rsidRPr="004A35E0" w:rsidRDefault="004A35E0" w:rsidP="00CD495C">
      <w:pPr>
        <w:pStyle w:val="Heading1"/>
        <w:jc w:val="both"/>
        <w:rPr>
          <w:lang w:val="pl-PL"/>
        </w:rPr>
      </w:pPr>
    </w:p>
    <w:p w:rsidR="004A35E0" w:rsidRPr="004A35E0" w:rsidRDefault="004A35E0" w:rsidP="00CD495C">
      <w:pPr>
        <w:pStyle w:val="Heading1"/>
        <w:jc w:val="both"/>
        <w:rPr>
          <w:lang w:val="pl-PL"/>
        </w:rPr>
      </w:pPr>
    </w:p>
    <w:p w:rsidR="004A35E0" w:rsidRPr="004A35E0" w:rsidRDefault="004A35E0" w:rsidP="00CD495C">
      <w:pPr>
        <w:pStyle w:val="Heading1"/>
        <w:jc w:val="both"/>
        <w:rPr>
          <w:lang w:val="pl-PL"/>
        </w:rPr>
      </w:pPr>
    </w:p>
    <w:p w:rsidR="004A35E0" w:rsidRPr="004A35E0" w:rsidRDefault="004A35E0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61C89" w:rsidRPr="00F61C89" w:rsidRDefault="00F61C89" w:rsidP="00CD495C">
      <w:pPr>
        <w:pStyle w:val="Heading1"/>
        <w:jc w:val="both"/>
        <w:rPr>
          <w:lang w:val="pl-PL"/>
        </w:rPr>
      </w:pPr>
    </w:p>
    <w:p w:rsidR="00FE2D87" w:rsidRDefault="00FE2D87" w:rsidP="00CD495C">
      <w:pPr>
        <w:jc w:val="both"/>
      </w:pPr>
    </w:p>
    <w:p w:rsidR="00452D96" w:rsidRDefault="00452D96" w:rsidP="00CD495C">
      <w:pPr>
        <w:pStyle w:val="Heading1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</w:p>
    <w:p w:rsidR="00CD495C" w:rsidRDefault="00CD495C" w:rsidP="00CD495C">
      <w:pPr>
        <w:jc w:val="both"/>
      </w:pPr>
    </w:p>
    <w:p w:rsidR="005E62E6" w:rsidRDefault="005E62E6" w:rsidP="00CD495C">
      <w:pPr>
        <w:jc w:val="both"/>
      </w:pPr>
    </w:p>
    <w:p w:rsidR="00E04185" w:rsidRDefault="00E04185" w:rsidP="00CD495C">
      <w:pPr>
        <w:jc w:val="both"/>
      </w:pPr>
    </w:p>
    <w:p w:rsidR="00E04185" w:rsidRPr="00CD495C" w:rsidRDefault="00E04185" w:rsidP="00CD495C">
      <w:pPr>
        <w:jc w:val="both"/>
      </w:pPr>
    </w:p>
    <w:p w:rsidR="00F61C89" w:rsidRDefault="00CD495C" w:rsidP="00CD495C">
      <w:pPr>
        <w:pStyle w:val="Heading1"/>
        <w:jc w:val="both"/>
      </w:pPr>
      <w:bookmarkStart w:id="7" w:name="_Toc392459994"/>
      <w:r>
        <w:lastRenderedPageBreak/>
        <w:t>1.4. CD-sustav</w:t>
      </w:r>
      <w:bookmarkEnd w:id="7"/>
    </w:p>
    <w:p w:rsidR="00F61C89" w:rsidRDefault="00F61C89" w:rsidP="00CD495C">
      <w:pPr>
        <w:jc w:val="both"/>
      </w:pPr>
    </w:p>
    <w:p w:rsidR="00FE2D87" w:rsidRPr="00FE2D87" w:rsidRDefault="00FE2D87" w:rsidP="00CD495C">
      <w:pPr>
        <w:jc w:val="both"/>
      </w:pPr>
    </w:p>
    <w:p w:rsidR="00D25869" w:rsidRDefault="00BA35B9" w:rsidP="00CD495C">
      <w:pPr>
        <w:spacing w:line="360" w:lineRule="auto"/>
        <w:jc w:val="both"/>
      </w:pPr>
      <w:r>
        <w:t xml:space="preserve"> </w:t>
      </w:r>
      <w:r>
        <w:tab/>
      </w:r>
      <w:r w:rsidR="00FE2D87" w:rsidRPr="00FE2D87">
        <w:t>Na membrani svake krvne stanice nalaze se razli</w:t>
      </w:r>
      <w:r w:rsidR="00FE2D87">
        <w:t>čite molekule koje mogu biti rece</w:t>
      </w:r>
      <w:r w:rsidR="00FE2D87" w:rsidRPr="00FE2D87">
        <w:t>ptori ili antigeni.</w:t>
      </w:r>
      <w:r w:rsidR="00FE2D87">
        <w:t xml:space="preserve"> </w:t>
      </w:r>
      <w:r w:rsidR="00781A99">
        <w:t xml:space="preserve">(5) </w:t>
      </w:r>
      <w:r w:rsidR="00D25869">
        <w:t>Primjenjuju se dva načina</w:t>
      </w:r>
      <w:r w:rsidR="00FE2D87" w:rsidRPr="00D25869">
        <w:t xml:space="preserve"> </w:t>
      </w:r>
      <w:r w:rsidR="00D25869">
        <w:t xml:space="preserve">prepoznavanja molekula na površini tih stanica: </w:t>
      </w:r>
    </w:p>
    <w:p w:rsidR="00D25869" w:rsidRDefault="00D25869" w:rsidP="00CD495C">
      <w:pPr>
        <w:spacing w:line="360" w:lineRule="auto"/>
        <w:jc w:val="both"/>
      </w:pPr>
      <w:r w:rsidRPr="00D25869">
        <w:t>1. ako se radi o receptorima za neku određenu tvar</w:t>
      </w:r>
      <w:r w:rsidR="00452D96">
        <w:t>, oni se prepoznaju vezanjem te tvari</w:t>
      </w:r>
    </w:p>
    <w:p w:rsidR="000A6222" w:rsidRDefault="00452D96" w:rsidP="00CD495C">
      <w:pPr>
        <w:spacing w:line="360" w:lineRule="auto"/>
        <w:jc w:val="both"/>
      </w:pPr>
      <w:r>
        <w:t xml:space="preserve">2. </w:t>
      </w:r>
      <w:r w:rsidR="00D25869">
        <w:t>ako se radi o antigenima</w:t>
      </w:r>
      <w:r>
        <w:t xml:space="preserve">, onda se prepoznavanje vrši </w:t>
      </w:r>
      <w:r w:rsidR="00D25869">
        <w:t>pomoću monoklonskih protutijela koj</w:t>
      </w:r>
      <w:r>
        <w:t>a se vežu na stanični antigen</w:t>
      </w:r>
    </w:p>
    <w:p w:rsidR="007657D8" w:rsidRDefault="007657D8" w:rsidP="00CD495C">
      <w:pPr>
        <w:spacing w:line="360" w:lineRule="auto"/>
        <w:jc w:val="both"/>
      </w:pPr>
    </w:p>
    <w:p w:rsidR="005A415F" w:rsidRDefault="00BA35B9" w:rsidP="00CD495C">
      <w:pPr>
        <w:spacing w:line="360" w:lineRule="auto"/>
        <w:jc w:val="both"/>
        <w:rPr>
          <w:lang w:val="pl-PL"/>
        </w:rPr>
      </w:pPr>
      <w:r>
        <w:t xml:space="preserve"> </w:t>
      </w:r>
      <w:r>
        <w:tab/>
      </w:r>
      <w:r w:rsidR="005D4A01">
        <w:t>Svi</w:t>
      </w:r>
      <w:r w:rsidR="005A415F">
        <w:t xml:space="preserve"> </w:t>
      </w:r>
      <w:r w:rsidR="005D4A01">
        <w:t>ti brojni antigeni koji su proizvedeni na površini</w:t>
      </w:r>
      <w:r w:rsidR="00F53332">
        <w:t xml:space="preserve"> </w:t>
      </w:r>
      <w:r w:rsidR="005D4A01">
        <w:t xml:space="preserve">stanica </w:t>
      </w:r>
      <w:r w:rsidR="00D25869">
        <w:t>sjedinjena su u jedan jedinstven sustav tzv. CD-sustav (</w:t>
      </w:r>
      <w:r w:rsidR="00113BEC">
        <w:t>eng</w:t>
      </w:r>
      <w:r w:rsidR="00D25869">
        <w:t xml:space="preserve">. </w:t>
      </w:r>
      <w:r w:rsidR="005A415F">
        <w:rPr>
          <w:bCs/>
          <w:i/>
        </w:rPr>
        <w:t>cluster of d</w:t>
      </w:r>
      <w:r w:rsidR="005A415F" w:rsidRPr="005A415F">
        <w:rPr>
          <w:bCs/>
          <w:i/>
        </w:rPr>
        <w:t>ifferentiatio</w:t>
      </w:r>
      <w:r w:rsidR="00781A99">
        <w:rPr>
          <w:bCs/>
          <w:i/>
        </w:rPr>
        <w:t>n</w:t>
      </w:r>
      <w:r w:rsidR="005A415F">
        <w:rPr>
          <w:bCs/>
        </w:rPr>
        <w:t xml:space="preserve">). </w:t>
      </w:r>
      <w:r w:rsidR="00F53332" w:rsidRPr="00F53332">
        <w:rPr>
          <w:bCs/>
        </w:rPr>
        <w:t xml:space="preserve">Prema 7. Međunarodnoj konferenciji o ljudskim diferencijacijskim antigenima (HLDA), (2002) razlikujemo 266 CD skupina. </w:t>
      </w:r>
      <w:r w:rsidR="00F53332">
        <w:rPr>
          <w:bCs/>
        </w:rPr>
        <w:t xml:space="preserve">(6) </w:t>
      </w:r>
      <w:r w:rsidR="005A415F">
        <w:rPr>
          <w:bCs/>
        </w:rPr>
        <w:t xml:space="preserve">Stanice možemo svrstati po </w:t>
      </w:r>
      <w:r w:rsidR="00113BEC">
        <w:rPr>
          <w:bCs/>
        </w:rPr>
        <w:t>podrijetlu</w:t>
      </w:r>
      <w:r w:rsidR="005A415F">
        <w:rPr>
          <w:bCs/>
        </w:rPr>
        <w:t xml:space="preserve">, stupnju razvoja i </w:t>
      </w:r>
      <w:r w:rsidR="00113BEC">
        <w:rPr>
          <w:bCs/>
        </w:rPr>
        <w:t>funkciji</w:t>
      </w:r>
      <w:r w:rsidR="005A415F">
        <w:rPr>
          <w:bCs/>
        </w:rPr>
        <w:t xml:space="preserve"> nakon što smo ih dokazali da posjeduju neke antigenske </w:t>
      </w:r>
      <w:r w:rsidR="00F53332">
        <w:rPr>
          <w:bCs/>
        </w:rPr>
        <w:t>molek</w:t>
      </w:r>
      <w:r w:rsidR="005A415F">
        <w:rPr>
          <w:bCs/>
        </w:rPr>
        <w:t xml:space="preserve">ule. </w:t>
      </w:r>
      <w:r w:rsidR="00452D96">
        <w:rPr>
          <w:lang w:val="pl-PL"/>
        </w:rPr>
        <w:t xml:space="preserve">Tako je poznato da </w:t>
      </w:r>
      <w:r w:rsidR="005A415F">
        <w:rPr>
          <w:lang w:val="pl-PL"/>
        </w:rPr>
        <w:t>npr. h</w:t>
      </w:r>
      <w:r w:rsidR="00FE2D87" w:rsidRPr="00FE2D87">
        <w:rPr>
          <w:lang w:val="pl-PL"/>
        </w:rPr>
        <w:t xml:space="preserve">ematopoezne matične stanice </w:t>
      </w:r>
      <w:r w:rsidR="00452D96">
        <w:rPr>
          <w:lang w:val="pl-PL"/>
        </w:rPr>
        <w:t xml:space="preserve">na membranama sadrže </w:t>
      </w:r>
      <w:r w:rsidR="00FE2D87" w:rsidRPr="00FE2D87">
        <w:rPr>
          <w:lang w:val="pl-PL"/>
        </w:rPr>
        <w:t xml:space="preserve">CD34 antigene. 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</w:p>
    <w:p w:rsidR="00CD495C" w:rsidRPr="00F53332" w:rsidRDefault="00CD495C" w:rsidP="00CD495C">
      <w:pPr>
        <w:pStyle w:val="Heading2"/>
        <w:jc w:val="both"/>
      </w:pPr>
      <w:bookmarkStart w:id="8" w:name="_Toc392459995"/>
      <w:r>
        <w:t>1.4.1. CD34</w:t>
      </w:r>
      <w:bookmarkEnd w:id="8"/>
    </w:p>
    <w:p w:rsidR="0043124C" w:rsidRDefault="0043124C" w:rsidP="00CD495C">
      <w:pPr>
        <w:spacing w:line="360" w:lineRule="auto"/>
        <w:jc w:val="both"/>
      </w:pPr>
    </w:p>
    <w:p w:rsidR="009E5612" w:rsidRPr="005A415F" w:rsidRDefault="00BA35B9" w:rsidP="00CD495C">
      <w:pPr>
        <w:spacing w:line="360" w:lineRule="auto"/>
        <w:jc w:val="both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452D96">
        <w:rPr>
          <w:lang w:val="en-US"/>
        </w:rPr>
        <w:t>CD34 obitelj</w:t>
      </w:r>
      <w:r w:rsidR="00176C63" w:rsidRPr="0043124C">
        <w:rPr>
          <w:lang w:val="en-US"/>
        </w:rPr>
        <w:t xml:space="preserve"> obuhvaća CD34 stanični antigen hematopoetskih prekursorskih stanica, podokaliksin (</w:t>
      </w:r>
      <w:r w:rsidR="005A415F" w:rsidRPr="0043124C">
        <w:rPr>
          <w:lang w:val="en-US"/>
        </w:rPr>
        <w:t>PODXL) i endoglikan (PODXL2)</w:t>
      </w:r>
      <w:r w:rsidR="00452D96">
        <w:rPr>
          <w:lang w:val="en-US"/>
        </w:rPr>
        <w:t>.</w:t>
      </w:r>
      <w:r w:rsidR="005A415F" w:rsidRPr="0043124C">
        <w:rPr>
          <w:lang w:val="en-US"/>
        </w:rPr>
        <w:t xml:space="preserve"> (4</w:t>
      </w:r>
      <w:r w:rsidR="00452D96">
        <w:rPr>
          <w:lang w:val="en-US"/>
        </w:rPr>
        <w:t xml:space="preserve">) </w:t>
      </w:r>
      <w:r w:rsidR="00D264F4" w:rsidRPr="00570204">
        <w:t>Poznat</w:t>
      </w:r>
      <w:r w:rsidR="00452D96">
        <w:t xml:space="preserve">o </w:t>
      </w:r>
      <w:r w:rsidR="00D264F4" w:rsidRPr="00570204">
        <w:t xml:space="preserve">je da CD34 molekula potiče proliferaciju i/ili blokira diferencijaciju prastanica. Migraciju hematopoetskih stanica potiče još, uz CD34, i podokaliksin, koji je važan za morfogenezu stanice. Što se tiče adhezije članovi CD34 </w:t>
      </w:r>
      <w:r w:rsidR="00452D96">
        <w:t>obitelji</w:t>
      </w:r>
      <w:r w:rsidR="00D264F4" w:rsidRPr="00570204">
        <w:t xml:space="preserve"> ujedn</w:t>
      </w:r>
      <w:r w:rsidR="00452D96">
        <w:t>o je i poti</w:t>
      </w:r>
      <w:r w:rsidR="004A35E0">
        <w:t>ču ali i blokiraju</w:t>
      </w:r>
      <w:r w:rsidR="00452D96">
        <w:t xml:space="preserve"> iako</w:t>
      </w:r>
      <w:r w:rsidR="00D264F4" w:rsidRPr="00570204">
        <w:t xml:space="preserve"> su neke druge studije pokazale da CD34 u većini slučajeva djeluju blokirajući</w:t>
      </w:r>
      <w:r w:rsidR="00452D96">
        <w:t xml:space="preserve"> adheziju</w:t>
      </w:r>
      <w:r w:rsidR="00D264F4" w:rsidRPr="00570204">
        <w:t>.</w:t>
      </w:r>
    </w:p>
    <w:p w:rsidR="005A415F" w:rsidRDefault="005A415F" w:rsidP="00CD495C">
      <w:pPr>
        <w:spacing w:line="360" w:lineRule="auto"/>
        <w:jc w:val="both"/>
      </w:pPr>
    </w:p>
    <w:p w:rsidR="004E55EE" w:rsidRDefault="00BA35B9" w:rsidP="00CD495C">
      <w:pPr>
        <w:spacing w:line="360" w:lineRule="auto"/>
        <w:jc w:val="both"/>
      </w:pPr>
      <w:r>
        <w:t xml:space="preserve"> </w:t>
      </w:r>
      <w:r>
        <w:tab/>
      </w:r>
      <w:r w:rsidR="00913912" w:rsidRPr="00570204">
        <w:t>Naj</w:t>
      </w:r>
      <w:r w:rsidR="00913912" w:rsidRPr="005A415F">
        <w:t>č</w:t>
      </w:r>
      <w:r w:rsidR="00913912" w:rsidRPr="00570204">
        <w:t>e</w:t>
      </w:r>
      <w:r w:rsidR="00913912" w:rsidRPr="005A415F">
        <w:t>šć</w:t>
      </w:r>
      <w:r w:rsidR="00913912" w:rsidRPr="00570204">
        <w:t>e</w:t>
      </w:r>
      <w:r w:rsidR="00913912" w:rsidRPr="005A415F">
        <w:t xml:space="preserve"> </w:t>
      </w:r>
      <w:r w:rsidR="00913912" w:rsidRPr="00570204">
        <w:t>se</w:t>
      </w:r>
      <w:r w:rsidR="00913912" w:rsidRPr="005A415F">
        <w:t xml:space="preserve"> </w:t>
      </w:r>
      <w:r w:rsidR="00913912" w:rsidRPr="00570204">
        <w:t>molekule</w:t>
      </w:r>
      <w:r w:rsidR="00913912" w:rsidRPr="005A415F">
        <w:t xml:space="preserve"> </w:t>
      </w:r>
      <w:r w:rsidR="00913912" w:rsidRPr="00570204">
        <w:t>CD</w:t>
      </w:r>
      <w:r w:rsidR="00913912" w:rsidRPr="005A415F">
        <w:t xml:space="preserve">34 </w:t>
      </w:r>
      <w:r w:rsidR="00913912" w:rsidRPr="00570204">
        <w:t>koriste</w:t>
      </w:r>
      <w:r w:rsidR="00913912" w:rsidRPr="005A415F">
        <w:t xml:space="preserve"> </w:t>
      </w:r>
      <w:r w:rsidR="00913912" w:rsidRPr="00570204">
        <w:t>kao</w:t>
      </w:r>
      <w:r w:rsidR="00913912" w:rsidRPr="005A415F">
        <w:t xml:space="preserve"> </w:t>
      </w:r>
      <w:r w:rsidR="00913912" w:rsidRPr="00570204">
        <w:t>biljezi</w:t>
      </w:r>
      <w:r w:rsidR="00913912" w:rsidRPr="005A415F">
        <w:t xml:space="preserve"> </w:t>
      </w:r>
      <w:r w:rsidR="00913912" w:rsidRPr="00570204">
        <w:t>za</w:t>
      </w:r>
      <w:r w:rsidR="00913912" w:rsidRPr="005A415F">
        <w:t xml:space="preserve"> </w:t>
      </w:r>
      <w:r w:rsidR="00913912" w:rsidRPr="00570204">
        <w:t>identifikaciju</w:t>
      </w:r>
      <w:r w:rsidR="00913912" w:rsidRPr="005A415F">
        <w:t xml:space="preserve"> </w:t>
      </w:r>
      <w:r w:rsidR="00913912" w:rsidRPr="00570204">
        <w:t>i</w:t>
      </w:r>
      <w:r w:rsidR="00913912" w:rsidRPr="005A415F">
        <w:t xml:space="preserve"> </w:t>
      </w:r>
      <w:r w:rsidR="00913912" w:rsidRPr="00570204">
        <w:t>izolaciju</w:t>
      </w:r>
      <w:r w:rsidR="00913912" w:rsidRPr="005A415F">
        <w:t xml:space="preserve"> </w:t>
      </w:r>
      <w:r w:rsidR="00913912" w:rsidRPr="00570204">
        <w:t>nekih</w:t>
      </w:r>
      <w:r w:rsidR="00913912" w:rsidRPr="005A415F">
        <w:t xml:space="preserve"> </w:t>
      </w:r>
      <w:r w:rsidR="00913912" w:rsidRPr="00570204">
        <w:t>hematopoetskih</w:t>
      </w:r>
      <w:r w:rsidR="00913912" w:rsidRPr="005A415F">
        <w:t xml:space="preserve"> </w:t>
      </w:r>
      <w:r w:rsidR="00913912" w:rsidRPr="00570204">
        <w:t>mati</w:t>
      </w:r>
      <w:r w:rsidR="00913912" w:rsidRPr="005A415F">
        <w:t>č</w:t>
      </w:r>
      <w:r w:rsidR="00913912" w:rsidRPr="00570204">
        <w:t>nih</w:t>
      </w:r>
      <w:r w:rsidR="00913912" w:rsidRPr="005A415F">
        <w:t xml:space="preserve"> </w:t>
      </w:r>
      <w:r w:rsidR="00913912" w:rsidRPr="00570204">
        <w:t>stanica</w:t>
      </w:r>
      <w:r w:rsidR="00913912" w:rsidRPr="005A415F">
        <w:t xml:space="preserve"> </w:t>
      </w:r>
      <w:r w:rsidR="00913912" w:rsidRPr="00570204">
        <w:t>i</w:t>
      </w:r>
      <w:r w:rsidR="00913912" w:rsidRPr="005A415F">
        <w:t xml:space="preserve"> </w:t>
      </w:r>
      <w:r w:rsidR="00913912" w:rsidRPr="00570204">
        <w:t>prastanica</w:t>
      </w:r>
      <w:r w:rsidR="00913912" w:rsidRPr="005A415F">
        <w:t>.</w:t>
      </w:r>
      <w:r w:rsidR="00176C63" w:rsidRPr="005A415F">
        <w:t xml:space="preserve"> </w:t>
      </w:r>
      <w:r w:rsidR="00634980" w:rsidRPr="00570204">
        <w:t xml:space="preserve">Također se </w:t>
      </w:r>
      <w:r w:rsidR="00913912" w:rsidRPr="00570204">
        <w:t>mogu i koristiti</w:t>
      </w:r>
      <w:r w:rsidR="00634980" w:rsidRPr="00570204">
        <w:t xml:space="preserve"> i kao biljezi za identifikaciju </w:t>
      </w:r>
      <w:r w:rsidR="00176C63" w:rsidRPr="00570204">
        <w:t>drugih tkivno-spec</w:t>
      </w:r>
      <w:r w:rsidR="00913912" w:rsidRPr="00570204">
        <w:t xml:space="preserve">ifičnih matičnih stanica npr. </w:t>
      </w:r>
      <w:r w:rsidR="00176C63" w:rsidRPr="00570204">
        <w:t>mišićnih satelitskih stanica</w:t>
      </w:r>
      <w:r w:rsidR="00913912" w:rsidRPr="00570204">
        <w:t>.</w:t>
      </w:r>
      <w:r w:rsidR="00D264F4" w:rsidRPr="00570204">
        <w:t xml:space="preserve"> Unatoč velikoj važnosti </w:t>
      </w:r>
      <w:r w:rsidR="00452D96">
        <w:t xml:space="preserve">ovog </w:t>
      </w:r>
      <w:r w:rsidR="00D264F4" w:rsidRPr="00570204">
        <w:t>biljeg</w:t>
      </w:r>
      <w:r w:rsidR="00452D96">
        <w:t>a, sama funkcija CD34 obitelji</w:t>
      </w:r>
      <w:r w:rsidR="00D264F4" w:rsidRPr="00570204">
        <w:t xml:space="preserve"> prot</w:t>
      </w:r>
      <w:r w:rsidR="001A2E09">
        <w:t xml:space="preserve">eina nije u potpunosti </w:t>
      </w:r>
      <w:r w:rsidR="00D264F4" w:rsidRPr="00570204">
        <w:t>istražena i razjašnjena.</w:t>
      </w: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pStyle w:val="Heading2"/>
        <w:jc w:val="both"/>
      </w:pPr>
      <w:bookmarkStart w:id="9" w:name="_Toc392459996"/>
      <w:r>
        <w:lastRenderedPageBreak/>
        <w:t>1.4.2. CD77</w:t>
      </w:r>
      <w:bookmarkEnd w:id="9"/>
      <w:r>
        <w:t xml:space="preserve"> </w:t>
      </w:r>
    </w:p>
    <w:p w:rsidR="00AB7134" w:rsidRDefault="00AB7134" w:rsidP="00AB7134"/>
    <w:p w:rsidR="003F628F" w:rsidRDefault="003F628F" w:rsidP="003F628F">
      <w:pPr>
        <w:spacing w:line="360" w:lineRule="auto"/>
        <w:jc w:val="both"/>
      </w:pPr>
      <w:r>
        <w:tab/>
      </w:r>
      <w:r w:rsidR="005D2323">
        <w:t>G</w:t>
      </w:r>
      <w:r>
        <w:t xml:space="preserve">lobotriaozilceramida (Gb3Cer) </w:t>
      </w:r>
      <w:r w:rsidR="005D2323">
        <w:t xml:space="preserve">se sintentizira tako da se </w:t>
      </w:r>
      <w:r>
        <w:t>gluko</w:t>
      </w:r>
      <w:r w:rsidR="005D2323">
        <w:t>zilceramid veže na galaktozu</w:t>
      </w:r>
      <w:r>
        <w:t xml:space="preserve"> djelovanjem β1,4-galaktoziltransferaze</w:t>
      </w:r>
      <w:r w:rsidR="005D2323">
        <w:t xml:space="preserve"> pri čemu </w:t>
      </w:r>
      <w:r>
        <w:t>nastaje laktozilceramid na koji α1,4-galaktoziltransferaze</w:t>
      </w:r>
      <w:r w:rsidR="005D2323">
        <w:t xml:space="preserve"> dodaje</w:t>
      </w:r>
      <w:r>
        <w:t xml:space="preserve"> galaktozu i nastaje globotriaozilceramida</w:t>
      </w:r>
      <w:r w:rsidR="005D2323">
        <w:t xml:space="preserve">. Gb3Cer/CD77 sudjeluje u patogenezi infekcije </w:t>
      </w:r>
      <w:r w:rsidR="005D2323" w:rsidRPr="008356CF">
        <w:rPr>
          <w:i/>
        </w:rPr>
        <w:t>Shigella dysenteriae</w:t>
      </w:r>
      <w:r w:rsidR="005D2323">
        <w:t xml:space="preserve"> tip 1, koja uzrokuje gastrointestinalne bolesti kao receptor na površini stanice Shiga-like toksin (Stx).</w:t>
      </w:r>
      <w:r w:rsidR="00537C25">
        <w:t xml:space="preserve"> Stx toksin veže se na glikosfingolipid globotriaozilceramida i ošteću</w:t>
      </w:r>
      <w:r w:rsidR="00437D33">
        <w:t>je ljudske endotelne stanice. (8</w:t>
      </w:r>
      <w:r w:rsidR="00755C41">
        <w:t>) Shi</w:t>
      </w:r>
      <w:r w:rsidR="00537C25">
        <w:t xml:space="preserve">ga toksini poznatiji su kao verotoksini. </w:t>
      </w:r>
    </w:p>
    <w:p w:rsidR="00537C25" w:rsidRDefault="00537C25" w:rsidP="003F628F">
      <w:pPr>
        <w:spacing w:line="360" w:lineRule="auto"/>
        <w:jc w:val="both"/>
      </w:pPr>
    </w:p>
    <w:p w:rsidR="00537C25" w:rsidRDefault="00537C25" w:rsidP="003F628F">
      <w:pPr>
        <w:spacing w:line="360" w:lineRule="auto"/>
        <w:jc w:val="both"/>
      </w:pPr>
      <w:r>
        <w:tab/>
        <w:t>Dijelimo ih u dvije obitelji:</w:t>
      </w:r>
    </w:p>
    <w:p w:rsidR="00537C25" w:rsidRDefault="00537C25" w:rsidP="00537C25">
      <w:pPr>
        <w:numPr>
          <w:ilvl w:val="0"/>
          <w:numId w:val="3"/>
        </w:numPr>
        <w:spacing w:line="360" w:lineRule="auto"/>
        <w:jc w:val="both"/>
      </w:pPr>
      <w:r>
        <w:t>Stx1 (VT-1)</w:t>
      </w:r>
    </w:p>
    <w:p w:rsidR="00537C25" w:rsidRDefault="00537C25" w:rsidP="00537C25">
      <w:pPr>
        <w:numPr>
          <w:ilvl w:val="0"/>
          <w:numId w:val="3"/>
        </w:numPr>
        <w:spacing w:line="360" w:lineRule="auto"/>
        <w:jc w:val="both"/>
      </w:pPr>
      <w:r>
        <w:t>Stx2 (VT-2)</w:t>
      </w:r>
    </w:p>
    <w:p w:rsidR="00272285" w:rsidRDefault="00272285" w:rsidP="00272285">
      <w:pPr>
        <w:spacing w:line="360" w:lineRule="auto"/>
        <w:jc w:val="both"/>
      </w:pPr>
      <w:r>
        <w:t>Svaka se sastoji od glavnog tipa Stx-a i nekoliko varijanti.</w:t>
      </w:r>
    </w:p>
    <w:p w:rsidR="00537C25" w:rsidRDefault="00537C25" w:rsidP="00537C25">
      <w:pPr>
        <w:spacing w:line="360" w:lineRule="auto"/>
        <w:jc w:val="both"/>
      </w:pPr>
    </w:p>
    <w:p w:rsidR="003F628F" w:rsidRDefault="003F628F" w:rsidP="003F628F">
      <w:pPr>
        <w:spacing w:line="360" w:lineRule="auto"/>
        <w:jc w:val="both"/>
      </w:pPr>
      <w:r>
        <w:tab/>
      </w:r>
      <w:r w:rsidR="00272285">
        <w:t xml:space="preserve">Stx1 se vežu brže na Gb3Cer nego Stx2. No, zato su veze koje Stx2 stvara sa Gb3Cer jače. Vjeruje se da su oba, ugljikohidratni dio i ceramidni dio lipida sidro receptora i da </w:t>
      </w:r>
      <w:r w:rsidR="00E34511">
        <w:t>su važni za vezanje toksina. (4)</w:t>
      </w:r>
      <w:r w:rsidR="00272285">
        <w:t xml:space="preserve"> Heterogenost </w:t>
      </w:r>
      <w:r w:rsidR="00E27A31">
        <w:t>ceramid</w:t>
      </w:r>
      <w:r w:rsidR="00272285">
        <w:t xml:space="preserve"> primarno ovisi o sastavu masnih kiselina. Stupanj nezasićenosti i hidroksilacije kod sfingozina može varirati. </w:t>
      </w:r>
    </w:p>
    <w:p w:rsidR="003F628F" w:rsidRDefault="003F628F" w:rsidP="003F628F">
      <w:pPr>
        <w:spacing w:line="360" w:lineRule="auto"/>
        <w:jc w:val="both"/>
      </w:pPr>
    </w:p>
    <w:p w:rsidR="00CD495C" w:rsidRDefault="00AB7134" w:rsidP="00AB7134">
      <w:pPr>
        <w:jc w:val="both"/>
      </w:pPr>
      <w:r>
        <w:tab/>
        <w:t>Kaveole bubrežnih endotelnih i epitelnih plazma membrana posebice obiluju u sadržaju neutralnog</w:t>
      </w:r>
      <w:r w:rsidR="00272285">
        <w:t xml:space="preserve"> glikosfingolipida  CD77. (4)</w:t>
      </w:r>
    </w:p>
    <w:p w:rsidR="00CD495C" w:rsidRPr="00CD495C" w:rsidRDefault="00CD495C" w:rsidP="00CD495C">
      <w:pPr>
        <w:spacing w:line="360" w:lineRule="auto"/>
        <w:jc w:val="both"/>
      </w:pPr>
    </w:p>
    <w:p w:rsidR="005D4A01" w:rsidRDefault="005D4A01" w:rsidP="00CD495C">
      <w:pPr>
        <w:spacing w:line="360" w:lineRule="auto"/>
        <w:jc w:val="both"/>
      </w:pPr>
    </w:p>
    <w:p w:rsidR="005D4A01" w:rsidRDefault="005D4A01" w:rsidP="00CD495C">
      <w:pPr>
        <w:spacing w:line="360" w:lineRule="auto"/>
        <w:jc w:val="both"/>
      </w:pPr>
    </w:p>
    <w:p w:rsidR="005D4A01" w:rsidRDefault="005D4A01" w:rsidP="00CD495C">
      <w:pPr>
        <w:spacing w:line="360" w:lineRule="auto"/>
        <w:jc w:val="both"/>
      </w:pPr>
    </w:p>
    <w:p w:rsidR="005D4A01" w:rsidRDefault="005D4A01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spacing w:line="360" w:lineRule="auto"/>
        <w:jc w:val="both"/>
      </w:pPr>
    </w:p>
    <w:p w:rsidR="00CD495C" w:rsidRDefault="00CD495C" w:rsidP="00CD495C">
      <w:pPr>
        <w:pStyle w:val="Heading1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</w:p>
    <w:p w:rsidR="00AB7134" w:rsidRPr="00AB7134" w:rsidRDefault="00AB7134" w:rsidP="00AB7134"/>
    <w:p w:rsidR="00D264F4" w:rsidRDefault="00570204" w:rsidP="00CD495C">
      <w:pPr>
        <w:pStyle w:val="Heading1"/>
        <w:jc w:val="both"/>
      </w:pPr>
      <w:bookmarkStart w:id="10" w:name="_Toc392459997"/>
      <w:r w:rsidRPr="00570204">
        <w:lastRenderedPageBreak/>
        <w:t>1.5. PROTOČNA CITOMETRIJA</w:t>
      </w:r>
      <w:bookmarkEnd w:id="10"/>
    </w:p>
    <w:p w:rsidR="004A35E0" w:rsidRDefault="004A35E0" w:rsidP="00CD495C">
      <w:pPr>
        <w:jc w:val="both"/>
      </w:pPr>
    </w:p>
    <w:p w:rsidR="004A35E0" w:rsidRPr="004A35E0" w:rsidRDefault="004A35E0" w:rsidP="00CD495C">
      <w:pPr>
        <w:jc w:val="both"/>
      </w:pPr>
    </w:p>
    <w:p w:rsidR="00D64FEB" w:rsidRDefault="00F61C89" w:rsidP="00CD495C">
      <w:pPr>
        <w:spacing w:line="360" w:lineRule="auto"/>
        <w:ind w:firstLine="708"/>
        <w:jc w:val="both"/>
        <w:rPr>
          <w:kern w:val="0"/>
          <w:lang w:eastAsia="hr-BA"/>
        </w:rPr>
      </w:pPr>
      <w:r>
        <w:rPr>
          <w:kern w:val="0"/>
          <w:lang w:eastAsia="hr-BA"/>
        </w:rPr>
        <w:t>Protočna je citometrija (</w:t>
      </w:r>
      <w:r w:rsidR="00113BEC">
        <w:rPr>
          <w:kern w:val="0"/>
          <w:lang w:eastAsia="hr-BA"/>
        </w:rPr>
        <w:t>eng</w:t>
      </w:r>
      <w:r>
        <w:rPr>
          <w:kern w:val="0"/>
          <w:lang w:eastAsia="hr-BA"/>
        </w:rPr>
        <w:t xml:space="preserve">. </w:t>
      </w:r>
      <w:r w:rsidRPr="00F61C89">
        <w:rPr>
          <w:i/>
          <w:kern w:val="0"/>
          <w:lang w:eastAsia="hr-BA"/>
        </w:rPr>
        <w:t xml:space="preserve">flow cytometry, flow cytofluoromery </w:t>
      </w:r>
      <w:r w:rsidRPr="001A2E09">
        <w:rPr>
          <w:kern w:val="0"/>
          <w:lang w:eastAsia="hr-BA"/>
        </w:rPr>
        <w:t xml:space="preserve">ili </w:t>
      </w:r>
      <w:r w:rsidRPr="00F61C89">
        <w:rPr>
          <w:i/>
          <w:kern w:val="0"/>
          <w:lang w:eastAsia="hr-BA"/>
        </w:rPr>
        <w:t>flow microfluorometry</w:t>
      </w:r>
      <w:r w:rsidRPr="00F61C89">
        <w:rPr>
          <w:kern w:val="0"/>
          <w:lang w:eastAsia="hr-BA"/>
        </w:rPr>
        <w:t xml:space="preserve">) </w:t>
      </w:r>
      <w:r w:rsidR="001A2E09">
        <w:rPr>
          <w:kern w:val="0"/>
          <w:lang w:eastAsia="hr-BA"/>
        </w:rPr>
        <w:t>metoda</w:t>
      </w:r>
      <w:r w:rsidRPr="00F61C89">
        <w:rPr>
          <w:kern w:val="0"/>
          <w:lang w:eastAsia="hr-BA"/>
        </w:rPr>
        <w:t xml:space="preserve"> kojom se mjere fizikalne</w:t>
      </w:r>
      <w:r>
        <w:rPr>
          <w:kern w:val="0"/>
          <w:lang w:eastAsia="hr-BA"/>
        </w:rPr>
        <w:t xml:space="preserve"> </w:t>
      </w:r>
      <w:r w:rsidRPr="00F61C89">
        <w:rPr>
          <w:kern w:val="0"/>
          <w:lang w:eastAsia="hr-BA"/>
        </w:rPr>
        <w:t xml:space="preserve">i kemijske osobine bioloških čestica i stanica tijekom njihova prolaska kroz mjerni uređaj u struji tekućine. </w:t>
      </w:r>
      <w:r w:rsidR="00664444">
        <w:rPr>
          <w:kern w:val="0"/>
          <w:lang w:eastAsia="hr-BA"/>
        </w:rPr>
        <w:t>(6</w:t>
      </w:r>
      <w:r>
        <w:rPr>
          <w:kern w:val="0"/>
          <w:lang w:eastAsia="hr-BA"/>
        </w:rPr>
        <w:t>) Njezino na</w:t>
      </w:r>
      <w:r w:rsidR="0043124C">
        <w:rPr>
          <w:kern w:val="0"/>
          <w:lang w:eastAsia="hr-BA"/>
        </w:rPr>
        <w:t xml:space="preserve">jznačajnije obilježje je da </w:t>
      </w:r>
      <w:r>
        <w:rPr>
          <w:kern w:val="0"/>
          <w:lang w:eastAsia="hr-BA"/>
        </w:rPr>
        <w:t>istodobno mjeri više parametara svake stanice koja se nalazi u suspenziji</w:t>
      </w:r>
      <w:r w:rsidR="001A2E09">
        <w:rPr>
          <w:kern w:val="0"/>
          <w:lang w:eastAsia="hr-BA"/>
        </w:rPr>
        <w:t xml:space="preserve"> (ostali</w:t>
      </w:r>
      <w:r w:rsidR="00F7770B">
        <w:rPr>
          <w:kern w:val="0"/>
          <w:lang w:eastAsia="hr-BA"/>
        </w:rPr>
        <w:t xml:space="preserve"> analizatori mjere srednju vrijednost cijele stanične populacije).</w:t>
      </w:r>
      <w:r w:rsidR="004A35E0">
        <w:rPr>
          <w:kern w:val="0"/>
          <w:lang w:eastAsia="hr-BA"/>
        </w:rPr>
        <w:t xml:space="preserve"> </w:t>
      </w:r>
      <w:r w:rsidR="00F7770B">
        <w:rPr>
          <w:kern w:val="0"/>
          <w:lang w:eastAsia="hr-BA"/>
        </w:rPr>
        <w:t>Zbog toga ovu analitičku metodu nazivamo još i multiparame</w:t>
      </w:r>
      <w:r w:rsidR="001A2E09">
        <w:rPr>
          <w:kern w:val="0"/>
          <w:lang w:eastAsia="hr-BA"/>
        </w:rPr>
        <w:t>t</w:t>
      </w:r>
      <w:r w:rsidR="00F7770B">
        <w:rPr>
          <w:kern w:val="0"/>
          <w:lang w:eastAsia="hr-BA"/>
        </w:rPr>
        <w:t>rijskom protočnom citome</w:t>
      </w:r>
      <w:r w:rsidR="001A2E09">
        <w:rPr>
          <w:kern w:val="0"/>
          <w:lang w:eastAsia="hr-BA"/>
        </w:rPr>
        <w:t>t</w:t>
      </w:r>
      <w:r w:rsidR="008356CF">
        <w:rPr>
          <w:kern w:val="0"/>
          <w:lang w:eastAsia="hr-BA"/>
        </w:rPr>
        <w:t>rij</w:t>
      </w:r>
      <w:r w:rsidR="00F7770B">
        <w:rPr>
          <w:kern w:val="0"/>
          <w:lang w:eastAsia="hr-BA"/>
        </w:rPr>
        <w:t>om ili skraćeno MFC. Unatoč njezinoj širokoj primjeni, najčešće</w:t>
      </w:r>
      <w:r w:rsidR="000C4BB1">
        <w:rPr>
          <w:kern w:val="0"/>
          <w:lang w:eastAsia="hr-BA"/>
        </w:rPr>
        <w:t xml:space="preserve"> </w:t>
      </w:r>
      <w:r w:rsidR="001A2E09">
        <w:rPr>
          <w:kern w:val="0"/>
          <w:lang w:eastAsia="hr-BA"/>
        </w:rPr>
        <w:t>se koristi u dvije svrhe</w:t>
      </w:r>
      <w:r w:rsidR="00F7770B">
        <w:rPr>
          <w:kern w:val="0"/>
          <w:lang w:eastAsia="hr-BA"/>
        </w:rPr>
        <w:t>– za kvantita</w:t>
      </w:r>
      <w:r w:rsidR="001A2E09">
        <w:rPr>
          <w:kern w:val="0"/>
          <w:lang w:eastAsia="hr-BA"/>
        </w:rPr>
        <w:t>ti</w:t>
      </w:r>
      <w:r w:rsidR="00F7770B">
        <w:rPr>
          <w:kern w:val="0"/>
          <w:lang w:eastAsia="hr-BA"/>
        </w:rPr>
        <w:t xml:space="preserve">vnu analizu stanica i za izdvajanje stanica. </w:t>
      </w:r>
      <w:r w:rsidR="00F7770B" w:rsidRPr="00F7770B">
        <w:rPr>
          <w:kern w:val="0"/>
          <w:lang w:eastAsia="hr-BA"/>
        </w:rPr>
        <w:t>Najčešća indikacija za primjenu protočne citometrije jest dijagnostika limfoidnih zloćudnih bolesti, posebice ALL-a</w:t>
      </w:r>
      <w:r w:rsidR="0043124C" w:rsidRPr="0043124C">
        <w:rPr>
          <w:kern w:val="0"/>
          <w:lang w:eastAsia="hr-BA"/>
        </w:rPr>
        <w:t xml:space="preserve"> (</w:t>
      </w:r>
      <w:r w:rsidR="0043124C">
        <w:rPr>
          <w:kern w:val="0"/>
          <w:lang w:eastAsia="hr-BA"/>
        </w:rPr>
        <w:t>akutna</w:t>
      </w:r>
      <w:r w:rsidR="0043124C" w:rsidRPr="0043124C">
        <w:rPr>
          <w:kern w:val="0"/>
          <w:lang w:eastAsia="hr-BA"/>
        </w:rPr>
        <w:t xml:space="preserve"> </w:t>
      </w:r>
      <w:r w:rsidR="0043124C">
        <w:rPr>
          <w:kern w:val="0"/>
          <w:lang w:eastAsia="hr-BA"/>
        </w:rPr>
        <w:t>limfoblasti</w:t>
      </w:r>
      <w:r w:rsidR="0043124C" w:rsidRPr="0043124C">
        <w:rPr>
          <w:kern w:val="0"/>
          <w:lang w:eastAsia="hr-BA"/>
        </w:rPr>
        <w:t>č</w:t>
      </w:r>
      <w:r w:rsidR="0043124C">
        <w:rPr>
          <w:kern w:val="0"/>
          <w:lang w:eastAsia="hr-BA"/>
        </w:rPr>
        <w:t>na</w:t>
      </w:r>
      <w:r w:rsidR="0043124C" w:rsidRPr="0043124C">
        <w:rPr>
          <w:kern w:val="0"/>
          <w:lang w:eastAsia="hr-BA"/>
        </w:rPr>
        <w:t xml:space="preserve"> </w:t>
      </w:r>
      <w:r w:rsidR="0043124C">
        <w:rPr>
          <w:kern w:val="0"/>
          <w:lang w:eastAsia="hr-BA"/>
        </w:rPr>
        <w:t>leukemija</w:t>
      </w:r>
      <w:r w:rsidR="0043124C" w:rsidRPr="0043124C">
        <w:rPr>
          <w:kern w:val="0"/>
          <w:lang w:eastAsia="hr-BA"/>
        </w:rPr>
        <w:t>)</w:t>
      </w:r>
      <w:r w:rsidR="00F7770B" w:rsidRPr="00F7770B">
        <w:rPr>
          <w:kern w:val="0"/>
          <w:lang w:eastAsia="hr-BA"/>
        </w:rPr>
        <w:t>.</w:t>
      </w:r>
      <w:r w:rsidR="00664444">
        <w:rPr>
          <w:kern w:val="0"/>
          <w:lang w:eastAsia="hr-BA"/>
        </w:rPr>
        <w:t xml:space="preserve"> (</w:t>
      </w:r>
      <w:r w:rsidR="0005563F">
        <w:rPr>
          <w:kern w:val="0"/>
          <w:lang w:eastAsia="hr-BA"/>
        </w:rPr>
        <w:t>5</w:t>
      </w:r>
      <w:r w:rsidR="0065173A">
        <w:rPr>
          <w:kern w:val="0"/>
          <w:lang w:eastAsia="hr-BA"/>
        </w:rPr>
        <w:t>)</w:t>
      </w:r>
    </w:p>
    <w:p w:rsidR="000A6222" w:rsidRDefault="000A6222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65173A" w:rsidRDefault="0065173A" w:rsidP="00CD495C">
      <w:pPr>
        <w:pStyle w:val="Heading2"/>
        <w:jc w:val="both"/>
        <w:rPr>
          <w:kern w:val="0"/>
          <w:lang w:eastAsia="hr-BA"/>
        </w:rPr>
      </w:pPr>
      <w:bookmarkStart w:id="11" w:name="_Toc392459998"/>
      <w:r>
        <w:rPr>
          <w:kern w:val="0"/>
          <w:lang w:eastAsia="hr-BA"/>
        </w:rPr>
        <w:t xml:space="preserve">1.5.1. </w:t>
      </w:r>
      <w:r w:rsidR="0068631E">
        <w:rPr>
          <w:kern w:val="0"/>
          <w:lang w:eastAsia="hr-BA"/>
        </w:rPr>
        <w:t>Načelo rada protočnog citometra</w:t>
      </w:r>
      <w:bookmarkEnd w:id="11"/>
    </w:p>
    <w:p w:rsidR="0065173A" w:rsidRPr="0065173A" w:rsidRDefault="0065173A" w:rsidP="00CD495C">
      <w:pPr>
        <w:jc w:val="both"/>
        <w:rPr>
          <w:lang w:eastAsia="hr-BA"/>
        </w:rPr>
      </w:pPr>
    </w:p>
    <w:p w:rsidR="0065173A" w:rsidRDefault="0065173A" w:rsidP="00CD495C">
      <w:pPr>
        <w:jc w:val="both"/>
        <w:rPr>
          <w:lang w:eastAsia="hr-BA"/>
        </w:rPr>
      </w:pPr>
    </w:p>
    <w:p w:rsidR="00F61C89" w:rsidRDefault="00BA35B9" w:rsidP="0005563F">
      <w:pPr>
        <w:tabs>
          <w:tab w:val="left" w:pos="1080"/>
        </w:tabs>
        <w:spacing w:line="360" w:lineRule="auto"/>
        <w:jc w:val="both"/>
        <w:rPr>
          <w:lang w:val="pl-PL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="0068631E" w:rsidRPr="0068631E">
        <w:rPr>
          <w:lang w:val="it-IT"/>
        </w:rPr>
        <w:t>Proto</w:t>
      </w:r>
      <w:r w:rsidR="0068631E" w:rsidRPr="0068631E">
        <w:t>č</w:t>
      </w:r>
      <w:r w:rsidR="0068631E" w:rsidRPr="0068631E">
        <w:rPr>
          <w:lang w:val="it-IT"/>
        </w:rPr>
        <w:t>ni</w:t>
      </w:r>
      <w:r w:rsidR="0068631E" w:rsidRPr="0068631E">
        <w:t xml:space="preserve"> </w:t>
      </w:r>
      <w:r w:rsidR="0068631E" w:rsidRPr="0068631E">
        <w:rPr>
          <w:lang w:val="it-IT"/>
        </w:rPr>
        <w:t>citometar</w:t>
      </w:r>
      <w:r w:rsidR="0068631E" w:rsidRPr="0068631E">
        <w:t xml:space="preserve"> </w:t>
      </w:r>
      <w:r w:rsidR="0068631E" w:rsidRPr="0068631E">
        <w:rPr>
          <w:lang w:val="it-IT"/>
        </w:rPr>
        <w:t>se</w:t>
      </w:r>
      <w:r w:rsidR="0068631E" w:rsidRPr="0068631E">
        <w:t xml:space="preserve"> </w:t>
      </w:r>
      <w:r w:rsidR="0068631E" w:rsidRPr="0068631E">
        <w:rPr>
          <w:lang w:val="it-IT"/>
        </w:rPr>
        <w:t>sastoji</w:t>
      </w:r>
      <w:r w:rsidR="0068631E" w:rsidRPr="0068631E">
        <w:t xml:space="preserve"> </w:t>
      </w:r>
      <w:r w:rsidR="0068631E" w:rsidRPr="0068631E">
        <w:rPr>
          <w:lang w:val="it-IT"/>
        </w:rPr>
        <w:t>od</w:t>
      </w:r>
      <w:r w:rsidR="0068631E" w:rsidRPr="0068631E">
        <w:t xml:space="preserve"> </w:t>
      </w:r>
      <w:r w:rsidR="0068631E">
        <w:rPr>
          <w:lang w:val="it-IT"/>
        </w:rPr>
        <w:t>tri</w:t>
      </w:r>
      <w:r w:rsidR="0068631E" w:rsidRPr="0068631E">
        <w:t xml:space="preserve"> </w:t>
      </w:r>
      <w:r w:rsidR="0068631E">
        <w:rPr>
          <w:lang w:val="it-IT"/>
        </w:rPr>
        <w:t>osnovna</w:t>
      </w:r>
      <w:r w:rsidR="0068631E" w:rsidRPr="0068631E">
        <w:t xml:space="preserve"> </w:t>
      </w:r>
      <w:r w:rsidR="0068631E">
        <w:rPr>
          <w:lang w:val="it-IT"/>
        </w:rPr>
        <w:t>dijela</w:t>
      </w:r>
      <w:r w:rsidR="0068631E" w:rsidRPr="0068631E">
        <w:t xml:space="preserve">: </w:t>
      </w:r>
      <w:r w:rsidR="0068631E">
        <w:rPr>
          <w:lang w:val="it-IT"/>
        </w:rPr>
        <w:t>sustava</w:t>
      </w:r>
      <w:r w:rsidR="0068631E" w:rsidRPr="0068631E">
        <w:t xml:space="preserve"> </w:t>
      </w:r>
      <w:r w:rsidR="0068631E">
        <w:rPr>
          <w:lang w:val="it-IT"/>
        </w:rPr>
        <w:t>za</w:t>
      </w:r>
      <w:r w:rsidR="0068631E" w:rsidRPr="0068631E">
        <w:t xml:space="preserve"> </w:t>
      </w:r>
      <w:r w:rsidR="0068631E">
        <w:rPr>
          <w:lang w:val="it-IT"/>
        </w:rPr>
        <w:t>protok</w:t>
      </w:r>
      <w:r w:rsidR="0068631E" w:rsidRPr="0068631E">
        <w:t xml:space="preserve"> </w:t>
      </w:r>
      <w:r w:rsidR="0068631E">
        <w:rPr>
          <w:lang w:val="it-IT"/>
        </w:rPr>
        <w:t>stanica</w:t>
      </w:r>
      <w:r w:rsidR="0068631E" w:rsidRPr="0068631E">
        <w:t xml:space="preserve">, </w:t>
      </w:r>
      <w:r w:rsidR="0068631E">
        <w:rPr>
          <w:lang w:val="it-IT"/>
        </w:rPr>
        <w:t>opti</w:t>
      </w:r>
      <w:r w:rsidR="0068631E" w:rsidRPr="0068631E">
        <w:t>č</w:t>
      </w:r>
      <w:r w:rsidR="0068631E">
        <w:rPr>
          <w:lang w:val="it-IT"/>
        </w:rPr>
        <w:t>kog</w:t>
      </w:r>
      <w:r w:rsidR="0068631E" w:rsidRPr="0068631E">
        <w:t xml:space="preserve"> </w:t>
      </w:r>
      <w:r w:rsidR="0068631E">
        <w:rPr>
          <w:lang w:val="it-IT"/>
        </w:rPr>
        <w:t>sustava</w:t>
      </w:r>
      <w:r w:rsidR="0068631E" w:rsidRPr="0068631E">
        <w:t xml:space="preserve"> </w:t>
      </w:r>
      <w:r w:rsidR="0068631E">
        <w:rPr>
          <w:lang w:val="it-IT"/>
        </w:rPr>
        <w:t>i</w:t>
      </w:r>
      <w:r w:rsidR="0068631E" w:rsidRPr="0068631E">
        <w:t xml:space="preserve"> </w:t>
      </w:r>
      <w:r w:rsidR="0068631E">
        <w:rPr>
          <w:lang w:val="it-IT"/>
        </w:rPr>
        <w:t>elektronskog</w:t>
      </w:r>
      <w:r w:rsidR="0068631E" w:rsidRPr="0068631E">
        <w:t xml:space="preserve"> </w:t>
      </w:r>
      <w:r w:rsidR="0068631E">
        <w:rPr>
          <w:lang w:val="it-IT"/>
        </w:rPr>
        <w:t>sustava</w:t>
      </w:r>
      <w:r w:rsidR="0068631E" w:rsidRPr="0068631E">
        <w:t>.</w:t>
      </w:r>
      <w:r w:rsidR="005D4A01">
        <w:t xml:space="preserve"> </w:t>
      </w:r>
      <w:r w:rsidR="005D4A01">
        <w:rPr>
          <w:bCs/>
        </w:rPr>
        <w:t xml:space="preserve">Na monoklonska protutijela veže se boja koja fluroscira (tzv. </w:t>
      </w:r>
      <w:r w:rsidR="005D4A01" w:rsidRPr="005A415F">
        <w:rPr>
          <w:bCs/>
          <w:i/>
        </w:rPr>
        <w:t>flurokromi</w:t>
      </w:r>
      <w:r w:rsidR="005D4A01">
        <w:rPr>
          <w:bCs/>
        </w:rPr>
        <w:t xml:space="preserve">). Dvije najčešće upotrebljene  fluorescentne boje su </w:t>
      </w:r>
      <w:r w:rsidR="005D4A01" w:rsidRPr="005A415F">
        <w:rPr>
          <w:bCs/>
        </w:rPr>
        <w:t>fluorescentni izocijanat</w:t>
      </w:r>
      <w:r w:rsidR="005D4A01">
        <w:rPr>
          <w:bCs/>
        </w:rPr>
        <w:t xml:space="preserve"> (zelena fluorescencija</w:t>
      </w:r>
      <w:r w:rsidR="00FC2972">
        <w:rPr>
          <w:bCs/>
        </w:rPr>
        <w:t>,</w:t>
      </w:r>
      <w:r w:rsidR="00FC2972">
        <w:rPr>
          <w:rFonts w:eastAsia="Times New Roman"/>
          <w:kern w:val="0"/>
          <w:szCs w:val="24"/>
          <w:lang w:eastAsia="hr-BA"/>
        </w:rPr>
        <w:t xml:space="preserve"> engl. 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f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>luorescein-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i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>so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t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>hio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c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 xml:space="preserve">yanate, </w:t>
      </w:r>
      <w:r w:rsidR="00FC2972">
        <w:rPr>
          <w:rFonts w:eastAsia="Times New Roman"/>
          <w:b/>
          <w:bCs/>
          <w:kern w:val="0"/>
          <w:szCs w:val="24"/>
          <w:lang w:eastAsia="hr-BA"/>
        </w:rPr>
        <w:t>FITC</w:t>
      </w:r>
      <w:r w:rsidR="00FC2972">
        <w:rPr>
          <w:rFonts w:eastAsia="Times New Roman"/>
          <w:kern w:val="0"/>
          <w:szCs w:val="24"/>
          <w:lang w:eastAsia="hr-BA"/>
        </w:rPr>
        <w:t xml:space="preserve">) </w:t>
      </w:r>
      <w:r w:rsidR="005D4A01">
        <w:rPr>
          <w:bCs/>
        </w:rPr>
        <w:t>i fikoeritrin (crvena fluorescencija</w:t>
      </w:r>
      <w:r w:rsidR="00FC2972">
        <w:rPr>
          <w:bCs/>
        </w:rPr>
        <w:t xml:space="preserve">, </w:t>
      </w:r>
      <w:r w:rsidR="00FC2972">
        <w:rPr>
          <w:rFonts w:eastAsia="Times New Roman"/>
          <w:kern w:val="0"/>
          <w:szCs w:val="24"/>
          <w:lang w:eastAsia="hr-BA"/>
        </w:rPr>
        <w:t xml:space="preserve">engl. 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p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>hyco</w:t>
      </w:r>
      <w:r w:rsidR="00FC2972">
        <w:rPr>
          <w:rFonts w:eastAsia="Times New Roman"/>
          <w:b/>
          <w:bCs/>
          <w:i/>
          <w:iCs/>
          <w:kern w:val="0"/>
          <w:szCs w:val="24"/>
          <w:lang w:eastAsia="hr-BA"/>
        </w:rPr>
        <w:t>e</w:t>
      </w:r>
      <w:r w:rsidR="00FC2972">
        <w:rPr>
          <w:rFonts w:eastAsia="Times New Roman"/>
          <w:i/>
          <w:iCs/>
          <w:kern w:val="0"/>
          <w:szCs w:val="24"/>
          <w:lang w:eastAsia="hr-BA"/>
        </w:rPr>
        <w:t xml:space="preserve">rythrin, </w:t>
      </w:r>
      <w:r w:rsidR="00FC2972">
        <w:rPr>
          <w:rFonts w:eastAsia="Times New Roman"/>
          <w:b/>
          <w:bCs/>
          <w:kern w:val="0"/>
          <w:szCs w:val="24"/>
          <w:lang w:eastAsia="hr-BA"/>
        </w:rPr>
        <w:t>PE</w:t>
      </w:r>
      <w:r w:rsidR="00FC2972">
        <w:rPr>
          <w:rFonts w:eastAsia="Times New Roman"/>
          <w:kern w:val="0"/>
          <w:szCs w:val="24"/>
          <w:lang w:eastAsia="hr-BA"/>
        </w:rPr>
        <w:t>).</w:t>
      </w:r>
      <w:r w:rsidR="005D4A01">
        <w:rPr>
          <w:bCs/>
        </w:rPr>
        <w:t xml:space="preserve"> Osim što se ove boje pojedinačno koriste, moguće ih je upotrijebiti i istodobno kako bi se dokazala prisutnost dvaju antigena. </w:t>
      </w:r>
      <w:r w:rsidR="0043124C">
        <w:t xml:space="preserve"> Preko sustava za protok stanica, stanice se iz epruvete uvode u tekućinski protok i omogućava se da stanice pojedinačno protječu u susret laserskoj zraci. Brzina protoka stanica se može regulirati i ona može iznositi od 100 do 5000 stanica u sekundi. Optički sustav </w:t>
      </w:r>
      <w:r w:rsidR="00204A08">
        <w:t>sa</w:t>
      </w:r>
      <w:r w:rsidR="0043124C">
        <w:t>čin</w:t>
      </w:r>
      <w:r w:rsidR="00204A08">
        <w:t>j</w:t>
      </w:r>
      <w:r w:rsidR="0043124C">
        <w:t>e</w:t>
      </w:r>
      <w:r w:rsidR="00204A08">
        <w:t>n je od</w:t>
      </w:r>
      <w:r w:rsidR="0043124C">
        <w:t xml:space="preserve"> dva dijela: laser</w:t>
      </w:r>
      <w:r w:rsidR="00204A08">
        <w:t>a</w:t>
      </w:r>
      <w:r w:rsidR="0043124C">
        <w:t xml:space="preserve"> (koji je izvor podražajnog svijetla</w:t>
      </w:r>
      <w:r w:rsidR="00204A08">
        <w:t xml:space="preserve">) i </w:t>
      </w:r>
      <w:r w:rsidR="0043124C">
        <w:t>pripadajuć</w:t>
      </w:r>
      <w:r w:rsidR="00204A08">
        <w:t>ih mu</w:t>
      </w:r>
      <w:r w:rsidR="0043124C">
        <w:t xml:space="preserve"> leć</w:t>
      </w:r>
      <w:r w:rsidR="00204A08">
        <w:t xml:space="preserve">a, te </w:t>
      </w:r>
      <w:r w:rsidR="0043124C">
        <w:t>fotodetektor</w:t>
      </w:r>
      <w:r w:rsidR="00204A08">
        <w:t>a</w:t>
      </w:r>
      <w:r w:rsidR="0043124C">
        <w:t xml:space="preserve"> (sustav za prikupljanje svjetlosnih signala)</w:t>
      </w:r>
      <w:r w:rsidR="00204A08">
        <w:t>. Laser i leće (fokusiraju i oblikuju lasersku zraku) čine ekscitacijski sustav, dok filtri služe za dobivanje zrake neke određene valne duljine.</w:t>
      </w:r>
      <w:r w:rsidR="00ED465B">
        <w:t xml:space="preserve"> </w:t>
      </w:r>
      <w:r w:rsidR="00F61C89" w:rsidRPr="00ED465B">
        <w:t xml:space="preserve">Na taj način laserska svijetlost postaje monokromna (određene valne duljine), </w:t>
      </w:r>
      <w:r w:rsidR="00113BEC" w:rsidRPr="00ED465B">
        <w:t>linearno</w:t>
      </w:r>
      <w:r w:rsidR="00F61C89" w:rsidRPr="00ED465B">
        <w:t xml:space="preserve"> polarizirana i koherentna.</w:t>
      </w:r>
      <w:r w:rsidR="00664444">
        <w:t xml:space="preserve"> (6</w:t>
      </w:r>
      <w:r w:rsidR="00ED465B">
        <w:t xml:space="preserve">) Laserska zraka obasjava </w:t>
      </w:r>
      <w:r w:rsidR="004277F7">
        <w:t>stanicu te tako dolazi do disperzije</w:t>
      </w:r>
      <w:r w:rsidR="00ED465B">
        <w:t xml:space="preserve"> svijetlosti sa stanice</w:t>
      </w:r>
      <w:r w:rsidR="00EA5C0A">
        <w:t xml:space="preserve"> (pokazatelj </w:t>
      </w:r>
      <w:r w:rsidR="00EA5C0A" w:rsidRPr="00EA5C0A">
        <w:rPr>
          <w:i/>
        </w:rPr>
        <w:t>intrinzičnih</w:t>
      </w:r>
      <w:r w:rsidR="00EA5C0A">
        <w:t xml:space="preserve"> osobina stanice – veličina i unutarnja struktura tj. “zrnatost”)</w:t>
      </w:r>
      <w:r w:rsidR="00ED465B">
        <w:t xml:space="preserve"> i </w:t>
      </w:r>
      <w:r w:rsidR="00EA5C0A">
        <w:t xml:space="preserve">emitira se </w:t>
      </w:r>
      <w:r w:rsidR="00113BEC">
        <w:t>fluorescencija</w:t>
      </w:r>
      <w:r w:rsidR="00EA5C0A">
        <w:t xml:space="preserve"> (pokazatelj </w:t>
      </w:r>
      <w:r w:rsidR="00EA5C0A" w:rsidRPr="00EA5C0A">
        <w:rPr>
          <w:i/>
        </w:rPr>
        <w:t>ekstrinzičn</w:t>
      </w:r>
      <w:r w:rsidR="00EA5C0A">
        <w:rPr>
          <w:i/>
        </w:rPr>
        <w:t xml:space="preserve">ih </w:t>
      </w:r>
      <w:r w:rsidR="00EA5C0A">
        <w:t>svojstava)</w:t>
      </w:r>
      <w:r w:rsidR="00EA5C0A" w:rsidRPr="00EA5C0A">
        <w:rPr>
          <w:i/>
        </w:rPr>
        <w:t>.</w:t>
      </w:r>
      <w:r w:rsidR="00EA5C0A">
        <w:t xml:space="preserve"> </w:t>
      </w:r>
      <w:r w:rsidR="001A2E09">
        <w:t>FSC-</w:t>
      </w:r>
      <w:r w:rsidR="008246E7">
        <w:t>d</w:t>
      </w:r>
      <w:r w:rsidR="00A72EE5">
        <w:t>etektor</w:t>
      </w:r>
      <w:r w:rsidR="008246E7">
        <w:t xml:space="preserve"> (</w:t>
      </w:r>
      <w:r w:rsidR="00113BEC">
        <w:t>eng</w:t>
      </w:r>
      <w:r w:rsidR="00A72EE5">
        <w:t xml:space="preserve">. </w:t>
      </w:r>
      <w:r w:rsidR="00A72EE5" w:rsidRPr="00A72EE5">
        <w:rPr>
          <w:i/>
        </w:rPr>
        <w:t>forward scatter</w:t>
      </w:r>
      <w:r w:rsidR="00A72EE5">
        <w:t>) otkriva raspršenje svjetla difrakcijom (koja je razmjerna površini tj. veličini stanice</w:t>
      </w:r>
      <w:r w:rsidR="009C5398">
        <w:t>).</w:t>
      </w:r>
      <w:r w:rsidR="00A72EE5">
        <w:t xml:space="preserve"> </w:t>
      </w:r>
      <w:r w:rsidR="009C5398">
        <w:lastRenderedPageBreak/>
        <w:t xml:space="preserve">FL-detektori hvataju </w:t>
      </w:r>
      <w:r w:rsidR="00113BEC">
        <w:t>fluorescentni</w:t>
      </w:r>
      <w:r w:rsidR="009C5398">
        <w:t xml:space="preserve"> signal koji potječe od fluorokroma koji je </w:t>
      </w:r>
      <w:r w:rsidR="001A2E09">
        <w:t>vezan</w:t>
      </w:r>
      <w:r w:rsidR="009C5398">
        <w:t xml:space="preserve"> za stanicu, gdje za svaku </w:t>
      </w:r>
      <w:r w:rsidR="00113BEC">
        <w:t>valjanu</w:t>
      </w:r>
      <w:r w:rsidR="009C5398">
        <w:t xml:space="preserve"> duljinu im</w:t>
      </w:r>
      <w:r w:rsidR="001A2E09">
        <w:t>amo poseban detektor. Osim FSC-</w:t>
      </w:r>
      <w:r w:rsidR="00A72EE5" w:rsidRPr="00A72EE5">
        <w:rPr>
          <w:lang w:val="en-US"/>
        </w:rPr>
        <w:t>detektora</w:t>
      </w:r>
      <w:r w:rsidR="009C5398">
        <w:t xml:space="preserve"> i FL-detektora</w:t>
      </w:r>
      <w:r w:rsidR="00A72EE5" w:rsidRPr="00A72EE5">
        <w:rPr>
          <w:lang w:val="en-US"/>
        </w:rPr>
        <w:t>, kod protočnog citometra</w:t>
      </w:r>
      <w:r w:rsidR="00A72EE5">
        <w:t xml:space="preserve"> imamo</w:t>
      </w:r>
      <w:r w:rsidR="009C5398">
        <w:t xml:space="preserve"> i </w:t>
      </w:r>
      <w:r w:rsidR="00A72EE5" w:rsidRPr="00A72EE5">
        <w:rPr>
          <w:lang w:val="en-US"/>
        </w:rPr>
        <w:t>SSC-</w:t>
      </w:r>
      <w:r w:rsidR="00113BEC">
        <w:t>detektor</w:t>
      </w:r>
      <w:r w:rsidR="009C5398">
        <w:t xml:space="preserve"> (engl. </w:t>
      </w:r>
      <w:r w:rsidR="009C5398" w:rsidRPr="009C5398">
        <w:rPr>
          <w:i/>
        </w:rPr>
        <w:t>side scatter</w:t>
      </w:r>
      <w:r w:rsidR="009C5398">
        <w:t xml:space="preserve">). On mjeri </w:t>
      </w:r>
      <w:r w:rsidR="00DC0430">
        <w:t>stupanj granuliranost</w:t>
      </w:r>
      <w:r w:rsidR="001A2E09">
        <w:t>i</w:t>
      </w:r>
      <w:r w:rsidR="00DC0430">
        <w:t xml:space="preserve"> tj. kompleksnost unutarnje strukture stanice (</w:t>
      </w:r>
      <w:r w:rsidR="00DC0430" w:rsidRPr="00DC0430">
        <w:t>organele</w:t>
      </w:r>
      <w:r w:rsidR="00DC0430">
        <w:t xml:space="preserve">). </w:t>
      </w:r>
      <w:r w:rsidR="00DC0430" w:rsidRPr="00DC0430">
        <w:rPr>
          <w:lang w:val="pl-PL"/>
        </w:rPr>
        <w:t>Smješten je pod kut</w:t>
      </w:r>
      <w:r w:rsidR="001A2E09">
        <w:rPr>
          <w:lang w:val="pl-PL"/>
        </w:rPr>
        <w:t>e</w:t>
      </w:r>
      <w:r w:rsidR="00DC0430" w:rsidRPr="00DC0430">
        <w:rPr>
          <w:lang w:val="pl-PL"/>
        </w:rPr>
        <w:t>m od 90° u odnosu na smjer upadne laserske zrake.</w:t>
      </w:r>
      <w:r w:rsidR="00DC0430">
        <w:rPr>
          <w:lang w:val="pl-PL"/>
        </w:rPr>
        <w:t xml:space="preserve"> Fotodetektori, razmjerno veličin</w:t>
      </w:r>
      <w:r w:rsidR="001A2E09">
        <w:rPr>
          <w:lang w:val="pl-PL"/>
        </w:rPr>
        <w:t>i rasapa i fluoroscencije, pulse</w:t>
      </w:r>
      <w:r w:rsidR="00DC0430">
        <w:rPr>
          <w:lang w:val="pl-PL"/>
        </w:rPr>
        <w:t>ve fotona pretvaraju</w:t>
      </w:r>
      <w:r w:rsidR="001A2E09">
        <w:rPr>
          <w:lang w:val="pl-PL"/>
        </w:rPr>
        <w:t xml:space="preserve"> u elektronske signale ili pulseve napona, koji</w:t>
      </w:r>
      <w:r w:rsidR="00DC0430">
        <w:rPr>
          <w:lang w:val="pl-PL"/>
        </w:rPr>
        <w:t xml:space="preserve"> se pojačavaju i pretvaraju u digitalni oblik koji </w:t>
      </w:r>
      <w:r w:rsidR="00EA5C0A">
        <w:rPr>
          <w:lang w:val="pl-PL"/>
        </w:rPr>
        <w:t xml:space="preserve">se tad može obraditi na </w:t>
      </w:r>
      <w:r w:rsidR="00DC0430">
        <w:rPr>
          <w:lang w:val="pl-PL"/>
        </w:rPr>
        <w:t>računalu. Podatci se mogu analizirati izravno ili naknadno (prvo se pohranjuju u računalo, pa se zatim analiziraju).</w:t>
      </w:r>
      <w:r w:rsidR="00EA5C0A">
        <w:rPr>
          <w:lang w:val="pl-PL"/>
        </w:rPr>
        <w:t xml:space="preserve"> 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</w:p>
    <w:p w:rsidR="00CD495C" w:rsidRDefault="00CD495C" w:rsidP="00CD495C">
      <w:pPr>
        <w:spacing w:line="360" w:lineRule="auto"/>
        <w:jc w:val="both"/>
        <w:rPr>
          <w:lang w:val="pl-PL"/>
        </w:rPr>
      </w:pPr>
    </w:p>
    <w:p w:rsidR="00D64FEB" w:rsidRDefault="00D64FEB" w:rsidP="00CD495C">
      <w:pPr>
        <w:spacing w:line="360" w:lineRule="auto"/>
        <w:jc w:val="both"/>
        <w:rPr>
          <w:lang w:val="pl-PL"/>
        </w:rPr>
      </w:pPr>
    </w:p>
    <w:p w:rsidR="00D64FEB" w:rsidRDefault="008951E8" w:rsidP="00CD495C">
      <w:pPr>
        <w:keepNext/>
        <w:spacing w:line="360" w:lineRule="auto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5314950" cy="4200525"/>
            <wp:effectExtent l="19050" t="0" r="0" b="0"/>
            <wp:docPr id="3" name="Picture 3" descr="jid201228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d2012282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EB" w:rsidRDefault="00D64FEB" w:rsidP="00CD495C">
      <w:pPr>
        <w:pStyle w:val="Caption"/>
        <w:jc w:val="center"/>
        <w:rPr>
          <w:lang w:val="pl-PL"/>
        </w:rPr>
      </w:pPr>
      <w:r>
        <w:t xml:space="preserve">Slika </w:t>
      </w:r>
      <w:fldSimple w:instr=" SEQ Slika \* ARABIC ">
        <w:r w:rsidR="00755C41">
          <w:rPr>
            <w:noProof/>
          </w:rPr>
          <w:t>3</w:t>
        </w:r>
      </w:fldSimple>
      <w:r>
        <w:t>. Princip rada protočnog citometra</w:t>
      </w:r>
    </w:p>
    <w:p w:rsidR="00CD495C" w:rsidRDefault="00CD495C" w:rsidP="00CD495C">
      <w:pPr>
        <w:keepNext/>
        <w:spacing w:line="360" w:lineRule="auto"/>
        <w:jc w:val="both"/>
      </w:pPr>
    </w:p>
    <w:p w:rsidR="00CD495C" w:rsidRDefault="00CD495C" w:rsidP="00CD495C">
      <w:pPr>
        <w:keepNext/>
        <w:spacing w:line="360" w:lineRule="auto"/>
        <w:jc w:val="both"/>
      </w:pPr>
    </w:p>
    <w:p w:rsidR="00AB7134" w:rsidRDefault="00AB7134" w:rsidP="00CD495C">
      <w:pPr>
        <w:keepNext/>
        <w:spacing w:line="360" w:lineRule="auto"/>
        <w:jc w:val="both"/>
      </w:pPr>
    </w:p>
    <w:p w:rsidR="00AB7134" w:rsidRDefault="00AB7134" w:rsidP="00CD495C">
      <w:pPr>
        <w:keepNext/>
        <w:spacing w:line="360" w:lineRule="auto"/>
        <w:jc w:val="both"/>
      </w:pPr>
    </w:p>
    <w:p w:rsidR="005E7664" w:rsidRDefault="005E7664" w:rsidP="00CD495C">
      <w:pPr>
        <w:spacing w:line="360" w:lineRule="auto"/>
        <w:jc w:val="both"/>
      </w:pPr>
    </w:p>
    <w:p w:rsidR="00DB3645" w:rsidRDefault="00DB3645" w:rsidP="00CD495C">
      <w:pPr>
        <w:spacing w:line="360" w:lineRule="auto"/>
        <w:jc w:val="both"/>
        <w:rPr>
          <w:lang w:val="pl-PL"/>
        </w:rPr>
      </w:pPr>
    </w:p>
    <w:p w:rsidR="00CD495C" w:rsidRDefault="00CD495C" w:rsidP="00CD495C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lastRenderedPageBreak/>
        <w:t>Postoje dva pristupa definiranja regije analize: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1. dvoparametrijski prikaz </w:t>
      </w:r>
      <w:r w:rsidRPr="00EA5C0A">
        <w:t>intrinzičnih</w:t>
      </w:r>
      <w:r>
        <w:rPr>
          <w:lang w:val="pl-PL"/>
        </w:rPr>
        <w:t xml:space="preserve"> svojstava stanice (veličina x zrnatost)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  <w:r>
        <w:rPr>
          <w:lang w:val="pl-PL"/>
        </w:rPr>
        <w:t>2. kombinacija intrinzičnog svojstva (npr. zrnatost) i ekstinzičnog svojstva (fluoroscencije)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  <w:r>
        <w:rPr>
          <w:lang w:val="pl-PL"/>
        </w:rPr>
        <w:t>U prvom pristupu izdvajaju se tri populacije krvotvornih stanice – tip limfocita, tip monocita/blasta i tip granulocita.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U drugom pristupu izdvajaju se stanice s biljegom (npr. CD34). Sustav elektronskih regija omogućava obuhvaćanje tražene populacije stanica, prema navedenim kriterijima. </w:t>
      </w:r>
    </w:p>
    <w:p w:rsidR="00CD495C" w:rsidRDefault="00CD495C" w:rsidP="00CD495C">
      <w:pPr>
        <w:spacing w:line="360" w:lineRule="auto"/>
        <w:jc w:val="both"/>
        <w:rPr>
          <w:lang w:val="pl-PL"/>
        </w:rPr>
      </w:pPr>
    </w:p>
    <w:p w:rsidR="00CD495C" w:rsidRDefault="00CD495C" w:rsidP="00CD495C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Rezultate mjerenja mogu se prikazati numerički ili grafički. Kod grafičkog prikaza razlikujemo histogram fluorescencije i točkasti prikaz. (S</w:t>
      </w:r>
      <w:r w:rsidR="005E62E6">
        <w:rPr>
          <w:lang w:val="pl-PL"/>
        </w:rPr>
        <w:t>lika 4</w:t>
      </w:r>
      <w:r>
        <w:rPr>
          <w:lang w:val="pl-PL"/>
        </w:rPr>
        <w:t>.)</w:t>
      </w:r>
    </w:p>
    <w:p w:rsidR="00AB7134" w:rsidRDefault="008951E8" w:rsidP="00CD495C">
      <w:pPr>
        <w:spacing w:line="360" w:lineRule="auto"/>
        <w:ind w:firstLine="708"/>
        <w:jc w:val="both"/>
        <w:rPr>
          <w:lang w:val="pl-PL"/>
        </w:rPr>
      </w:pPr>
      <w:r>
        <w:rPr>
          <w:noProof/>
          <w:lang w:val="hr-HR" w:eastAsia="hr-HR"/>
        </w:rPr>
        <w:drawing>
          <wp:inline distT="0" distB="0" distL="0" distR="0">
            <wp:extent cx="3924300" cy="5086350"/>
            <wp:effectExtent l="19050" t="0" r="0" b="0"/>
            <wp:docPr id="4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13" w:rsidRPr="001F0413" w:rsidRDefault="001F0413" w:rsidP="001F0413"/>
    <w:p w:rsidR="005E7664" w:rsidRDefault="005E7664" w:rsidP="001F0413">
      <w:pPr>
        <w:spacing w:line="360" w:lineRule="auto"/>
        <w:jc w:val="center"/>
        <w:rPr>
          <w:lang w:val="pl-PL"/>
        </w:rPr>
      </w:pPr>
    </w:p>
    <w:p w:rsidR="001F0413" w:rsidRDefault="001F0413" w:rsidP="001F0413">
      <w:pPr>
        <w:pStyle w:val="Caption"/>
        <w:jc w:val="center"/>
      </w:pPr>
      <w:r>
        <w:t xml:space="preserve">Slika </w:t>
      </w:r>
      <w:fldSimple w:instr=" SEQ Slika \* ARABIC ">
        <w:r w:rsidR="00755C41">
          <w:rPr>
            <w:noProof/>
          </w:rPr>
          <w:t>4</w:t>
        </w:r>
      </w:fldSimple>
      <w:r>
        <w:t>. Grafički prikaz - histogram fluorescencije i točkasti prikaz</w:t>
      </w:r>
    </w:p>
    <w:p w:rsidR="000A6222" w:rsidRDefault="000A6222" w:rsidP="00CD495C">
      <w:pPr>
        <w:pStyle w:val="Heading1"/>
        <w:jc w:val="both"/>
        <w:rPr>
          <w:kern w:val="0"/>
          <w:lang w:eastAsia="hr-BA"/>
        </w:rPr>
      </w:pPr>
      <w:bookmarkStart w:id="12" w:name="_Toc392459999"/>
      <w:r>
        <w:rPr>
          <w:kern w:val="0"/>
          <w:lang w:eastAsia="hr-BA"/>
        </w:rPr>
        <w:lastRenderedPageBreak/>
        <w:t>2. CILJ RADA</w:t>
      </w:r>
      <w:bookmarkEnd w:id="12"/>
    </w:p>
    <w:p w:rsidR="000A6222" w:rsidRDefault="000A6222" w:rsidP="00CD495C">
      <w:pPr>
        <w:spacing w:line="360" w:lineRule="auto"/>
        <w:jc w:val="both"/>
        <w:rPr>
          <w:kern w:val="0"/>
          <w:lang w:eastAsia="hr-BA"/>
        </w:rPr>
      </w:pPr>
    </w:p>
    <w:p w:rsidR="006A6B49" w:rsidRDefault="006A6B49" w:rsidP="00CD495C">
      <w:pPr>
        <w:spacing w:line="360" w:lineRule="auto"/>
        <w:ind w:firstLine="708"/>
        <w:jc w:val="both"/>
        <w:rPr>
          <w:kern w:val="0"/>
          <w:lang w:eastAsia="hr-BA"/>
        </w:rPr>
      </w:pPr>
      <w:r w:rsidRPr="006A6B49">
        <w:rPr>
          <w:kern w:val="0"/>
          <w:lang w:eastAsia="hr-BA"/>
        </w:rPr>
        <w:t>Cilj ovog rada</w:t>
      </w:r>
      <w:r>
        <w:rPr>
          <w:kern w:val="0"/>
          <w:lang w:eastAsia="hr-BA"/>
        </w:rPr>
        <w:t xml:space="preserve"> bilo je odrediti izražaj CD34</w:t>
      </w:r>
      <w:r w:rsidR="00781A99">
        <w:rPr>
          <w:kern w:val="0"/>
          <w:lang w:eastAsia="hr-BA"/>
        </w:rPr>
        <w:t xml:space="preserve"> i CD77 biljega</w:t>
      </w:r>
      <w:r>
        <w:rPr>
          <w:kern w:val="0"/>
          <w:lang w:eastAsia="hr-BA"/>
        </w:rPr>
        <w:t xml:space="preserve"> na plazma membrani srčanih stanica</w:t>
      </w:r>
      <w:r w:rsidRPr="006A6B49">
        <w:rPr>
          <w:kern w:val="0"/>
          <w:lang w:eastAsia="hr-BA"/>
        </w:rPr>
        <w:t xml:space="preserve"> </w:t>
      </w:r>
      <w:r>
        <w:rPr>
          <w:kern w:val="0"/>
          <w:lang w:eastAsia="hr-BA"/>
        </w:rPr>
        <w:t>hiperkalcijemi</w:t>
      </w:r>
      <w:r w:rsidR="001A2E09">
        <w:rPr>
          <w:kern w:val="0"/>
          <w:lang w:eastAsia="hr-BA"/>
        </w:rPr>
        <w:t>čnih štakora</w:t>
      </w:r>
      <w:r w:rsidRPr="006A6B49">
        <w:rPr>
          <w:kern w:val="0"/>
          <w:lang w:eastAsia="hr-BA"/>
        </w:rPr>
        <w:t xml:space="preserve"> u usporedbi s</w:t>
      </w:r>
      <w:r>
        <w:rPr>
          <w:kern w:val="0"/>
          <w:lang w:eastAsia="hr-BA"/>
        </w:rPr>
        <w:t xml:space="preserve"> izražajem na plazma membrani srčanih stanica</w:t>
      </w:r>
      <w:r w:rsidR="001A2E09">
        <w:rPr>
          <w:kern w:val="0"/>
          <w:lang w:eastAsia="hr-BA"/>
        </w:rPr>
        <w:t xml:space="preserve"> kontrolnih štakora.</w:t>
      </w: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13BEC" w:rsidRDefault="00113BEC" w:rsidP="00CD495C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0A6222" w:rsidRDefault="000A6222" w:rsidP="00CD495C">
      <w:pPr>
        <w:pStyle w:val="Heading1"/>
        <w:jc w:val="both"/>
      </w:pPr>
    </w:p>
    <w:p w:rsidR="00AB7134" w:rsidRDefault="00AB7134" w:rsidP="00CD495C">
      <w:pPr>
        <w:pStyle w:val="Heading1"/>
        <w:jc w:val="both"/>
        <w:rPr>
          <w:rFonts w:ascii="Times New Roman" w:hAnsi="Times New Roman" w:cs="Times New Roman"/>
          <w:b w:val="0"/>
          <w:bCs w:val="0"/>
          <w:kern w:val="2"/>
          <w:sz w:val="24"/>
          <w:szCs w:val="20"/>
        </w:rPr>
      </w:pPr>
    </w:p>
    <w:p w:rsidR="001A2E09" w:rsidRDefault="001A2E09" w:rsidP="00CD495C">
      <w:pPr>
        <w:jc w:val="both"/>
      </w:pPr>
    </w:p>
    <w:p w:rsidR="00AB7134" w:rsidRDefault="00AB7134" w:rsidP="00AB7134">
      <w:pPr>
        <w:pStyle w:val="Heading1"/>
        <w:jc w:val="both"/>
      </w:pPr>
      <w:bookmarkStart w:id="13" w:name="_Toc392460000"/>
      <w:r>
        <w:lastRenderedPageBreak/>
        <w:t xml:space="preserve">3. </w:t>
      </w:r>
      <w:r w:rsidRPr="00796FC1">
        <w:t>MATERIJALI I METODE</w:t>
      </w:r>
      <w:bookmarkEnd w:id="13"/>
    </w:p>
    <w:p w:rsidR="00AB7134" w:rsidRPr="00AB7134" w:rsidRDefault="00AB7134" w:rsidP="00AB7134"/>
    <w:p w:rsidR="001A2E09" w:rsidRPr="001A2E09" w:rsidRDefault="001A2E09" w:rsidP="00CD495C">
      <w:pPr>
        <w:pStyle w:val="Heading2"/>
        <w:jc w:val="both"/>
      </w:pPr>
      <w:bookmarkStart w:id="14" w:name="_Toc392460001"/>
      <w:r>
        <w:t>3.1. Životinje</w:t>
      </w:r>
      <w:bookmarkEnd w:id="14"/>
    </w:p>
    <w:p w:rsidR="000A6222" w:rsidRDefault="000A6222" w:rsidP="00CD495C">
      <w:pPr>
        <w:jc w:val="both"/>
      </w:pPr>
    </w:p>
    <w:p w:rsidR="005C0584" w:rsidRDefault="005C0584" w:rsidP="00CD495C">
      <w:pPr>
        <w:spacing w:line="360" w:lineRule="auto"/>
        <w:jc w:val="both"/>
        <w:rPr>
          <w:kern w:val="0"/>
        </w:rPr>
      </w:pPr>
      <w:r>
        <w:t xml:space="preserve"> </w:t>
      </w:r>
      <w:r>
        <w:tab/>
      </w:r>
      <w:r w:rsidR="001A2E09">
        <w:t>Štakori, muž</w:t>
      </w:r>
      <w:r w:rsidR="00796FC1">
        <w:t>jaci soja</w:t>
      </w:r>
      <w:r w:rsidR="00796FC1" w:rsidRPr="00796FC1">
        <w:rPr>
          <w:kern w:val="0"/>
        </w:rPr>
        <w:t xml:space="preserve"> </w:t>
      </w:r>
      <w:r w:rsidR="00796FC1" w:rsidRPr="00796FC1">
        <w:t>Sprague – Dawley</w:t>
      </w:r>
      <w:r w:rsidR="00796FC1">
        <w:t>,  bili su uzgajani pod kontro</w:t>
      </w:r>
      <w:r>
        <w:t>liranim uv</w:t>
      </w:r>
      <w:r w:rsidR="00796FC1">
        <w:t>jetima (temperatura 22</w:t>
      </w:r>
      <w:r w:rsidR="00667597">
        <w:t xml:space="preserve"> </w:t>
      </w:r>
      <w:r w:rsidR="00796FC1">
        <w:t>±</w:t>
      </w:r>
      <w:r w:rsidR="00667597">
        <w:t xml:space="preserve"> </w:t>
      </w:r>
      <w:smartTag w:uri="urn:schemas-microsoft-com:office:smarttags" w:element="metricconverter">
        <w:smartTagPr>
          <w:attr w:name="ProductID" w:val="1 ﾰC"/>
        </w:smartTagPr>
        <w:r w:rsidR="00796FC1">
          <w:t xml:space="preserve">1 </w:t>
        </w:r>
        <w:r w:rsidR="00796FC1" w:rsidRPr="00796FC1">
          <w:rPr>
            <w:kern w:val="0"/>
          </w:rPr>
          <w:t>°C</w:t>
        </w:r>
      </w:smartTag>
      <w:r w:rsidR="001A2E09">
        <w:rPr>
          <w:kern w:val="0"/>
        </w:rPr>
        <w:t>, raspored sv</w:t>
      </w:r>
      <w:r w:rsidR="00796FC1">
        <w:rPr>
          <w:kern w:val="0"/>
        </w:rPr>
        <w:t>jetla: dan 14h, noć 10h)</w:t>
      </w:r>
      <w:r>
        <w:rPr>
          <w:kern w:val="0"/>
        </w:rPr>
        <w:t xml:space="preserve"> u </w:t>
      </w:r>
      <w:r w:rsidR="00796FC1" w:rsidRPr="005C0584">
        <w:rPr>
          <w:kern w:val="0"/>
        </w:rPr>
        <w:t>Sveučilišnoj nastambi za pokusne životinje Sveučilišta u Splitu</w:t>
      </w:r>
      <w:r>
        <w:rPr>
          <w:kern w:val="0"/>
        </w:rPr>
        <w:t>. Uzgojeni su sa dijetnom hranom 4RF21 GLP iz M</w:t>
      </w:r>
      <w:r w:rsidR="001A2E09">
        <w:rPr>
          <w:kern w:val="0"/>
        </w:rPr>
        <w:t>ucedola (Settimo Milanese, Italija</w:t>
      </w:r>
      <w:r>
        <w:rPr>
          <w:kern w:val="0"/>
        </w:rPr>
        <w:t>), sa sljedećim nutritivnim vrijednostima (po kg hrane):</w:t>
      </w:r>
    </w:p>
    <w:p w:rsidR="00796FC1" w:rsidRDefault="005C0584" w:rsidP="00CD495C">
      <w:pPr>
        <w:numPr>
          <w:ilvl w:val="0"/>
          <w:numId w:val="2"/>
        </w:numPr>
        <w:spacing w:line="360" w:lineRule="auto"/>
        <w:jc w:val="both"/>
        <w:rPr>
          <w:kern w:val="0"/>
        </w:rPr>
      </w:pPr>
      <w:r>
        <w:rPr>
          <w:kern w:val="0"/>
        </w:rPr>
        <w:t>Vitamin D3 – 1,260 UI/kg</w:t>
      </w:r>
    </w:p>
    <w:p w:rsidR="005C0584" w:rsidRDefault="005C0584" w:rsidP="00CD495C">
      <w:pPr>
        <w:numPr>
          <w:ilvl w:val="0"/>
          <w:numId w:val="2"/>
        </w:numPr>
        <w:spacing w:line="360" w:lineRule="auto"/>
        <w:jc w:val="both"/>
        <w:rPr>
          <w:kern w:val="0"/>
        </w:rPr>
      </w:pPr>
      <w:r>
        <w:rPr>
          <w:kern w:val="0"/>
        </w:rPr>
        <w:t>Kalcij – 9,163 g/kg</w:t>
      </w:r>
    </w:p>
    <w:p w:rsidR="005C0584" w:rsidRDefault="005C0584" w:rsidP="00CD495C">
      <w:pPr>
        <w:numPr>
          <w:ilvl w:val="0"/>
          <w:numId w:val="2"/>
        </w:numPr>
        <w:spacing w:line="360" w:lineRule="auto"/>
        <w:jc w:val="both"/>
        <w:rPr>
          <w:kern w:val="0"/>
        </w:rPr>
      </w:pPr>
      <w:r>
        <w:rPr>
          <w:kern w:val="0"/>
        </w:rPr>
        <w:t xml:space="preserve">Fosfor </w:t>
      </w:r>
      <w:r w:rsidR="00DB5C80">
        <w:rPr>
          <w:kern w:val="0"/>
        </w:rPr>
        <w:t>–</w:t>
      </w:r>
      <w:r>
        <w:rPr>
          <w:kern w:val="0"/>
        </w:rPr>
        <w:t xml:space="preserve"> </w:t>
      </w:r>
      <w:r w:rsidR="00DB5C80">
        <w:rPr>
          <w:kern w:val="0"/>
        </w:rPr>
        <w:t>7,589 g/kg</w:t>
      </w:r>
    </w:p>
    <w:p w:rsidR="00DB5C80" w:rsidRDefault="001A2E09" w:rsidP="00CD495C">
      <w:pPr>
        <w:spacing w:line="360" w:lineRule="auto"/>
        <w:jc w:val="both"/>
        <w:rPr>
          <w:kern w:val="0"/>
        </w:rPr>
      </w:pPr>
      <w:r>
        <w:rPr>
          <w:kern w:val="0"/>
        </w:rPr>
        <w:t>Uv</w:t>
      </w:r>
      <w:r w:rsidR="00DB5C80">
        <w:rPr>
          <w:kern w:val="0"/>
        </w:rPr>
        <w:t>jeti uzgajanja i držan</w:t>
      </w:r>
      <w:r w:rsidR="00783E21">
        <w:rPr>
          <w:kern w:val="0"/>
        </w:rPr>
        <w:t xml:space="preserve">ja štakora bili su sukladno </w:t>
      </w:r>
      <w:r w:rsidR="00DB5C80" w:rsidRPr="00796FC1">
        <w:rPr>
          <w:kern w:val="0"/>
        </w:rPr>
        <w:t>Vodiču za njegu i korištenje labo</w:t>
      </w:r>
      <w:r w:rsidR="00783E21">
        <w:rPr>
          <w:kern w:val="0"/>
        </w:rPr>
        <w:t>ratorijskih životinja</w:t>
      </w:r>
      <w:r w:rsidR="00DB5C80">
        <w:rPr>
          <w:kern w:val="0"/>
        </w:rPr>
        <w:t xml:space="preserve"> (NIH, 19</w:t>
      </w:r>
      <w:r w:rsidR="00783E21">
        <w:rPr>
          <w:kern w:val="0"/>
        </w:rPr>
        <w:t xml:space="preserve">85.) te je protokol odobren od </w:t>
      </w:r>
      <w:r w:rsidR="00DB5C80" w:rsidRPr="00796FC1">
        <w:rPr>
          <w:kern w:val="0"/>
        </w:rPr>
        <w:t>Etičkog povjerenstva Medicinskog fakulteta Sveučilišta u Splitu</w:t>
      </w:r>
      <w:r w:rsidR="00DB5C80">
        <w:rPr>
          <w:kern w:val="0"/>
        </w:rPr>
        <w:t>.</w:t>
      </w:r>
      <w:r w:rsidR="00796FC1" w:rsidRPr="00796FC1">
        <w:rPr>
          <w:kern w:val="0"/>
        </w:rPr>
        <w:tab/>
      </w:r>
    </w:p>
    <w:p w:rsidR="000A6222" w:rsidRDefault="000A6222" w:rsidP="00CD495C">
      <w:pPr>
        <w:spacing w:line="360" w:lineRule="auto"/>
        <w:jc w:val="both"/>
        <w:rPr>
          <w:kern w:val="0"/>
        </w:rPr>
      </w:pPr>
    </w:p>
    <w:p w:rsidR="00BD7AF9" w:rsidRDefault="00DB5C80" w:rsidP="00CD495C">
      <w:pPr>
        <w:spacing w:line="360" w:lineRule="auto"/>
        <w:jc w:val="both"/>
      </w:pPr>
      <w:r>
        <w:rPr>
          <w:kern w:val="0"/>
        </w:rPr>
        <w:tab/>
        <w:t>Da bi postigli hiperka</w:t>
      </w:r>
      <w:r w:rsidR="00783E21">
        <w:rPr>
          <w:kern w:val="0"/>
        </w:rPr>
        <w:t>lcijemiju, 6 tjedana starim muž</w:t>
      </w:r>
      <w:r>
        <w:rPr>
          <w:kern w:val="0"/>
        </w:rPr>
        <w:t xml:space="preserve">jacima štakora soja </w:t>
      </w:r>
      <w:r w:rsidRPr="00796FC1">
        <w:t>Sprague – Dawley</w:t>
      </w:r>
      <w:r>
        <w:t>, davala s</w:t>
      </w:r>
      <w:r w:rsidR="005D4A01">
        <w:t xml:space="preserve">e voda koja </w:t>
      </w:r>
      <w:r w:rsidR="00783E21">
        <w:t xml:space="preserve">je bila bogata </w:t>
      </w:r>
      <w:r w:rsidR="00783E21" w:rsidRPr="00783E21">
        <w:t>CaCl</w:t>
      </w:r>
      <w:r w:rsidR="00783E21" w:rsidRPr="00783E21">
        <w:rPr>
          <w:vertAlign w:val="subscript"/>
        </w:rPr>
        <w:t>2</w:t>
      </w:r>
      <w:r>
        <w:t xml:space="preserve"> (</w:t>
      </w:r>
      <w:r w:rsidR="00783E21">
        <w:t xml:space="preserve">elementarni kalcij u koncentraciji </w:t>
      </w:r>
      <w:r>
        <w:t>1,5%</w:t>
      </w:r>
      <w:r w:rsidR="00783E21">
        <w:t xml:space="preserve">). Period </w:t>
      </w:r>
      <w:r w:rsidR="00667597">
        <w:t>u kojem su š</w:t>
      </w:r>
      <w:r w:rsidR="00783E21">
        <w:t xml:space="preserve">takori pili vodu obogaćenu </w:t>
      </w:r>
      <w:r w:rsidR="00783E21" w:rsidRPr="00783E21">
        <w:t>CaCl</w:t>
      </w:r>
      <w:r w:rsidR="00783E21" w:rsidRPr="00783E21">
        <w:rPr>
          <w:vertAlign w:val="subscript"/>
        </w:rPr>
        <w:t>2</w:t>
      </w:r>
      <w:r w:rsidR="00783E21">
        <w:t xml:space="preserve"> </w:t>
      </w:r>
      <w:r w:rsidR="00667597">
        <w:t>bio</w:t>
      </w:r>
      <w:r w:rsidR="00783E21">
        <w:t xml:space="preserve"> je</w:t>
      </w:r>
      <w:r w:rsidR="00667597">
        <w:t xml:space="preserve"> 14 dana. Tijekom istraživanja dva </w:t>
      </w:r>
      <w:r w:rsidR="00783E21">
        <w:t xml:space="preserve">štakora su bila isključena iz studije </w:t>
      </w:r>
      <w:r w:rsidR="00667597">
        <w:t xml:space="preserve"> jer nisu razvili hiperkalcijemiju. Nijedan štakor nije tijekom istraživanja uginuo. Grupu hiperkalc</w:t>
      </w:r>
      <w:r w:rsidR="005D4A01">
        <w:t>ij</w:t>
      </w:r>
      <w:r w:rsidR="00667597">
        <w:t>emičnih štakora činilo je 8 štakora. Hiperkalc</w:t>
      </w:r>
      <w:r w:rsidR="005D4A01">
        <w:t>ij</w:t>
      </w:r>
      <w:r w:rsidR="00783E21">
        <w:t xml:space="preserve">emični štakori su na kraju </w:t>
      </w:r>
      <w:r w:rsidR="00667597">
        <w:t>istraživanja težili 199,5 ± 8,6g.</w:t>
      </w:r>
    </w:p>
    <w:p w:rsidR="000A6222" w:rsidRDefault="000A6222" w:rsidP="00CD495C">
      <w:pPr>
        <w:spacing w:line="360" w:lineRule="auto"/>
        <w:jc w:val="both"/>
      </w:pPr>
    </w:p>
    <w:p w:rsidR="00BD7AF9" w:rsidRDefault="00667597" w:rsidP="00CD495C">
      <w:pPr>
        <w:spacing w:line="360" w:lineRule="auto"/>
        <w:ind w:firstLine="708"/>
        <w:jc w:val="both"/>
      </w:pPr>
      <w:r>
        <w:t>Kontr</w:t>
      </w:r>
      <w:r w:rsidR="00BD7AF9">
        <w:t xml:space="preserve">olnoj skupini, osam tjedana starim </w:t>
      </w:r>
      <w:r>
        <w:t>m</w:t>
      </w:r>
      <w:r w:rsidR="00BD7AF9">
        <w:t>užjacima</w:t>
      </w:r>
      <w:r>
        <w:t xml:space="preserve"> št</w:t>
      </w:r>
      <w:r w:rsidR="00BD7AF9">
        <w:t>akora</w:t>
      </w:r>
      <w:r>
        <w:t xml:space="preserve"> soja </w:t>
      </w:r>
      <w:r w:rsidRPr="00796FC1">
        <w:t>Sprague – Dawley</w:t>
      </w:r>
      <w:r w:rsidR="00BD7AF9">
        <w:t xml:space="preserve"> (n=9), čija je težina bila 202.0 ± </w:t>
      </w:r>
      <w:smartTag w:uri="urn:schemas-microsoft-com:office:smarttags" w:element="metricconverter">
        <w:smartTagPr>
          <w:attr w:name="ProductID" w:val="6,6 g"/>
        </w:smartTagPr>
        <w:r w:rsidR="00BD7AF9">
          <w:t>6,6 g</w:t>
        </w:r>
      </w:smartTag>
      <w:r w:rsidR="00BD7AF9">
        <w:t>,</w:t>
      </w:r>
      <w:r>
        <w:t xml:space="preserve"> </w:t>
      </w:r>
      <w:r w:rsidR="00BD7AF9">
        <w:t>davala se prir</w:t>
      </w:r>
      <w:r w:rsidR="00783E21">
        <w:t>odna voda. Sve životinje žrtvovane</w:t>
      </w:r>
      <w:r w:rsidR="00BD7AF9">
        <w:t xml:space="preserve"> su produljenom anestezijom (dietil eter).</w:t>
      </w:r>
    </w:p>
    <w:p w:rsidR="00783E21" w:rsidRDefault="00783E21" w:rsidP="00CD495C">
      <w:pPr>
        <w:spacing w:line="360" w:lineRule="auto"/>
        <w:ind w:firstLine="708"/>
        <w:jc w:val="both"/>
      </w:pPr>
    </w:p>
    <w:p w:rsidR="00783E21" w:rsidRDefault="00783E21" w:rsidP="00CD495C">
      <w:pPr>
        <w:pStyle w:val="Heading2"/>
        <w:jc w:val="both"/>
      </w:pPr>
      <w:bookmarkStart w:id="15" w:name="_Toc392460002"/>
      <w:r>
        <w:t>3.2. Određivanje koncentracije kalcija</w:t>
      </w:r>
      <w:bookmarkEnd w:id="15"/>
    </w:p>
    <w:p w:rsidR="000A6222" w:rsidRDefault="000A6222" w:rsidP="00CD495C">
      <w:pPr>
        <w:spacing w:line="360" w:lineRule="auto"/>
        <w:ind w:firstLine="708"/>
        <w:jc w:val="both"/>
      </w:pPr>
    </w:p>
    <w:p w:rsidR="00BD7AF9" w:rsidRDefault="00783E21" w:rsidP="00CD495C">
      <w:pPr>
        <w:spacing w:line="360" w:lineRule="auto"/>
        <w:ind w:firstLine="708"/>
        <w:jc w:val="both"/>
      </w:pPr>
      <w:r>
        <w:t>Za određivanje koncentracije</w:t>
      </w:r>
      <w:r w:rsidR="00BD7AF9">
        <w:t xml:space="preserve"> kalcija uzeti s</w:t>
      </w:r>
      <w:r w:rsidR="00A34611">
        <w:t>u uzorci krvi iz j</w:t>
      </w:r>
      <w:r>
        <w:t>ugularne vene u staklenu Vacuetainer epruvetu</w:t>
      </w:r>
      <w:r w:rsidR="00A34611">
        <w:t xml:space="preserve"> koja je sadržavala litij-heparin </w:t>
      </w:r>
      <w:r>
        <w:t xml:space="preserve"> prije žrtvovanja štakora. Koncentracija</w:t>
      </w:r>
      <w:r w:rsidR="00A34611">
        <w:t xml:space="preserve"> ioniz</w:t>
      </w:r>
      <w:r>
        <w:t>iranog kalcija u plazmi mjerila se</w:t>
      </w:r>
      <w:r w:rsidR="00A34611">
        <w:t xml:space="preserve"> </w:t>
      </w:r>
      <w:r>
        <w:t>na ion-selektivnoj elektrodi na</w:t>
      </w:r>
      <w:r w:rsidR="00A34611">
        <w:t xml:space="preserve"> Blood Gas Analyzer Rapid Lab Model 348 (Bayer Diagnostics, Toronto, Kanada). Konce</w:t>
      </w:r>
      <w:r>
        <w:t>ntracija</w:t>
      </w:r>
      <w:r w:rsidR="00A34611">
        <w:t xml:space="preserve"> </w:t>
      </w:r>
      <w:r>
        <w:t xml:space="preserve">ukupnog kalcija u plazmi mjerena je </w:t>
      </w:r>
      <w:r w:rsidR="00A34611">
        <w:t>Autoanalyzer</w:t>
      </w:r>
      <w:r>
        <w:t>-om</w:t>
      </w:r>
      <w:r w:rsidR="00A34611">
        <w:t xml:space="preserve"> AU 2700 (Olympus Corporation, Mishima Olympus Co. </w:t>
      </w:r>
      <w:r w:rsidR="00A34611">
        <w:lastRenderedPageBreak/>
        <w:t>Ltd., Shizuoka, Japan).</w:t>
      </w:r>
    </w:p>
    <w:p w:rsidR="00783E21" w:rsidRDefault="00783E21" w:rsidP="00CD495C">
      <w:pPr>
        <w:spacing w:line="360" w:lineRule="auto"/>
        <w:ind w:firstLine="708"/>
        <w:jc w:val="both"/>
      </w:pPr>
    </w:p>
    <w:p w:rsidR="00783E21" w:rsidRDefault="00F53A3F" w:rsidP="00CD495C">
      <w:pPr>
        <w:pStyle w:val="Heading2"/>
        <w:jc w:val="both"/>
      </w:pPr>
      <w:bookmarkStart w:id="16" w:name="_Toc392460003"/>
      <w:r>
        <w:t>3.3. Obrada rezultata</w:t>
      </w:r>
      <w:bookmarkEnd w:id="16"/>
    </w:p>
    <w:p w:rsidR="000A6222" w:rsidRDefault="000A6222" w:rsidP="00CD495C">
      <w:pPr>
        <w:spacing w:line="360" w:lineRule="auto"/>
        <w:jc w:val="both"/>
      </w:pPr>
    </w:p>
    <w:p w:rsidR="00F53A3F" w:rsidRDefault="00A34611" w:rsidP="00CD495C">
      <w:pPr>
        <w:spacing w:line="360" w:lineRule="auto"/>
        <w:ind w:firstLine="708"/>
        <w:jc w:val="both"/>
      </w:pPr>
      <w:r>
        <w:t>Štakorima iz kontrolne i hiperkalc</w:t>
      </w:r>
      <w:r w:rsidR="00F53A3F">
        <w:t>ij</w:t>
      </w:r>
      <w:r>
        <w:t>emične skupine, nakon</w:t>
      </w:r>
      <w:r w:rsidR="00F53A3F">
        <w:t xml:space="preserve"> žrtvovanja, izvađena su tkiva srca. Vršak srca je isjeckan</w:t>
      </w:r>
      <w:r w:rsidR="00C27B54">
        <w:t xml:space="preserve"> s</w:t>
      </w:r>
      <w:r w:rsidR="00F53A3F">
        <w:t xml:space="preserve">a škarama i inkubiran </w:t>
      </w:r>
      <w:r w:rsidR="00C27B54">
        <w:t xml:space="preserve">u otopinu od </w:t>
      </w:r>
      <w:smartTag w:uri="urn:schemas-microsoft-com:office:smarttags" w:element="metricconverter">
        <w:smartTagPr>
          <w:attr w:name="ProductID" w:val="0,1 M"/>
        </w:smartTagPr>
        <w:r w:rsidR="00C27B54">
          <w:t>0,1 M</w:t>
        </w:r>
      </w:smartTag>
      <w:r w:rsidR="00F53A3F">
        <w:t xml:space="preserve"> fosfatnog pufera (PBS, od eng. </w:t>
      </w:r>
      <w:r w:rsidR="00F53A3F">
        <w:rPr>
          <w:i/>
        </w:rPr>
        <w:t>phosphate buffer solution</w:t>
      </w:r>
      <w:r w:rsidR="00F53A3F">
        <w:t>) s 0,2% kolagenazom</w:t>
      </w:r>
      <w:r w:rsidR="00C27B54">
        <w:t xml:space="preserve"> tipa IA (iz </w:t>
      </w:r>
      <w:r w:rsidR="00C27B54" w:rsidRPr="00C27B54">
        <w:rPr>
          <w:i/>
        </w:rPr>
        <w:t>Clostridium histolyticum</w:t>
      </w:r>
      <w:r w:rsidR="00F53A3F">
        <w:t xml:space="preserve">, SIGMA, St. Louis, MO, SAD) </w:t>
      </w:r>
      <w:r w:rsidR="00FA059E">
        <w:t>1h na</w:t>
      </w:r>
      <w:r w:rsidR="00C27B54">
        <w:t xml:space="preserve"> </w:t>
      </w:r>
      <w:smartTag w:uri="urn:schemas-microsoft-com:office:smarttags" w:element="metricconverter">
        <w:smartTagPr>
          <w:attr w:name="ProductID" w:val="37 ﾰC"/>
        </w:smartTagPr>
        <w:r w:rsidR="00C27B54">
          <w:t>37</w:t>
        </w:r>
        <w:r w:rsidR="00F53A3F">
          <w:t xml:space="preserve"> </w:t>
        </w:r>
        <w:r w:rsidR="00C27B54">
          <w:t>°</w:t>
        </w:r>
        <w:r w:rsidR="00FA059E">
          <w:t>C</w:t>
        </w:r>
      </w:smartTag>
      <w:r w:rsidR="00F53A3F">
        <w:t xml:space="preserve"> uz lagano miješanje. Stanična suspenzija je filtrirana</w:t>
      </w:r>
      <w:r w:rsidR="00FA059E">
        <w:t xml:space="preserve"> kroz 40</w:t>
      </w:r>
      <w:r w:rsidR="00FA059E" w:rsidRPr="00FA059E">
        <w:t xml:space="preserve"> </w:t>
      </w:r>
      <w:r w:rsidR="00FA059E" w:rsidRPr="00570204">
        <w:t>μm</w:t>
      </w:r>
      <w:r w:rsidR="00FA059E">
        <w:t xml:space="preserve"> najlo</w:t>
      </w:r>
      <w:r w:rsidR="00F53A3F">
        <w:t>n</w:t>
      </w:r>
      <w:r w:rsidR="00FA059E">
        <w:t>sku mrežicu (Cell Strainer; BD Biosc</w:t>
      </w:r>
      <w:r w:rsidR="00F53A3F">
        <w:t>iences, San Jose, CA, SAD</w:t>
      </w:r>
      <w:r w:rsidR="00FA059E">
        <w:t xml:space="preserve">) i napravljena je suspenzija od 1,0 x </w:t>
      </w:r>
      <w:r w:rsidR="00F53A3F">
        <w:t>10</w:t>
      </w:r>
      <w:r w:rsidR="00F53A3F">
        <w:rPr>
          <w:vertAlign w:val="superscript"/>
        </w:rPr>
        <w:t>6</w:t>
      </w:r>
      <w:r w:rsidR="00F53A3F">
        <w:t xml:space="preserve"> </w:t>
      </w:r>
      <w:r w:rsidR="009E6F1D">
        <w:t>stanica na</w:t>
      </w:r>
      <w:r w:rsidR="00F53A3F">
        <w:t xml:space="preserve"> ml</w:t>
      </w:r>
      <w:r w:rsidR="009E6F1D">
        <w:t xml:space="preserve"> </w:t>
      </w:r>
      <w:smartTag w:uri="urn:schemas-microsoft-com:office:smarttags" w:element="metricconverter">
        <w:smartTagPr>
          <w:attr w:name="ProductID" w:val="0,1 M"/>
        </w:smartTagPr>
        <w:r w:rsidR="009E6F1D">
          <w:t>0,1 M</w:t>
        </w:r>
      </w:smartTag>
      <w:r w:rsidR="009E6F1D">
        <w:t xml:space="preserve"> PBS-a. </w:t>
      </w:r>
    </w:p>
    <w:p w:rsidR="00F53A3F" w:rsidRDefault="00F53A3F" w:rsidP="00CD495C">
      <w:pPr>
        <w:spacing w:line="360" w:lineRule="auto"/>
        <w:ind w:firstLine="708"/>
        <w:jc w:val="both"/>
      </w:pPr>
    </w:p>
    <w:p w:rsidR="00F53A3F" w:rsidRDefault="00F53A3F" w:rsidP="00CD495C">
      <w:pPr>
        <w:pStyle w:val="Heading2"/>
        <w:jc w:val="both"/>
      </w:pPr>
      <w:bookmarkStart w:id="17" w:name="_Toc392460004"/>
      <w:r>
        <w:t>3.4. Protočna citometrija</w:t>
      </w:r>
      <w:bookmarkEnd w:id="17"/>
    </w:p>
    <w:p w:rsidR="00F53A3F" w:rsidRDefault="00F53A3F" w:rsidP="00CD495C">
      <w:pPr>
        <w:spacing w:line="360" w:lineRule="auto"/>
        <w:jc w:val="both"/>
      </w:pPr>
    </w:p>
    <w:p w:rsidR="00BD7AF9" w:rsidRDefault="009E6F1D" w:rsidP="00CD495C">
      <w:pPr>
        <w:spacing w:line="360" w:lineRule="auto"/>
        <w:ind w:firstLine="708"/>
        <w:jc w:val="both"/>
      </w:pPr>
      <w:r>
        <w:t>Stanice</w:t>
      </w:r>
      <w:r w:rsidR="00F53A3F">
        <w:t xml:space="preserve"> srca (10</w:t>
      </w:r>
      <w:r w:rsidR="00F53A3F">
        <w:rPr>
          <w:vertAlign w:val="superscript"/>
        </w:rPr>
        <w:t>6</w:t>
      </w:r>
      <w:r w:rsidR="00F53A3F">
        <w:t>) su inkubirane 30 min na ledu u mraku s protu-CD34 protutijelom konjugiranim s fikoeritrin-cijaninom (PC5) (</w:t>
      </w:r>
      <w:r w:rsidR="008356CF">
        <w:t>Beckman Coulter, Brea, CA, SAD)</w:t>
      </w:r>
      <w:r w:rsidR="008356CF" w:rsidRPr="008356CF">
        <w:rPr>
          <w:rFonts w:eastAsia="Times New Roman"/>
          <w:kern w:val="0"/>
          <w:szCs w:val="24"/>
          <w:lang w:val="en-US" w:eastAsia="hr-BA"/>
        </w:rPr>
        <w:t xml:space="preserve"> </w:t>
      </w:r>
      <w:r w:rsidR="008356CF">
        <w:rPr>
          <w:rFonts w:eastAsia="Times New Roman"/>
          <w:kern w:val="0"/>
          <w:szCs w:val="24"/>
          <w:lang w:val="en-US" w:eastAsia="hr-BA"/>
        </w:rPr>
        <w:t xml:space="preserve">a monoklonsko CD77 protutijelo, konjugirano sa fluorescein izotiocijanatom (FITC, BD Pharmingen, </w:t>
      </w:r>
      <w:r w:rsidR="008356CF">
        <w:rPr>
          <w:rFonts w:eastAsia="Times New Roman"/>
          <w:color w:val="000000"/>
          <w:kern w:val="0"/>
          <w:szCs w:val="24"/>
          <w:lang w:val="en-US" w:eastAsia="hr-BA"/>
        </w:rPr>
        <w:t>Erembodegem, Belgija</w:t>
      </w:r>
      <w:r w:rsidR="008356CF">
        <w:rPr>
          <w:rFonts w:eastAsia="Times New Roman"/>
          <w:kern w:val="0"/>
          <w:szCs w:val="24"/>
          <w:lang w:val="en-US" w:eastAsia="hr-BA"/>
        </w:rPr>
        <w:t>).</w:t>
      </w:r>
      <w:r w:rsidR="00F53A3F">
        <w:t xml:space="preserve"> Nakon dva ispiranja s</w:t>
      </w:r>
      <w:r>
        <w:t xml:space="preserve"> </w:t>
      </w:r>
      <w:smartTag w:uri="urn:schemas-microsoft-com:office:smarttags" w:element="metricconverter">
        <w:smartTagPr>
          <w:attr w:name="ProductID" w:val="0,1 M"/>
        </w:smartTagPr>
        <w:r>
          <w:t>0,1 M</w:t>
        </w:r>
      </w:smartTag>
      <w:r>
        <w:t xml:space="preserve"> PBS</w:t>
      </w:r>
      <w:r w:rsidR="00F53A3F">
        <w:t>-om</w:t>
      </w:r>
      <w:r>
        <w:t>, stanice su resus</w:t>
      </w:r>
      <w:r w:rsidR="00F53A3F">
        <w:t>pendirane</w:t>
      </w:r>
      <w:r>
        <w:t xml:space="preserve"> u 1 mL 0,1 PBS-a. Na protočnom citometru Epics XL (</w:t>
      </w:r>
      <w:r w:rsidR="00F53A3F">
        <w:t xml:space="preserve">Beckman Coulter, Brea, CA, </w:t>
      </w:r>
      <w:r w:rsidR="003B2691">
        <w:t>SA</w:t>
      </w:r>
      <w:r w:rsidR="00F53A3F">
        <w:t xml:space="preserve">D) mjeren je postotak CD34+ </w:t>
      </w:r>
      <w:r w:rsidR="008356CF">
        <w:t xml:space="preserve">CD77- </w:t>
      </w:r>
      <w:r w:rsidR="00F53A3F">
        <w:t xml:space="preserve">stanica. </w:t>
      </w:r>
      <w:r w:rsidR="003B2691">
        <w:t xml:space="preserve">Uzorci </w:t>
      </w:r>
      <w:r w:rsidR="002B2E16">
        <w:t>izotopske kontrole</w:t>
      </w:r>
      <w:r w:rsidR="003B2691">
        <w:t xml:space="preserve"> i neobojanih stanica </w:t>
      </w:r>
      <w:r w:rsidR="002B2E16">
        <w:t xml:space="preserve">su </w:t>
      </w:r>
      <w:r w:rsidR="00651E2F">
        <w:t>korištene kao negativne  kontrole kako bi se</w:t>
      </w:r>
      <w:r w:rsidR="002B2E16">
        <w:t xml:space="preserve"> postavile regije analize. Analizirano je sveukupno 1 x 10</w:t>
      </w:r>
      <w:r w:rsidR="002B2E16">
        <w:rPr>
          <w:vertAlign w:val="superscript"/>
        </w:rPr>
        <w:t>5</w:t>
      </w:r>
      <w:r w:rsidR="00651E2F">
        <w:t xml:space="preserve"> stanica.</w:t>
      </w:r>
    </w:p>
    <w:p w:rsidR="002B2E16" w:rsidRDefault="002B2E16" w:rsidP="00CD495C">
      <w:pPr>
        <w:spacing w:line="360" w:lineRule="auto"/>
        <w:ind w:firstLine="708"/>
        <w:jc w:val="both"/>
      </w:pPr>
    </w:p>
    <w:p w:rsidR="002B2E16" w:rsidRDefault="00CD495C" w:rsidP="00CD495C">
      <w:pPr>
        <w:pStyle w:val="Heading2"/>
        <w:jc w:val="both"/>
      </w:pPr>
      <w:bookmarkStart w:id="18" w:name="_Toc392460005"/>
      <w:r>
        <w:t>3.5</w:t>
      </w:r>
      <w:r w:rsidR="002B2E16">
        <w:t>. Obrada rezultata</w:t>
      </w:r>
      <w:bookmarkEnd w:id="18"/>
    </w:p>
    <w:p w:rsidR="000A6222" w:rsidRDefault="000A6222" w:rsidP="00CD495C">
      <w:pPr>
        <w:spacing w:line="360" w:lineRule="auto"/>
        <w:jc w:val="both"/>
      </w:pPr>
    </w:p>
    <w:p w:rsidR="00D97DA4" w:rsidRDefault="00247090" w:rsidP="00CD495C">
      <w:pPr>
        <w:spacing w:line="360" w:lineRule="auto"/>
        <w:ind w:firstLine="708"/>
        <w:jc w:val="both"/>
      </w:pPr>
      <w:r>
        <w:t>Rezultati su iskazani kao srednja vrijednost ± standardna devijacija. Razlike u svim parametrima između hiperkalc</w:t>
      </w:r>
      <w:r w:rsidR="002B2E16">
        <w:t>ij</w:t>
      </w:r>
      <w:r>
        <w:t>emične i kontrolne skupine određene</w:t>
      </w:r>
      <w:r w:rsidR="002B2E16">
        <w:t xml:space="preserve"> su koristeći se</w:t>
      </w:r>
      <w:r>
        <w:t xml:space="preserve"> Mann-Whitney </w:t>
      </w:r>
      <w:r w:rsidRPr="00247090">
        <w:rPr>
          <w:i/>
        </w:rPr>
        <w:t>U</w:t>
      </w:r>
      <w:r>
        <w:t xml:space="preserve"> test</w:t>
      </w:r>
      <w:r w:rsidR="002B2E16">
        <w:t>om</w:t>
      </w:r>
      <w:r>
        <w:t xml:space="preserve">. </w:t>
      </w:r>
      <w:r w:rsidR="00AA1BF6">
        <w:t>Statistička značajnost koja je zadana je P &lt; 0,05.</w:t>
      </w:r>
    </w:p>
    <w:p w:rsidR="000A6222" w:rsidRDefault="000A6222" w:rsidP="00CD495C">
      <w:pPr>
        <w:spacing w:line="360" w:lineRule="auto"/>
        <w:ind w:firstLine="708"/>
        <w:jc w:val="both"/>
      </w:pPr>
    </w:p>
    <w:p w:rsidR="00781A99" w:rsidRPr="00781A99" w:rsidRDefault="002B2E16" w:rsidP="00781A99">
      <w:pPr>
        <w:spacing w:line="360" w:lineRule="auto"/>
        <w:ind w:firstLine="708"/>
        <w:jc w:val="both"/>
      </w:pPr>
      <w:r>
        <w:t xml:space="preserve">Podatci su analizirani </w:t>
      </w:r>
      <w:r w:rsidR="00137860">
        <w:t>statističkim softverom MedCalc za Windows, verzija 11.5.1.0 (MedCalc Software, Mariakerke, Belgija).</w:t>
      </w:r>
      <w:bookmarkStart w:id="19" w:name="_Toc392460006"/>
    </w:p>
    <w:bookmarkEnd w:id="19"/>
    <w:p w:rsidR="004946D3" w:rsidRDefault="004946D3" w:rsidP="004946D3"/>
    <w:p w:rsidR="004946D3" w:rsidRDefault="004946D3" w:rsidP="004946D3"/>
    <w:p w:rsidR="00781A99" w:rsidRPr="004946D3" w:rsidRDefault="00781A99" w:rsidP="004946D3"/>
    <w:p w:rsidR="00781A99" w:rsidRDefault="00781A99" w:rsidP="00781A99">
      <w:pPr>
        <w:pStyle w:val="Heading1"/>
        <w:jc w:val="both"/>
        <w:rPr>
          <w:kern w:val="0"/>
        </w:rPr>
      </w:pPr>
      <w:r>
        <w:rPr>
          <w:kern w:val="0"/>
        </w:rPr>
        <w:lastRenderedPageBreak/>
        <w:t>4. REZULTATI</w:t>
      </w:r>
    </w:p>
    <w:p w:rsidR="00781A99" w:rsidRPr="00781A99" w:rsidRDefault="00781A99" w:rsidP="00781A99"/>
    <w:p w:rsidR="00781A99" w:rsidRDefault="00781A99" w:rsidP="00781A99"/>
    <w:p w:rsidR="00610A2F" w:rsidRPr="00781A99" w:rsidRDefault="00781A99" w:rsidP="0049780F">
      <w:pPr>
        <w:pStyle w:val="Caption"/>
        <w:jc w:val="center"/>
        <w:rPr>
          <w:rFonts w:eastAsia="Times New Roman"/>
          <w:kern w:val="0"/>
          <w:szCs w:val="24"/>
          <w:lang w:eastAsia="hr-BA"/>
        </w:rPr>
      </w:pPr>
      <w:r>
        <w:t xml:space="preserve">Tablica </w:t>
      </w:r>
      <w:fldSimple w:instr=" SEQ Tablica \* ARABIC ">
        <w:r w:rsidR="00755C41">
          <w:rPr>
            <w:noProof/>
          </w:rPr>
          <w:t>1</w:t>
        </w:r>
      </w:fldSimple>
      <w:r>
        <w:t>.</w:t>
      </w:r>
      <w:r w:rsidRPr="004946D3">
        <w:rPr>
          <w:kern w:val="0"/>
          <w:lang w:val="en-US" w:eastAsia="hr-BA"/>
        </w:rPr>
        <w:t xml:space="preserve"> </w:t>
      </w:r>
      <w:r>
        <w:rPr>
          <w:kern w:val="0"/>
          <w:lang w:val="en-US" w:eastAsia="hr-BA"/>
        </w:rPr>
        <w:t>Uspo</w:t>
      </w:r>
      <w:r w:rsidR="0049780F">
        <w:rPr>
          <w:kern w:val="0"/>
          <w:lang w:val="en-US" w:eastAsia="hr-BA"/>
        </w:rPr>
        <w:t>redba postotaka CD34+CD77-, CD34+CD77+, CD34-</w:t>
      </w:r>
      <w:r>
        <w:rPr>
          <w:kern w:val="0"/>
          <w:lang w:val="en-US" w:eastAsia="hr-BA"/>
        </w:rPr>
        <w:t>CD77+, ukupnih CD34+ i ukupnih CD77+ stanica srca štakora izme</w:t>
      </w:r>
      <w:r>
        <w:rPr>
          <w:kern w:val="0"/>
          <w:lang w:eastAsia="hr-BA"/>
        </w:rPr>
        <w:t>đu skupina</w:t>
      </w:r>
    </w:p>
    <w:p w:rsidR="00781A99" w:rsidRDefault="00781A99" w:rsidP="00CD495C">
      <w:pPr>
        <w:jc w:val="both"/>
      </w:pPr>
    </w:p>
    <w:tbl>
      <w:tblPr>
        <w:tblStyle w:val="TableGrid"/>
        <w:tblW w:w="10179" w:type="dxa"/>
        <w:jc w:val="center"/>
        <w:tblLook w:val="01E0"/>
      </w:tblPr>
      <w:tblGrid>
        <w:gridCol w:w="2468"/>
        <w:gridCol w:w="2534"/>
        <w:gridCol w:w="2500"/>
        <w:gridCol w:w="2677"/>
      </w:tblGrid>
      <w:tr w:rsidR="00DB0267">
        <w:trPr>
          <w:trHeight w:val="704"/>
          <w:jc w:val="center"/>
        </w:trPr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67" w:rsidRDefault="00DB0267" w:rsidP="00DB0267">
            <w:r>
              <w:t>TKIVO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67" w:rsidRDefault="00DB0267" w:rsidP="00CD495C">
            <w:pPr>
              <w:jc w:val="both"/>
            </w:pPr>
            <w:r>
              <w:t>STANIČNA SUBPOPULACIJA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67" w:rsidRDefault="00DB0267" w:rsidP="00DB0267">
            <w:r>
              <w:t xml:space="preserve">KONTROLA </w:t>
            </w:r>
          </w:p>
          <w:p w:rsidR="00DB0267" w:rsidRDefault="00DB0267" w:rsidP="00DB0267">
            <w:r>
              <w:t>(%)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67" w:rsidRDefault="00DB0267" w:rsidP="00DB0267">
            <w:pPr>
              <w:jc w:val="center"/>
            </w:pPr>
            <w:r>
              <w:t>HIPERKALCIJEMIJA</w:t>
            </w:r>
          </w:p>
          <w:p w:rsidR="00DB0267" w:rsidRDefault="00DB0267" w:rsidP="00DB0267">
            <w:r>
              <w:t>(%)</w:t>
            </w:r>
          </w:p>
        </w:tc>
      </w:tr>
      <w:tr w:rsidR="00DB0267">
        <w:trPr>
          <w:trHeight w:val="520"/>
          <w:jc w:val="center"/>
        </w:trPr>
        <w:tc>
          <w:tcPr>
            <w:tcW w:w="2468" w:type="dxa"/>
            <w:tcBorders>
              <w:top w:val="single" w:sz="12" w:space="0" w:color="auto"/>
            </w:tcBorders>
          </w:tcPr>
          <w:p w:rsidR="00DB0267" w:rsidRDefault="00DB0267" w:rsidP="00DB0267">
            <w:pPr>
              <w:jc w:val="center"/>
            </w:pPr>
            <w:r>
              <w:t>Srce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B0267" w:rsidRDefault="0049780F" w:rsidP="00DB0267">
            <w:pPr>
              <w:jc w:val="center"/>
            </w:pPr>
            <w:r>
              <w:t>CD34+</w:t>
            </w:r>
            <w:r w:rsidR="00DB0267">
              <w:t>CD77-</w:t>
            </w:r>
          </w:p>
        </w:tc>
        <w:tc>
          <w:tcPr>
            <w:tcW w:w="2500" w:type="dxa"/>
            <w:tcBorders>
              <w:top w:val="single" w:sz="12" w:space="0" w:color="auto"/>
            </w:tcBorders>
          </w:tcPr>
          <w:p w:rsidR="00DB0267" w:rsidRDefault="004946D3" w:rsidP="004946D3">
            <w:pPr>
              <w:jc w:val="center"/>
            </w:pPr>
            <w:r>
              <w:t>1.11 ± 0.34</w:t>
            </w:r>
          </w:p>
        </w:tc>
        <w:tc>
          <w:tcPr>
            <w:tcW w:w="2677" w:type="dxa"/>
            <w:tcBorders>
              <w:top w:val="single" w:sz="12" w:space="0" w:color="auto"/>
            </w:tcBorders>
          </w:tcPr>
          <w:p w:rsidR="00DB0267" w:rsidRDefault="004946D3" w:rsidP="004946D3">
            <w:pPr>
              <w:jc w:val="center"/>
            </w:pPr>
            <w:r>
              <w:t>0.31 ± 0.16</w:t>
            </w:r>
          </w:p>
        </w:tc>
      </w:tr>
      <w:tr w:rsidR="00DB0267">
        <w:trPr>
          <w:trHeight w:val="493"/>
          <w:jc w:val="center"/>
        </w:trPr>
        <w:tc>
          <w:tcPr>
            <w:tcW w:w="2468" w:type="dxa"/>
          </w:tcPr>
          <w:p w:rsidR="00DB0267" w:rsidRDefault="00DB0267" w:rsidP="00CD495C">
            <w:pPr>
              <w:jc w:val="both"/>
            </w:pPr>
          </w:p>
        </w:tc>
        <w:tc>
          <w:tcPr>
            <w:tcW w:w="2534" w:type="dxa"/>
          </w:tcPr>
          <w:p w:rsidR="00DB0267" w:rsidRDefault="0049780F" w:rsidP="00DB0267">
            <w:pPr>
              <w:jc w:val="center"/>
            </w:pPr>
            <w:r>
              <w:t>CD34+</w:t>
            </w:r>
            <w:r w:rsidR="00DB0267">
              <w:t>CD77+</w:t>
            </w:r>
          </w:p>
        </w:tc>
        <w:tc>
          <w:tcPr>
            <w:tcW w:w="2500" w:type="dxa"/>
          </w:tcPr>
          <w:p w:rsidR="00DB0267" w:rsidRDefault="004946D3" w:rsidP="004946D3">
            <w:pPr>
              <w:jc w:val="center"/>
            </w:pPr>
            <w:r>
              <w:t>0.81 ± 0.32</w:t>
            </w:r>
          </w:p>
        </w:tc>
        <w:tc>
          <w:tcPr>
            <w:tcW w:w="2677" w:type="dxa"/>
          </w:tcPr>
          <w:p w:rsidR="00DB0267" w:rsidRDefault="004946D3" w:rsidP="004946D3">
            <w:pPr>
              <w:jc w:val="center"/>
            </w:pPr>
            <w:r>
              <w:t>0.19 ± 0.08</w:t>
            </w:r>
          </w:p>
        </w:tc>
      </w:tr>
      <w:tr w:rsidR="00DB0267">
        <w:trPr>
          <w:trHeight w:val="493"/>
          <w:jc w:val="center"/>
        </w:trPr>
        <w:tc>
          <w:tcPr>
            <w:tcW w:w="2468" w:type="dxa"/>
          </w:tcPr>
          <w:p w:rsidR="00DB0267" w:rsidRDefault="00DB0267" w:rsidP="00CD495C">
            <w:pPr>
              <w:jc w:val="both"/>
            </w:pPr>
          </w:p>
        </w:tc>
        <w:tc>
          <w:tcPr>
            <w:tcW w:w="2534" w:type="dxa"/>
          </w:tcPr>
          <w:p w:rsidR="00DB0267" w:rsidRDefault="0049780F" w:rsidP="00DB0267">
            <w:pPr>
              <w:jc w:val="center"/>
            </w:pPr>
            <w:r>
              <w:t>CD34-</w:t>
            </w:r>
            <w:r w:rsidR="00DB0267">
              <w:t>CD77+</w:t>
            </w:r>
          </w:p>
        </w:tc>
        <w:tc>
          <w:tcPr>
            <w:tcW w:w="2500" w:type="dxa"/>
          </w:tcPr>
          <w:p w:rsidR="00DB0267" w:rsidRDefault="004946D3" w:rsidP="004946D3">
            <w:pPr>
              <w:jc w:val="center"/>
            </w:pPr>
            <w:r>
              <w:t>0.16 ± 0.06</w:t>
            </w:r>
          </w:p>
        </w:tc>
        <w:tc>
          <w:tcPr>
            <w:tcW w:w="2677" w:type="dxa"/>
          </w:tcPr>
          <w:p w:rsidR="00DB0267" w:rsidRDefault="004946D3" w:rsidP="004946D3">
            <w:pPr>
              <w:jc w:val="center"/>
            </w:pPr>
            <w:r>
              <w:t>0.12 ± 0.04</w:t>
            </w:r>
          </w:p>
        </w:tc>
      </w:tr>
      <w:tr w:rsidR="00DB0267">
        <w:trPr>
          <w:trHeight w:val="493"/>
          <w:jc w:val="center"/>
        </w:trPr>
        <w:tc>
          <w:tcPr>
            <w:tcW w:w="2468" w:type="dxa"/>
          </w:tcPr>
          <w:p w:rsidR="00DB0267" w:rsidRDefault="00DB0267" w:rsidP="00CD495C">
            <w:pPr>
              <w:jc w:val="both"/>
            </w:pPr>
          </w:p>
        </w:tc>
        <w:tc>
          <w:tcPr>
            <w:tcW w:w="2534" w:type="dxa"/>
          </w:tcPr>
          <w:p w:rsidR="00DB0267" w:rsidRDefault="00DB0267" w:rsidP="00DB0267">
            <w:pPr>
              <w:jc w:val="center"/>
            </w:pPr>
            <w:r>
              <w:t>UKUPNI CD34+</w:t>
            </w:r>
          </w:p>
        </w:tc>
        <w:tc>
          <w:tcPr>
            <w:tcW w:w="2500" w:type="dxa"/>
          </w:tcPr>
          <w:p w:rsidR="00DB0267" w:rsidRDefault="004946D3" w:rsidP="004946D3">
            <w:pPr>
              <w:jc w:val="center"/>
            </w:pPr>
            <w:r>
              <w:t>1.92 ± 0.63</w:t>
            </w:r>
          </w:p>
        </w:tc>
        <w:tc>
          <w:tcPr>
            <w:tcW w:w="2677" w:type="dxa"/>
          </w:tcPr>
          <w:p w:rsidR="00DB0267" w:rsidRDefault="004946D3" w:rsidP="004946D3">
            <w:pPr>
              <w:jc w:val="center"/>
            </w:pPr>
            <w:r>
              <w:t>0.50 ± 0.22</w:t>
            </w:r>
          </w:p>
        </w:tc>
      </w:tr>
      <w:tr w:rsidR="00DB0267">
        <w:trPr>
          <w:trHeight w:val="520"/>
          <w:jc w:val="center"/>
        </w:trPr>
        <w:tc>
          <w:tcPr>
            <w:tcW w:w="2468" w:type="dxa"/>
          </w:tcPr>
          <w:p w:rsidR="00DB0267" w:rsidRDefault="00DB0267" w:rsidP="00CD495C">
            <w:pPr>
              <w:jc w:val="both"/>
            </w:pPr>
          </w:p>
        </w:tc>
        <w:tc>
          <w:tcPr>
            <w:tcW w:w="2534" w:type="dxa"/>
          </w:tcPr>
          <w:p w:rsidR="00DB0267" w:rsidRDefault="00DB0267" w:rsidP="00DB0267">
            <w:pPr>
              <w:jc w:val="center"/>
            </w:pPr>
            <w:r>
              <w:t>UKUPNI CD77+</w:t>
            </w:r>
          </w:p>
        </w:tc>
        <w:tc>
          <w:tcPr>
            <w:tcW w:w="2500" w:type="dxa"/>
          </w:tcPr>
          <w:p w:rsidR="00DB0267" w:rsidRDefault="004946D3" w:rsidP="004946D3">
            <w:pPr>
              <w:jc w:val="center"/>
            </w:pPr>
            <w:r>
              <w:t>0.97 ± 0.34</w:t>
            </w:r>
          </w:p>
        </w:tc>
        <w:tc>
          <w:tcPr>
            <w:tcW w:w="2677" w:type="dxa"/>
          </w:tcPr>
          <w:p w:rsidR="00DB0267" w:rsidRDefault="004946D3" w:rsidP="004946D3">
            <w:pPr>
              <w:jc w:val="center"/>
            </w:pPr>
            <w:r>
              <w:t>0.31 ± 0.11</w:t>
            </w:r>
          </w:p>
        </w:tc>
      </w:tr>
    </w:tbl>
    <w:p w:rsidR="00DB0267" w:rsidRDefault="00DB0267" w:rsidP="00CD495C">
      <w:pPr>
        <w:jc w:val="both"/>
      </w:pPr>
    </w:p>
    <w:p w:rsidR="002C5D15" w:rsidRDefault="002C5D15" w:rsidP="002C5D15">
      <w:pPr>
        <w:rPr>
          <w:lang w:eastAsia="hr-BA"/>
        </w:rPr>
      </w:pPr>
    </w:p>
    <w:p w:rsidR="002C5D15" w:rsidRDefault="002C5D15" w:rsidP="002C5D15">
      <w:pPr>
        <w:rPr>
          <w:lang w:eastAsia="hr-BA"/>
        </w:rPr>
      </w:pPr>
    </w:p>
    <w:p w:rsidR="002C5D15" w:rsidRDefault="00AA38CE" w:rsidP="00CD495C">
      <w:pPr>
        <w:spacing w:line="360" w:lineRule="auto"/>
        <w:ind w:firstLine="708"/>
        <w:jc w:val="both"/>
      </w:pPr>
      <w:r>
        <w:t>Kon</w:t>
      </w:r>
      <w:r w:rsidR="002C5D15">
        <w:t xml:space="preserve">centracija ioniziranog kalcija u hiperkalcijemičnoj skupini iznosio je 1.37 ± </w:t>
      </w:r>
      <w:smartTag w:uri="urn:schemas-microsoft-com:office:smarttags" w:element="metricconverter">
        <w:smartTagPr>
          <w:attr w:name="ProductID" w:val="0.01 mM"/>
        </w:smartTagPr>
        <w:r w:rsidR="002C5D15">
          <w:t>0.01 mM</w:t>
        </w:r>
      </w:smartTag>
      <w:r w:rsidR="002C5D15">
        <w:t xml:space="preserve">, a u kontrolnoj skupini 1.19 ± </w:t>
      </w:r>
      <w:smartTag w:uri="urn:schemas-microsoft-com:office:smarttags" w:element="metricconverter">
        <w:smartTagPr>
          <w:attr w:name="ProductID" w:val="0.03 mM"/>
        </w:smartTagPr>
        <w:r w:rsidR="002C5D15">
          <w:t>0.</w:t>
        </w:r>
        <w:r>
          <w:t>03 mM</w:t>
        </w:r>
      </w:smartTag>
      <w:r w:rsidR="00781A99">
        <w:t xml:space="preserve"> (P &lt; 0.</w:t>
      </w:r>
      <w:r w:rsidR="002C5D15">
        <w:t>001)</w:t>
      </w:r>
      <w:r w:rsidR="00781A99">
        <w:t>.</w:t>
      </w:r>
    </w:p>
    <w:p w:rsidR="002C5D15" w:rsidRDefault="002C5D15" w:rsidP="002C5D15">
      <w:pPr>
        <w:spacing w:line="360" w:lineRule="auto"/>
        <w:jc w:val="both"/>
      </w:pPr>
    </w:p>
    <w:p w:rsidR="002C5D15" w:rsidRDefault="003E0EBB" w:rsidP="00CD495C">
      <w:pPr>
        <w:spacing w:line="360" w:lineRule="auto"/>
        <w:ind w:firstLine="708"/>
        <w:jc w:val="both"/>
      </w:pPr>
      <w:r>
        <w:t>Koncentracija</w:t>
      </w:r>
      <w:r w:rsidR="004946D3">
        <w:t xml:space="preserve"> ukupnog kalcija </w:t>
      </w:r>
      <w:r w:rsidR="002C5D15">
        <w:t xml:space="preserve">u </w:t>
      </w:r>
      <w:r w:rsidR="00AA38CE">
        <w:t xml:space="preserve">hiperkalcijemičnih štakora </w:t>
      </w:r>
      <w:r w:rsidR="004946D3">
        <w:t>iznosi</w:t>
      </w:r>
      <w:r w:rsidR="00E11CE7">
        <w:t xml:space="preserve">o </w:t>
      </w:r>
      <w:r w:rsidR="004946D3">
        <w:t xml:space="preserve">je </w:t>
      </w:r>
      <w:r w:rsidR="00AA38CE">
        <w:t xml:space="preserve">2.91 </w:t>
      </w:r>
      <w:r w:rsidR="002C5D15">
        <w:t xml:space="preserve">± </w:t>
      </w:r>
      <w:smartTag w:uri="urn:schemas-microsoft-com:office:smarttags" w:element="metricconverter">
        <w:smartTagPr>
          <w:attr w:name="ProductID" w:val="0.05 mM"/>
        </w:smartTagPr>
        <w:r w:rsidR="002C5D15">
          <w:t>0.</w:t>
        </w:r>
        <w:r w:rsidR="00E11CE7">
          <w:t>05 mM</w:t>
        </w:r>
      </w:smartTag>
      <w:r w:rsidR="00E11CE7">
        <w:t>, a u kontrolnoj skupini</w:t>
      </w:r>
      <w:r w:rsidR="004946D3">
        <w:t xml:space="preserve"> </w:t>
      </w:r>
      <w:r w:rsidR="002C5D15">
        <w:t xml:space="preserve">2.76 ± </w:t>
      </w:r>
      <w:smartTag w:uri="urn:schemas-microsoft-com:office:smarttags" w:element="metricconverter">
        <w:smartTagPr>
          <w:attr w:name="ProductID" w:val="0.06 mM"/>
        </w:smartTagPr>
        <w:r w:rsidR="002C5D15">
          <w:t>0.</w:t>
        </w:r>
        <w:r w:rsidR="00E11CE7">
          <w:t>06 mM</w:t>
        </w:r>
      </w:smartTag>
      <w:r w:rsidR="00781A99">
        <w:t xml:space="preserve"> (P = 0.</w:t>
      </w:r>
      <w:r w:rsidR="002C5D15">
        <w:t>125)</w:t>
      </w:r>
      <w:r w:rsidR="00781A99">
        <w:t>.</w:t>
      </w:r>
    </w:p>
    <w:p w:rsidR="002C5D15" w:rsidRDefault="002C5D15" w:rsidP="00CD495C">
      <w:pPr>
        <w:spacing w:line="360" w:lineRule="auto"/>
        <w:ind w:firstLine="708"/>
        <w:jc w:val="both"/>
      </w:pPr>
    </w:p>
    <w:p w:rsidR="000716B2" w:rsidRDefault="00E11CE7" w:rsidP="00CD495C">
      <w:pPr>
        <w:spacing w:line="360" w:lineRule="auto"/>
        <w:ind w:firstLine="708"/>
        <w:jc w:val="both"/>
      </w:pPr>
      <w:r>
        <w:t>Postotak ioniziranog kalcija u hiperkalcijemičnoj skupini iz</w:t>
      </w:r>
      <w:r w:rsidR="002C5D15">
        <w:t>nosio je 48 ± 0.</w:t>
      </w:r>
      <w:r w:rsidR="004946D3">
        <w:t xml:space="preserve">30 % , a u kontrolnoj skupini </w:t>
      </w:r>
      <w:r w:rsidR="002C5D15">
        <w:t>44 ± 0.</w:t>
      </w:r>
      <w:r>
        <w:t xml:space="preserve">96 % </w:t>
      </w:r>
      <w:r w:rsidR="00781A99">
        <w:t>(P = 0.</w:t>
      </w:r>
      <w:r w:rsidR="002C5D15">
        <w:t>013)</w:t>
      </w:r>
      <w:r w:rsidR="00781A99">
        <w:t>.</w:t>
      </w:r>
    </w:p>
    <w:p w:rsidR="00D275F3" w:rsidRDefault="00D275F3" w:rsidP="00CD495C">
      <w:pPr>
        <w:spacing w:line="360" w:lineRule="auto"/>
        <w:ind w:firstLine="708"/>
        <w:jc w:val="both"/>
      </w:pPr>
    </w:p>
    <w:p w:rsidR="00D275F3" w:rsidRDefault="00D275F3" w:rsidP="00CD495C">
      <w:pPr>
        <w:spacing w:line="360" w:lineRule="auto"/>
        <w:ind w:firstLine="708"/>
        <w:jc w:val="both"/>
      </w:pPr>
      <w:r>
        <w:t>U srcu hiperkalcijemičnih štakora, proporci</w:t>
      </w:r>
      <w:r w:rsidR="0049780F">
        <w:t>ja CD34+</w:t>
      </w:r>
      <w:r w:rsidR="00781A99">
        <w:t xml:space="preserve">CD77- stanica je blago smanjeno </w:t>
      </w:r>
      <w:r w:rsidR="00606D95">
        <w:t>(P=0.130, Tablica 1.)</w:t>
      </w:r>
      <w:r w:rsidR="00781A99">
        <w:t>.</w:t>
      </w: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16CE5" w:rsidRDefault="008951E8" w:rsidP="00D16CE5">
      <w:pPr>
        <w:spacing w:line="360" w:lineRule="auto"/>
        <w:jc w:val="both"/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5753100" cy="4229100"/>
            <wp:effectExtent l="19050" t="0" r="0" b="0"/>
            <wp:wrapSquare wrapText="bothSides"/>
            <wp:docPr id="7" name="Picture 7" descr="Rezic et al vena c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ic et al vena c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CE5" w:rsidRDefault="00D16CE5" w:rsidP="00D16CE5">
      <w:pPr>
        <w:pStyle w:val="Caption"/>
        <w:jc w:val="center"/>
      </w:pPr>
      <w:r>
        <w:t xml:space="preserve">Slika </w:t>
      </w:r>
      <w:fldSimple w:instr=" SEQ Slika \* ARABIC ">
        <w:r w:rsidR="00755C41">
          <w:rPr>
            <w:noProof/>
          </w:rPr>
          <w:t>5</w:t>
        </w:r>
      </w:fldSimple>
      <w:r>
        <w:t xml:space="preserve">. Točkasti dijagram dvostruko obilježenih stanica srca štakora: CD34 i CD77;  </w:t>
      </w:r>
    </w:p>
    <w:p w:rsidR="00D16CE5" w:rsidRDefault="00D16CE5" w:rsidP="00D16CE5">
      <w:pPr>
        <w:pStyle w:val="Caption"/>
        <w:jc w:val="center"/>
      </w:pPr>
      <w:r>
        <w:t>(A) hiperkalcijemična skupina (B) kontrolna skupina</w:t>
      </w: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DB3645" w:rsidRDefault="00DB3645" w:rsidP="00CD495C">
      <w:pPr>
        <w:spacing w:line="360" w:lineRule="auto"/>
        <w:ind w:firstLine="708"/>
        <w:jc w:val="both"/>
      </w:pPr>
    </w:p>
    <w:p w:rsidR="002400DE" w:rsidRDefault="002400DE" w:rsidP="00CD495C">
      <w:pPr>
        <w:pStyle w:val="Heading1"/>
        <w:jc w:val="both"/>
      </w:pPr>
      <w:bookmarkStart w:id="20" w:name="_Toc392460007"/>
      <w:r>
        <w:lastRenderedPageBreak/>
        <w:t>5. RASPRAVA</w:t>
      </w:r>
      <w:bookmarkEnd w:id="20"/>
      <w:r>
        <w:t xml:space="preserve"> </w:t>
      </w:r>
    </w:p>
    <w:p w:rsidR="002400DE" w:rsidRDefault="002400DE" w:rsidP="00CD495C">
      <w:pPr>
        <w:jc w:val="both"/>
      </w:pPr>
    </w:p>
    <w:p w:rsidR="00606D95" w:rsidRDefault="007F32B4" w:rsidP="00606D95">
      <w:pPr>
        <w:spacing w:line="360" w:lineRule="auto"/>
        <w:jc w:val="both"/>
      </w:pPr>
      <w:r>
        <w:tab/>
      </w:r>
      <w:r w:rsidR="00D275F3">
        <w:t xml:space="preserve">Cilj ovog istraživanja </w:t>
      </w:r>
      <w:r w:rsidR="00C2303F">
        <w:t xml:space="preserve">bilo je ustanoviti proinflamatorne učinke na srčanim stanicama hiperkalcijemičnih štakora. </w:t>
      </w:r>
      <w:r w:rsidR="00606D95">
        <w:t xml:space="preserve">Iz rezultata vidimo da je zbog hiperkalcijemije u srčanim stanicama </w:t>
      </w:r>
      <w:r w:rsidR="00615604">
        <w:t>došlo do laganog sniženja CD34+</w:t>
      </w:r>
      <w:r w:rsidR="00606D95">
        <w:t>CD77- stanica. Poznato je da pri</w:t>
      </w:r>
      <w:r w:rsidR="00606D95" w:rsidRPr="00570204">
        <w:t xml:space="preserve"> hip</w:t>
      </w:r>
      <w:r w:rsidR="00615604">
        <w:t xml:space="preserve">erkalcijemiji u srčanom mišiću </w:t>
      </w:r>
      <w:r w:rsidR="00606D95" w:rsidRPr="00570204">
        <w:t>dolazi do skraćivanja refraktornog razdoblja i do uspo</w:t>
      </w:r>
      <w:r w:rsidR="00606D95">
        <w:t xml:space="preserve">renog provođenja srčanih impulsa što rezultira pojavama aritmija. </w:t>
      </w:r>
      <w:r w:rsidR="00606D95" w:rsidRPr="00570204">
        <w:t>Uz aritmij</w:t>
      </w:r>
      <w:r w:rsidR="00606D95">
        <w:t xml:space="preserve">e, hiperkalcijemija potiče </w:t>
      </w:r>
      <w:r w:rsidR="00606D95" w:rsidRPr="00570204">
        <w:t xml:space="preserve">kontrakciju srca i </w:t>
      </w:r>
      <w:r w:rsidR="00606D95">
        <w:t>uzrokuje hipertenziju. Poznato je da je PTH u obrnutoj korelaciji s koncentracijom serumskog kalcija i da hiperkalcijemija također utječe na koncentraciju serumskog fos</w:t>
      </w:r>
      <w:r w:rsidR="00615604">
        <w:t xml:space="preserve">fata. Ali u ovom istraživanju </w:t>
      </w:r>
      <w:r w:rsidR="00606D95">
        <w:t>razine</w:t>
      </w:r>
      <w:r w:rsidR="00615604">
        <w:t xml:space="preserve"> PTH i fosfata nisu bili mjerene</w:t>
      </w:r>
      <w:r w:rsidR="00606D95">
        <w:t xml:space="preserve">. </w:t>
      </w:r>
    </w:p>
    <w:p w:rsidR="00606D95" w:rsidRDefault="00606D95" w:rsidP="00606D95">
      <w:pPr>
        <w:spacing w:line="360" w:lineRule="auto"/>
        <w:jc w:val="both"/>
      </w:pPr>
    </w:p>
    <w:p w:rsidR="00606D95" w:rsidRPr="00606D95" w:rsidRDefault="00615604" w:rsidP="00606D95">
      <w:pPr>
        <w:spacing w:line="360" w:lineRule="auto"/>
        <w:jc w:val="both"/>
      </w:pPr>
      <w:r w:rsidRPr="00615604">
        <w:rPr>
          <w:rFonts w:eastAsia="Times New Roman"/>
          <w:i/>
          <w:kern w:val="0"/>
          <w:szCs w:val="24"/>
          <w:lang w:eastAsia="hr-BA"/>
        </w:rPr>
        <w:t>In vitro</w:t>
      </w:r>
      <w:r>
        <w:rPr>
          <w:rFonts w:eastAsia="Times New Roman"/>
          <w:kern w:val="0"/>
          <w:szCs w:val="24"/>
          <w:lang w:eastAsia="hr-BA"/>
        </w:rPr>
        <w:t xml:space="preserve"> </w:t>
      </w:r>
      <w:r w:rsidR="00606D95">
        <w:rPr>
          <w:rFonts w:eastAsia="Times New Roman"/>
          <w:kern w:val="0"/>
          <w:szCs w:val="24"/>
          <w:lang w:eastAsia="hr-BA"/>
        </w:rPr>
        <w:t>PTH unutar referentnog raspona regulira:</w:t>
      </w:r>
    </w:p>
    <w:p w:rsidR="00606D95" w:rsidRPr="00606D95" w:rsidRDefault="00606D95" w:rsidP="00606D95">
      <w:pPr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kern w:val="0"/>
          <w:szCs w:val="24"/>
          <w:lang w:eastAsia="hr-BA"/>
        </w:rPr>
        <w:t>endotelnu proinflamatornu staničnu ekspresiju</w:t>
      </w:r>
    </w:p>
    <w:p w:rsidR="00606D95" w:rsidRPr="00606D95" w:rsidRDefault="00606D95" w:rsidP="00606D95">
      <w:pPr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kern w:val="0"/>
          <w:szCs w:val="24"/>
          <w:lang w:eastAsia="hr-BA"/>
        </w:rPr>
        <w:t>aterosklerični posrednik interleukina-6</w:t>
      </w:r>
    </w:p>
    <w:p w:rsidR="00606D95" w:rsidRPr="00606D95" w:rsidRDefault="00606D95" w:rsidP="00606D95">
      <w:pPr>
        <w:numPr>
          <w:ilvl w:val="0"/>
          <w:numId w:val="4"/>
        </w:numPr>
        <w:spacing w:line="360" w:lineRule="auto"/>
        <w:jc w:val="both"/>
      </w:pPr>
      <w:r>
        <w:rPr>
          <w:rFonts w:eastAsia="Times New Roman"/>
          <w:kern w:val="0"/>
          <w:szCs w:val="24"/>
          <w:lang w:eastAsia="hr-BA"/>
        </w:rPr>
        <w:t>receptore naprednih krajnjih produkata glikacije</w:t>
      </w:r>
    </w:p>
    <w:p w:rsidR="00606D95" w:rsidRPr="00606D95" w:rsidRDefault="00606D95" w:rsidP="00606D95">
      <w:pPr>
        <w:spacing w:line="360" w:lineRule="auto"/>
        <w:jc w:val="both"/>
      </w:pPr>
    </w:p>
    <w:p w:rsidR="00606D95" w:rsidRDefault="00606D95" w:rsidP="00606D95">
      <w:pPr>
        <w:spacing w:line="360" w:lineRule="auto"/>
        <w:ind w:firstLine="420"/>
        <w:jc w:val="both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eastAsia="hr-BA"/>
        </w:rPr>
        <w:t>PTH potiče otpuštanje fosfata i kalcija iz kostiju. Rezultati najnovijih istraživanja pokazuju poveznicu između kardiovaskularnih bolesti i smrtnosti zbog razine fosfata u referentnim vrijednostima i zbog razine hormona za regulaciju fosfata u populacijama bez prepoznatih poremećaja fosfatnog metabolizma. U ovom istraživanju, korišteni su modeli  hiperkalcijemični štakora koji su uzgojeni prema Puero Vicente-u i suradnicima. U njihovom istraživanju, hiperkalcijemija se pojavila 2 dana nakon što su štakori pili vodu s povećanom koncentracijom kalcija. Ukupna i ionizirana razina kalcija u plazmi, su ostali povišeni tijekom  14 dana tretmana, mada su vrijednosti bile niže nego nakon 2 dana. Blago smanjenje kalcija  od 2 do 14 dana može biti posljedica promjene razine hormona za regulaciju ka</w:t>
      </w:r>
      <w:r w:rsidR="00615604">
        <w:rPr>
          <w:rFonts w:eastAsia="Times New Roman"/>
          <w:kern w:val="0"/>
          <w:szCs w:val="24"/>
          <w:lang w:eastAsia="hr-BA"/>
        </w:rPr>
        <w:t>lcija, koji uključuje PTH. Budući</w:t>
      </w:r>
      <w:r>
        <w:rPr>
          <w:rFonts w:eastAsia="Times New Roman"/>
          <w:kern w:val="0"/>
          <w:szCs w:val="24"/>
          <w:lang w:eastAsia="hr-BA"/>
        </w:rPr>
        <w:t xml:space="preserve"> se izlučivanje PTH-a pojavljuje kao odgovor na smanjenje serumskog kalcija, možemo pretpostaviti da su u ovom istraživanju niže vrijednosti PTH-a kod hiperkalcijemične skupine. Niži PTH-a upućuje da će bit manje otpuštanja fosfata iz kostiju.</w:t>
      </w:r>
    </w:p>
    <w:p w:rsidR="00606D95" w:rsidRDefault="00606D95" w:rsidP="00606D95">
      <w:pPr>
        <w:spacing w:line="360" w:lineRule="auto"/>
        <w:jc w:val="both"/>
        <w:rPr>
          <w:rFonts w:eastAsia="Times New Roman"/>
          <w:kern w:val="0"/>
          <w:szCs w:val="24"/>
          <w:lang w:eastAsia="hr-BA"/>
        </w:rPr>
      </w:pPr>
    </w:p>
    <w:p w:rsidR="00606D95" w:rsidRDefault="00606D95" w:rsidP="00606D95">
      <w:pPr>
        <w:spacing w:line="360" w:lineRule="auto"/>
        <w:jc w:val="both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eastAsia="hr-BA"/>
        </w:rPr>
        <w:tab/>
        <w:t>Rasprava je dodatno ograničena zbog nedostatnih podataka o volumenu potrošnje dane otopine i pH krvi. U ovom istraživanju, hiperk</w:t>
      </w:r>
      <w:r w:rsidR="00615604">
        <w:rPr>
          <w:rFonts w:eastAsia="Times New Roman"/>
          <w:kern w:val="0"/>
          <w:szCs w:val="24"/>
          <w:lang w:eastAsia="hr-BA"/>
        </w:rPr>
        <w:t>alcijemični štakori imali su tend</w:t>
      </w:r>
      <w:r>
        <w:rPr>
          <w:rFonts w:eastAsia="Times New Roman"/>
          <w:kern w:val="0"/>
          <w:szCs w:val="24"/>
          <w:lang w:eastAsia="hr-BA"/>
        </w:rPr>
        <w:t>enciju za smanjenu tjelesnu težinu u odnosu na kontroliranu skupinu. Možemo pretpostaviti da nije bilo značajne razlike u volumenu potrošnje dane otopine kao što je to bilo kod hiperkalcijemične skupine kod Puero Vicente-a i suradnik</w:t>
      </w:r>
      <w:r w:rsidR="00615604">
        <w:rPr>
          <w:rFonts w:eastAsia="Times New Roman"/>
          <w:kern w:val="0"/>
          <w:szCs w:val="24"/>
          <w:lang w:eastAsia="hr-BA"/>
        </w:rPr>
        <w:t>a. Poznato je da vanstanična</w:t>
      </w:r>
      <w:r>
        <w:rPr>
          <w:rFonts w:eastAsia="Times New Roman"/>
          <w:kern w:val="0"/>
          <w:szCs w:val="24"/>
          <w:lang w:eastAsia="hr-BA"/>
        </w:rPr>
        <w:t xml:space="preserve"> acidoza povećava </w:t>
      </w:r>
      <w:r>
        <w:rPr>
          <w:rFonts w:eastAsia="Times New Roman"/>
          <w:kern w:val="0"/>
          <w:szCs w:val="24"/>
          <w:lang w:eastAsia="hr-BA"/>
        </w:rPr>
        <w:lastRenderedPageBreak/>
        <w:t>kemotaksi</w:t>
      </w:r>
      <w:r w:rsidR="00615604">
        <w:rPr>
          <w:rFonts w:eastAsia="Times New Roman"/>
          <w:kern w:val="0"/>
          <w:szCs w:val="24"/>
          <w:lang w:eastAsia="hr-BA"/>
        </w:rPr>
        <w:t>ju neutrofila i izražaj</w:t>
      </w:r>
      <w:r>
        <w:rPr>
          <w:rFonts w:eastAsia="Times New Roman"/>
          <w:kern w:val="0"/>
          <w:szCs w:val="24"/>
          <w:lang w:eastAsia="hr-BA"/>
        </w:rPr>
        <w:t xml:space="preserve"> vaskularnog E-selecitina. </w:t>
      </w:r>
    </w:p>
    <w:p w:rsidR="00606D95" w:rsidRDefault="00606D95" w:rsidP="00606D95">
      <w:pPr>
        <w:spacing w:line="360" w:lineRule="auto"/>
        <w:jc w:val="both"/>
        <w:rPr>
          <w:rFonts w:eastAsia="Times New Roman"/>
          <w:kern w:val="0"/>
          <w:szCs w:val="24"/>
          <w:lang w:eastAsia="hr-BA"/>
        </w:rPr>
      </w:pPr>
    </w:p>
    <w:p w:rsidR="00606D95" w:rsidRDefault="00606D95" w:rsidP="00606D95">
      <w:pPr>
        <w:spacing w:line="360" w:lineRule="auto"/>
        <w:jc w:val="both"/>
        <w:rPr>
          <w:kern w:val="0"/>
          <w:lang w:eastAsia="hr-BA"/>
        </w:rPr>
      </w:pPr>
      <w:r>
        <w:rPr>
          <w:kern w:val="0"/>
          <w:lang w:eastAsia="hr-BA"/>
        </w:rPr>
        <w:tab/>
        <w:t>Široki raspon</w:t>
      </w:r>
      <w:r w:rsidRPr="00606D95">
        <w:rPr>
          <w:color w:val="000000"/>
          <w:szCs w:val="24"/>
        </w:rPr>
        <w:t xml:space="preserve"> </w:t>
      </w:r>
      <w:r w:rsidRPr="00D532C3">
        <w:rPr>
          <w:color w:val="000000"/>
          <w:szCs w:val="24"/>
        </w:rPr>
        <w:t>Ca</w:t>
      </w:r>
      <w:r w:rsidRPr="00D532C3">
        <w:rPr>
          <w:color w:val="000000"/>
          <w:szCs w:val="24"/>
          <w:vertAlign w:val="superscript"/>
        </w:rPr>
        <w:t>2+</w:t>
      </w:r>
      <w:r w:rsidRPr="00570204">
        <w:t xml:space="preserve"> </w:t>
      </w:r>
      <w:r>
        <w:rPr>
          <w:kern w:val="0"/>
          <w:lang w:eastAsia="hr-BA"/>
        </w:rPr>
        <w:t>signala se može uspješno koo</w:t>
      </w:r>
      <w:r w:rsidR="00615604">
        <w:rPr>
          <w:kern w:val="0"/>
          <w:lang w:eastAsia="hr-BA"/>
        </w:rPr>
        <w:t>rdinirati preko organizacije sp</w:t>
      </w:r>
      <w:r>
        <w:rPr>
          <w:kern w:val="0"/>
          <w:lang w:eastAsia="hr-BA"/>
        </w:rPr>
        <w:t xml:space="preserve">ecifičnih </w:t>
      </w:r>
      <w:r w:rsidRPr="00D532C3">
        <w:rPr>
          <w:color w:val="000000"/>
          <w:szCs w:val="24"/>
        </w:rPr>
        <w:t>Ca</w:t>
      </w:r>
      <w:r w:rsidRPr="00D532C3">
        <w:rPr>
          <w:color w:val="000000"/>
          <w:szCs w:val="24"/>
          <w:vertAlign w:val="superscript"/>
        </w:rPr>
        <w:t>2+</w:t>
      </w:r>
      <w:r w:rsidR="00615604">
        <w:t xml:space="preserve"> </w:t>
      </w:r>
      <w:r>
        <w:rPr>
          <w:kern w:val="0"/>
          <w:lang w:eastAsia="hr-BA"/>
        </w:rPr>
        <w:t>kanala, pumpa, pufera, izmjenjivača i proteinskih skela u za</w:t>
      </w:r>
      <w:r w:rsidR="00615604">
        <w:rPr>
          <w:kern w:val="0"/>
          <w:lang w:eastAsia="hr-BA"/>
        </w:rPr>
        <w:t xml:space="preserve">jedničke mikrodomene. Membranske </w:t>
      </w:r>
      <w:r>
        <w:rPr>
          <w:kern w:val="0"/>
          <w:lang w:eastAsia="hr-BA"/>
        </w:rPr>
        <w:t xml:space="preserve">splavi osiguravaju nam takve mikrodomene gdje se događa visoko specifična signalizacija. Apikalna lokalizacija plazmamembranskog kalcija koji je ovisan o ATPazi je izuzetno osjetljiva na trošak kolesterola. </w:t>
      </w:r>
    </w:p>
    <w:p w:rsidR="00606D95" w:rsidRDefault="00606D95" w:rsidP="00606D95">
      <w:pPr>
        <w:spacing w:line="360" w:lineRule="auto"/>
        <w:jc w:val="both"/>
        <w:rPr>
          <w:kern w:val="0"/>
          <w:lang w:eastAsia="hr-BA"/>
        </w:rPr>
      </w:pPr>
    </w:p>
    <w:p w:rsidR="007405ED" w:rsidRDefault="00615604" w:rsidP="00606D95">
      <w:pPr>
        <w:spacing w:line="360" w:lineRule="auto"/>
        <w:jc w:val="both"/>
        <w:rPr>
          <w:kern w:val="0"/>
          <w:lang w:eastAsia="hr-BA"/>
        </w:rPr>
      </w:pPr>
      <w:r>
        <w:rPr>
          <w:kern w:val="0"/>
          <w:lang w:eastAsia="hr-BA"/>
        </w:rPr>
        <w:tab/>
        <w:t>CD34+</w:t>
      </w:r>
      <w:r w:rsidR="007405ED">
        <w:rPr>
          <w:kern w:val="0"/>
          <w:lang w:eastAsia="hr-BA"/>
        </w:rPr>
        <w:t xml:space="preserve">CD77- </w:t>
      </w:r>
      <w:r w:rsidR="00606D95">
        <w:rPr>
          <w:kern w:val="0"/>
          <w:lang w:eastAsia="hr-BA"/>
        </w:rPr>
        <w:t>stanične subpopulacije su bile smanjene u srca hipekalcijemičnih štakora, ali statistički gledano sniženje je bilo beznačajno.</w:t>
      </w:r>
    </w:p>
    <w:p w:rsidR="007405ED" w:rsidRDefault="007405ED" w:rsidP="00606D95">
      <w:pPr>
        <w:spacing w:line="360" w:lineRule="auto"/>
        <w:jc w:val="both"/>
        <w:rPr>
          <w:kern w:val="0"/>
          <w:lang w:eastAsia="hr-BA"/>
        </w:rPr>
      </w:pPr>
    </w:p>
    <w:p w:rsidR="007405ED" w:rsidRPr="00606D95" w:rsidRDefault="007405ED" w:rsidP="00606D95">
      <w:pPr>
        <w:spacing w:line="360" w:lineRule="auto"/>
        <w:jc w:val="both"/>
        <w:rPr>
          <w:kern w:val="0"/>
          <w:lang w:eastAsia="hr-BA"/>
        </w:rPr>
      </w:pPr>
    </w:p>
    <w:p w:rsidR="00606D95" w:rsidRDefault="00606D95" w:rsidP="00606D95">
      <w:pPr>
        <w:spacing w:line="360" w:lineRule="auto"/>
        <w:jc w:val="both"/>
      </w:pPr>
    </w:p>
    <w:p w:rsidR="00606D95" w:rsidRDefault="00606D95" w:rsidP="00606D95">
      <w:pPr>
        <w:spacing w:line="360" w:lineRule="auto"/>
        <w:jc w:val="both"/>
      </w:pPr>
    </w:p>
    <w:p w:rsidR="00606D95" w:rsidRDefault="00606D95" w:rsidP="00606D95">
      <w:pPr>
        <w:spacing w:line="360" w:lineRule="auto"/>
        <w:jc w:val="both"/>
      </w:pPr>
    </w:p>
    <w:p w:rsidR="00606D95" w:rsidRDefault="00606D95" w:rsidP="00606D95">
      <w:pPr>
        <w:spacing w:line="360" w:lineRule="auto"/>
        <w:jc w:val="both"/>
      </w:pPr>
    </w:p>
    <w:p w:rsidR="00606D95" w:rsidRDefault="00606D95" w:rsidP="00606D95">
      <w:pPr>
        <w:spacing w:line="360" w:lineRule="auto"/>
        <w:jc w:val="both"/>
      </w:pPr>
    </w:p>
    <w:p w:rsidR="002400DE" w:rsidRDefault="002400DE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CD495C">
      <w:pPr>
        <w:spacing w:line="360" w:lineRule="auto"/>
        <w:jc w:val="both"/>
      </w:pPr>
    </w:p>
    <w:p w:rsidR="007405ED" w:rsidRDefault="007405ED" w:rsidP="007405ED">
      <w:pPr>
        <w:pStyle w:val="Heading1"/>
        <w:spacing w:line="360" w:lineRule="auto"/>
        <w:jc w:val="both"/>
      </w:pPr>
      <w:bookmarkStart w:id="21" w:name="_Toc392460008"/>
      <w:r>
        <w:lastRenderedPageBreak/>
        <w:t>6. ZAKLJUČCI</w:t>
      </w:r>
      <w:bookmarkEnd w:id="21"/>
    </w:p>
    <w:p w:rsidR="007405ED" w:rsidRDefault="007405ED" w:rsidP="007405ED"/>
    <w:p w:rsidR="007405ED" w:rsidRDefault="007405ED" w:rsidP="00651A38">
      <w:pPr>
        <w:spacing w:line="360" w:lineRule="auto"/>
        <w:jc w:val="both"/>
      </w:pPr>
      <w:r>
        <w:tab/>
        <w:t xml:space="preserve">Na temelju </w:t>
      </w:r>
      <w:r w:rsidR="00651A38">
        <w:t>provedenog istraživanja u ovom radu možemo donijeti sljedeće zaključke:</w:t>
      </w:r>
    </w:p>
    <w:p w:rsidR="00615604" w:rsidRDefault="00615604" w:rsidP="00651A38">
      <w:pPr>
        <w:spacing w:line="360" w:lineRule="auto"/>
        <w:jc w:val="both"/>
      </w:pPr>
    </w:p>
    <w:p w:rsidR="00615604" w:rsidRDefault="00615604" w:rsidP="00615604">
      <w:pPr>
        <w:numPr>
          <w:ilvl w:val="0"/>
          <w:numId w:val="13"/>
        </w:numPr>
        <w:suppressAutoHyphens/>
        <w:spacing w:line="360" w:lineRule="auto"/>
        <w:jc w:val="both"/>
        <w:rPr>
          <w:szCs w:val="24"/>
        </w:rPr>
      </w:pPr>
      <w:r>
        <w:t xml:space="preserve">Hiperkalcijemija je blago smanjila populaciju CD34+CD77- srčanih stanica u odnosu na </w:t>
      </w:r>
      <w:r>
        <w:rPr>
          <w:szCs w:val="24"/>
        </w:rPr>
        <w:t xml:space="preserve">netretiranu, kontrolnu skupinu. Ne postoji značajna razlika u postotku CD77+CD34+ stanica srca štakora u ispitivanoj skupini u odnosu na kontrolnu skupinu. </w:t>
      </w:r>
    </w:p>
    <w:p w:rsidR="00615604" w:rsidRDefault="00615604" w:rsidP="0061560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5604" w:rsidRDefault="00615604" w:rsidP="0061560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udio CD34+ st</w:t>
      </w:r>
      <w:r>
        <w:rPr>
          <w:rFonts w:ascii="Times New Roman" w:hAnsi="Times New Roman"/>
          <w:color w:val="000000"/>
          <w:sz w:val="24"/>
          <w:szCs w:val="24"/>
        </w:rPr>
        <w:t>anica</w:t>
      </w:r>
      <w:r>
        <w:rPr>
          <w:rFonts w:ascii="Times New Roman" w:hAnsi="Times New Roman"/>
          <w:sz w:val="24"/>
          <w:szCs w:val="24"/>
        </w:rPr>
        <w:t xml:space="preserve"> bio je nešto snižen u ispitivanoj skupini u odnosu na kontrolnu skupinu, ali bez statističke značajnosti.</w:t>
      </w:r>
    </w:p>
    <w:p w:rsidR="007405ED" w:rsidRDefault="007405ED" w:rsidP="00615604">
      <w:pPr>
        <w:spacing w:line="360" w:lineRule="auto"/>
        <w:jc w:val="both"/>
      </w:pPr>
    </w:p>
    <w:p w:rsidR="007405ED" w:rsidRDefault="007405ED" w:rsidP="007405ED"/>
    <w:p w:rsidR="007405ED" w:rsidRDefault="007405ED" w:rsidP="007405ED"/>
    <w:p w:rsidR="007405ED" w:rsidRDefault="007405ED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7405ED"/>
    <w:p w:rsidR="00191D9A" w:rsidRDefault="00191D9A" w:rsidP="00191D9A">
      <w:pPr>
        <w:pStyle w:val="Heading1"/>
        <w:spacing w:line="360" w:lineRule="auto"/>
        <w:jc w:val="both"/>
      </w:pPr>
      <w:bookmarkStart w:id="22" w:name="_Toc392460009"/>
      <w:r>
        <w:lastRenderedPageBreak/>
        <w:t>7. SAŽETAK</w:t>
      </w:r>
      <w:bookmarkEnd w:id="22"/>
    </w:p>
    <w:p w:rsidR="00191D9A" w:rsidRDefault="00191D9A" w:rsidP="00191D9A"/>
    <w:p w:rsidR="00191D9A" w:rsidRDefault="00191D9A" w:rsidP="001F0413">
      <w:pPr>
        <w:spacing w:line="360" w:lineRule="auto"/>
        <w:jc w:val="both"/>
        <w:rPr>
          <w:kern w:val="0"/>
          <w:lang w:eastAsia="hr-BA"/>
        </w:rPr>
      </w:pPr>
      <w:r w:rsidRPr="00191D9A">
        <w:rPr>
          <w:b/>
        </w:rPr>
        <w:t>UVOD</w:t>
      </w:r>
      <w:r>
        <w:rPr>
          <w:b/>
        </w:rPr>
        <w:t xml:space="preserve">: </w:t>
      </w:r>
      <w:r>
        <w:t xml:space="preserve">Depolarizacijski signal </w:t>
      </w:r>
      <w:r w:rsidRPr="00570204">
        <w:t>koji je započet na površini mišićnog vlakna, potiče oslobađ</w:t>
      </w:r>
      <w:r>
        <w:t xml:space="preserve">anje </w:t>
      </w:r>
      <w:r w:rsidRPr="00D532C3">
        <w:rPr>
          <w:color w:val="000000"/>
          <w:szCs w:val="24"/>
        </w:rPr>
        <w:t>Ca</w:t>
      </w:r>
      <w:r w:rsidRPr="00D532C3">
        <w:rPr>
          <w:color w:val="000000"/>
          <w:szCs w:val="24"/>
          <w:vertAlign w:val="superscript"/>
        </w:rPr>
        <w:t>2+</w:t>
      </w:r>
      <w:r w:rsidRPr="00570204">
        <w:t xml:space="preserve"> iz cisterne endoplazmatske mrežice i tako se širi kroz cijelo mišićno vlakno. Nakon depolarizacije, membrane sarkoplazmatske mrežice živčanim podražajem, ioni</w:t>
      </w:r>
      <w:r>
        <w:t xml:space="preserve"> </w:t>
      </w:r>
      <w:r w:rsidRPr="00D532C3">
        <w:rPr>
          <w:color w:val="000000"/>
          <w:szCs w:val="24"/>
        </w:rPr>
        <w:t>Ca</w:t>
      </w:r>
      <w:r w:rsidRPr="00D532C3">
        <w:rPr>
          <w:color w:val="000000"/>
          <w:szCs w:val="24"/>
          <w:vertAlign w:val="superscript"/>
        </w:rPr>
        <w:t>2+</w:t>
      </w:r>
      <w:r>
        <w:t xml:space="preserve"> </w:t>
      </w:r>
      <w:r w:rsidRPr="00570204">
        <w:t xml:space="preserve">koji su nakupljeni u cisternama sarkoplazmatske mrežice, pasivno se ispuštaju u  blizini </w:t>
      </w:r>
      <w:r>
        <w:t xml:space="preserve">područja prekrivanja debelih i </w:t>
      </w:r>
      <w:r w:rsidRPr="00570204">
        <w:t>tankih filamenata, te se tu vežu za troponin i omogućuju povezivanje aktina s miozinom.</w:t>
      </w:r>
      <w:r>
        <w:t xml:space="preserve"> </w:t>
      </w:r>
      <w:r w:rsidRPr="00570204">
        <w:t>Kada se depolarizacija membrane završi, sarkoplazma</w:t>
      </w:r>
      <w:r>
        <w:t xml:space="preserve">tska mrežica odvodi kalcij koji se </w:t>
      </w:r>
      <w:r w:rsidRPr="00570204">
        <w:t>aktivno vraća u cisterne pa kontrakcija</w:t>
      </w:r>
      <w:r>
        <w:t xml:space="preserve"> prestaje. Poznato je da pri</w:t>
      </w:r>
      <w:r w:rsidRPr="00570204">
        <w:t xml:space="preserve"> hiperkalcijemiji u srčanom mišiću, dolazi do skraćivanja refraktornog razdoblja i do uspo</w:t>
      </w:r>
      <w:r>
        <w:t xml:space="preserve">renog provođenja srčanih impulsa što rezultira pojavama aritmija. </w:t>
      </w:r>
      <w:r w:rsidRPr="00570204">
        <w:t>Uz aritmij</w:t>
      </w:r>
      <w:r>
        <w:t xml:space="preserve">e, hiperkalcijemija potiče </w:t>
      </w:r>
      <w:r w:rsidRPr="00570204">
        <w:t xml:space="preserve">kontrakciju srca i </w:t>
      </w:r>
      <w:r>
        <w:t>uzrokuje hipertenziju.</w:t>
      </w:r>
      <w:r w:rsidR="005E62E6">
        <w:t xml:space="preserve"> </w:t>
      </w:r>
      <w:r w:rsidRPr="00570204">
        <w:t>CD</w:t>
      </w:r>
      <w:r w:rsidRPr="005A415F">
        <w:t>34</w:t>
      </w:r>
      <w:r w:rsidR="005E62E6">
        <w:t xml:space="preserve"> stanice</w:t>
      </w:r>
      <w:r w:rsidRPr="005A415F">
        <w:t xml:space="preserve"> </w:t>
      </w:r>
      <w:r w:rsidRPr="00570204">
        <w:t>koriste</w:t>
      </w:r>
      <w:r w:rsidR="005E62E6">
        <w:t xml:space="preserve"> se</w:t>
      </w:r>
      <w:r w:rsidRPr="005A415F">
        <w:t xml:space="preserve"> </w:t>
      </w:r>
      <w:r w:rsidRPr="00570204">
        <w:t>kao</w:t>
      </w:r>
      <w:r w:rsidRPr="005A415F">
        <w:t xml:space="preserve"> </w:t>
      </w:r>
      <w:r w:rsidRPr="00570204">
        <w:t>biljezi</w:t>
      </w:r>
      <w:r w:rsidRPr="005A415F">
        <w:t xml:space="preserve"> </w:t>
      </w:r>
      <w:r w:rsidRPr="00570204">
        <w:t>za</w:t>
      </w:r>
      <w:r w:rsidRPr="005A415F">
        <w:t xml:space="preserve"> </w:t>
      </w:r>
      <w:r w:rsidRPr="00570204">
        <w:t>identifikaciju</w:t>
      </w:r>
      <w:r w:rsidRPr="005A415F">
        <w:t xml:space="preserve"> </w:t>
      </w:r>
      <w:r w:rsidRPr="00570204">
        <w:t>i</w:t>
      </w:r>
      <w:r w:rsidRPr="005A415F">
        <w:t xml:space="preserve"> </w:t>
      </w:r>
      <w:r w:rsidRPr="00570204">
        <w:t>izolaciju</w:t>
      </w:r>
      <w:r w:rsidRPr="005A415F">
        <w:t xml:space="preserve"> </w:t>
      </w:r>
      <w:r w:rsidRPr="00570204">
        <w:t>nekih</w:t>
      </w:r>
      <w:r w:rsidRPr="005A415F">
        <w:t xml:space="preserve"> </w:t>
      </w:r>
      <w:r w:rsidRPr="00570204">
        <w:t>hematopoetskih</w:t>
      </w:r>
      <w:r w:rsidRPr="005A415F">
        <w:t xml:space="preserve"> </w:t>
      </w:r>
      <w:r w:rsidRPr="00570204">
        <w:t>mati</w:t>
      </w:r>
      <w:r w:rsidRPr="005A415F">
        <w:t>č</w:t>
      </w:r>
      <w:r w:rsidRPr="00570204">
        <w:t>nih</w:t>
      </w:r>
      <w:r w:rsidRPr="005A415F">
        <w:t xml:space="preserve"> </w:t>
      </w:r>
      <w:r w:rsidRPr="00570204">
        <w:t>stanica</w:t>
      </w:r>
      <w:r w:rsidRPr="005A415F">
        <w:t xml:space="preserve"> </w:t>
      </w:r>
      <w:r w:rsidRPr="00570204">
        <w:t>i</w:t>
      </w:r>
      <w:r w:rsidRPr="005A415F">
        <w:t xml:space="preserve"> </w:t>
      </w:r>
      <w:r w:rsidRPr="00570204">
        <w:t>prastanica</w:t>
      </w:r>
      <w:r w:rsidRPr="005A415F">
        <w:t>.</w:t>
      </w:r>
      <w:r w:rsidR="005E62E6">
        <w:t xml:space="preserve"> </w:t>
      </w:r>
      <w:r w:rsidR="00755C41">
        <w:t>Kaveole bubrežnih endotelnih i epitelnih plazma membrana posebice obiluju u sadržaju neutralnog glikosfingolipida  CD77.</w:t>
      </w:r>
    </w:p>
    <w:p w:rsidR="001F0413" w:rsidRDefault="001F0413" w:rsidP="001F0413">
      <w:pPr>
        <w:spacing w:line="360" w:lineRule="auto"/>
        <w:jc w:val="both"/>
        <w:rPr>
          <w:kern w:val="0"/>
          <w:lang w:eastAsia="hr-BA"/>
        </w:rPr>
      </w:pPr>
      <w:r w:rsidRPr="001F0413">
        <w:rPr>
          <w:b/>
          <w:kern w:val="0"/>
          <w:lang w:eastAsia="hr-BA"/>
        </w:rPr>
        <w:t>CILJ ISTRAŽIVANJA:</w:t>
      </w:r>
      <w:r>
        <w:rPr>
          <w:b/>
          <w:kern w:val="0"/>
          <w:lang w:eastAsia="hr-BA"/>
        </w:rPr>
        <w:t xml:space="preserve"> </w:t>
      </w:r>
      <w:r>
        <w:rPr>
          <w:kern w:val="0"/>
          <w:lang w:eastAsia="hr-BA"/>
        </w:rPr>
        <w:t xml:space="preserve">Odrediti izražaj CD34 </w:t>
      </w:r>
      <w:r w:rsidR="00615604">
        <w:rPr>
          <w:kern w:val="0"/>
          <w:lang w:eastAsia="hr-BA"/>
        </w:rPr>
        <w:t>i CD77 biljega</w:t>
      </w:r>
      <w:r>
        <w:rPr>
          <w:kern w:val="0"/>
          <w:lang w:eastAsia="hr-BA"/>
        </w:rPr>
        <w:t xml:space="preserve"> na plazma membrani srčanih stanica</w:t>
      </w:r>
      <w:r w:rsidRPr="006A6B49">
        <w:rPr>
          <w:kern w:val="0"/>
          <w:lang w:eastAsia="hr-BA"/>
        </w:rPr>
        <w:t xml:space="preserve"> </w:t>
      </w:r>
      <w:r>
        <w:rPr>
          <w:kern w:val="0"/>
          <w:lang w:eastAsia="hr-BA"/>
        </w:rPr>
        <w:t>hiperkalcijemičnih štakora</w:t>
      </w:r>
      <w:r w:rsidRPr="006A6B49">
        <w:rPr>
          <w:kern w:val="0"/>
          <w:lang w:eastAsia="hr-BA"/>
        </w:rPr>
        <w:t xml:space="preserve"> u usporedbi s</w:t>
      </w:r>
      <w:r>
        <w:rPr>
          <w:kern w:val="0"/>
          <w:lang w:eastAsia="hr-BA"/>
        </w:rPr>
        <w:t xml:space="preserve"> izražajem na plazma membrani srča</w:t>
      </w:r>
      <w:r w:rsidR="00615604">
        <w:rPr>
          <w:kern w:val="0"/>
          <w:lang w:eastAsia="hr-BA"/>
        </w:rPr>
        <w:t>nih stanica kontrolnih štakora.</w:t>
      </w:r>
    </w:p>
    <w:p w:rsidR="001F0413" w:rsidRDefault="001F0413" w:rsidP="001F0413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szCs w:val="24"/>
          <w:lang w:eastAsia="hr-BA"/>
        </w:rPr>
      </w:pPr>
      <w:r w:rsidRPr="001F0413">
        <w:rPr>
          <w:b/>
          <w:kern w:val="0"/>
          <w:lang w:eastAsia="hr-BA"/>
        </w:rPr>
        <w:t>MATERIJALI I METODE:</w:t>
      </w:r>
      <w:r>
        <w:rPr>
          <w:b/>
          <w:kern w:val="0"/>
          <w:lang w:eastAsia="hr-BA"/>
        </w:rPr>
        <w:t xml:space="preserve"> </w:t>
      </w:r>
      <w:r>
        <w:rPr>
          <w:rFonts w:eastAsia="Times New Roman"/>
          <w:kern w:val="0"/>
          <w:szCs w:val="24"/>
          <w:lang w:val="en-US" w:eastAsia="hr-BA"/>
        </w:rPr>
        <w:t>Mužjaci štakorskog soja Sprague-Dawley, starosti 6 tjedna bili su podijeljeni u 2 skupine: ispitivanu skupinu koja je podvrgnuta hiperkalcijemičnom</w:t>
      </w:r>
      <w:r>
        <w:rPr>
          <w:rFonts w:eastAsia="Times New Roman"/>
          <w:kern w:val="0"/>
          <w:szCs w:val="24"/>
          <w:lang w:eastAsia="hr-BA"/>
        </w:rPr>
        <w:t xml:space="preserve"> tretmanu (n=8) i netretiranu kontrolnu skupinu (n=9). </w:t>
      </w:r>
      <w:r>
        <w:rPr>
          <w:kern w:val="0"/>
        </w:rPr>
        <w:t xml:space="preserve">Da bi postigli hiperkalcijemiju, hiperkalcijemičnoj skupini </w:t>
      </w:r>
      <w:r>
        <w:t xml:space="preserve">se davala voda koja je bogata </w:t>
      </w:r>
      <w:r w:rsidRPr="00783E21">
        <w:t>CaCl</w:t>
      </w:r>
      <w:r w:rsidRPr="00783E21">
        <w:rPr>
          <w:vertAlign w:val="subscript"/>
        </w:rPr>
        <w:t>2</w:t>
      </w:r>
      <w:r w:rsidR="00615604">
        <w:t xml:space="preserve">. </w:t>
      </w:r>
      <w:r>
        <w:t xml:space="preserve">Period u kojem su štakori pili vodu obogaćenu </w:t>
      </w:r>
      <w:r w:rsidRPr="00783E21">
        <w:t>CaCl</w:t>
      </w:r>
      <w:r w:rsidRPr="00783E21">
        <w:rPr>
          <w:vertAlign w:val="subscript"/>
        </w:rPr>
        <w:t>2</w:t>
      </w:r>
      <w:r>
        <w:t xml:space="preserve"> bio je 14 dana. Štakorima iz kontrolne i hiperkalcijemične skupine, nakon žrtvovanja, izvađena su tkiva srca.</w:t>
      </w:r>
      <w:r w:rsidRPr="001F0413">
        <w:t xml:space="preserve"> </w:t>
      </w:r>
      <w:r>
        <w:t xml:space="preserve">Sve životinje žrtvovane su produljenom anestezijom (dietil eter). </w:t>
      </w:r>
      <w:r>
        <w:rPr>
          <w:rFonts w:eastAsia="Times New Roman"/>
          <w:kern w:val="0"/>
          <w:szCs w:val="24"/>
          <w:lang w:eastAsia="hr-BA"/>
        </w:rPr>
        <w:t>Nakon toga pripremljene izolirane stanice bubrega inkubirane su sa dva protutijela za dvostruko bojenje stanica: protutijelo na CD34 konjugirano s PC5 i  CD77 konjugirano s FITC-om, te su analizirane protočnim citometrom.</w:t>
      </w:r>
    </w:p>
    <w:p w:rsidR="00AD39BD" w:rsidRDefault="001F0413" w:rsidP="00AD39BD">
      <w:pPr>
        <w:spacing w:line="360" w:lineRule="auto"/>
        <w:jc w:val="both"/>
      </w:pPr>
      <w:r w:rsidRPr="001F0413">
        <w:rPr>
          <w:rFonts w:eastAsia="Times New Roman"/>
          <w:b/>
          <w:kern w:val="0"/>
          <w:szCs w:val="24"/>
          <w:lang w:eastAsia="hr-BA"/>
        </w:rPr>
        <w:t>REZULTATI:</w:t>
      </w:r>
      <w:r>
        <w:rPr>
          <w:rFonts w:eastAsia="Times New Roman"/>
          <w:b/>
          <w:kern w:val="0"/>
          <w:szCs w:val="24"/>
          <w:lang w:eastAsia="hr-BA"/>
        </w:rPr>
        <w:t xml:space="preserve"> </w:t>
      </w:r>
      <w:r w:rsidR="00AD39BD">
        <w:t>Postotak ioniziranog kalcija u hiperkalcijemičnoj skupini</w:t>
      </w:r>
      <w:r w:rsidR="0049780F">
        <w:t xml:space="preserve"> iznosio je 48 ± 0.30 % </w:t>
      </w:r>
      <w:r w:rsidR="00AD39BD">
        <w:t>a u k</w:t>
      </w:r>
      <w:r w:rsidR="0049780F">
        <w:t>ontrolnoj skupini 44 ± 0.96 % (P=0.</w:t>
      </w:r>
      <w:r w:rsidR="00AD39BD">
        <w:t>013)</w:t>
      </w:r>
      <w:r w:rsidR="0049780F">
        <w:t>.</w:t>
      </w:r>
      <w:r w:rsidR="00AD39BD">
        <w:t xml:space="preserve"> U srcu hiperk</w:t>
      </w:r>
      <w:r w:rsidR="0049780F">
        <w:t xml:space="preserve">alcijemičnih štakora udio CD34+CD77- stanica je blago snižena u odnosu na kontrolnu skupinu. </w:t>
      </w:r>
    </w:p>
    <w:p w:rsidR="00AD39BD" w:rsidRPr="00FC2972" w:rsidRDefault="00AD39BD" w:rsidP="00AD39BD">
      <w:pPr>
        <w:spacing w:line="360" w:lineRule="auto"/>
        <w:jc w:val="both"/>
      </w:pPr>
      <w:r w:rsidRPr="00AD39BD">
        <w:rPr>
          <w:b/>
        </w:rPr>
        <w:t>ZAKLJUČAK:</w:t>
      </w:r>
      <w:r>
        <w:rPr>
          <w:b/>
        </w:rPr>
        <w:t xml:space="preserve"> </w:t>
      </w:r>
      <w:r w:rsidR="00615604">
        <w:t>Sniženje postotka CD34+CD77- srčanih stanica kod hiperkacijemičnih štakora u odnosu na kontrolnu skupinu nije bilo statistički značajno, ali  ovi podatci potvrđuju najnovija istraživanja koja su  pokazala da je cijepanje  vaskularnog endotelnog kadherina uzrokovano priljevom</w:t>
      </w:r>
      <w:r w:rsidR="00615604">
        <w:rPr>
          <w:color w:val="000000"/>
          <w:szCs w:val="24"/>
        </w:rPr>
        <w:t xml:space="preserve"> Ca</w:t>
      </w:r>
      <w:r w:rsidR="00615604">
        <w:rPr>
          <w:color w:val="000000"/>
          <w:szCs w:val="24"/>
          <w:vertAlign w:val="superscript"/>
        </w:rPr>
        <w:t>2+</w:t>
      </w:r>
      <w:r w:rsidR="00615604">
        <w:t>.</w:t>
      </w:r>
    </w:p>
    <w:p w:rsidR="0049780F" w:rsidRDefault="0049780F" w:rsidP="0049780F">
      <w:pPr>
        <w:pStyle w:val="Heading1"/>
        <w:spacing w:line="360" w:lineRule="auto"/>
        <w:jc w:val="both"/>
        <w:rPr>
          <w:kern w:val="0"/>
        </w:rPr>
      </w:pPr>
      <w:bookmarkStart w:id="23" w:name="_Toc392460010"/>
      <w:r>
        <w:rPr>
          <w:kern w:val="0"/>
        </w:rPr>
        <w:lastRenderedPageBreak/>
        <w:t>8. SUMMARY</w:t>
      </w: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FC2972">
      <w:pPr>
        <w:pStyle w:val="Heading1"/>
        <w:spacing w:line="360" w:lineRule="auto"/>
        <w:jc w:val="both"/>
        <w:rPr>
          <w:kern w:val="0"/>
        </w:rPr>
      </w:pPr>
    </w:p>
    <w:p w:rsidR="0049780F" w:rsidRDefault="0049780F" w:rsidP="006327DA">
      <w:pPr>
        <w:pStyle w:val="Heading1"/>
        <w:spacing w:line="360" w:lineRule="auto"/>
        <w:jc w:val="both"/>
        <w:rPr>
          <w:kern w:val="0"/>
        </w:rPr>
      </w:pPr>
      <w:bookmarkStart w:id="24" w:name="_Toc392460011"/>
      <w:bookmarkEnd w:id="23"/>
    </w:p>
    <w:p w:rsidR="00D23D61" w:rsidRPr="006327DA" w:rsidRDefault="00FC2972" w:rsidP="006327DA">
      <w:pPr>
        <w:pStyle w:val="Heading1"/>
        <w:spacing w:line="360" w:lineRule="auto"/>
        <w:jc w:val="both"/>
        <w:rPr>
          <w:kern w:val="0"/>
          <w:lang w:eastAsia="hr-BA"/>
        </w:rPr>
      </w:pPr>
      <w:r>
        <w:rPr>
          <w:kern w:val="0"/>
          <w:lang w:eastAsia="hr-BA"/>
        </w:rPr>
        <w:lastRenderedPageBreak/>
        <w:t>9.LITERATURA</w:t>
      </w:r>
      <w:bookmarkEnd w:id="24"/>
    </w:p>
    <w:p w:rsidR="00D23D61" w:rsidRPr="00D23D61" w:rsidRDefault="00D23D61" w:rsidP="00D23D61">
      <w:pPr>
        <w:rPr>
          <w:lang w:eastAsia="hr-BA"/>
        </w:rPr>
      </w:pPr>
    </w:p>
    <w:p w:rsidR="001F0413" w:rsidRPr="00EB2D05" w:rsidRDefault="00D23D61" w:rsidP="00EB2D05">
      <w:pPr>
        <w:numPr>
          <w:ilvl w:val="0"/>
          <w:numId w:val="11"/>
        </w:numPr>
        <w:spacing w:line="360" w:lineRule="auto"/>
        <w:jc w:val="both"/>
        <w:rPr>
          <w:lang w:eastAsia="hr-BA"/>
        </w:rPr>
      </w:pPr>
      <w:r w:rsidRPr="00D23D61">
        <w:rPr>
          <w:kern w:val="0"/>
          <w:lang w:eastAsia="hr-BA"/>
        </w:rPr>
        <w:t>Carneiro J.,Junqu</w:t>
      </w:r>
      <w:r w:rsidR="00437D33">
        <w:rPr>
          <w:kern w:val="0"/>
          <w:lang w:eastAsia="hr-BA"/>
        </w:rPr>
        <w:t>eira L. C. Osnove histologije, 10.</w:t>
      </w:r>
      <w:r w:rsidRPr="00D23D61">
        <w:rPr>
          <w:kern w:val="0"/>
          <w:lang w:eastAsia="hr-BA"/>
        </w:rPr>
        <w:t xml:space="preserve"> </w:t>
      </w:r>
      <w:r>
        <w:rPr>
          <w:kern w:val="0"/>
          <w:lang w:eastAsia="hr-BA"/>
        </w:rPr>
        <w:t>izdanje. Školska knjiga Zagreb,</w:t>
      </w:r>
      <w:r w:rsidR="00EB2D05">
        <w:rPr>
          <w:lang w:eastAsia="hr-BA"/>
        </w:rPr>
        <w:t xml:space="preserve"> </w:t>
      </w:r>
      <w:r w:rsidRPr="00D23D61">
        <w:rPr>
          <w:kern w:val="0"/>
          <w:lang w:eastAsia="hr-BA"/>
        </w:rPr>
        <w:t>2005.</w:t>
      </w:r>
    </w:p>
    <w:p w:rsidR="00D23D61" w:rsidRDefault="00D23D61" w:rsidP="00D23D61">
      <w:pPr>
        <w:spacing w:line="360" w:lineRule="auto"/>
        <w:ind w:firstLine="708"/>
        <w:jc w:val="both"/>
        <w:rPr>
          <w:kern w:val="0"/>
          <w:lang w:eastAsia="hr-BA"/>
        </w:rPr>
      </w:pPr>
    </w:p>
    <w:p w:rsidR="001F0413" w:rsidRDefault="00D23D61" w:rsidP="00EB2D05">
      <w:pPr>
        <w:numPr>
          <w:ilvl w:val="0"/>
          <w:numId w:val="11"/>
        </w:numPr>
        <w:spacing w:line="360" w:lineRule="auto"/>
        <w:jc w:val="both"/>
        <w:rPr>
          <w:kern w:val="0"/>
          <w:lang w:eastAsia="hr-BA"/>
        </w:rPr>
      </w:pPr>
      <w:r w:rsidRPr="00D23D61">
        <w:rPr>
          <w:kern w:val="0"/>
          <w:lang w:eastAsia="hr-BA"/>
        </w:rPr>
        <w:t>Čvorišćec D,Čepelak I.Štrausova Medicinska biokemija, Medicinska naklada Zagreb, 2009.</w:t>
      </w:r>
    </w:p>
    <w:p w:rsidR="00D23D61" w:rsidRDefault="00D23D61" w:rsidP="00D23D61">
      <w:pPr>
        <w:spacing w:line="360" w:lineRule="auto"/>
        <w:jc w:val="both"/>
        <w:rPr>
          <w:kern w:val="0"/>
          <w:lang w:eastAsia="hr-BA"/>
        </w:rPr>
      </w:pPr>
    </w:p>
    <w:p w:rsidR="00D23D61" w:rsidRDefault="00D23D61" w:rsidP="00EB2D05">
      <w:pPr>
        <w:numPr>
          <w:ilvl w:val="0"/>
          <w:numId w:val="11"/>
        </w:numPr>
        <w:spacing w:line="360" w:lineRule="auto"/>
        <w:jc w:val="both"/>
      </w:pPr>
      <w:r w:rsidRPr="00D23D61">
        <w:t>Gamulin S., Marušić M., Kovač Z. i suradnici; Patofiziologija; 7. Izdanje.</w:t>
      </w:r>
      <w:r>
        <w:t xml:space="preserve"> </w:t>
      </w:r>
      <w:r w:rsidRPr="00D23D61">
        <w:t>Medicinska naklada Zagreb 2011.</w:t>
      </w:r>
    </w:p>
    <w:p w:rsidR="00D23D61" w:rsidRDefault="00D23D61" w:rsidP="00D23D61">
      <w:pPr>
        <w:spacing w:line="360" w:lineRule="auto"/>
        <w:jc w:val="both"/>
      </w:pPr>
    </w:p>
    <w:p w:rsidR="00D23D61" w:rsidRDefault="00D23D61" w:rsidP="00EB2D05">
      <w:pPr>
        <w:numPr>
          <w:ilvl w:val="0"/>
          <w:numId w:val="11"/>
        </w:numPr>
        <w:spacing w:line="360" w:lineRule="auto"/>
        <w:jc w:val="both"/>
      </w:pPr>
      <w:r w:rsidRPr="00D23D61">
        <w:t>Božić J. Izražaj glikokonjugata CD34 i CD77 na štakorskom bubregu pod hiperbaričnim uvjetima. Diplomski rad. Sveučilište u Splitu Medicinski fakultet,. 2010.</w:t>
      </w:r>
    </w:p>
    <w:p w:rsidR="00D23D61" w:rsidRDefault="00D23D61" w:rsidP="00D23D61">
      <w:pPr>
        <w:spacing w:line="360" w:lineRule="auto"/>
        <w:jc w:val="both"/>
      </w:pPr>
    </w:p>
    <w:p w:rsidR="00D23D61" w:rsidRDefault="00D23D61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23D61">
        <w:rPr>
          <w:bCs/>
        </w:rPr>
        <w:t>Premužić - Lampič M.; Hematologija, klinička i laboratorijska; 1.izdanje</w:t>
      </w:r>
      <w:r w:rsidRPr="00D23D61">
        <w:rPr>
          <w:bCs/>
        </w:rPr>
        <w:br/>
        <w:t>Medicinska naklada Zagreb 2000.</w:t>
      </w:r>
    </w:p>
    <w:p w:rsidR="00D23D61" w:rsidRDefault="00D23D61" w:rsidP="00D23D61">
      <w:pPr>
        <w:spacing w:line="360" w:lineRule="auto"/>
        <w:jc w:val="both"/>
        <w:rPr>
          <w:bCs/>
        </w:rPr>
      </w:pPr>
    </w:p>
    <w:p w:rsidR="00D23D61" w:rsidRDefault="00D23D61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D23D61">
        <w:rPr>
          <w:bCs/>
        </w:rPr>
        <w:t>Labar B., Hauptmann</w:t>
      </w:r>
      <w:r w:rsidR="00B85206">
        <w:rPr>
          <w:bCs/>
        </w:rPr>
        <w:t xml:space="preserve"> E. i suradnici; Hematologija; 2.</w:t>
      </w:r>
      <w:r w:rsidRPr="00D23D61">
        <w:rPr>
          <w:bCs/>
        </w:rPr>
        <w:t xml:space="preserve"> izdanje Školska knjiga Zagreb 2007.</w:t>
      </w:r>
    </w:p>
    <w:p w:rsidR="00D23D61" w:rsidRDefault="00D23D61" w:rsidP="00D23D61">
      <w:pPr>
        <w:spacing w:line="360" w:lineRule="auto"/>
        <w:jc w:val="both"/>
        <w:rPr>
          <w:bCs/>
        </w:rPr>
      </w:pPr>
    </w:p>
    <w:p w:rsidR="00B85206" w:rsidRDefault="00B85206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B85206">
        <w:rPr>
          <w:bCs/>
        </w:rPr>
        <w:t>Schweppe CH, Bielaszewska M, Pohlentz G, Friedrich AW, Büntemeyer H, Schmidt MA, Kim KS, Peter-Katalin</w:t>
      </w:r>
      <w:r>
        <w:rPr>
          <w:bCs/>
        </w:rPr>
        <w:t xml:space="preserve">ic J, Karch H, Müthing J (2008) </w:t>
      </w:r>
      <w:r w:rsidRPr="00B85206">
        <w:rPr>
          <w:bCs/>
        </w:rPr>
        <w:t>GLYCOCONJUGATE JOURNAL 25(4): 291–304.</w:t>
      </w:r>
    </w:p>
    <w:p w:rsidR="00437D33" w:rsidRDefault="00437D33" w:rsidP="00437D33">
      <w:pPr>
        <w:spacing w:line="360" w:lineRule="auto"/>
        <w:jc w:val="both"/>
        <w:rPr>
          <w:bCs/>
          <w:lang w:val="en-US"/>
        </w:rPr>
      </w:pPr>
    </w:p>
    <w:p w:rsidR="00437D33" w:rsidRPr="00EB2D05" w:rsidRDefault="00437D33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437D33">
        <w:rPr>
          <w:bCs/>
          <w:lang w:val="en-US"/>
        </w:rPr>
        <w:t>Müthing J, Schweppe CH, Karch H, Friedrich AW. Shiga toxins, glycosphingolipid diversity, and endothelial cell injury. Thromb Haemost 2009;101:252-264.</w:t>
      </w:r>
    </w:p>
    <w:p w:rsidR="00EB2D05" w:rsidRDefault="00EB2D05" w:rsidP="00EB2D05">
      <w:pPr>
        <w:spacing w:line="360" w:lineRule="auto"/>
        <w:jc w:val="both"/>
        <w:rPr>
          <w:bCs/>
        </w:rPr>
      </w:pPr>
    </w:p>
    <w:p w:rsidR="0005563F" w:rsidRPr="006327DA" w:rsidRDefault="00EB2D05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rFonts w:eastAsia="Times New Roman"/>
          <w:color w:val="000000"/>
          <w:kern w:val="0"/>
          <w:szCs w:val="24"/>
          <w:lang w:val="en-US" w:eastAsia="hr-BA"/>
        </w:rPr>
        <w:t>Markoti</w:t>
      </w:r>
      <w:r>
        <w:rPr>
          <w:rFonts w:eastAsia="Times New Roman"/>
          <w:color w:val="000000"/>
          <w:kern w:val="0"/>
          <w:szCs w:val="24"/>
          <w:lang w:eastAsia="hr-BA"/>
        </w:rPr>
        <w:t>ć A, Božić J, Martinić R. Glycosphingolipids: modulators of immune and other cell function. U: Markotic A, Glavaš-Obrovac Lj, Varljen J, Žanić-Grubišić T, ur. Biochemistry and Immunology Intersections. Kerala: Research Signpost, 2008:69-82.</w:t>
      </w:r>
    </w:p>
    <w:p w:rsidR="006327DA" w:rsidRPr="006327DA" w:rsidRDefault="006327DA" w:rsidP="00EB2D05">
      <w:pPr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rFonts w:eastAsia="Times New Roman"/>
          <w:color w:val="000000"/>
          <w:kern w:val="0"/>
          <w:szCs w:val="24"/>
          <w:lang w:val="en-US" w:eastAsia="hr-BA"/>
        </w:rPr>
        <w:t>IUPAC-IUB Commission on Biochemical Nomenclature (CBN). The nomenclature of lipids. Recommendations. Eur J Biochemn 1997; 79:11-21.</w:t>
      </w:r>
    </w:p>
    <w:p w:rsidR="0005563F" w:rsidRDefault="0005563F" w:rsidP="0005563F">
      <w:pPr>
        <w:pStyle w:val="Heading1"/>
        <w:spacing w:line="360" w:lineRule="auto"/>
        <w:jc w:val="both"/>
      </w:pPr>
      <w:bookmarkStart w:id="25" w:name="_Toc392460012"/>
      <w:r>
        <w:lastRenderedPageBreak/>
        <w:t>10.ŽIVOTOPIS</w:t>
      </w:r>
      <w:bookmarkEnd w:id="25"/>
    </w:p>
    <w:p w:rsidR="00EB2D05" w:rsidRPr="0005563F" w:rsidRDefault="00EB2D05" w:rsidP="0005563F"/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Cs w:val="24"/>
          <w:lang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OP</w:t>
      </w:r>
      <w:r>
        <w:rPr>
          <w:rFonts w:eastAsia="Times New Roman"/>
          <w:b/>
          <w:bCs/>
          <w:kern w:val="0"/>
          <w:szCs w:val="24"/>
          <w:lang w:eastAsia="hr-BA"/>
        </w:rPr>
        <w:t>ĆI PODACI: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 xml:space="preserve">Ime i prezime: </w:t>
      </w:r>
      <w:r>
        <w:rPr>
          <w:rFonts w:eastAsia="Times New Roman"/>
          <w:kern w:val="0"/>
          <w:szCs w:val="24"/>
          <w:lang w:val="en-US" w:eastAsia="hr-BA"/>
        </w:rPr>
        <w:t>Iv</w:t>
      </w:r>
      <w:r w:rsidR="00007541">
        <w:rPr>
          <w:rFonts w:eastAsia="Times New Roman"/>
          <w:kern w:val="0"/>
          <w:szCs w:val="24"/>
          <w:lang w:val="en-US" w:eastAsia="hr-BA"/>
        </w:rPr>
        <w:t>ana Bandov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Datum ro</w:t>
      </w:r>
      <w:r>
        <w:rPr>
          <w:rFonts w:eastAsia="Times New Roman"/>
          <w:b/>
          <w:bCs/>
          <w:kern w:val="0"/>
          <w:szCs w:val="24"/>
          <w:lang w:eastAsia="hr-BA"/>
        </w:rPr>
        <w:t>đenja</w:t>
      </w:r>
      <w:r>
        <w:rPr>
          <w:rFonts w:eastAsia="Times New Roman"/>
          <w:kern w:val="0"/>
          <w:szCs w:val="24"/>
          <w:lang w:eastAsia="hr-BA"/>
        </w:rPr>
        <w:t>: 05. listopada 1992.g.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Adresa stanovanja</w:t>
      </w:r>
      <w:r>
        <w:rPr>
          <w:rFonts w:eastAsia="Times New Roman"/>
          <w:kern w:val="0"/>
          <w:szCs w:val="24"/>
          <w:lang w:val="en-US" w:eastAsia="hr-BA"/>
        </w:rPr>
        <w:t>: Put starog sela 11, 21310 Omiš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val="en-US"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Telefon</w:t>
      </w:r>
      <w:r>
        <w:rPr>
          <w:rFonts w:eastAsia="Times New Roman"/>
          <w:kern w:val="0"/>
          <w:szCs w:val="24"/>
          <w:lang w:val="en-US" w:eastAsia="hr-BA"/>
        </w:rPr>
        <w:t>: 021/534-530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val="en-US"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Mobitel</w:t>
      </w:r>
      <w:r>
        <w:rPr>
          <w:rFonts w:eastAsia="Times New Roman"/>
          <w:kern w:val="0"/>
          <w:szCs w:val="24"/>
          <w:lang w:val="en-US" w:eastAsia="hr-BA"/>
        </w:rPr>
        <w:t>: 095/579-679-0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kern w:val="0"/>
          <w:szCs w:val="24"/>
          <w:lang w:val="en-US"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E-mail</w:t>
      </w:r>
      <w:r>
        <w:rPr>
          <w:rFonts w:eastAsia="Times New Roman"/>
          <w:kern w:val="0"/>
          <w:szCs w:val="24"/>
          <w:lang w:val="en-US" w:eastAsia="hr-BA"/>
        </w:rPr>
        <w:t xml:space="preserve">: </w:t>
      </w:r>
      <w:hyperlink r:id="rId12" w:history="1">
        <w:r w:rsidRPr="00687EB6">
          <w:rPr>
            <w:rStyle w:val="Hyperlink"/>
            <w:rFonts w:eastAsia="Times New Roman"/>
            <w:kern w:val="0"/>
            <w:szCs w:val="24"/>
            <w:lang w:val="en-US" w:eastAsia="hr-BA"/>
          </w:rPr>
          <w:t>ivanabandov456@gmail.com</w:t>
        </w:r>
      </w:hyperlink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b/>
          <w:bCs/>
          <w:kern w:val="0"/>
          <w:szCs w:val="24"/>
          <w:lang w:val="en-US"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OBRAZOVANJE: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val="en-US" w:eastAsia="hr-BA"/>
        </w:rPr>
        <w:t>1999 - 2007</w:t>
      </w:r>
      <w:r w:rsidR="00007541">
        <w:rPr>
          <w:rFonts w:eastAsia="Times New Roman"/>
          <w:kern w:val="0"/>
          <w:szCs w:val="24"/>
          <w:lang w:val="en-US" w:eastAsia="hr-BA"/>
        </w:rPr>
        <w:t xml:space="preserve">    Osnovna škola “Ivan Goran Kovačić”, Livno, Bosna i Hercegovina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val="en-US" w:eastAsia="hr-BA"/>
        </w:rPr>
        <w:t>2007 – 2</w:t>
      </w:r>
      <w:r w:rsidR="00007541">
        <w:rPr>
          <w:rFonts w:eastAsia="Times New Roman"/>
          <w:kern w:val="0"/>
          <w:szCs w:val="24"/>
          <w:lang w:val="en-US" w:eastAsia="hr-BA"/>
        </w:rPr>
        <w:t xml:space="preserve">011   </w:t>
      </w:r>
      <w:r>
        <w:rPr>
          <w:rFonts w:eastAsia="Times New Roman"/>
          <w:kern w:val="0"/>
          <w:szCs w:val="24"/>
          <w:lang w:val="en-US" w:eastAsia="hr-BA"/>
        </w:rPr>
        <w:t>Op</w:t>
      </w:r>
      <w:r w:rsidR="00007541">
        <w:rPr>
          <w:rFonts w:eastAsia="Times New Roman"/>
          <w:kern w:val="0"/>
          <w:szCs w:val="24"/>
          <w:lang w:eastAsia="hr-BA"/>
        </w:rPr>
        <w:t>ća gimanzija, Livno, Bosna i Hercegovina</w:t>
      </w:r>
    </w:p>
    <w:p w:rsidR="0005563F" w:rsidRDefault="00007541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val="en-US" w:eastAsia="hr-BA"/>
        </w:rPr>
        <w:t>2011 – danas  Odjel zdravstvenih studija, Medicinsko laboratorijska dijagnostika, Split</w:t>
      </w:r>
    </w:p>
    <w:p w:rsidR="0005563F" w:rsidRDefault="0005563F" w:rsidP="0005563F">
      <w:pPr>
        <w:widowControl/>
        <w:tabs>
          <w:tab w:val="left" w:pos="6003"/>
        </w:tabs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val="en-US" w:eastAsia="hr-BA"/>
        </w:rPr>
      </w:pPr>
      <w:r>
        <w:rPr>
          <w:rFonts w:eastAsia="Times New Roman"/>
          <w:b/>
          <w:bCs/>
          <w:kern w:val="0"/>
          <w:szCs w:val="24"/>
          <w:lang w:val="en-US" w:eastAsia="hr-BA"/>
        </w:rPr>
        <w:t>OSTALO</w:t>
      </w:r>
      <w:r>
        <w:rPr>
          <w:rFonts w:eastAsia="Times New Roman"/>
          <w:kern w:val="0"/>
          <w:szCs w:val="24"/>
          <w:lang w:val="en-US" w:eastAsia="hr-BA"/>
        </w:rPr>
        <w:t>:</w:t>
      </w:r>
    </w:p>
    <w:p w:rsidR="0005563F" w:rsidRPr="0049780F" w:rsidRDefault="0005563F" w:rsidP="0049780F">
      <w:pPr>
        <w:widowControl/>
        <w:autoSpaceDE w:val="0"/>
        <w:autoSpaceDN w:val="0"/>
        <w:adjustRightInd w:val="0"/>
        <w:spacing w:line="360" w:lineRule="auto"/>
        <w:rPr>
          <w:rFonts w:eastAsia="Times New Roman"/>
          <w:kern w:val="0"/>
          <w:szCs w:val="24"/>
          <w:lang w:eastAsia="hr-BA"/>
        </w:rPr>
      </w:pPr>
      <w:r>
        <w:rPr>
          <w:rFonts w:eastAsia="Times New Roman"/>
          <w:kern w:val="0"/>
          <w:szCs w:val="24"/>
          <w:lang w:val="en-US" w:eastAsia="hr-BA"/>
        </w:rPr>
        <w:t>Aktivn</w:t>
      </w:r>
      <w:r w:rsidR="00007541">
        <w:rPr>
          <w:rFonts w:eastAsia="Times New Roman"/>
          <w:kern w:val="0"/>
          <w:szCs w:val="24"/>
          <w:lang w:val="en-US" w:eastAsia="hr-BA"/>
        </w:rPr>
        <w:t xml:space="preserve">o se služim engleskim i </w:t>
      </w:r>
      <w:r>
        <w:rPr>
          <w:rFonts w:eastAsia="Times New Roman"/>
          <w:kern w:val="0"/>
          <w:szCs w:val="24"/>
          <w:lang w:val="en-US" w:eastAsia="hr-BA"/>
        </w:rPr>
        <w:t>njema</w:t>
      </w:r>
      <w:r>
        <w:rPr>
          <w:rFonts w:eastAsia="Times New Roman"/>
          <w:kern w:val="0"/>
          <w:szCs w:val="24"/>
          <w:lang w:eastAsia="hr-BA"/>
        </w:rPr>
        <w:t>čkim jezikom</w:t>
      </w:r>
      <w:r w:rsidR="0049780F">
        <w:rPr>
          <w:rFonts w:eastAsia="Times New Roman"/>
          <w:kern w:val="0"/>
          <w:szCs w:val="24"/>
          <w:lang w:eastAsia="hr-BA"/>
        </w:rPr>
        <w:t>.</w:t>
      </w:r>
    </w:p>
    <w:sectPr w:rsidR="0005563F" w:rsidRPr="0049780F" w:rsidSect="00FD25B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E4" w:rsidRDefault="00506BE4">
      <w:r>
        <w:separator/>
      </w:r>
    </w:p>
  </w:endnote>
  <w:endnote w:type="continuationSeparator" w:id="0">
    <w:p w:rsidR="00506BE4" w:rsidRDefault="0050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99" w:rsidRDefault="00781A99" w:rsidP="00FD2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A99" w:rsidRDefault="00781A99" w:rsidP="00FD25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99" w:rsidRDefault="00781A99" w:rsidP="00FD25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1E8">
      <w:rPr>
        <w:rStyle w:val="PageNumber"/>
        <w:noProof/>
      </w:rPr>
      <w:t>26</w:t>
    </w:r>
    <w:r>
      <w:rPr>
        <w:rStyle w:val="PageNumber"/>
      </w:rPr>
      <w:fldChar w:fldCharType="end"/>
    </w:r>
  </w:p>
  <w:p w:rsidR="00781A99" w:rsidRDefault="00781A99" w:rsidP="00FD25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E4" w:rsidRDefault="00506BE4">
      <w:r>
        <w:separator/>
      </w:r>
    </w:p>
  </w:footnote>
  <w:footnote w:type="continuationSeparator" w:id="0">
    <w:p w:rsidR="00506BE4" w:rsidRDefault="00506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AEE9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1DC1512"/>
    <w:multiLevelType w:val="hybridMultilevel"/>
    <w:tmpl w:val="333CE320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3274"/>
    <w:multiLevelType w:val="hybridMultilevel"/>
    <w:tmpl w:val="A94EC68E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75AE"/>
    <w:multiLevelType w:val="hybridMultilevel"/>
    <w:tmpl w:val="C3C28F0E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61CF0"/>
    <w:multiLevelType w:val="hybridMultilevel"/>
    <w:tmpl w:val="8E2823A0"/>
    <w:lvl w:ilvl="0" w:tplc="10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561920"/>
    <w:multiLevelType w:val="hybridMultilevel"/>
    <w:tmpl w:val="F638614C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B573D0"/>
    <w:multiLevelType w:val="hybridMultilevel"/>
    <w:tmpl w:val="60D8940C"/>
    <w:lvl w:ilvl="0" w:tplc="10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6C0A36"/>
    <w:multiLevelType w:val="hybridMultilevel"/>
    <w:tmpl w:val="BD4EFB5C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E4346"/>
    <w:multiLevelType w:val="hybridMultilevel"/>
    <w:tmpl w:val="4E14C7AC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B13DB"/>
    <w:multiLevelType w:val="hybridMultilevel"/>
    <w:tmpl w:val="D1A06CD4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A69D9"/>
    <w:multiLevelType w:val="hybridMultilevel"/>
    <w:tmpl w:val="E586FAC2"/>
    <w:lvl w:ilvl="0" w:tplc="10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77592F"/>
    <w:multiLevelType w:val="hybridMultilevel"/>
    <w:tmpl w:val="73F02EC4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3DC"/>
    <w:rsid w:val="00007541"/>
    <w:rsid w:val="00013AD0"/>
    <w:rsid w:val="0005563F"/>
    <w:rsid w:val="000573F1"/>
    <w:rsid w:val="00062E4C"/>
    <w:rsid w:val="000716B2"/>
    <w:rsid w:val="0007241E"/>
    <w:rsid w:val="0007286A"/>
    <w:rsid w:val="000776B0"/>
    <w:rsid w:val="0007780C"/>
    <w:rsid w:val="00092536"/>
    <w:rsid w:val="00093ABB"/>
    <w:rsid w:val="000A6222"/>
    <w:rsid w:val="000B0D60"/>
    <w:rsid w:val="000B6310"/>
    <w:rsid w:val="000C1A0E"/>
    <w:rsid w:val="000C4BB1"/>
    <w:rsid w:val="000D2FA5"/>
    <w:rsid w:val="000D4051"/>
    <w:rsid w:val="000E0375"/>
    <w:rsid w:val="000E1EA1"/>
    <w:rsid w:val="00102E92"/>
    <w:rsid w:val="00113BEC"/>
    <w:rsid w:val="00136C5E"/>
    <w:rsid w:val="00137860"/>
    <w:rsid w:val="001438CD"/>
    <w:rsid w:val="00146141"/>
    <w:rsid w:val="0015559C"/>
    <w:rsid w:val="00162FEE"/>
    <w:rsid w:val="00171CE7"/>
    <w:rsid w:val="00176C63"/>
    <w:rsid w:val="00191D9A"/>
    <w:rsid w:val="001A2E09"/>
    <w:rsid w:val="001A5B57"/>
    <w:rsid w:val="001B4279"/>
    <w:rsid w:val="001C033C"/>
    <w:rsid w:val="001F0413"/>
    <w:rsid w:val="001F5FFD"/>
    <w:rsid w:val="00201B69"/>
    <w:rsid w:val="00204A08"/>
    <w:rsid w:val="002134E3"/>
    <w:rsid w:val="00231B33"/>
    <w:rsid w:val="00231B3C"/>
    <w:rsid w:val="002400DE"/>
    <w:rsid w:val="00247090"/>
    <w:rsid w:val="002515D1"/>
    <w:rsid w:val="00256904"/>
    <w:rsid w:val="00266CE8"/>
    <w:rsid w:val="00272285"/>
    <w:rsid w:val="00276C50"/>
    <w:rsid w:val="00276D7F"/>
    <w:rsid w:val="00286591"/>
    <w:rsid w:val="00286F99"/>
    <w:rsid w:val="002A0D62"/>
    <w:rsid w:val="002B2E16"/>
    <w:rsid w:val="002C47D9"/>
    <w:rsid w:val="002C5D15"/>
    <w:rsid w:val="002D2D0A"/>
    <w:rsid w:val="002D3E8B"/>
    <w:rsid w:val="00305030"/>
    <w:rsid w:val="00306177"/>
    <w:rsid w:val="003142B0"/>
    <w:rsid w:val="0031699D"/>
    <w:rsid w:val="00334855"/>
    <w:rsid w:val="00355360"/>
    <w:rsid w:val="00357230"/>
    <w:rsid w:val="00365F8E"/>
    <w:rsid w:val="003A6465"/>
    <w:rsid w:val="003B2691"/>
    <w:rsid w:val="003C108B"/>
    <w:rsid w:val="003E0EBB"/>
    <w:rsid w:val="003F2788"/>
    <w:rsid w:val="003F58A9"/>
    <w:rsid w:val="003F5A9F"/>
    <w:rsid w:val="003F628F"/>
    <w:rsid w:val="004012CD"/>
    <w:rsid w:val="00415600"/>
    <w:rsid w:val="00415C14"/>
    <w:rsid w:val="0042425C"/>
    <w:rsid w:val="004277F7"/>
    <w:rsid w:val="00430BCD"/>
    <w:rsid w:val="0043124C"/>
    <w:rsid w:val="00431318"/>
    <w:rsid w:val="00437D33"/>
    <w:rsid w:val="004417BE"/>
    <w:rsid w:val="00452D96"/>
    <w:rsid w:val="00457626"/>
    <w:rsid w:val="00461D4A"/>
    <w:rsid w:val="00473675"/>
    <w:rsid w:val="004946D3"/>
    <w:rsid w:val="00496826"/>
    <w:rsid w:val="004972FE"/>
    <w:rsid w:val="0049780F"/>
    <w:rsid w:val="004A35E0"/>
    <w:rsid w:val="004B0ADF"/>
    <w:rsid w:val="004D4E89"/>
    <w:rsid w:val="004E02A8"/>
    <w:rsid w:val="004E55EE"/>
    <w:rsid w:val="005005B5"/>
    <w:rsid w:val="00506BE4"/>
    <w:rsid w:val="005073A8"/>
    <w:rsid w:val="005237B3"/>
    <w:rsid w:val="00524B55"/>
    <w:rsid w:val="00537C25"/>
    <w:rsid w:val="00537E84"/>
    <w:rsid w:val="00547A70"/>
    <w:rsid w:val="005502D6"/>
    <w:rsid w:val="00550B99"/>
    <w:rsid w:val="00570204"/>
    <w:rsid w:val="00571ADE"/>
    <w:rsid w:val="00577032"/>
    <w:rsid w:val="00586D31"/>
    <w:rsid w:val="005874AB"/>
    <w:rsid w:val="005A415F"/>
    <w:rsid w:val="005C0584"/>
    <w:rsid w:val="005D0EE5"/>
    <w:rsid w:val="005D2323"/>
    <w:rsid w:val="005D4A01"/>
    <w:rsid w:val="005E62E6"/>
    <w:rsid w:val="005E7664"/>
    <w:rsid w:val="005F0081"/>
    <w:rsid w:val="005F0347"/>
    <w:rsid w:val="005F202E"/>
    <w:rsid w:val="005F461E"/>
    <w:rsid w:val="005F4A15"/>
    <w:rsid w:val="00606D95"/>
    <w:rsid w:val="00610A2F"/>
    <w:rsid w:val="0061478D"/>
    <w:rsid w:val="00615604"/>
    <w:rsid w:val="00622E5D"/>
    <w:rsid w:val="00625DE3"/>
    <w:rsid w:val="006327DA"/>
    <w:rsid w:val="006346F7"/>
    <w:rsid w:val="00634980"/>
    <w:rsid w:val="00634C90"/>
    <w:rsid w:val="006468AD"/>
    <w:rsid w:val="00647754"/>
    <w:rsid w:val="00650CA4"/>
    <w:rsid w:val="0065173A"/>
    <w:rsid w:val="00651A38"/>
    <w:rsid w:val="00651E2F"/>
    <w:rsid w:val="00655DE4"/>
    <w:rsid w:val="00664444"/>
    <w:rsid w:val="006671DB"/>
    <w:rsid w:val="00667597"/>
    <w:rsid w:val="006710A9"/>
    <w:rsid w:val="00671287"/>
    <w:rsid w:val="00683344"/>
    <w:rsid w:val="0068631E"/>
    <w:rsid w:val="006A15FD"/>
    <w:rsid w:val="006A6B49"/>
    <w:rsid w:val="006B7654"/>
    <w:rsid w:val="006B7D52"/>
    <w:rsid w:val="006C0FE7"/>
    <w:rsid w:val="006C66EA"/>
    <w:rsid w:val="006C6F84"/>
    <w:rsid w:val="006D1627"/>
    <w:rsid w:val="006D2EB3"/>
    <w:rsid w:val="006E6AD7"/>
    <w:rsid w:val="00712A15"/>
    <w:rsid w:val="007264B0"/>
    <w:rsid w:val="007405ED"/>
    <w:rsid w:val="00741769"/>
    <w:rsid w:val="00755C41"/>
    <w:rsid w:val="0076384F"/>
    <w:rsid w:val="007657D8"/>
    <w:rsid w:val="00767BC9"/>
    <w:rsid w:val="00781A99"/>
    <w:rsid w:val="00783E21"/>
    <w:rsid w:val="00796FC1"/>
    <w:rsid w:val="007A0DED"/>
    <w:rsid w:val="007A2976"/>
    <w:rsid w:val="007B1760"/>
    <w:rsid w:val="007D486B"/>
    <w:rsid w:val="007D6EAB"/>
    <w:rsid w:val="007E0E61"/>
    <w:rsid w:val="007E23D8"/>
    <w:rsid w:val="007F32B4"/>
    <w:rsid w:val="0080383F"/>
    <w:rsid w:val="008059AF"/>
    <w:rsid w:val="008246E7"/>
    <w:rsid w:val="008328EE"/>
    <w:rsid w:val="008356CF"/>
    <w:rsid w:val="00862CB7"/>
    <w:rsid w:val="00867C79"/>
    <w:rsid w:val="00886E44"/>
    <w:rsid w:val="00894836"/>
    <w:rsid w:val="008951E8"/>
    <w:rsid w:val="008A2559"/>
    <w:rsid w:val="008B127F"/>
    <w:rsid w:val="008B78FE"/>
    <w:rsid w:val="008C0A73"/>
    <w:rsid w:val="008D0570"/>
    <w:rsid w:val="008D0F89"/>
    <w:rsid w:val="008D130B"/>
    <w:rsid w:val="008D2112"/>
    <w:rsid w:val="008D6CC9"/>
    <w:rsid w:val="008E6F58"/>
    <w:rsid w:val="008F3F94"/>
    <w:rsid w:val="008F5C07"/>
    <w:rsid w:val="00907D59"/>
    <w:rsid w:val="00913912"/>
    <w:rsid w:val="009323A8"/>
    <w:rsid w:val="00934075"/>
    <w:rsid w:val="00937507"/>
    <w:rsid w:val="009604B2"/>
    <w:rsid w:val="00963C09"/>
    <w:rsid w:val="0096772C"/>
    <w:rsid w:val="00971E7C"/>
    <w:rsid w:val="00973402"/>
    <w:rsid w:val="00977292"/>
    <w:rsid w:val="0098696A"/>
    <w:rsid w:val="0099185A"/>
    <w:rsid w:val="00992506"/>
    <w:rsid w:val="0099676E"/>
    <w:rsid w:val="009A703F"/>
    <w:rsid w:val="009A7C65"/>
    <w:rsid w:val="009B5A60"/>
    <w:rsid w:val="009C5398"/>
    <w:rsid w:val="009D2DB3"/>
    <w:rsid w:val="009E5612"/>
    <w:rsid w:val="009E6F1D"/>
    <w:rsid w:val="009F21F2"/>
    <w:rsid w:val="00A04A46"/>
    <w:rsid w:val="00A07A34"/>
    <w:rsid w:val="00A238FE"/>
    <w:rsid w:val="00A27070"/>
    <w:rsid w:val="00A2774C"/>
    <w:rsid w:val="00A27FCB"/>
    <w:rsid w:val="00A34611"/>
    <w:rsid w:val="00A40571"/>
    <w:rsid w:val="00A423DD"/>
    <w:rsid w:val="00A450AE"/>
    <w:rsid w:val="00A65BBF"/>
    <w:rsid w:val="00A72EE5"/>
    <w:rsid w:val="00A75BB7"/>
    <w:rsid w:val="00AA03DC"/>
    <w:rsid w:val="00AA1BF6"/>
    <w:rsid w:val="00AA38CE"/>
    <w:rsid w:val="00AB22CC"/>
    <w:rsid w:val="00AB7134"/>
    <w:rsid w:val="00AC4706"/>
    <w:rsid w:val="00AD0CE8"/>
    <w:rsid w:val="00AD39BD"/>
    <w:rsid w:val="00AE72D1"/>
    <w:rsid w:val="00AE75A3"/>
    <w:rsid w:val="00B05CB4"/>
    <w:rsid w:val="00B1058A"/>
    <w:rsid w:val="00B1165A"/>
    <w:rsid w:val="00B1289B"/>
    <w:rsid w:val="00B2193B"/>
    <w:rsid w:val="00B22B35"/>
    <w:rsid w:val="00B23F92"/>
    <w:rsid w:val="00B26139"/>
    <w:rsid w:val="00B3333C"/>
    <w:rsid w:val="00B456EC"/>
    <w:rsid w:val="00B47857"/>
    <w:rsid w:val="00B5304D"/>
    <w:rsid w:val="00B547BF"/>
    <w:rsid w:val="00B85206"/>
    <w:rsid w:val="00B8672F"/>
    <w:rsid w:val="00BA062A"/>
    <w:rsid w:val="00BA1CD9"/>
    <w:rsid w:val="00BA1E81"/>
    <w:rsid w:val="00BA35B9"/>
    <w:rsid w:val="00BA5304"/>
    <w:rsid w:val="00BC00DF"/>
    <w:rsid w:val="00BD7AF9"/>
    <w:rsid w:val="00BE7402"/>
    <w:rsid w:val="00BF12AB"/>
    <w:rsid w:val="00C17BE9"/>
    <w:rsid w:val="00C2303F"/>
    <w:rsid w:val="00C27B54"/>
    <w:rsid w:val="00C37D85"/>
    <w:rsid w:val="00C43EFD"/>
    <w:rsid w:val="00C52D58"/>
    <w:rsid w:val="00C52FCB"/>
    <w:rsid w:val="00C559E2"/>
    <w:rsid w:val="00C61734"/>
    <w:rsid w:val="00C830AE"/>
    <w:rsid w:val="00C85BEB"/>
    <w:rsid w:val="00C94269"/>
    <w:rsid w:val="00C97205"/>
    <w:rsid w:val="00CB1C94"/>
    <w:rsid w:val="00CB3554"/>
    <w:rsid w:val="00CC30A1"/>
    <w:rsid w:val="00CC6F97"/>
    <w:rsid w:val="00CD495C"/>
    <w:rsid w:val="00CE3E93"/>
    <w:rsid w:val="00CE5994"/>
    <w:rsid w:val="00CF54A5"/>
    <w:rsid w:val="00CF6895"/>
    <w:rsid w:val="00CF732A"/>
    <w:rsid w:val="00D02447"/>
    <w:rsid w:val="00D04463"/>
    <w:rsid w:val="00D055E3"/>
    <w:rsid w:val="00D16CE5"/>
    <w:rsid w:val="00D23D61"/>
    <w:rsid w:val="00D25869"/>
    <w:rsid w:val="00D264F4"/>
    <w:rsid w:val="00D275F3"/>
    <w:rsid w:val="00D303CF"/>
    <w:rsid w:val="00D32FEF"/>
    <w:rsid w:val="00D4347C"/>
    <w:rsid w:val="00D46EBF"/>
    <w:rsid w:val="00D532C3"/>
    <w:rsid w:val="00D64FEB"/>
    <w:rsid w:val="00D77435"/>
    <w:rsid w:val="00D84E77"/>
    <w:rsid w:val="00D870EF"/>
    <w:rsid w:val="00D97DA4"/>
    <w:rsid w:val="00DA039A"/>
    <w:rsid w:val="00DA37A9"/>
    <w:rsid w:val="00DA3C3C"/>
    <w:rsid w:val="00DB0267"/>
    <w:rsid w:val="00DB3645"/>
    <w:rsid w:val="00DB5C80"/>
    <w:rsid w:val="00DB69F1"/>
    <w:rsid w:val="00DC0430"/>
    <w:rsid w:val="00DF0D33"/>
    <w:rsid w:val="00DF736E"/>
    <w:rsid w:val="00E04185"/>
    <w:rsid w:val="00E11CE7"/>
    <w:rsid w:val="00E214EE"/>
    <w:rsid w:val="00E27A31"/>
    <w:rsid w:val="00E34511"/>
    <w:rsid w:val="00E422EF"/>
    <w:rsid w:val="00E50202"/>
    <w:rsid w:val="00E53194"/>
    <w:rsid w:val="00E72027"/>
    <w:rsid w:val="00EA04A4"/>
    <w:rsid w:val="00EA5C0A"/>
    <w:rsid w:val="00EB2D05"/>
    <w:rsid w:val="00EB36C1"/>
    <w:rsid w:val="00EC6105"/>
    <w:rsid w:val="00ED465B"/>
    <w:rsid w:val="00EE2A89"/>
    <w:rsid w:val="00EE3C97"/>
    <w:rsid w:val="00EE5E9B"/>
    <w:rsid w:val="00EE70A6"/>
    <w:rsid w:val="00F00807"/>
    <w:rsid w:val="00F1168D"/>
    <w:rsid w:val="00F17765"/>
    <w:rsid w:val="00F41FF3"/>
    <w:rsid w:val="00F43DDF"/>
    <w:rsid w:val="00F5074E"/>
    <w:rsid w:val="00F53332"/>
    <w:rsid w:val="00F53A3F"/>
    <w:rsid w:val="00F53DF8"/>
    <w:rsid w:val="00F6187A"/>
    <w:rsid w:val="00F61C89"/>
    <w:rsid w:val="00F7770B"/>
    <w:rsid w:val="00F8490E"/>
    <w:rsid w:val="00F873CD"/>
    <w:rsid w:val="00F92BFE"/>
    <w:rsid w:val="00F97A27"/>
    <w:rsid w:val="00FA059E"/>
    <w:rsid w:val="00FA4234"/>
    <w:rsid w:val="00FA6525"/>
    <w:rsid w:val="00FB26AF"/>
    <w:rsid w:val="00FB678F"/>
    <w:rsid w:val="00FC2972"/>
    <w:rsid w:val="00FD25BD"/>
    <w:rsid w:val="00FD6E43"/>
    <w:rsid w:val="00FE2391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3DC"/>
    <w:pPr>
      <w:widowControl w:val="0"/>
    </w:pPr>
    <w:rPr>
      <w:rFonts w:eastAsia="SimSun"/>
      <w:kern w:val="2"/>
      <w:sz w:val="24"/>
      <w:lang w:val="hr-BA" w:eastAsia="zh-CN"/>
    </w:rPr>
  </w:style>
  <w:style w:type="paragraph" w:styleId="Heading1">
    <w:name w:val="heading 1"/>
    <w:basedOn w:val="Normal"/>
    <w:next w:val="Normal"/>
    <w:link w:val="Heading1Char"/>
    <w:qFormat/>
    <w:rsid w:val="00570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5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41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A75BB7"/>
  </w:style>
  <w:style w:type="paragraph" w:styleId="Caption">
    <w:name w:val="caption"/>
    <w:basedOn w:val="Normal"/>
    <w:next w:val="Normal"/>
    <w:qFormat/>
    <w:rsid w:val="00013AD0"/>
    <w:rPr>
      <w:b/>
      <w:bCs/>
      <w:sz w:val="20"/>
    </w:rPr>
  </w:style>
  <w:style w:type="paragraph" w:styleId="NormalWeb">
    <w:name w:val="Normal (Web)"/>
    <w:basedOn w:val="Normal"/>
    <w:rsid w:val="00B22B35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hr-BA"/>
    </w:rPr>
  </w:style>
  <w:style w:type="paragraph" w:styleId="Footer">
    <w:name w:val="footer"/>
    <w:basedOn w:val="Normal"/>
    <w:rsid w:val="00FD25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D25BD"/>
  </w:style>
  <w:style w:type="character" w:customStyle="1" w:styleId="Heading1Char">
    <w:name w:val="Heading 1 Char"/>
    <w:basedOn w:val="DefaultParagraphFont"/>
    <w:link w:val="Heading1"/>
    <w:rsid w:val="004E55EE"/>
    <w:rPr>
      <w:rFonts w:ascii="Arial" w:eastAsia="SimSun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4E55EE"/>
    <w:rPr>
      <w:rFonts w:ascii="Arial" w:eastAsia="SimSun" w:hAnsi="Arial" w:cs="Arial"/>
      <w:b/>
      <w:bCs/>
      <w:i/>
      <w:iCs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5A415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96FC1"/>
  </w:style>
  <w:style w:type="table" w:styleId="TableGrid">
    <w:name w:val="Table Grid"/>
    <w:basedOn w:val="TableNormal"/>
    <w:rsid w:val="00610A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83E2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9323A8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semiHidden/>
    <w:rsid w:val="009323A8"/>
    <w:pPr>
      <w:ind w:left="240"/>
    </w:pPr>
  </w:style>
  <w:style w:type="paragraph" w:styleId="ListParagraph">
    <w:name w:val="List Paragraph"/>
    <w:basedOn w:val="Normal"/>
    <w:qFormat/>
    <w:rsid w:val="00615604"/>
    <w:pPr>
      <w:widowControl/>
      <w:suppressAutoHyphens/>
      <w:spacing w:after="200" w:line="276" w:lineRule="auto"/>
      <w:ind w:left="720"/>
    </w:pPr>
    <w:rPr>
      <w:rFonts w:ascii="Calibri" w:eastAsia="Times New Roman" w:hAnsi="Calibri" w:cs="Liberation Sans"/>
      <w:kern w:val="1"/>
      <w:sz w:val="22"/>
      <w:szCs w:val="22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vanabandov456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U SPLITU</vt:lpstr>
    </vt:vector>
  </TitlesOfParts>
  <Company/>
  <LinksUpToDate>false</LinksUpToDate>
  <CharactersWithSpaces>30063</CharactersWithSpaces>
  <SharedDoc>false</SharedDoc>
  <HLinks>
    <vt:vector size="162" baseType="variant">
      <vt:variant>
        <vt:i4>4718650</vt:i4>
      </vt:variant>
      <vt:variant>
        <vt:i4>177</vt:i4>
      </vt:variant>
      <vt:variant>
        <vt:i4>0</vt:i4>
      </vt:variant>
      <vt:variant>
        <vt:i4>5</vt:i4>
      </vt:variant>
      <vt:variant>
        <vt:lpwstr>mailto:ivanabandov456@gmail.com</vt:lpwstr>
      </vt:variant>
      <vt:variant>
        <vt:lpwstr/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_Toc392460012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_Toc392460011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_Toc392460010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_Toc392460009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_Toc392460008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_Toc392460007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_Toc392460006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_Toc392460005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_Toc392460004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_Toc392460003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_Toc392460002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_Toc392460001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_Toc392460000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_Toc392459999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_Toc392459998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_Toc392459997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_Toc392459996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_Toc392459995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_Toc392459994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_Toc392459993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_Toc392459992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_Toc392459991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_Toc392459990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_Toc392459989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_Toc392459988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_Toc392459987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</dc:title>
  <dc:creator>Ivana Bandov</dc:creator>
  <cp:lastModifiedBy>Vedrana Čikeš Ćulić</cp:lastModifiedBy>
  <cp:revision>2</cp:revision>
  <dcterms:created xsi:type="dcterms:W3CDTF">2014-07-10T12:28:00Z</dcterms:created>
  <dcterms:modified xsi:type="dcterms:W3CDTF">2014-07-10T12:28:00Z</dcterms:modified>
</cp:coreProperties>
</file>