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9" w:rsidRPr="00555091" w:rsidRDefault="00813A4F" w:rsidP="002E4FB9">
      <w:pPr>
        <w:rPr>
          <w:sz w:val="32"/>
          <w:szCs w:val="32"/>
        </w:rPr>
      </w:pPr>
      <w:r w:rsidRPr="00813A4F">
        <w:rPr>
          <w:sz w:val="32"/>
          <w:szCs w:val="32"/>
        </w:rPr>
        <w:t>The influence of Cd</w:t>
      </w:r>
      <w:r w:rsidRPr="00813A4F">
        <w:rPr>
          <w:sz w:val="32"/>
          <w:szCs w:val="32"/>
          <w:vertAlign w:val="superscript"/>
        </w:rPr>
        <w:t>2+</w:t>
      </w:r>
      <w:r w:rsidRPr="00813A4F">
        <w:rPr>
          <w:sz w:val="32"/>
          <w:szCs w:val="32"/>
        </w:rPr>
        <w:t xml:space="preserve"> </w:t>
      </w:r>
      <w:proofErr w:type="spellStart"/>
      <w:r w:rsidRPr="00813A4F">
        <w:rPr>
          <w:sz w:val="32"/>
          <w:szCs w:val="32"/>
        </w:rPr>
        <w:t>cations</w:t>
      </w:r>
      <w:proofErr w:type="spellEnd"/>
      <w:r w:rsidRPr="00813A4F">
        <w:rPr>
          <w:sz w:val="32"/>
          <w:szCs w:val="32"/>
        </w:rPr>
        <w:t xml:space="preserve"> on the α-Fe</w:t>
      </w:r>
      <w:r w:rsidRPr="00813A4F">
        <w:rPr>
          <w:sz w:val="32"/>
          <w:szCs w:val="32"/>
          <w:vertAlign w:val="subscript"/>
        </w:rPr>
        <w:t>2</w:t>
      </w:r>
      <w:r w:rsidRPr="00813A4F">
        <w:rPr>
          <w:sz w:val="32"/>
          <w:szCs w:val="32"/>
        </w:rPr>
        <w:t>O</w:t>
      </w:r>
      <w:r w:rsidRPr="00813A4F">
        <w:rPr>
          <w:sz w:val="32"/>
          <w:szCs w:val="32"/>
          <w:vertAlign w:val="subscript"/>
        </w:rPr>
        <w:t>3</w:t>
      </w:r>
      <w:r w:rsidRPr="00813A4F">
        <w:rPr>
          <w:sz w:val="32"/>
          <w:szCs w:val="32"/>
        </w:rPr>
        <w:t xml:space="preserve"> </w:t>
      </w:r>
      <w:proofErr w:type="spellStart"/>
      <w:r w:rsidRPr="00813A4F">
        <w:rPr>
          <w:sz w:val="32"/>
          <w:szCs w:val="32"/>
        </w:rPr>
        <w:t>nanorings</w:t>
      </w:r>
      <w:proofErr w:type="spellEnd"/>
      <w:r w:rsidRPr="00813A4F">
        <w:rPr>
          <w:sz w:val="32"/>
          <w:szCs w:val="32"/>
        </w:rPr>
        <w:t xml:space="preserve"> formation</w:t>
      </w:r>
    </w:p>
    <w:p w:rsidR="00535869" w:rsidRDefault="00535869" w:rsidP="00535869"/>
    <w:p w:rsidR="00535869" w:rsidRPr="00555091" w:rsidRDefault="005A4D68" w:rsidP="002E4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Goran</w:t>
      </w:r>
      <w:proofErr w:type="spellEnd"/>
      <w:r w:rsidR="00BB606A">
        <w:rPr>
          <w:sz w:val="28"/>
          <w:szCs w:val="28"/>
        </w:rPr>
        <w:t xml:space="preserve"> </w:t>
      </w:r>
      <w:proofErr w:type="spellStart"/>
      <w:r w:rsidR="00BB606A">
        <w:rPr>
          <w:sz w:val="28"/>
          <w:szCs w:val="28"/>
        </w:rPr>
        <w:t>Dražić</w:t>
      </w:r>
      <w:r w:rsidR="00535869" w:rsidRPr="00555091">
        <w:rPr>
          <w:sz w:val="28"/>
          <w:szCs w:val="28"/>
          <w:vertAlign w:val="superscript"/>
        </w:rPr>
        <w:t>a</w:t>
      </w:r>
      <w:proofErr w:type="spellEnd"/>
      <w:r w:rsidR="00535869" w:rsidRPr="00555091">
        <w:rPr>
          <w:sz w:val="28"/>
          <w:szCs w:val="28"/>
        </w:rPr>
        <w:t xml:space="preserve">, </w:t>
      </w:r>
      <w:proofErr w:type="spellStart"/>
      <w:r w:rsidR="00BB606A">
        <w:rPr>
          <w:sz w:val="28"/>
          <w:szCs w:val="28"/>
        </w:rPr>
        <w:t>Tanja</w:t>
      </w:r>
      <w:proofErr w:type="spellEnd"/>
      <w:r w:rsidR="00BB60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Jurkin</w:t>
      </w:r>
      <w:r w:rsidR="00535869" w:rsidRPr="00555091">
        <w:rPr>
          <w:sz w:val="28"/>
          <w:szCs w:val="28"/>
          <w:vertAlign w:val="superscript"/>
        </w:rPr>
        <w:t>b</w:t>
      </w:r>
      <w:proofErr w:type="spellEnd"/>
      <w:r w:rsidR="00535869" w:rsidRPr="00555091">
        <w:rPr>
          <w:sz w:val="28"/>
          <w:szCs w:val="28"/>
        </w:rPr>
        <w:t xml:space="preserve">, </w:t>
      </w:r>
      <w:proofErr w:type="spellStart"/>
      <w:r w:rsidR="00BB606A">
        <w:rPr>
          <w:sz w:val="28"/>
          <w:szCs w:val="28"/>
        </w:rPr>
        <w:t>Marijan</w:t>
      </w:r>
      <w:proofErr w:type="spellEnd"/>
      <w:r w:rsidR="00BB606A">
        <w:rPr>
          <w:sz w:val="28"/>
          <w:szCs w:val="28"/>
        </w:rPr>
        <w:t xml:space="preserve"> </w:t>
      </w:r>
      <w:proofErr w:type="spellStart"/>
      <w:r w:rsidR="00BB606A">
        <w:rPr>
          <w:sz w:val="28"/>
          <w:szCs w:val="28"/>
        </w:rPr>
        <w:t>Gotić</w:t>
      </w:r>
      <w:r>
        <w:rPr>
          <w:sz w:val="28"/>
          <w:szCs w:val="28"/>
          <w:vertAlign w:val="superscript"/>
        </w:rPr>
        <w:t>c</w:t>
      </w:r>
      <w:proofErr w:type="spellEnd"/>
    </w:p>
    <w:p w:rsidR="00535869" w:rsidRPr="00535869" w:rsidRDefault="00535869" w:rsidP="002E4FB9"/>
    <w:p w:rsidR="00535869" w:rsidRPr="00535869" w:rsidRDefault="00535869" w:rsidP="005A4D68">
      <w:pPr>
        <w:pStyle w:val="Default"/>
        <w:rPr>
          <w:i/>
        </w:rPr>
      </w:pPr>
      <w:proofErr w:type="gramStart"/>
      <w:r w:rsidRPr="00535869">
        <w:rPr>
          <w:i/>
          <w:vertAlign w:val="superscript"/>
        </w:rPr>
        <w:t>a</w:t>
      </w:r>
      <w:proofErr w:type="gramEnd"/>
      <w:r w:rsidR="005A4D68" w:rsidRPr="005A4D68">
        <w:rPr>
          <w:rFonts w:ascii="Times New Roman" w:hAnsi="Times New Roman" w:cs="Times New Roman"/>
          <w:i/>
          <w:lang w:val="hr-HR" w:eastAsia="de-DE"/>
        </w:rPr>
        <w:t xml:space="preserve"> National Institute of Chemistry, Hajdrihova 19, SI-1001 Ljubljana, Slovenia</w:t>
      </w:r>
    </w:p>
    <w:p w:rsidR="00535869" w:rsidRDefault="00535869" w:rsidP="005A4D68">
      <w:pPr>
        <w:pStyle w:val="Default"/>
        <w:rPr>
          <w:rFonts w:ascii="Times New Roman" w:hAnsi="Times New Roman" w:cs="Times New Roman"/>
          <w:i/>
          <w:lang w:val="hr-HR" w:eastAsia="de-DE"/>
        </w:rPr>
      </w:pPr>
      <w:proofErr w:type="gramStart"/>
      <w:r w:rsidRPr="00535869">
        <w:rPr>
          <w:i/>
          <w:vertAlign w:val="superscript"/>
        </w:rPr>
        <w:t>b</w:t>
      </w:r>
      <w:proofErr w:type="gramEnd"/>
      <w:r w:rsidR="005A4D68" w:rsidRPr="005A4D68">
        <w:rPr>
          <w:rFonts w:ascii="Times New Roman" w:hAnsi="Times New Roman" w:cs="Times New Roman"/>
          <w:i/>
          <w:lang w:val="hr-HR" w:eastAsia="de-DE"/>
        </w:rPr>
        <w:t xml:space="preserve"> Ruđer Bošković Institute, Division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of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Materials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Chemistry,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Laboratory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for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Radiation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Chemistry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and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Dosimetry,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Bijenička 54,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Zagreb,</w:t>
      </w:r>
      <w:r w:rsidR="005A4D68">
        <w:rPr>
          <w:i/>
          <w:lang w:val="hr-HR" w:eastAsia="de-DE"/>
        </w:rPr>
        <w:t xml:space="preserve"> </w:t>
      </w:r>
      <w:r w:rsidR="005A4D68" w:rsidRPr="005A4D68">
        <w:rPr>
          <w:rFonts w:ascii="Times New Roman" w:hAnsi="Times New Roman" w:cs="Times New Roman"/>
          <w:i/>
          <w:lang w:val="hr-HR" w:eastAsia="de-DE"/>
        </w:rPr>
        <w:t>Croatia</w:t>
      </w:r>
    </w:p>
    <w:p w:rsidR="00444BC7" w:rsidRDefault="005A4D68" w:rsidP="00444BC7">
      <w:proofErr w:type="gramStart"/>
      <w:r>
        <w:rPr>
          <w:i/>
          <w:vertAlign w:val="superscript"/>
        </w:rPr>
        <w:t>c</w:t>
      </w:r>
      <w:proofErr w:type="gramEnd"/>
      <w:r w:rsidRPr="005A4D68">
        <w:rPr>
          <w:i/>
          <w:color w:val="000000"/>
          <w:lang w:val="hr-HR" w:eastAsia="de-DE"/>
        </w:rPr>
        <w:t xml:space="preserve"> </w:t>
      </w:r>
      <w:r w:rsidR="00444BC7" w:rsidRPr="00444BC7">
        <w:rPr>
          <w:i/>
        </w:rPr>
        <w:t>Center of Excellence for Advanced Materials and Sensing Devices</w:t>
      </w:r>
      <w:r w:rsidR="00444BC7">
        <w:rPr>
          <w:i/>
        </w:rPr>
        <w:t xml:space="preserve">, </w:t>
      </w:r>
      <w:r w:rsidR="00444BC7" w:rsidRPr="005A4D68">
        <w:rPr>
          <w:i/>
          <w:color w:val="000000"/>
          <w:lang w:val="hr-HR" w:eastAsia="de-DE"/>
        </w:rPr>
        <w:t>Ruđer Bošković Institute</w:t>
      </w:r>
      <w:r w:rsidR="00444BC7">
        <w:rPr>
          <w:i/>
          <w:color w:val="000000"/>
          <w:lang w:val="hr-HR" w:eastAsia="de-DE"/>
        </w:rPr>
        <w:t>, Bijenička c. 54, Zagreb, Croatia</w:t>
      </w:r>
    </w:p>
    <w:p w:rsidR="00535869" w:rsidRPr="00535869" w:rsidRDefault="00535869" w:rsidP="00535869"/>
    <w:p w:rsidR="00535869" w:rsidRPr="00535869" w:rsidRDefault="00535869" w:rsidP="00535869">
      <w:pPr>
        <w:sectPr w:rsidR="00535869" w:rsidRPr="00535869" w:rsidSect="00535869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BB606A" w:rsidRPr="00BB606A" w:rsidRDefault="00445632" w:rsidP="00BB606A">
      <w:r w:rsidRPr="004456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39.1pt;margin-top:29.95pt;width:217.25pt;height:295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d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" stroked="f">
            <v:textbox style="mso-next-textbox:#Text Box 3">
              <w:txbxContent>
                <w:p w:rsidR="00535869" w:rsidRDefault="00444BC7" w:rsidP="00535869">
                  <w:pPr>
                    <w:pStyle w:val="Default"/>
                    <w:spacing w:after="220"/>
                    <w:rPr>
                      <w:sz w:val="20"/>
                      <w:szCs w:val="20"/>
                    </w:rPr>
                  </w:pPr>
                  <w:r w:rsidRPr="00444BC7">
                    <w:rPr>
                      <w:noProof/>
                      <w:sz w:val="20"/>
                      <w:szCs w:val="20"/>
                      <w:lang w:val="hr-HR" w:eastAsia="hr-HR"/>
                    </w:rPr>
                    <w:drawing>
                      <wp:inline distT="0" distB="0" distL="0" distR="0">
                        <wp:extent cx="2576195" cy="3166699"/>
                        <wp:effectExtent l="19050" t="0" r="0" b="0"/>
                        <wp:docPr id="2" name="Picture 1" descr="MOSS CDSUM 1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3" descr="MOSS CDSUM 1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6195" cy="3166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BC7" w:rsidRPr="00444BC7" w:rsidRDefault="00535869" w:rsidP="00444BC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535869">
                    <w:rPr>
                      <w:sz w:val="20"/>
                      <w:szCs w:val="20"/>
                    </w:rPr>
                    <w:t>Fig.</w:t>
                  </w:r>
                  <w:r w:rsidR="00CB5AE4">
                    <w:rPr>
                      <w:sz w:val="20"/>
                      <w:szCs w:val="20"/>
                    </w:rPr>
                    <w:t xml:space="preserve"> </w:t>
                  </w:r>
                  <w:r w:rsidRPr="00535869">
                    <w:rPr>
                      <w:sz w:val="20"/>
                      <w:szCs w:val="20"/>
                    </w:rPr>
                    <w:t xml:space="preserve">1 </w:t>
                  </w:r>
                  <w:r w:rsidR="00444BC7" w:rsidRPr="00444BC7">
                    <w:rPr>
                      <w:sz w:val="20"/>
                      <w:szCs w:val="20"/>
                      <w:lang w:val="en-GB"/>
                    </w:rPr>
                    <w:t xml:space="preserve">The evolution of </w:t>
                  </w:r>
                  <w:proofErr w:type="spellStart"/>
                  <w:r w:rsidR="00444BC7" w:rsidRPr="00444BC7">
                    <w:rPr>
                      <w:sz w:val="20"/>
                      <w:szCs w:val="20"/>
                      <w:lang w:val="en-GB"/>
                    </w:rPr>
                    <w:t>Mössbauer</w:t>
                  </w:r>
                  <w:proofErr w:type="spellEnd"/>
                  <w:r w:rsidR="00444BC7" w:rsidRPr="00444BC7">
                    <w:rPr>
                      <w:sz w:val="20"/>
                      <w:szCs w:val="20"/>
                      <w:lang w:val="en-GB"/>
                    </w:rPr>
                    <w:t xml:space="preserve"> spectra after autoclaving the Cd</w:t>
                  </w:r>
                  <w:r w:rsidR="00444BC7" w:rsidRPr="00444BC7">
                    <w:rPr>
                      <w:sz w:val="20"/>
                      <w:szCs w:val="20"/>
                      <w:vertAlign w:val="superscript"/>
                      <w:lang w:val="en-GB"/>
                    </w:rPr>
                    <w:t>2+</w:t>
                  </w:r>
                  <w:r w:rsidR="00444BC7" w:rsidRPr="00444BC7">
                    <w:rPr>
                      <w:sz w:val="20"/>
                      <w:szCs w:val="20"/>
                      <w:lang w:val="en-GB"/>
                    </w:rPr>
                    <w:t xml:space="preserve"> modified samples at 231 </w:t>
                  </w:r>
                  <w:proofErr w:type="spellStart"/>
                  <w:r w:rsidR="00444BC7" w:rsidRPr="00444BC7">
                    <w:rPr>
                      <w:sz w:val="20"/>
                      <w:szCs w:val="20"/>
                      <w:vertAlign w:val="superscript"/>
                      <w:lang w:val="en-GB"/>
                    </w:rPr>
                    <w:t>o</w:t>
                  </w:r>
                  <w:r w:rsidR="00444BC7" w:rsidRPr="00444BC7">
                    <w:rPr>
                      <w:sz w:val="20"/>
                      <w:szCs w:val="20"/>
                      <w:lang w:val="en-GB"/>
                    </w:rPr>
                    <w:t>C.</w:t>
                  </w:r>
                  <w:proofErr w:type="spellEnd"/>
                </w:p>
                <w:p w:rsidR="00535869" w:rsidRPr="00535869" w:rsidRDefault="00535869" w:rsidP="005358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63506" w:rsidRPr="00BB606A">
        <w:t xml:space="preserve">There is a long tradition in the synthesis of iron oxide particles with tailored chemical composition, shape and size. In order to modify the shape of iron oxide particles a lot of different surfactants, organic molecules, </w:t>
      </w:r>
      <w:proofErr w:type="spellStart"/>
      <w:r w:rsidR="00863506" w:rsidRPr="00BB606A">
        <w:t>cations</w:t>
      </w:r>
      <w:proofErr w:type="spellEnd"/>
      <w:r w:rsidR="00863506" w:rsidRPr="00BB606A">
        <w:t xml:space="preserve"> and anions have been used. In particular, phosphate anions have often been used to this end. It has been shown that the concentration of phosphate ions has a significant impact on the axial ratio of hematite particles. However, in spite of a long tradition of the synthetic iron oxide chemistry a convenient and reproducible one-pot procedure for a large-scale synthesis of iron oxide </w:t>
      </w:r>
      <w:proofErr w:type="spellStart"/>
      <w:r w:rsidR="00863506" w:rsidRPr="00BB606A">
        <w:t>nanotubes</w:t>
      </w:r>
      <w:proofErr w:type="spellEnd"/>
      <w:r w:rsidR="00863506" w:rsidRPr="00BB606A">
        <w:t xml:space="preserve"> and </w:t>
      </w:r>
      <w:proofErr w:type="spellStart"/>
      <w:r w:rsidR="00863506" w:rsidRPr="00BB606A">
        <w:t>nanorings</w:t>
      </w:r>
      <w:proofErr w:type="spellEnd"/>
      <w:r w:rsidR="00863506" w:rsidRPr="00BB606A">
        <w:t xml:space="preserve"> has been recently developed by </w:t>
      </w:r>
      <w:proofErr w:type="spellStart"/>
      <w:r w:rsidR="00863506" w:rsidRPr="00BB606A">
        <w:t>Jia</w:t>
      </w:r>
      <w:proofErr w:type="spellEnd"/>
      <w:r w:rsidR="00863506" w:rsidRPr="00BB606A">
        <w:t xml:space="preserve"> et al</w:t>
      </w:r>
      <w:proofErr w:type="gramStart"/>
      <w:r w:rsidR="00863506" w:rsidRPr="00BB606A">
        <w:t>.</w:t>
      </w:r>
      <w:proofErr w:type="gramEnd"/>
      <w:r w:rsidR="00BB606A">
        <w:sym w:font="Symbol" w:char="F05B"/>
      </w:r>
      <w:r w:rsidR="00BB606A">
        <w:t>1</w:t>
      </w:r>
      <w:r w:rsidR="00BB606A">
        <w:sym w:font="Symbol" w:char="F05D"/>
      </w:r>
      <w:r w:rsidR="00863506" w:rsidRPr="00BB606A">
        <w:t xml:space="preserve">. These authors have shown that phosphate anions can induce the preferential dissolution of the hematite spindle precursor to form single-crystalline iron oxide </w:t>
      </w:r>
      <w:proofErr w:type="spellStart"/>
      <w:r w:rsidR="00863506" w:rsidRPr="00BB606A">
        <w:t>nanotubes</w:t>
      </w:r>
      <w:proofErr w:type="spellEnd"/>
      <w:r w:rsidR="00863506" w:rsidRPr="00BB606A">
        <w:t>. The same authors</w:t>
      </w:r>
      <w:r w:rsidR="00BB606A">
        <w:t xml:space="preserve"> </w:t>
      </w:r>
      <w:r w:rsidR="00BB606A">
        <w:sym w:font="Symbol" w:char="F05B"/>
      </w:r>
      <w:r w:rsidR="00BB606A">
        <w:t>2</w:t>
      </w:r>
      <w:r w:rsidR="00BB606A">
        <w:sym w:font="Symbol" w:char="F05D"/>
      </w:r>
      <w:r w:rsidR="00BB606A">
        <w:t xml:space="preserve"> </w:t>
      </w:r>
      <w:r w:rsidR="00863506" w:rsidRPr="00BB606A">
        <w:t xml:space="preserve"> introduced </w:t>
      </w:r>
      <w:proofErr w:type="spellStart"/>
      <w:r w:rsidR="00863506" w:rsidRPr="00BB606A">
        <w:t>sulphate</w:t>
      </w:r>
      <w:proofErr w:type="spellEnd"/>
      <w:r w:rsidR="00863506" w:rsidRPr="00BB606A">
        <w:t xml:space="preserve"> anions into the system in order to achieve a better control of its morphology and this double anion mediation resulted in the synthesis of iron oxide </w:t>
      </w:r>
      <w:proofErr w:type="spellStart"/>
      <w:r w:rsidR="00863506" w:rsidRPr="00BB606A">
        <w:t>nanorings</w:t>
      </w:r>
      <w:proofErr w:type="spellEnd"/>
      <w:r w:rsidR="00863506" w:rsidRPr="00BB606A">
        <w:t xml:space="preserve">. Contrary to the approach of introducing additional anions for better control of hematite </w:t>
      </w:r>
      <w:proofErr w:type="spellStart"/>
      <w:r w:rsidR="00863506" w:rsidRPr="00BB606A">
        <w:t>nanotube</w:t>
      </w:r>
      <w:proofErr w:type="spellEnd"/>
      <w:r w:rsidR="00863506" w:rsidRPr="00BB606A">
        <w:t>/</w:t>
      </w:r>
      <w:proofErr w:type="spellStart"/>
      <w:r w:rsidR="00863506" w:rsidRPr="00BB606A">
        <w:t>n</w:t>
      </w:r>
      <w:r w:rsidR="00BB606A">
        <w:t>anoring</w:t>
      </w:r>
      <w:proofErr w:type="spellEnd"/>
      <w:r w:rsidR="00BB606A">
        <w:t xml:space="preserve"> morphology, </w:t>
      </w:r>
      <w:proofErr w:type="spellStart"/>
      <w:r w:rsidR="00BB606A">
        <w:t>Gotić</w:t>
      </w:r>
      <w:proofErr w:type="spellEnd"/>
      <w:r w:rsidR="00BB606A">
        <w:t xml:space="preserve"> et al. </w:t>
      </w:r>
      <w:r w:rsidR="00BB606A">
        <w:sym w:font="Symbol" w:char="F05B"/>
      </w:r>
      <w:r w:rsidR="00BB606A">
        <w:t>3</w:t>
      </w:r>
      <w:r w:rsidR="00BB606A">
        <w:sym w:font="Symbol" w:char="F05D"/>
      </w:r>
      <w:r w:rsidR="00863506" w:rsidRPr="00BB606A">
        <w:t xml:space="preserve"> have exploited the benefits of introducing the divalent metal </w:t>
      </w:r>
      <w:proofErr w:type="spellStart"/>
      <w:r w:rsidR="00863506" w:rsidRPr="00BB606A">
        <w:t>cations</w:t>
      </w:r>
      <w:proofErr w:type="spellEnd"/>
      <w:r w:rsidR="00863506" w:rsidRPr="00BB606A">
        <w:t xml:space="preserve"> M</w:t>
      </w:r>
      <w:r w:rsidR="00863506" w:rsidRPr="00BB606A">
        <w:rPr>
          <w:vertAlign w:val="superscript"/>
        </w:rPr>
        <w:t>2+</w:t>
      </w:r>
      <w:r w:rsidR="00863506" w:rsidRPr="00BB606A">
        <w:t xml:space="preserve"> (M = </w:t>
      </w:r>
      <w:proofErr w:type="spellStart"/>
      <w:r w:rsidR="00863506" w:rsidRPr="00BB606A">
        <w:t>Mn</w:t>
      </w:r>
      <w:proofErr w:type="spellEnd"/>
      <w:r w:rsidR="00863506" w:rsidRPr="00BB606A">
        <w:t>, Cu, Zn, Ni) into the system. With an increased M</w:t>
      </w:r>
      <w:r w:rsidR="00863506" w:rsidRPr="00BB606A">
        <w:rPr>
          <w:vertAlign w:val="superscript"/>
        </w:rPr>
        <w:t>2+</w:t>
      </w:r>
      <w:r w:rsidR="00863506" w:rsidRPr="00BB606A">
        <w:t xml:space="preserve"> addition the aspect ratio of hematite </w:t>
      </w:r>
      <w:proofErr w:type="spellStart"/>
      <w:r w:rsidR="00863506" w:rsidRPr="00BB606A">
        <w:t>nanotubes</w:t>
      </w:r>
      <w:proofErr w:type="spellEnd"/>
      <w:r w:rsidR="00863506" w:rsidRPr="00BB606A">
        <w:t xml:space="preserve"> gradually decreases and as a result hematite </w:t>
      </w:r>
      <w:proofErr w:type="spellStart"/>
      <w:r w:rsidR="00863506" w:rsidRPr="00BB606A">
        <w:t>nanorings</w:t>
      </w:r>
      <w:proofErr w:type="spellEnd"/>
      <w:r w:rsidR="00863506" w:rsidRPr="00BB606A">
        <w:t xml:space="preserve"> are formed. However, the role of the divalent metal </w:t>
      </w:r>
      <w:proofErr w:type="spellStart"/>
      <w:r w:rsidR="00863506" w:rsidRPr="00BB606A">
        <w:t>cations</w:t>
      </w:r>
      <w:proofErr w:type="spellEnd"/>
      <w:r w:rsidR="00863506" w:rsidRPr="00BB606A">
        <w:t xml:space="preserve"> in the formation of hematite </w:t>
      </w:r>
      <w:proofErr w:type="spellStart"/>
      <w:r w:rsidR="00863506" w:rsidRPr="00BB606A">
        <w:t>nanorings</w:t>
      </w:r>
      <w:proofErr w:type="spellEnd"/>
      <w:r w:rsidR="00863506" w:rsidRPr="00BB606A">
        <w:t xml:space="preserve"> is not fully understood. In this work, the influence of Cd</w:t>
      </w:r>
      <w:r w:rsidR="00863506" w:rsidRPr="00BB606A">
        <w:rPr>
          <w:vertAlign w:val="superscript"/>
        </w:rPr>
        <w:t>2+</w:t>
      </w:r>
      <w:r w:rsidR="00863506" w:rsidRPr="00BB606A">
        <w:t xml:space="preserve"> on the hematite (α-Fe</w:t>
      </w:r>
      <w:r w:rsidR="00863506" w:rsidRPr="00BB606A">
        <w:rPr>
          <w:vertAlign w:val="subscript"/>
        </w:rPr>
        <w:t>2</w:t>
      </w:r>
      <w:r w:rsidR="00863506" w:rsidRPr="00BB606A">
        <w:t>O</w:t>
      </w:r>
      <w:r w:rsidR="00863506" w:rsidRPr="00BB606A">
        <w:rPr>
          <w:vertAlign w:val="subscript"/>
        </w:rPr>
        <w:t>3</w:t>
      </w:r>
      <w:r w:rsidR="00863506" w:rsidRPr="00BB606A">
        <w:t xml:space="preserve">) </w:t>
      </w:r>
      <w:proofErr w:type="spellStart"/>
      <w:r w:rsidR="00863506" w:rsidRPr="00BB606A">
        <w:t>nanotube</w:t>
      </w:r>
      <w:proofErr w:type="spellEnd"/>
      <w:r w:rsidR="00863506" w:rsidRPr="00BB606A">
        <w:t xml:space="preserve"> morphology was studied in order to better understand the role</w:t>
      </w:r>
      <w:r w:rsidR="00BB606A" w:rsidRPr="00BB606A">
        <w:t xml:space="preserve"> divalent metal </w:t>
      </w:r>
      <w:proofErr w:type="spellStart"/>
      <w:r w:rsidR="00BB606A" w:rsidRPr="00BB606A">
        <w:t>cations</w:t>
      </w:r>
      <w:proofErr w:type="spellEnd"/>
      <w:r w:rsidR="00BB606A" w:rsidRPr="00BB606A">
        <w:t xml:space="preserve"> in the formation of </w:t>
      </w:r>
      <w:proofErr w:type="spellStart"/>
      <w:r w:rsidR="00BB606A" w:rsidRPr="00BB606A">
        <w:t>nanorings</w:t>
      </w:r>
      <w:proofErr w:type="spellEnd"/>
      <w:r w:rsidR="00BB606A" w:rsidRPr="00BB606A">
        <w:t xml:space="preserve"> morphology. </w:t>
      </w:r>
    </w:p>
    <w:p w:rsidR="000F3028" w:rsidRPr="000F3028" w:rsidRDefault="000F3028" w:rsidP="000F3028">
      <w:pPr>
        <w:jc w:val="both"/>
        <w:sectPr w:rsidR="000F3028" w:rsidRPr="000F3028" w:rsidSect="00535869">
          <w:type w:val="continuous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4800E6" w:rsidRDefault="004800E6" w:rsidP="00535869">
      <w:pPr>
        <w:jc w:val="both"/>
      </w:pPr>
    </w:p>
    <w:p w:rsidR="00535869" w:rsidRPr="004800E6" w:rsidRDefault="00535869" w:rsidP="00535869">
      <w:pPr>
        <w:jc w:val="both"/>
        <w:rPr>
          <w:i/>
          <w:sz w:val="20"/>
          <w:szCs w:val="20"/>
        </w:rPr>
      </w:pPr>
      <w:r w:rsidRPr="004800E6">
        <w:rPr>
          <w:i/>
          <w:sz w:val="20"/>
          <w:szCs w:val="20"/>
        </w:rPr>
        <w:t xml:space="preserve">Keywords: </w:t>
      </w:r>
      <w:r w:rsidR="00DB73A8">
        <w:rPr>
          <w:i/>
          <w:sz w:val="20"/>
          <w:szCs w:val="20"/>
        </w:rPr>
        <w:t xml:space="preserve">hematite, </w:t>
      </w:r>
      <w:proofErr w:type="spellStart"/>
      <w:r w:rsidR="00DB73A8">
        <w:rPr>
          <w:i/>
          <w:sz w:val="20"/>
          <w:szCs w:val="20"/>
        </w:rPr>
        <w:t>nanorings</w:t>
      </w:r>
      <w:proofErr w:type="spellEnd"/>
      <w:r w:rsidR="00DB73A8">
        <w:rPr>
          <w:i/>
          <w:sz w:val="20"/>
          <w:szCs w:val="20"/>
        </w:rPr>
        <w:t xml:space="preserve">, </w:t>
      </w:r>
      <w:proofErr w:type="spellStart"/>
      <w:r w:rsidR="00DB73A8">
        <w:rPr>
          <w:i/>
          <w:sz w:val="20"/>
          <w:szCs w:val="20"/>
        </w:rPr>
        <w:t>akaganeite</w:t>
      </w:r>
      <w:proofErr w:type="spellEnd"/>
      <w:r w:rsidRPr="004800E6">
        <w:rPr>
          <w:i/>
          <w:sz w:val="20"/>
          <w:szCs w:val="20"/>
        </w:rPr>
        <w:t xml:space="preserve"> </w:t>
      </w:r>
    </w:p>
    <w:p w:rsidR="004800E6" w:rsidRDefault="004800E6" w:rsidP="00535869">
      <w:pPr>
        <w:jc w:val="both"/>
      </w:pPr>
    </w:p>
    <w:p w:rsidR="00535869" w:rsidRPr="004800E6" w:rsidRDefault="00535869" w:rsidP="00535869">
      <w:pPr>
        <w:jc w:val="both"/>
        <w:rPr>
          <w:b/>
          <w:sz w:val="20"/>
          <w:szCs w:val="20"/>
        </w:rPr>
      </w:pPr>
      <w:r w:rsidRPr="004800E6">
        <w:rPr>
          <w:b/>
          <w:sz w:val="20"/>
          <w:szCs w:val="20"/>
        </w:rPr>
        <w:t xml:space="preserve">References </w:t>
      </w:r>
    </w:p>
    <w:p w:rsidR="00DB73A8" w:rsidRPr="00DB73A8" w:rsidRDefault="00DB73A8" w:rsidP="00DB73A8">
      <w:pPr>
        <w:jc w:val="both"/>
        <w:rPr>
          <w:sz w:val="20"/>
          <w:szCs w:val="20"/>
        </w:rPr>
      </w:pPr>
      <w:r w:rsidRPr="00DB73A8">
        <w:rPr>
          <w:sz w:val="20"/>
          <w:szCs w:val="20"/>
          <w:lang w:val="en-GB"/>
        </w:rPr>
        <w:t xml:space="preserve">[1] </w:t>
      </w:r>
      <w:proofErr w:type="spellStart"/>
      <w:r w:rsidRPr="00DB73A8">
        <w:rPr>
          <w:sz w:val="20"/>
          <w:szCs w:val="20"/>
        </w:rPr>
        <w:t>Jia</w:t>
      </w:r>
      <w:proofErr w:type="spellEnd"/>
      <w:r w:rsidRPr="00DB73A8">
        <w:rPr>
          <w:sz w:val="20"/>
          <w:szCs w:val="20"/>
        </w:rPr>
        <w:t xml:space="preserve"> et al., </w:t>
      </w:r>
      <w:proofErr w:type="spellStart"/>
      <w:r w:rsidRPr="00DB73A8">
        <w:rPr>
          <w:sz w:val="20"/>
          <w:szCs w:val="20"/>
        </w:rPr>
        <w:t>Angew</w:t>
      </w:r>
      <w:proofErr w:type="spellEnd"/>
      <w:r w:rsidRPr="00DB73A8">
        <w:rPr>
          <w:sz w:val="20"/>
          <w:szCs w:val="20"/>
        </w:rPr>
        <w:t xml:space="preserve">. </w:t>
      </w:r>
      <w:proofErr w:type="gramStart"/>
      <w:r w:rsidRPr="00DB73A8">
        <w:rPr>
          <w:sz w:val="20"/>
          <w:szCs w:val="20"/>
        </w:rPr>
        <w:t xml:space="preserve">Chem. Int. Ed. </w:t>
      </w:r>
      <w:r w:rsidRPr="00DB73A8">
        <w:rPr>
          <w:b/>
          <w:sz w:val="20"/>
          <w:szCs w:val="20"/>
        </w:rPr>
        <w:t>44</w:t>
      </w:r>
      <w:r w:rsidRPr="00DB73A8">
        <w:rPr>
          <w:sz w:val="20"/>
          <w:szCs w:val="20"/>
        </w:rPr>
        <w:t xml:space="preserve"> (2005) 4328.</w:t>
      </w:r>
      <w:proofErr w:type="gramEnd"/>
    </w:p>
    <w:p w:rsidR="00DB73A8" w:rsidRPr="00DB73A8" w:rsidRDefault="00DB73A8" w:rsidP="00DB73A8">
      <w:pPr>
        <w:jc w:val="both"/>
        <w:rPr>
          <w:sz w:val="20"/>
          <w:szCs w:val="20"/>
          <w:lang w:val="en-GB"/>
        </w:rPr>
      </w:pPr>
      <w:r w:rsidRPr="00DB73A8">
        <w:rPr>
          <w:sz w:val="20"/>
          <w:szCs w:val="20"/>
          <w:lang w:val="en-GB"/>
        </w:rPr>
        <w:t xml:space="preserve">[2] </w:t>
      </w:r>
      <w:proofErr w:type="spellStart"/>
      <w:r w:rsidRPr="00DB73A8">
        <w:rPr>
          <w:sz w:val="20"/>
          <w:szCs w:val="20"/>
          <w:lang w:val="en-GB"/>
        </w:rPr>
        <w:t>Jia</w:t>
      </w:r>
      <w:proofErr w:type="spellEnd"/>
      <w:r w:rsidRPr="00DB73A8">
        <w:rPr>
          <w:sz w:val="20"/>
          <w:szCs w:val="20"/>
          <w:lang w:val="en-GB"/>
        </w:rPr>
        <w:t xml:space="preserve"> et al., </w:t>
      </w:r>
      <w:r w:rsidRPr="00DB73A8">
        <w:rPr>
          <w:sz w:val="20"/>
          <w:szCs w:val="20"/>
        </w:rPr>
        <w:t xml:space="preserve">J. Am. Chem. Soc. </w:t>
      </w:r>
      <w:r w:rsidRPr="000618D6">
        <w:rPr>
          <w:b/>
          <w:sz w:val="20"/>
          <w:szCs w:val="20"/>
        </w:rPr>
        <w:t>130</w:t>
      </w:r>
      <w:r w:rsidRPr="00DB73A8">
        <w:rPr>
          <w:sz w:val="20"/>
          <w:szCs w:val="20"/>
        </w:rPr>
        <w:t xml:space="preserve"> (2008) 16968</w:t>
      </w:r>
      <w:r w:rsidRPr="00DB73A8">
        <w:rPr>
          <w:sz w:val="20"/>
          <w:szCs w:val="20"/>
          <w:lang w:val="en-GB"/>
        </w:rPr>
        <w:t>.</w:t>
      </w:r>
    </w:p>
    <w:p w:rsidR="00DB73A8" w:rsidRPr="00DB73A8" w:rsidRDefault="00DB73A8" w:rsidP="00DB73A8">
      <w:pPr>
        <w:jc w:val="both"/>
        <w:rPr>
          <w:sz w:val="20"/>
          <w:szCs w:val="20"/>
          <w:lang w:val="en-GB"/>
        </w:rPr>
      </w:pPr>
      <w:r w:rsidRPr="00DB73A8">
        <w:rPr>
          <w:sz w:val="20"/>
          <w:szCs w:val="20"/>
          <w:lang w:val="en-GB"/>
        </w:rPr>
        <w:t xml:space="preserve">[3] </w:t>
      </w:r>
      <w:proofErr w:type="spellStart"/>
      <w:r w:rsidRPr="00DB73A8">
        <w:rPr>
          <w:sz w:val="20"/>
          <w:szCs w:val="20"/>
          <w:lang w:val="en-GB"/>
        </w:rPr>
        <w:t>Gotić</w:t>
      </w:r>
      <w:proofErr w:type="spellEnd"/>
      <w:r w:rsidRPr="00DB73A8">
        <w:rPr>
          <w:sz w:val="20"/>
          <w:szCs w:val="20"/>
          <w:lang w:val="en-GB"/>
        </w:rPr>
        <w:t xml:space="preserve"> et al., </w:t>
      </w:r>
      <w:r w:rsidRPr="00DB73A8">
        <w:rPr>
          <w:sz w:val="20"/>
          <w:szCs w:val="20"/>
        </w:rPr>
        <w:t xml:space="preserve">J. Mol. </w:t>
      </w:r>
      <w:proofErr w:type="spellStart"/>
      <w:r w:rsidRPr="00DB73A8">
        <w:rPr>
          <w:sz w:val="20"/>
          <w:szCs w:val="20"/>
        </w:rPr>
        <w:t>Struct</w:t>
      </w:r>
      <w:proofErr w:type="spellEnd"/>
      <w:r w:rsidRPr="00DB73A8">
        <w:rPr>
          <w:sz w:val="20"/>
          <w:szCs w:val="20"/>
        </w:rPr>
        <w:t xml:space="preserve">. </w:t>
      </w:r>
      <w:proofErr w:type="gramStart"/>
      <w:r w:rsidRPr="00DB73A8">
        <w:rPr>
          <w:b/>
          <w:bCs/>
          <w:sz w:val="20"/>
          <w:szCs w:val="20"/>
        </w:rPr>
        <w:t>993</w:t>
      </w:r>
      <w:r w:rsidRPr="00DB73A8">
        <w:rPr>
          <w:sz w:val="20"/>
          <w:szCs w:val="20"/>
        </w:rPr>
        <w:t xml:space="preserve"> (2011) 167.</w:t>
      </w:r>
      <w:proofErr w:type="gramEnd"/>
    </w:p>
    <w:p w:rsidR="00535869" w:rsidRPr="00535869" w:rsidRDefault="00535869" w:rsidP="00535869"/>
    <w:sectPr w:rsidR="00535869" w:rsidRPr="00535869" w:rsidSect="00535869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B X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F1D"/>
    <w:multiLevelType w:val="multilevel"/>
    <w:tmpl w:val="60A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35869"/>
    <w:rsid w:val="00003487"/>
    <w:rsid w:val="0000721C"/>
    <w:rsid w:val="00021A35"/>
    <w:rsid w:val="00027C3F"/>
    <w:rsid w:val="000457D5"/>
    <w:rsid w:val="000617CF"/>
    <w:rsid w:val="000618D6"/>
    <w:rsid w:val="00064E0B"/>
    <w:rsid w:val="000671DF"/>
    <w:rsid w:val="00086966"/>
    <w:rsid w:val="00094AAA"/>
    <w:rsid w:val="000A356C"/>
    <w:rsid w:val="000A57DB"/>
    <w:rsid w:val="000A7732"/>
    <w:rsid w:val="000C3584"/>
    <w:rsid w:val="000C5F14"/>
    <w:rsid w:val="000C7024"/>
    <w:rsid w:val="000E6066"/>
    <w:rsid w:val="000E7BFD"/>
    <w:rsid w:val="000F3028"/>
    <w:rsid w:val="0010426B"/>
    <w:rsid w:val="0011233B"/>
    <w:rsid w:val="001145C4"/>
    <w:rsid w:val="00116DF6"/>
    <w:rsid w:val="0011716F"/>
    <w:rsid w:val="0012344C"/>
    <w:rsid w:val="00125858"/>
    <w:rsid w:val="00151FF0"/>
    <w:rsid w:val="00153DB0"/>
    <w:rsid w:val="00155230"/>
    <w:rsid w:val="00164850"/>
    <w:rsid w:val="0016700E"/>
    <w:rsid w:val="00175458"/>
    <w:rsid w:val="001760A1"/>
    <w:rsid w:val="001834F5"/>
    <w:rsid w:val="0019150E"/>
    <w:rsid w:val="001A59E4"/>
    <w:rsid w:val="001B0B4D"/>
    <w:rsid w:val="001B2E0F"/>
    <w:rsid w:val="001C4F16"/>
    <w:rsid w:val="001D7DC3"/>
    <w:rsid w:val="00203139"/>
    <w:rsid w:val="0021514D"/>
    <w:rsid w:val="0022094D"/>
    <w:rsid w:val="00220C4F"/>
    <w:rsid w:val="00222AFE"/>
    <w:rsid w:val="00236415"/>
    <w:rsid w:val="0024029E"/>
    <w:rsid w:val="00244D97"/>
    <w:rsid w:val="0025555F"/>
    <w:rsid w:val="00264D84"/>
    <w:rsid w:val="00270DF5"/>
    <w:rsid w:val="002A0F5C"/>
    <w:rsid w:val="002A2E83"/>
    <w:rsid w:val="002A464C"/>
    <w:rsid w:val="002B6A6A"/>
    <w:rsid w:val="002C1E71"/>
    <w:rsid w:val="002D027D"/>
    <w:rsid w:val="002D6066"/>
    <w:rsid w:val="002D78D2"/>
    <w:rsid w:val="002E1F5D"/>
    <w:rsid w:val="002E393E"/>
    <w:rsid w:val="002E4FB9"/>
    <w:rsid w:val="002F1B79"/>
    <w:rsid w:val="00306200"/>
    <w:rsid w:val="00316A71"/>
    <w:rsid w:val="003171B9"/>
    <w:rsid w:val="0032789C"/>
    <w:rsid w:val="00333934"/>
    <w:rsid w:val="0034240F"/>
    <w:rsid w:val="003523FD"/>
    <w:rsid w:val="00352B80"/>
    <w:rsid w:val="00360A12"/>
    <w:rsid w:val="00361A51"/>
    <w:rsid w:val="003662BA"/>
    <w:rsid w:val="00377A80"/>
    <w:rsid w:val="0038227A"/>
    <w:rsid w:val="00385A9A"/>
    <w:rsid w:val="00387E5B"/>
    <w:rsid w:val="00393086"/>
    <w:rsid w:val="00394AA4"/>
    <w:rsid w:val="003A19DB"/>
    <w:rsid w:val="003C7E13"/>
    <w:rsid w:val="003D742E"/>
    <w:rsid w:val="003E0810"/>
    <w:rsid w:val="00403C91"/>
    <w:rsid w:val="004214E4"/>
    <w:rsid w:val="00442B9C"/>
    <w:rsid w:val="00444BC7"/>
    <w:rsid w:val="004451D6"/>
    <w:rsid w:val="00445632"/>
    <w:rsid w:val="0045179E"/>
    <w:rsid w:val="004568D0"/>
    <w:rsid w:val="004614A5"/>
    <w:rsid w:val="00461D27"/>
    <w:rsid w:val="00467B15"/>
    <w:rsid w:val="0047213D"/>
    <w:rsid w:val="0047282C"/>
    <w:rsid w:val="00476412"/>
    <w:rsid w:val="004800E6"/>
    <w:rsid w:val="00494D6E"/>
    <w:rsid w:val="004967AB"/>
    <w:rsid w:val="004A543D"/>
    <w:rsid w:val="004A5786"/>
    <w:rsid w:val="004B0834"/>
    <w:rsid w:val="004C1D47"/>
    <w:rsid w:val="004C3A0E"/>
    <w:rsid w:val="004C3CA1"/>
    <w:rsid w:val="004C68BC"/>
    <w:rsid w:val="004D4D32"/>
    <w:rsid w:val="004F2596"/>
    <w:rsid w:val="0050342B"/>
    <w:rsid w:val="005064DB"/>
    <w:rsid w:val="0050694B"/>
    <w:rsid w:val="00507292"/>
    <w:rsid w:val="00512373"/>
    <w:rsid w:val="00533229"/>
    <w:rsid w:val="00535869"/>
    <w:rsid w:val="00541646"/>
    <w:rsid w:val="005501F2"/>
    <w:rsid w:val="0055105B"/>
    <w:rsid w:val="00555091"/>
    <w:rsid w:val="00564894"/>
    <w:rsid w:val="0056585B"/>
    <w:rsid w:val="00566AAE"/>
    <w:rsid w:val="00570615"/>
    <w:rsid w:val="0058444C"/>
    <w:rsid w:val="005858D1"/>
    <w:rsid w:val="00585B34"/>
    <w:rsid w:val="00594F97"/>
    <w:rsid w:val="005A4D68"/>
    <w:rsid w:val="005B3416"/>
    <w:rsid w:val="005C20A1"/>
    <w:rsid w:val="005C46B7"/>
    <w:rsid w:val="005E3018"/>
    <w:rsid w:val="005E42F6"/>
    <w:rsid w:val="005F0E94"/>
    <w:rsid w:val="0060283E"/>
    <w:rsid w:val="00603815"/>
    <w:rsid w:val="00612A64"/>
    <w:rsid w:val="00614D91"/>
    <w:rsid w:val="00615D97"/>
    <w:rsid w:val="00633748"/>
    <w:rsid w:val="00635C86"/>
    <w:rsid w:val="00641FBE"/>
    <w:rsid w:val="006465BA"/>
    <w:rsid w:val="00660A84"/>
    <w:rsid w:val="006616DA"/>
    <w:rsid w:val="00666586"/>
    <w:rsid w:val="00671E77"/>
    <w:rsid w:val="006732B2"/>
    <w:rsid w:val="006843EB"/>
    <w:rsid w:val="00695D1A"/>
    <w:rsid w:val="006A3189"/>
    <w:rsid w:val="006B16C0"/>
    <w:rsid w:val="006B16D6"/>
    <w:rsid w:val="006B2859"/>
    <w:rsid w:val="006B5482"/>
    <w:rsid w:val="006C0B02"/>
    <w:rsid w:val="006C5F17"/>
    <w:rsid w:val="006E02B5"/>
    <w:rsid w:val="006E7711"/>
    <w:rsid w:val="006F18AA"/>
    <w:rsid w:val="006F51DB"/>
    <w:rsid w:val="006F55FA"/>
    <w:rsid w:val="00710111"/>
    <w:rsid w:val="007161D8"/>
    <w:rsid w:val="00725F46"/>
    <w:rsid w:val="00735818"/>
    <w:rsid w:val="00741836"/>
    <w:rsid w:val="00745B39"/>
    <w:rsid w:val="00746113"/>
    <w:rsid w:val="00751BBE"/>
    <w:rsid w:val="007619F9"/>
    <w:rsid w:val="00763885"/>
    <w:rsid w:val="0077505F"/>
    <w:rsid w:val="00775999"/>
    <w:rsid w:val="007847DB"/>
    <w:rsid w:val="00786A01"/>
    <w:rsid w:val="007B1C8B"/>
    <w:rsid w:val="007B5866"/>
    <w:rsid w:val="007B6F04"/>
    <w:rsid w:val="007B6F0D"/>
    <w:rsid w:val="007C1B84"/>
    <w:rsid w:val="007C3926"/>
    <w:rsid w:val="007D7F43"/>
    <w:rsid w:val="007E0F12"/>
    <w:rsid w:val="007E3ECB"/>
    <w:rsid w:val="007F6F49"/>
    <w:rsid w:val="00801067"/>
    <w:rsid w:val="00801AE9"/>
    <w:rsid w:val="00803BCE"/>
    <w:rsid w:val="00813A4F"/>
    <w:rsid w:val="00813D7C"/>
    <w:rsid w:val="008157C8"/>
    <w:rsid w:val="008213E6"/>
    <w:rsid w:val="00824F70"/>
    <w:rsid w:val="00826736"/>
    <w:rsid w:val="00827216"/>
    <w:rsid w:val="0083015E"/>
    <w:rsid w:val="00830BDE"/>
    <w:rsid w:val="008467A1"/>
    <w:rsid w:val="00846FB7"/>
    <w:rsid w:val="0085026E"/>
    <w:rsid w:val="00863506"/>
    <w:rsid w:val="008661D0"/>
    <w:rsid w:val="008673B9"/>
    <w:rsid w:val="00875DBA"/>
    <w:rsid w:val="0087718D"/>
    <w:rsid w:val="008814EC"/>
    <w:rsid w:val="00885C5D"/>
    <w:rsid w:val="008924E1"/>
    <w:rsid w:val="008B041A"/>
    <w:rsid w:val="008B436D"/>
    <w:rsid w:val="008B7AF8"/>
    <w:rsid w:val="008D1004"/>
    <w:rsid w:val="008D5057"/>
    <w:rsid w:val="008D5E7D"/>
    <w:rsid w:val="008E0F58"/>
    <w:rsid w:val="008E1AFB"/>
    <w:rsid w:val="008F311B"/>
    <w:rsid w:val="00914CCB"/>
    <w:rsid w:val="00914CE4"/>
    <w:rsid w:val="00915716"/>
    <w:rsid w:val="0092134F"/>
    <w:rsid w:val="009235AD"/>
    <w:rsid w:val="00935473"/>
    <w:rsid w:val="009365C7"/>
    <w:rsid w:val="00943D98"/>
    <w:rsid w:val="0094666C"/>
    <w:rsid w:val="0095450B"/>
    <w:rsid w:val="0095531C"/>
    <w:rsid w:val="00956394"/>
    <w:rsid w:val="009606ED"/>
    <w:rsid w:val="00965822"/>
    <w:rsid w:val="00985CDB"/>
    <w:rsid w:val="00992EB5"/>
    <w:rsid w:val="009933B6"/>
    <w:rsid w:val="009A32C8"/>
    <w:rsid w:val="009A7B72"/>
    <w:rsid w:val="009B05AD"/>
    <w:rsid w:val="009B34B1"/>
    <w:rsid w:val="009B37E2"/>
    <w:rsid w:val="009B7A19"/>
    <w:rsid w:val="009D2D23"/>
    <w:rsid w:val="009E0D33"/>
    <w:rsid w:val="009F2364"/>
    <w:rsid w:val="009F7CC8"/>
    <w:rsid w:val="00A111AA"/>
    <w:rsid w:val="00A17BF9"/>
    <w:rsid w:val="00A312FA"/>
    <w:rsid w:val="00A31CA1"/>
    <w:rsid w:val="00A4116B"/>
    <w:rsid w:val="00A45BFB"/>
    <w:rsid w:val="00A45FE1"/>
    <w:rsid w:val="00A54361"/>
    <w:rsid w:val="00A546E3"/>
    <w:rsid w:val="00A54B57"/>
    <w:rsid w:val="00A627D3"/>
    <w:rsid w:val="00A84CEC"/>
    <w:rsid w:val="00A87E49"/>
    <w:rsid w:val="00A96ECF"/>
    <w:rsid w:val="00AA6AFD"/>
    <w:rsid w:val="00AB5C7B"/>
    <w:rsid w:val="00AB73C7"/>
    <w:rsid w:val="00AD57F0"/>
    <w:rsid w:val="00AD7F58"/>
    <w:rsid w:val="00AE3116"/>
    <w:rsid w:val="00AF3124"/>
    <w:rsid w:val="00AF5577"/>
    <w:rsid w:val="00AF5759"/>
    <w:rsid w:val="00AF649A"/>
    <w:rsid w:val="00B01EB4"/>
    <w:rsid w:val="00B0373C"/>
    <w:rsid w:val="00B04F9C"/>
    <w:rsid w:val="00B06D3A"/>
    <w:rsid w:val="00B13763"/>
    <w:rsid w:val="00B149C0"/>
    <w:rsid w:val="00B179EC"/>
    <w:rsid w:val="00B375B5"/>
    <w:rsid w:val="00B40B81"/>
    <w:rsid w:val="00B57C7A"/>
    <w:rsid w:val="00B6114E"/>
    <w:rsid w:val="00B61495"/>
    <w:rsid w:val="00B61ADB"/>
    <w:rsid w:val="00B63A47"/>
    <w:rsid w:val="00B9146C"/>
    <w:rsid w:val="00B93BE4"/>
    <w:rsid w:val="00BA1A31"/>
    <w:rsid w:val="00BA3F4C"/>
    <w:rsid w:val="00BA7CC5"/>
    <w:rsid w:val="00BB0DBB"/>
    <w:rsid w:val="00BB606A"/>
    <w:rsid w:val="00BD2333"/>
    <w:rsid w:val="00BD3A08"/>
    <w:rsid w:val="00BD6C9F"/>
    <w:rsid w:val="00BF0CFE"/>
    <w:rsid w:val="00BF4339"/>
    <w:rsid w:val="00C045F9"/>
    <w:rsid w:val="00C12E8C"/>
    <w:rsid w:val="00C14E89"/>
    <w:rsid w:val="00C23250"/>
    <w:rsid w:val="00C3116A"/>
    <w:rsid w:val="00C33587"/>
    <w:rsid w:val="00C422E4"/>
    <w:rsid w:val="00C46DE3"/>
    <w:rsid w:val="00C54E82"/>
    <w:rsid w:val="00C712C9"/>
    <w:rsid w:val="00C73AAE"/>
    <w:rsid w:val="00C77B7C"/>
    <w:rsid w:val="00C90383"/>
    <w:rsid w:val="00CA7A05"/>
    <w:rsid w:val="00CB4D83"/>
    <w:rsid w:val="00CB5AE4"/>
    <w:rsid w:val="00CB5DB9"/>
    <w:rsid w:val="00CC24D9"/>
    <w:rsid w:val="00CC611A"/>
    <w:rsid w:val="00CD4503"/>
    <w:rsid w:val="00CD518E"/>
    <w:rsid w:val="00CD66D8"/>
    <w:rsid w:val="00CD77CE"/>
    <w:rsid w:val="00CE18B2"/>
    <w:rsid w:val="00CE7FA2"/>
    <w:rsid w:val="00CF1249"/>
    <w:rsid w:val="00D06ADE"/>
    <w:rsid w:val="00D27784"/>
    <w:rsid w:val="00D32EB7"/>
    <w:rsid w:val="00D379A7"/>
    <w:rsid w:val="00D622CD"/>
    <w:rsid w:val="00D66707"/>
    <w:rsid w:val="00D71482"/>
    <w:rsid w:val="00D71C0D"/>
    <w:rsid w:val="00D87C7E"/>
    <w:rsid w:val="00D947E7"/>
    <w:rsid w:val="00DA4AB3"/>
    <w:rsid w:val="00DB73A8"/>
    <w:rsid w:val="00DC1FAF"/>
    <w:rsid w:val="00DC4A61"/>
    <w:rsid w:val="00DD2DD2"/>
    <w:rsid w:val="00DE7B6F"/>
    <w:rsid w:val="00DE7FD2"/>
    <w:rsid w:val="00E01EAD"/>
    <w:rsid w:val="00E03C7E"/>
    <w:rsid w:val="00E15DB5"/>
    <w:rsid w:val="00E16C51"/>
    <w:rsid w:val="00E215E4"/>
    <w:rsid w:val="00E24FF4"/>
    <w:rsid w:val="00E25EBF"/>
    <w:rsid w:val="00E36ED7"/>
    <w:rsid w:val="00E4749B"/>
    <w:rsid w:val="00E50768"/>
    <w:rsid w:val="00E55688"/>
    <w:rsid w:val="00E64791"/>
    <w:rsid w:val="00E82FEC"/>
    <w:rsid w:val="00E840D1"/>
    <w:rsid w:val="00E94634"/>
    <w:rsid w:val="00E94CC2"/>
    <w:rsid w:val="00E96B45"/>
    <w:rsid w:val="00EA4E08"/>
    <w:rsid w:val="00EA6803"/>
    <w:rsid w:val="00ED123E"/>
    <w:rsid w:val="00ED3BF0"/>
    <w:rsid w:val="00ED497A"/>
    <w:rsid w:val="00EE3F94"/>
    <w:rsid w:val="00EF74F8"/>
    <w:rsid w:val="00F01C4D"/>
    <w:rsid w:val="00F07D8C"/>
    <w:rsid w:val="00F1196F"/>
    <w:rsid w:val="00F11A34"/>
    <w:rsid w:val="00F122B5"/>
    <w:rsid w:val="00F131A4"/>
    <w:rsid w:val="00F14E4E"/>
    <w:rsid w:val="00F21763"/>
    <w:rsid w:val="00F25356"/>
    <w:rsid w:val="00F279D1"/>
    <w:rsid w:val="00F31834"/>
    <w:rsid w:val="00F406EC"/>
    <w:rsid w:val="00F42692"/>
    <w:rsid w:val="00F46ADE"/>
    <w:rsid w:val="00F53331"/>
    <w:rsid w:val="00F71277"/>
    <w:rsid w:val="00F73F83"/>
    <w:rsid w:val="00F83149"/>
    <w:rsid w:val="00F850D4"/>
    <w:rsid w:val="00F85483"/>
    <w:rsid w:val="00F931AA"/>
    <w:rsid w:val="00F945CF"/>
    <w:rsid w:val="00F96791"/>
    <w:rsid w:val="00FB0638"/>
    <w:rsid w:val="00FB339B"/>
    <w:rsid w:val="00FB6796"/>
    <w:rsid w:val="00FD60DE"/>
    <w:rsid w:val="00FE1EAC"/>
    <w:rsid w:val="00FE1EC3"/>
    <w:rsid w:val="00FE2DF6"/>
    <w:rsid w:val="00FF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869"/>
    <w:pPr>
      <w:widowControl w:val="0"/>
      <w:autoSpaceDE w:val="0"/>
      <w:autoSpaceDN w:val="0"/>
      <w:adjustRightInd w:val="0"/>
    </w:pPr>
    <w:rPr>
      <w:rFonts w:ascii="CMB X 12" w:hAnsi="CMB X 12" w:cs="CMB X 12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535869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35869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35869"/>
    <w:pPr>
      <w:spacing w:line="29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35869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3586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7379-0ACF-41DB-9A8C-036BC13B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ABSTRACT TITLE</vt:lpstr>
      <vt:lpstr>ABSTRACT TITLE</vt:lpstr>
      <vt:lpstr>ABSTRACT TITLE</vt:lpstr>
    </vt:vector>
  </TitlesOfParts>
  <Company>Facultatea de Fizica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UBB</dc:creator>
  <cp:lastModifiedBy>Institut Ruder Boškovic</cp:lastModifiedBy>
  <cp:revision>2</cp:revision>
  <cp:lastPrinted>2014-03-07T12:02:00Z</cp:lastPrinted>
  <dcterms:created xsi:type="dcterms:W3CDTF">2016-04-11T14:55:00Z</dcterms:created>
  <dcterms:modified xsi:type="dcterms:W3CDTF">2016-04-11T14:55:00Z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