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D32D" w14:textId="77777777" w:rsidR="007457F3" w:rsidRPr="00835454" w:rsidRDefault="007457F3" w:rsidP="007C0617">
      <w:pPr>
        <w:jc w:val="center"/>
        <w:rPr>
          <w:rFonts w:ascii="Arial" w:hAnsi="Arial" w:cs="Arial"/>
          <w:b/>
          <w:lang w:val="en-US"/>
        </w:rPr>
      </w:pPr>
      <w:bookmarkStart w:id="0" w:name="_GoBack"/>
      <w:bookmarkEnd w:id="0"/>
    </w:p>
    <w:p w14:paraId="147227F6" w14:textId="77777777" w:rsidR="00423EFC" w:rsidRPr="00090A18" w:rsidRDefault="00423EFC" w:rsidP="007C0617">
      <w:pPr>
        <w:shd w:val="clear" w:color="auto" w:fill="FFFFFF"/>
        <w:jc w:val="center"/>
        <w:rPr>
          <w:rFonts w:ascii="Arial" w:eastAsia="Times New Roman" w:hAnsi="Arial" w:cs="Arial"/>
          <w:b/>
          <w:caps/>
          <w:color w:val="222222"/>
          <w:lang w:eastAsia="en-GB"/>
        </w:rPr>
      </w:pPr>
      <w:r w:rsidRPr="00090A18">
        <w:rPr>
          <w:rFonts w:ascii="Arial" w:eastAsia="Times New Roman" w:hAnsi="Arial" w:cs="Arial"/>
          <w:b/>
          <w:caps/>
          <w:color w:val="222222"/>
          <w:lang w:val="en-US" w:eastAsia="en-GB"/>
        </w:rPr>
        <w:t>Assessing Financial Integration of the SEE Countries</w:t>
      </w:r>
      <w:r w:rsidR="00B7422A" w:rsidRPr="00090A18">
        <w:rPr>
          <w:rFonts w:ascii="Arial" w:eastAsia="Times New Roman" w:hAnsi="Arial" w:cs="Arial"/>
          <w:b/>
          <w:caps/>
          <w:color w:val="222222"/>
          <w:lang w:val="en-US" w:eastAsia="en-GB"/>
        </w:rPr>
        <w:t xml:space="preserve"> (Bulgaria and croatia)</w:t>
      </w:r>
      <w:r w:rsidRPr="00090A18">
        <w:rPr>
          <w:rFonts w:ascii="Arial" w:eastAsia="Times New Roman" w:hAnsi="Arial" w:cs="Arial"/>
          <w:b/>
          <w:caps/>
          <w:color w:val="222222"/>
          <w:lang w:val="en-US" w:eastAsia="en-GB"/>
        </w:rPr>
        <w:t xml:space="preserve"> with the EU</w:t>
      </w:r>
    </w:p>
    <w:p w14:paraId="7A73CE32" w14:textId="77777777" w:rsidR="00423EFC" w:rsidRPr="00090A18" w:rsidRDefault="00423EFC" w:rsidP="007C0617">
      <w:pPr>
        <w:jc w:val="center"/>
        <w:rPr>
          <w:rFonts w:ascii="Arial" w:hAnsi="Arial" w:cs="Arial"/>
          <w:b/>
          <w:lang w:val="en-US"/>
        </w:rPr>
      </w:pPr>
    </w:p>
    <w:p w14:paraId="47BA5F75" w14:textId="77777777" w:rsidR="007457F3" w:rsidRPr="00090A18" w:rsidRDefault="00423EFC" w:rsidP="007C0617">
      <w:pPr>
        <w:jc w:val="center"/>
        <w:rPr>
          <w:rFonts w:ascii="Arial" w:hAnsi="Arial" w:cs="Arial"/>
          <w:b/>
          <w:lang w:val="en-US"/>
        </w:rPr>
      </w:pPr>
      <w:r w:rsidRPr="00090A18">
        <w:rPr>
          <w:rFonts w:ascii="Arial" w:hAnsi="Arial" w:cs="Arial"/>
          <w:b/>
          <w:lang w:val="en-US"/>
        </w:rPr>
        <w:t>Anita Radman Peša</w:t>
      </w:r>
    </w:p>
    <w:p w14:paraId="53ECD8C1" w14:textId="77777777" w:rsidR="007457F3" w:rsidRPr="00090A18" w:rsidRDefault="00423EFC" w:rsidP="007C0617">
      <w:pPr>
        <w:jc w:val="center"/>
        <w:rPr>
          <w:rFonts w:ascii="Arial" w:hAnsi="Arial" w:cs="Arial"/>
          <w:i/>
          <w:lang w:val="en-US"/>
        </w:rPr>
      </w:pPr>
      <w:r w:rsidRPr="00090A18">
        <w:rPr>
          <w:rFonts w:ascii="Arial" w:hAnsi="Arial" w:cs="Arial"/>
          <w:i/>
          <w:lang w:val="en-US"/>
        </w:rPr>
        <w:t>University of Zadar, Croatia</w:t>
      </w:r>
    </w:p>
    <w:p w14:paraId="4044485E" w14:textId="77777777" w:rsidR="007457F3" w:rsidRPr="00090A18" w:rsidRDefault="00423EFC" w:rsidP="007C0617">
      <w:pPr>
        <w:jc w:val="center"/>
        <w:rPr>
          <w:rFonts w:ascii="Arial" w:hAnsi="Arial" w:cs="Arial"/>
          <w:i/>
          <w:lang w:val="en-US"/>
        </w:rPr>
      </w:pPr>
      <w:r w:rsidRPr="00090A18">
        <w:rPr>
          <w:rFonts w:ascii="Arial" w:hAnsi="Arial" w:cs="Arial"/>
          <w:i/>
          <w:lang w:val="en-US"/>
        </w:rPr>
        <w:t>apesa@unizd.hr</w:t>
      </w:r>
    </w:p>
    <w:p w14:paraId="16991957" w14:textId="77777777" w:rsidR="007457F3" w:rsidRPr="00090A18" w:rsidRDefault="007457F3" w:rsidP="007C0617">
      <w:pPr>
        <w:jc w:val="center"/>
        <w:rPr>
          <w:rFonts w:ascii="Arial" w:hAnsi="Arial" w:cs="Arial"/>
          <w:b/>
          <w:lang w:val="en-US"/>
        </w:rPr>
      </w:pPr>
    </w:p>
    <w:p w14:paraId="0A6DD442" w14:textId="77777777" w:rsidR="007457F3" w:rsidRPr="00090A18" w:rsidRDefault="00423EFC" w:rsidP="007C0617">
      <w:pPr>
        <w:jc w:val="center"/>
        <w:rPr>
          <w:rFonts w:ascii="Arial" w:hAnsi="Arial" w:cs="Arial"/>
          <w:b/>
          <w:lang w:val="en-US"/>
        </w:rPr>
      </w:pPr>
      <w:r w:rsidRPr="00090A18">
        <w:rPr>
          <w:rFonts w:ascii="Arial" w:hAnsi="Arial" w:cs="Arial"/>
          <w:b/>
          <w:lang w:val="en-US"/>
        </w:rPr>
        <w:t xml:space="preserve">Dean Učkar </w:t>
      </w:r>
    </w:p>
    <w:p w14:paraId="32749D8D" w14:textId="77777777" w:rsidR="00423EFC" w:rsidRPr="00090A18" w:rsidRDefault="00423EFC" w:rsidP="007C0617">
      <w:pPr>
        <w:jc w:val="center"/>
        <w:rPr>
          <w:rFonts w:ascii="Arial" w:hAnsi="Arial" w:cs="Arial"/>
          <w:i/>
          <w:lang w:val="en-US"/>
        </w:rPr>
      </w:pPr>
      <w:r w:rsidRPr="00090A18">
        <w:rPr>
          <w:rFonts w:ascii="Arial" w:hAnsi="Arial" w:cs="Arial"/>
          <w:i/>
          <w:lang w:val="en-US"/>
        </w:rPr>
        <w:t>Juraj Dobrila Univers</w:t>
      </w:r>
      <w:r w:rsidR="00030144" w:rsidRPr="00090A18">
        <w:rPr>
          <w:rFonts w:ascii="Arial" w:hAnsi="Arial" w:cs="Arial"/>
          <w:i/>
          <w:lang w:val="en-US"/>
        </w:rPr>
        <w:t>ity of Pula, Croatia</w:t>
      </w:r>
    </w:p>
    <w:p w14:paraId="3ECCFF31" w14:textId="77777777" w:rsidR="00423EFC" w:rsidRPr="00090A18" w:rsidRDefault="00423EFC" w:rsidP="007C0617">
      <w:pPr>
        <w:jc w:val="center"/>
        <w:rPr>
          <w:rFonts w:ascii="Arial" w:hAnsi="Arial" w:cs="Arial"/>
          <w:i/>
          <w:lang w:val="en-US"/>
        </w:rPr>
      </w:pPr>
      <w:r w:rsidRPr="00090A18">
        <w:rPr>
          <w:rFonts w:ascii="Arial" w:hAnsi="Arial" w:cs="Arial"/>
          <w:i/>
          <w:lang w:val="en-US"/>
        </w:rPr>
        <w:t>duckar@unipu.hr</w:t>
      </w:r>
    </w:p>
    <w:p w14:paraId="5966D3E4" w14:textId="77777777" w:rsidR="007457F3" w:rsidRPr="00090A18" w:rsidRDefault="007457F3" w:rsidP="007C0617">
      <w:pPr>
        <w:jc w:val="both"/>
        <w:rPr>
          <w:rFonts w:ascii="Arial" w:hAnsi="Arial" w:cs="Arial"/>
          <w:lang w:val="en-US"/>
        </w:rPr>
      </w:pPr>
    </w:p>
    <w:p w14:paraId="58DBAA8B" w14:textId="77777777" w:rsidR="007457F3" w:rsidRPr="00090A18" w:rsidRDefault="00423EFC" w:rsidP="007C0617">
      <w:pPr>
        <w:jc w:val="both"/>
        <w:rPr>
          <w:rFonts w:ascii="Arial" w:hAnsi="Arial" w:cs="Arial"/>
          <w:b/>
          <w:i/>
          <w:lang w:val="en-US"/>
        </w:rPr>
      </w:pPr>
      <w:r w:rsidRPr="00090A18">
        <w:rPr>
          <w:rFonts w:ascii="Arial" w:hAnsi="Arial" w:cs="Arial"/>
          <w:b/>
          <w:i/>
          <w:lang w:val="en-US"/>
        </w:rPr>
        <w:t xml:space="preserve">ABSTRACT </w:t>
      </w:r>
    </w:p>
    <w:p w14:paraId="7E2A72BB" w14:textId="77777777" w:rsidR="00423EFC" w:rsidRPr="00090A18" w:rsidRDefault="00423EFC" w:rsidP="007C0617">
      <w:pPr>
        <w:jc w:val="both"/>
        <w:rPr>
          <w:rFonts w:ascii="Arial" w:eastAsia="Times New Roman" w:hAnsi="Arial" w:cs="Arial"/>
          <w:i/>
          <w:lang w:val="en-AU"/>
        </w:rPr>
      </w:pPr>
      <w:r w:rsidRPr="00090A18">
        <w:rPr>
          <w:rFonts w:ascii="Arial" w:eastAsia="Times New Roman" w:hAnsi="Arial" w:cs="Arial"/>
          <w:i/>
          <w:lang w:val="en-AU"/>
        </w:rPr>
        <w:t>We analysed financial integration of the SEE countries</w:t>
      </w:r>
      <w:r w:rsidR="00B7422A" w:rsidRPr="00090A18">
        <w:rPr>
          <w:rFonts w:ascii="Arial" w:eastAsia="Times New Roman" w:hAnsi="Arial" w:cs="Arial"/>
          <w:i/>
          <w:lang w:val="en-AU"/>
        </w:rPr>
        <w:t xml:space="preserve"> </w:t>
      </w:r>
      <w:r w:rsidRPr="00090A18">
        <w:rPr>
          <w:rFonts w:ascii="Arial" w:eastAsia="Times New Roman" w:hAnsi="Arial" w:cs="Arial"/>
          <w:i/>
          <w:lang w:val="en-AU"/>
        </w:rPr>
        <w:t xml:space="preserve">in comparison to EU with focus on economic activities and the stock exchanges in observed countries to demonstrate the dependence of small financial markets on large ones and to investigate the spillover effect, i.e., the degree and pace of integration of 'new' financial markets into larger ones. </w:t>
      </w:r>
      <w:r w:rsidRPr="00090A18">
        <w:rPr>
          <w:rFonts w:ascii="Arial" w:hAnsi="Arial" w:cs="Arial"/>
          <w:i/>
        </w:rPr>
        <w:t xml:space="preserve">There is evidence of an increase in stock exchange indices in the period of transition of the SEE countries, due to the opening of the market economy followed </w:t>
      </w:r>
      <w:r w:rsidR="00802D2C" w:rsidRPr="00090A18">
        <w:rPr>
          <w:rFonts w:ascii="Arial" w:hAnsi="Arial" w:cs="Arial"/>
          <w:i/>
        </w:rPr>
        <w:t xml:space="preserve">by large capital inflows. </w:t>
      </w:r>
      <w:r w:rsidR="0040719D" w:rsidRPr="00090A18">
        <w:rPr>
          <w:rFonts w:ascii="Arial" w:hAnsi="Arial" w:cs="Arial"/>
          <w:i/>
          <w:lang w:val="en-US"/>
        </w:rPr>
        <w:t>Main focus</w:t>
      </w:r>
      <w:r w:rsidR="00802D2C" w:rsidRPr="00090A18">
        <w:rPr>
          <w:rFonts w:ascii="Arial" w:hAnsi="Arial" w:cs="Arial"/>
          <w:i/>
        </w:rPr>
        <w:t xml:space="preserve"> of this paper are based on </w:t>
      </w:r>
      <w:r w:rsidR="00802D2C" w:rsidRPr="00090A18">
        <w:rPr>
          <w:rFonts w:ascii="Arial" w:eastAsia="Times New Roman" w:hAnsi="Arial" w:cs="Arial"/>
          <w:i/>
          <w:lang w:val="en-AU"/>
        </w:rPr>
        <w:t xml:space="preserve">Bulgaria and Croatia as the SEE </w:t>
      </w:r>
      <w:r w:rsidRPr="00090A18">
        <w:rPr>
          <w:rFonts w:ascii="Arial" w:eastAsia="Times New Roman" w:hAnsi="Arial" w:cs="Arial"/>
          <w:i/>
          <w:lang w:val="en-AU"/>
        </w:rPr>
        <w:t xml:space="preserve">countries that are already in the EU </w:t>
      </w:r>
      <w:r w:rsidR="00B7422A" w:rsidRPr="00090A18">
        <w:rPr>
          <w:rFonts w:ascii="Arial" w:eastAsia="Times New Roman" w:hAnsi="Arial" w:cs="Arial"/>
          <w:i/>
          <w:lang w:val="en-AU"/>
        </w:rPr>
        <w:t xml:space="preserve">wing. </w:t>
      </w:r>
      <w:r w:rsidR="0040719D" w:rsidRPr="00090A18">
        <w:rPr>
          <w:rFonts w:ascii="Arial" w:eastAsia="Times New Roman" w:hAnsi="Arial" w:cs="Arial"/>
          <w:i/>
          <w:lang w:val="en-AU"/>
        </w:rPr>
        <w:t>Those</w:t>
      </w:r>
      <w:r w:rsidR="00802D2C" w:rsidRPr="00090A18">
        <w:rPr>
          <w:rFonts w:ascii="Arial" w:eastAsia="Times New Roman" w:hAnsi="Arial" w:cs="Arial"/>
          <w:i/>
          <w:lang w:val="en-AU"/>
        </w:rPr>
        <w:t xml:space="preserve"> EU countries </w:t>
      </w:r>
      <w:r w:rsidRPr="00090A18">
        <w:rPr>
          <w:rFonts w:ascii="Arial" w:eastAsia="Times New Roman" w:hAnsi="Arial" w:cs="Arial"/>
          <w:i/>
          <w:lang w:val="en-AU"/>
        </w:rPr>
        <w:t>were found to be more dependent on the global financial markets and more exposed to adverse co-mov</w:t>
      </w:r>
      <w:r w:rsidR="001B394C" w:rsidRPr="00090A18">
        <w:rPr>
          <w:rFonts w:ascii="Arial" w:eastAsia="Times New Roman" w:hAnsi="Arial" w:cs="Arial"/>
          <w:i/>
          <w:lang w:val="en-AU"/>
        </w:rPr>
        <w:t xml:space="preserve">ements </w:t>
      </w:r>
      <w:r w:rsidR="0040719D" w:rsidRPr="00090A18">
        <w:rPr>
          <w:rFonts w:ascii="Arial" w:eastAsia="Times New Roman" w:hAnsi="Arial" w:cs="Arial"/>
          <w:i/>
          <w:lang w:val="en-AU"/>
        </w:rPr>
        <w:t xml:space="preserve">but </w:t>
      </w:r>
      <w:r w:rsidR="00B7422A" w:rsidRPr="00090A18">
        <w:rPr>
          <w:rFonts w:ascii="Arial" w:eastAsia="Times New Roman" w:hAnsi="Arial" w:cs="Arial"/>
          <w:i/>
          <w:lang w:val="en-AU"/>
        </w:rPr>
        <w:t>with the</w:t>
      </w:r>
      <w:r w:rsidR="0040719D" w:rsidRPr="00090A18">
        <w:rPr>
          <w:rFonts w:ascii="Arial" w:eastAsia="Times New Roman" w:hAnsi="Arial" w:cs="Arial"/>
          <w:i/>
          <w:lang w:val="en-AU"/>
        </w:rPr>
        <w:t xml:space="preserve"> certain differences between two of them.</w:t>
      </w:r>
    </w:p>
    <w:p w14:paraId="3D8060C7" w14:textId="77777777" w:rsidR="00030144" w:rsidRPr="00090A18" w:rsidRDefault="00030144" w:rsidP="007C0617">
      <w:pPr>
        <w:jc w:val="both"/>
        <w:rPr>
          <w:rFonts w:ascii="Arial" w:eastAsia="Times New Roman" w:hAnsi="Arial" w:cs="Arial"/>
          <w:i/>
          <w:lang w:val="en-AU"/>
        </w:rPr>
      </w:pPr>
    </w:p>
    <w:p w14:paraId="010D7B0D" w14:textId="77777777" w:rsidR="007457F3" w:rsidRPr="00090A18" w:rsidRDefault="007457F3" w:rsidP="007C0617">
      <w:pPr>
        <w:jc w:val="both"/>
        <w:rPr>
          <w:rFonts w:ascii="Arial" w:hAnsi="Arial" w:cs="Arial"/>
          <w:i/>
          <w:lang w:val="en-US"/>
        </w:rPr>
      </w:pPr>
      <w:r w:rsidRPr="00090A18">
        <w:rPr>
          <w:rFonts w:ascii="Arial" w:hAnsi="Arial" w:cs="Arial"/>
          <w:b/>
          <w:i/>
          <w:lang w:val="en-US"/>
        </w:rPr>
        <w:t>Keywords:</w:t>
      </w:r>
      <w:r w:rsidRPr="00090A18">
        <w:rPr>
          <w:rFonts w:ascii="Arial" w:hAnsi="Arial" w:cs="Arial"/>
          <w:i/>
          <w:lang w:val="en-US"/>
        </w:rPr>
        <w:t xml:space="preserve"> </w:t>
      </w:r>
      <w:r w:rsidR="00423EFC" w:rsidRPr="00090A18">
        <w:rPr>
          <w:rFonts w:ascii="Arial" w:eastAsia="Times New Roman" w:hAnsi="Arial" w:cs="Arial"/>
          <w:i/>
          <w:lang w:val="en-AU"/>
        </w:rPr>
        <w:t>EU integration,</w:t>
      </w:r>
      <w:r w:rsidR="00423EFC" w:rsidRPr="00090A18">
        <w:rPr>
          <w:rFonts w:ascii="Arial" w:hAnsi="Arial" w:cs="Arial"/>
          <w:i/>
          <w:lang w:val="en-US"/>
        </w:rPr>
        <w:t xml:space="preserve"> </w:t>
      </w:r>
      <w:r w:rsidR="00423EFC" w:rsidRPr="00090A18">
        <w:rPr>
          <w:rFonts w:ascii="Arial" w:eastAsia="Times New Roman" w:hAnsi="Arial" w:cs="Arial"/>
          <w:i/>
          <w:lang w:val="en-AU"/>
        </w:rPr>
        <w:t>Financial integration, Stock exchange, Stock indices</w:t>
      </w:r>
      <w:r w:rsidR="0040719D" w:rsidRPr="00090A18">
        <w:rPr>
          <w:rFonts w:ascii="Arial" w:eastAsia="Times New Roman" w:hAnsi="Arial" w:cs="Arial"/>
          <w:i/>
          <w:lang w:val="en-AU"/>
        </w:rPr>
        <w:t xml:space="preserve">, SEE. </w:t>
      </w:r>
    </w:p>
    <w:p w14:paraId="7D366382" w14:textId="77777777" w:rsidR="00121FDD" w:rsidRPr="00090A18" w:rsidRDefault="00121FDD" w:rsidP="007C0617">
      <w:pPr>
        <w:jc w:val="both"/>
        <w:rPr>
          <w:rFonts w:ascii="Arial" w:hAnsi="Arial" w:cs="Arial"/>
          <w:lang w:val="en-US"/>
        </w:rPr>
      </w:pPr>
    </w:p>
    <w:p w14:paraId="2A945E80" w14:textId="77777777" w:rsidR="002B7648" w:rsidRPr="00090A18" w:rsidRDefault="002B7648" w:rsidP="007C0617">
      <w:pPr>
        <w:jc w:val="both"/>
        <w:rPr>
          <w:rFonts w:ascii="Arial" w:hAnsi="Arial" w:cs="Arial"/>
          <w:lang w:val="en-US"/>
        </w:rPr>
      </w:pPr>
    </w:p>
    <w:p w14:paraId="18FA25A6" w14:textId="77777777" w:rsidR="00D33943" w:rsidRPr="00090A18" w:rsidRDefault="00302794" w:rsidP="00D33943">
      <w:pPr>
        <w:pStyle w:val="ListParagraph"/>
        <w:numPr>
          <w:ilvl w:val="0"/>
          <w:numId w:val="9"/>
        </w:numPr>
        <w:tabs>
          <w:tab w:val="left" w:pos="720"/>
          <w:tab w:val="left" w:pos="1008"/>
          <w:tab w:val="left" w:pos="4140"/>
        </w:tabs>
        <w:ind w:right="-108"/>
        <w:jc w:val="both"/>
        <w:rPr>
          <w:rFonts w:ascii="Arial" w:eastAsia="Times New Roman" w:hAnsi="Arial" w:cs="Arial"/>
          <w:lang w:val="en-US" w:eastAsia="hr-HR"/>
        </w:rPr>
      </w:pPr>
      <w:r w:rsidRPr="00090A18">
        <w:rPr>
          <w:rFonts w:ascii="Arial" w:hAnsi="Arial" w:cs="Arial"/>
          <w:b/>
          <w:lang w:val="en-US"/>
        </w:rPr>
        <w:lastRenderedPageBreak/>
        <w:t>INTRODUCTIO</w:t>
      </w:r>
      <w:r w:rsidR="00423EFC" w:rsidRPr="00090A18">
        <w:rPr>
          <w:rFonts w:ascii="Arial" w:hAnsi="Arial" w:cs="Arial"/>
          <w:b/>
          <w:lang w:val="en-US"/>
        </w:rPr>
        <w:t>N</w:t>
      </w:r>
      <w:r w:rsidR="00D33943" w:rsidRPr="00090A18">
        <w:rPr>
          <w:rFonts w:ascii="Arial" w:eastAsia="Times New Roman" w:hAnsi="Arial" w:cs="Arial"/>
          <w:lang w:val="en-US" w:eastAsia="hr-HR"/>
        </w:rPr>
        <w:t xml:space="preserve"> </w:t>
      </w:r>
    </w:p>
    <w:p w14:paraId="4F832047" w14:textId="77777777" w:rsidR="00D33943" w:rsidRPr="00090A18" w:rsidRDefault="00D33943" w:rsidP="000A1E2B">
      <w:pPr>
        <w:tabs>
          <w:tab w:val="left" w:pos="720"/>
          <w:tab w:val="left" w:pos="1008"/>
          <w:tab w:val="left" w:pos="4140"/>
        </w:tabs>
        <w:ind w:right="-30"/>
        <w:jc w:val="both"/>
        <w:rPr>
          <w:rFonts w:ascii="Arial" w:eastAsia="Times New Roman" w:hAnsi="Arial" w:cs="Arial"/>
          <w:lang w:val="en-US" w:eastAsia="hr-HR"/>
        </w:rPr>
      </w:pPr>
      <w:r w:rsidRPr="00090A18">
        <w:rPr>
          <w:rFonts w:ascii="Arial" w:eastAsia="Times New Roman" w:hAnsi="Arial" w:cs="Arial"/>
          <w:lang w:val="en-US" w:eastAsia="hr-HR"/>
        </w:rPr>
        <w:t xml:space="preserve">Countries of the </w:t>
      </w:r>
      <w:r w:rsidR="00A36EF9" w:rsidRPr="00090A18">
        <w:rPr>
          <w:rFonts w:ascii="Arial" w:eastAsia="Times New Roman" w:hAnsi="Arial" w:cs="Arial"/>
          <w:lang w:val="en-US" w:eastAsia="hr-HR"/>
        </w:rPr>
        <w:t>South East European (</w:t>
      </w:r>
      <w:commentRangeStart w:id="1"/>
      <w:r w:rsidRPr="00090A18">
        <w:rPr>
          <w:rFonts w:ascii="Arial" w:eastAsia="Times New Roman" w:hAnsi="Arial" w:cs="Arial"/>
          <w:lang w:val="en-US" w:eastAsia="hr-HR"/>
        </w:rPr>
        <w:t>SEE</w:t>
      </w:r>
      <w:commentRangeEnd w:id="1"/>
      <w:r w:rsidR="00A36EF9" w:rsidRPr="00090A18">
        <w:rPr>
          <w:rStyle w:val="CommentReference"/>
        </w:rPr>
        <w:commentReference w:id="1"/>
      </w:r>
      <w:r w:rsidR="00A36EF9" w:rsidRPr="00090A18">
        <w:rPr>
          <w:rFonts w:ascii="Arial" w:eastAsia="Times New Roman" w:hAnsi="Arial" w:cs="Arial"/>
          <w:lang w:val="en-US" w:eastAsia="hr-HR"/>
        </w:rPr>
        <w:t>)</w:t>
      </w:r>
      <w:r w:rsidRPr="00090A18">
        <w:rPr>
          <w:rFonts w:ascii="Arial" w:eastAsia="Times New Roman" w:hAnsi="Arial" w:cs="Arial"/>
          <w:lang w:val="en-US" w:eastAsia="hr-HR"/>
        </w:rPr>
        <w:t xml:space="preserve"> region are still in the process of transitioning (which mostly began in the 90’s) from an old autocratic socialist system towards a market economy. Some countries in the region went through less painful changes in their system, while others went to war. All these circumstances influenced the direction, speed and course of economic and financial integration into the EU. Definitely, even the most developed countries of the SEE region are faced with challenges when trying to reach the standards of the most developed market economies. </w:t>
      </w:r>
      <w:r w:rsidR="00E05975" w:rsidRPr="00090A18">
        <w:rPr>
          <w:rFonts w:ascii="Arial" w:eastAsia="Times New Roman" w:hAnsi="Arial" w:cs="Arial"/>
          <w:lang w:val="en-US" w:eastAsia="hr-HR"/>
        </w:rPr>
        <w:t>After 2000, most Southeastern European countries recorded economic growth</w:t>
      </w:r>
      <w:r w:rsidR="00E05975" w:rsidRPr="00090A18">
        <w:rPr>
          <w:rFonts w:ascii="Arial" w:eastAsia="Times New Roman" w:hAnsi="Arial" w:cs="Arial"/>
          <w:vertAlign w:val="superscript"/>
          <w:lang w:eastAsia="hr-HR"/>
        </w:rPr>
        <w:t xml:space="preserve"> </w:t>
      </w:r>
      <w:r w:rsidR="00E05975" w:rsidRPr="00090A18">
        <w:rPr>
          <w:rFonts w:ascii="Arial" w:eastAsia="Times New Roman" w:hAnsi="Arial" w:cs="Arial"/>
          <w:lang w:val="en-US" w:eastAsia="hr-HR"/>
        </w:rPr>
        <w:t>with low inflation and progress in the field of market reforms. The average economic gro</w:t>
      </w:r>
      <w:r w:rsidR="00A36EF9" w:rsidRPr="00090A18">
        <w:rPr>
          <w:rFonts w:ascii="Arial" w:eastAsia="Times New Roman" w:hAnsi="Arial" w:cs="Arial"/>
          <w:lang w:val="en-US" w:eastAsia="hr-HR"/>
        </w:rPr>
        <w:t>wth of South East European</w:t>
      </w:r>
      <w:r w:rsidR="00E05975" w:rsidRPr="00090A18">
        <w:rPr>
          <w:rFonts w:ascii="Arial" w:eastAsia="Times New Roman" w:hAnsi="Arial" w:cs="Arial"/>
          <w:lang w:val="en-US" w:eastAsia="hr-HR"/>
        </w:rPr>
        <w:t xml:space="preserve"> countries in transition years was higher than in the EU. Still, the GDP </w:t>
      </w:r>
      <w:r w:rsidR="00E05975" w:rsidRPr="00090A18">
        <w:rPr>
          <w:rFonts w:ascii="Arial" w:eastAsia="Times New Roman" w:hAnsi="Arial" w:cs="Arial"/>
          <w:i/>
          <w:lang w:val="en-US" w:eastAsia="hr-HR"/>
        </w:rPr>
        <w:t>per capita</w:t>
      </w:r>
      <w:r w:rsidR="00E05975" w:rsidRPr="00090A18">
        <w:rPr>
          <w:rFonts w:ascii="Arial" w:eastAsia="Times New Roman" w:hAnsi="Arial" w:cs="Arial"/>
          <w:lang w:val="en-US" w:eastAsia="hr-HR"/>
        </w:rPr>
        <w:t xml:space="preserve"> in countries of the Southeastern region shows a gap when compared to the developed countries of Western Europe, suggesting that there is long way ahead of them. </w:t>
      </w:r>
      <w:r w:rsidRPr="00090A18">
        <w:rPr>
          <w:rFonts w:ascii="Arial" w:eastAsia="Times New Roman" w:hAnsi="Arial" w:cs="Arial"/>
          <w:lang w:val="en-US" w:eastAsia="hr-HR"/>
        </w:rPr>
        <w:t>Recent economic research has shown that Bulgaria and Romania, which joined the EU in January 2007; Slovenia, which became an EU member in 2004 and introduced the Euro in 2007; and Croatia, which become EU member in July 2013, are countries that have gone much further in their development than other countries in the region. One of the signs of some l</w:t>
      </w:r>
      <w:r w:rsidR="00E05975" w:rsidRPr="00090A18">
        <w:rPr>
          <w:rFonts w:ascii="Arial" w:eastAsia="Times New Roman" w:hAnsi="Arial" w:cs="Arial"/>
          <w:lang w:val="en-US" w:eastAsia="hr-HR"/>
        </w:rPr>
        <w:t>evel of progress in the region</w:t>
      </w:r>
      <w:r w:rsidRPr="00090A18">
        <w:rPr>
          <w:rFonts w:ascii="Arial" w:eastAsia="Times New Roman" w:hAnsi="Arial" w:cs="Arial"/>
          <w:lang w:val="en-US" w:eastAsia="hr-HR"/>
        </w:rPr>
        <w:t xml:space="preserve"> is inflow of direct foreign investment mostly directed to Bulgaria, Romania and Croatia. Less encouraging is the fact that the investments were directed more to real estate and financial services, contributing to lower value added of GDP. </w:t>
      </w:r>
    </w:p>
    <w:p w14:paraId="747A2EDD" w14:textId="77777777" w:rsidR="00E05975" w:rsidRPr="00090A18" w:rsidRDefault="00835454" w:rsidP="00E05975">
      <w:pPr>
        <w:pStyle w:val="Default"/>
        <w:spacing w:after="200" w:line="276" w:lineRule="auto"/>
        <w:jc w:val="both"/>
        <w:rPr>
          <w:rFonts w:ascii="Arial" w:hAnsi="Arial" w:cs="Arial"/>
          <w:sz w:val="22"/>
          <w:szCs w:val="22"/>
        </w:rPr>
      </w:pPr>
      <w:r w:rsidRPr="00090A18">
        <w:rPr>
          <w:rFonts w:ascii="Arial" w:hAnsi="Arial" w:cs="Arial"/>
          <w:sz w:val="22"/>
          <w:szCs w:val="22"/>
        </w:rPr>
        <w:t>The authors of stock market integrations proved that the main economic variables, such as real GDP, trade balances, the import and export of goods and services, exchange rates, interest rates, unemployment, government debt and consumer price indexes are significant in their relation to the indices of the stock market. There has been a growing amount of literature showing the strong influence of macroeconomic variables and stock markets, mostly for industrialized countries (</w:t>
      </w:r>
      <w:r w:rsidR="00E05975" w:rsidRPr="00090A18">
        <w:rPr>
          <w:rFonts w:ascii="Arial" w:hAnsi="Arial" w:cs="Arial"/>
          <w:sz w:val="22"/>
          <w:szCs w:val="22"/>
        </w:rPr>
        <w:t xml:space="preserve">Keran 1971, </w:t>
      </w:r>
      <w:r w:rsidRPr="00090A18">
        <w:rPr>
          <w:rFonts w:ascii="Arial" w:hAnsi="Arial" w:cs="Arial"/>
          <w:sz w:val="22"/>
          <w:szCs w:val="22"/>
        </w:rPr>
        <w:t xml:space="preserve">Black 1976, </w:t>
      </w:r>
      <w:r w:rsidR="00E05975" w:rsidRPr="00090A18">
        <w:rPr>
          <w:rFonts w:ascii="Arial" w:hAnsi="Arial" w:cs="Arial"/>
          <w:sz w:val="22"/>
          <w:szCs w:val="22"/>
        </w:rPr>
        <w:t xml:space="preserve">Nelson 1976, Fama 1981, </w:t>
      </w:r>
      <w:r w:rsidRPr="00090A18">
        <w:rPr>
          <w:rFonts w:ascii="Arial" w:hAnsi="Arial" w:cs="Arial"/>
          <w:sz w:val="22"/>
          <w:szCs w:val="22"/>
        </w:rPr>
        <w:t xml:space="preserve">Chen et al. 1986, </w:t>
      </w:r>
      <w:r w:rsidR="00E05975" w:rsidRPr="00090A18">
        <w:rPr>
          <w:rFonts w:ascii="Arial" w:hAnsi="Arial" w:cs="Arial"/>
          <w:sz w:val="22"/>
          <w:szCs w:val="22"/>
        </w:rPr>
        <w:t xml:space="preserve">Friedman 1988, </w:t>
      </w:r>
      <w:r w:rsidRPr="00090A18">
        <w:rPr>
          <w:rFonts w:ascii="Arial" w:hAnsi="Arial" w:cs="Arial"/>
          <w:sz w:val="22"/>
          <w:szCs w:val="22"/>
        </w:rPr>
        <w:t>Bald</w:t>
      </w:r>
      <w:r w:rsidR="00E05975" w:rsidRPr="00090A18">
        <w:rPr>
          <w:rFonts w:ascii="Arial" w:hAnsi="Arial" w:cs="Arial"/>
          <w:sz w:val="22"/>
          <w:szCs w:val="22"/>
        </w:rPr>
        <w:t xml:space="preserve">uzzi 1995, </w:t>
      </w:r>
      <w:r w:rsidRPr="00090A18">
        <w:rPr>
          <w:rFonts w:ascii="Arial" w:hAnsi="Arial" w:cs="Arial"/>
          <w:sz w:val="22"/>
          <w:szCs w:val="22"/>
        </w:rPr>
        <w:t xml:space="preserve">Fifield et al. 2000, Lovatt and Ashok 2000, and Nasseh and Strauss 2000, Hondroyiannis and Papapetrou 2001, Cumhur et al. 2005, Menike 2006, Loayza </w:t>
      </w:r>
      <w:r w:rsidR="00C43A72" w:rsidRPr="00090A18">
        <w:rPr>
          <w:rFonts w:ascii="Arial" w:hAnsi="Arial" w:cs="Arial"/>
          <w:sz w:val="22"/>
          <w:szCs w:val="22"/>
        </w:rPr>
        <w:t>et al. 2007</w:t>
      </w:r>
      <w:r w:rsidRPr="00090A18">
        <w:rPr>
          <w:rFonts w:ascii="Arial" w:hAnsi="Arial" w:cs="Arial"/>
          <w:sz w:val="22"/>
          <w:szCs w:val="22"/>
        </w:rPr>
        <w:t xml:space="preserve">). </w:t>
      </w:r>
      <w:r w:rsidR="00E05975" w:rsidRPr="00090A18">
        <w:rPr>
          <w:rFonts w:ascii="Arial" w:hAnsi="Arial" w:cs="Arial"/>
          <w:sz w:val="22"/>
          <w:szCs w:val="22"/>
        </w:rPr>
        <w:t xml:space="preserve">Most of these studies suggest that financial and macroeconomic variables influence stock prices across a variety of markets and time frames (Been et al. 1990, Bulmash and Trivoli 1991, Golsten et al. 1993, Ibrahim 1999, Maysami and Koh 2000, Brennan and Yihong 2001, Mukherjee and Naka 1995, Poon and Taylor 1991). Some studies, however, could not improve the relationship mentioned above for the European markets. The outcome of all these studies </w:t>
      </w:r>
      <w:r w:rsidR="00E05975" w:rsidRPr="00090A18">
        <w:rPr>
          <w:rFonts w:ascii="Arial" w:hAnsi="Arial" w:cs="Arial"/>
          <w:sz w:val="22"/>
          <w:szCs w:val="22"/>
        </w:rPr>
        <w:lastRenderedPageBreak/>
        <w:t>suggests that, with minor degrees of variation, fundamental macroeconomic dynamics are indeed influential factors for stock market returns.</w:t>
      </w:r>
    </w:p>
    <w:p w14:paraId="0E64C3C8" w14:textId="77777777" w:rsidR="00D33943" w:rsidRPr="00090A18" w:rsidRDefault="00835454" w:rsidP="00D33943">
      <w:pPr>
        <w:pStyle w:val="Default"/>
        <w:spacing w:after="200" w:line="276" w:lineRule="auto"/>
        <w:jc w:val="both"/>
        <w:rPr>
          <w:rFonts w:ascii="Arial" w:hAnsi="Arial" w:cs="Arial"/>
          <w:sz w:val="22"/>
          <w:szCs w:val="22"/>
        </w:rPr>
      </w:pPr>
      <w:r w:rsidRPr="00090A18">
        <w:rPr>
          <w:rFonts w:ascii="Arial" w:hAnsi="Arial" w:cs="Arial"/>
          <w:sz w:val="22"/>
          <w:szCs w:val="22"/>
        </w:rPr>
        <w:t xml:space="preserve">Razin et al. (1999) showed that in an environment with asymmetric information, FDI can have positive welfare effects if credit markets are undeveloped, but these effects turn into losses in economies with a </w:t>
      </w:r>
      <w:r w:rsidR="00B460C4" w:rsidRPr="00090A18">
        <w:rPr>
          <w:rFonts w:ascii="Arial" w:hAnsi="Arial" w:cs="Arial"/>
          <w:sz w:val="22"/>
          <w:szCs w:val="22"/>
        </w:rPr>
        <w:t>well-functioning</w:t>
      </w:r>
      <w:r w:rsidRPr="00090A18">
        <w:rPr>
          <w:rFonts w:ascii="Arial" w:hAnsi="Arial" w:cs="Arial"/>
          <w:sz w:val="22"/>
          <w:szCs w:val="22"/>
        </w:rPr>
        <w:t xml:space="preserve"> domestic credit market. Levine and Zervos (1998) showed that stock markets and banks provide different services, but both stock market liquidity and banking development positively predict growth, capital accumulation and productivity improvements. Aizenman and Noy (2005) found the strongest feedback between FDI and manufacturing trade based on the argument that a larger inflow of FDI will lead to a higher volume of trade as well as other benefits, such as increased rates of total factor productivity growth or higher output growth rates (Do and Levchenko 2004,</w:t>
      </w:r>
      <w:r w:rsidR="00C43A72" w:rsidRPr="00090A18">
        <w:rPr>
          <w:rFonts w:ascii="Arial" w:hAnsi="Arial" w:cs="Arial"/>
          <w:sz w:val="22"/>
          <w:szCs w:val="22"/>
        </w:rPr>
        <w:t xml:space="preserve"> Lane and Milesi-Ferretti 2004)</w:t>
      </w:r>
      <w:r w:rsidRPr="00090A18">
        <w:rPr>
          <w:rFonts w:ascii="Arial" w:hAnsi="Arial" w:cs="Arial"/>
          <w:sz w:val="22"/>
          <w:szCs w:val="22"/>
        </w:rPr>
        <w:t xml:space="preserve">. </w:t>
      </w:r>
    </w:p>
    <w:p w14:paraId="4AB78DEC" w14:textId="77777777" w:rsidR="00B7422A" w:rsidRPr="00090A18" w:rsidRDefault="00B7422A" w:rsidP="00E05975">
      <w:pPr>
        <w:jc w:val="both"/>
        <w:rPr>
          <w:rFonts w:ascii="Arial" w:hAnsi="Arial" w:cs="Arial"/>
        </w:rPr>
      </w:pPr>
      <w:r w:rsidRPr="00090A18">
        <w:rPr>
          <w:rFonts w:ascii="Arial" w:hAnsi="Arial" w:cs="Arial"/>
        </w:rPr>
        <w:t>The authors in this pape</w:t>
      </w:r>
      <w:r w:rsidR="00D33943" w:rsidRPr="00090A18">
        <w:rPr>
          <w:rFonts w:ascii="Arial" w:hAnsi="Arial" w:cs="Arial"/>
        </w:rPr>
        <w:t>r</w:t>
      </w:r>
      <w:r w:rsidRPr="00090A18">
        <w:rPr>
          <w:rFonts w:ascii="Arial" w:hAnsi="Arial" w:cs="Arial"/>
        </w:rPr>
        <w:t xml:space="preserve"> investigate macroeconomic variables and their influence on stock excanges of Bulgaria and Croatia during transition period from old autarhic systems to modern new members of EU. </w:t>
      </w:r>
      <w:r w:rsidR="00E05975" w:rsidRPr="00090A18">
        <w:rPr>
          <w:rFonts w:ascii="Arial" w:eastAsia="Times New Roman" w:hAnsi="Arial" w:cs="Arial"/>
          <w:lang w:val="en-AU"/>
        </w:rPr>
        <w:t xml:space="preserve">Authors tried to analyze financial integration of the SEE countries in comparison to EU with focus on economic activities and the stock exchanges in observed countries to demonstrate the dependence of small financial markets on large ones and to investigate the spillover effect, i.e., the degree and pace of integration of 'new' financial markets into larger ones. </w:t>
      </w:r>
      <w:r w:rsidR="00E05975" w:rsidRPr="00090A18">
        <w:rPr>
          <w:rFonts w:ascii="Arial" w:hAnsi="Arial" w:cs="Arial"/>
        </w:rPr>
        <w:t>There is evidence of an increase in stock exchange indices in the period of transition of the SEE countries, due to the opening of the market economy followed by large capital inflows.</w:t>
      </w:r>
    </w:p>
    <w:p w14:paraId="7ECC6E66" w14:textId="77777777" w:rsidR="00B460C4" w:rsidRPr="00090A18" w:rsidRDefault="00B460C4" w:rsidP="007C0617">
      <w:pPr>
        <w:tabs>
          <w:tab w:val="left" w:pos="720"/>
          <w:tab w:val="left" w:pos="1008"/>
        </w:tabs>
        <w:autoSpaceDE w:val="0"/>
        <w:jc w:val="both"/>
        <w:rPr>
          <w:rFonts w:ascii="Arial" w:eastAsia="Times New Roman" w:hAnsi="Arial" w:cs="Arial"/>
          <w:lang w:val="en-US" w:eastAsia="hr-HR"/>
        </w:rPr>
      </w:pPr>
      <w:r w:rsidRPr="00090A18">
        <w:rPr>
          <w:rFonts w:ascii="Arial" w:eastAsia="Times New Roman" w:hAnsi="Arial" w:cs="Arial"/>
          <w:shd w:val="clear" w:color="auto" w:fill="FFFFFF"/>
          <w:lang w:val="en-US" w:eastAsia="hr-HR"/>
        </w:rPr>
        <w:t xml:space="preserve">The test of stock indices with regard to the main economic indicators of Bulgaria and Croatia is based on monthly bases data during 2004-2014. </w:t>
      </w:r>
    </w:p>
    <w:p w14:paraId="03B42CD4" w14:textId="77777777" w:rsidR="00B460C4" w:rsidRPr="00090A18" w:rsidRDefault="00B460C4" w:rsidP="007C0617">
      <w:pPr>
        <w:tabs>
          <w:tab w:val="left" w:pos="720"/>
          <w:tab w:val="left" w:pos="1008"/>
        </w:tabs>
        <w:autoSpaceDE w:val="0"/>
        <w:jc w:val="both"/>
        <w:rPr>
          <w:rFonts w:ascii="Arial" w:eastAsia="Calibri" w:hAnsi="Arial" w:cs="Arial"/>
          <w:lang w:val="en-US" w:eastAsia="hr-HR"/>
        </w:rPr>
      </w:pPr>
      <w:r w:rsidRPr="00090A18">
        <w:rPr>
          <w:rFonts w:ascii="Arial" w:eastAsia="Times New Roman" w:hAnsi="Arial" w:cs="Arial"/>
          <w:shd w:val="clear" w:color="auto" w:fill="FFFFFF"/>
          <w:lang w:val="en-US" w:eastAsia="hr-HR"/>
        </w:rPr>
        <w:t xml:space="preserve">The following chapters are structured thusly: The macro-economic environment and stock exchange development in the observed SEE countries are presented in chapter 2. The methodology and the data for the empirical analysis are explained in chapter 3, results and discussion can be found in chapter 4 and the implication of the empirical analysis are revisited in the conclusion. </w:t>
      </w:r>
    </w:p>
    <w:p w14:paraId="3228788A" w14:textId="77777777" w:rsidR="00B460C4" w:rsidRPr="00090A18" w:rsidRDefault="00B460C4" w:rsidP="007C0617">
      <w:pPr>
        <w:jc w:val="both"/>
        <w:rPr>
          <w:rFonts w:ascii="Arial" w:hAnsi="Arial" w:cs="Arial"/>
          <w:lang w:val="en-US"/>
        </w:rPr>
      </w:pPr>
    </w:p>
    <w:p w14:paraId="55A51076" w14:textId="77777777" w:rsidR="00AD6C41" w:rsidRPr="00090A18" w:rsidRDefault="00B460C4" w:rsidP="007C0617">
      <w:pPr>
        <w:tabs>
          <w:tab w:val="left" w:pos="720"/>
          <w:tab w:val="left" w:pos="1008"/>
        </w:tabs>
        <w:autoSpaceDE w:val="0"/>
        <w:jc w:val="both"/>
        <w:rPr>
          <w:rFonts w:ascii="Arial" w:eastAsia="Times New Roman" w:hAnsi="Arial" w:cs="Arial"/>
          <w:b/>
          <w:caps/>
          <w:lang w:val="en-US" w:eastAsia="hr-HR"/>
        </w:rPr>
      </w:pPr>
      <w:r w:rsidRPr="00090A18">
        <w:rPr>
          <w:rFonts w:ascii="Arial" w:hAnsi="Arial" w:cs="Arial"/>
          <w:b/>
          <w:lang w:val="en-US"/>
        </w:rPr>
        <w:t>2</w:t>
      </w:r>
      <w:r w:rsidR="0063464A" w:rsidRPr="00090A18">
        <w:rPr>
          <w:rFonts w:ascii="Arial" w:hAnsi="Arial" w:cs="Arial"/>
          <w:b/>
          <w:lang w:val="en-US"/>
        </w:rPr>
        <w:t xml:space="preserve"> THE </w:t>
      </w:r>
      <w:r w:rsidR="00AD6C41" w:rsidRPr="00090A18">
        <w:rPr>
          <w:rFonts w:ascii="Arial" w:eastAsia="Times New Roman" w:hAnsi="Arial" w:cs="Arial"/>
          <w:b/>
          <w:caps/>
          <w:lang w:val="en-US" w:eastAsia="hr-HR"/>
        </w:rPr>
        <w:t>Macroeconomic environment</w:t>
      </w:r>
      <w:r w:rsidR="0063464A" w:rsidRPr="00090A18">
        <w:rPr>
          <w:rFonts w:ascii="Arial" w:eastAsia="Times New Roman" w:hAnsi="Arial" w:cs="Arial"/>
          <w:b/>
          <w:caps/>
          <w:lang w:val="en-US" w:eastAsia="hr-HR"/>
        </w:rPr>
        <w:t xml:space="preserve"> and stock exchange development</w:t>
      </w:r>
      <w:r w:rsidR="00AD6C41" w:rsidRPr="00090A18">
        <w:rPr>
          <w:rFonts w:ascii="Arial" w:eastAsia="Times New Roman" w:hAnsi="Arial" w:cs="Arial"/>
          <w:b/>
          <w:caps/>
          <w:lang w:val="en-US" w:eastAsia="hr-HR"/>
        </w:rPr>
        <w:t xml:space="preserve"> in Southeastern Europe</w:t>
      </w:r>
      <w:r w:rsidR="00D33943" w:rsidRPr="00090A18">
        <w:rPr>
          <w:rFonts w:ascii="Arial" w:eastAsia="Times New Roman" w:hAnsi="Arial" w:cs="Arial"/>
          <w:b/>
          <w:caps/>
          <w:lang w:val="en-US" w:eastAsia="hr-HR"/>
        </w:rPr>
        <w:t xml:space="preserve"> (Croatia and bulgaria)</w:t>
      </w:r>
    </w:p>
    <w:p w14:paraId="38755FE6" w14:textId="77777777" w:rsidR="0063464A" w:rsidRPr="00090A18" w:rsidRDefault="0063464A" w:rsidP="007C0617">
      <w:pPr>
        <w:tabs>
          <w:tab w:val="left" w:pos="720"/>
          <w:tab w:val="left" w:pos="1008"/>
        </w:tabs>
        <w:autoSpaceDE w:val="0"/>
        <w:jc w:val="both"/>
        <w:rPr>
          <w:rFonts w:ascii="Arial" w:eastAsia="Times New Roman" w:hAnsi="Arial" w:cs="Arial"/>
          <w:i/>
          <w:lang w:val="en-US" w:eastAsia="hr-HR"/>
        </w:rPr>
      </w:pPr>
    </w:p>
    <w:p w14:paraId="09ECDD04" w14:textId="77777777" w:rsidR="0063464A" w:rsidRPr="00090A18" w:rsidRDefault="00B460C4" w:rsidP="007C0617">
      <w:pPr>
        <w:tabs>
          <w:tab w:val="left" w:pos="720"/>
          <w:tab w:val="left" w:pos="1008"/>
        </w:tabs>
        <w:autoSpaceDE w:val="0"/>
        <w:jc w:val="both"/>
        <w:rPr>
          <w:rFonts w:ascii="Arial" w:eastAsia="Times New Roman" w:hAnsi="Arial" w:cs="Arial"/>
          <w:i/>
          <w:lang w:val="en-US" w:eastAsia="hr-HR"/>
        </w:rPr>
      </w:pPr>
      <w:r w:rsidRPr="00090A18">
        <w:rPr>
          <w:rFonts w:ascii="Arial" w:hAnsi="Arial" w:cs="Arial"/>
          <w:b/>
          <w:i/>
          <w:lang w:val="en-US"/>
        </w:rPr>
        <w:t>2</w:t>
      </w:r>
      <w:r w:rsidR="0063464A" w:rsidRPr="00090A18">
        <w:rPr>
          <w:rFonts w:ascii="Arial" w:hAnsi="Arial" w:cs="Arial"/>
          <w:b/>
          <w:i/>
          <w:lang w:val="en-US"/>
        </w:rPr>
        <w:t>.1 The macroeconomic environment in Southeastern Europe</w:t>
      </w:r>
    </w:p>
    <w:p w14:paraId="5EE7897D" w14:textId="77777777" w:rsidR="00AD6C41" w:rsidRPr="00090A18" w:rsidRDefault="00AD6C41" w:rsidP="000A1E2B">
      <w:pPr>
        <w:tabs>
          <w:tab w:val="left" w:pos="720"/>
          <w:tab w:val="left" w:pos="1008"/>
          <w:tab w:val="left" w:pos="4140"/>
        </w:tabs>
        <w:ind w:right="-30"/>
        <w:jc w:val="both"/>
        <w:rPr>
          <w:rFonts w:ascii="Arial" w:eastAsia="Times New Roman" w:hAnsi="Arial" w:cs="Arial"/>
          <w:lang w:val="en-US" w:eastAsia="hr-HR"/>
        </w:rPr>
      </w:pPr>
      <w:r w:rsidRPr="00090A18">
        <w:rPr>
          <w:rFonts w:ascii="Arial" w:eastAsia="Times New Roman" w:hAnsi="Arial" w:cs="Arial"/>
          <w:lang w:val="en-US" w:eastAsia="hr-HR"/>
        </w:rPr>
        <w:t>In most</w:t>
      </w:r>
      <w:r w:rsidR="0063464A" w:rsidRPr="00090A18">
        <w:rPr>
          <w:rFonts w:ascii="Arial" w:eastAsia="Times New Roman" w:hAnsi="Arial" w:cs="Arial"/>
          <w:lang w:val="en-US" w:eastAsia="hr-HR"/>
        </w:rPr>
        <w:t xml:space="preserve"> SEE countries from 2008 to 2015</w:t>
      </w:r>
      <w:r w:rsidRPr="00090A18">
        <w:rPr>
          <w:rFonts w:ascii="Arial" w:eastAsia="Times New Roman" w:hAnsi="Arial" w:cs="Arial"/>
          <w:lang w:val="en-US" w:eastAsia="hr-HR"/>
        </w:rPr>
        <w:t>, the recession has slowed down real GDP. There are lower capital inflows and domestic credit has negatively impacted domestic demand. Most SEE governments, either alone or with IMF and EU support, have tried to reconstruct the public sector and cut expenditures. Due to lower domestic and foreign demand, and lower commodity prices, current account deficits has continued to narrow in most SEE countries. It seems that all governments and central banks in the SEE region have been aware of the importance of stabilization and low inflation for economic growth, but every country has chosen a different approach for monetary policy, exchange rate policy and state intervention (see Ho 2009). Still, all countries in the region are prone to high deficits in their balance of payments (adding the price dynamics of food and energy sources on the world market), proving the fact that certain countries have been living beyond their realistic possibilities in the years before.</w:t>
      </w:r>
    </w:p>
    <w:p w14:paraId="73927299" w14:textId="77777777" w:rsidR="008E0023" w:rsidRPr="00090A18" w:rsidRDefault="00B460C4" w:rsidP="007C0617">
      <w:pPr>
        <w:jc w:val="both"/>
        <w:rPr>
          <w:rFonts w:ascii="Arial" w:hAnsi="Arial" w:cs="Arial"/>
          <w:b/>
          <w:i/>
          <w:lang w:val="en-US"/>
        </w:rPr>
      </w:pPr>
      <w:r w:rsidRPr="00090A18">
        <w:rPr>
          <w:rFonts w:ascii="Arial" w:hAnsi="Arial" w:cs="Arial"/>
          <w:b/>
          <w:i/>
          <w:lang w:val="en-US"/>
        </w:rPr>
        <w:t>2</w:t>
      </w:r>
      <w:r w:rsidR="0063464A" w:rsidRPr="00090A18">
        <w:rPr>
          <w:rFonts w:ascii="Arial" w:hAnsi="Arial" w:cs="Arial"/>
          <w:b/>
          <w:i/>
          <w:lang w:val="en-US"/>
        </w:rPr>
        <w:t>.2 Stock exchanges in South Eastern Euorope</w:t>
      </w:r>
    </w:p>
    <w:p w14:paraId="544350E4" w14:textId="77777777" w:rsidR="00AD6C41" w:rsidRPr="00090A18" w:rsidRDefault="00AD6C41" w:rsidP="007C0617">
      <w:pPr>
        <w:pStyle w:val="Default"/>
        <w:spacing w:after="200" w:line="276" w:lineRule="auto"/>
        <w:jc w:val="both"/>
        <w:rPr>
          <w:rFonts w:ascii="Arial" w:hAnsi="Arial" w:cs="Arial"/>
          <w:sz w:val="22"/>
          <w:szCs w:val="22"/>
        </w:rPr>
      </w:pPr>
      <w:r w:rsidRPr="00090A18">
        <w:rPr>
          <w:rFonts w:ascii="Arial" w:hAnsi="Arial" w:cs="Arial"/>
          <w:sz w:val="22"/>
          <w:szCs w:val="22"/>
        </w:rPr>
        <w:t xml:space="preserve">Emerging capital markets in the transition countries of Southeastern Europe are becoming increasingly important for both institutional and individual investors. Southeastern transition countries slowly started opening up to the world market during the end of 1980‘s and the beginning of the 1990‘s, and established a local exchange as part of their transition process towards adopting the mechanisms of a market economy (Syllignakis and Kouretas 2006). The stock markets of SEE have tried to adapt their standards to an international one, by improving the disclosure practices of firms, order execution, ownership rights, and by bringing down limitations </w:t>
      </w:r>
      <w:r w:rsidR="00356C3D" w:rsidRPr="00090A18">
        <w:rPr>
          <w:rFonts w:ascii="Arial" w:hAnsi="Arial" w:cs="Arial"/>
          <w:sz w:val="22"/>
          <w:szCs w:val="22"/>
        </w:rPr>
        <w:t xml:space="preserve">to international capital flows. </w:t>
      </w:r>
      <w:r w:rsidRPr="00090A18">
        <w:rPr>
          <w:rFonts w:ascii="Arial" w:hAnsi="Arial" w:cs="Arial"/>
          <w:sz w:val="22"/>
          <w:szCs w:val="22"/>
        </w:rPr>
        <w:t xml:space="preserve">However, they still remain small, fragmented and underdeveloped in comparison with the capital markets of developed countries. The Zagreb Stock Exchange was founded in 1991 as a profit-making corporation with HRK 2.7 million in registered capital. Four banks from Montenegro established the Montenegro Stock Exchange in June 1993. The Bulgarian Stock Exchange was established in 1997. Some exchanges include some SEE indices, such as the Vienna Exchange and the Dow Jones FEAS South East Europe. The Vienna Exchange started calculating the index of Croatian shares – CROX (Croatian Traded Index) in July 2007, which covers the Croatian capital market. CROX is the fourth index of the Vienna Exchange to cover Southeast Europe, after the Romanian ROTX, the Serbian SRX, and </w:t>
      </w:r>
      <w:r w:rsidRPr="00090A18">
        <w:rPr>
          <w:rFonts w:ascii="Arial" w:hAnsi="Arial" w:cs="Arial"/>
          <w:sz w:val="22"/>
          <w:szCs w:val="22"/>
        </w:rPr>
        <w:lastRenderedPageBreak/>
        <w:t xml:space="preserve">the SETX, which covers Bulgaria, Croatia, Romania, Serbia and Slovenia. Following the removal of restrictions on capital flows, the opening up to foreign investors, the creation of appropriate corporate governance structures and the establishment of ownership rights, both market capitalization and daily trading volumes increased rapidly in the SEE's during transition. However, since the equity markets in these countries are still relatively small when compared with developed ones, they tend to exhibit higher volatility, possibly because of their sensitivity to even relatively small portfolio adjustments (Égert and Koĉenda, 2007). </w:t>
      </w:r>
    </w:p>
    <w:p w14:paraId="358317AA" w14:textId="77777777" w:rsidR="005E24BD" w:rsidRPr="00090A18" w:rsidRDefault="005E24BD" w:rsidP="007C0617">
      <w:pPr>
        <w:autoSpaceDE w:val="0"/>
        <w:autoSpaceDN w:val="0"/>
        <w:adjustRightInd w:val="0"/>
        <w:jc w:val="both"/>
        <w:rPr>
          <w:rFonts w:ascii="Arial" w:hAnsi="Arial" w:cs="Arial"/>
          <w:iCs/>
          <w:lang w:val="en-US"/>
        </w:rPr>
      </w:pPr>
    </w:p>
    <w:p w14:paraId="012FB0A0" w14:textId="77777777" w:rsidR="00993936" w:rsidRPr="00090A18" w:rsidRDefault="00B460C4" w:rsidP="007C0617">
      <w:pPr>
        <w:autoSpaceDE w:val="0"/>
        <w:autoSpaceDN w:val="0"/>
        <w:adjustRightInd w:val="0"/>
        <w:jc w:val="both"/>
        <w:rPr>
          <w:rFonts w:ascii="Arial" w:hAnsi="Arial" w:cs="Arial"/>
          <w:b/>
          <w:lang w:val="en-US"/>
        </w:rPr>
      </w:pPr>
      <w:r w:rsidRPr="00090A18">
        <w:rPr>
          <w:rFonts w:ascii="Arial" w:hAnsi="Arial" w:cs="Arial"/>
          <w:b/>
          <w:iCs/>
          <w:lang w:val="en-US"/>
        </w:rPr>
        <w:t>3</w:t>
      </w:r>
      <w:r w:rsidR="00595CAC" w:rsidRPr="00090A18">
        <w:rPr>
          <w:rFonts w:ascii="Arial" w:hAnsi="Arial" w:cs="Arial"/>
          <w:b/>
          <w:iCs/>
          <w:lang w:val="en-US"/>
        </w:rPr>
        <w:t xml:space="preserve"> METHODOLOGY AND THE DATA</w:t>
      </w:r>
    </w:p>
    <w:p w14:paraId="1D9791C4" w14:textId="77777777" w:rsidR="00AD6C41" w:rsidRPr="00090A18" w:rsidRDefault="00B460C4" w:rsidP="007C0617">
      <w:pPr>
        <w:tabs>
          <w:tab w:val="left" w:pos="720"/>
          <w:tab w:val="left" w:pos="1008"/>
        </w:tabs>
        <w:contextualSpacing/>
        <w:outlineLvl w:val="0"/>
        <w:rPr>
          <w:rFonts w:ascii="Arial" w:eastAsia="Times New Roman" w:hAnsi="Arial" w:cs="Arial"/>
          <w:i/>
          <w:lang w:val="en-US" w:eastAsia="hr-HR"/>
        </w:rPr>
      </w:pPr>
      <w:r w:rsidRPr="00090A18">
        <w:rPr>
          <w:rFonts w:ascii="Arial" w:eastAsia="Times New Roman" w:hAnsi="Arial" w:cs="Arial"/>
          <w:i/>
          <w:lang w:val="en-US" w:eastAsia="hr-HR"/>
        </w:rPr>
        <w:t>3</w:t>
      </w:r>
      <w:r w:rsidR="00595CAC" w:rsidRPr="00090A18">
        <w:rPr>
          <w:rFonts w:ascii="Arial" w:eastAsia="Times New Roman" w:hAnsi="Arial" w:cs="Arial"/>
          <w:i/>
          <w:lang w:val="en-US" w:eastAsia="hr-HR"/>
        </w:rPr>
        <w:t xml:space="preserve">.1 </w:t>
      </w:r>
      <w:r w:rsidR="005A28E4" w:rsidRPr="00090A18">
        <w:rPr>
          <w:rFonts w:ascii="Arial" w:eastAsia="Times New Roman" w:hAnsi="Arial" w:cs="Arial"/>
          <w:i/>
          <w:lang w:val="en-US" w:eastAsia="hr-HR"/>
        </w:rPr>
        <w:t>Methodology</w:t>
      </w:r>
    </w:p>
    <w:p w14:paraId="5ABFC30D" w14:textId="77777777" w:rsidR="007D2F3F" w:rsidRPr="00090A18" w:rsidRDefault="00DA6E27" w:rsidP="007C0617">
      <w:pPr>
        <w:tabs>
          <w:tab w:val="left" w:pos="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 xml:space="preserve">The individual Ordinary Least Square (OLS) method was used to uncover empirical evidence of a relationship between stock return indices and economic variables of </w:t>
      </w:r>
      <w:r w:rsidR="007D2F3F" w:rsidRPr="00090A18">
        <w:rPr>
          <w:rFonts w:ascii="Arial" w:eastAsia="Times New Roman" w:hAnsi="Arial" w:cs="Arial"/>
          <w:lang w:val="en-US" w:eastAsia="hr-HR"/>
        </w:rPr>
        <w:t xml:space="preserve">Bulgaria and </w:t>
      </w:r>
      <w:r w:rsidRPr="00090A18">
        <w:rPr>
          <w:rFonts w:ascii="Arial" w:eastAsia="Times New Roman" w:hAnsi="Arial" w:cs="Arial"/>
          <w:lang w:val="en-US" w:eastAsia="hr-HR"/>
        </w:rPr>
        <w:t xml:space="preserve">Croatia. An OLS estimation was applied for the procyclicality of </w:t>
      </w:r>
      <w:r w:rsidR="007D2F3F" w:rsidRPr="00090A18">
        <w:rPr>
          <w:rFonts w:ascii="Arial" w:eastAsia="Times New Roman" w:hAnsi="Arial" w:cs="Arial"/>
          <w:lang w:val="en-US" w:eastAsia="hr-HR"/>
        </w:rPr>
        <w:t xml:space="preserve">Bulgarian and </w:t>
      </w:r>
      <w:r w:rsidRPr="00090A18">
        <w:rPr>
          <w:rFonts w:ascii="Arial" w:eastAsia="Times New Roman" w:hAnsi="Arial" w:cs="Arial"/>
          <w:lang w:val="en-US" w:eastAsia="hr-HR"/>
        </w:rPr>
        <w:t xml:space="preserve">Croatian stock markets through the </w:t>
      </w:r>
      <w:r w:rsidR="007D2F3F" w:rsidRPr="00090A18">
        <w:rPr>
          <w:rFonts w:ascii="Arial" w:eastAsia="Times New Roman" w:hAnsi="Arial" w:cs="Arial"/>
          <w:lang w:val="en-US" w:eastAsia="hr-HR"/>
        </w:rPr>
        <w:t>fourteen-year</w:t>
      </w:r>
      <w:r w:rsidRPr="00090A18">
        <w:rPr>
          <w:rFonts w:ascii="Arial" w:eastAsia="Times New Roman" w:hAnsi="Arial" w:cs="Arial"/>
          <w:lang w:val="en-US" w:eastAsia="hr-HR"/>
        </w:rPr>
        <w:t xml:space="preserve"> period of historical data (main economic indicators and </w:t>
      </w:r>
      <w:r w:rsidR="007D2F3F" w:rsidRPr="00090A18">
        <w:rPr>
          <w:rFonts w:ascii="Arial" w:eastAsia="Times New Roman" w:hAnsi="Arial" w:cs="Arial"/>
          <w:lang w:val="en-US" w:eastAsia="hr-HR"/>
        </w:rPr>
        <w:t xml:space="preserve">BG40 and </w:t>
      </w:r>
      <w:r w:rsidRPr="00090A18">
        <w:rPr>
          <w:rFonts w:ascii="Arial" w:eastAsia="Times New Roman" w:hAnsi="Arial" w:cs="Arial"/>
          <w:lang w:val="en-US" w:eastAsia="hr-HR"/>
        </w:rPr>
        <w:t>CROBEX stock price (closing)), on monthly bases from January 2000 to December 201</w:t>
      </w:r>
      <w:r w:rsidR="007D2F3F" w:rsidRPr="00090A18">
        <w:rPr>
          <w:rFonts w:ascii="Arial" w:eastAsia="Times New Roman" w:hAnsi="Arial" w:cs="Arial"/>
          <w:lang w:val="en-US" w:eastAsia="hr-HR"/>
        </w:rPr>
        <w:t>4</w:t>
      </w:r>
      <w:r w:rsidRPr="00090A18">
        <w:rPr>
          <w:rFonts w:ascii="Arial" w:eastAsia="Times New Roman" w:hAnsi="Arial" w:cs="Arial"/>
          <w:lang w:val="en-US" w:eastAsia="hr-HR"/>
        </w:rPr>
        <w:t>, in order to find the structural break when the analyzed cycles started to accelerate by using a Chow stability test (Hansen 1997). We i</w:t>
      </w:r>
      <w:r w:rsidR="007D2F3F" w:rsidRPr="00090A18">
        <w:rPr>
          <w:rFonts w:ascii="Arial" w:eastAsia="Times New Roman" w:hAnsi="Arial" w:cs="Arial"/>
          <w:lang w:val="en-US" w:eastAsia="hr-HR"/>
        </w:rPr>
        <w:t>ncluded the structural break in 1</w:t>
      </w:r>
      <w:r w:rsidR="007D2F3F" w:rsidRPr="00090A18">
        <w:rPr>
          <w:rFonts w:ascii="Arial" w:eastAsia="Times New Roman" w:hAnsi="Arial" w:cs="Arial"/>
          <w:vertAlign w:val="superscript"/>
          <w:lang w:val="en-US" w:eastAsia="hr-HR"/>
        </w:rPr>
        <w:t>st</w:t>
      </w:r>
      <w:r w:rsidR="007D2F3F" w:rsidRPr="00090A18">
        <w:rPr>
          <w:rFonts w:ascii="Arial" w:eastAsia="Times New Roman" w:hAnsi="Arial" w:cs="Arial"/>
          <w:lang w:val="en-US" w:eastAsia="hr-HR"/>
        </w:rPr>
        <w:t xml:space="preserve"> of January of 2007 when Bulgaria became EU member state, same as in 1</w:t>
      </w:r>
      <w:r w:rsidR="007D2F3F" w:rsidRPr="00090A18">
        <w:rPr>
          <w:rFonts w:ascii="Arial" w:eastAsia="Times New Roman" w:hAnsi="Arial" w:cs="Arial"/>
          <w:vertAlign w:val="superscript"/>
          <w:lang w:val="en-US" w:eastAsia="hr-HR"/>
        </w:rPr>
        <w:t>st</w:t>
      </w:r>
      <w:r w:rsidR="007D2F3F" w:rsidRPr="00090A18">
        <w:rPr>
          <w:rFonts w:ascii="Arial" w:eastAsia="Times New Roman" w:hAnsi="Arial" w:cs="Arial"/>
          <w:lang w:val="en-US" w:eastAsia="hr-HR"/>
        </w:rPr>
        <w:t xml:space="preserve"> July of 2013 i</w:t>
      </w:r>
      <w:r w:rsidR="005444F1" w:rsidRPr="00090A18">
        <w:rPr>
          <w:rFonts w:ascii="Arial" w:eastAsia="Times New Roman" w:hAnsi="Arial" w:cs="Arial"/>
          <w:lang w:val="en-US" w:eastAsia="hr-HR"/>
        </w:rPr>
        <w:t xml:space="preserve">n the case of </w:t>
      </w:r>
      <w:r w:rsidR="007D2F3F" w:rsidRPr="00090A18">
        <w:rPr>
          <w:rFonts w:ascii="Arial" w:eastAsia="Times New Roman" w:hAnsi="Arial" w:cs="Arial"/>
          <w:lang w:val="en-US" w:eastAsia="hr-HR"/>
        </w:rPr>
        <w:t>Croatian regression when Croatia finally become EU member state.</w:t>
      </w:r>
    </w:p>
    <w:p w14:paraId="09AAAD91" w14:textId="77777777" w:rsidR="00DA6E27" w:rsidRPr="00090A18" w:rsidRDefault="00DA6E27" w:rsidP="005444F1">
      <w:pPr>
        <w:tabs>
          <w:tab w:val="left" w:pos="0"/>
          <w:tab w:val="left" w:pos="1008"/>
        </w:tabs>
        <w:jc w:val="both"/>
        <w:rPr>
          <w:rFonts w:ascii="Arial" w:eastAsia="Calibri" w:hAnsi="Arial" w:cs="Arial"/>
          <w:lang w:val="en-US" w:eastAsia="hr-HR"/>
        </w:rPr>
      </w:pPr>
      <w:r w:rsidRPr="00090A18">
        <w:rPr>
          <w:rFonts w:ascii="Arial" w:eastAsia="Times New Roman" w:hAnsi="Arial" w:cs="Arial"/>
          <w:lang w:val="en-US" w:eastAsia="hr-HR"/>
        </w:rPr>
        <w:t>Before applying linear regression methods, we eliminated the overly correlated explanatory variables</w:t>
      </w:r>
      <w:r w:rsidR="00677404" w:rsidRPr="00090A18">
        <w:rPr>
          <w:rFonts w:ascii="Arial" w:eastAsia="Times New Roman" w:hAnsi="Arial" w:cs="Arial"/>
          <w:lang w:val="en-US" w:eastAsia="hr-HR"/>
        </w:rPr>
        <w:t>.</w:t>
      </w:r>
      <w:r w:rsidRPr="00090A18">
        <w:rPr>
          <w:rFonts w:ascii="Arial" w:eastAsia="Times New Roman" w:hAnsi="Arial" w:cs="Arial"/>
          <w:lang w:val="en-US" w:eastAsia="hr-HR"/>
        </w:rPr>
        <w:t xml:space="preserve"> All variables were seasonally adjusted through the seasonal adjustment method (Eviews 7) on the basis of 2000-201</w:t>
      </w:r>
      <w:r w:rsidR="007D2F3F" w:rsidRPr="00090A18">
        <w:rPr>
          <w:rFonts w:ascii="Arial" w:eastAsia="Times New Roman" w:hAnsi="Arial" w:cs="Arial"/>
          <w:lang w:val="en-US" w:eastAsia="hr-HR"/>
        </w:rPr>
        <w:t>4</w:t>
      </w:r>
      <w:r w:rsidRPr="00090A18">
        <w:rPr>
          <w:rFonts w:ascii="Arial" w:eastAsia="Times New Roman" w:hAnsi="Arial" w:cs="Arial"/>
          <w:lang w:val="en-US" w:eastAsia="hr-HR"/>
        </w:rPr>
        <w:t xml:space="preserve"> monthly data of </w:t>
      </w:r>
      <w:r w:rsidR="007D2F3F" w:rsidRPr="00090A18">
        <w:rPr>
          <w:rFonts w:ascii="Arial" w:eastAsia="Times New Roman" w:hAnsi="Arial" w:cs="Arial"/>
          <w:lang w:val="en-US" w:eastAsia="hr-HR"/>
        </w:rPr>
        <w:t xml:space="preserve">Bulgaria’s and </w:t>
      </w:r>
      <w:r w:rsidRPr="00090A18">
        <w:rPr>
          <w:rFonts w:ascii="Arial" w:eastAsia="Times New Roman" w:hAnsi="Arial" w:cs="Arial"/>
          <w:lang w:val="en-US" w:eastAsia="hr-HR"/>
        </w:rPr>
        <w:t>Croatia’s regression.</w:t>
      </w:r>
      <w:r w:rsidR="005444F1" w:rsidRPr="00090A18">
        <w:rPr>
          <w:rFonts w:ascii="Arial" w:eastAsia="Calibri" w:hAnsi="Arial" w:cs="Arial"/>
          <w:lang w:val="en-US" w:eastAsia="hr-HR"/>
        </w:rPr>
        <w:t xml:space="preserve"> </w:t>
      </w:r>
      <w:r w:rsidRPr="00090A18">
        <w:rPr>
          <w:rFonts w:ascii="Arial" w:eastAsia="Times New Roman" w:hAnsi="Arial" w:cs="Arial"/>
          <w:lang w:val="en-US" w:eastAsia="hr-HR"/>
        </w:rPr>
        <w:t>We used the Augmented Dickey-Fuller (1979) test to examine a series for the presence of a unit root. According to test results, a</w:t>
      </w:r>
      <w:r w:rsidRPr="00090A18">
        <w:rPr>
          <w:rFonts w:ascii="Arial" w:eastAsia="Calibri" w:hAnsi="Arial" w:cs="Arial"/>
          <w:lang w:val="en-US" w:eastAsia="hr-HR"/>
        </w:rPr>
        <w:t xml:space="preserve">ll variables are stationary in the form </w:t>
      </w:r>
      <w:r w:rsidRPr="00090A18">
        <w:rPr>
          <w:rFonts w:ascii="Arial" w:eastAsia="Times New Roman" w:hAnsi="Arial" w:cs="Arial"/>
          <w:lang w:val="en-US" w:eastAsia="hr-HR"/>
        </w:rPr>
        <w:t xml:space="preserve">dlog (x) i.e. </w:t>
      </w:r>
      <w:r w:rsidRPr="00090A18">
        <w:rPr>
          <w:rFonts w:ascii="Arial" w:eastAsia="Calibri" w:hAnsi="Arial" w:cs="Arial"/>
          <w:lang w:val="en-US" w:eastAsia="hr-HR"/>
        </w:rPr>
        <w:t xml:space="preserve">variables were integrated </w:t>
      </w:r>
      <w:r w:rsidRPr="00090A18">
        <w:rPr>
          <w:rFonts w:ascii="Arial" w:eastAsia="Times New Roman" w:hAnsi="Arial" w:cs="Arial"/>
          <w:lang w:val="en-US" w:eastAsia="hr-HR"/>
        </w:rPr>
        <w:t xml:space="preserve">of order 1 </w:t>
      </w:r>
      <w:r w:rsidRPr="00090A18">
        <w:rPr>
          <w:rFonts w:ascii="Arial" w:eastAsia="Calibri" w:hAnsi="Arial" w:cs="Arial"/>
          <w:lang w:val="en-US" w:eastAsia="hr-HR"/>
        </w:rPr>
        <w:t xml:space="preserve">(Table 1) (Dickey and Fuller 1979, Esaka 2003). </w:t>
      </w:r>
    </w:p>
    <w:p w14:paraId="73D15BC1" w14:textId="77777777" w:rsidR="00DA6E27" w:rsidRPr="00090A18" w:rsidRDefault="00DA6E27" w:rsidP="007C0617">
      <w:pPr>
        <w:tabs>
          <w:tab w:val="left" w:pos="720"/>
          <w:tab w:val="left" w:pos="1008"/>
        </w:tabs>
        <w:jc w:val="both"/>
        <w:rPr>
          <w:rFonts w:ascii="Arial" w:eastAsia="Calibri" w:hAnsi="Arial" w:cs="Arial"/>
          <w:lang w:val="en-US" w:eastAsia="hr-HR"/>
        </w:rPr>
      </w:pPr>
      <w:r w:rsidRPr="00090A18">
        <w:rPr>
          <w:rFonts w:ascii="Arial" w:eastAsia="Calibri" w:hAnsi="Arial" w:cs="Arial"/>
          <w:lang w:val="en-US" w:eastAsia="hr-HR"/>
        </w:rPr>
        <w:t>To determine the lag length, we used the Schwarz Information Criterion - because the Schwarz criterion and its parsimonious model perform better over a longer period of research (Ashgar and Abid 2007) - as well as the Akaike and Hannan-Quinn Information Criterion (Akaike 1987). A maximum of twelve lags was considered for each variable when determining the lag length.</w:t>
      </w:r>
    </w:p>
    <w:p w14:paraId="41B9F147" w14:textId="77777777" w:rsidR="00AD6C41" w:rsidRPr="00090A18" w:rsidRDefault="00AD6C41" w:rsidP="007C0617">
      <w:pPr>
        <w:tabs>
          <w:tab w:val="left" w:pos="720"/>
          <w:tab w:val="left" w:pos="1008"/>
        </w:tabs>
        <w:jc w:val="both"/>
        <w:rPr>
          <w:rFonts w:ascii="Arial" w:eastAsia="Times New Roman" w:hAnsi="Arial" w:cs="Arial"/>
          <w:lang w:val="en-US" w:eastAsia="hr-HR"/>
        </w:rPr>
      </w:pPr>
    </w:p>
    <w:p w14:paraId="1569F581" w14:textId="77777777" w:rsidR="00AD6C41" w:rsidRPr="00090A18" w:rsidRDefault="00B460C4" w:rsidP="007C0617">
      <w:pPr>
        <w:tabs>
          <w:tab w:val="left" w:pos="720"/>
          <w:tab w:val="left" w:pos="1008"/>
        </w:tabs>
        <w:jc w:val="both"/>
        <w:rPr>
          <w:rFonts w:ascii="Arial" w:eastAsia="Times New Roman" w:hAnsi="Arial" w:cs="Arial"/>
          <w:i/>
          <w:lang w:val="en-US" w:eastAsia="hr-HR"/>
        </w:rPr>
      </w:pPr>
      <w:r w:rsidRPr="00090A18">
        <w:rPr>
          <w:rFonts w:ascii="Arial" w:eastAsia="Times New Roman" w:hAnsi="Arial" w:cs="Arial"/>
          <w:lang w:val="en-US" w:eastAsia="hr-HR"/>
        </w:rPr>
        <w:t>3</w:t>
      </w:r>
      <w:r w:rsidR="005A28E4" w:rsidRPr="00090A18">
        <w:rPr>
          <w:rFonts w:ascii="Arial" w:eastAsia="Times New Roman" w:hAnsi="Arial" w:cs="Arial"/>
          <w:i/>
          <w:lang w:val="en-US" w:eastAsia="hr-HR"/>
        </w:rPr>
        <w:t>.2 Data</w:t>
      </w:r>
    </w:p>
    <w:p w14:paraId="1CFC1EFF" w14:textId="7E1F12BD" w:rsidR="005A28E4" w:rsidRPr="00090A18" w:rsidRDefault="005A28E4" w:rsidP="007C0617">
      <w:pPr>
        <w:suppressAutoHyphens/>
        <w:spacing w:before="280"/>
        <w:jc w:val="both"/>
        <w:rPr>
          <w:rFonts w:ascii="Arial" w:eastAsia="Times New Roman" w:hAnsi="Arial" w:cs="Arial"/>
          <w:lang w:val="en-US" w:eastAsia="ar-SA"/>
        </w:rPr>
      </w:pPr>
      <w:r w:rsidRPr="00090A18">
        <w:rPr>
          <w:rFonts w:ascii="Arial" w:eastAsia="Times New Roman" w:hAnsi="Arial" w:cs="Arial"/>
          <w:lang w:val="en-US" w:eastAsia="ar-SA"/>
        </w:rPr>
        <w:t>Based on the studies investigating the correlation of stock market indices and macro economic variables in empirical literature, we constructed a data set of explanatory variables that are usually included in models: capital inflow expressed as percentage points of GDP; GDP expres</w:t>
      </w:r>
      <w:r w:rsidR="003144CE" w:rsidRPr="00090A18">
        <w:rPr>
          <w:rFonts w:ascii="Arial" w:eastAsia="Times New Roman" w:hAnsi="Arial" w:cs="Arial"/>
          <w:lang w:val="en-US" w:eastAsia="ar-SA"/>
        </w:rPr>
        <w:t>sed in annual percentage change</w:t>
      </w:r>
      <w:r w:rsidRPr="00090A18">
        <w:rPr>
          <w:rFonts w:ascii="Arial" w:eastAsia="Times New Roman" w:hAnsi="Arial" w:cs="Arial"/>
          <w:lang w:val="en-US" w:eastAsia="ar-SA"/>
        </w:rPr>
        <w:t xml:space="preserve">; interest rates (p.a.); </w:t>
      </w:r>
      <w:r w:rsidR="00D33943" w:rsidRPr="00090A18">
        <w:rPr>
          <w:rFonts w:ascii="Arial" w:hAnsi="Arial" w:cs="Arial"/>
          <w:lang w:val="en-US"/>
        </w:rPr>
        <w:t>EXP: export of good and services expressed as a contribution to GDP in percentage point</w:t>
      </w:r>
      <w:r w:rsidR="00592E67" w:rsidRPr="00090A18">
        <w:rPr>
          <w:rFonts w:ascii="Arial" w:hAnsi="Arial" w:cs="Arial"/>
          <w:lang w:val="en-US"/>
        </w:rPr>
        <w:t>.</w:t>
      </w:r>
      <w:r w:rsidR="00D33943" w:rsidRPr="00090A18">
        <w:rPr>
          <w:rFonts w:ascii="Arial" w:eastAsia="Times New Roman" w:hAnsi="Arial" w:cs="Arial"/>
          <w:lang w:val="en-US" w:eastAsia="ar-SA"/>
        </w:rPr>
        <w:t xml:space="preserve"> </w:t>
      </w:r>
      <w:r w:rsidRPr="00090A18">
        <w:rPr>
          <w:rFonts w:ascii="Arial" w:eastAsia="Times New Roman" w:hAnsi="Arial" w:cs="Arial"/>
          <w:lang w:val="en-US" w:eastAsia="ar-SA"/>
        </w:rPr>
        <w:t>We relied on the database of the European Commission (201</w:t>
      </w:r>
      <w:r w:rsidR="007D2F3F" w:rsidRPr="00090A18">
        <w:rPr>
          <w:rFonts w:ascii="Arial" w:eastAsia="Times New Roman" w:hAnsi="Arial" w:cs="Arial"/>
          <w:lang w:val="en-US" w:eastAsia="ar-SA"/>
        </w:rPr>
        <w:t>5</w:t>
      </w:r>
      <w:r w:rsidRPr="00090A18">
        <w:rPr>
          <w:rFonts w:ascii="Arial" w:eastAsia="Times New Roman" w:hAnsi="Arial" w:cs="Arial"/>
          <w:lang w:val="en-US" w:eastAsia="ar-SA"/>
        </w:rPr>
        <w:t>)</w:t>
      </w:r>
      <w:r w:rsidRPr="00090A18">
        <w:rPr>
          <w:rFonts w:ascii="Arial" w:eastAsia="Times New Roman" w:hAnsi="Arial" w:cs="Arial"/>
          <w:vertAlign w:val="superscript"/>
          <w:lang w:val="en-US" w:eastAsia="ar-SA"/>
        </w:rPr>
        <w:t xml:space="preserve"> </w:t>
      </w:r>
      <w:r w:rsidRPr="00090A18">
        <w:rPr>
          <w:rFonts w:ascii="Arial" w:eastAsia="Times New Roman" w:hAnsi="Arial" w:cs="Arial"/>
          <w:vertAlign w:val="superscript"/>
          <w:lang w:val="en-US" w:eastAsia="ar-SA"/>
        </w:rPr>
        <w:footnoteReference w:id="1"/>
      </w:r>
      <w:r w:rsidRPr="00090A18">
        <w:rPr>
          <w:rFonts w:ascii="Arial" w:eastAsia="Times New Roman" w:hAnsi="Arial" w:cs="Arial"/>
          <w:lang w:val="en-US" w:eastAsia="ar-SA"/>
        </w:rPr>
        <w:t>, and on the databases of the national statistical bureau.</w:t>
      </w:r>
    </w:p>
    <w:p w14:paraId="0F3DDAE8" w14:textId="77777777" w:rsidR="005A28E4" w:rsidRPr="00090A18" w:rsidRDefault="005444F1" w:rsidP="005444F1">
      <w:pPr>
        <w:jc w:val="both"/>
        <w:rPr>
          <w:rFonts w:ascii="Arial" w:hAnsi="Arial" w:cs="Arial"/>
          <w:lang w:val="en-US"/>
        </w:rPr>
      </w:pPr>
      <w:r w:rsidRPr="00090A18">
        <w:rPr>
          <w:rFonts w:ascii="Arial" w:hAnsi="Arial" w:cs="Arial"/>
        </w:rPr>
        <w:t>In our research, we relied on the closing prices of stock markets for the CROBEX (Croatia) and BG40 (Bulgaria).</w:t>
      </w:r>
      <w:r w:rsidR="005A28E4" w:rsidRPr="00090A18">
        <w:rPr>
          <w:rFonts w:ascii="Arial" w:eastAsia="Times New Roman" w:hAnsi="Arial" w:cs="Arial"/>
          <w:lang w:val="en-US" w:eastAsia="hr-HR"/>
        </w:rPr>
        <w:t>The local stock price indices (closing prices) were used for each of the examined stock markets: CROBEX (Croatia) and BG40 (Bulgaria) were collected on national stock exchanges and adapted to monthly a</w:t>
      </w:r>
      <w:r w:rsidR="003144CE" w:rsidRPr="00090A18">
        <w:rPr>
          <w:rFonts w:ascii="Arial" w:eastAsia="Times New Roman" w:hAnsi="Arial" w:cs="Arial"/>
          <w:lang w:val="en-US" w:eastAsia="hr-HR"/>
        </w:rPr>
        <w:t>verage indices from January 2000</w:t>
      </w:r>
      <w:r w:rsidR="005A28E4" w:rsidRPr="00090A18">
        <w:rPr>
          <w:rFonts w:ascii="Arial" w:eastAsia="Times New Roman" w:hAnsi="Arial" w:cs="Arial"/>
          <w:lang w:val="en-US" w:eastAsia="hr-HR"/>
        </w:rPr>
        <w:t xml:space="preserve"> to December 2014. </w:t>
      </w:r>
    </w:p>
    <w:p w14:paraId="5303A795" w14:textId="77777777" w:rsidR="00AD6C41" w:rsidRPr="00090A18" w:rsidRDefault="00AD6C41" w:rsidP="007C0617">
      <w:pPr>
        <w:autoSpaceDE w:val="0"/>
        <w:autoSpaceDN w:val="0"/>
        <w:adjustRightInd w:val="0"/>
        <w:jc w:val="both"/>
        <w:rPr>
          <w:rFonts w:ascii="Arial" w:eastAsia="Calibri" w:hAnsi="Arial" w:cs="Arial"/>
          <w:lang w:val="en-US"/>
        </w:rPr>
      </w:pPr>
    </w:p>
    <w:p w14:paraId="4E40ECE6" w14:textId="77777777" w:rsidR="00AD6C41" w:rsidRPr="00090A18" w:rsidRDefault="00B460C4" w:rsidP="007C0617">
      <w:pPr>
        <w:tabs>
          <w:tab w:val="left" w:pos="720"/>
          <w:tab w:val="left" w:pos="1008"/>
        </w:tabs>
        <w:rPr>
          <w:rFonts w:ascii="Arial" w:eastAsia="Times New Roman" w:hAnsi="Arial" w:cs="Arial"/>
          <w:b/>
          <w:lang w:val="en-US" w:eastAsia="hr-HR"/>
        </w:rPr>
      </w:pPr>
      <w:r w:rsidRPr="00090A18">
        <w:rPr>
          <w:rFonts w:ascii="Arial" w:eastAsia="Times New Roman" w:hAnsi="Arial" w:cs="Arial"/>
          <w:b/>
          <w:lang w:val="en-US" w:eastAsia="hr-HR"/>
        </w:rPr>
        <w:t>4</w:t>
      </w:r>
      <w:r w:rsidR="00595CAC" w:rsidRPr="00090A18">
        <w:rPr>
          <w:rFonts w:ascii="Arial" w:eastAsia="Times New Roman" w:hAnsi="Arial" w:cs="Arial"/>
          <w:b/>
          <w:lang w:val="en-US" w:eastAsia="hr-HR"/>
        </w:rPr>
        <w:t xml:space="preserve"> RESULT AND DISCUSSION</w:t>
      </w:r>
    </w:p>
    <w:p w14:paraId="2BCD115E" w14:textId="77777777" w:rsidR="00AD6C41" w:rsidRPr="00090A18" w:rsidRDefault="00AD6C41" w:rsidP="007C0617">
      <w:pPr>
        <w:tabs>
          <w:tab w:val="left" w:pos="720"/>
          <w:tab w:val="left" w:pos="1008"/>
        </w:tabs>
        <w:autoSpaceDE w:val="0"/>
        <w:jc w:val="both"/>
        <w:rPr>
          <w:rFonts w:ascii="Arial" w:eastAsia="Times New Roman" w:hAnsi="Arial" w:cs="Arial"/>
          <w:lang w:val="en-US" w:eastAsia="hr-HR"/>
        </w:rPr>
      </w:pPr>
      <w:r w:rsidRPr="00090A18">
        <w:rPr>
          <w:rFonts w:ascii="Arial" w:eastAsia="Times New Roman" w:hAnsi="Arial" w:cs="Arial"/>
          <w:lang w:val="en-US" w:eastAsia="hr-HR"/>
        </w:rPr>
        <w:t xml:space="preserve">The obtained results confirmed the influence of the chosen explanatory variables on the stock exchange indices. As expected, we found a correlation among the main economic indicators and stock exchange indices of the </w:t>
      </w:r>
      <w:r w:rsidR="00835454" w:rsidRPr="00090A18">
        <w:rPr>
          <w:rFonts w:ascii="Arial" w:eastAsia="Times New Roman" w:hAnsi="Arial" w:cs="Arial"/>
          <w:lang w:val="en-US" w:eastAsia="hr-HR"/>
        </w:rPr>
        <w:t>observed countries</w:t>
      </w:r>
      <w:r w:rsidRPr="00090A18">
        <w:rPr>
          <w:rFonts w:ascii="Arial" w:eastAsia="Times New Roman" w:hAnsi="Arial" w:cs="Arial"/>
          <w:lang w:val="en-US" w:eastAsia="hr-HR"/>
        </w:rPr>
        <w:t>. We can confirm the positive in</w:t>
      </w:r>
      <w:r w:rsidR="00835454" w:rsidRPr="00090A18">
        <w:rPr>
          <w:rFonts w:ascii="Arial" w:eastAsia="Times New Roman" w:hAnsi="Arial" w:cs="Arial"/>
          <w:lang w:val="en-US" w:eastAsia="hr-HR"/>
        </w:rPr>
        <w:t>fluence of capital inflows, GDP, inflation and</w:t>
      </w:r>
      <w:r w:rsidRPr="00090A18">
        <w:rPr>
          <w:rFonts w:ascii="Arial" w:eastAsia="Times New Roman" w:hAnsi="Arial" w:cs="Arial"/>
          <w:lang w:val="en-US" w:eastAsia="hr-HR"/>
        </w:rPr>
        <w:t xml:space="preserve"> </w:t>
      </w:r>
      <w:r w:rsidR="00835454" w:rsidRPr="00090A18">
        <w:rPr>
          <w:rFonts w:ascii="Arial" w:eastAsia="Times New Roman" w:hAnsi="Arial" w:cs="Arial"/>
          <w:lang w:val="en-US" w:eastAsia="hr-HR"/>
        </w:rPr>
        <w:t>export</w:t>
      </w:r>
      <w:r w:rsidRPr="00090A18">
        <w:rPr>
          <w:rFonts w:ascii="Arial" w:eastAsia="Times New Roman" w:hAnsi="Arial" w:cs="Arial"/>
          <w:lang w:val="en-US" w:eastAsia="hr-HR"/>
        </w:rPr>
        <w:t xml:space="preserve"> on stock exchange indices. We also confirmed that interest rate </w:t>
      </w:r>
      <w:r w:rsidR="003144CE" w:rsidRPr="00090A18">
        <w:rPr>
          <w:rFonts w:ascii="Arial" w:eastAsia="Times New Roman" w:hAnsi="Arial" w:cs="Arial"/>
          <w:lang w:val="en-US" w:eastAsia="hr-HR"/>
        </w:rPr>
        <w:t>has</w:t>
      </w:r>
      <w:r w:rsidRPr="00090A18">
        <w:rPr>
          <w:rFonts w:ascii="Arial" w:eastAsia="Times New Roman" w:hAnsi="Arial" w:cs="Arial"/>
          <w:lang w:val="en-US" w:eastAsia="hr-HR"/>
        </w:rPr>
        <w:t xml:space="preserve"> negative impact to stock exchange indices. </w:t>
      </w:r>
    </w:p>
    <w:p w14:paraId="75200682" w14:textId="77777777" w:rsidR="00AD6C41" w:rsidRPr="00090A18" w:rsidRDefault="00AD6C41" w:rsidP="007006F8">
      <w:pPr>
        <w:tabs>
          <w:tab w:val="left" w:pos="720"/>
          <w:tab w:val="left" w:pos="1008"/>
        </w:tabs>
        <w:autoSpaceDE w:val="0"/>
        <w:autoSpaceDN w:val="0"/>
        <w:adjustRightInd w:val="0"/>
        <w:jc w:val="both"/>
        <w:rPr>
          <w:rFonts w:ascii="Arial" w:eastAsia="Times New Roman" w:hAnsi="Arial" w:cs="Arial"/>
          <w:lang w:val="en-US" w:eastAsia="hr-HR"/>
        </w:rPr>
      </w:pPr>
      <w:r w:rsidRPr="00090A18">
        <w:rPr>
          <w:rFonts w:ascii="Arial" w:eastAsia="Times New Roman" w:hAnsi="Arial" w:cs="Arial"/>
          <w:lang w:eastAsia="hr-HR"/>
        </w:rPr>
        <w:t xml:space="preserve">Stock market performance illustrates the state of the country's economy - if stock prices start to fall, an economic depression is likely to take place. Conversely, rising stock prices signal possible economic growth. Rising stock prices in the SEE countries in the scope of our interest, provide evidence about economic growth in the region in the light of the financial integration process, in general and in light of the EU integration process, in particular. </w:t>
      </w:r>
      <w:r w:rsidRPr="00090A18">
        <w:rPr>
          <w:rFonts w:ascii="Arial" w:eastAsia="Times New Roman" w:hAnsi="Arial" w:cs="Arial"/>
          <w:lang w:val="en-US" w:eastAsia="hr-HR"/>
        </w:rPr>
        <w:t xml:space="preserve">The efforts of transition countries with respect to changing to a market economy, has resulted in massive FDI for the stock markets, especially in the course of 2004, which boosted stock </w:t>
      </w:r>
      <w:r w:rsidR="007006F8" w:rsidRPr="00090A18">
        <w:rPr>
          <w:rFonts w:ascii="Arial" w:eastAsia="Times New Roman" w:hAnsi="Arial" w:cs="Arial"/>
          <w:lang w:val="en-US" w:eastAsia="hr-HR"/>
        </w:rPr>
        <w:t xml:space="preserve">indices in almost all countries. </w:t>
      </w:r>
      <w:r w:rsidRPr="00090A18">
        <w:rPr>
          <w:rFonts w:ascii="Arial" w:eastAsia="Times New Roman" w:hAnsi="Arial" w:cs="Arial"/>
          <w:lang w:val="en-US" w:eastAsia="hr-HR"/>
        </w:rPr>
        <w:t xml:space="preserve">The </w:t>
      </w:r>
      <w:r w:rsidRPr="00090A18">
        <w:rPr>
          <w:rFonts w:ascii="Arial" w:eastAsia="Times New Roman" w:hAnsi="Arial" w:cs="Arial"/>
          <w:lang w:val="en-US" w:eastAsia="hr-HR"/>
        </w:rPr>
        <w:lastRenderedPageBreak/>
        <w:t>dramatic increase in stock prices in the EU accession countries clearly followed the</w:t>
      </w:r>
      <w:r w:rsidR="007006F8" w:rsidRPr="00090A18">
        <w:rPr>
          <w:rFonts w:ascii="Arial" w:eastAsia="Times New Roman" w:hAnsi="Arial" w:cs="Arial"/>
          <w:lang w:val="en-US" w:eastAsia="hr-HR"/>
        </w:rPr>
        <w:t xml:space="preserve"> announcement of EU enlargement.</w:t>
      </w:r>
    </w:p>
    <w:p w14:paraId="68A68E61" w14:textId="77777777" w:rsidR="00595CAC" w:rsidRPr="00090A18" w:rsidRDefault="00AD6C41" w:rsidP="007C0617">
      <w:pPr>
        <w:autoSpaceDE w:val="0"/>
        <w:autoSpaceDN w:val="0"/>
        <w:adjustRightInd w:val="0"/>
        <w:jc w:val="both"/>
        <w:rPr>
          <w:rFonts w:ascii="Arial" w:eastAsia="Times New Roman" w:hAnsi="Arial" w:cs="Arial"/>
          <w:lang w:val="en-US" w:eastAsia="hr-HR"/>
        </w:rPr>
      </w:pPr>
      <w:r w:rsidRPr="00090A18">
        <w:rPr>
          <w:rFonts w:ascii="Arial" w:eastAsia="Times New Roman" w:hAnsi="Arial" w:cs="Arial"/>
          <w:lang w:val="en-US" w:eastAsia="hr-HR"/>
        </w:rPr>
        <w:t xml:space="preserve">A development of the financial markets was not homogenous across the SEE region. </w:t>
      </w:r>
      <w:r w:rsidRPr="00090A18">
        <w:rPr>
          <w:rFonts w:ascii="Arial" w:eastAsia="Times New Roman" w:hAnsi="Arial" w:cs="Arial"/>
          <w:i/>
          <w:lang w:val="en-US" w:eastAsia="hr-HR"/>
        </w:rPr>
        <w:t>Bulgaria</w:t>
      </w:r>
      <w:r w:rsidRPr="00090A18">
        <w:rPr>
          <w:rFonts w:ascii="Arial" w:eastAsia="Times New Roman" w:hAnsi="Arial" w:cs="Arial"/>
          <w:lang w:val="en-US" w:eastAsia="hr-HR"/>
        </w:rPr>
        <w:t xml:space="preserve">, </w:t>
      </w:r>
      <w:r w:rsidRPr="00090A18">
        <w:rPr>
          <w:rFonts w:ascii="Arial" w:eastAsia="Times New Roman" w:hAnsi="Arial" w:cs="Arial"/>
          <w:i/>
          <w:lang w:val="en-US" w:eastAsia="hr-HR"/>
        </w:rPr>
        <w:t>Romania</w:t>
      </w:r>
      <w:r w:rsidRPr="00090A18">
        <w:rPr>
          <w:rFonts w:ascii="Arial" w:eastAsia="Times New Roman" w:hAnsi="Arial" w:cs="Arial"/>
          <w:lang w:val="en-US" w:eastAsia="hr-HR"/>
        </w:rPr>
        <w:t xml:space="preserve"> and </w:t>
      </w:r>
      <w:r w:rsidRPr="00090A18">
        <w:rPr>
          <w:rFonts w:ascii="Arial" w:eastAsia="Times New Roman" w:hAnsi="Arial" w:cs="Arial"/>
          <w:i/>
          <w:lang w:val="en-US" w:eastAsia="hr-HR"/>
        </w:rPr>
        <w:t>Slovenia</w:t>
      </w:r>
      <w:r w:rsidRPr="00090A18">
        <w:rPr>
          <w:rFonts w:ascii="Arial" w:eastAsia="Times New Roman" w:hAnsi="Arial" w:cs="Arial"/>
          <w:lang w:val="en-US" w:eastAsia="hr-HR"/>
        </w:rPr>
        <w:t xml:space="preserve">, as countries that are already in the EU, had previously experienced strong capital inflows coupled with particularly high asset valuations and buoyant demand conditions due to their announcement of EU accession (see </w:t>
      </w:r>
      <w:r w:rsidRPr="00090A18">
        <w:rPr>
          <w:rFonts w:ascii="Arial" w:eastAsia="Times New Roman" w:hAnsi="Arial" w:cs="Arial"/>
          <w:lang w:eastAsia="hr-HR"/>
        </w:rPr>
        <w:t>Dvorák</w:t>
      </w:r>
      <w:r w:rsidRPr="00090A18">
        <w:rPr>
          <w:rFonts w:ascii="Arial" w:eastAsia="Times New Roman" w:hAnsi="Arial" w:cs="Arial"/>
          <w:lang w:val="en-US" w:eastAsia="hr-HR"/>
        </w:rPr>
        <w:t xml:space="preserve"> and Podpiera 2005). </w:t>
      </w:r>
      <w:r w:rsidRPr="00090A18">
        <w:rPr>
          <w:rFonts w:ascii="Arial" w:eastAsia="Times New Roman" w:hAnsi="Arial" w:cs="Arial"/>
          <w:i/>
          <w:lang w:val="en-US" w:eastAsia="hr-HR"/>
        </w:rPr>
        <w:t>Croatia</w:t>
      </w:r>
      <w:r w:rsidRPr="00090A18">
        <w:rPr>
          <w:rFonts w:ascii="Arial" w:eastAsia="Times New Roman" w:hAnsi="Arial" w:cs="Arial"/>
          <w:lang w:val="en-US" w:eastAsia="hr-HR"/>
        </w:rPr>
        <w:t xml:space="preserve"> have also seen strong capital inflows in the last decade connected with the </w:t>
      </w:r>
      <w:r w:rsidR="007006F8" w:rsidRPr="00090A18">
        <w:rPr>
          <w:rFonts w:ascii="Arial" w:eastAsia="Times New Roman" w:hAnsi="Arial" w:cs="Arial"/>
          <w:lang w:val="en-US" w:eastAsia="hr-HR"/>
        </w:rPr>
        <w:t>EU membership.</w:t>
      </w:r>
    </w:p>
    <w:p w14:paraId="58B10178" w14:textId="77777777" w:rsidR="004B313B" w:rsidRPr="00090A18" w:rsidRDefault="004B313B" w:rsidP="007C0617">
      <w:pPr>
        <w:jc w:val="both"/>
        <w:rPr>
          <w:rFonts w:ascii="Arial" w:hAnsi="Arial" w:cs="Arial"/>
        </w:rPr>
      </w:pPr>
      <w:r w:rsidRPr="00090A18">
        <w:rPr>
          <w:rFonts w:ascii="Arial" w:hAnsi="Arial" w:cs="Arial"/>
          <w:i/>
          <w:iCs/>
          <w:lang w:val="en-US"/>
        </w:rPr>
        <w:t xml:space="preserve">Table 1. </w:t>
      </w:r>
      <w:r w:rsidRPr="00090A18">
        <w:rPr>
          <w:rFonts w:ascii="Arial" w:hAnsi="Arial" w:cs="Arial"/>
        </w:rPr>
        <w:t xml:space="preserve">The stacionarity (Augmented Dickey-Fuller) – </w:t>
      </w:r>
      <w:r w:rsidRPr="00090A18">
        <w:rPr>
          <w:rFonts w:ascii="Arial" w:hAnsi="Arial" w:cs="Arial"/>
          <w:i/>
          <w:iCs/>
          <w:lang w:val="en-US"/>
        </w:rPr>
        <w:t>Bulgaria and Croatia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798"/>
        <w:gridCol w:w="1748"/>
      </w:tblGrid>
      <w:tr w:rsidR="003076BC" w:rsidRPr="00090A18" w14:paraId="2FE4ED5B" w14:textId="77777777" w:rsidTr="00030144">
        <w:trPr>
          <w:jc w:val="center"/>
        </w:trPr>
        <w:tc>
          <w:tcPr>
            <w:tcW w:w="2418" w:type="dxa"/>
          </w:tcPr>
          <w:p w14:paraId="19923775"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Variable</w:t>
            </w:r>
          </w:p>
        </w:tc>
        <w:tc>
          <w:tcPr>
            <w:tcW w:w="1798" w:type="dxa"/>
          </w:tcPr>
          <w:p w14:paraId="19663555"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Level</w:t>
            </w:r>
          </w:p>
        </w:tc>
        <w:tc>
          <w:tcPr>
            <w:tcW w:w="1748" w:type="dxa"/>
          </w:tcPr>
          <w:p w14:paraId="0118CFB4" w14:textId="77777777" w:rsidR="003076BC" w:rsidRPr="00090A18" w:rsidRDefault="004B313B"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dlog</w:t>
            </w:r>
            <w:r w:rsidR="003076BC" w:rsidRPr="00090A18">
              <w:rPr>
                <w:rFonts w:ascii="Arial" w:eastAsia="Times New Roman" w:hAnsi="Arial" w:cs="Arial"/>
                <w:lang w:val="en-US" w:eastAsia="hr-HR"/>
              </w:rPr>
              <w:t>(x)</w:t>
            </w:r>
          </w:p>
        </w:tc>
      </w:tr>
      <w:tr w:rsidR="004B313B" w:rsidRPr="00090A18" w14:paraId="4FF3B800" w14:textId="77777777" w:rsidTr="002B7648">
        <w:trPr>
          <w:jc w:val="center"/>
        </w:trPr>
        <w:tc>
          <w:tcPr>
            <w:tcW w:w="5964" w:type="dxa"/>
            <w:gridSpan w:val="3"/>
          </w:tcPr>
          <w:p w14:paraId="7C72820A" w14:textId="77777777" w:rsidR="004B313B" w:rsidRPr="00090A18" w:rsidRDefault="004B313B"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Bulgaria</w:t>
            </w:r>
          </w:p>
        </w:tc>
      </w:tr>
      <w:tr w:rsidR="003076BC" w:rsidRPr="00090A18" w14:paraId="5355A162" w14:textId="77777777" w:rsidTr="00030144">
        <w:trPr>
          <w:gridAfter w:val="2"/>
          <w:wAfter w:w="3546" w:type="dxa"/>
          <w:jc w:val="center"/>
        </w:trPr>
        <w:tc>
          <w:tcPr>
            <w:tcW w:w="2418" w:type="dxa"/>
          </w:tcPr>
          <w:p w14:paraId="53E6ABB2" w14:textId="77777777" w:rsidR="003076BC" w:rsidRPr="00090A18" w:rsidRDefault="003076BC" w:rsidP="007C0617">
            <w:pPr>
              <w:tabs>
                <w:tab w:val="left" w:pos="720"/>
                <w:tab w:val="left" w:pos="1008"/>
              </w:tabs>
              <w:jc w:val="center"/>
              <w:rPr>
                <w:rFonts w:ascii="Arial" w:eastAsia="Times New Roman" w:hAnsi="Arial" w:cs="Arial"/>
                <w:b/>
                <w:lang w:val="en-US" w:eastAsia="hr-HR"/>
              </w:rPr>
            </w:pPr>
            <w:r w:rsidRPr="00090A18">
              <w:rPr>
                <w:rFonts w:ascii="Arial" w:eastAsia="Times New Roman" w:hAnsi="Arial" w:cs="Arial"/>
                <w:i/>
                <w:lang w:val="en-US" w:eastAsia="hr-HR"/>
              </w:rPr>
              <w:t>Explanatory variables</w:t>
            </w:r>
          </w:p>
        </w:tc>
      </w:tr>
      <w:tr w:rsidR="003076BC" w:rsidRPr="00090A18" w14:paraId="3C38B959" w14:textId="77777777" w:rsidTr="00030144">
        <w:trPr>
          <w:jc w:val="center"/>
        </w:trPr>
        <w:tc>
          <w:tcPr>
            <w:tcW w:w="2418" w:type="dxa"/>
          </w:tcPr>
          <w:p w14:paraId="171CFEA7" w14:textId="77777777" w:rsidR="003076BC" w:rsidRPr="00090A18" w:rsidRDefault="003076BC"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Capital inflows</w:t>
            </w:r>
          </w:p>
        </w:tc>
        <w:tc>
          <w:tcPr>
            <w:tcW w:w="1798" w:type="dxa"/>
          </w:tcPr>
          <w:p w14:paraId="4E61FC2C" w14:textId="77777777" w:rsidR="00595CA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-1.019668</w:t>
            </w:r>
          </w:p>
          <w:p w14:paraId="201403F8"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(0.7445</w:t>
            </w:r>
            <w:r w:rsidR="003076BC" w:rsidRPr="00090A18">
              <w:rPr>
                <w:rFonts w:ascii="Arial" w:eastAsia="Times New Roman" w:hAnsi="Arial" w:cs="Arial"/>
                <w:lang w:val="en-US" w:eastAsia="hr-HR"/>
              </w:rPr>
              <w:t>)</w:t>
            </w:r>
          </w:p>
        </w:tc>
        <w:tc>
          <w:tcPr>
            <w:tcW w:w="1748" w:type="dxa"/>
          </w:tcPr>
          <w:p w14:paraId="3AE90EB8" w14:textId="77777777" w:rsidR="00482C42"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-8.230745</w:t>
            </w:r>
          </w:p>
          <w:p w14:paraId="19E68994"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3076BC" w:rsidRPr="00090A18" w14:paraId="7454CB6D" w14:textId="77777777" w:rsidTr="00030144">
        <w:trPr>
          <w:jc w:val="center"/>
        </w:trPr>
        <w:tc>
          <w:tcPr>
            <w:tcW w:w="2418" w:type="dxa"/>
          </w:tcPr>
          <w:p w14:paraId="672B6937" w14:textId="77777777" w:rsidR="003076BC"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GDP</w:t>
            </w:r>
          </w:p>
        </w:tc>
        <w:tc>
          <w:tcPr>
            <w:tcW w:w="1798" w:type="dxa"/>
          </w:tcPr>
          <w:p w14:paraId="077053AD"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-1.962436</w:t>
            </w:r>
          </w:p>
          <w:p w14:paraId="7B46CE83"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(0.3031</w:t>
            </w:r>
            <w:r w:rsidR="003076BC" w:rsidRPr="00090A18">
              <w:rPr>
                <w:rFonts w:ascii="Arial" w:eastAsia="Times New Roman" w:hAnsi="Arial" w:cs="Arial"/>
                <w:lang w:val="en-US" w:eastAsia="hr-HR"/>
              </w:rPr>
              <w:t>)</w:t>
            </w:r>
          </w:p>
        </w:tc>
        <w:tc>
          <w:tcPr>
            <w:tcW w:w="1748" w:type="dxa"/>
          </w:tcPr>
          <w:p w14:paraId="666D8068"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-10.78868</w:t>
            </w:r>
          </w:p>
          <w:p w14:paraId="11E409B3"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3076BC" w:rsidRPr="00090A18" w14:paraId="02511F44" w14:textId="77777777" w:rsidTr="00030144">
        <w:trPr>
          <w:jc w:val="center"/>
        </w:trPr>
        <w:tc>
          <w:tcPr>
            <w:tcW w:w="2418" w:type="dxa"/>
          </w:tcPr>
          <w:p w14:paraId="740D05A9" w14:textId="77777777" w:rsidR="003076BC"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Interest rate</w:t>
            </w:r>
          </w:p>
        </w:tc>
        <w:tc>
          <w:tcPr>
            <w:tcW w:w="1798" w:type="dxa"/>
          </w:tcPr>
          <w:p w14:paraId="329F2858"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-1.418622</w:t>
            </w:r>
          </w:p>
          <w:p w14:paraId="1EDB8CDD"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 xml:space="preserve"> (0.5710</w:t>
            </w:r>
            <w:r w:rsidR="003076BC" w:rsidRPr="00090A18">
              <w:rPr>
                <w:rFonts w:ascii="Arial" w:eastAsia="Times New Roman" w:hAnsi="Arial" w:cs="Arial"/>
                <w:lang w:val="en-US" w:eastAsia="hr-HR"/>
              </w:rPr>
              <w:t>)</w:t>
            </w:r>
          </w:p>
        </w:tc>
        <w:tc>
          <w:tcPr>
            <w:tcW w:w="1748" w:type="dxa"/>
          </w:tcPr>
          <w:p w14:paraId="67B7CC68"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-10.77858</w:t>
            </w:r>
          </w:p>
          <w:p w14:paraId="11298E9F"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3076BC" w:rsidRPr="00090A18" w14:paraId="0D3235D4" w14:textId="77777777" w:rsidTr="00030144">
        <w:trPr>
          <w:jc w:val="center"/>
        </w:trPr>
        <w:tc>
          <w:tcPr>
            <w:tcW w:w="2418" w:type="dxa"/>
          </w:tcPr>
          <w:p w14:paraId="7D291B56" w14:textId="77777777" w:rsidR="003076BC"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CPI</w:t>
            </w:r>
          </w:p>
        </w:tc>
        <w:tc>
          <w:tcPr>
            <w:tcW w:w="1798" w:type="dxa"/>
          </w:tcPr>
          <w:p w14:paraId="2D0AB5D2"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-1.469875</w:t>
            </w:r>
          </w:p>
          <w:p w14:paraId="0EEE0259"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 xml:space="preserve"> (0.5475</w:t>
            </w:r>
            <w:r w:rsidR="003076BC" w:rsidRPr="00090A18">
              <w:rPr>
                <w:rFonts w:ascii="Arial" w:eastAsia="Times New Roman" w:hAnsi="Arial" w:cs="Arial"/>
                <w:lang w:val="en-US" w:eastAsia="hr-HR"/>
              </w:rPr>
              <w:t>)</w:t>
            </w:r>
          </w:p>
        </w:tc>
        <w:tc>
          <w:tcPr>
            <w:tcW w:w="1748" w:type="dxa"/>
          </w:tcPr>
          <w:p w14:paraId="5BDCC7A1"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-10.77638</w:t>
            </w:r>
          </w:p>
          <w:p w14:paraId="3FE34747"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3076BC" w:rsidRPr="00090A18" w14:paraId="06189178" w14:textId="77777777" w:rsidTr="00030144">
        <w:trPr>
          <w:jc w:val="center"/>
        </w:trPr>
        <w:tc>
          <w:tcPr>
            <w:tcW w:w="2418" w:type="dxa"/>
          </w:tcPr>
          <w:p w14:paraId="5A47C0FC" w14:textId="77777777" w:rsidR="003076BC"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Export</w:t>
            </w:r>
          </w:p>
        </w:tc>
        <w:tc>
          <w:tcPr>
            <w:tcW w:w="1798" w:type="dxa"/>
          </w:tcPr>
          <w:p w14:paraId="0DC35B84"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-3.510379</w:t>
            </w:r>
          </w:p>
          <w:p w14:paraId="1A9A93DF"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(0.0094</w:t>
            </w:r>
            <w:r w:rsidR="003076BC" w:rsidRPr="00090A18">
              <w:rPr>
                <w:rFonts w:ascii="Arial" w:eastAsia="Times New Roman" w:hAnsi="Arial" w:cs="Arial"/>
                <w:lang w:val="en-US" w:eastAsia="hr-HR"/>
              </w:rPr>
              <w:t>)</w:t>
            </w:r>
          </w:p>
        </w:tc>
        <w:tc>
          <w:tcPr>
            <w:tcW w:w="1748" w:type="dxa"/>
          </w:tcPr>
          <w:p w14:paraId="37279F57"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-4.777713</w:t>
            </w:r>
            <w:r w:rsidR="003076BC" w:rsidRPr="00090A18">
              <w:rPr>
                <w:rFonts w:ascii="Arial" w:eastAsia="Times New Roman" w:hAnsi="Arial" w:cs="Arial"/>
                <w:lang w:val="en-US" w:eastAsia="hr-HR"/>
              </w:rPr>
              <w:t xml:space="preserve"> (0.0000)</w:t>
            </w:r>
          </w:p>
        </w:tc>
      </w:tr>
      <w:tr w:rsidR="003076BC" w:rsidRPr="00090A18" w14:paraId="6E5300A1" w14:textId="77777777" w:rsidTr="00030144">
        <w:trPr>
          <w:jc w:val="center"/>
        </w:trPr>
        <w:tc>
          <w:tcPr>
            <w:tcW w:w="2418" w:type="dxa"/>
          </w:tcPr>
          <w:p w14:paraId="7791594B" w14:textId="77777777" w:rsidR="003076BC"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Import</w:t>
            </w:r>
          </w:p>
        </w:tc>
        <w:tc>
          <w:tcPr>
            <w:tcW w:w="1798" w:type="dxa"/>
          </w:tcPr>
          <w:p w14:paraId="1E1B9500" w14:textId="77777777" w:rsidR="003076BC"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-1.648416 (0.4546</w:t>
            </w:r>
            <w:r w:rsidR="003076BC" w:rsidRPr="00090A18">
              <w:rPr>
                <w:rFonts w:ascii="Arial" w:eastAsia="Times New Roman" w:hAnsi="Arial" w:cs="Arial"/>
                <w:lang w:val="en-US" w:eastAsia="hr-HR"/>
              </w:rPr>
              <w:t>)</w:t>
            </w:r>
          </w:p>
        </w:tc>
        <w:tc>
          <w:tcPr>
            <w:tcW w:w="1748" w:type="dxa"/>
          </w:tcPr>
          <w:p w14:paraId="232FD321"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-6.922105</w:t>
            </w:r>
          </w:p>
          <w:p w14:paraId="7CC36051" w14:textId="77777777" w:rsidR="003076BC" w:rsidRPr="00090A18" w:rsidRDefault="003076BC"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3664CD" w:rsidRPr="00090A18" w14:paraId="5DD1979A" w14:textId="77777777" w:rsidTr="002B7648">
        <w:trPr>
          <w:jc w:val="center"/>
        </w:trPr>
        <w:tc>
          <w:tcPr>
            <w:tcW w:w="5964" w:type="dxa"/>
            <w:gridSpan w:val="3"/>
          </w:tcPr>
          <w:p w14:paraId="014C0E6A" w14:textId="77777777" w:rsidR="003664CD" w:rsidRPr="00090A18" w:rsidRDefault="003664CD"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Croatia</w:t>
            </w:r>
          </w:p>
        </w:tc>
      </w:tr>
      <w:tr w:rsidR="00482C42" w:rsidRPr="00090A18" w14:paraId="0B0A214D" w14:textId="77777777" w:rsidTr="00030144">
        <w:trPr>
          <w:jc w:val="center"/>
        </w:trPr>
        <w:tc>
          <w:tcPr>
            <w:tcW w:w="2418" w:type="dxa"/>
          </w:tcPr>
          <w:p w14:paraId="4CB1D765" w14:textId="77777777" w:rsidR="00482C42"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lastRenderedPageBreak/>
              <w:t>Capital inflows</w:t>
            </w:r>
          </w:p>
        </w:tc>
        <w:tc>
          <w:tcPr>
            <w:tcW w:w="1798" w:type="dxa"/>
          </w:tcPr>
          <w:p w14:paraId="5DA12AEF"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-2.253762</w:t>
            </w:r>
          </w:p>
          <w:p w14:paraId="0AF90C96"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(0.1887)</w:t>
            </w:r>
          </w:p>
        </w:tc>
        <w:tc>
          <w:tcPr>
            <w:tcW w:w="1748" w:type="dxa"/>
          </w:tcPr>
          <w:p w14:paraId="0F649057"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-11.3184</w:t>
            </w:r>
          </w:p>
          <w:p w14:paraId="200215C6"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482C42" w:rsidRPr="00090A18" w14:paraId="06BF1636" w14:textId="77777777" w:rsidTr="00030144">
        <w:trPr>
          <w:jc w:val="center"/>
        </w:trPr>
        <w:tc>
          <w:tcPr>
            <w:tcW w:w="2418" w:type="dxa"/>
          </w:tcPr>
          <w:p w14:paraId="1EAC4EAE" w14:textId="77777777" w:rsidR="00482C42"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GDP</w:t>
            </w:r>
          </w:p>
        </w:tc>
        <w:tc>
          <w:tcPr>
            <w:tcW w:w="1798" w:type="dxa"/>
          </w:tcPr>
          <w:p w14:paraId="53533C88"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-3.342131</w:t>
            </w:r>
          </w:p>
          <w:p w14:paraId="3B4606A5" w14:textId="77777777" w:rsidR="00482C42"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(0.0150</w:t>
            </w:r>
            <w:r w:rsidR="00482C42" w:rsidRPr="00090A18">
              <w:rPr>
                <w:rFonts w:ascii="Arial" w:eastAsia="Times New Roman" w:hAnsi="Arial" w:cs="Arial"/>
                <w:lang w:val="en-US" w:eastAsia="hr-HR"/>
              </w:rPr>
              <w:t>)</w:t>
            </w:r>
          </w:p>
        </w:tc>
        <w:tc>
          <w:tcPr>
            <w:tcW w:w="1748" w:type="dxa"/>
          </w:tcPr>
          <w:p w14:paraId="0879CE99"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-11.31434</w:t>
            </w:r>
          </w:p>
          <w:p w14:paraId="43F77137"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482C42" w:rsidRPr="00090A18" w14:paraId="0ABF2099" w14:textId="77777777" w:rsidTr="00030144">
        <w:trPr>
          <w:jc w:val="center"/>
        </w:trPr>
        <w:tc>
          <w:tcPr>
            <w:tcW w:w="2418" w:type="dxa"/>
          </w:tcPr>
          <w:p w14:paraId="6BC3D72D" w14:textId="77777777" w:rsidR="00482C42"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Interest rate</w:t>
            </w:r>
          </w:p>
        </w:tc>
        <w:tc>
          <w:tcPr>
            <w:tcW w:w="1798" w:type="dxa"/>
          </w:tcPr>
          <w:p w14:paraId="5322D714" w14:textId="77777777" w:rsidR="00482C42"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-1.748509 (0.4046</w:t>
            </w:r>
            <w:r w:rsidR="00482C42" w:rsidRPr="00090A18">
              <w:rPr>
                <w:rFonts w:ascii="Arial" w:eastAsia="Times New Roman" w:hAnsi="Arial" w:cs="Arial"/>
                <w:lang w:val="en-US" w:eastAsia="hr-HR"/>
              </w:rPr>
              <w:t>)</w:t>
            </w:r>
          </w:p>
        </w:tc>
        <w:tc>
          <w:tcPr>
            <w:tcW w:w="1748" w:type="dxa"/>
          </w:tcPr>
          <w:p w14:paraId="7AA1EC4F"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-11.35251</w:t>
            </w:r>
          </w:p>
          <w:p w14:paraId="30F38EEE"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482C42" w:rsidRPr="00090A18" w14:paraId="66AB36BD" w14:textId="77777777" w:rsidTr="00030144">
        <w:trPr>
          <w:jc w:val="center"/>
        </w:trPr>
        <w:tc>
          <w:tcPr>
            <w:tcW w:w="2418" w:type="dxa"/>
          </w:tcPr>
          <w:p w14:paraId="615242C8" w14:textId="77777777" w:rsidR="00482C42" w:rsidRPr="00090A18" w:rsidRDefault="00482C42"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CPI</w:t>
            </w:r>
          </w:p>
        </w:tc>
        <w:tc>
          <w:tcPr>
            <w:tcW w:w="1798" w:type="dxa"/>
          </w:tcPr>
          <w:p w14:paraId="2BD8CB26"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-1.739390</w:t>
            </w:r>
          </w:p>
          <w:p w14:paraId="36F63823" w14:textId="77777777" w:rsidR="00482C42"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(0.4092</w:t>
            </w:r>
            <w:r w:rsidR="00482C42" w:rsidRPr="00090A18">
              <w:rPr>
                <w:rFonts w:ascii="Arial" w:eastAsia="Times New Roman" w:hAnsi="Arial" w:cs="Arial"/>
                <w:lang w:val="en-US" w:eastAsia="hr-HR"/>
              </w:rPr>
              <w:t>)</w:t>
            </w:r>
          </w:p>
        </w:tc>
        <w:tc>
          <w:tcPr>
            <w:tcW w:w="1748" w:type="dxa"/>
          </w:tcPr>
          <w:p w14:paraId="1ED46D8F" w14:textId="77777777" w:rsidR="00A30135" w:rsidRPr="00090A18" w:rsidRDefault="00A30135"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-11.31974</w:t>
            </w:r>
          </w:p>
          <w:p w14:paraId="567BCE6E" w14:textId="77777777" w:rsidR="00482C42" w:rsidRPr="00090A18" w:rsidRDefault="00482C42" w:rsidP="007C0617">
            <w:pPr>
              <w:tabs>
                <w:tab w:val="left" w:pos="720"/>
                <w:tab w:val="left" w:pos="1008"/>
              </w:tabs>
              <w:jc w:val="center"/>
              <w:rPr>
                <w:rFonts w:ascii="Arial" w:eastAsia="Times New Roman" w:hAnsi="Arial" w:cs="Arial"/>
                <w:lang w:val="en-US" w:eastAsia="hr-HR"/>
              </w:rPr>
            </w:pPr>
            <w:r w:rsidRPr="00090A18">
              <w:rPr>
                <w:rFonts w:ascii="Arial" w:eastAsia="Times New Roman" w:hAnsi="Arial" w:cs="Arial"/>
                <w:lang w:val="en-US" w:eastAsia="hr-HR"/>
              </w:rPr>
              <w:t>(0.0000)</w:t>
            </w:r>
          </w:p>
        </w:tc>
      </w:tr>
      <w:tr w:rsidR="00482C42" w:rsidRPr="00090A18" w14:paraId="3AA63621" w14:textId="77777777" w:rsidTr="00030144">
        <w:trPr>
          <w:jc w:val="center"/>
        </w:trPr>
        <w:tc>
          <w:tcPr>
            <w:tcW w:w="2418" w:type="dxa"/>
          </w:tcPr>
          <w:p w14:paraId="515FD643" w14:textId="77777777" w:rsidR="00482C42" w:rsidRPr="00090A18" w:rsidRDefault="00482C42" w:rsidP="000A1E2B">
            <w:pPr>
              <w:tabs>
                <w:tab w:val="left" w:pos="720"/>
                <w:tab w:val="left" w:pos="1008"/>
              </w:tabs>
              <w:ind w:right="112"/>
              <w:jc w:val="both"/>
              <w:rPr>
                <w:rFonts w:ascii="Arial" w:eastAsia="Times New Roman" w:hAnsi="Arial" w:cs="Arial"/>
                <w:sz w:val="20"/>
                <w:szCs w:val="20"/>
                <w:lang w:val="en-US" w:eastAsia="hr-HR"/>
              </w:rPr>
            </w:pPr>
            <w:r w:rsidRPr="00090A18">
              <w:rPr>
                <w:rFonts w:ascii="Arial" w:eastAsia="Times New Roman" w:hAnsi="Arial" w:cs="Arial"/>
                <w:sz w:val="20"/>
                <w:szCs w:val="20"/>
                <w:lang w:val="en-US" w:eastAsia="hr-HR"/>
              </w:rPr>
              <w:t>Export</w:t>
            </w:r>
          </w:p>
        </w:tc>
        <w:tc>
          <w:tcPr>
            <w:tcW w:w="1798" w:type="dxa"/>
          </w:tcPr>
          <w:p w14:paraId="64ABADDE" w14:textId="77777777" w:rsidR="00A30135" w:rsidRPr="00090A18" w:rsidRDefault="00A30135" w:rsidP="000A1E2B">
            <w:pPr>
              <w:tabs>
                <w:tab w:val="left" w:pos="720"/>
                <w:tab w:val="left" w:pos="1008"/>
              </w:tabs>
              <w:ind w:right="112"/>
              <w:jc w:val="center"/>
              <w:rPr>
                <w:rFonts w:ascii="Arial" w:eastAsia="Times New Roman" w:hAnsi="Arial" w:cs="Arial"/>
                <w:sz w:val="20"/>
                <w:szCs w:val="20"/>
                <w:lang w:val="en-US" w:eastAsia="hr-HR"/>
              </w:rPr>
            </w:pPr>
            <w:r w:rsidRPr="00090A18">
              <w:rPr>
                <w:rFonts w:ascii="Arial" w:eastAsia="Times New Roman" w:hAnsi="Arial" w:cs="Arial"/>
                <w:sz w:val="20"/>
                <w:szCs w:val="20"/>
                <w:lang w:val="en-US" w:eastAsia="hr-HR"/>
              </w:rPr>
              <w:t>-1.923347</w:t>
            </w:r>
          </w:p>
          <w:p w14:paraId="2939FC36" w14:textId="77777777" w:rsidR="00482C42" w:rsidRPr="00090A18" w:rsidRDefault="00A30135" w:rsidP="000A1E2B">
            <w:pPr>
              <w:tabs>
                <w:tab w:val="left" w:pos="720"/>
                <w:tab w:val="left" w:pos="1008"/>
              </w:tabs>
              <w:ind w:right="112"/>
              <w:jc w:val="center"/>
              <w:rPr>
                <w:rFonts w:ascii="Arial" w:eastAsia="Times New Roman" w:hAnsi="Arial" w:cs="Arial"/>
                <w:sz w:val="20"/>
                <w:szCs w:val="20"/>
                <w:lang w:val="en-US" w:eastAsia="hr-HR"/>
              </w:rPr>
            </w:pPr>
            <w:r w:rsidRPr="00090A18">
              <w:rPr>
                <w:rFonts w:ascii="Arial" w:eastAsia="Times New Roman" w:hAnsi="Arial" w:cs="Arial"/>
                <w:sz w:val="20"/>
                <w:szCs w:val="20"/>
                <w:lang w:val="en-US" w:eastAsia="hr-HR"/>
              </w:rPr>
              <w:t>(0.3208</w:t>
            </w:r>
            <w:r w:rsidR="00482C42" w:rsidRPr="00090A18">
              <w:rPr>
                <w:rFonts w:ascii="Arial" w:eastAsia="Times New Roman" w:hAnsi="Arial" w:cs="Arial"/>
                <w:sz w:val="20"/>
                <w:szCs w:val="20"/>
                <w:lang w:val="en-US" w:eastAsia="hr-HR"/>
              </w:rPr>
              <w:t>)</w:t>
            </w:r>
          </w:p>
        </w:tc>
        <w:tc>
          <w:tcPr>
            <w:tcW w:w="1748" w:type="dxa"/>
          </w:tcPr>
          <w:p w14:paraId="308D5FF0" w14:textId="77777777" w:rsidR="00482C42" w:rsidRPr="00090A18" w:rsidRDefault="00A30135" w:rsidP="000A1E2B">
            <w:pPr>
              <w:tabs>
                <w:tab w:val="left" w:pos="720"/>
                <w:tab w:val="left" w:pos="1008"/>
              </w:tabs>
              <w:ind w:right="112"/>
              <w:jc w:val="center"/>
              <w:rPr>
                <w:rFonts w:ascii="Arial" w:eastAsia="Times New Roman" w:hAnsi="Arial" w:cs="Arial"/>
                <w:sz w:val="20"/>
                <w:szCs w:val="20"/>
                <w:lang w:val="en-US" w:eastAsia="hr-HR"/>
              </w:rPr>
            </w:pPr>
            <w:r w:rsidRPr="00090A18">
              <w:rPr>
                <w:rFonts w:ascii="Arial" w:eastAsia="Times New Roman" w:hAnsi="Arial" w:cs="Arial"/>
                <w:sz w:val="20"/>
                <w:szCs w:val="20"/>
                <w:lang w:val="en-US" w:eastAsia="hr-HR"/>
              </w:rPr>
              <w:t>-9.481691</w:t>
            </w:r>
            <w:r w:rsidR="00482C42" w:rsidRPr="00090A18">
              <w:rPr>
                <w:rFonts w:ascii="Arial" w:eastAsia="Times New Roman" w:hAnsi="Arial" w:cs="Arial"/>
                <w:sz w:val="20"/>
                <w:szCs w:val="20"/>
                <w:lang w:val="en-US" w:eastAsia="hr-HR"/>
              </w:rPr>
              <w:t xml:space="preserve"> (0.0000)</w:t>
            </w:r>
          </w:p>
        </w:tc>
      </w:tr>
    </w:tbl>
    <w:p w14:paraId="157775D2" w14:textId="77777777" w:rsidR="007006F8" w:rsidRPr="00090A18" w:rsidRDefault="004B313B" w:rsidP="000A1E2B">
      <w:pPr>
        <w:tabs>
          <w:tab w:val="left" w:pos="720"/>
          <w:tab w:val="left" w:pos="1008"/>
        </w:tabs>
        <w:ind w:right="112"/>
        <w:jc w:val="both"/>
        <w:rPr>
          <w:rFonts w:ascii="Arial" w:hAnsi="Arial" w:cs="Arial"/>
          <w:i/>
          <w:sz w:val="20"/>
          <w:szCs w:val="20"/>
          <w:lang w:val="en-US"/>
        </w:rPr>
      </w:pPr>
      <w:r w:rsidRPr="00090A18">
        <w:rPr>
          <w:rFonts w:ascii="Arial" w:hAnsi="Arial" w:cs="Arial"/>
          <w:i/>
          <w:iCs/>
          <w:sz w:val="20"/>
          <w:szCs w:val="20"/>
          <w:lang w:val="en-US"/>
        </w:rPr>
        <w:t xml:space="preserve">Notes: </w:t>
      </w:r>
      <w:r w:rsidR="007006F8" w:rsidRPr="00090A18">
        <w:rPr>
          <w:rFonts w:ascii="Arial" w:hAnsi="Arial" w:cs="Arial"/>
          <w:i/>
          <w:sz w:val="20"/>
          <w:szCs w:val="20"/>
          <w:lang w:val="en-US"/>
        </w:rPr>
        <w:t>CAP: capital inflow expressed in percentage of GDP; GDP: expressed in annual percentage change; INT - interest rate p.a.; CPI: consumer price index;</w:t>
      </w:r>
      <w:r w:rsidR="003144CE" w:rsidRPr="00090A18">
        <w:rPr>
          <w:rFonts w:ascii="Arial" w:hAnsi="Arial" w:cs="Arial"/>
          <w:i/>
          <w:sz w:val="20"/>
          <w:szCs w:val="20"/>
          <w:lang w:val="en-US"/>
        </w:rPr>
        <w:t xml:space="preserve"> </w:t>
      </w:r>
      <w:r w:rsidR="007006F8" w:rsidRPr="00090A18">
        <w:rPr>
          <w:rFonts w:ascii="Arial" w:hAnsi="Arial" w:cs="Arial"/>
          <w:i/>
          <w:sz w:val="20"/>
          <w:szCs w:val="20"/>
          <w:lang w:val="en-US"/>
        </w:rPr>
        <w:t>EXP: export of good as and services expressed as a contributio</w:t>
      </w:r>
      <w:r w:rsidR="00592E67" w:rsidRPr="00090A18">
        <w:rPr>
          <w:rFonts w:ascii="Arial" w:hAnsi="Arial" w:cs="Arial"/>
          <w:i/>
          <w:sz w:val="20"/>
          <w:szCs w:val="20"/>
          <w:lang w:val="en-US"/>
        </w:rPr>
        <w:t>n to GDP in percentage point</w:t>
      </w:r>
    </w:p>
    <w:p w14:paraId="22EFA6FF" w14:textId="77777777" w:rsidR="00D33943" w:rsidRPr="00090A18" w:rsidRDefault="004B313B" w:rsidP="000A1E2B">
      <w:pPr>
        <w:tabs>
          <w:tab w:val="left" w:pos="720"/>
          <w:tab w:val="left" w:pos="1008"/>
        </w:tabs>
        <w:ind w:right="112"/>
        <w:jc w:val="both"/>
        <w:outlineLvl w:val="0"/>
        <w:rPr>
          <w:rFonts w:ascii="Arial" w:hAnsi="Arial" w:cs="Arial"/>
          <w:i/>
          <w:iCs/>
          <w:sz w:val="20"/>
          <w:szCs w:val="20"/>
          <w:lang w:val="en-US"/>
        </w:rPr>
      </w:pPr>
      <w:r w:rsidRPr="00090A18">
        <w:rPr>
          <w:rFonts w:ascii="Arial" w:hAnsi="Arial" w:cs="Arial"/>
          <w:i/>
          <w:iCs/>
          <w:sz w:val="20"/>
          <w:szCs w:val="20"/>
          <w:lang w:val="en-US"/>
        </w:rPr>
        <w:t xml:space="preserve">Source: Authors </w:t>
      </w:r>
      <w:r w:rsidR="003144CE" w:rsidRPr="00090A18">
        <w:rPr>
          <w:rFonts w:ascii="Arial" w:hAnsi="Arial" w:cs="Arial"/>
          <w:i/>
          <w:iCs/>
          <w:sz w:val="20"/>
          <w:szCs w:val="20"/>
          <w:lang w:val="en-US"/>
        </w:rPr>
        <w:t>calculations</w:t>
      </w:r>
    </w:p>
    <w:p w14:paraId="5EE656D5" w14:textId="77777777" w:rsidR="003664CD" w:rsidRPr="00090A18" w:rsidRDefault="00562593" w:rsidP="007C0617">
      <w:pPr>
        <w:tabs>
          <w:tab w:val="left" w:pos="720"/>
          <w:tab w:val="left" w:pos="1008"/>
        </w:tabs>
        <w:rPr>
          <w:rFonts w:ascii="Arial" w:hAnsi="Arial" w:cs="Arial"/>
          <w:lang w:val="en-US"/>
        </w:rPr>
      </w:pPr>
      <w:r w:rsidRPr="00090A18">
        <w:rPr>
          <w:rFonts w:ascii="Arial" w:hAnsi="Arial" w:cs="Arial"/>
          <w:i/>
          <w:iCs/>
          <w:lang w:val="en-US"/>
        </w:rPr>
        <w:t>Table 2</w:t>
      </w:r>
      <w:r w:rsidRPr="00090A18">
        <w:rPr>
          <w:rFonts w:ascii="Arial" w:hAnsi="Arial" w:cs="Arial"/>
          <w:bCs/>
        </w:rPr>
        <w:t>:</w:t>
      </w:r>
      <w:r w:rsidRPr="00090A18">
        <w:rPr>
          <w:rFonts w:ascii="Arial" w:hAnsi="Arial" w:cs="Arial"/>
          <w:b/>
          <w:bCs/>
        </w:rPr>
        <w:t xml:space="preserve">  </w:t>
      </w:r>
      <w:r w:rsidRPr="00090A18">
        <w:rPr>
          <w:rFonts w:ascii="Arial" w:hAnsi="Arial" w:cs="Arial"/>
        </w:rPr>
        <w:t>Dependent variable: dlog(x) (01m 2004 to 12m 2014)</w:t>
      </w:r>
      <w:r w:rsidR="003664CD" w:rsidRPr="00090A18">
        <w:rPr>
          <w:rFonts w:ascii="Arial" w:hAnsi="Arial" w:cs="Arial"/>
        </w:rPr>
        <w:t xml:space="preserve"> </w:t>
      </w:r>
      <w:r w:rsidR="003664CD" w:rsidRPr="00090A18">
        <w:rPr>
          <w:rFonts w:ascii="Arial" w:hAnsi="Arial" w:cs="Arial"/>
          <w:i/>
          <w:iCs/>
          <w:lang w:val="en-US"/>
        </w:rPr>
        <w:t>Bulgaria and Croatia</w:t>
      </w:r>
    </w:p>
    <w:tbl>
      <w:tblPr>
        <w:tblStyle w:val="TableGrid"/>
        <w:tblW w:w="7621" w:type="dxa"/>
        <w:tblLook w:val="04A0" w:firstRow="1" w:lastRow="0" w:firstColumn="1" w:lastColumn="0" w:noHBand="0" w:noVBand="1"/>
      </w:tblPr>
      <w:tblGrid>
        <w:gridCol w:w="1905"/>
        <w:gridCol w:w="1905"/>
        <w:gridCol w:w="1905"/>
        <w:gridCol w:w="1906"/>
      </w:tblGrid>
      <w:tr w:rsidR="00251B98" w:rsidRPr="00090A18" w14:paraId="74DF44F4" w14:textId="77777777" w:rsidTr="00562593">
        <w:tc>
          <w:tcPr>
            <w:tcW w:w="1905" w:type="dxa"/>
          </w:tcPr>
          <w:p w14:paraId="459E0D2F"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p w14:paraId="5B6C9BD0" w14:textId="77777777" w:rsidR="00251B98" w:rsidRPr="00090A18" w:rsidRDefault="00251B98" w:rsidP="007C0617">
            <w:pPr>
              <w:tabs>
                <w:tab w:val="left" w:pos="720"/>
                <w:tab w:val="left" w:pos="1008"/>
              </w:tabs>
              <w:spacing w:after="200" w:line="276" w:lineRule="auto"/>
              <w:jc w:val="center"/>
              <w:rPr>
                <w:rFonts w:ascii="Arial" w:hAnsi="Arial" w:cs="Arial"/>
                <w:i/>
                <w:lang w:val="en-US"/>
              </w:rPr>
            </w:pPr>
            <w:r w:rsidRPr="00090A18">
              <w:rPr>
                <w:rFonts w:ascii="Arial" w:hAnsi="Arial" w:cs="Arial"/>
                <w:i/>
                <w:lang w:val="en-US"/>
              </w:rPr>
              <w:t>Variable</w:t>
            </w:r>
          </w:p>
          <w:p w14:paraId="70A26F4C"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tc>
        <w:tc>
          <w:tcPr>
            <w:tcW w:w="1905" w:type="dxa"/>
          </w:tcPr>
          <w:p w14:paraId="2294B6AA"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p w14:paraId="3E305B91" w14:textId="77777777" w:rsidR="00251B98" w:rsidRPr="00090A18" w:rsidRDefault="00562593" w:rsidP="007C0617">
            <w:pPr>
              <w:tabs>
                <w:tab w:val="left" w:pos="720"/>
                <w:tab w:val="left" w:pos="1008"/>
              </w:tabs>
              <w:spacing w:after="200" w:line="276" w:lineRule="auto"/>
              <w:jc w:val="center"/>
              <w:rPr>
                <w:rFonts w:ascii="Arial" w:hAnsi="Arial" w:cs="Arial"/>
                <w:i/>
                <w:lang w:val="en-US"/>
              </w:rPr>
            </w:pPr>
            <w:r w:rsidRPr="00090A18">
              <w:rPr>
                <w:rFonts w:ascii="Arial" w:hAnsi="Arial" w:cs="Arial"/>
                <w:i/>
                <w:lang w:val="en-US"/>
              </w:rPr>
              <w:t>Bulgaria</w:t>
            </w:r>
          </w:p>
          <w:p w14:paraId="6035B246"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tc>
        <w:tc>
          <w:tcPr>
            <w:tcW w:w="1905" w:type="dxa"/>
          </w:tcPr>
          <w:p w14:paraId="07051727"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p w14:paraId="6955DFF9" w14:textId="77777777" w:rsidR="00251B98" w:rsidRPr="00090A18" w:rsidRDefault="00562593" w:rsidP="007C0617">
            <w:pPr>
              <w:tabs>
                <w:tab w:val="left" w:pos="720"/>
                <w:tab w:val="left" w:pos="1008"/>
              </w:tabs>
              <w:spacing w:after="200" w:line="276" w:lineRule="auto"/>
              <w:jc w:val="center"/>
              <w:rPr>
                <w:rFonts w:ascii="Arial" w:hAnsi="Arial" w:cs="Arial"/>
                <w:i/>
                <w:lang w:val="en-US"/>
              </w:rPr>
            </w:pPr>
            <w:r w:rsidRPr="00090A18">
              <w:rPr>
                <w:rFonts w:ascii="Arial" w:hAnsi="Arial" w:cs="Arial"/>
                <w:i/>
                <w:lang w:val="en-US"/>
              </w:rPr>
              <w:t>Variable</w:t>
            </w:r>
          </w:p>
          <w:p w14:paraId="1E7E4520"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tc>
        <w:tc>
          <w:tcPr>
            <w:tcW w:w="1906" w:type="dxa"/>
          </w:tcPr>
          <w:p w14:paraId="6D2EA527"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p w14:paraId="3182C2C7" w14:textId="77777777" w:rsidR="00251B98" w:rsidRPr="00090A18" w:rsidRDefault="00562593" w:rsidP="007C0617">
            <w:pPr>
              <w:tabs>
                <w:tab w:val="left" w:pos="720"/>
                <w:tab w:val="left" w:pos="1008"/>
              </w:tabs>
              <w:spacing w:after="200" w:line="276" w:lineRule="auto"/>
              <w:jc w:val="center"/>
              <w:rPr>
                <w:rFonts w:ascii="Arial" w:hAnsi="Arial" w:cs="Arial"/>
                <w:i/>
                <w:lang w:val="en-US"/>
              </w:rPr>
            </w:pPr>
            <w:r w:rsidRPr="00090A18">
              <w:rPr>
                <w:rFonts w:ascii="Arial" w:hAnsi="Arial" w:cs="Arial"/>
                <w:i/>
                <w:lang w:val="en-US"/>
              </w:rPr>
              <w:t>Croatia</w:t>
            </w:r>
          </w:p>
          <w:p w14:paraId="00771EA5" w14:textId="77777777" w:rsidR="00251B98" w:rsidRPr="00090A18" w:rsidRDefault="00251B98" w:rsidP="007C0617">
            <w:pPr>
              <w:tabs>
                <w:tab w:val="left" w:pos="720"/>
                <w:tab w:val="left" w:pos="1008"/>
              </w:tabs>
              <w:spacing w:after="200" w:line="276" w:lineRule="auto"/>
              <w:jc w:val="center"/>
              <w:rPr>
                <w:rFonts w:ascii="Arial" w:eastAsia="Times New Roman" w:hAnsi="Arial" w:cs="Arial"/>
                <w:i/>
                <w:lang w:val="en-US" w:eastAsia="hr-HR"/>
              </w:rPr>
            </w:pPr>
          </w:p>
        </w:tc>
      </w:tr>
      <w:tr w:rsidR="00562593" w:rsidRPr="00090A18" w14:paraId="3B532353" w14:textId="77777777" w:rsidTr="00562593">
        <w:tc>
          <w:tcPr>
            <w:tcW w:w="1905" w:type="dxa"/>
            <w:hideMark/>
          </w:tcPr>
          <w:p w14:paraId="34653A81"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(CAP)</w:t>
            </w:r>
          </w:p>
          <w:p w14:paraId="2A82419A"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(-8)</w:t>
            </w:r>
          </w:p>
        </w:tc>
        <w:tc>
          <w:tcPr>
            <w:tcW w:w="1905" w:type="dxa"/>
            <w:hideMark/>
          </w:tcPr>
          <w:p w14:paraId="621B8982"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0.066577</w:t>
            </w:r>
          </w:p>
          <w:p w14:paraId="557734E4"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 xml:space="preserve"> (0.0236</w:t>
            </w:r>
            <w:r w:rsidR="00562593" w:rsidRPr="00090A18">
              <w:rPr>
                <w:rFonts w:ascii="Arial" w:hAnsi="Arial" w:cs="Arial"/>
                <w:lang w:val="en-US"/>
              </w:rPr>
              <w:t>)**</w:t>
            </w:r>
          </w:p>
        </w:tc>
        <w:tc>
          <w:tcPr>
            <w:tcW w:w="1905" w:type="dxa"/>
            <w:hideMark/>
          </w:tcPr>
          <w:p w14:paraId="5934E18C"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(CAP)</w:t>
            </w:r>
          </w:p>
          <w:p w14:paraId="5CBDA614"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(-8)</w:t>
            </w:r>
          </w:p>
        </w:tc>
        <w:tc>
          <w:tcPr>
            <w:tcW w:w="1906" w:type="dxa"/>
            <w:hideMark/>
          </w:tcPr>
          <w:p w14:paraId="72992E85"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2E5100" w:rsidRPr="00090A18">
              <w:rPr>
                <w:rFonts w:ascii="Arial" w:hAnsi="Arial" w:cs="Arial"/>
                <w:lang w:val="en-US"/>
              </w:rPr>
              <w:t>029891</w:t>
            </w:r>
          </w:p>
          <w:p w14:paraId="799A9BAD"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w:t>
            </w:r>
            <w:r w:rsidR="002E5100" w:rsidRPr="00090A18">
              <w:rPr>
                <w:rFonts w:ascii="Arial" w:hAnsi="Arial" w:cs="Arial"/>
                <w:lang w:val="en-US"/>
              </w:rPr>
              <w:t>481</w:t>
            </w:r>
            <w:r w:rsidRPr="00090A18">
              <w:rPr>
                <w:rFonts w:ascii="Arial" w:hAnsi="Arial" w:cs="Arial"/>
                <w:lang w:val="en-US"/>
              </w:rPr>
              <w:t>)**</w:t>
            </w:r>
          </w:p>
        </w:tc>
      </w:tr>
      <w:tr w:rsidR="00562593" w:rsidRPr="00090A18" w14:paraId="73C0AFEF" w14:textId="77777777" w:rsidTr="00562593">
        <w:tc>
          <w:tcPr>
            <w:tcW w:w="1905" w:type="dxa"/>
            <w:hideMark/>
          </w:tcPr>
          <w:p w14:paraId="7F7EFB25"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(GDP)</w:t>
            </w:r>
          </w:p>
          <w:p w14:paraId="4575AC08"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(-12)</w:t>
            </w:r>
          </w:p>
        </w:tc>
        <w:tc>
          <w:tcPr>
            <w:tcW w:w="1905" w:type="dxa"/>
            <w:hideMark/>
          </w:tcPr>
          <w:p w14:paraId="4E5596D5"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0.208348</w:t>
            </w:r>
          </w:p>
          <w:p w14:paraId="448840BF"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 xml:space="preserve"> (0.0002</w:t>
            </w:r>
            <w:r w:rsidR="00562593" w:rsidRPr="00090A18">
              <w:rPr>
                <w:rFonts w:ascii="Arial" w:hAnsi="Arial" w:cs="Arial"/>
                <w:lang w:val="en-US"/>
              </w:rPr>
              <w:t>)**</w:t>
            </w:r>
            <w:r w:rsidRPr="00090A18">
              <w:rPr>
                <w:rFonts w:ascii="Arial" w:hAnsi="Arial" w:cs="Arial"/>
                <w:lang w:val="en-US"/>
              </w:rPr>
              <w:t>*</w:t>
            </w:r>
          </w:p>
        </w:tc>
        <w:tc>
          <w:tcPr>
            <w:tcW w:w="1905" w:type="dxa"/>
            <w:hideMark/>
          </w:tcPr>
          <w:p w14:paraId="3A28B149"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(GDP)</w:t>
            </w:r>
          </w:p>
          <w:p w14:paraId="46260573"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(-12)</w:t>
            </w:r>
          </w:p>
        </w:tc>
        <w:tc>
          <w:tcPr>
            <w:tcW w:w="1906" w:type="dxa"/>
            <w:hideMark/>
          </w:tcPr>
          <w:p w14:paraId="3BABF501" w14:textId="77777777" w:rsidR="00562593" w:rsidRPr="00090A18" w:rsidRDefault="002E5100"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0.059465</w:t>
            </w:r>
          </w:p>
          <w:p w14:paraId="4EE2F43D"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w:t>
            </w:r>
            <w:r w:rsidR="002E5100" w:rsidRPr="00090A18">
              <w:rPr>
                <w:rFonts w:ascii="Arial" w:hAnsi="Arial" w:cs="Arial"/>
                <w:lang w:val="en-US"/>
              </w:rPr>
              <w:t>102</w:t>
            </w:r>
            <w:r w:rsidRPr="00090A18">
              <w:rPr>
                <w:rFonts w:ascii="Arial" w:hAnsi="Arial" w:cs="Arial"/>
                <w:lang w:val="en-US"/>
              </w:rPr>
              <w:t>)*</w:t>
            </w:r>
            <w:r w:rsidR="002E5100" w:rsidRPr="00090A18">
              <w:rPr>
                <w:rFonts w:ascii="Arial" w:hAnsi="Arial" w:cs="Arial"/>
                <w:lang w:val="en-US"/>
              </w:rPr>
              <w:t>*</w:t>
            </w:r>
          </w:p>
        </w:tc>
      </w:tr>
      <w:tr w:rsidR="00562593" w:rsidRPr="00090A18" w14:paraId="1C63930A" w14:textId="77777777" w:rsidTr="00562593">
        <w:tc>
          <w:tcPr>
            <w:tcW w:w="1905" w:type="dxa"/>
            <w:hideMark/>
          </w:tcPr>
          <w:p w14:paraId="422A539E"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(INT)</w:t>
            </w:r>
          </w:p>
          <w:p w14:paraId="6CD6AE89"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lastRenderedPageBreak/>
              <w:t>(-11)</w:t>
            </w:r>
          </w:p>
        </w:tc>
        <w:tc>
          <w:tcPr>
            <w:tcW w:w="1905" w:type="dxa"/>
            <w:hideMark/>
          </w:tcPr>
          <w:p w14:paraId="02F2AB52"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lastRenderedPageBreak/>
              <w:t>-0,173985</w:t>
            </w:r>
          </w:p>
          <w:p w14:paraId="32A30B7B"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lastRenderedPageBreak/>
              <w:t xml:space="preserve"> (0.0</w:t>
            </w:r>
            <w:r w:rsidR="00984C05" w:rsidRPr="00090A18">
              <w:rPr>
                <w:rFonts w:ascii="Arial" w:hAnsi="Arial" w:cs="Arial"/>
                <w:lang w:val="en-US"/>
              </w:rPr>
              <w:t>366)**</w:t>
            </w:r>
          </w:p>
        </w:tc>
        <w:tc>
          <w:tcPr>
            <w:tcW w:w="1905" w:type="dxa"/>
            <w:hideMark/>
          </w:tcPr>
          <w:p w14:paraId="33FC4B59"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lastRenderedPageBreak/>
              <w:t>dlog (INT)</w:t>
            </w:r>
          </w:p>
          <w:p w14:paraId="70E361C2"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lastRenderedPageBreak/>
              <w:t>(-11)</w:t>
            </w:r>
          </w:p>
        </w:tc>
        <w:tc>
          <w:tcPr>
            <w:tcW w:w="1906" w:type="dxa"/>
            <w:hideMark/>
          </w:tcPr>
          <w:p w14:paraId="5E2A33CE"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lastRenderedPageBreak/>
              <w:t>-</w:t>
            </w:r>
            <w:r w:rsidR="002E5100" w:rsidRPr="00090A18">
              <w:rPr>
                <w:rFonts w:ascii="Arial" w:hAnsi="Arial" w:cs="Arial"/>
                <w:lang w:val="en-US"/>
              </w:rPr>
              <w:t>0.293007</w:t>
            </w:r>
          </w:p>
          <w:p w14:paraId="14124812"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lastRenderedPageBreak/>
              <w:t>(0.0</w:t>
            </w:r>
            <w:r w:rsidR="002E5100" w:rsidRPr="00090A18">
              <w:rPr>
                <w:rFonts w:ascii="Arial" w:hAnsi="Arial" w:cs="Arial"/>
                <w:lang w:val="en-US"/>
              </w:rPr>
              <w:t>175</w:t>
            </w:r>
            <w:r w:rsidRPr="00090A18">
              <w:rPr>
                <w:rFonts w:ascii="Arial" w:hAnsi="Arial" w:cs="Arial"/>
                <w:lang w:val="en-US"/>
              </w:rPr>
              <w:t>)**</w:t>
            </w:r>
          </w:p>
        </w:tc>
      </w:tr>
      <w:tr w:rsidR="00562593" w:rsidRPr="00090A18" w14:paraId="0ABF907C" w14:textId="77777777" w:rsidTr="00562593">
        <w:tc>
          <w:tcPr>
            <w:tcW w:w="1905" w:type="dxa"/>
            <w:hideMark/>
          </w:tcPr>
          <w:p w14:paraId="330C9876"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lastRenderedPageBreak/>
              <w:t>dlog (CPI)</w:t>
            </w:r>
          </w:p>
          <w:p w14:paraId="0541B8B1"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(-4)</w:t>
            </w:r>
          </w:p>
        </w:tc>
        <w:tc>
          <w:tcPr>
            <w:tcW w:w="1905" w:type="dxa"/>
            <w:hideMark/>
          </w:tcPr>
          <w:p w14:paraId="45571F43" w14:textId="77777777" w:rsidR="00562593"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0.094453</w:t>
            </w:r>
          </w:p>
          <w:p w14:paraId="3A5739B0"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 xml:space="preserve"> (0.0</w:t>
            </w:r>
            <w:r w:rsidR="00984C05" w:rsidRPr="00090A18">
              <w:rPr>
                <w:rFonts w:ascii="Arial" w:hAnsi="Arial" w:cs="Arial"/>
                <w:lang w:val="en-US"/>
              </w:rPr>
              <w:t>003</w:t>
            </w:r>
            <w:r w:rsidRPr="00090A18">
              <w:rPr>
                <w:rFonts w:ascii="Arial" w:hAnsi="Arial" w:cs="Arial"/>
                <w:lang w:val="en-US"/>
              </w:rPr>
              <w:t>)*</w:t>
            </w:r>
            <w:r w:rsidR="00984C05" w:rsidRPr="00090A18">
              <w:rPr>
                <w:rFonts w:ascii="Arial" w:hAnsi="Arial" w:cs="Arial"/>
                <w:lang w:val="en-US"/>
              </w:rPr>
              <w:t>**</w:t>
            </w:r>
          </w:p>
        </w:tc>
        <w:tc>
          <w:tcPr>
            <w:tcW w:w="1905" w:type="dxa"/>
            <w:hideMark/>
          </w:tcPr>
          <w:p w14:paraId="3F4CE171"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(CPI)</w:t>
            </w:r>
          </w:p>
          <w:p w14:paraId="037170FD"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(-4)</w:t>
            </w:r>
          </w:p>
        </w:tc>
        <w:tc>
          <w:tcPr>
            <w:tcW w:w="1906" w:type="dxa"/>
            <w:hideMark/>
          </w:tcPr>
          <w:p w14:paraId="32085195" w14:textId="77777777" w:rsidR="00562593" w:rsidRPr="00090A18" w:rsidRDefault="002E5100"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0.069299</w:t>
            </w:r>
          </w:p>
          <w:p w14:paraId="042E9966"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w:t>
            </w:r>
            <w:r w:rsidR="002E5100" w:rsidRPr="00090A18">
              <w:rPr>
                <w:rFonts w:ascii="Arial" w:hAnsi="Arial" w:cs="Arial"/>
                <w:lang w:val="en-US"/>
              </w:rPr>
              <w:t>662)*</w:t>
            </w:r>
          </w:p>
        </w:tc>
      </w:tr>
      <w:tr w:rsidR="00562593" w:rsidRPr="00090A18" w14:paraId="5FF8B594" w14:textId="77777777" w:rsidTr="00562593">
        <w:tc>
          <w:tcPr>
            <w:tcW w:w="1905" w:type="dxa"/>
            <w:hideMark/>
          </w:tcPr>
          <w:p w14:paraId="7216A1E3"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(EXP)</w:t>
            </w:r>
          </w:p>
          <w:p w14:paraId="694D6E2F"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(-12)</w:t>
            </w:r>
          </w:p>
        </w:tc>
        <w:tc>
          <w:tcPr>
            <w:tcW w:w="1905" w:type="dxa"/>
            <w:hideMark/>
          </w:tcPr>
          <w:p w14:paraId="5A88F07E"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984C05" w:rsidRPr="00090A18">
              <w:rPr>
                <w:rFonts w:ascii="Arial" w:hAnsi="Arial" w:cs="Arial"/>
                <w:lang w:val="en-US"/>
              </w:rPr>
              <w:t>045338</w:t>
            </w:r>
          </w:p>
          <w:p w14:paraId="527EEF6F"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 xml:space="preserve"> (0.0</w:t>
            </w:r>
            <w:r w:rsidR="00984C05" w:rsidRPr="00090A18">
              <w:rPr>
                <w:rFonts w:ascii="Arial" w:hAnsi="Arial" w:cs="Arial"/>
                <w:lang w:val="en-US"/>
              </w:rPr>
              <w:t>484</w:t>
            </w:r>
            <w:r w:rsidRPr="00090A18">
              <w:rPr>
                <w:rFonts w:ascii="Arial" w:hAnsi="Arial" w:cs="Arial"/>
                <w:lang w:val="en-US"/>
              </w:rPr>
              <w:t>)**</w:t>
            </w:r>
          </w:p>
        </w:tc>
        <w:tc>
          <w:tcPr>
            <w:tcW w:w="1905" w:type="dxa"/>
            <w:hideMark/>
          </w:tcPr>
          <w:p w14:paraId="6AB4511C"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dlog (EXP)</w:t>
            </w:r>
          </w:p>
          <w:p w14:paraId="22988C92" w14:textId="77777777" w:rsidR="00562593" w:rsidRPr="00090A18" w:rsidRDefault="00562593"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(-12)</w:t>
            </w:r>
          </w:p>
        </w:tc>
        <w:tc>
          <w:tcPr>
            <w:tcW w:w="1906" w:type="dxa"/>
            <w:hideMark/>
          </w:tcPr>
          <w:p w14:paraId="51557802"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2E5100" w:rsidRPr="00090A18">
              <w:rPr>
                <w:rFonts w:ascii="Arial" w:hAnsi="Arial" w:cs="Arial"/>
                <w:lang w:val="en-US"/>
              </w:rPr>
              <w:t>135968</w:t>
            </w:r>
          </w:p>
          <w:p w14:paraId="56E9BCB1" w14:textId="77777777" w:rsidR="00562593" w:rsidRPr="00090A18" w:rsidRDefault="00562593"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w:t>
            </w:r>
            <w:r w:rsidR="002E5100" w:rsidRPr="00090A18">
              <w:rPr>
                <w:rFonts w:ascii="Arial" w:hAnsi="Arial" w:cs="Arial"/>
                <w:lang w:val="en-US"/>
              </w:rPr>
              <w:t>851)*</w:t>
            </w:r>
          </w:p>
        </w:tc>
      </w:tr>
      <w:tr w:rsidR="00251B98" w:rsidRPr="00090A18" w14:paraId="1BCAB08C" w14:textId="77777777" w:rsidTr="00562593">
        <w:tc>
          <w:tcPr>
            <w:tcW w:w="1905" w:type="dxa"/>
          </w:tcPr>
          <w:p w14:paraId="635AE274"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p>
        </w:tc>
        <w:tc>
          <w:tcPr>
            <w:tcW w:w="1905" w:type="dxa"/>
            <w:hideMark/>
          </w:tcPr>
          <w:p w14:paraId="30AE675D"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Weighted statistic</w:t>
            </w:r>
          </w:p>
        </w:tc>
        <w:tc>
          <w:tcPr>
            <w:tcW w:w="1905" w:type="dxa"/>
            <w:hideMark/>
          </w:tcPr>
          <w:p w14:paraId="2DC031DA"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p>
        </w:tc>
        <w:tc>
          <w:tcPr>
            <w:tcW w:w="1906" w:type="dxa"/>
            <w:hideMark/>
          </w:tcPr>
          <w:p w14:paraId="41455495"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Weighted statistic</w:t>
            </w:r>
          </w:p>
        </w:tc>
      </w:tr>
      <w:tr w:rsidR="00251B98" w:rsidRPr="00090A18" w14:paraId="0685A689" w14:textId="77777777" w:rsidTr="00562593">
        <w:tc>
          <w:tcPr>
            <w:tcW w:w="1905" w:type="dxa"/>
          </w:tcPr>
          <w:p w14:paraId="49E3AB39" w14:textId="77777777" w:rsidR="00251B98" w:rsidRPr="00090A18" w:rsidRDefault="00251B98" w:rsidP="007C0617">
            <w:pPr>
              <w:tabs>
                <w:tab w:val="left" w:pos="720"/>
                <w:tab w:val="left" w:pos="1008"/>
              </w:tabs>
              <w:spacing w:after="200" w:line="276" w:lineRule="auto"/>
              <w:jc w:val="both"/>
              <w:rPr>
                <w:rFonts w:ascii="Arial" w:eastAsia="Times New Roman" w:hAnsi="Arial" w:cs="Arial"/>
                <w:lang w:val="en-US" w:eastAsia="hr-HR"/>
              </w:rPr>
            </w:pPr>
          </w:p>
          <w:p w14:paraId="3E2C84AC" w14:textId="77777777" w:rsidR="00251B98" w:rsidRPr="00090A18" w:rsidRDefault="00251B98" w:rsidP="007C0617">
            <w:pPr>
              <w:tabs>
                <w:tab w:val="left" w:pos="720"/>
                <w:tab w:val="left" w:pos="1008"/>
              </w:tabs>
              <w:spacing w:after="200" w:line="276" w:lineRule="auto"/>
              <w:jc w:val="both"/>
              <w:rPr>
                <w:rFonts w:ascii="Arial" w:eastAsia="Times New Roman" w:hAnsi="Arial" w:cs="Arial"/>
                <w:lang w:val="en-US" w:eastAsia="hr-HR"/>
              </w:rPr>
            </w:pPr>
            <w:r w:rsidRPr="00090A18">
              <w:rPr>
                <w:rFonts w:ascii="Arial" w:hAnsi="Arial" w:cs="Arial"/>
                <w:lang w:val="en-US"/>
              </w:rPr>
              <w:t>R-squared</w:t>
            </w:r>
          </w:p>
        </w:tc>
        <w:tc>
          <w:tcPr>
            <w:tcW w:w="1905" w:type="dxa"/>
            <w:hideMark/>
          </w:tcPr>
          <w:p w14:paraId="4CEA8197"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984C05" w:rsidRPr="00090A18">
              <w:rPr>
                <w:rFonts w:ascii="Arial" w:hAnsi="Arial" w:cs="Arial"/>
                <w:lang w:val="en-US"/>
              </w:rPr>
              <w:t>500769</w:t>
            </w:r>
          </w:p>
        </w:tc>
        <w:tc>
          <w:tcPr>
            <w:tcW w:w="1905" w:type="dxa"/>
            <w:hideMark/>
          </w:tcPr>
          <w:p w14:paraId="5B7A6628"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R-squared</w:t>
            </w:r>
          </w:p>
        </w:tc>
        <w:tc>
          <w:tcPr>
            <w:tcW w:w="1906" w:type="dxa"/>
            <w:hideMark/>
          </w:tcPr>
          <w:p w14:paraId="01ADE061"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2E5100" w:rsidRPr="00090A18">
              <w:rPr>
                <w:rFonts w:ascii="Arial" w:hAnsi="Arial" w:cs="Arial"/>
                <w:lang w:val="en-US"/>
              </w:rPr>
              <w:t>230965</w:t>
            </w:r>
          </w:p>
        </w:tc>
      </w:tr>
      <w:tr w:rsidR="00251B98" w:rsidRPr="00090A18" w14:paraId="39B6E7A3" w14:textId="77777777" w:rsidTr="00562593">
        <w:tc>
          <w:tcPr>
            <w:tcW w:w="1905" w:type="dxa"/>
          </w:tcPr>
          <w:p w14:paraId="50527936"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p>
          <w:p w14:paraId="0700FA3B"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Adjusted R-squared</w:t>
            </w:r>
          </w:p>
        </w:tc>
        <w:tc>
          <w:tcPr>
            <w:tcW w:w="1905" w:type="dxa"/>
            <w:hideMark/>
          </w:tcPr>
          <w:p w14:paraId="4B8C6A05"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984C05" w:rsidRPr="00090A18">
              <w:rPr>
                <w:rFonts w:ascii="Arial" w:hAnsi="Arial" w:cs="Arial"/>
                <w:lang w:val="en-US"/>
              </w:rPr>
              <w:t>468561</w:t>
            </w:r>
          </w:p>
        </w:tc>
        <w:tc>
          <w:tcPr>
            <w:tcW w:w="1905" w:type="dxa"/>
            <w:hideMark/>
          </w:tcPr>
          <w:p w14:paraId="64CC31AF"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Adjusted R-squared</w:t>
            </w:r>
          </w:p>
        </w:tc>
        <w:tc>
          <w:tcPr>
            <w:tcW w:w="1906" w:type="dxa"/>
            <w:hideMark/>
          </w:tcPr>
          <w:p w14:paraId="089AE7AF"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2E5100" w:rsidRPr="00090A18">
              <w:rPr>
                <w:rFonts w:ascii="Arial" w:hAnsi="Arial" w:cs="Arial"/>
                <w:lang w:val="en-US"/>
              </w:rPr>
              <w:t>185728</w:t>
            </w:r>
          </w:p>
        </w:tc>
      </w:tr>
      <w:tr w:rsidR="00251B98" w:rsidRPr="00090A18" w14:paraId="79D5D1CA" w14:textId="77777777" w:rsidTr="00562593">
        <w:tc>
          <w:tcPr>
            <w:tcW w:w="1905" w:type="dxa"/>
          </w:tcPr>
          <w:p w14:paraId="38E1217F"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p>
          <w:p w14:paraId="2FCED157"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S.E. of regression</w:t>
            </w:r>
          </w:p>
        </w:tc>
        <w:tc>
          <w:tcPr>
            <w:tcW w:w="1905" w:type="dxa"/>
            <w:hideMark/>
          </w:tcPr>
          <w:p w14:paraId="2C41C608"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0.06</w:t>
            </w:r>
            <w:r w:rsidR="00984C05" w:rsidRPr="00090A18">
              <w:rPr>
                <w:rFonts w:ascii="Arial" w:hAnsi="Arial" w:cs="Arial"/>
                <w:lang w:val="en-US"/>
              </w:rPr>
              <w:t>3833</w:t>
            </w:r>
          </w:p>
        </w:tc>
        <w:tc>
          <w:tcPr>
            <w:tcW w:w="1905" w:type="dxa"/>
            <w:hideMark/>
          </w:tcPr>
          <w:p w14:paraId="7256E90F"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S.E. of regression</w:t>
            </w:r>
          </w:p>
        </w:tc>
        <w:tc>
          <w:tcPr>
            <w:tcW w:w="1906" w:type="dxa"/>
            <w:hideMark/>
          </w:tcPr>
          <w:p w14:paraId="0B37E195"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w:t>
            </w:r>
            <w:r w:rsidR="002E5100" w:rsidRPr="00090A18">
              <w:rPr>
                <w:rFonts w:ascii="Arial" w:hAnsi="Arial" w:cs="Arial"/>
                <w:lang w:val="en-US"/>
              </w:rPr>
              <w:t>88645</w:t>
            </w:r>
          </w:p>
        </w:tc>
      </w:tr>
      <w:tr w:rsidR="00251B98" w:rsidRPr="00090A18" w14:paraId="157DF54F" w14:textId="77777777" w:rsidTr="00562593">
        <w:tc>
          <w:tcPr>
            <w:tcW w:w="1905" w:type="dxa"/>
          </w:tcPr>
          <w:p w14:paraId="1ADE2939"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p>
          <w:p w14:paraId="57E0267A"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Durbin-Watson stat.</w:t>
            </w:r>
          </w:p>
        </w:tc>
        <w:tc>
          <w:tcPr>
            <w:tcW w:w="1905" w:type="dxa"/>
            <w:hideMark/>
          </w:tcPr>
          <w:p w14:paraId="4D310E0E"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1.902225</w:t>
            </w:r>
          </w:p>
        </w:tc>
        <w:tc>
          <w:tcPr>
            <w:tcW w:w="1905" w:type="dxa"/>
            <w:hideMark/>
          </w:tcPr>
          <w:p w14:paraId="6DF512F6"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Durbin-Watson stat.</w:t>
            </w:r>
          </w:p>
        </w:tc>
        <w:tc>
          <w:tcPr>
            <w:tcW w:w="1906" w:type="dxa"/>
            <w:hideMark/>
          </w:tcPr>
          <w:p w14:paraId="6DE56C70"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1.</w:t>
            </w:r>
            <w:r w:rsidR="002E5100" w:rsidRPr="00090A18">
              <w:rPr>
                <w:rFonts w:ascii="Arial" w:hAnsi="Arial" w:cs="Arial"/>
                <w:lang w:val="en-US"/>
              </w:rPr>
              <w:t>950126</w:t>
            </w:r>
          </w:p>
        </w:tc>
      </w:tr>
      <w:tr w:rsidR="00251B98" w:rsidRPr="00090A18" w14:paraId="2B18E55E" w14:textId="77777777" w:rsidTr="00562593">
        <w:tc>
          <w:tcPr>
            <w:tcW w:w="1905" w:type="dxa"/>
          </w:tcPr>
          <w:p w14:paraId="1C388B7A"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p>
          <w:p w14:paraId="404B8E81"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S.D. dependent. Var</w:t>
            </w:r>
          </w:p>
        </w:tc>
        <w:tc>
          <w:tcPr>
            <w:tcW w:w="1905" w:type="dxa"/>
            <w:hideMark/>
          </w:tcPr>
          <w:p w14:paraId="2DA6B3C5"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0.08</w:t>
            </w:r>
            <w:r w:rsidR="00984C05" w:rsidRPr="00090A18">
              <w:rPr>
                <w:rFonts w:ascii="Arial" w:hAnsi="Arial" w:cs="Arial"/>
                <w:lang w:val="en-US"/>
              </w:rPr>
              <w:t>7562</w:t>
            </w:r>
          </w:p>
        </w:tc>
        <w:tc>
          <w:tcPr>
            <w:tcW w:w="1905" w:type="dxa"/>
            <w:hideMark/>
          </w:tcPr>
          <w:p w14:paraId="6F4B5C4A"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S.D. dependent. Var</w:t>
            </w:r>
          </w:p>
        </w:tc>
        <w:tc>
          <w:tcPr>
            <w:tcW w:w="1906" w:type="dxa"/>
            <w:hideMark/>
          </w:tcPr>
          <w:p w14:paraId="392066EA" w14:textId="77777777" w:rsidR="00251B98" w:rsidRPr="00090A18" w:rsidRDefault="00251B98"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w:t>
            </w:r>
            <w:r w:rsidR="002E5100" w:rsidRPr="00090A18">
              <w:rPr>
                <w:rFonts w:ascii="Arial" w:hAnsi="Arial" w:cs="Arial"/>
                <w:lang w:val="en-US"/>
              </w:rPr>
              <w:t>098235</w:t>
            </w:r>
          </w:p>
        </w:tc>
      </w:tr>
      <w:tr w:rsidR="00251B98" w:rsidRPr="00090A18" w14:paraId="0FFCD3F5" w14:textId="77777777" w:rsidTr="00562593">
        <w:tc>
          <w:tcPr>
            <w:tcW w:w="1905" w:type="dxa"/>
            <w:hideMark/>
          </w:tcPr>
          <w:p w14:paraId="75241020"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 xml:space="preserve">Stability test </w:t>
            </w:r>
          </w:p>
          <w:p w14:paraId="038B98AF" w14:textId="77777777" w:rsidR="00251B98" w:rsidRPr="00090A18" w:rsidRDefault="00251B98"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(Chow Breakpoint Test)</w:t>
            </w:r>
            <w:r w:rsidRPr="00090A18">
              <w:rPr>
                <w:rFonts w:ascii="Arial" w:hAnsi="Arial" w:cs="Arial"/>
                <w:vertAlign w:val="superscript"/>
                <w:lang w:val="en-US"/>
              </w:rPr>
              <w:t>i</w:t>
            </w:r>
          </w:p>
        </w:tc>
        <w:tc>
          <w:tcPr>
            <w:tcW w:w="1905" w:type="dxa"/>
            <w:hideMark/>
          </w:tcPr>
          <w:p w14:paraId="1D6D2B32" w14:textId="77777777" w:rsidR="00251B98" w:rsidRPr="00090A18" w:rsidRDefault="00DA6E27"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(0.34</w:t>
            </w:r>
            <w:r w:rsidR="00251B98" w:rsidRPr="00090A18">
              <w:rPr>
                <w:rFonts w:ascii="Arial" w:hAnsi="Arial" w:cs="Arial"/>
                <w:lang w:val="en-US"/>
              </w:rPr>
              <w:t>)</w:t>
            </w:r>
            <w:r w:rsidRPr="00090A18">
              <w:rPr>
                <w:rFonts w:ascii="Arial" w:hAnsi="Arial" w:cs="Arial"/>
                <w:vertAlign w:val="superscript"/>
                <w:lang w:val="en-US"/>
              </w:rPr>
              <w:t xml:space="preserve"> i</w:t>
            </w:r>
          </w:p>
        </w:tc>
        <w:tc>
          <w:tcPr>
            <w:tcW w:w="1905" w:type="dxa"/>
            <w:hideMark/>
          </w:tcPr>
          <w:p w14:paraId="001EEACB" w14:textId="77777777" w:rsidR="00984C05" w:rsidRPr="00090A18" w:rsidRDefault="00984C05" w:rsidP="007C0617">
            <w:pPr>
              <w:tabs>
                <w:tab w:val="left" w:pos="720"/>
                <w:tab w:val="left" w:pos="1008"/>
              </w:tabs>
              <w:spacing w:after="200" w:line="276" w:lineRule="auto"/>
              <w:rPr>
                <w:rFonts w:ascii="Arial" w:eastAsia="Times New Roman" w:hAnsi="Arial" w:cs="Arial"/>
                <w:lang w:val="en-US" w:eastAsia="hr-HR"/>
              </w:rPr>
            </w:pPr>
            <w:r w:rsidRPr="00090A18">
              <w:rPr>
                <w:rFonts w:ascii="Arial" w:hAnsi="Arial" w:cs="Arial"/>
                <w:lang w:val="en-US"/>
              </w:rPr>
              <w:t xml:space="preserve">Stability test </w:t>
            </w:r>
          </w:p>
          <w:p w14:paraId="3D22281E" w14:textId="77777777" w:rsidR="00251B98" w:rsidRPr="00090A18" w:rsidRDefault="00984C05"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(Chow Breakpoint Test)</w:t>
            </w:r>
            <w:r w:rsidRPr="00090A18">
              <w:rPr>
                <w:rFonts w:ascii="Arial" w:hAnsi="Arial" w:cs="Arial"/>
                <w:vertAlign w:val="superscript"/>
                <w:lang w:val="en-US"/>
              </w:rPr>
              <w:t>i</w:t>
            </w:r>
          </w:p>
        </w:tc>
        <w:tc>
          <w:tcPr>
            <w:tcW w:w="1906" w:type="dxa"/>
            <w:hideMark/>
          </w:tcPr>
          <w:p w14:paraId="6269CD7B" w14:textId="77777777" w:rsidR="00251B98" w:rsidRPr="00090A18" w:rsidRDefault="00DA6E27" w:rsidP="007C0617">
            <w:pPr>
              <w:tabs>
                <w:tab w:val="left" w:pos="720"/>
                <w:tab w:val="left" w:pos="1008"/>
              </w:tabs>
              <w:spacing w:after="200" w:line="276" w:lineRule="auto"/>
              <w:jc w:val="center"/>
              <w:rPr>
                <w:rFonts w:ascii="Arial" w:eastAsia="Times New Roman" w:hAnsi="Arial" w:cs="Arial"/>
                <w:lang w:val="en-US" w:eastAsia="hr-HR"/>
              </w:rPr>
            </w:pPr>
            <w:r w:rsidRPr="00090A18">
              <w:rPr>
                <w:rFonts w:ascii="Arial" w:hAnsi="Arial" w:cs="Arial"/>
                <w:lang w:val="en-US"/>
              </w:rPr>
              <w:t>(0.46)</w:t>
            </w:r>
            <w:r w:rsidRPr="00090A18">
              <w:rPr>
                <w:rFonts w:ascii="Arial" w:hAnsi="Arial" w:cs="Arial"/>
                <w:vertAlign w:val="superscript"/>
                <w:lang w:val="en-US"/>
              </w:rPr>
              <w:t xml:space="preserve"> i</w:t>
            </w:r>
          </w:p>
        </w:tc>
      </w:tr>
      <w:tr w:rsidR="00251B98" w:rsidRPr="00090A18" w14:paraId="0D61BA0E" w14:textId="77777777" w:rsidTr="00562593">
        <w:tc>
          <w:tcPr>
            <w:tcW w:w="7621" w:type="dxa"/>
            <w:gridSpan w:val="4"/>
          </w:tcPr>
          <w:p w14:paraId="715C2389" w14:textId="77777777" w:rsidR="00251B98" w:rsidRPr="00090A18" w:rsidRDefault="007C0617" w:rsidP="007C0617">
            <w:pPr>
              <w:tabs>
                <w:tab w:val="left" w:pos="720"/>
                <w:tab w:val="left" w:pos="1008"/>
              </w:tabs>
              <w:spacing w:after="200" w:line="276" w:lineRule="auto"/>
              <w:jc w:val="both"/>
              <w:rPr>
                <w:rFonts w:ascii="Arial" w:hAnsi="Arial" w:cs="Arial"/>
                <w:i/>
                <w:sz w:val="20"/>
                <w:szCs w:val="20"/>
                <w:lang w:val="en-US"/>
              </w:rPr>
            </w:pPr>
            <w:r w:rsidRPr="00090A18">
              <w:rPr>
                <w:rFonts w:ascii="Arial" w:hAnsi="Arial" w:cs="Arial"/>
                <w:i/>
                <w:sz w:val="20"/>
                <w:szCs w:val="20"/>
                <w:lang w:val="en-US"/>
              </w:rPr>
              <w:t>V</w:t>
            </w:r>
            <w:r w:rsidR="00251B98" w:rsidRPr="00090A18">
              <w:rPr>
                <w:rFonts w:ascii="Arial" w:hAnsi="Arial" w:cs="Arial"/>
                <w:i/>
                <w:sz w:val="20"/>
                <w:szCs w:val="20"/>
                <w:lang w:val="en-US"/>
              </w:rPr>
              <w:t>ariables:</w:t>
            </w:r>
          </w:p>
          <w:p w14:paraId="76CC2E2F" w14:textId="77777777" w:rsidR="00251B98" w:rsidRPr="00090A18" w:rsidRDefault="00251B98" w:rsidP="007C0617">
            <w:pPr>
              <w:tabs>
                <w:tab w:val="left" w:pos="720"/>
                <w:tab w:val="left" w:pos="1008"/>
              </w:tabs>
              <w:spacing w:after="200" w:line="276" w:lineRule="auto"/>
              <w:rPr>
                <w:rFonts w:ascii="Arial" w:hAnsi="Arial" w:cs="Arial"/>
                <w:i/>
                <w:sz w:val="20"/>
                <w:szCs w:val="20"/>
                <w:lang w:val="en-US"/>
              </w:rPr>
            </w:pPr>
            <w:r w:rsidRPr="00090A18">
              <w:rPr>
                <w:rFonts w:ascii="Arial" w:hAnsi="Arial" w:cs="Arial"/>
                <w:i/>
                <w:sz w:val="20"/>
                <w:szCs w:val="20"/>
                <w:lang w:val="en-US"/>
              </w:rPr>
              <w:lastRenderedPageBreak/>
              <w:t xml:space="preserve"> CAP: capital inflow expressed in percentage of GDP; G</w:t>
            </w:r>
            <w:r w:rsidR="001B5D89" w:rsidRPr="00090A18">
              <w:rPr>
                <w:rFonts w:ascii="Arial" w:hAnsi="Arial" w:cs="Arial"/>
                <w:i/>
                <w:sz w:val="20"/>
                <w:szCs w:val="20"/>
                <w:lang w:val="en-US"/>
              </w:rPr>
              <w:t>DP: expressed in annual percentage change</w:t>
            </w:r>
            <w:r w:rsidRPr="00090A18">
              <w:rPr>
                <w:rFonts w:ascii="Arial" w:hAnsi="Arial" w:cs="Arial"/>
                <w:i/>
                <w:sz w:val="20"/>
                <w:szCs w:val="20"/>
                <w:lang w:val="en-US"/>
              </w:rPr>
              <w:t>; INT - interest rate p.a.; CPI: consumer price index;</w:t>
            </w:r>
            <w:r w:rsidR="00EB2EC2" w:rsidRPr="00090A18">
              <w:rPr>
                <w:rFonts w:ascii="Arial" w:hAnsi="Arial" w:cs="Arial"/>
                <w:i/>
                <w:sz w:val="20"/>
                <w:szCs w:val="20"/>
                <w:lang w:val="en-US"/>
              </w:rPr>
              <w:t xml:space="preserve"> </w:t>
            </w:r>
            <w:r w:rsidR="001B5D89" w:rsidRPr="00090A18">
              <w:rPr>
                <w:rFonts w:ascii="Arial" w:hAnsi="Arial" w:cs="Arial"/>
                <w:i/>
                <w:sz w:val="20"/>
                <w:szCs w:val="20"/>
                <w:lang w:val="en-US"/>
              </w:rPr>
              <w:t>EXP: export of good as and services expressed as a contribut</w:t>
            </w:r>
            <w:r w:rsidR="00592E67" w:rsidRPr="00090A18">
              <w:rPr>
                <w:rFonts w:ascii="Arial" w:hAnsi="Arial" w:cs="Arial"/>
                <w:i/>
                <w:sz w:val="20"/>
                <w:szCs w:val="20"/>
                <w:lang w:val="en-US"/>
              </w:rPr>
              <w:t>ion to GDP in percentage point</w:t>
            </w:r>
          </w:p>
          <w:p w14:paraId="1214C52D" w14:textId="77777777" w:rsidR="00251B98" w:rsidRPr="00090A18" w:rsidRDefault="00251B98" w:rsidP="007C0617">
            <w:pPr>
              <w:tabs>
                <w:tab w:val="left" w:pos="720"/>
                <w:tab w:val="left" w:pos="1008"/>
              </w:tabs>
              <w:spacing w:after="200" w:line="276" w:lineRule="auto"/>
              <w:jc w:val="both"/>
              <w:rPr>
                <w:rFonts w:ascii="Arial" w:hAnsi="Arial" w:cs="Arial"/>
                <w:i/>
                <w:sz w:val="20"/>
                <w:szCs w:val="20"/>
                <w:lang w:val="en-US"/>
              </w:rPr>
            </w:pPr>
            <w:r w:rsidRPr="00090A18">
              <w:rPr>
                <w:rFonts w:ascii="Arial" w:hAnsi="Arial" w:cs="Arial"/>
                <w:i/>
                <w:sz w:val="20"/>
                <w:szCs w:val="20"/>
                <w:lang w:val="en-US"/>
              </w:rPr>
              <w:t>Notes:</w:t>
            </w:r>
          </w:p>
          <w:p w14:paraId="41DD0BD1" w14:textId="77777777" w:rsidR="00251B98" w:rsidRPr="00090A18" w:rsidRDefault="00251B98" w:rsidP="007C0617">
            <w:pPr>
              <w:tabs>
                <w:tab w:val="left" w:pos="720"/>
                <w:tab w:val="left" w:pos="1008"/>
              </w:tabs>
              <w:spacing w:after="200" w:line="276" w:lineRule="auto"/>
              <w:jc w:val="both"/>
              <w:rPr>
                <w:rFonts w:ascii="Arial" w:hAnsi="Arial" w:cs="Arial"/>
                <w:i/>
                <w:sz w:val="20"/>
                <w:szCs w:val="20"/>
                <w:lang w:val="en-US"/>
              </w:rPr>
            </w:pPr>
            <w:r w:rsidRPr="00090A18">
              <w:rPr>
                <w:rFonts w:ascii="Arial" w:hAnsi="Arial" w:cs="Arial"/>
                <w:i/>
                <w:sz w:val="20"/>
                <w:szCs w:val="20"/>
                <w:lang w:val="en-US"/>
              </w:rPr>
              <w:t xml:space="preserve">The time lag of the variables is given in subscript; (probabilities)*** are in </w:t>
            </w:r>
            <w:r w:rsidR="001B5D89" w:rsidRPr="00090A18">
              <w:rPr>
                <w:rFonts w:ascii="Arial" w:hAnsi="Arial" w:cs="Arial"/>
                <w:i/>
                <w:sz w:val="20"/>
                <w:szCs w:val="20"/>
                <w:lang w:val="en-US"/>
              </w:rPr>
              <w:t>parentheses below</w:t>
            </w:r>
            <w:r w:rsidRPr="00090A18">
              <w:rPr>
                <w:rFonts w:ascii="Arial" w:hAnsi="Arial" w:cs="Arial"/>
                <w:i/>
                <w:sz w:val="20"/>
                <w:szCs w:val="20"/>
                <w:lang w:val="en-US"/>
              </w:rPr>
              <w:t>.</w:t>
            </w:r>
          </w:p>
          <w:p w14:paraId="581B1ACE" w14:textId="77777777" w:rsidR="00251B98" w:rsidRPr="00090A18" w:rsidRDefault="00251B98" w:rsidP="007C0617">
            <w:pPr>
              <w:tabs>
                <w:tab w:val="left" w:pos="720"/>
                <w:tab w:val="left" w:pos="1008"/>
              </w:tabs>
              <w:spacing w:after="200" w:line="276" w:lineRule="auto"/>
              <w:jc w:val="both"/>
              <w:rPr>
                <w:rFonts w:ascii="Arial" w:hAnsi="Arial" w:cs="Arial"/>
                <w:i/>
                <w:sz w:val="20"/>
                <w:szCs w:val="20"/>
                <w:lang w:val="en-US"/>
              </w:rPr>
            </w:pPr>
            <w:r w:rsidRPr="00090A18">
              <w:rPr>
                <w:rFonts w:ascii="Arial" w:hAnsi="Arial" w:cs="Arial"/>
                <w:i/>
                <w:sz w:val="20"/>
                <w:szCs w:val="20"/>
                <w:lang w:val="en-US"/>
              </w:rPr>
              <w:t>Significance levels are denoted as: *** significant at 1%; ** significant at 5%; * significant at 10%.</w:t>
            </w:r>
          </w:p>
          <w:p w14:paraId="22E02E6C" w14:textId="77777777" w:rsidR="00251B98" w:rsidRPr="00090A18" w:rsidRDefault="00251B98" w:rsidP="007C0617">
            <w:pPr>
              <w:tabs>
                <w:tab w:val="left" w:pos="720"/>
                <w:tab w:val="left" w:pos="1008"/>
                <w:tab w:val="left" w:pos="3240"/>
              </w:tabs>
              <w:spacing w:after="200" w:line="276" w:lineRule="auto"/>
              <w:rPr>
                <w:rFonts w:ascii="Arial" w:hAnsi="Arial" w:cs="Arial"/>
                <w:b/>
                <w:i/>
                <w:sz w:val="20"/>
                <w:szCs w:val="20"/>
                <w:lang w:val="en-US"/>
              </w:rPr>
            </w:pPr>
            <w:r w:rsidRPr="00090A18">
              <w:rPr>
                <w:rFonts w:ascii="Arial" w:hAnsi="Arial" w:cs="Arial"/>
                <w:i/>
                <w:sz w:val="20"/>
                <w:szCs w:val="20"/>
                <w:lang w:val="en-US"/>
              </w:rPr>
              <w:t xml:space="preserve"> </w:t>
            </w:r>
            <w:r w:rsidRPr="00090A18">
              <w:rPr>
                <w:rFonts w:ascii="Arial" w:hAnsi="Arial" w:cs="Arial"/>
                <w:i/>
                <w:sz w:val="20"/>
                <w:szCs w:val="20"/>
                <w:vertAlign w:val="superscript"/>
                <w:lang w:val="en-US"/>
              </w:rPr>
              <w:t>i</w:t>
            </w:r>
            <w:r w:rsidRPr="00090A18">
              <w:rPr>
                <w:rFonts w:ascii="Arial" w:hAnsi="Arial" w:cs="Arial"/>
                <w:i/>
                <w:sz w:val="20"/>
                <w:szCs w:val="20"/>
                <w:lang w:val="en-US"/>
              </w:rPr>
              <w:t xml:space="preserve"> Probability of the C</w:t>
            </w:r>
            <w:r w:rsidR="00DA6E27" w:rsidRPr="00090A18">
              <w:rPr>
                <w:rFonts w:ascii="Arial" w:hAnsi="Arial" w:cs="Arial"/>
                <w:i/>
                <w:sz w:val="20"/>
                <w:szCs w:val="20"/>
                <w:lang w:val="en-US"/>
              </w:rPr>
              <w:t>hi-Square distribution</w:t>
            </w:r>
            <w:r w:rsidR="00DA6E27" w:rsidRPr="00090A18">
              <w:rPr>
                <w:rFonts w:ascii="Arial" w:hAnsi="Arial" w:cs="Arial"/>
                <w:sz w:val="20"/>
                <w:szCs w:val="20"/>
                <w:lang w:val="en-US"/>
              </w:rPr>
              <w:t xml:space="preserve"> </w:t>
            </w:r>
          </w:p>
        </w:tc>
      </w:tr>
    </w:tbl>
    <w:p w14:paraId="792B763C" w14:textId="77777777" w:rsidR="00251B98" w:rsidRPr="00090A18" w:rsidRDefault="00562593" w:rsidP="007C0617">
      <w:pPr>
        <w:tabs>
          <w:tab w:val="left" w:pos="720"/>
          <w:tab w:val="left" w:pos="1008"/>
        </w:tabs>
        <w:jc w:val="both"/>
        <w:outlineLvl w:val="0"/>
        <w:rPr>
          <w:rFonts w:ascii="Arial" w:eastAsia="Times New Roman" w:hAnsi="Arial" w:cs="Arial"/>
          <w:lang w:val="en-US" w:eastAsia="hr-HR"/>
        </w:rPr>
      </w:pPr>
      <w:r w:rsidRPr="00090A18">
        <w:rPr>
          <w:rFonts w:ascii="Arial" w:eastAsia="Times New Roman" w:hAnsi="Arial" w:cs="Arial"/>
          <w:lang w:val="en-US" w:eastAsia="hr-HR"/>
        </w:rPr>
        <w:lastRenderedPageBreak/>
        <w:t>Source: authors.</w:t>
      </w:r>
    </w:p>
    <w:p w14:paraId="1363E31F" w14:textId="77777777" w:rsidR="00C95522" w:rsidRPr="00090A18" w:rsidRDefault="00C95522" w:rsidP="00C95522">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Results of Chow stability test in OLS estimation of Bulgarian and Croatian stock markets (see Table 2) give us positive evidence about the structural brakes in accordance to date of EU entry. Bulgaria became EU member state in 1</w:t>
      </w:r>
      <w:r w:rsidRPr="00090A18">
        <w:rPr>
          <w:rFonts w:ascii="Arial" w:eastAsia="Times New Roman" w:hAnsi="Arial" w:cs="Arial"/>
          <w:vertAlign w:val="superscript"/>
          <w:lang w:val="en-US" w:eastAsia="hr-HR"/>
        </w:rPr>
        <w:t>st</w:t>
      </w:r>
      <w:r w:rsidRPr="00090A18">
        <w:rPr>
          <w:rFonts w:ascii="Arial" w:eastAsia="Times New Roman" w:hAnsi="Arial" w:cs="Arial"/>
          <w:lang w:val="en-US" w:eastAsia="hr-HR"/>
        </w:rPr>
        <w:t xml:space="preserve"> of January of 2007 (0,34 probability) and started to face acceleration of positive economic activities (rise od GDP, industrial production, export). Croatia became EU member in 1</w:t>
      </w:r>
      <w:r w:rsidRPr="00090A18">
        <w:rPr>
          <w:rFonts w:ascii="Arial" w:eastAsia="Times New Roman" w:hAnsi="Arial" w:cs="Arial"/>
          <w:vertAlign w:val="superscript"/>
          <w:lang w:val="en-US" w:eastAsia="hr-HR"/>
        </w:rPr>
        <w:t>st</w:t>
      </w:r>
      <w:r w:rsidRPr="00090A18">
        <w:rPr>
          <w:rFonts w:ascii="Arial" w:eastAsia="Times New Roman" w:hAnsi="Arial" w:cs="Arial"/>
          <w:lang w:val="en-US" w:eastAsia="hr-HR"/>
        </w:rPr>
        <w:t xml:space="preserve"> July of 2013 (0,46 probability) and also faced acceleration of positive economic activities but rather slower then Bulgaria. </w:t>
      </w:r>
    </w:p>
    <w:p w14:paraId="7A0CD188" w14:textId="77777777" w:rsidR="00AD6C41" w:rsidRPr="00090A18" w:rsidRDefault="00AD6C41" w:rsidP="007C0617">
      <w:pPr>
        <w:tabs>
          <w:tab w:val="left" w:pos="720"/>
          <w:tab w:val="left" w:pos="1008"/>
        </w:tabs>
        <w:jc w:val="both"/>
        <w:outlineLvl w:val="0"/>
        <w:rPr>
          <w:rFonts w:ascii="Arial" w:eastAsia="Times New Roman" w:hAnsi="Arial" w:cs="Arial"/>
          <w:lang w:val="en-US" w:eastAsia="hr-HR"/>
        </w:rPr>
      </w:pPr>
      <w:r w:rsidRPr="00090A18">
        <w:rPr>
          <w:rFonts w:ascii="Arial" w:eastAsia="Times New Roman" w:hAnsi="Arial" w:cs="Arial"/>
          <w:i/>
          <w:lang w:val="en-US" w:eastAsia="hr-HR"/>
        </w:rPr>
        <w:t>Bulgaria</w:t>
      </w:r>
      <w:r w:rsidRPr="00090A18">
        <w:rPr>
          <w:rFonts w:ascii="Arial" w:eastAsia="Times New Roman" w:hAnsi="Arial" w:cs="Arial"/>
          <w:lang w:val="en-US" w:eastAsia="hr-HR"/>
        </w:rPr>
        <w:t xml:space="preserve"> saw more then 30% increase in stock indices due to EU accession.  </w:t>
      </w:r>
      <w:r w:rsidRPr="00090A18">
        <w:rPr>
          <w:rFonts w:ascii="Arial" w:eastAsia="Calibri" w:hAnsi="Arial" w:cs="Arial"/>
          <w:iCs/>
          <w:lang w:val="en-US" w:eastAsia="hr-HR"/>
        </w:rPr>
        <w:t xml:space="preserve">Since 1999, </w:t>
      </w:r>
      <w:r w:rsidRPr="00090A18">
        <w:rPr>
          <w:rFonts w:ascii="Arial" w:eastAsia="Calibri" w:hAnsi="Arial" w:cs="Arial"/>
          <w:i/>
          <w:iCs/>
          <w:lang w:val="en-US" w:eastAsia="hr-HR"/>
        </w:rPr>
        <w:t>Croatia’s</w:t>
      </w:r>
      <w:r w:rsidRPr="00090A18">
        <w:rPr>
          <w:rFonts w:ascii="Arial" w:eastAsia="Calibri" w:hAnsi="Arial" w:cs="Arial"/>
          <w:iCs/>
          <w:lang w:val="en-US" w:eastAsia="hr-HR"/>
        </w:rPr>
        <w:t xml:space="preserve"> FDI inflows increased by up to EUR 1 billion and increased especially in 2005 (after its announcement as an EU candidate country). The great majority of FDI inflow in Croatia was through the acquisition of existing companies (mostly through privatization in the service sector, telecommunications and financial services). </w:t>
      </w:r>
    </w:p>
    <w:p w14:paraId="58CF543A" w14:textId="77777777" w:rsidR="00D33943" w:rsidRPr="00090A18" w:rsidRDefault="00AD6C41" w:rsidP="00D33943">
      <w:pPr>
        <w:tabs>
          <w:tab w:val="left" w:pos="720"/>
          <w:tab w:val="left" w:pos="1008"/>
        </w:tabs>
        <w:jc w:val="both"/>
        <w:outlineLvl w:val="0"/>
        <w:rPr>
          <w:rFonts w:ascii="Arial" w:eastAsia="Times New Roman" w:hAnsi="Arial" w:cs="Arial"/>
          <w:lang w:val="en-US" w:eastAsia="hr-HR"/>
        </w:rPr>
      </w:pPr>
      <w:r w:rsidRPr="00090A18">
        <w:rPr>
          <w:rFonts w:ascii="Arial" w:eastAsia="Calibri" w:hAnsi="Arial" w:cs="Arial"/>
          <w:lang w:val="en-US" w:eastAsia="hr-HR"/>
        </w:rPr>
        <w:t xml:space="preserve">It provides us with evidence that the </w:t>
      </w:r>
      <w:r w:rsidRPr="00090A18">
        <w:rPr>
          <w:rFonts w:ascii="Arial" w:eastAsia="Times New Roman" w:hAnsi="Arial" w:cs="Arial"/>
          <w:lang w:val="en-US" w:eastAsia="hr-HR"/>
        </w:rPr>
        <w:t>accession of the SEE countries in the EU required the implementation of reforms that lead to further economic expansion. Probably the most important factors driving the acceleration of financial integration are related to the policy measures undertaken by the “new” member states in order to meet European financial standards, including the liberalization of capital accounts, as well as legal and institutional reforms (see Poghos</w:t>
      </w:r>
      <w:r w:rsidR="00DC5B6C" w:rsidRPr="00090A18">
        <w:rPr>
          <w:rFonts w:ascii="Arial" w:eastAsia="Times New Roman" w:hAnsi="Arial" w:cs="Arial"/>
          <w:lang w:val="en-US" w:eastAsia="hr-HR"/>
        </w:rPr>
        <w:t>s</w:t>
      </w:r>
      <w:r w:rsidRPr="00090A18">
        <w:rPr>
          <w:rFonts w:ascii="Arial" w:eastAsia="Times New Roman" w:hAnsi="Arial" w:cs="Arial"/>
          <w:lang w:val="en-US" w:eastAsia="hr-HR"/>
        </w:rPr>
        <w:t>ian 2008).</w:t>
      </w:r>
      <w:r w:rsidR="00D33943" w:rsidRPr="00090A18">
        <w:rPr>
          <w:rFonts w:ascii="Arial" w:eastAsia="Times New Roman" w:hAnsi="Arial" w:cs="Arial"/>
          <w:lang w:val="en-US" w:eastAsia="hr-HR"/>
        </w:rPr>
        <w:t xml:space="preserve"> Obviously, the liberalization of the market is connected with EU accession and other regional and international trade integration The process of integration should increase cross-border investments among countries, which have joined the EU and are in the </w:t>
      </w:r>
      <w:r w:rsidR="00D33943" w:rsidRPr="00090A18">
        <w:rPr>
          <w:rFonts w:ascii="Arial" w:eastAsia="Times New Roman" w:hAnsi="Arial" w:cs="Arial"/>
          <w:lang w:val="en-US" w:eastAsia="hr-HR"/>
        </w:rPr>
        <w:lastRenderedPageBreak/>
        <w:t xml:space="preserve">process of joining the European and Economic Monetary Union (see Baltzer et al. 2008).  </w:t>
      </w:r>
    </w:p>
    <w:p w14:paraId="24DF1ECC" w14:textId="4982555E" w:rsidR="00AD6C41" w:rsidRPr="00090A18" w:rsidRDefault="00AD6C41"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 xml:space="preserve">GDP growth presumes a rise of the industrial production index and the rise of trade due to closer trade connections between the EU </w:t>
      </w:r>
      <w:commentRangeStart w:id="2"/>
      <w:r w:rsidRPr="00090A18">
        <w:rPr>
          <w:rFonts w:ascii="Arial" w:eastAsia="Times New Roman" w:hAnsi="Arial" w:cs="Arial"/>
          <w:lang w:val="en-US" w:eastAsia="hr-HR"/>
        </w:rPr>
        <w:t>and</w:t>
      </w:r>
      <w:commentRangeEnd w:id="2"/>
      <w:r w:rsidR="002E3F61" w:rsidRPr="00090A18">
        <w:rPr>
          <w:rStyle w:val="CommentReference"/>
        </w:rPr>
        <w:commentReference w:id="2"/>
      </w:r>
      <w:r w:rsidRPr="00090A18">
        <w:rPr>
          <w:rFonts w:ascii="Arial" w:eastAsia="Times New Roman" w:hAnsi="Arial" w:cs="Arial"/>
          <w:lang w:val="en-US" w:eastAsia="hr-HR"/>
        </w:rPr>
        <w:t xml:space="preserve"> candidate</w:t>
      </w:r>
      <w:r w:rsidR="00737417" w:rsidRPr="00090A18">
        <w:rPr>
          <w:rFonts w:ascii="Arial" w:eastAsia="Times New Roman" w:hAnsi="Arial" w:cs="Arial"/>
          <w:lang w:val="en-US" w:eastAsia="hr-HR"/>
        </w:rPr>
        <w:t xml:space="preserve">  </w:t>
      </w:r>
      <w:r w:rsidRPr="00090A18">
        <w:rPr>
          <w:rFonts w:ascii="Arial" w:eastAsia="Times New Roman" w:hAnsi="Arial" w:cs="Arial"/>
          <w:lang w:val="en-US" w:eastAsia="hr-HR"/>
        </w:rPr>
        <w:t xml:space="preserve">countries (see </w:t>
      </w:r>
      <w:r w:rsidRPr="00090A18">
        <w:rPr>
          <w:rFonts w:ascii="Arial" w:eastAsia="Times New Roman" w:hAnsi="Arial" w:cs="Arial"/>
          <w:lang w:eastAsia="hr-HR"/>
        </w:rPr>
        <w:t>Onay 2007)</w:t>
      </w:r>
      <w:r w:rsidRPr="00090A18">
        <w:rPr>
          <w:rFonts w:ascii="Arial" w:eastAsia="Times New Roman" w:hAnsi="Arial" w:cs="Arial"/>
          <w:lang w:val="en-US" w:eastAsia="hr-HR"/>
        </w:rPr>
        <w:t xml:space="preserve">. Openness to </w:t>
      </w:r>
      <w:r w:rsidRPr="00090A18">
        <w:rPr>
          <w:rFonts w:ascii="Arial" w:eastAsia="Times New Roman" w:hAnsi="Arial" w:cs="Arial"/>
          <w:lang w:eastAsia="hr-HR"/>
        </w:rPr>
        <w:t xml:space="preserve">international trade, domestic credit supply and GDP are quite successful candidates among the drivers of international financial integration. </w:t>
      </w:r>
      <w:r w:rsidRPr="00090A18">
        <w:rPr>
          <w:rFonts w:ascii="Arial" w:eastAsia="Times New Roman" w:hAnsi="Arial" w:cs="Arial"/>
          <w:lang w:val="en-US" w:eastAsia="hr-HR"/>
        </w:rPr>
        <w:t xml:space="preserve">EU accession provides better market access for Southeastern European firms and increased assistance from the EU budget, which leads to greater consumer confidence in light of the prospects of EU membership (see Dvorak and Podpiera 2005). </w:t>
      </w:r>
      <w:r w:rsidRPr="00090A18">
        <w:rPr>
          <w:rFonts w:ascii="Arial" w:eastAsia="Times New Roman" w:hAnsi="Arial" w:cs="Arial"/>
          <w:lang w:eastAsia="hr-HR"/>
        </w:rPr>
        <w:t>Beyond direct trade links, openness in general (possible through indirect trade links) make economies less prone to move with others (see Onay 2007).</w:t>
      </w:r>
      <w:r w:rsidRPr="00090A18">
        <w:rPr>
          <w:rFonts w:ascii="Arial" w:eastAsia="Times New Roman" w:hAnsi="Arial" w:cs="Arial"/>
          <w:lang w:val="en-US" w:eastAsia="hr-HR"/>
        </w:rPr>
        <w:t xml:space="preserve"> </w:t>
      </w:r>
    </w:p>
    <w:p w14:paraId="1EAD36E7" w14:textId="1BE1A116" w:rsidR="007006F8" w:rsidRPr="00090A18" w:rsidRDefault="000C318D" w:rsidP="007C0617">
      <w:pPr>
        <w:tabs>
          <w:tab w:val="left" w:pos="720"/>
          <w:tab w:val="left" w:pos="1008"/>
        </w:tabs>
        <w:jc w:val="both"/>
        <w:rPr>
          <w:rFonts w:ascii="Arial" w:eastAsia="Times New Roman" w:hAnsi="Arial" w:cs="Arial"/>
          <w:lang w:val="en-US" w:eastAsia="hr-HR"/>
        </w:rPr>
      </w:pPr>
      <w:r w:rsidRPr="00090A18">
        <w:rPr>
          <w:rFonts w:ascii="Arial" w:hAnsi="Arial" w:cs="Arial"/>
          <w:i/>
        </w:rPr>
        <w:t>Bulgaria</w:t>
      </w:r>
      <w:r w:rsidRPr="00090A18">
        <w:rPr>
          <w:rFonts w:ascii="Arial" w:hAnsi="Arial" w:cs="Arial"/>
        </w:rPr>
        <w:t xml:space="preserve"> (together with Romania) signed the EU Accession Treaty in April, 2005 with entry into the EU scheduled for January 2007. Bulgaria joined the EU in 2007 and averaged more than 6% growth from 2004 to 2008, mostly through significant amounts of foreign direct investment following EU accession. The global recession in 2009 reduced exports, capital inflows and industrial production, and GDP contracted by approximately 5%. In 2010, the situation in Bulgaria started to improve with increased exports, a well-capitalized liquid banking sector, and strong fiscal metrics. But domestic demand weakness is still a sign of a slow economy, just as a lack of control on domestic monetary conditions and a large private sector debt are. Despite Bulgaria‘s government commitment to economic reforms and responsible fiscal planning, the general government deficit remains very high, which caused a delay in the application for ERM II entry (SEE </w:t>
      </w:r>
      <w:r w:rsidR="00737417" w:rsidRPr="00090A18">
        <w:rPr>
          <w:rFonts w:ascii="Arial" w:hAnsi="Arial" w:cs="Arial"/>
        </w:rPr>
        <w:t>Banking Study,</w:t>
      </w:r>
      <w:r w:rsidRPr="00090A18">
        <w:rPr>
          <w:rFonts w:ascii="Arial" w:hAnsi="Arial" w:cs="Arial"/>
        </w:rPr>
        <w:t xml:space="preserve"> 2015).</w:t>
      </w:r>
    </w:p>
    <w:p w14:paraId="761FF7A2" w14:textId="0D2DC4CD" w:rsidR="007006F8" w:rsidRPr="00090A18" w:rsidRDefault="007006F8" w:rsidP="007006F8">
      <w:pPr>
        <w:tabs>
          <w:tab w:val="left" w:pos="720"/>
          <w:tab w:val="left" w:pos="1008"/>
        </w:tabs>
        <w:jc w:val="both"/>
        <w:rPr>
          <w:rFonts w:ascii="Arial" w:eastAsia="Times New Roman" w:hAnsi="Arial" w:cs="Arial"/>
          <w:lang w:val="en-US" w:eastAsia="hr-HR"/>
        </w:rPr>
      </w:pPr>
      <w:r w:rsidRPr="00090A18">
        <w:rPr>
          <w:rFonts w:ascii="Arial" w:hAnsi="Arial" w:cs="Arial"/>
        </w:rPr>
        <w:t>From 2009 to 2012</w:t>
      </w:r>
      <w:r w:rsidRPr="00090A18">
        <w:rPr>
          <w:rFonts w:ascii="Arial" w:hAnsi="Arial" w:cs="Arial"/>
          <w:i/>
        </w:rPr>
        <w:t xml:space="preserve"> Croatia</w:t>
      </w:r>
      <w:r w:rsidRPr="00090A18">
        <w:rPr>
          <w:rFonts w:ascii="Arial" w:hAnsi="Arial" w:cs="Arial"/>
        </w:rPr>
        <w:t xml:space="preserve"> have been lost 11% of the real GDP, while personal consumption is reduced for 35%, and investments for 11%. Thus, poor results of the Croatian economy in the period from 2008 to 2013 generated increase of u</w:t>
      </w:r>
      <w:r w:rsidR="00DC5B6C" w:rsidRPr="00090A18">
        <w:rPr>
          <w:rFonts w:ascii="Arial" w:hAnsi="Arial" w:cs="Arial"/>
        </w:rPr>
        <w:t xml:space="preserve">nemployment and government debt. </w:t>
      </w:r>
      <w:r w:rsidRPr="00090A18">
        <w:rPr>
          <w:rFonts w:ascii="Arial" w:hAnsi="Arial" w:cs="Arial"/>
        </w:rPr>
        <w:t>The focus of the new Croatian government was on domestic economic and social policies, with the promise to pull the country out of the crisis. The government introduced a tax reform and began the restructuring of large state-owned companies, but projects that were supposed to boost the economy, such as investments, fell short. Moreover, the government failed to implement structural reforms to reduce public spending, and at the end of 2012, this failure resulted in a reduction of Croatia’s debt rating. In 2011, Croatia</w:t>
      </w:r>
      <w:r w:rsidR="00AF6077" w:rsidRPr="00090A18">
        <w:rPr>
          <w:rFonts w:ascii="Arial" w:hAnsi="Arial" w:cs="Arial"/>
        </w:rPr>
        <w:t>'</w:t>
      </w:r>
      <w:r w:rsidRPr="00090A18">
        <w:rPr>
          <w:rFonts w:ascii="Arial" w:hAnsi="Arial" w:cs="Arial"/>
        </w:rPr>
        <w:t xml:space="preserve">s left government and other state bodies have started implementing demanding reforms, which have resulted in the slow rise of GDP Croatia become EU member in 1st of July </w:t>
      </w:r>
      <w:r w:rsidRPr="00090A18">
        <w:rPr>
          <w:rFonts w:ascii="Arial" w:hAnsi="Arial" w:cs="Arial"/>
        </w:rPr>
        <w:lastRenderedPageBreak/>
        <w:t>2013. Slow rise of GDP in 2015 for the first time after 6 years and faces a better entrepreneurial climate, rise of private consumption, rise of export and industrial production.</w:t>
      </w:r>
    </w:p>
    <w:p w14:paraId="436BF923" w14:textId="77777777" w:rsidR="00AD6C41" w:rsidRPr="00090A18" w:rsidRDefault="00AD6C41" w:rsidP="007C0617">
      <w:pPr>
        <w:autoSpaceDE w:val="0"/>
        <w:autoSpaceDN w:val="0"/>
        <w:adjustRightInd w:val="0"/>
        <w:jc w:val="both"/>
        <w:rPr>
          <w:rFonts w:ascii="Arial" w:eastAsia="Times New Roman" w:hAnsi="Arial" w:cs="Arial"/>
          <w:lang w:val="en-US" w:eastAsia="hr-HR"/>
        </w:rPr>
      </w:pPr>
      <w:r w:rsidRPr="00090A18">
        <w:rPr>
          <w:rFonts w:ascii="Arial" w:eastAsia="Times New Roman" w:hAnsi="Arial" w:cs="Arial"/>
          <w:lang w:val="en-US" w:eastAsia="hr-HR"/>
        </w:rPr>
        <w:t xml:space="preserve">The </w:t>
      </w:r>
      <w:r w:rsidRPr="00090A18">
        <w:rPr>
          <w:rFonts w:ascii="Arial" w:eastAsia="Calibri" w:hAnsi="Arial" w:cs="Arial"/>
          <w:lang w:val="en-US" w:eastAsia="hr-HR"/>
        </w:rPr>
        <w:t>interest rates should also be an important factor in explaining stock market returns because</w:t>
      </w:r>
      <w:r w:rsidRPr="00090A18">
        <w:rPr>
          <w:rFonts w:ascii="Arial" w:eastAsia="Calibri" w:hAnsi="Arial" w:cs="Arial"/>
          <w:lang w:eastAsia="hr-HR"/>
        </w:rPr>
        <w:t xml:space="preserve"> it can influence the level of corporate profits, which in turn influences the price that investors are willing to pay for the stock through expectations of higher future dividends payments. A reduction in interest rates reduces the costs of borrowing, which have a positive effect on the future expected returns for the firm. Also, an increase in interest rates would make stock transactions more costly. Investors would require a higher rate of return before investing. </w:t>
      </w:r>
      <w:r w:rsidRPr="00090A18">
        <w:rPr>
          <w:rFonts w:ascii="Arial" w:eastAsia="Calibri" w:hAnsi="Arial" w:cs="Arial"/>
          <w:lang w:val="en-US" w:eastAsia="hr-HR"/>
        </w:rPr>
        <w:t xml:space="preserve">Negative interest rate in the </w:t>
      </w:r>
      <w:r w:rsidR="000C318D" w:rsidRPr="00090A18">
        <w:rPr>
          <w:rFonts w:ascii="Arial" w:eastAsia="Calibri" w:hAnsi="Arial" w:cs="Arial"/>
          <w:lang w:val="en-US" w:eastAsia="hr-HR"/>
        </w:rPr>
        <w:t xml:space="preserve">Bulgarian and Croatian results </w:t>
      </w:r>
      <w:r w:rsidRPr="00090A18">
        <w:rPr>
          <w:rFonts w:ascii="Arial" w:eastAsia="Calibri" w:hAnsi="Arial" w:cs="Arial"/>
          <w:lang w:val="en-US" w:eastAsia="hr-HR"/>
        </w:rPr>
        <w:t xml:space="preserve">is in line with </w:t>
      </w:r>
      <w:r w:rsidRPr="00090A18">
        <w:rPr>
          <w:rFonts w:ascii="Arial" w:eastAsia="Times New Roman" w:hAnsi="Arial" w:cs="Arial"/>
          <w:lang w:val="en-US" w:eastAsia="hr-HR"/>
        </w:rPr>
        <w:t>the theory that stock market returns are usually negatively correlated to interest rates (see Fama 1981</w:t>
      </w:r>
      <w:r w:rsidR="00566A45" w:rsidRPr="00090A18">
        <w:rPr>
          <w:rFonts w:ascii="Arial" w:eastAsia="Times New Roman" w:hAnsi="Arial" w:cs="Arial"/>
          <w:lang w:val="en-US" w:eastAsia="hr-HR"/>
        </w:rPr>
        <w:t xml:space="preserve">). </w:t>
      </w:r>
      <w:r w:rsidRPr="00090A18">
        <w:rPr>
          <w:rFonts w:ascii="Arial" w:eastAsia="Times New Roman" w:hAnsi="Arial" w:cs="Arial"/>
          <w:lang w:val="en-US" w:eastAsia="hr-HR"/>
        </w:rPr>
        <w:t xml:space="preserve">A rather high interest rate is typical for transition countries due to insufficient money supply and due to lower national savings.  The transition from planned to market economies in the SEE region has led to rapid financial developments, which were further boosted by a strong, mainly EU, foreign banking and other financial </w:t>
      </w:r>
      <w:r w:rsidR="00C95522" w:rsidRPr="00090A18">
        <w:rPr>
          <w:rFonts w:ascii="Arial" w:eastAsia="Times New Roman" w:hAnsi="Arial" w:cs="Arial"/>
          <w:lang w:val="en-US" w:eastAsia="hr-HR"/>
        </w:rPr>
        <w:t>intermediaries’</w:t>
      </w:r>
      <w:r w:rsidRPr="00090A18">
        <w:rPr>
          <w:rFonts w:ascii="Arial" w:eastAsia="Times New Roman" w:hAnsi="Arial" w:cs="Arial"/>
          <w:lang w:val="en-US" w:eastAsia="hr-HR"/>
        </w:rPr>
        <w:t xml:space="preserve"> presence (see Mishkin 1999, Stavárek 2009, Baltzer et al. 2008). </w:t>
      </w:r>
    </w:p>
    <w:p w14:paraId="20419426" w14:textId="2AB2AD2B" w:rsidR="00B8611D" w:rsidRPr="00090A18" w:rsidRDefault="00B8611D" w:rsidP="00B8611D">
      <w:pPr>
        <w:tabs>
          <w:tab w:val="left" w:pos="720"/>
          <w:tab w:val="left" w:pos="1008"/>
        </w:tabs>
        <w:jc w:val="both"/>
        <w:rPr>
          <w:rFonts w:ascii="Arial" w:hAnsi="Arial" w:cs="Arial"/>
        </w:rPr>
      </w:pPr>
      <w:r w:rsidRPr="00090A18">
        <w:rPr>
          <w:rFonts w:ascii="Arial" w:hAnsi="Arial" w:cs="Arial"/>
        </w:rPr>
        <w:t>Inflation and the stock exchange in all the observed SEE countries are positively correlated in our research, confirming the Fisher hypothesis (The Fisher hypothesis (Fisher 1930) is that the market rate of interest comprises the expected real rate of interest and expected inflation.) This hypothesis, when applied to stock markets, postulates a positive one-to-one relation between stock returns and inflation</w:t>
      </w:r>
      <w:r w:rsidR="00DE24F9" w:rsidRPr="00090A18">
        <w:rPr>
          <w:rFonts w:ascii="Arial" w:hAnsi="Arial" w:cs="Arial"/>
        </w:rPr>
        <w:t xml:space="preserve">. </w:t>
      </w:r>
      <w:r w:rsidRPr="00090A18">
        <w:rPr>
          <w:rFonts w:ascii="Arial" w:hAnsi="Arial" w:cs="Arial"/>
        </w:rPr>
        <w:t>Obviously, there is no consensus in theories and empirical evidence about the influence of inflation on stock exchange. The influence of inflation on stock exchange volatility could be negatively or positively correlated to the stock exchange. In the long-run, inflation is usually negatively correlated to stock exchange returns, especially in countries with higher rates of inflation but could also be positively correlated to stock exchanges, especially in the case</w:t>
      </w:r>
      <w:r w:rsidR="00566A45" w:rsidRPr="00090A18">
        <w:rPr>
          <w:rFonts w:ascii="Arial" w:hAnsi="Arial" w:cs="Arial"/>
        </w:rPr>
        <w:t xml:space="preserve"> of more stabile economies (see for example:</w:t>
      </w:r>
      <w:r w:rsidRPr="00090A18">
        <w:rPr>
          <w:rFonts w:ascii="Arial" w:hAnsi="Arial" w:cs="Arial"/>
        </w:rPr>
        <w:t xml:space="preserve"> Fama 1981, Knif et al. 2008).</w:t>
      </w:r>
      <w:r w:rsidR="00C95522" w:rsidRPr="00090A18">
        <w:rPr>
          <w:rFonts w:ascii="Arial" w:hAnsi="Arial" w:cs="Arial"/>
        </w:rPr>
        <w:t xml:space="preserve"> </w:t>
      </w:r>
      <w:r w:rsidRPr="00090A18">
        <w:rPr>
          <w:rFonts w:ascii="Arial" w:hAnsi="Arial" w:cs="Arial"/>
        </w:rPr>
        <w:t>It seems that all governments and central banks in the SEE region are aware of the importance of stabilization and low inflation for economic growth, but every country has chosen a different approach for monetary policy, exchange rate policy and state intervention.</w:t>
      </w:r>
    </w:p>
    <w:p w14:paraId="67CF0EEA" w14:textId="132BDB7C" w:rsidR="00AF6077" w:rsidRPr="00090A18" w:rsidRDefault="00B8611D" w:rsidP="002C1C3A">
      <w:pPr>
        <w:tabs>
          <w:tab w:val="left" w:pos="720"/>
          <w:tab w:val="left" w:pos="1008"/>
        </w:tabs>
        <w:jc w:val="both"/>
        <w:rPr>
          <w:rFonts w:ascii="Arial" w:hAnsi="Arial" w:cs="Arial"/>
        </w:rPr>
      </w:pPr>
      <w:r w:rsidRPr="00090A18">
        <w:rPr>
          <w:rFonts w:ascii="Arial" w:hAnsi="Arial" w:cs="Arial"/>
        </w:rPr>
        <w:t xml:space="preserve"> Low inflation in Bulgaria is here to stay and is set to further stimulate GDP growth next year (we see </w:t>
      </w:r>
      <w:commentRangeStart w:id="3"/>
      <w:r w:rsidRPr="00090A18">
        <w:rPr>
          <w:rFonts w:ascii="Arial" w:hAnsi="Arial" w:cs="Arial"/>
        </w:rPr>
        <w:t>e</w:t>
      </w:r>
      <w:r w:rsidR="00AF6077" w:rsidRPr="00090A18">
        <w:rPr>
          <w:rFonts w:ascii="Arial" w:hAnsi="Arial" w:cs="Arial"/>
        </w:rPr>
        <w:t>nd of period (eop)</w:t>
      </w:r>
      <w:r w:rsidRPr="00090A18">
        <w:rPr>
          <w:rFonts w:ascii="Arial" w:hAnsi="Arial" w:cs="Arial"/>
        </w:rPr>
        <w:t xml:space="preserve"> and </w:t>
      </w:r>
      <w:r w:rsidR="00AF6077" w:rsidRPr="00090A18">
        <w:rPr>
          <w:rFonts w:ascii="Arial" w:hAnsi="Arial" w:cs="Arial"/>
        </w:rPr>
        <w:t>average (</w:t>
      </w:r>
      <w:r w:rsidRPr="00090A18">
        <w:rPr>
          <w:rFonts w:ascii="Arial" w:hAnsi="Arial" w:cs="Arial"/>
        </w:rPr>
        <w:t>avg</w:t>
      </w:r>
      <w:r w:rsidR="00AF6077" w:rsidRPr="00090A18">
        <w:rPr>
          <w:rFonts w:ascii="Arial" w:hAnsi="Arial" w:cs="Arial"/>
        </w:rPr>
        <w:t>)</w:t>
      </w:r>
      <w:r w:rsidRPr="00090A18">
        <w:rPr>
          <w:rFonts w:ascii="Arial" w:hAnsi="Arial" w:cs="Arial"/>
        </w:rPr>
        <w:t xml:space="preserve"> CPI </w:t>
      </w:r>
      <w:commentRangeEnd w:id="3"/>
      <w:r w:rsidR="002E3F61" w:rsidRPr="00090A18">
        <w:rPr>
          <w:rStyle w:val="CommentReference"/>
        </w:rPr>
        <w:commentReference w:id="3"/>
      </w:r>
      <w:r w:rsidR="002C1C3A" w:rsidRPr="00090A18">
        <w:rPr>
          <w:rFonts w:ascii="Arial" w:hAnsi="Arial" w:cs="Arial"/>
        </w:rPr>
        <w:t xml:space="preserve">in 2015 at -0.3% and -0.5%). Iossifov and Podpiera (2014) explored the causes for </w:t>
      </w:r>
      <w:r w:rsidR="002C1C3A" w:rsidRPr="00090A18">
        <w:rPr>
          <w:rFonts w:ascii="Arial" w:hAnsi="Arial" w:cs="Arial"/>
        </w:rPr>
        <w:lastRenderedPageBreak/>
        <w:t>low inflation in Bulgaria. They found a number of contributing factors, including commodity prices, low inflationary pressure in the euro area, as well as administered price changes. The relative importance of those factors is affected by a particular country’s exchange rate regime, the import content of domestic demand, and other country specific factors. For instance, countries with fixed exchange rates, like Bulgaria, tend to import more inflation from the euro area.</w:t>
      </w:r>
    </w:p>
    <w:p w14:paraId="0EDD46E1" w14:textId="1001CCDF" w:rsidR="00C95522" w:rsidRPr="00090A18" w:rsidRDefault="00B8611D" w:rsidP="00C95522">
      <w:pPr>
        <w:tabs>
          <w:tab w:val="left" w:pos="720"/>
          <w:tab w:val="left" w:pos="1008"/>
        </w:tabs>
        <w:jc w:val="both"/>
        <w:rPr>
          <w:rFonts w:ascii="Arial" w:hAnsi="Arial" w:cs="Arial"/>
        </w:rPr>
      </w:pPr>
      <w:r w:rsidRPr="00090A18">
        <w:rPr>
          <w:rFonts w:ascii="Arial" w:hAnsi="Arial" w:cs="Arial"/>
        </w:rPr>
        <w:t>Croatia faced the highest inflation rate in 2009 but the national currency, the kuna, was stable</w:t>
      </w:r>
      <w:r w:rsidR="002C1C3A" w:rsidRPr="00090A18">
        <w:rPr>
          <w:rFonts w:ascii="Arial" w:hAnsi="Arial" w:cs="Arial"/>
        </w:rPr>
        <w:t xml:space="preserve"> </w:t>
      </w:r>
      <w:r w:rsidRPr="00090A18">
        <w:rPr>
          <w:rFonts w:ascii="Arial" w:hAnsi="Arial" w:cs="Arial"/>
        </w:rPr>
        <w:t>during whole observed period. The announcement of EU enlargement was obviously a trigger for a rise in stock prices in EU candidate countries, which is confirmed in the cases of Bulgaria and Croatia, and was also followed by significant capital inflow, stronger currency and low inflation.</w:t>
      </w:r>
      <w:r w:rsidR="00C95522" w:rsidRPr="00090A18">
        <w:rPr>
          <w:rFonts w:ascii="Arial" w:hAnsi="Arial" w:cs="Arial"/>
        </w:rPr>
        <w:t xml:space="preserve"> </w:t>
      </w:r>
    </w:p>
    <w:p w14:paraId="59F4EDBE" w14:textId="77777777" w:rsidR="00C95522" w:rsidRPr="00090A18" w:rsidRDefault="00C95522" w:rsidP="00C95522">
      <w:pPr>
        <w:tabs>
          <w:tab w:val="left" w:pos="720"/>
          <w:tab w:val="left" w:pos="1008"/>
        </w:tabs>
        <w:jc w:val="both"/>
        <w:rPr>
          <w:rFonts w:ascii="Arial" w:hAnsi="Arial" w:cs="Arial"/>
        </w:rPr>
      </w:pPr>
      <w:r w:rsidRPr="00090A18">
        <w:rPr>
          <w:rFonts w:ascii="Arial" w:hAnsi="Arial" w:cs="Arial"/>
        </w:rPr>
        <w:t xml:space="preserve">Exports are also among the components with a stronger upside potential and one that helps explain why the GDP growth momentum of the </w:t>
      </w:r>
      <w:r w:rsidRPr="00090A18">
        <w:rPr>
          <w:rFonts w:ascii="Arial" w:hAnsi="Arial" w:cs="Arial"/>
          <w:i/>
        </w:rPr>
        <w:t xml:space="preserve">Bulgarian </w:t>
      </w:r>
      <w:r w:rsidRPr="00090A18">
        <w:rPr>
          <w:rFonts w:ascii="Arial" w:hAnsi="Arial" w:cs="Arial"/>
        </w:rPr>
        <w:t>economy is expected to defy gravity. Demand-side conditions for Bulgarian exports are likely to see some marginal improvement in the future although it remains clear that more time will be needed before the geopolitical shock triggered by the Russian incursion in Ukraine begins to fade.</w:t>
      </w:r>
    </w:p>
    <w:p w14:paraId="24518138" w14:textId="66EC77D7" w:rsidR="00AB7BF9" w:rsidRPr="00090A18" w:rsidRDefault="00E53DBE" w:rsidP="007C0617">
      <w:pPr>
        <w:tabs>
          <w:tab w:val="left" w:pos="720"/>
          <w:tab w:val="left" w:pos="1008"/>
        </w:tabs>
        <w:jc w:val="both"/>
        <w:rPr>
          <w:rFonts w:ascii="Arial" w:hAnsi="Arial" w:cs="Arial"/>
        </w:rPr>
      </w:pPr>
      <w:r w:rsidRPr="00090A18">
        <w:rPr>
          <w:rFonts w:ascii="Arial" w:hAnsi="Arial" w:cs="Arial"/>
        </w:rPr>
        <w:t xml:space="preserve">When compared to other transition countries, </w:t>
      </w:r>
      <w:r w:rsidRPr="00090A18">
        <w:rPr>
          <w:rFonts w:ascii="Arial" w:hAnsi="Arial" w:cs="Arial"/>
          <w:i/>
          <w:iCs/>
        </w:rPr>
        <w:t xml:space="preserve">Croatia </w:t>
      </w:r>
      <w:r w:rsidRPr="00090A18">
        <w:rPr>
          <w:rFonts w:ascii="Arial" w:hAnsi="Arial" w:cs="Arial"/>
        </w:rPr>
        <w:t xml:space="preserve">in the middle of the last decade did not fully succeed in adjusting its export structure to new demand, while strong imports were necessary to satisfy the domestic demand for consumption, and recently, for investments (see Stuĉka 2004). Trade in Croatia started to slow down in 2009, as was the case in all other SEE countries. It resulted in Croatian GDP growth lagging behind other SEE countries. </w:t>
      </w:r>
      <w:r w:rsidR="002C1C3A" w:rsidRPr="00090A18">
        <w:rPr>
          <w:rFonts w:ascii="Arial" w:hAnsi="Arial" w:cs="Arial"/>
        </w:rPr>
        <w:t xml:space="preserve">But </w:t>
      </w:r>
      <w:r w:rsidR="002C1C3A" w:rsidRPr="00090A18">
        <w:rPr>
          <w:rFonts w:ascii="Arial" w:hAnsi="Arial" w:cs="Arial"/>
          <w:shd w:val="clear" w:color="auto" w:fill="FFFFFF"/>
        </w:rPr>
        <w:t>cumulative exports in February 2015 rose by 4% on an annual basis, driven mostly by the increased trade in miscellaneous manufactured a</w:t>
      </w:r>
      <w:r w:rsidR="00737417" w:rsidRPr="00090A18">
        <w:rPr>
          <w:rFonts w:ascii="Arial" w:hAnsi="Arial" w:cs="Arial"/>
          <w:shd w:val="clear" w:color="auto" w:fill="FFFFFF"/>
        </w:rPr>
        <w:t>rticles, food and live animals.</w:t>
      </w:r>
      <w:r w:rsidR="002C1C3A" w:rsidRPr="00090A18">
        <w:rPr>
          <w:rFonts w:ascii="Arial" w:hAnsi="Arial" w:cs="Arial"/>
          <w:shd w:val="clear" w:color="auto" w:fill="FFFFFF"/>
        </w:rPr>
        <w:t>This can be attributed to the slight revival of Croatia’s EU trade partners.</w:t>
      </w:r>
      <w:r w:rsidR="002C1C3A" w:rsidRPr="00090A18">
        <w:rPr>
          <w:rFonts w:ascii="Arial" w:hAnsi="Arial" w:cs="Arial"/>
          <w:sz w:val="20"/>
          <w:szCs w:val="20"/>
          <w:shd w:val="clear" w:color="auto" w:fill="FFFFFF"/>
        </w:rPr>
        <w:t xml:space="preserve"> </w:t>
      </w:r>
    </w:p>
    <w:p w14:paraId="65D70A19" w14:textId="77777777" w:rsidR="00C95522" w:rsidRPr="00090A18" w:rsidRDefault="00C95522" w:rsidP="007C0617">
      <w:pPr>
        <w:tabs>
          <w:tab w:val="left" w:pos="720"/>
          <w:tab w:val="left" w:pos="1008"/>
        </w:tabs>
        <w:rPr>
          <w:rFonts w:ascii="Arial" w:eastAsia="Times New Roman" w:hAnsi="Arial" w:cs="Arial"/>
          <w:b/>
          <w:lang w:val="en-US" w:eastAsia="hr-HR"/>
        </w:rPr>
      </w:pPr>
    </w:p>
    <w:p w14:paraId="05AB493C" w14:textId="77777777" w:rsidR="00AD6C41" w:rsidRPr="00090A18" w:rsidRDefault="00B460C4" w:rsidP="007C0617">
      <w:pPr>
        <w:tabs>
          <w:tab w:val="left" w:pos="720"/>
          <w:tab w:val="left" w:pos="1008"/>
        </w:tabs>
        <w:rPr>
          <w:rFonts w:ascii="Arial" w:eastAsia="Times New Roman" w:hAnsi="Arial" w:cs="Arial"/>
          <w:lang w:val="en-US" w:eastAsia="hr-HR"/>
        </w:rPr>
      </w:pPr>
      <w:r w:rsidRPr="00090A18">
        <w:rPr>
          <w:rFonts w:ascii="Arial" w:eastAsia="Times New Roman" w:hAnsi="Arial" w:cs="Arial"/>
          <w:b/>
          <w:lang w:val="en-US" w:eastAsia="hr-HR"/>
        </w:rPr>
        <w:t>5</w:t>
      </w:r>
      <w:r w:rsidR="00595CAC" w:rsidRPr="00090A18">
        <w:rPr>
          <w:rFonts w:ascii="Arial" w:eastAsia="Times New Roman" w:hAnsi="Arial" w:cs="Arial"/>
          <w:b/>
          <w:lang w:val="en-US" w:eastAsia="hr-HR"/>
        </w:rPr>
        <w:t xml:space="preserve"> CONCLUSION</w:t>
      </w:r>
      <w:r w:rsidR="00AD6C41" w:rsidRPr="00090A18">
        <w:rPr>
          <w:rFonts w:ascii="Arial" w:eastAsia="Times New Roman" w:hAnsi="Arial" w:cs="Arial"/>
          <w:lang w:val="en-US" w:eastAsia="hr-HR"/>
        </w:rPr>
        <w:t xml:space="preserve"> </w:t>
      </w:r>
    </w:p>
    <w:p w14:paraId="172548B5" w14:textId="77777777" w:rsidR="00AD6C41" w:rsidRPr="00090A18" w:rsidRDefault="00AD6C41"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val="en-US" w:eastAsia="hr-HR"/>
        </w:rPr>
        <w:t xml:space="preserve">Transition countries of SEE were, in the last decade, exposed to large FDI inflows, followed by GDP growth, trade liberalization and industrial production growth due to finanancial integration, opening of autarhic transitional economies toward liberal markets and due to EU accession as well. </w:t>
      </w:r>
    </w:p>
    <w:p w14:paraId="0C630D4A" w14:textId="77777777" w:rsidR="00AD6C41" w:rsidRPr="00090A18" w:rsidRDefault="00AD6C41" w:rsidP="007C0617">
      <w:pPr>
        <w:tabs>
          <w:tab w:val="left" w:pos="720"/>
          <w:tab w:val="left" w:pos="1008"/>
        </w:tabs>
        <w:jc w:val="both"/>
        <w:rPr>
          <w:rFonts w:ascii="Arial" w:eastAsia="Times New Roman" w:hAnsi="Arial" w:cs="Arial"/>
          <w:lang w:val="en-US" w:eastAsia="hr-HR"/>
        </w:rPr>
      </w:pPr>
      <w:r w:rsidRPr="00090A18">
        <w:rPr>
          <w:rFonts w:ascii="Arial" w:eastAsia="Calibri" w:hAnsi="Arial" w:cs="Arial"/>
          <w:lang w:val="en-US" w:eastAsia="hr-HR"/>
        </w:rPr>
        <w:lastRenderedPageBreak/>
        <w:t xml:space="preserve">The positive influence of GDP, capital inflow and </w:t>
      </w:r>
      <w:r w:rsidR="00AF0701" w:rsidRPr="00090A18">
        <w:rPr>
          <w:rFonts w:ascii="Arial" w:eastAsia="Calibri" w:hAnsi="Arial" w:cs="Arial"/>
          <w:lang w:val="en-US" w:eastAsia="hr-HR"/>
        </w:rPr>
        <w:t>export</w:t>
      </w:r>
      <w:r w:rsidRPr="00090A18">
        <w:rPr>
          <w:rFonts w:ascii="Arial" w:eastAsia="Calibri" w:hAnsi="Arial" w:cs="Arial"/>
          <w:lang w:val="en-US" w:eastAsia="hr-HR"/>
        </w:rPr>
        <w:t xml:space="preserve">, which is confirmed in the </w:t>
      </w:r>
      <w:r w:rsidR="00AF0701" w:rsidRPr="00090A18">
        <w:rPr>
          <w:rFonts w:ascii="Arial" w:eastAsia="Calibri" w:hAnsi="Arial" w:cs="Arial"/>
          <w:lang w:val="en-US" w:eastAsia="hr-HR"/>
        </w:rPr>
        <w:t>results</w:t>
      </w:r>
      <w:r w:rsidRPr="00090A18">
        <w:rPr>
          <w:rFonts w:ascii="Arial" w:eastAsia="Calibri" w:hAnsi="Arial" w:cs="Arial"/>
          <w:lang w:val="en-US" w:eastAsia="hr-HR"/>
        </w:rPr>
        <w:t xml:space="preserve">, improves the theory that foreign direct investments in developing economies have grown rapidly following financial and political transformations. Local stock markets in the SEE countries were established </w:t>
      </w:r>
      <w:r w:rsidRPr="00090A18">
        <w:rPr>
          <w:rFonts w:ascii="Arial" w:eastAsia="Times New Roman" w:hAnsi="Arial" w:cs="Arial"/>
          <w:lang w:val="en-US" w:eastAsia="hr-HR"/>
        </w:rPr>
        <w:t>as part of their transition process towards adopting the mechanisms of a market economy</w:t>
      </w:r>
      <w:r w:rsidRPr="00090A18">
        <w:rPr>
          <w:rFonts w:ascii="Arial" w:eastAsia="Calibri" w:hAnsi="Arial" w:cs="Arial"/>
          <w:lang w:val="en-US" w:eastAsia="hr-HR"/>
        </w:rPr>
        <w:t xml:space="preserve"> to intermediate funds towards investment projects. </w:t>
      </w:r>
    </w:p>
    <w:p w14:paraId="4F0198F0" w14:textId="52EC5A7B" w:rsidR="00AD6C41" w:rsidRPr="00090A18" w:rsidRDefault="00AD6C41" w:rsidP="007C0617">
      <w:pPr>
        <w:tabs>
          <w:tab w:val="left" w:pos="720"/>
          <w:tab w:val="left" w:pos="1008"/>
        </w:tabs>
        <w:jc w:val="both"/>
        <w:rPr>
          <w:rFonts w:ascii="Arial" w:eastAsia="Times New Roman" w:hAnsi="Arial" w:cs="Arial"/>
          <w:lang w:eastAsia="hr-HR"/>
        </w:rPr>
      </w:pPr>
      <w:r w:rsidRPr="00090A18">
        <w:rPr>
          <w:rFonts w:ascii="Arial" w:eastAsia="Calibri" w:hAnsi="Arial" w:cs="Arial"/>
          <w:lang w:val="en-US" w:eastAsia="hr-HR"/>
        </w:rPr>
        <w:t xml:space="preserve">This integration is positively associated with real </w:t>
      </w:r>
      <w:r w:rsidR="00DE24F9" w:rsidRPr="00090A18">
        <w:rPr>
          <w:rFonts w:ascii="Arial" w:eastAsia="Calibri" w:hAnsi="Arial" w:cs="Arial"/>
          <w:lang w:val="en-US" w:eastAsia="hr-HR"/>
        </w:rPr>
        <w:t>GDP</w:t>
      </w:r>
      <w:r w:rsidR="00DE24F9" w:rsidRPr="00090A18">
        <w:rPr>
          <w:rStyle w:val="CommentReference"/>
        </w:rPr>
        <w:commentReference w:id="4"/>
      </w:r>
      <w:r w:rsidR="00DE24F9" w:rsidRPr="00090A18">
        <w:rPr>
          <w:rFonts w:ascii="Arial" w:eastAsia="Calibri" w:hAnsi="Arial" w:cs="Arial"/>
          <w:lang w:val="en-US" w:eastAsia="hr-HR"/>
        </w:rPr>
        <w:t xml:space="preserve"> </w:t>
      </w:r>
      <w:r w:rsidRPr="00090A18">
        <w:rPr>
          <w:rFonts w:ascii="Arial" w:eastAsia="Calibri" w:hAnsi="Arial" w:cs="Arial"/>
          <w:lang w:val="en-US" w:eastAsia="hr-HR"/>
        </w:rPr>
        <w:t xml:space="preserve">per capita, educational level, banking sector development, monetary growth, credit growth, stock market development, the legislation of the country and government integrity. </w:t>
      </w:r>
      <w:r w:rsidRPr="00090A18">
        <w:rPr>
          <w:rFonts w:ascii="Arial" w:eastAsia="Times New Roman" w:hAnsi="Arial" w:cs="Arial"/>
          <w:lang w:eastAsia="hr-HR"/>
        </w:rPr>
        <w:t>These processes are also pushing the whole SEE region towards further internat</w:t>
      </w:r>
      <w:r w:rsidR="00853D6C" w:rsidRPr="00090A18">
        <w:rPr>
          <w:rFonts w:ascii="Arial" w:eastAsia="Times New Roman" w:hAnsi="Arial" w:cs="Arial"/>
          <w:lang w:eastAsia="hr-HR"/>
        </w:rPr>
        <w:t>ional financial integration beca</w:t>
      </w:r>
      <w:r w:rsidRPr="00090A18">
        <w:rPr>
          <w:rFonts w:ascii="Arial" w:eastAsia="Times New Roman" w:hAnsi="Arial" w:cs="Arial"/>
          <w:lang w:eastAsia="hr-HR"/>
        </w:rPr>
        <w:t xml:space="preserve">use almost all SEE countries are trying to follow European financial markets. </w:t>
      </w:r>
    </w:p>
    <w:p w14:paraId="0B550CDA" w14:textId="77777777" w:rsidR="00AD6C41" w:rsidRPr="00090A18" w:rsidRDefault="00AD6C41" w:rsidP="007C0617">
      <w:pPr>
        <w:tabs>
          <w:tab w:val="left" w:pos="720"/>
          <w:tab w:val="left" w:pos="1008"/>
        </w:tabs>
        <w:jc w:val="both"/>
        <w:rPr>
          <w:rFonts w:ascii="Arial" w:eastAsia="Times New Roman" w:hAnsi="Arial" w:cs="Arial"/>
          <w:lang w:val="en-US" w:eastAsia="hr-HR"/>
        </w:rPr>
      </w:pPr>
      <w:r w:rsidRPr="00090A18">
        <w:rPr>
          <w:rFonts w:ascii="Arial" w:eastAsia="Times New Roman" w:hAnsi="Arial" w:cs="Arial"/>
          <w:lang w:eastAsia="hr-HR"/>
        </w:rPr>
        <w:t xml:space="preserve">Our result confirmed positive influence of capital inflows, GDP, </w:t>
      </w:r>
      <w:r w:rsidR="00AF0701" w:rsidRPr="00090A18">
        <w:rPr>
          <w:rFonts w:ascii="Arial" w:eastAsia="Times New Roman" w:hAnsi="Arial" w:cs="Arial"/>
          <w:lang w:eastAsia="hr-HR"/>
        </w:rPr>
        <w:t xml:space="preserve">inflation and export </w:t>
      </w:r>
      <w:r w:rsidRPr="00090A18">
        <w:rPr>
          <w:rFonts w:ascii="Arial" w:eastAsia="Times New Roman" w:hAnsi="Arial" w:cs="Arial"/>
          <w:lang w:eastAsia="hr-HR"/>
        </w:rPr>
        <w:t>on stock excanges of the</w:t>
      </w:r>
      <w:r w:rsidR="00AF0701" w:rsidRPr="00090A18">
        <w:rPr>
          <w:rFonts w:ascii="Arial" w:eastAsia="Times New Roman" w:hAnsi="Arial" w:cs="Arial"/>
          <w:lang w:eastAsia="hr-HR"/>
        </w:rPr>
        <w:t xml:space="preserve"> Bulgaria and Croatia as a representative</w:t>
      </w:r>
      <w:r w:rsidRPr="00090A18">
        <w:rPr>
          <w:rFonts w:ascii="Arial" w:eastAsia="Times New Roman" w:hAnsi="Arial" w:cs="Arial"/>
          <w:lang w:eastAsia="hr-HR"/>
        </w:rPr>
        <w:t xml:space="preserve"> SEE countries. </w:t>
      </w:r>
      <w:r w:rsidRPr="00090A18">
        <w:rPr>
          <w:rFonts w:ascii="Arial" w:eastAsia="Times New Roman" w:hAnsi="Arial" w:cs="Arial"/>
          <w:lang w:val="en-US" w:eastAsia="hr-HR"/>
        </w:rPr>
        <w:t>The empirical result also proved that stock indices in the transitional SEE countries are negatively co</w:t>
      </w:r>
      <w:r w:rsidR="00AF0701" w:rsidRPr="00090A18">
        <w:rPr>
          <w:rFonts w:ascii="Arial" w:eastAsia="Times New Roman" w:hAnsi="Arial" w:cs="Arial"/>
          <w:lang w:val="en-US" w:eastAsia="hr-HR"/>
        </w:rPr>
        <w:t>rrelated to interest rates and import.</w:t>
      </w:r>
    </w:p>
    <w:p w14:paraId="58DABC9E" w14:textId="77777777" w:rsidR="005E24BD" w:rsidRPr="00090A18" w:rsidRDefault="005E24BD" w:rsidP="007C0617">
      <w:pPr>
        <w:autoSpaceDE w:val="0"/>
        <w:autoSpaceDN w:val="0"/>
        <w:adjustRightInd w:val="0"/>
        <w:jc w:val="both"/>
        <w:rPr>
          <w:rFonts w:ascii="Arial" w:hAnsi="Arial" w:cs="Arial"/>
          <w:lang w:val="en-US"/>
        </w:rPr>
      </w:pPr>
    </w:p>
    <w:p w14:paraId="5A82E6CB" w14:textId="77777777" w:rsidR="008E0023" w:rsidRPr="00090A18" w:rsidRDefault="00595CAC" w:rsidP="007C0617">
      <w:pPr>
        <w:jc w:val="both"/>
        <w:rPr>
          <w:rFonts w:ascii="Arial" w:hAnsi="Arial" w:cs="Arial"/>
          <w:lang w:val="en-US"/>
        </w:rPr>
      </w:pPr>
      <w:r w:rsidRPr="00090A18">
        <w:rPr>
          <w:rFonts w:ascii="Arial" w:hAnsi="Arial" w:cs="Arial"/>
          <w:b/>
          <w:lang w:val="en-US"/>
        </w:rPr>
        <w:t>REFERENCE</w:t>
      </w:r>
    </w:p>
    <w:p w14:paraId="6ADCDB13" w14:textId="77777777" w:rsidR="009416D0" w:rsidRPr="00090A18" w:rsidRDefault="000A1E2B"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eastAsia="Calibri" w:hAnsi="Arial" w:cs="Arial"/>
          <w:lang w:val="en-US" w:eastAsia="hr-HR"/>
        </w:rPr>
        <w:t xml:space="preserve">Aizenman J. and Noy I., 2005. </w:t>
      </w:r>
      <w:r w:rsidR="009416D0" w:rsidRPr="00090A18">
        <w:rPr>
          <w:rFonts w:ascii="Arial" w:eastAsia="Times New Roman" w:hAnsi="Arial" w:cs="Arial"/>
          <w:lang w:eastAsia="hr-HR"/>
        </w:rPr>
        <w:t>FD</w:t>
      </w:r>
      <w:r w:rsidRPr="00090A18">
        <w:rPr>
          <w:rFonts w:ascii="Arial" w:eastAsia="Times New Roman" w:hAnsi="Arial" w:cs="Arial"/>
          <w:lang w:eastAsia="hr-HR"/>
        </w:rPr>
        <w:t>I and Trade - Two Way Linkages?</w:t>
      </w:r>
      <w:r w:rsidR="009416D0" w:rsidRPr="00090A18">
        <w:rPr>
          <w:rFonts w:ascii="Arial" w:eastAsia="Times New Roman" w:hAnsi="Arial" w:cs="Arial"/>
          <w:lang w:eastAsia="hr-HR"/>
        </w:rPr>
        <w:t xml:space="preserve">, </w:t>
      </w:r>
      <w:r w:rsidR="009416D0" w:rsidRPr="00090A18">
        <w:rPr>
          <w:rFonts w:ascii="Arial" w:eastAsia="Times New Roman" w:hAnsi="Arial" w:cs="Arial"/>
          <w:i/>
          <w:iCs/>
          <w:lang w:eastAsia="hr-HR"/>
        </w:rPr>
        <w:t>NBER Working Paper</w:t>
      </w:r>
      <w:r w:rsidR="009416D0" w:rsidRPr="00090A18">
        <w:rPr>
          <w:rFonts w:ascii="Arial" w:eastAsia="Times New Roman" w:hAnsi="Arial" w:cs="Arial"/>
          <w:iCs/>
          <w:lang w:eastAsia="hr-HR"/>
        </w:rPr>
        <w:t>,  w11403.</w:t>
      </w:r>
    </w:p>
    <w:p w14:paraId="35CD663B" w14:textId="77777777" w:rsidR="009416D0" w:rsidRPr="00090A18" w:rsidRDefault="000A1E2B" w:rsidP="00C95522">
      <w:pPr>
        <w:pStyle w:val="ListParagraph"/>
        <w:numPr>
          <w:ilvl w:val="0"/>
          <w:numId w:val="10"/>
        </w:numPr>
        <w:spacing w:after="0" w:line="240" w:lineRule="auto"/>
        <w:rPr>
          <w:rFonts w:ascii="Arial" w:eastAsia="Times New Roman" w:hAnsi="Arial" w:cs="Arial"/>
          <w:lang w:eastAsia="hr-HR"/>
        </w:rPr>
      </w:pPr>
      <w:r w:rsidRPr="00090A18">
        <w:rPr>
          <w:rFonts w:ascii="Arial" w:hAnsi="Arial" w:cs="Arial"/>
        </w:rPr>
        <w:t xml:space="preserve">Akaike, H., 1987. </w:t>
      </w:r>
      <w:r w:rsidR="00566A45" w:rsidRPr="00090A18">
        <w:rPr>
          <w:rFonts w:ascii="Arial" w:hAnsi="Arial" w:cs="Arial"/>
        </w:rPr>
        <w:t xml:space="preserve">Factor Analysis and AIC,‖ </w:t>
      </w:r>
      <w:r w:rsidR="00566A45" w:rsidRPr="00090A18">
        <w:rPr>
          <w:rFonts w:ascii="Arial" w:hAnsi="Arial" w:cs="Arial"/>
          <w:i/>
          <w:iCs/>
        </w:rPr>
        <w:t>Psychometrika</w:t>
      </w:r>
      <w:r w:rsidR="00566A45" w:rsidRPr="00090A18">
        <w:rPr>
          <w:rFonts w:ascii="Arial" w:hAnsi="Arial" w:cs="Arial"/>
        </w:rPr>
        <w:t xml:space="preserve">, 52(3), </w:t>
      </w:r>
      <w:r w:rsidRPr="00090A18">
        <w:rPr>
          <w:rFonts w:ascii="Arial" w:hAnsi="Arial" w:cs="Arial"/>
        </w:rPr>
        <w:t xml:space="preserve">pp. </w:t>
      </w:r>
      <w:r w:rsidR="00566A45" w:rsidRPr="00090A18">
        <w:rPr>
          <w:rFonts w:ascii="Arial" w:hAnsi="Arial" w:cs="Arial"/>
        </w:rPr>
        <w:t>317–332.</w:t>
      </w:r>
    </w:p>
    <w:p w14:paraId="23D7C8DE" w14:textId="77777777" w:rsidR="009416D0" w:rsidRPr="00090A18" w:rsidRDefault="000A1E2B"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eastAsia="Times New Roman" w:hAnsi="Arial" w:cs="Arial"/>
          <w:lang w:eastAsia="hr-HR"/>
        </w:rPr>
        <w:t>Ashgar Z. and Abid I., 2007. ,</w:t>
      </w:r>
      <w:r w:rsidR="009416D0" w:rsidRPr="00090A18">
        <w:rPr>
          <w:rFonts w:ascii="Arial" w:eastAsia="Times New Roman" w:hAnsi="Arial" w:cs="Arial"/>
          <w:lang w:eastAsia="hr-HR"/>
        </w:rPr>
        <w:t xml:space="preserve">Performance of Lang Lenth Selection Criteria in Three Different Situations,  </w:t>
      </w:r>
      <w:r w:rsidR="009416D0" w:rsidRPr="00090A18">
        <w:rPr>
          <w:rFonts w:ascii="Arial" w:eastAsia="Times New Roman" w:hAnsi="Arial" w:cs="Arial"/>
          <w:i/>
          <w:lang w:eastAsia="hr-HR"/>
        </w:rPr>
        <w:t>Interstat</w:t>
      </w:r>
      <w:r w:rsidR="009416D0" w:rsidRPr="00090A18">
        <w:rPr>
          <w:rFonts w:ascii="Arial" w:eastAsia="Times New Roman" w:hAnsi="Arial" w:cs="Arial"/>
          <w:lang w:eastAsia="hr-HR"/>
        </w:rPr>
        <w:t xml:space="preserve">. Available at: </w:t>
      </w:r>
      <w:r w:rsidR="009416D0" w:rsidRPr="00090A18">
        <w:rPr>
          <w:rFonts w:ascii="Arial" w:eastAsia="Times New Roman" w:hAnsi="Arial" w:cs="Arial"/>
          <w:color w:val="0070C0"/>
          <w:u w:val="single"/>
          <w:lang w:eastAsia="hr-HR"/>
        </w:rPr>
        <w:t>[interstat.statjournals.net/YEAR/2007/articles/0704001.pdf],  (28.9.2009)</w:t>
      </w:r>
    </w:p>
    <w:p w14:paraId="664A78E7" w14:textId="77777777" w:rsidR="00737417" w:rsidRPr="00090A18" w:rsidRDefault="00737417" w:rsidP="00737417">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hAnsi="Arial" w:cs="Arial"/>
        </w:rPr>
        <w:t xml:space="preserve">CEE_Banking_Study_2015.pdf, </w:t>
      </w:r>
    </w:p>
    <w:p w14:paraId="5F3F3B73" w14:textId="177E608B" w:rsidR="00737417" w:rsidRPr="00090A18" w:rsidRDefault="00737417" w:rsidP="00737417">
      <w:pPr>
        <w:pStyle w:val="ListParagraph"/>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hAnsi="Arial" w:cs="Arial"/>
          <w:shd w:val="clear" w:color="auto" w:fill="FFFFFF"/>
        </w:rPr>
        <w:t xml:space="preserve">Available at: </w:t>
      </w:r>
      <w:r w:rsidRPr="00090A18">
        <w:rPr>
          <w:rFonts w:ascii="Arial" w:hAnsi="Arial" w:cs="Arial"/>
        </w:rPr>
        <w:t xml:space="preserve"> http://www.bankaustria.at/en/about-us-publications-cee-research-cee-studies.jsp</w:t>
      </w:r>
    </w:p>
    <w:p w14:paraId="0CBAC0BC" w14:textId="77777777" w:rsidR="00737417" w:rsidRPr="00090A18" w:rsidRDefault="00737417" w:rsidP="00737417">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hAnsi="Arial" w:cs="Arial"/>
          <w:shd w:val="clear" w:color="auto" w:fill="FFFFFF"/>
        </w:rPr>
        <w:t>CEICDATA.COM.</w:t>
      </w:r>
      <w:r w:rsidR="002C1C3A" w:rsidRPr="00090A18">
        <w:rPr>
          <w:rFonts w:ascii="Arial" w:hAnsi="Arial" w:cs="Arial"/>
          <w:shd w:val="clear" w:color="auto" w:fill="FFFFFF"/>
        </w:rPr>
        <w:t xml:space="preserve"> 2016. </w:t>
      </w:r>
    </w:p>
    <w:p w14:paraId="1390A610" w14:textId="3AEF6321" w:rsidR="002C1C3A" w:rsidRPr="00090A18" w:rsidRDefault="002C1C3A" w:rsidP="00737417">
      <w:pPr>
        <w:pStyle w:val="ListParagraph"/>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hAnsi="Arial" w:cs="Arial"/>
          <w:shd w:val="clear" w:color="auto" w:fill="FFFFFF"/>
        </w:rPr>
        <w:t>Available at: http://www.ceicdata.com/en/blog/croatias-gradually-improving-trade-balance#sthash.3IDu22h1.dpuf</w:t>
      </w:r>
    </w:p>
    <w:p w14:paraId="78DF5AD6" w14:textId="77777777" w:rsidR="009416D0" w:rsidRPr="00090A18" w:rsidRDefault="009416D0" w:rsidP="00C95522">
      <w:pPr>
        <w:pStyle w:val="ListParagraph"/>
        <w:numPr>
          <w:ilvl w:val="0"/>
          <w:numId w:val="10"/>
        </w:numPr>
        <w:tabs>
          <w:tab w:val="left" w:pos="709"/>
          <w:tab w:val="left" w:pos="4111"/>
        </w:tabs>
        <w:adjustRightInd w:val="0"/>
        <w:spacing w:after="0" w:line="240" w:lineRule="auto"/>
        <w:jc w:val="both"/>
        <w:rPr>
          <w:rFonts w:ascii="Arial" w:eastAsia="Times New Roman" w:hAnsi="Arial" w:cs="Arial"/>
          <w:lang w:eastAsia="hr-HR"/>
        </w:rPr>
      </w:pPr>
      <w:r w:rsidRPr="00090A18">
        <w:rPr>
          <w:rFonts w:ascii="Arial" w:eastAsia="Times New Roman" w:hAnsi="Arial" w:cs="Arial"/>
          <w:lang w:eastAsia="hr-HR"/>
        </w:rPr>
        <w:t xml:space="preserve">Baltzer M., Cappiello L., De Santis R. and Manganelli S., </w:t>
      </w:r>
      <w:r w:rsidR="000A1E2B" w:rsidRPr="00090A18">
        <w:rPr>
          <w:rFonts w:ascii="Arial" w:eastAsia="Times New Roman" w:hAnsi="Arial" w:cs="Arial"/>
          <w:lang w:eastAsia="hr-HR"/>
        </w:rPr>
        <w:t>2008.,</w:t>
      </w:r>
      <w:r w:rsidRPr="00090A18">
        <w:rPr>
          <w:rFonts w:ascii="Arial" w:eastAsia="Times New Roman" w:hAnsi="Arial" w:cs="Arial"/>
          <w:lang w:eastAsia="hr-HR"/>
        </w:rPr>
        <w:t xml:space="preserve"> Measuring Financial Integrati</w:t>
      </w:r>
      <w:r w:rsidR="000A1E2B" w:rsidRPr="00090A18">
        <w:rPr>
          <w:rFonts w:ascii="Arial" w:eastAsia="Times New Roman" w:hAnsi="Arial" w:cs="Arial"/>
          <w:lang w:eastAsia="hr-HR"/>
        </w:rPr>
        <w:t>on in the New EU Member  States</w:t>
      </w:r>
      <w:r w:rsidRPr="00090A18">
        <w:rPr>
          <w:rFonts w:ascii="Arial" w:eastAsia="Times New Roman" w:hAnsi="Arial" w:cs="Arial"/>
          <w:lang w:eastAsia="hr-HR"/>
        </w:rPr>
        <w:t xml:space="preserve">,  </w:t>
      </w:r>
      <w:r w:rsidRPr="00090A18">
        <w:rPr>
          <w:rFonts w:ascii="Arial" w:eastAsia="Times New Roman" w:hAnsi="Arial" w:cs="Arial"/>
          <w:i/>
          <w:lang w:eastAsia="hr-HR"/>
        </w:rPr>
        <w:t>European Central Bank, Occasional Paper Series</w:t>
      </w:r>
      <w:r w:rsidRPr="00090A18">
        <w:rPr>
          <w:rFonts w:ascii="Arial" w:eastAsia="Times New Roman" w:hAnsi="Arial" w:cs="Arial"/>
          <w:lang w:eastAsia="hr-HR"/>
        </w:rPr>
        <w:t>, 81.</w:t>
      </w:r>
    </w:p>
    <w:p w14:paraId="2BACC1EC"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Been, W., Glosten, L. R., and Jagannathan, R.</w:t>
      </w:r>
      <w:r w:rsidR="000A1E2B" w:rsidRPr="00090A18">
        <w:rPr>
          <w:rFonts w:ascii="Arial" w:hAnsi="Arial" w:cs="Arial"/>
          <w:sz w:val="22"/>
          <w:szCs w:val="22"/>
        </w:rPr>
        <w:t>,</w:t>
      </w:r>
      <w:r w:rsidRPr="00090A18">
        <w:rPr>
          <w:rFonts w:ascii="Arial" w:hAnsi="Arial" w:cs="Arial"/>
          <w:sz w:val="22"/>
          <w:szCs w:val="22"/>
        </w:rPr>
        <w:t xml:space="preserve"> 1990. Predictable Variations in Stock Index Returns. </w:t>
      </w:r>
      <w:r w:rsidRPr="00090A18">
        <w:rPr>
          <w:rFonts w:ascii="Arial" w:hAnsi="Arial" w:cs="Arial"/>
          <w:i/>
          <w:iCs/>
          <w:sz w:val="22"/>
          <w:szCs w:val="22"/>
        </w:rPr>
        <w:t>Journal of Finance</w:t>
      </w:r>
      <w:r w:rsidRPr="00090A18">
        <w:rPr>
          <w:rFonts w:ascii="Arial" w:hAnsi="Arial" w:cs="Arial"/>
          <w:sz w:val="22"/>
          <w:szCs w:val="22"/>
        </w:rPr>
        <w:t xml:space="preserve">, 22, </w:t>
      </w:r>
      <w:r w:rsidR="000A1E2B" w:rsidRPr="00090A18">
        <w:rPr>
          <w:rFonts w:ascii="Arial" w:hAnsi="Arial" w:cs="Arial"/>
          <w:sz w:val="22"/>
          <w:szCs w:val="22"/>
        </w:rPr>
        <w:t xml:space="preserve">pp. </w:t>
      </w:r>
      <w:r w:rsidRPr="00090A18">
        <w:rPr>
          <w:rFonts w:ascii="Arial" w:hAnsi="Arial" w:cs="Arial"/>
          <w:sz w:val="22"/>
          <w:szCs w:val="22"/>
        </w:rPr>
        <w:t xml:space="preserve">1177-1189. </w:t>
      </w:r>
    </w:p>
    <w:p w14:paraId="1D985015"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lastRenderedPageBreak/>
        <w:t>Brennan, M. and Yihong X.</w:t>
      </w:r>
      <w:r w:rsidR="000A1E2B" w:rsidRPr="00090A18">
        <w:rPr>
          <w:rFonts w:ascii="Arial" w:hAnsi="Arial" w:cs="Arial"/>
          <w:sz w:val="22"/>
          <w:szCs w:val="22"/>
        </w:rPr>
        <w:t>,</w:t>
      </w:r>
      <w:r w:rsidRPr="00090A18">
        <w:rPr>
          <w:rFonts w:ascii="Arial" w:hAnsi="Arial" w:cs="Arial"/>
          <w:sz w:val="22"/>
          <w:szCs w:val="22"/>
        </w:rPr>
        <w:t xml:space="preserve"> 2001. </w:t>
      </w:r>
      <w:r w:rsidRPr="00090A18">
        <w:rPr>
          <w:rFonts w:ascii="Arial" w:hAnsi="Arial" w:cs="Arial"/>
          <w:i/>
          <w:sz w:val="22"/>
          <w:szCs w:val="22"/>
        </w:rPr>
        <w:t>Stock Prices Volatility, Learning and the Equity Premium.</w:t>
      </w:r>
      <w:r w:rsidRPr="00090A18">
        <w:rPr>
          <w:rFonts w:ascii="Arial" w:hAnsi="Arial" w:cs="Arial"/>
          <w:sz w:val="22"/>
          <w:szCs w:val="22"/>
        </w:rPr>
        <w:t xml:space="preserve"> Los Angeles, Anderson Graduate Scholl of Management, University of California. Available at: </w:t>
      </w:r>
      <w:r w:rsidRPr="00090A18">
        <w:rPr>
          <w:rFonts w:ascii="Arial" w:hAnsi="Arial" w:cs="Arial"/>
          <w:color w:val="0070C0"/>
          <w:sz w:val="22"/>
          <w:szCs w:val="22"/>
          <w:u w:val="single"/>
        </w:rPr>
        <w:t>[http://repositories.cdlib.org/anderson/fin/19-01org/anderson/fin] (24. 5. 2008).</w:t>
      </w:r>
      <w:r w:rsidRPr="00090A18">
        <w:rPr>
          <w:rFonts w:ascii="Arial" w:hAnsi="Arial" w:cs="Arial"/>
          <w:color w:val="0070C0"/>
          <w:sz w:val="22"/>
          <w:szCs w:val="22"/>
        </w:rPr>
        <w:t xml:space="preserve"> </w:t>
      </w:r>
    </w:p>
    <w:p w14:paraId="7744E4D5" w14:textId="77777777" w:rsidR="00F06513" w:rsidRPr="00090A18" w:rsidRDefault="00F06513" w:rsidP="00C95522">
      <w:pPr>
        <w:pStyle w:val="ListParagraph"/>
        <w:numPr>
          <w:ilvl w:val="0"/>
          <w:numId w:val="10"/>
        </w:numPr>
        <w:autoSpaceDE w:val="0"/>
        <w:autoSpaceDN w:val="0"/>
        <w:adjustRightInd w:val="0"/>
        <w:spacing w:after="0" w:line="240" w:lineRule="auto"/>
        <w:rPr>
          <w:rFonts w:ascii="Arial" w:hAnsi="Arial" w:cs="Arial"/>
        </w:rPr>
      </w:pPr>
      <w:r w:rsidRPr="00090A18">
        <w:rPr>
          <w:rFonts w:ascii="Arial" w:hAnsi="Arial" w:cs="Arial"/>
        </w:rPr>
        <w:t>Bulmash, S. B. and Trivoli, G. W.</w:t>
      </w:r>
      <w:r w:rsidR="008E1638" w:rsidRPr="00090A18">
        <w:rPr>
          <w:rFonts w:ascii="Arial" w:hAnsi="Arial" w:cs="Arial"/>
        </w:rPr>
        <w:t>,</w:t>
      </w:r>
      <w:r w:rsidRPr="00090A18">
        <w:rPr>
          <w:rFonts w:ascii="Arial" w:hAnsi="Arial" w:cs="Arial"/>
        </w:rPr>
        <w:t xml:space="preserve"> 1991. Time-lagged Interactions between Stock Prices and Selected Economic Variables. </w:t>
      </w:r>
      <w:r w:rsidRPr="00090A18">
        <w:rPr>
          <w:rFonts w:ascii="Arial" w:hAnsi="Arial" w:cs="Arial"/>
          <w:i/>
          <w:iCs/>
        </w:rPr>
        <w:t xml:space="preserve">Journal of Portfolio Management, </w:t>
      </w:r>
      <w:r w:rsidRPr="00090A18">
        <w:rPr>
          <w:rFonts w:ascii="Arial" w:hAnsi="Arial" w:cs="Arial"/>
        </w:rPr>
        <w:t xml:space="preserve">17, </w:t>
      </w:r>
      <w:r w:rsidR="008E1638" w:rsidRPr="00090A18">
        <w:rPr>
          <w:rFonts w:ascii="Arial" w:hAnsi="Arial" w:cs="Arial"/>
        </w:rPr>
        <w:t xml:space="preserve">pp. </w:t>
      </w:r>
      <w:r w:rsidRPr="00090A18">
        <w:rPr>
          <w:rFonts w:ascii="Arial" w:hAnsi="Arial" w:cs="Arial"/>
        </w:rPr>
        <w:t>61-67.</w:t>
      </w:r>
    </w:p>
    <w:p w14:paraId="290BA9DB"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 xml:space="preserve">Calza A. and Sousa, J, 2003. Why has Broad Money Demand Been More Stable in the Euro Area then in Other Economies? </w:t>
      </w:r>
      <w:r w:rsidRPr="00090A18">
        <w:rPr>
          <w:rFonts w:ascii="Arial" w:hAnsi="Arial" w:cs="Arial"/>
          <w:i/>
          <w:iCs/>
          <w:sz w:val="22"/>
          <w:szCs w:val="22"/>
        </w:rPr>
        <w:t>A literature review</w:t>
      </w:r>
      <w:r w:rsidRPr="00090A18">
        <w:rPr>
          <w:rFonts w:ascii="Arial" w:hAnsi="Arial" w:cs="Arial"/>
          <w:sz w:val="22"/>
          <w:szCs w:val="22"/>
        </w:rPr>
        <w:t xml:space="preserve">. Working Paper Series 261. </w:t>
      </w:r>
    </w:p>
    <w:p w14:paraId="3F7FEE61" w14:textId="77777777" w:rsidR="009416D0" w:rsidRPr="00090A18" w:rsidRDefault="008E1638" w:rsidP="00C95522">
      <w:pPr>
        <w:pStyle w:val="ListParagraph"/>
        <w:numPr>
          <w:ilvl w:val="0"/>
          <w:numId w:val="10"/>
        </w:numPr>
        <w:tabs>
          <w:tab w:val="left" w:pos="709"/>
          <w:tab w:val="left" w:pos="851"/>
          <w:tab w:val="left" w:pos="4111"/>
          <w:tab w:val="left" w:pos="4140"/>
        </w:tabs>
        <w:spacing w:after="0" w:line="240" w:lineRule="auto"/>
        <w:jc w:val="both"/>
        <w:rPr>
          <w:rFonts w:ascii="Arial" w:eastAsia="Times New Roman" w:hAnsi="Arial" w:cs="Arial"/>
          <w:lang w:val="en-US" w:eastAsia="hr-HR"/>
        </w:rPr>
      </w:pPr>
      <w:r w:rsidRPr="00090A18">
        <w:rPr>
          <w:rFonts w:ascii="Arial" w:eastAsia="Times New Roman" w:hAnsi="Arial" w:cs="Arial"/>
          <w:lang w:eastAsia="hr-HR"/>
        </w:rPr>
        <w:t xml:space="preserve">Dickey D.A. and Fuller. W.A., 1979. </w:t>
      </w:r>
      <w:r w:rsidR="009416D0" w:rsidRPr="00090A18">
        <w:rPr>
          <w:rFonts w:ascii="Arial" w:eastAsia="Times New Roman" w:hAnsi="Arial" w:cs="Arial"/>
          <w:lang w:eastAsia="hr-HR"/>
        </w:rPr>
        <w:t xml:space="preserve">Distribution of the Estimators for Autoregressive Time Series with a Unit Root, </w:t>
      </w:r>
      <w:r w:rsidR="009416D0" w:rsidRPr="00090A18">
        <w:rPr>
          <w:rFonts w:ascii="Arial" w:eastAsia="Times New Roman" w:hAnsi="Arial" w:cs="Arial"/>
          <w:i/>
          <w:lang w:eastAsia="hr-HR"/>
        </w:rPr>
        <w:t>Journal of the American Statistical Association</w:t>
      </w:r>
      <w:r w:rsidR="009416D0" w:rsidRPr="00090A18">
        <w:rPr>
          <w:rFonts w:ascii="Arial" w:eastAsia="Times New Roman" w:hAnsi="Arial" w:cs="Arial"/>
          <w:lang w:eastAsia="hr-HR"/>
        </w:rPr>
        <w:t>, 74</w:t>
      </w:r>
      <w:r w:rsidRPr="00090A18">
        <w:rPr>
          <w:rFonts w:ascii="Arial" w:eastAsia="Times New Roman" w:hAnsi="Arial" w:cs="Arial"/>
          <w:lang w:eastAsia="hr-HR"/>
        </w:rPr>
        <w:t>,</w:t>
      </w:r>
      <w:r w:rsidR="009416D0" w:rsidRPr="00090A18">
        <w:rPr>
          <w:rFonts w:ascii="Arial" w:eastAsia="Times New Roman" w:hAnsi="Arial" w:cs="Arial"/>
          <w:lang w:eastAsia="hr-HR"/>
        </w:rPr>
        <w:t xml:space="preserve"> </w:t>
      </w:r>
      <w:r w:rsidRPr="00090A18">
        <w:rPr>
          <w:rFonts w:ascii="Arial" w:eastAsia="Times New Roman" w:hAnsi="Arial" w:cs="Arial"/>
          <w:lang w:eastAsia="hr-HR"/>
        </w:rPr>
        <w:t xml:space="preserve">pp. </w:t>
      </w:r>
      <w:r w:rsidR="009416D0" w:rsidRPr="00090A18">
        <w:rPr>
          <w:rFonts w:ascii="Arial" w:eastAsia="Times New Roman" w:hAnsi="Arial" w:cs="Arial"/>
          <w:lang w:eastAsia="hr-HR"/>
        </w:rPr>
        <w:t>427–431.</w:t>
      </w:r>
    </w:p>
    <w:p w14:paraId="29E8E571" w14:textId="77777777" w:rsidR="009416D0" w:rsidRPr="00090A18" w:rsidRDefault="00566A45"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Calibri" w:hAnsi="Arial" w:cs="Arial"/>
          <w:lang w:val="en-US"/>
        </w:rPr>
      </w:pPr>
      <w:r w:rsidRPr="00090A18">
        <w:rPr>
          <w:rFonts w:ascii="Arial" w:hAnsi="Arial" w:cs="Arial"/>
        </w:rPr>
        <w:t xml:space="preserve">Do, Q.-T. and Levchenko, A., 2004. Trade and Financial Development. </w:t>
      </w:r>
      <w:r w:rsidRPr="00090A18">
        <w:rPr>
          <w:rFonts w:ascii="Arial" w:hAnsi="Arial" w:cs="Arial"/>
          <w:i/>
          <w:iCs/>
        </w:rPr>
        <w:t xml:space="preserve">Policy Research Working Paper Series </w:t>
      </w:r>
      <w:r w:rsidRPr="00090A18">
        <w:rPr>
          <w:rFonts w:ascii="Arial" w:hAnsi="Arial" w:cs="Arial"/>
        </w:rPr>
        <w:t>3347, The World Bank.</w:t>
      </w:r>
    </w:p>
    <w:p w14:paraId="66B6F099" w14:textId="77777777" w:rsidR="00566A45" w:rsidRPr="00090A18" w:rsidRDefault="00566A45"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Calibri" w:hAnsi="Arial" w:cs="Arial"/>
          <w:lang w:val="en-US"/>
        </w:rPr>
      </w:pPr>
      <w:r w:rsidRPr="00090A18">
        <w:rPr>
          <w:rFonts w:ascii="Arial" w:hAnsi="Arial" w:cs="Arial"/>
        </w:rPr>
        <w:t>Dvorák, T and Podpiera, R.</w:t>
      </w:r>
      <w:r w:rsidR="008E1638" w:rsidRPr="00090A18">
        <w:rPr>
          <w:rFonts w:ascii="Arial" w:hAnsi="Arial" w:cs="Arial"/>
        </w:rPr>
        <w:t>,</w:t>
      </w:r>
      <w:r w:rsidRPr="00090A18">
        <w:rPr>
          <w:rFonts w:ascii="Arial" w:hAnsi="Arial" w:cs="Arial"/>
        </w:rPr>
        <w:t xml:space="preserve"> 2006. European Union Enlargement and Equity Markets in Accession Countries. </w:t>
      </w:r>
      <w:r w:rsidRPr="00090A18">
        <w:rPr>
          <w:rFonts w:ascii="Arial" w:hAnsi="Arial" w:cs="Arial"/>
          <w:i/>
          <w:iCs/>
        </w:rPr>
        <w:t xml:space="preserve">Emerging Markets Review </w:t>
      </w:r>
      <w:r w:rsidRPr="00090A18">
        <w:rPr>
          <w:rFonts w:ascii="Arial" w:hAnsi="Arial" w:cs="Arial"/>
        </w:rPr>
        <w:t xml:space="preserve">7(2), </w:t>
      </w:r>
      <w:r w:rsidR="008E1638" w:rsidRPr="00090A18">
        <w:rPr>
          <w:rFonts w:ascii="Arial" w:hAnsi="Arial" w:cs="Arial"/>
        </w:rPr>
        <w:t xml:space="preserve">pp. </w:t>
      </w:r>
      <w:r w:rsidRPr="00090A18">
        <w:rPr>
          <w:rFonts w:ascii="Arial" w:hAnsi="Arial" w:cs="Arial"/>
        </w:rPr>
        <w:t>129–146.</w:t>
      </w:r>
    </w:p>
    <w:p w14:paraId="1339018A" w14:textId="77777777" w:rsidR="009416D0" w:rsidRPr="00090A18" w:rsidRDefault="008E1638" w:rsidP="00C95522">
      <w:pPr>
        <w:pStyle w:val="ListParagraph"/>
        <w:numPr>
          <w:ilvl w:val="0"/>
          <w:numId w:val="10"/>
        </w:numPr>
        <w:tabs>
          <w:tab w:val="left" w:pos="709"/>
          <w:tab w:val="left" w:pos="4111"/>
          <w:tab w:val="left" w:pos="4140"/>
        </w:tabs>
        <w:adjustRightInd w:val="0"/>
        <w:spacing w:after="0" w:line="240" w:lineRule="auto"/>
        <w:jc w:val="both"/>
        <w:rPr>
          <w:rFonts w:ascii="Arial" w:eastAsia="Times New Roman" w:hAnsi="Arial" w:cs="Arial"/>
          <w:lang w:eastAsia="hr-HR"/>
        </w:rPr>
      </w:pPr>
      <w:r w:rsidRPr="00090A18">
        <w:rPr>
          <w:rFonts w:ascii="Arial" w:eastAsia="Times New Roman" w:hAnsi="Arial" w:cs="Arial"/>
          <w:lang w:eastAsia="hr-HR"/>
        </w:rPr>
        <w:t xml:space="preserve">Égert B. and Kočenda, E., 2007. </w:t>
      </w:r>
      <w:r w:rsidR="009416D0" w:rsidRPr="00090A18">
        <w:rPr>
          <w:rFonts w:ascii="Arial" w:eastAsia="Times New Roman" w:hAnsi="Arial" w:cs="Arial"/>
          <w:lang w:eastAsia="hr-HR"/>
        </w:rPr>
        <w:t xml:space="preserve">Interdependence between Eastern and Western European Stock Markets: Evidence from intraday data, </w:t>
      </w:r>
      <w:r w:rsidR="009416D0" w:rsidRPr="00090A18">
        <w:rPr>
          <w:rFonts w:ascii="Arial" w:eastAsia="Times New Roman" w:hAnsi="Arial" w:cs="Arial"/>
          <w:i/>
          <w:iCs/>
          <w:lang w:eastAsia="hr-HR"/>
        </w:rPr>
        <w:t>Economic Systems</w:t>
      </w:r>
      <w:r w:rsidRPr="00090A18">
        <w:rPr>
          <w:rFonts w:ascii="Arial" w:eastAsia="Times New Roman" w:hAnsi="Arial" w:cs="Arial"/>
          <w:lang w:eastAsia="hr-HR"/>
        </w:rPr>
        <w:t>, 31(2),</w:t>
      </w:r>
      <w:r w:rsidR="009416D0" w:rsidRPr="00090A18">
        <w:rPr>
          <w:rFonts w:ascii="Arial" w:eastAsia="Times New Roman" w:hAnsi="Arial" w:cs="Arial"/>
          <w:lang w:eastAsia="hr-HR"/>
        </w:rPr>
        <w:t xml:space="preserve"> </w:t>
      </w:r>
      <w:r w:rsidRPr="00090A18">
        <w:rPr>
          <w:rFonts w:ascii="Arial" w:eastAsia="Times New Roman" w:hAnsi="Arial" w:cs="Arial"/>
          <w:lang w:eastAsia="hr-HR"/>
        </w:rPr>
        <w:t xml:space="preserve">pp. </w:t>
      </w:r>
      <w:r w:rsidR="009416D0" w:rsidRPr="00090A18">
        <w:rPr>
          <w:rFonts w:ascii="Arial" w:eastAsia="Times New Roman" w:hAnsi="Arial" w:cs="Arial"/>
          <w:lang w:eastAsia="hr-HR"/>
        </w:rPr>
        <w:t xml:space="preserve">184–203. </w:t>
      </w:r>
    </w:p>
    <w:p w14:paraId="0CFCCA73" w14:textId="77777777" w:rsidR="009416D0" w:rsidRPr="00090A18" w:rsidRDefault="008E1638" w:rsidP="00C95522">
      <w:pPr>
        <w:pStyle w:val="ListParagraph"/>
        <w:numPr>
          <w:ilvl w:val="0"/>
          <w:numId w:val="10"/>
        </w:numPr>
        <w:tabs>
          <w:tab w:val="left" w:pos="709"/>
          <w:tab w:val="left" w:pos="851"/>
          <w:tab w:val="left" w:pos="4111"/>
          <w:tab w:val="left" w:pos="4140"/>
        </w:tabs>
        <w:autoSpaceDE w:val="0"/>
        <w:autoSpaceDN w:val="0"/>
        <w:adjustRightInd w:val="0"/>
        <w:spacing w:after="0" w:line="240" w:lineRule="auto"/>
        <w:jc w:val="both"/>
        <w:rPr>
          <w:rFonts w:ascii="Arial" w:eastAsia="Times New Roman" w:hAnsi="Arial" w:cs="Arial"/>
          <w:bCs/>
          <w:lang w:val="en-US" w:eastAsia="hr-HR"/>
        </w:rPr>
      </w:pPr>
      <w:r w:rsidRPr="00090A18">
        <w:rPr>
          <w:rFonts w:ascii="Arial" w:eastAsia="Times New Roman" w:hAnsi="Arial" w:cs="Arial"/>
          <w:bCs/>
          <w:lang w:val="en-US" w:eastAsia="hr-HR"/>
        </w:rPr>
        <w:t xml:space="preserve">Esaka T., 2003. </w:t>
      </w:r>
      <w:r w:rsidR="009416D0" w:rsidRPr="00090A18">
        <w:rPr>
          <w:rFonts w:ascii="Arial" w:eastAsia="Times New Roman" w:hAnsi="Arial" w:cs="Arial"/>
          <w:bCs/>
          <w:lang w:val="en-US" w:eastAsia="hr-HR"/>
        </w:rPr>
        <w:t xml:space="preserve">Panel Unit Root Tests of Purchacing Power Parity Between Japanese Cities, 1960 – </w:t>
      </w:r>
      <w:r w:rsidRPr="00090A18">
        <w:rPr>
          <w:rFonts w:ascii="Arial" w:eastAsia="Times New Roman" w:hAnsi="Arial" w:cs="Arial"/>
          <w:bCs/>
          <w:lang w:val="en-US" w:eastAsia="hr-HR"/>
        </w:rPr>
        <w:t>1998,  disaggregated price data</w:t>
      </w:r>
      <w:r w:rsidR="009416D0" w:rsidRPr="00090A18">
        <w:rPr>
          <w:rFonts w:ascii="Arial" w:eastAsia="Times New Roman" w:hAnsi="Arial" w:cs="Arial"/>
          <w:bCs/>
          <w:lang w:val="en-US" w:eastAsia="hr-HR"/>
        </w:rPr>
        <w:t xml:space="preserve">, </w:t>
      </w:r>
      <w:r w:rsidR="009416D0" w:rsidRPr="00090A18">
        <w:rPr>
          <w:rFonts w:ascii="Arial" w:eastAsia="Times New Roman" w:hAnsi="Arial" w:cs="Arial"/>
          <w:bCs/>
          <w:i/>
          <w:lang w:val="en-US" w:eastAsia="hr-HR"/>
        </w:rPr>
        <w:t>Japan and the World Economy</w:t>
      </w:r>
      <w:r w:rsidRPr="00090A18">
        <w:rPr>
          <w:rFonts w:ascii="Arial" w:eastAsia="Calibri" w:hAnsi="Arial" w:cs="Arial"/>
          <w:lang w:eastAsia="hr-HR"/>
        </w:rPr>
        <w:t xml:space="preserve">, 15 (2), pp. </w:t>
      </w:r>
      <w:r w:rsidR="009416D0" w:rsidRPr="00090A18">
        <w:rPr>
          <w:rFonts w:ascii="Arial" w:eastAsia="Calibri" w:hAnsi="Arial" w:cs="Arial"/>
          <w:lang w:eastAsia="hr-HR"/>
        </w:rPr>
        <w:t>233–244</w:t>
      </w:r>
    </w:p>
    <w:p w14:paraId="58EF63E9" w14:textId="77777777" w:rsidR="009416D0" w:rsidRPr="00090A18" w:rsidRDefault="008E1638" w:rsidP="00C95522">
      <w:pPr>
        <w:pStyle w:val="ListParagraph"/>
        <w:numPr>
          <w:ilvl w:val="0"/>
          <w:numId w:val="10"/>
        </w:numPr>
        <w:tabs>
          <w:tab w:val="left" w:pos="709"/>
          <w:tab w:val="left" w:pos="4111"/>
          <w:tab w:val="left" w:pos="4140"/>
        </w:tabs>
        <w:spacing w:after="0" w:line="240" w:lineRule="auto"/>
        <w:jc w:val="both"/>
        <w:rPr>
          <w:rFonts w:ascii="Arial" w:eastAsia="Times New Roman" w:hAnsi="Arial" w:cs="Arial"/>
          <w:lang w:val="en-US" w:eastAsia="hr-HR"/>
        </w:rPr>
      </w:pPr>
      <w:r w:rsidRPr="00090A18">
        <w:rPr>
          <w:rFonts w:ascii="Arial" w:eastAsia="Times New Roman" w:hAnsi="Arial" w:cs="Arial"/>
          <w:lang w:val="en-US" w:eastAsia="hr-HR"/>
        </w:rPr>
        <w:t xml:space="preserve">European Commission, 2011. </w:t>
      </w:r>
      <w:r w:rsidR="009416D0" w:rsidRPr="00090A18">
        <w:rPr>
          <w:rFonts w:ascii="Arial" w:eastAsia="Times New Roman" w:hAnsi="Arial" w:cs="Arial"/>
          <w:i/>
          <w:lang w:val="en-US" w:eastAsia="hr-HR"/>
        </w:rPr>
        <w:t>EU Candidate and Pre-Accession Countries Economic Quarterly</w:t>
      </w:r>
      <w:r w:rsidRPr="00090A18">
        <w:rPr>
          <w:rFonts w:ascii="Arial" w:eastAsia="Times New Roman" w:hAnsi="Arial" w:cs="Arial"/>
          <w:lang w:val="en-US" w:eastAsia="hr-HR"/>
        </w:rPr>
        <w:t xml:space="preserve"> (</w:t>
      </w:r>
      <w:r w:rsidR="009416D0" w:rsidRPr="00090A18">
        <w:rPr>
          <w:rFonts w:ascii="Arial" w:eastAsia="Times New Roman" w:hAnsi="Arial" w:cs="Arial"/>
          <w:lang w:val="en-US" w:eastAsia="hr-HR"/>
        </w:rPr>
        <w:t>CCEQ).</w:t>
      </w:r>
    </w:p>
    <w:p w14:paraId="72D8BC15" w14:textId="77777777" w:rsidR="009416D0" w:rsidRPr="00090A18" w:rsidRDefault="008E1638"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eastAsia="Times New Roman" w:hAnsi="Arial" w:cs="Arial"/>
          <w:lang w:eastAsia="hr-HR"/>
        </w:rPr>
        <w:t xml:space="preserve">Fama E., 1981. </w:t>
      </w:r>
      <w:r w:rsidR="009416D0" w:rsidRPr="00090A18">
        <w:rPr>
          <w:rFonts w:ascii="Arial" w:eastAsia="Times New Roman" w:hAnsi="Arial" w:cs="Arial"/>
          <w:lang w:eastAsia="hr-HR"/>
        </w:rPr>
        <w:t>Stock Returns, Real</w:t>
      </w:r>
      <w:r w:rsidRPr="00090A18">
        <w:rPr>
          <w:rFonts w:ascii="Arial" w:eastAsia="Times New Roman" w:hAnsi="Arial" w:cs="Arial"/>
          <w:lang w:eastAsia="hr-HR"/>
        </w:rPr>
        <w:t xml:space="preserve"> Activity, Inflation, and Money</w:t>
      </w:r>
      <w:r w:rsidR="009416D0" w:rsidRPr="00090A18">
        <w:rPr>
          <w:rFonts w:ascii="Arial" w:eastAsia="Times New Roman" w:hAnsi="Arial" w:cs="Arial"/>
          <w:lang w:eastAsia="hr-HR"/>
        </w:rPr>
        <w:t xml:space="preserve">, </w:t>
      </w:r>
      <w:r w:rsidR="009416D0" w:rsidRPr="00090A18">
        <w:rPr>
          <w:rFonts w:ascii="Arial" w:eastAsia="Times New Roman" w:hAnsi="Arial" w:cs="Arial"/>
          <w:i/>
          <w:lang w:eastAsia="hr-HR"/>
        </w:rPr>
        <w:t>American Economic Review</w:t>
      </w:r>
      <w:r w:rsidRPr="00090A18">
        <w:rPr>
          <w:rFonts w:ascii="Arial" w:eastAsia="Times New Roman" w:hAnsi="Arial" w:cs="Arial"/>
          <w:lang w:eastAsia="hr-HR"/>
        </w:rPr>
        <w:t xml:space="preserve">, 71, pp. </w:t>
      </w:r>
      <w:r w:rsidR="009416D0" w:rsidRPr="00090A18">
        <w:rPr>
          <w:rFonts w:ascii="Arial" w:eastAsia="Times New Roman" w:hAnsi="Arial" w:cs="Arial"/>
          <w:lang w:eastAsia="hr-HR"/>
        </w:rPr>
        <w:t>545-565.</w:t>
      </w:r>
    </w:p>
    <w:p w14:paraId="7FB454AE"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Fama, E.</w:t>
      </w:r>
      <w:r w:rsidR="008E1638" w:rsidRPr="00090A18">
        <w:rPr>
          <w:rFonts w:ascii="Arial" w:hAnsi="Arial" w:cs="Arial"/>
          <w:sz w:val="22"/>
          <w:szCs w:val="22"/>
        </w:rPr>
        <w:t>,</w:t>
      </w:r>
      <w:r w:rsidRPr="00090A18">
        <w:rPr>
          <w:rFonts w:ascii="Arial" w:hAnsi="Arial" w:cs="Arial"/>
          <w:sz w:val="22"/>
          <w:szCs w:val="22"/>
        </w:rPr>
        <w:t xml:space="preserve"> 1965. The Behavior of Stock Market </w:t>
      </w:r>
      <w:r w:rsidR="008E1638" w:rsidRPr="00090A18">
        <w:rPr>
          <w:rFonts w:ascii="Arial" w:hAnsi="Arial" w:cs="Arial"/>
          <w:sz w:val="22"/>
          <w:szCs w:val="22"/>
        </w:rPr>
        <w:t>Prices. Journal of Business, 38, pp.</w:t>
      </w:r>
      <w:r w:rsidRPr="00090A18">
        <w:rPr>
          <w:rFonts w:ascii="Arial" w:hAnsi="Arial" w:cs="Arial"/>
          <w:sz w:val="22"/>
          <w:szCs w:val="22"/>
        </w:rPr>
        <w:t xml:space="preserve"> 34-105. </w:t>
      </w:r>
    </w:p>
    <w:p w14:paraId="44219C82"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Fama, E.</w:t>
      </w:r>
      <w:r w:rsidR="008E1638" w:rsidRPr="00090A18">
        <w:rPr>
          <w:rFonts w:ascii="Arial" w:hAnsi="Arial" w:cs="Arial"/>
          <w:sz w:val="22"/>
          <w:szCs w:val="22"/>
        </w:rPr>
        <w:t>,</w:t>
      </w:r>
      <w:r w:rsidRPr="00090A18">
        <w:rPr>
          <w:rFonts w:ascii="Arial" w:hAnsi="Arial" w:cs="Arial"/>
          <w:sz w:val="22"/>
          <w:szCs w:val="22"/>
        </w:rPr>
        <w:t xml:space="preserve"> 1981. Stock Returns, Real Activity, Inflation, and Money. </w:t>
      </w:r>
      <w:r w:rsidRPr="00090A18">
        <w:rPr>
          <w:rFonts w:ascii="Arial" w:hAnsi="Arial" w:cs="Arial"/>
          <w:i/>
          <w:iCs/>
          <w:sz w:val="22"/>
          <w:szCs w:val="22"/>
        </w:rPr>
        <w:t xml:space="preserve">American Economic Review. </w:t>
      </w:r>
      <w:r w:rsidRPr="00090A18">
        <w:rPr>
          <w:rFonts w:ascii="Arial" w:hAnsi="Arial" w:cs="Arial"/>
          <w:sz w:val="22"/>
          <w:szCs w:val="22"/>
        </w:rPr>
        <w:t xml:space="preserve">September 71, </w:t>
      </w:r>
      <w:r w:rsidR="008E1638" w:rsidRPr="00090A18">
        <w:rPr>
          <w:rFonts w:ascii="Arial" w:hAnsi="Arial" w:cs="Arial"/>
          <w:sz w:val="22"/>
          <w:szCs w:val="22"/>
        </w:rPr>
        <w:t xml:space="preserve">pp. </w:t>
      </w:r>
      <w:r w:rsidRPr="00090A18">
        <w:rPr>
          <w:rFonts w:ascii="Arial" w:hAnsi="Arial" w:cs="Arial"/>
          <w:sz w:val="22"/>
          <w:szCs w:val="22"/>
        </w:rPr>
        <w:t xml:space="preserve">545-565. </w:t>
      </w:r>
    </w:p>
    <w:p w14:paraId="587E0676"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Fama, E. and French, K.</w:t>
      </w:r>
      <w:r w:rsidR="008E1638" w:rsidRPr="00090A18">
        <w:rPr>
          <w:rFonts w:ascii="Arial" w:hAnsi="Arial" w:cs="Arial"/>
          <w:sz w:val="22"/>
          <w:szCs w:val="22"/>
        </w:rPr>
        <w:t>,</w:t>
      </w:r>
      <w:r w:rsidRPr="00090A18">
        <w:rPr>
          <w:rFonts w:ascii="Arial" w:hAnsi="Arial" w:cs="Arial"/>
          <w:sz w:val="22"/>
          <w:szCs w:val="22"/>
        </w:rPr>
        <w:t xml:space="preserve"> 1989. Business Conditions and the Expected Returns on Stocks and Bonds. </w:t>
      </w:r>
      <w:r w:rsidRPr="00090A18">
        <w:rPr>
          <w:rFonts w:ascii="Arial" w:hAnsi="Arial" w:cs="Arial"/>
          <w:i/>
          <w:iCs/>
          <w:sz w:val="22"/>
          <w:szCs w:val="22"/>
        </w:rPr>
        <w:t xml:space="preserve">Journal of Financial Economics </w:t>
      </w:r>
      <w:r w:rsidRPr="00090A18">
        <w:rPr>
          <w:rFonts w:ascii="Arial" w:hAnsi="Arial" w:cs="Arial"/>
          <w:sz w:val="22"/>
          <w:szCs w:val="22"/>
        </w:rPr>
        <w:t xml:space="preserve">25, </w:t>
      </w:r>
      <w:r w:rsidR="008E1638" w:rsidRPr="00090A18">
        <w:rPr>
          <w:rFonts w:ascii="Arial" w:hAnsi="Arial" w:cs="Arial"/>
          <w:sz w:val="22"/>
          <w:szCs w:val="22"/>
        </w:rPr>
        <w:t xml:space="preserve">pp. </w:t>
      </w:r>
      <w:r w:rsidRPr="00090A18">
        <w:rPr>
          <w:rFonts w:ascii="Arial" w:hAnsi="Arial" w:cs="Arial"/>
          <w:sz w:val="22"/>
          <w:szCs w:val="22"/>
        </w:rPr>
        <w:t xml:space="preserve">23-50 </w:t>
      </w:r>
    </w:p>
    <w:p w14:paraId="75CAB188" w14:textId="77777777" w:rsidR="009416D0" w:rsidRPr="00090A18" w:rsidRDefault="00566A45" w:rsidP="00C95522">
      <w:pPr>
        <w:pStyle w:val="ListParagraph"/>
        <w:numPr>
          <w:ilvl w:val="0"/>
          <w:numId w:val="10"/>
        </w:numPr>
        <w:tabs>
          <w:tab w:val="left" w:pos="709"/>
          <w:tab w:val="left" w:pos="4111"/>
          <w:tab w:val="left" w:pos="4140"/>
        </w:tabs>
        <w:spacing w:after="0" w:line="240" w:lineRule="auto"/>
        <w:jc w:val="both"/>
        <w:rPr>
          <w:rFonts w:ascii="Arial" w:eastAsia="Times New Roman" w:hAnsi="Arial" w:cs="Arial"/>
          <w:lang w:val="en-US" w:eastAsia="hr-HR"/>
        </w:rPr>
      </w:pPr>
      <w:r w:rsidRPr="00090A18">
        <w:rPr>
          <w:rFonts w:ascii="Arial" w:hAnsi="Arial" w:cs="Arial"/>
        </w:rPr>
        <w:t>Fifield, S., Power, D., and Sinclair, C.</w:t>
      </w:r>
      <w:r w:rsidR="008E1638" w:rsidRPr="00090A18">
        <w:rPr>
          <w:rFonts w:ascii="Arial" w:hAnsi="Arial" w:cs="Arial"/>
        </w:rPr>
        <w:t>,</w:t>
      </w:r>
      <w:r w:rsidRPr="00090A18">
        <w:rPr>
          <w:rFonts w:ascii="Arial" w:hAnsi="Arial" w:cs="Arial"/>
        </w:rPr>
        <w:t xml:space="preserve"> 2000. A Study of Whether Macroeconomic Factors Influence Emerging Market Share Returns. </w:t>
      </w:r>
      <w:r w:rsidRPr="00090A18">
        <w:rPr>
          <w:rFonts w:ascii="Arial" w:hAnsi="Arial" w:cs="Arial"/>
          <w:i/>
          <w:iCs/>
        </w:rPr>
        <w:t xml:space="preserve">Global Economy Quarterly </w:t>
      </w:r>
      <w:r w:rsidRPr="00090A18">
        <w:rPr>
          <w:rFonts w:ascii="Arial" w:hAnsi="Arial" w:cs="Arial"/>
        </w:rPr>
        <w:t>1.,</w:t>
      </w:r>
      <w:r w:rsidR="008E1638" w:rsidRPr="00090A18">
        <w:rPr>
          <w:rFonts w:ascii="Arial" w:hAnsi="Arial" w:cs="Arial"/>
        </w:rPr>
        <w:t>pp.</w:t>
      </w:r>
      <w:r w:rsidRPr="00090A18">
        <w:rPr>
          <w:rFonts w:ascii="Arial" w:hAnsi="Arial" w:cs="Arial"/>
        </w:rPr>
        <w:t xml:space="preserve"> 315-335.</w:t>
      </w:r>
    </w:p>
    <w:p w14:paraId="7C09B859"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Friedman, M. and Schwartz, A.</w:t>
      </w:r>
      <w:r w:rsidR="008E1638" w:rsidRPr="00090A18">
        <w:rPr>
          <w:rFonts w:ascii="Arial" w:hAnsi="Arial" w:cs="Arial"/>
          <w:sz w:val="22"/>
          <w:szCs w:val="22"/>
        </w:rPr>
        <w:t>,</w:t>
      </w:r>
      <w:r w:rsidRPr="00090A18">
        <w:rPr>
          <w:rFonts w:ascii="Arial" w:hAnsi="Arial" w:cs="Arial"/>
          <w:sz w:val="22"/>
          <w:szCs w:val="22"/>
        </w:rPr>
        <w:t xml:space="preserve"> 1963. A Monetary History of the United States. Princeton: Princeton University Press, </w:t>
      </w:r>
      <w:r w:rsidR="008E1638" w:rsidRPr="00090A18">
        <w:rPr>
          <w:rFonts w:ascii="Arial" w:hAnsi="Arial" w:cs="Arial"/>
          <w:sz w:val="22"/>
          <w:szCs w:val="22"/>
        </w:rPr>
        <w:t xml:space="preserve">pp. </w:t>
      </w:r>
      <w:r w:rsidRPr="00090A18">
        <w:rPr>
          <w:rFonts w:ascii="Arial" w:hAnsi="Arial" w:cs="Arial"/>
          <w:sz w:val="22"/>
          <w:szCs w:val="22"/>
        </w:rPr>
        <w:t xml:space="preserve">1867-1960. </w:t>
      </w:r>
    </w:p>
    <w:p w14:paraId="1BF2179C"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Friedman, M.</w:t>
      </w:r>
      <w:r w:rsidR="008E1638" w:rsidRPr="00090A18">
        <w:rPr>
          <w:rFonts w:ascii="Arial" w:hAnsi="Arial" w:cs="Arial"/>
          <w:sz w:val="22"/>
          <w:szCs w:val="22"/>
        </w:rPr>
        <w:t>,</w:t>
      </w:r>
      <w:r w:rsidRPr="00090A18">
        <w:rPr>
          <w:rFonts w:ascii="Arial" w:hAnsi="Arial" w:cs="Arial"/>
          <w:sz w:val="22"/>
          <w:szCs w:val="22"/>
        </w:rPr>
        <w:t xml:space="preserve"> 1988. Money and the Stock Market. </w:t>
      </w:r>
      <w:r w:rsidRPr="00090A18">
        <w:rPr>
          <w:rFonts w:ascii="Arial" w:hAnsi="Arial" w:cs="Arial"/>
          <w:i/>
          <w:iCs/>
          <w:sz w:val="22"/>
          <w:szCs w:val="22"/>
        </w:rPr>
        <w:t xml:space="preserve">Journal of Political Economy </w:t>
      </w:r>
      <w:r w:rsidRPr="00090A18">
        <w:rPr>
          <w:rFonts w:ascii="Arial" w:hAnsi="Arial" w:cs="Arial"/>
          <w:sz w:val="22"/>
          <w:szCs w:val="22"/>
        </w:rPr>
        <w:t>96(21),</w:t>
      </w:r>
      <w:r w:rsidR="008E1638" w:rsidRPr="00090A18">
        <w:rPr>
          <w:rFonts w:ascii="Arial" w:hAnsi="Arial" w:cs="Arial"/>
          <w:sz w:val="22"/>
          <w:szCs w:val="22"/>
        </w:rPr>
        <w:t xml:space="preserve"> pp.</w:t>
      </w:r>
      <w:r w:rsidRPr="00090A18">
        <w:rPr>
          <w:rFonts w:ascii="Arial" w:hAnsi="Arial" w:cs="Arial"/>
          <w:sz w:val="22"/>
          <w:szCs w:val="22"/>
        </w:rPr>
        <w:t xml:space="preserve"> 221-245. </w:t>
      </w:r>
    </w:p>
    <w:p w14:paraId="31807717"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Golsten, L., Jarannathan, R. and Runkle, D.</w:t>
      </w:r>
      <w:r w:rsidR="008E1638" w:rsidRPr="00090A18">
        <w:rPr>
          <w:rFonts w:ascii="Arial" w:hAnsi="Arial" w:cs="Arial"/>
          <w:sz w:val="22"/>
          <w:szCs w:val="22"/>
        </w:rPr>
        <w:t>,</w:t>
      </w:r>
      <w:r w:rsidRPr="00090A18">
        <w:rPr>
          <w:rFonts w:ascii="Arial" w:hAnsi="Arial" w:cs="Arial"/>
          <w:sz w:val="22"/>
          <w:szCs w:val="22"/>
        </w:rPr>
        <w:t xml:space="preserve"> 1993. Relationship between the Expected Value and Volatility of the Nominal Excess Returns on Stocks. </w:t>
      </w:r>
      <w:r w:rsidRPr="00090A18">
        <w:rPr>
          <w:rFonts w:ascii="Arial" w:hAnsi="Arial" w:cs="Arial"/>
          <w:i/>
          <w:iCs/>
          <w:sz w:val="22"/>
          <w:szCs w:val="22"/>
        </w:rPr>
        <w:t xml:space="preserve">Journal of Finance </w:t>
      </w:r>
      <w:r w:rsidRPr="00090A18">
        <w:rPr>
          <w:rFonts w:ascii="Arial" w:hAnsi="Arial" w:cs="Arial"/>
          <w:sz w:val="22"/>
          <w:szCs w:val="22"/>
        </w:rPr>
        <w:t xml:space="preserve">48, </w:t>
      </w:r>
      <w:r w:rsidR="008E1638" w:rsidRPr="00090A18">
        <w:rPr>
          <w:rFonts w:ascii="Arial" w:hAnsi="Arial" w:cs="Arial"/>
          <w:sz w:val="22"/>
          <w:szCs w:val="22"/>
        </w:rPr>
        <w:t xml:space="preserve">pp. </w:t>
      </w:r>
      <w:r w:rsidRPr="00090A18">
        <w:rPr>
          <w:rFonts w:ascii="Arial" w:hAnsi="Arial" w:cs="Arial"/>
          <w:sz w:val="22"/>
          <w:szCs w:val="22"/>
        </w:rPr>
        <w:t>1779-802.</w:t>
      </w:r>
    </w:p>
    <w:p w14:paraId="286588C5"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lastRenderedPageBreak/>
        <w:t>Hansen, L. P.</w:t>
      </w:r>
      <w:r w:rsidR="008E1638" w:rsidRPr="00090A18">
        <w:rPr>
          <w:rFonts w:ascii="Arial" w:hAnsi="Arial" w:cs="Arial"/>
          <w:sz w:val="22"/>
          <w:szCs w:val="22"/>
        </w:rPr>
        <w:t>,</w:t>
      </w:r>
      <w:r w:rsidRPr="00090A18">
        <w:rPr>
          <w:rFonts w:ascii="Arial" w:hAnsi="Arial" w:cs="Arial"/>
          <w:sz w:val="22"/>
          <w:szCs w:val="22"/>
        </w:rPr>
        <w:t xml:space="preserve"> 1986. Asymptotic Covariance Matrix Bounds for Instrumental Variables Estimators of Linear Time Series Models. Manuscript, University of Chicago, Chicago, IL, USA. </w:t>
      </w:r>
    </w:p>
    <w:p w14:paraId="5A3CB81E" w14:textId="77777777" w:rsidR="00566A45" w:rsidRPr="00090A18" w:rsidRDefault="00566A45" w:rsidP="00C95522">
      <w:pPr>
        <w:pStyle w:val="Default"/>
        <w:numPr>
          <w:ilvl w:val="0"/>
          <w:numId w:val="10"/>
        </w:numPr>
        <w:contextualSpacing/>
        <w:rPr>
          <w:rFonts w:ascii="Arial" w:hAnsi="Arial" w:cs="Arial"/>
          <w:sz w:val="22"/>
          <w:szCs w:val="22"/>
        </w:rPr>
      </w:pPr>
      <w:r w:rsidRPr="00090A18">
        <w:rPr>
          <w:rFonts w:ascii="Arial" w:hAnsi="Arial" w:cs="Arial"/>
          <w:sz w:val="22"/>
          <w:szCs w:val="22"/>
        </w:rPr>
        <w:t>Hansen, B.E.</w:t>
      </w:r>
      <w:r w:rsidR="008E1638" w:rsidRPr="00090A18">
        <w:rPr>
          <w:rFonts w:ascii="Arial" w:hAnsi="Arial" w:cs="Arial"/>
          <w:sz w:val="22"/>
          <w:szCs w:val="22"/>
        </w:rPr>
        <w:t>,</w:t>
      </w:r>
      <w:r w:rsidRPr="00090A18">
        <w:rPr>
          <w:rFonts w:ascii="Arial" w:hAnsi="Arial" w:cs="Arial"/>
          <w:sz w:val="22"/>
          <w:szCs w:val="22"/>
        </w:rPr>
        <w:t xml:space="preserve"> 1997. Approximate Asymptotic P-Values for Structural-Change Tests, Journal of Business and Economic Statistics 15, </w:t>
      </w:r>
      <w:r w:rsidR="008E1638" w:rsidRPr="00090A18">
        <w:rPr>
          <w:rFonts w:ascii="Arial" w:hAnsi="Arial" w:cs="Arial"/>
          <w:sz w:val="22"/>
          <w:szCs w:val="22"/>
        </w:rPr>
        <w:t xml:space="preserve">pp. </w:t>
      </w:r>
      <w:r w:rsidRPr="00090A18">
        <w:rPr>
          <w:rFonts w:ascii="Arial" w:hAnsi="Arial" w:cs="Arial"/>
          <w:sz w:val="22"/>
          <w:szCs w:val="22"/>
        </w:rPr>
        <w:t xml:space="preserve">60-67. </w:t>
      </w:r>
    </w:p>
    <w:p w14:paraId="66704CD5" w14:textId="77777777" w:rsidR="009416D0" w:rsidRPr="00090A18" w:rsidRDefault="008E1638"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eastAsia="Times New Roman" w:hAnsi="Arial" w:cs="Arial"/>
          <w:lang w:eastAsia="hr-HR"/>
        </w:rPr>
        <w:t xml:space="preserve">Ho C. S. F., 2009. </w:t>
      </w:r>
      <w:r w:rsidR="009416D0" w:rsidRPr="00090A18">
        <w:rPr>
          <w:rFonts w:ascii="Arial" w:eastAsia="Times New Roman" w:hAnsi="Arial" w:cs="Arial"/>
          <w:lang w:eastAsia="hr-HR"/>
        </w:rPr>
        <w:t>Exchange Rate Behaviour of East E</w:t>
      </w:r>
      <w:r w:rsidRPr="00090A18">
        <w:rPr>
          <w:rFonts w:ascii="Arial" w:eastAsia="Times New Roman" w:hAnsi="Arial" w:cs="Arial"/>
          <w:lang w:eastAsia="hr-HR"/>
        </w:rPr>
        <w:t>uropean Ttransitional Economies</w:t>
      </w:r>
      <w:r w:rsidR="009416D0" w:rsidRPr="00090A18">
        <w:rPr>
          <w:rFonts w:ascii="Arial" w:eastAsia="Times New Roman" w:hAnsi="Arial" w:cs="Arial"/>
          <w:lang w:eastAsia="hr-HR"/>
        </w:rPr>
        <w:t xml:space="preserve">, </w:t>
      </w:r>
      <w:r w:rsidR="009416D0" w:rsidRPr="00090A18">
        <w:rPr>
          <w:rFonts w:ascii="Arial" w:eastAsia="Times New Roman" w:hAnsi="Arial" w:cs="Arial"/>
          <w:i/>
          <w:iCs/>
          <w:lang w:eastAsia="hr-HR"/>
        </w:rPr>
        <w:t>International Journal of Banking and Finance</w:t>
      </w:r>
      <w:r w:rsidR="009416D0" w:rsidRPr="00090A18">
        <w:rPr>
          <w:rFonts w:ascii="Arial" w:eastAsia="Times New Roman" w:hAnsi="Arial" w:cs="Arial"/>
          <w:lang w:eastAsia="hr-HR"/>
        </w:rPr>
        <w:t xml:space="preserve">, 6 (2). </w:t>
      </w:r>
    </w:p>
    <w:p w14:paraId="7D4083D5" w14:textId="77777777" w:rsidR="00566A45" w:rsidRPr="00090A18" w:rsidRDefault="00566A45"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hAnsi="Arial" w:cs="Arial"/>
        </w:rPr>
        <w:t>Hondroyiannis, G. and Papapetrou, E.</w:t>
      </w:r>
      <w:r w:rsidR="008E1638" w:rsidRPr="00090A18">
        <w:rPr>
          <w:rFonts w:ascii="Arial" w:hAnsi="Arial" w:cs="Arial"/>
        </w:rPr>
        <w:t>,</w:t>
      </w:r>
      <w:r w:rsidRPr="00090A18">
        <w:rPr>
          <w:rFonts w:ascii="Arial" w:hAnsi="Arial" w:cs="Arial"/>
        </w:rPr>
        <w:t xml:space="preserve"> 2001. Macroeconomic Influences on the Stock Market. </w:t>
      </w:r>
      <w:r w:rsidRPr="00090A18">
        <w:rPr>
          <w:rFonts w:ascii="Arial" w:hAnsi="Arial" w:cs="Arial"/>
          <w:i/>
          <w:iCs/>
        </w:rPr>
        <w:t xml:space="preserve">Journal of Economies and Finance </w:t>
      </w:r>
      <w:r w:rsidRPr="00090A18">
        <w:rPr>
          <w:rFonts w:ascii="Arial" w:hAnsi="Arial" w:cs="Arial"/>
        </w:rPr>
        <w:t xml:space="preserve">25(1) Spring, </w:t>
      </w:r>
      <w:r w:rsidR="008E1638" w:rsidRPr="00090A18">
        <w:rPr>
          <w:rFonts w:ascii="Arial" w:hAnsi="Arial" w:cs="Arial"/>
        </w:rPr>
        <w:t xml:space="preserve">pp. </w:t>
      </w:r>
      <w:r w:rsidRPr="00090A18">
        <w:rPr>
          <w:rFonts w:ascii="Arial" w:hAnsi="Arial" w:cs="Arial"/>
        </w:rPr>
        <w:t>145-153.</w:t>
      </w:r>
    </w:p>
    <w:p w14:paraId="2F0E7745" w14:textId="5823FD08" w:rsidR="009416D0" w:rsidRPr="00090A18" w:rsidRDefault="00566A45" w:rsidP="00C95522">
      <w:pPr>
        <w:pStyle w:val="ListParagraph"/>
        <w:numPr>
          <w:ilvl w:val="0"/>
          <w:numId w:val="10"/>
        </w:numPr>
        <w:spacing w:after="0" w:line="240" w:lineRule="auto"/>
        <w:rPr>
          <w:rFonts w:ascii="Arial" w:eastAsia="Times New Roman" w:hAnsi="Arial" w:cs="Arial"/>
          <w:lang w:eastAsia="hr-HR"/>
        </w:rPr>
      </w:pPr>
      <w:r w:rsidRPr="00090A18">
        <w:rPr>
          <w:rFonts w:ascii="Arial" w:hAnsi="Arial" w:cs="Arial"/>
        </w:rPr>
        <w:t>Ibrahim, M. H.</w:t>
      </w:r>
      <w:r w:rsidR="008E1638" w:rsidRPr="00090A18">
        <w:rPr>
          <w:rFonts w:ascii="Arial" w:hAnsi="Arial" w:cs="Arial"/>
        </w:rPr>
        <w:t>,</w:t>
      </w:r>
      <w:r w:rsidRPr="00090A18">
        <w:rPr>
          <w:rFonts w:ascii="Arial" w:hAnsi="Arial" w:cs="Arial"/>
        </w:rPr>
        <w:t xml:space="preserve"> 1999. Macroeconomic Variables and Stock Prices in Malaysia: an Empirical Analysis. </w:t>
      </w:r>
      <w:r w:rsidRPr="00090A18">
        <w:rPr>
          <w:rFonts w:ascii="Arial" w:hAnsi="Arial" w:cs="Arial"/>
          <w:i/>
          <w:iCs/>
        </w:rPr>
        <w:t xml:space="preserve">Asian Economic Journal </w:t>
      </w:r>
      <w:r w:rsidRPr="00090A18">
        <w:rPr>
          <w:rFonts w:ascii="Arial" w:hAnsi="Arial" w:cs="Arial"/>
        </w:rPr>
        <w:t>13, 219-231.</w:t>
      </w:r>
      <w:r w:rsidR="008E1638" w:rsidRPr="00090A18">
        <w:rPr>
          <w:rFonts w:ascii="Arial" w:hAnsi="Arial" w:cs="Arial"/>
        </w:rPr>
        <w:t xml:space="preserve">pp. </w:t>
      </w:r>
    </w:p>
    <w:p w14:paraId="444CFA1D" w14:textId="4DEAC4B0" w:rsidR="002C1C3A" w:rsidRPr="00090A18" w:rsidRDefault="002C1C3A" w:rsidP="00977FDB">
      <w:pPr>
        <w:pStyle w:val="ListParagraph"/>
        <w:numPr>
          <w:ilvl w:val="0"/>
          <w:numId w:val="10"/>
        </w:numPr>
        <w:shd w:val="clear" w:color="auto" w:fill="FFFFFF"/>
        <w:spacing w:after="0" w:line="240" w:lineRule="auto"/>
        <w:rPr>
          <w:rFonts w:ascii="Arial" w:hAnsi="Arial" w:cs="Arial"/>
        </w:rPr>
      </w:pPr>
      <w:r w:rsidRPr="00090A18">
        <w:rPr>
          <w:rFonts w:ascii="Arial" w:hAnsi="Arial" w:cs="Arial"/>
        </w:rPr>
        <w:t xml:space="preserve">Iossifov, P. and Podpiera, J. 2014. Are Non-Euro Area EU Countries Importing Low Inflation from the Euro Area?, </w:t>
      </w:r>
      <w:r w:rsidRPr="00090A18">
        <w:rPr>
          <w:rFonts w:ascii="Arial" w:hAnsi="Arial" w:cs="Arial"/>
          <w:shd w:val="clear" w:color="auto" w:fill="FFFFFF"/>
        </w:rPr>
        <w:t>Working Paper No. 14/191.</w:t>
      </w:r>
    </w:p>
    <w:p w14:paraId="59025354" w14:textId="77777777" w:rsidR="00566A45" w:rsidRPr="00090A18" w:rsidRDefault="00566A45" w:rsidP="00C95522">
      <w:pPr>
        <w:pStyle w:val="ListParagraph"/>
        <w:numPr>
          <w:ilvl w:val="0"/>
          <w:numId w:val="10"/>
        </w:numPr>
        <w:spacing w:after="0" w:line="240" w:lineRule="auto"/>
        <w:rPr>
          <w:rFonts w:ascii="Arial" w:eastAsia="Times New Roman" w:hAnsi="Arial" w:cs="Arial"/>
          <w:lang w:eastAsia="hr-HR"/>
        </w:rPr>
      </w:pPr>
      <w:r w:rsidRPr="00090A18">
        <w:rPr>
          <w:rFonts w:ascii="Arial" w:hAnsi="Arial" w:cs="Arial"/>
        </w:rPr>
        <w:t>Keran, M.</w:t>
      </w:r>
      <w:r w:rsidR="008E1638" w:rsidRPr="00090A18">
        <w:rPr>
          <w:rFonts w:ascii="Arial" w:hAnsi="Arial" w:cs="Arial"/>
        </w:rPr>
        <w:t>,</w:t>
      </w:r>
      <w:r w:rsidRPr="00090A18">
        <w:rPr>
          <w:rFonts w:ascii="Arial" w:hAnsi="Arial" w:cs="Arial"/>
        </w:rPr>
        <w:t xml:space="preserve"> 1971. Expectations, Money and the Stock Market. </w:t>
      </w:r>
      <w:r w:rsidRPr="00090A18">
        <w:rPr>
          <w:rFonts w:ascii="Arial" w:hAnsi="Arial" w:cs="Arial"/>
          <w:i/>
          <w:iCs/>
        </w:rPr>
        <w:t>Federal Reserve Bank of St. Louis Review</w:t>
      </w:r>
      <w:r w:rsidRPr="00090A18">
        <w:rPr>
          <w:rFonts w:ascii="Arial" w:hAnsi="Arial" w:cs="Arial"/>
        </w:rPr>
        <w:t xml:space="preserve">. January 53, </w:t>
      </w:r>
      <w:r w:rsidR="008E1638" w:rsidRPr="00090A18">
        <w:rPr>
          <w:rFonts w:ascii="Arial" w:hAnsi="Arial" w:cs="Arial"/>
        </w:rPr>
        <w:t xml:space="preserve">pp. </w:t>
      </w:r>
      <w:r w:rsidRPr="00090A18">
        <w:rPr>
          <w:rFonts w:ascii="Arial" w:hAnsi="Arial" w:cs="Arial"/>
        </w:rPr>
        <w:t>16-32.</w:t>
      </w:r>
    </w:p>
    <w:p w14:paraId="49439F5F" w14:textId="77777777" w:rsidR="00F06513" w:rsidRPr="00090A18" w:rsidRDefault="00F06513" w:rsidP="00C95522">
      <w:pPr>
        <w:pStyle w:val="ListParagraph"/>
        <w:numPr>
          <w:ilvl w:val="0"/>
          <w:numId w:val="10"/>
        </w:numPr>
        <w:spacing w:after="0" w:line="240" w:lineRule="auto"/>
        <w:rPr>
          <w:rFonts w:ascii="Arial" w:eastAsia="Times New Roman" w:hAnsi="Arial" w:cs="Arial"/>
          <w:lang w:eastAsia="hr-HR"/>
        </w:rPr>
      </w:pPr>
      <w:r w:rsidRPr="00090A18">
        <w:rPr>
          <w:rFonts w:ascii="Arial" w:hAnsi="Arial" w:cs="Arial"/>
        </w:rPr>
        <w:t>Knif, J., Kolari, J. and Pynnönen, S.</w:t>
      </w:r>
      <w:r w:rsidR="008E1638" w:rsidRPr="00090A18">
        <w:rPr>
          <w:rFonts w:ascii="Arial" w:hAnsi="Arial" w:cs="Arial"/>
        </w:rPr>
        <w:t>,</w:t>
      </w:r>
      <w:r w:rsidRPr="00090A18">
        <w:rPr>
          <w:rFonts w:ascii="Arial" w:hAnsi="Arial" w:cs="Arial"/>
        </w:rPr>
        <w:t xml:space="preserve"> 2008. Stock Market Reaction to Good and Bad Inflation News. </w:t>
      </w:r>
      <w:r w:rsidRPr="00090A18">
        <w:rPr>
          <w:rFonts w:ascii="Arial" w:hAnsi="Arial" w:cs="Arial"/>
          <w:i/>
          <w:iCs/>
        </w:rPr>
        <w:t xml:space="preserve">Journal of Financial Research </w:t>
      </w:r>
      <w:r w:rsidRPr="00090A18">
        <w:rPr>
          <w:rFonts w:ascii="Arial" w:hAnsi="Arial" w:cs="Arial"/>
        </w:rPr>
        <w:t xml:space="preserve">31(2), </w:t>
      </w:r>
      <w:r w:rsidR="008E1638" w:rsidRPr="00090A18">
        <w:rPr>
          <w:rFonts w:ascii="Arial" w:hAnsi="Arial" w:cs="Arial"/>
        </w:rPr>
        <w:t xml:space="preserve">pp. </w:t>
      </w:r>
      <w:r w:rsidRPr="00090A18">
        <w:rPr>
          <w:rFonts w:ascii="Arial" w:hAnsi="Arial" w:cs="Arial"/>
        </w:rPr>
        <w:t>141–166</w:t>
      </w:r>
    </w:p>
    <w:p w14:paraId="4245E1E5"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Lane, Ph.R. and Milesi-Ferretti, G.M.</w:t>
      </w:r>
      <w:r w:rsidR="008E1638" w:rsidRPr="00090A18">
        <w:rPr>
          <w:rFonts w:ascii="Arial" w:hAnsi="Arial" w:cs="Arial"/>
          <w:sz w:val="22"/>
          <w:szCs w:val="22"/>
        </w:rPr>
        <w:t>,</w:t>
      </w:r>
      <w:r w:rsidRPr="00090A18">
        <w:rPr>
          <w:rFonts w:ascii="Arial" w:hAnsi="Arial" w:cs="Arial"/>
          <w:sz w:val="22"/>
          <w:szCs w:val="22"/>
        </w:rPr>
        <w:t xml:space="preserve"> 2004. The Transfer Problem Revisited: Net Foreign Assets and Real Exchange Rates. </w:t>
      </w:r>
      <w:r w:rsidRPr="00090A18">
        <w:rPr>
          <w:rFonts w:ascii="Arial" w:hAnsi="Arial" w:cs="Arial"/>
          <w:i/>
          <w:iCs/>
          <w:sz w:val="22"/>
          <w:szCs w:val="22"/>
        </w:rPr>
        <w:t xml:space="preserve">Review of Economics and Statistics </w:t>
      </w:r>
      <w:r w:rsidRPr="00090A18">
        <w:rPr>
          <w:rFonts w:ascii="Arial" w:hAnsi="Arial" w:cs="Arial"/>
          <w:sz w:val="22"/>
          <w:szCs w:val="22"/>
        </w:rPr>
        <w:t xml:space="preserve">58(4), </w:t>
      </w:r>
      <w:r w:rsidR="008E1638" w:rsidRPr="00090A18">
        <w:rPr>
          <w:rFonts w:ascii="Arial" w:hAnsi="Arial" w:cs="Arial"/>
          <w:sz w:val="22"/>
          <w:szCs w:val="22"/>
        </w:rPr>
        <w:t xml:space="preserve">pp. </w:t>
      </w:r>
      <w:r w:rsidRPr="00090A18">
        <w:rPr>
          <w:rFonts w:ascii="Arial" w:hAnsi="Arial" w:cs="Arial"/>
          <w:sz w:val="22"/>
          <w:szCs w:val="22"/>
        </w:rPr>
        <w:t xml:space="preserve">841–57. </w:t>
      </w:r>
    </w:p>
    <w:p w14:paraId="0DF7D4A1"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Levine R. and Zervos, S.</w:t>
      </w:r>
      <w:r w:rsidR="008E1638" w:rsidRPr="00090A18">
        <w:rPr>
          <w:rFonts w:ascii="Arial" w:hAnsi="Arial" w:cs="Arial"/>
          <w:sz w:val="22"/>
          <w:szCs w:val="22"/>
        </w:rPr>
        <w:t>,</w:t>
      </w:r>
      <w:r w:rsidRPr="00090A18">
        <w:rPr>
          <w:rFonts w:ascii="Arial" w:hAnsi="Arial" w:cs="Arial"/>
          <w:sz w:val="22"/>
          <w:szCs w:val="22"/>
        </w:rPr>
        <w:t xml:space="preserve"> 1998. Stock Market Development and Long-run Growth. </w:t>
      </w:r>
      <w:r w:rsidRPr="00090A18">
        <w:rPr>
          <w:rFonts w:ascii="Arial" w:hAnsi="Arial" w:cs="Arial"/>
          <w:i/>
          <w:iCs/>
          <w:sz w:val="22"/>
          <w:szCs w:val="22"/>
        </w:rPr>
        <w:t xml:space="preserve">Policy Research Working Paper Series </w:t>
      </w:r>
      <w:r w:rsidRPr="00090A18">
        <w:rPr>
          <w:rFonts w:ascii="Arial" w:hAnsi="Arial" w:cs="Arial"/>
          <w:sz w:val="22"/>
          <w:szCs w:val="22"/>
        </w:rPr>
        <w:t>1582, The World Bank.</w:t>
      </w:r>
    </w:p>
    <w:p w14:paraId="77A4CE12"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Loayza, N. V., Ranciere, R., Serven, L. And Ventura, J.</w:t>
      </w:r>
      <w:r w:rsidR="008E1638" w:rsidRPr="00090A18">
        <w:rPr>
          <w:rFonts w:ascii="Arial" w:hAnsi="Arial" w:cs="Arial"/>
          <w:sz w:val="22"/>
          <w:szCs w:val="22"/>
        </w:rPr>
        <w:t>,</w:t>
      </w:r>
      <w:r w:rsidRPr="00090A18">
        <w:rPr>
          <w:rFonts w:ascii="Arial" w:hAnsi="Arial" w:cs="Arial"/>
          <w:sz w:val="22"/>
          <w:szCs w:val="22"/>
        </w:rPr>
        <w:t xml:space="preserve"> 2007. Macroeconomic Volatility and Welfare in Developing Countries: An Introduction. </w:t>
      </w:r>
      <w:r w:rsidRPr="00090A18">
        <w:rPr>
          <w:rFonts w:ascii="Arial" w:hAnsi="Arial" w:cs="Arial"/>
          <w:i/>
          <w:iCs/>
          <w:sz w:val="22"/>
          <w:szCs w:val="22"/>
        </w:rPr>
        <w:t xml:space="preserve">The World Bank Economic Review </w:t>
      </w:r>
      <w:r w:rsidRPr="00090A18">
        <w:rPr>
          <w:rFonts w:ascii="Arial" w:hAnsi="Arial" w:cs="Arial"/>
          <w:sz w:val="22"/>
          <w:szCs w:val="22"/>
        </w:rPr>
        <w:t>21 3,</w:t>
      </w:r>
      <w:r w:rsidR="008E1638" w:rsidRPr="00090A18">
        <w:rPr>
          <w:rFonts w:ascii="Arial" w:hAnsi="Arial" w:cs="Arial"/>
          <w:sz w:val="22"/>
          <w:szCs w:val="22"/>
        </w:rPr>
        <w:t xml:space="preserve"> pp.</w:t>
      </w:r>
      <w:r w:rsidRPr="00090A18">
        <w:rPr>
          <w:rFonts w:ascii="Arial" w:hAnsi="Arial" w:cs="Arial"/>
          <w:sz w:val="22"/>
          <w:szCs w:val="22"/>
        </w:rPr>
        <w:t xml:space="preserve"> 343 – 357. </w:t>
      </w:r>
    </w:p>
    <w:p w14:paraId="0882817A"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Lovatt, D. and Ashkok, P.</w:t>
      </w:r>
      <w:r w:rsidR="008E1638" w:rsidRPr="00090A18">
        <w:rPr>
          <w:rFonts w:ascii="Arial" w:hAnsi="Arial" w:cs="Arial"/>
          <w:sz w:val="22"/>
          <w:szCs w:val="22"/>
        </w:rPr>
        <w:t>,</w:t>
      </w:r>
      <w:r w:rsidRPr="00090A18">
        <w:rPr>
          <w:rFonts w:ascii="Arial" w:hAnsi="Arial" w:cs="Arial"/>
          <w:sz w:val="22"/>
          <w:szCs w:val="22"/>
        </w:rPr>
        <w:t xml:space="preserve"> 2000. Stock Returns and Economic Activity: the UK Case. </w:t>
      </w:r>
      <w:r w:rsidRPr="00090A18">
        <w:rPr>
          <w:rFonts w:ascii="Arial" w:hAnsi="Arial" w:cs="Arial"/>
          <w:i/>
          <w:iCs/>
          <w:sz w:val="22"/>
          <w:szCs w:val="22"/>
        </w:rPr>
        <w:t xml:space="preserve">European Journal of Finance, Taylor and Francis Journals </w:t>
      </w:r>
      <w:r w:rsidRPr="00090A18">
        <w:rPr>
          <w:rFonts w:ascii="Arial" w:hAnsi="Arial" w:cs="Arial"/>
          <w:sz w:val="22"/>
          <w:szCs w:val="22"/>
        </w:rPr>
        <w:t xml:space="preserve">6(3), </w:t>
      </w:r>
      <w:r w:rsidR="008E1638" w:rsidRPr="00090A18">
        <w:rPr>
          <w:rFonts w:ascii="Arial" w:hAnsi="Arial" w:cs="Arial"/>
          <w:sz w:val="22"/>
          <w:szCs w:val="22"/>
        </w:rPr>
        <w:t xml:space="preserve">pp. </w:t>
      </w:r>
      <w:r w:rsidRPr="00090A18">
        <w:rPr>
          <w:rFonts w:ascii="Arial" w:hAnsi="Arial" w:cs="Arial"/>
          <w:sz w:val="22"/>
          <w:szCs w:val="22"/>
        </w:rPr>
        <w:t xml:space="preserve">280-297. </w:t>
      </w:r>
    </w:p>
    <w:p w14:paraId="11ADDF65"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Maysami, R. C., and Koh, T. S.</w:t>
      </w:r>
      <w:r w:rsidR="008E1638" w:rsidRPr="00090A18">
        <w:rPr>
          <w:rFonts w:ascii="Arial" w:hAnsi="Arial" w:cs="Arial"/>
          <w:sz w:val="22"/>
          <w:szCs w:val="22"/>
        </w:rPr>
        <w:t>,</w:t>
      </w:r>
      <w:r w:rsidRPr="00090A18">
        <w:rPr>
          <w:rFonts w:ascii="Arial" w:hAnsi="Arial" w:cs="Arial"/>
          <w:sz w:val="22"/>
          <w:szCs w:val="22"/>
        </w:rPr>
        <w:t xml:space="preserve"> 2000. A Vector Error Correction Model of the Singapore stock market. </w:t>
      </w:r>
      <w:r w:rsidRPr="00090A18">
        <w:rPr>
          <w:rFonts w:ascii="Arial" w:hAnsi="Arial" w:cs="Arial"/>
          <w:i/>
          <w:iCs/>
          <w:sz w:val="22"/>
          <w:szCs w:val="22"/>
        </w:rPr>
        <w:t xml:space="preserve">International Review of Economics and Finance </w:t>
      </w:r>
      <w:r w:rsidRPr="00090A18">
        <w:rPr>
          <w:rFonts w:ascii="Arial" w:hAnsi="Arial" w:cs="Arial"/>
          <w:sz w:val="22"/>
          <w:szCs w:val="22"/>
        </w:rPr>
        <w:t xml:space="preserve">9, </w:t>
      </w:r>
      <w:r w:rsidR="008E1638" w:rsidRPr="00090A18">
        <w:rPr>
          <w:rFonts w:ascii="Arial" w:hAnsi="Arial" w:cs="Arial"/>
          <w:sz w:val="22"/>
          <w:szCs w:val="22"/>
        </w:rPr>
        <w:t xml:space="preserve">pp. </w:t>
      </w:r>
      <w:r w:rsidRPr="00090A18">
        <w:rPr>
          <w:rFonts w:ascii="Arial" w:hAnsi="Arial" w:cs="Arial"/>
          <w:sz w:val="22"/>
          <w:szCs w:val="22"/>
        </w:rPr>
        <w:t xml:space="preserve">79-96. </w:t>
      </w:r>
    </w:p>
    <w:p w14:paraId="565FD066"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Maysami, R. C., Sim, H. H.</w:t>
      </w:r>
      <w:r w:rsidR="008E1638" w:rsidRPr="00090A18">
        <w:rPr>
          <w:rFonts w:ascii="Arial" w:hAnsi="Arial" w:cs="Arial"/>
          <w:sz w:val="22"/>
          <w:szCs w:val="22"/>
        </w:rPr>
        <w:t>,</w:t>
      </w:r>
      <w:r w:rsidRPr="00090A18">
        <w:rPr>
          <w:rFonts w:ascii="Arial" w:hAnsi="Arial" w:cs="Arial"/>
          <w:sz w:val="22"/>
          <w:szCs w:val="22"/>
        </w:rPr>
        <w:t xml:space="preserve"> 2002. Macroeconomic Variables and their Relationship with Stock Returns: Error Correction Evidence From Hong Kong and Singapore. </w:t>
      </w:r>
      <w:r w:rsidRPr="00090A18">
        <w:rPr>
          <w:rFonts w:ascii="Arial" w:hAnsi="Arial" w:cs="Arial"/>
          <w:i/>
          <w:iCs/>
          <w:sz w:val="22"/>
          <w:szCs w:val="22"/>
        </w:rPr>
        <w:t xml:space="preserve">The Asian Economic Review </w:t>
      </w:r>
      <w:r w:rsidRPr="00090A18">
        <w:rPr>
          <w:rFonts w:ascii="Arial" w:hAnsi="Arial" w:cs="Arial"/>
          <w:sz w:val="22"/>
          <w:szCs w:val="22"/>
        </w:rPr>
        <w:t xml:space="preserve">44, </w:t>
      </w:r>
      <w:r w:rsidR="008E1638" w:rsidRPr="00090A18">
        <w:rPr>
          <w:rFonts w:ascii="Arial" w:hAnsi="Arial" w:cs="Arial"/>
          <w:sz w:val="22"/>
          <w:szCs w:val="22"/>
        </w:rPr>
        <w:t xml:space="preserve">pp. </w:t>
      </w:r>
      <w:r w:rsidRPr="00090A18">
        <w:rPr>
          <w:rFonts w:ascii="Arial" w:hAnsi="Arial" w:cs="Arial"/>
          <w:sz w:val="22"/>
          <w:szCs w:val="22"/>
        </w:rPr>
        <w:t xml:space="preserve">69-85. </w:t>
      </w:r>
    </w:p>
    <w:p w14:paraId="34CAC76D"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Menike, S.</w:t>
      </w:r>
      <w:r w:rsidR="008E1638" w:rsidRPr="00090A18">
        <w:rPr>
          <w:rFonts w:ascii="Arial" w:hAnsi="Arial" w:cs="Arial"/>
          <w:sz w:val="22"/>
          <w:szCs w:val="22"/>
        </w:rPr>
        <w:t>,</w:t>
      </w:r>
      <w:r w:rsidRPr="00090A18">
        <w:rPr>
          <w:rFonts w:ascii="Arial" w:hAnsi="Arial" w:cs="Arial"/>
          <w:sz w:val="22"/>
          <w:szCs w:val="22"/>
        </w:rPr>
        <w:t xml:space="preserve"> 2006. The Effect of Macroeconomic Variables on Stock Prices in Emerging Sri Lankan Stock Market. </w:t>
      </w:r>
      <w:r w:rsidRPr="00090A18">
        <w:rPr>
          <w:rFonts w:ascii="Arial" w:hAnsi="Arial" w:cs="Arial"/>
          <w:i/>
          <w:iCs/>
          <w:sz w:val="22"/>
          <w:szCs w:val="22"/>
        </w:rPr>
        <w:t xml:space="preserve">Sabaragamuwa University Journal </w:t>
      </w:r>
      <w:r w:rsidRPr="00090A18">
        <w:rPr>
          <w:rFonts w:ascii="Arial" w:hAnsi="Arial" w:cs="Arial"/>
          <w:sz w:val="22"/>
          <w:szCs w:val="22"/>
        </w:rPr>
        <w:t>6(1), pp</w:t>
      </w:r>
      <w:r w:rsidR="008E1638" w:rsidRPr="00090A18">
        <w:rPr>
          <w:rFonts w:ascii="Arial" w:hAnsi="Arial" w:cs="Arial"/>
          <w:sz w:val="22"/>
          <w:szCs w:val="22"/>
        </w:rPr>
        <w:t>.</w:t>
      </w:r>
      <w:r w:rsidRPr="00090A18">
        <w:rPr>
          <w:rFonts w:ascii="Arial" w:hAnsi="Arial" w:cs="Arial"/>
          <w:sz w:val="22"/>
          <w:szCs w:val="22"/>
        </w:rPr>
        <w:t xml:space="preserve"> 50-67. </w:t>
      </w:r>
    </w:p>
    <w:p w14:paraId="6251696D" w14:textId="77777777" w:rsidR="009416D0" w:rsidRPr="00090A18" w:rsidRDefault="008E1638"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Calibri" w:hAnsi="Arial" w:cs="Arial"/>
        </w:rPr>
      </w:pPr>
      <w:r w:rsidRPr="00090A18">
        <w:rPr>
          <w:rFonts w:ascii="Arial" w:eastAsia="Calibri" w:hAnsi="Arial" w:cs="Arial"/>
        </w:rPr>
        <w:lastRenderedPageBreak/>
        <w:t xml:space="preserve">Mishkin F.S., 1999. </w:t>
      </w:r>
      <w:r w:rsidR="009416D0" w:rsidRPr="00090A18">
        <w:rPr>
          <w:rFonts w:ascii="Arial" w:eastAsia="Calibri" w:hAnsi="Arial" w:cs="Arial"/>
        </w:rPr>
        <w:t>Financial Consolida</w:t>
      </w:r>
      <w:r w:rsidRPr="00090A18">
        <w:rPr>
          <w:rFonts w:ascii="Arial" w:eastAsia="Calibri" w:hAnsi="Arial" w:cs="Arial"/>
        </w:rPr>
        <w:t>tion: Dangers and Opportunities</w:t>
      </w:r>
      <w:r w:rsidR="009416D0" w:rsidRPr="00090A18">
        <w:rPr>
          <w:rFonts w:ascii="Arial" w:eastAsia="Calibri" w:hAnsi="Arial" w:cs="Arial"/>
        </w:rPr>
        <w:t xml:space="preserve">, </w:t>
      </w:r>
      <w:r w:rsidR="009416D0" w:rsidRPr="00090A18">
        <w:rPr>
          <w:rFonts w:ascii="Arial" w:eastAsia="Calibri" w:hAnsi="Arial" w:cs="Arial"/>
          <w:i/>
        </w:rPr>
        <w:t>Journal of Banking and Finance</w:t>
      </w:r>
      <w:r w:rsidRPr="00090A18">
        <w:rPr>
          <w:rFonts w:ascii="Arial" w:eastAsia="Calibri" w:hAnsi="Arial" w:cs="Arial"/>
        </w:rPr>
        <w:t>, 23, pp.</w:t>
      </w:r>
      <w:r w:rsidR="009416D0" w:rsidRPr="00090A18">
        <w:rPr>
          <w:rFonts w:ascii="Arial" w:eastAsia="Calibri" w:hAnsi="Arial" w:cs="Arial"/>
        </w:rPr>
        <w:t xml:space="preserve"> 675-691.</w:t>
      </w:r>
    </w:p>
    <w:p w14:paraId="684669B7" w14:textId="77777777" w:rsidR="009416D0" w:rsidRPr="00090A18" w:rsidRDefault="00F06513" w:rsidP="00C95522">
      <w:pPr>
        <w:pStyle w:val="ListParagraph"/>
        <w:numPr>
          <w:ilvl w:val="0"/>
          <w:numId w:val="10"/>
        </w:numPr>
        <w:tabs>
          <w:tab w:val="left" w:pos="709"/>
          <w:tab w:val="left" w:pos="4111"/>
          <w:tab w:val="left" w:pos="4140"/>
        </w:tabs>
        <w:spacing w:after="0" w:line="240" w:lineRule="auto"/>
        <w:jc w:val="both"/>
        <w:rPr>
          <w:rFonts w:ascii="Arial" w:eastAsia="Times New Roman" w:hAnsi="Arial" w:cs="Arial"/>
          <w:lang w:val="en-US" w:eastAsia="hr-HR"/>
        </w:rPr>
      </w:pPr>
      <w:r w:rsidRPr="00090A18">
        <w:rPr>
          <w:rFonts w:ascii="Arial" w:hAnsi="Arial" w:cs="Arial"/>
        </w:rPr>
        <w:t>Mukherjee, T. K., and Naka, A.</w:t>
      </w:r>
      <w:r w:rsidR="008E1638" w:rsidRPr="00090A18">
        <w:rPr>
          <w:rFonts w:ascii="Arial" w:hAnsi="Arial" w:cs="Arial"/>
        </w:rPr>
        <w:t>,</w:t>
      </w:r>
      <w:r w:rsidRPr="00090A18">
        <w:rPr>
          <w:rFonts w:ascii="Arial" w:hAnsi="Arial" w:cs="Arial"/>
        </w:rPr>
        <w:t xml:space="preserve">1995. Dynamic Relations between Macroeconomic Variables and the Japanese Stock Market: an Application of a Vector Error Correction Model. </w:t>
      </w:r>
      <w:r w:rsidRPr="00090A18">
        <w:rPr>
          <w:rFonts w:ascii="Arial" w:hAnsi="Arial" w:cs="Arial"/>
          <w:i/>
          <w:iCs/>
        </w:rPr>
        <w:t xml:space="preserve">Journal of Financial Research </w:t>
      </w:r>
      <w:r w:rsidRPr="00090A18">
        <w:rPr>
          <w:rFonts w:ascii="Arial" w:hAnsi="Arial" w:cs="Arial"/>
        </w:rPr>
        <w:t xml:space="preserve">18, </w:t>
      </w:r>
      <w:r w:rsidR="008E1638" w:rsidRPr="00090A18">
        <w:rPr>
          <w:rFonts w:ascii="Arial" w:hAnsi="Arial" w:cs="Arial"/>
        </w:rPr>
        <w:t xml:space="preserve">pp. </w:t>
      </w:r>
      <w:r w:rsidRPr="00090A18">
        <w:rPr>
          <w:rFonts w:ascii="Arial" w:hAnsi="Arial" w:cs="Arial"/>
        </w:rPr>
        <w:t>223-237.</w:t>
      </w:r>
    </w:p>
    <w:p w14:paraId="705279A1"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Nasseh, A. and Strauss, J.</w:t>
      </w:r>
      <w:r w:rsidR="008E1638" w:rsidRPr="00090A18">
        <w:rPr>
          <w:rFonts w:ascii="Arial" w:hAnsi="Arial" w:cs="Arial"/>
          <w:sz w:val="22"/>
          <w:szCs w:val="22"/>
        </w:rPr>
        <w:t>,</w:t>
      </w:r>
      <w:r w:rsidRPr="00090A18">
        <w:rPr>
          <w:rFonts w:ascii="Arial" w:hAnsi="Arial" w:cs="Arial"/>
          <w:sz w:val="22"/>
          <w:szCs w:val="22"/>
        </w:rPr>
        <w:t xml:space="preserve"> 2000. Stock Prices and Domestic and International Macroeconomic Activity: a Cointegration Approach. </w:t>
      </w:r>
      <w:r w:rsidRPr="00090A18">
        <w:rPr>
          <w:rFonts w:ascii="Arial" w:hAnsi="Arial" w:cs="Arial"/>
          <w:i/>
          <w:iCs/>
          <w:sz w:val="22"/>
          <w:szCs w:val="22"/>
        </w:rPr>
        <w:t xml:space="preserve">Quarterly Review of Economics and Finance </w:t>
      </w:r>
      <w:r w:rsidRPr="00090A18">
        <w:rPr>
          <w:rFonts w:ascii="Arial" w:hAnsi="Arial" w:cs="Arial"/>
          <w:sz w:val="22"/>
          <w:szCs w:val="22"/>
        </w:rPr>
        <w:t xml:space="preserve">40, </w:t>
      </w:r>
      <w:r w:rsidR="008E1638" w:rsidRPr="00090A18">
        <w:rPr>
          <w:rFonts w:ascii="Arial" w:hAnsi="Arial" w:cs="Arial"/>
          <w:sz w:val="22"/>
          <w:szCs w:val="22"/>
        </w:rPr>
        <w:t xml:space="preserve">pp. </w:t>
      </w:r>
      <w:r w:rsidRPr="00090A18">
        <w:rPr>
          <w:rFonts w:ascii="Arial" w:hAnsi="Arial" w:cs="Arial"/>
          <w:sz w:val="22"/>
          <w:szCs w:val="22"/>
        </w:rPr>
        <w:t xml:space="preserve">229-245. </w:t>
      </w:r>
    </w:p>
    <w:p w14:paraId="271101C3"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Nelson, C.</w:t>
      </w:r>
      <w:r w:rsidR="008E1638" w:rsidRPr="00090A18">
        <w:rPr>
          <w:rFonts w:ascii="Arial" w:hAnsi="Arial" w:cs="Arial"/>
          <w:sz w:val="22"/>
          <w:szCs w:val="22"/>
        </w:rPr>
        <w:t>,</w:t>
      </w:r>
      <w:r w:rsidRPr="00090A18">
        <w:rPr>
          <w:rFonts w:ascii="Arial" w:hAnsi="Arial" w:cs="Arial"/>
          <w:sz w:val="22"/>
          <w:szCs w:val="22"/>
        </w:rPr>
        <w:t xml:space="preserve"> 1976. Inflation and the Rates of Return on Common Stock. </w:t>
      </w:r>
      <w:r w:rsidRPr="00090A18">
        <w:rPr>
          <w:rFonts w:ascii="Arial" w:hAnsi="Arial" w:cs="Arial"/>
          <w:i/>
          <w:iCs/>
          <w:sz w:val="22"/>
          <w:szCs w:val="22"/>
        </w:rPr>
        <w:t xml:space="preserve">The Journal of Finance </w:t>
      </w:r>
      <w:r w:rsidRPr="00090A18">
        <w:rPr>
          <w:rFonts w:ascii="Arial" w:hAnsi="Arial" w:cs="Arial"/>
          <w:sz w:val="22"/>
          <w:szCs w:val="22"/>
        </w:rPr>
        <w:t>(May)31,</w:t>
      </w:r>
      <w:r w:rsidR="008E1638" w:rsidRPr="00090A18">
        <w:rPr>
          <w:rFonts w:ascii="Arial" w:hAnsi="Arial" w:cs="Arial"/>
          <w:sz w:val="22"/>
          <w:szCs w:val="22"/>
        </w:rPr>
        <w:t>pp.</w:t>
      </w:r>
      <w:r w:rsidRPr="00090A18">
        <w:rPr>
          <w:rFonts w:ascii="Arial" w:hAnsi="Arial" w:cs="Arial"/>
          <w:sz w:val="22"/>
          <w:szCs w:val="22"/>
        </w:rPr>
        <w:t xml:space="preserve"> 471-483. </w:t>
      </w:r>
    </w:p>
    <w:p w14:paraId="527D5B73" w14:textId="77777777" w:rsidR="009416D0" w:rsidRPr="00090A18" w:rsidRDefault="008E1638" w:rsidP="00C95522">
      <w:pPr>
        <w:pStyle w:val="ListParagraph"/>
        <w:numPr>
          <w:ilvl w:val="0"/>
          <w:numId w:val="10"/>
        </w:numPr>
        <w:tabs>
          <w:tab w:val="left" w:pos="709"/>
          <w:tab w:val="left" w:pos="4111"/>
          <w:tab w:val="left" w:pos="4140"/>
        </w:tabs>
        <w:spacing w:line="240" w:lineRule="auto"/>
        <w:jc w:val="both"/>
        <w:rPr>
          <w:rFonts w:ascii="Arial" w:eastAsia="Times New Roman" w:hAnsi="Arial" w:cs="Arial"/>
          <w:lang w:eastAsia="hr-HR"/>
        </w:rPr>
      </w:pPr>
      <w:r w:rsidRPr="00090A18">
        <w:rPr>
          <w:rFonts w:ascii="Arial" w:eastAsia="Times New Roman" w:hAnsi="Arial" w:cs="Arial"/>
          <w:lang w:eastAsia="hr-HR"/>
        </w:rPr>
        <w:t xml:space="preserve">Onay C., 2007. </w:t>
      </w:r>
      <w:r w:rsidR="009416D0" w:rsidRPr="00090A18">
        <w:rPr>
          <w:rFonts w:ascii="Arial" w:eastAsia="Times New Roman" w:hAnsi="Arial" w:cs="Arial"/>
          <w:lang w:eastAsia="hr-HR"/>
        </w:rPr>
        <w:t xml:space="preserve">Integration of Bulgaria and Romania to the European Union“, </w:t>
      </w:r>
      <w:r w:rsidR="009416D0" w:rsidRPr="00090A18">
        <w:rPr>
          <w:rFonts w:ascii="Arial" w:eastAsia="Times New Roman" w:hAnsi="Arial" w:cs="Arial"/>
          <w:i/>
          <w:lang w:eastAsia="hr-HR"/>
        </w:rPr>
        <w:t>The Business Review</w:t>
      </w:r>
      <w:r w:rsidR="009416D0" w:rsidRPr="00090A18">
        <w:rPr>
          <w:rFonts w:ascii="Arial" w:eastAsia="Times New Roman" w:hAnsi="Arial" w:cs="Arial"/>
          <w:lang w:eastAsia="hr-HR"/>
        </w:rPr>
        <w:t xml:space="preserve"> </w:t>
      </w:r>
      <w:r w:rsidR="009416D0" w:rsidRPr="00090A18">
        <w:rPr>
          <w:rFonts w:ascii="Arial" w:eastAsia="Times New Roman" w:hAnsi="Arial" w:cs="Arial"/>
          <w:i/>
          <w:lang w:eastAsia="hr-HR"/>
        </w:rPr>
        <w:t>Cambridge</w:t>
      </w:r>
      <w:r w:rsidRPr="00090A18">
        <w:rPr>
          <w:rFonts w:ascii="Arial" w:eastAsia="Times New Roman" w:hAnsi="Arial" w:cs="Arial"/>
          <w:lang w:eastAsia="hr-HR"/>
        </w:rPr>
        <w:t xml:space="preserve"> 1 (9), pp.</w:t>
      </w:r>
      <w:r w:rsidR="009416D0" w:rsidRPr="00090A18">
        <w:rPr>
          <w:rFonts w:ascii="Arial" w:eastAsia="Times New Roman" w:hAnsi="Arial" w:cs="Arial"/>
          <w:lang w:eastAsia="hr-HR"/>
        </w:rPr>
        <w:t>119-126</w:t>
      </w:r>
    </w:p>
    <w:p w14:paraId="2E2A1ACD" w14:textId="77777777" w:rsidR="009416D0" w:rsidRPr="00090A18" w:rsidRDefault="008E1638" w:rsidP="00C95522">
      <w:pPr>
        <w:pStyle w:val="ListParagraph"/>
        <w:numPr>
          <w:ilvl w:val="0"/>
          <w:numId w:val="10"/>
        </w:numPr>
        <w:tabs>
          <w:tab w:val="left" w:pos="709"/>
          <w:tab w:val="left" w:pos="4111"/>
        </w:tabs>
        <w:autoSpaceDE w:val="0"/>
        <w:autoSpaceDN w:val="0"/>
        <w:adjustRightInd w:val="0"/>
        <w:spacing w:after="0" w:line="240" w:lineRule="auto"/>
        <w:jc w:val="both"/>
        <w:rPr>
          <w:rFonts w:ascii="Arial" w:eastAsia="Times New Roman" w:hAnsi="Arial" w:cs="Arial"/>
          <w:lang w:eastAsia="hr-HR"/>
        </w:rPr>
      </w:pPr>
      <w:r w:rsidRPr="00090A18">
        <w:rPr>
          <w:rFonts w:ascii="Arial" w:eastAsia="Times New Roman" w:hAnsi="Arial" w:cs="Arial"/>
          <w:lang w:val="en-US" w:eastAsia="hr-HR"/>
        </w:rPr>
        <w:t xml:space="preserve">Poghossian T., 2008. </w:t>
      </w:r>
      <w:r w:rsidR="009416D0" w:rsidRPr="00090A18">
        <w:rPr>
          <w:rFonts w:ascii="Arial" w:eastAsia="Calibri" w:hAnsi="Arial" w:cs="Arial"/>
        </w:rPr>
        <w:t>Are “New” and “Old” EU Members Becoming More Financially Integrated? A T</w:t>
      </w:r>
      <w:r w:rsidRPr="00090A18">
        <w:rPr>
          <w:rFonts w:ascii="Arial" w:eastAsia="Calibri" w:hAnsi="Arial" w:cs="Arial"/>
        </w:rPr>
        <w:t>hreshold Cointegration Analysis</w:t>
      </w:r>
      <w:r w:rsidR="009416D0" w:rsidRPr="00090A18">
        <w:rPr>
          <w:rFonts w:ascii="Arial" w:eastAsia="Calibri" w:hAnsi="Arial" w:cs="Arial"/>
        </w:rPr>
        <w:t xml:space="preserve">, </w:t>
      </w:r>
      <w:r w:rsidR="009416D0" w:rsidRPr="00090A18">
        <w:rPr>
          <w:rFonts w:ascii="Arial" w:eastAsia="Times New Roman" w:hAnsi="Arial" w:cs="Arial"/>
          <w:i/>
          <w:lang w:eastAsia="hr-HR"/>
        </w:rPr>
        <w:t>International Economics and Economic Policy</w:t>
      </w:r>
      <w:r w:rsidRPr="00090A18">
        <w:rPr>
          <w:rFonts w:ascii="Arial" w:eastAsia="Times New Roman" w:hAnsi="Arial" w:cs="Arial"/>
          <w:lang w:eastAsia="hr-HR"/>
        </w:rPr>
        <w:t xml:space="preserve"> 6 (3), pp.</w:t>
      </w:r>
      <w:r w:rsidR="009416D0" w:rsidRPr="00090A18">
        <w:rPr>
          <w:rFonts w:ascii="Arial" w:eastAsia="Times New Roman" w:hAnsi="Arial" w:cs="Arial"/>
          <w:lang w:eastAsia="hr-HR"/>
        </w:rPr>
        <w:t xml:space="preserve"> 259 – 281.</w:t>
      </w:r>
    </w:p>
    <w:p w14:paraId="20530404"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Poon, S. H. and Taylor, S. J.</w:t>
      </w:r>
      <w:r w:rsidR="008E1638" w:rsidRPr="00090A18">
        <w:rPr>
          <w:rFonts w:ascii="Arial" w:hAnsi="Arial" w:cs="Arial"/>
          <w:sz w:val="22"/>
          <w:szCs w:val="22"/>
        </w:rPr>
        <w:t>,</w:t>
      </w:r>
      <w:r w:rsidRPr="00090A18">
        <w:rPr>
          <w:rFonts w:ascii="Arial" w:hAnsi="Arial" w:cs="Arial"/>
          <w:sz w:val="22"/>
          <w:szCs w:val="22"/>
        </w:rPr>
        <w:t xml:space="preserve"> 1991. Macroeconomic Factors and the UK Stock Market. </w:t>
      </w:r>
      <w:r w:rsidRPr="00090A18">
        <w:rPr>
          <w:rFonts w:ascii="Arial" w:hAnsi="Arial" w:cs="Arial"/>
          <w:i/>
          <w:iCs/>
          <w:sz w:val="22"/>
          <w:szCs w:val="22"/>
        </w:rPr>
        <w:t xml:space="preserve">Journal of Business and Accounting </w:t>
      </w:r>
      <w:r w:rsidRPr="00090A18">
        <w:rPr>
          <w:rFonts w:ascii="Arial" w:hAnsi="Arial" w:cs="Arial"/>
          <w:sz w:val="22"/>
          <w:szCs w:val="22"/>
        </w:rPr>
        <w:t xml:space="preserve">18, 619-636. </w:t>
      </w:r>
    </w:p>
    <w:p w14:paraId="2BCDC341"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 xml:space="preserve">253. Poon, S., Stapleton, R. 2005. </w:t>
      </w:r>
      <w:r w:rsidRPr="00090A18">
        <w:rPr>
          <w:rFonts w:ascii="Arial" w:hAnsi="Arial" w:cs="Arial"/>
          <w:i/>
          <w:iCs/>
          <w:sz w:val="22"/>
          <w:szCs w:val="22"/>
        </w:rPr>
        <w:t xml:space="preserve">Asset Pricing in Discrete Time: a Complete Markets Approach. </w:t>
      </w:r>
      <w:r w:rsidRPr="00090A18">
        <w:rPr>
          <w:rFonts w:ascii="Arial" w:hAnsi="Arial" w:cs="Arial"/>
          <w:sz w:val="22"/>
          <w:szCs w:val="22"/>
        </w:rPr>
        <w:t xml:space="preserve">Oxford University Press. </w:t>
      </w:r>
    </w:p>
    <w:p w14:paraId="0FC85820" w14:textId="77777777" w:rsidR="009416D0" w:rsidRPr="00090A18" w:rsidRDefault="00F06513" w:rsidP="00C95522">
      <w:pPr>
        <w:pStyle w:val="ListParagraph"/>
        <w:numPr>
          <w:ilvl w:val="0"/>
          <w:numId w:val="10"/>
        </w:numPr>
        <w:spacing w:after="0" w:line="240" w:lineRule="auto"/>
        <w:rPr>
          <w:rFonts w:ascii="Arial" w:eastAsia="Times New Roman" w:hAnsi="Arial" w:cs="Arial"/>
          <w:lang w:eastAsia="hr-HR"/>
        </w:rPr>
      </w:pPr>
      <w:r w:rsidRPr="00090A18">
        <w:rPr>
          <w:rFonts w:ascii="Arial" w:hAnsi="Arial" w:cs="Arial"/>
        </w:rPr>
        <w:t>Razin, A., Sadka, E. and Yuen, C.</w:t>
      </w:r>
      <w:r w:rsidR="008E1638" w:rsidRPr="00090A18">
        <w:rPr>
          <w:rFonts w:ascii="Arial" w:hAnsi="Arial" w:cs="Arial"/>
        </w:rPr>
        <w:t>,</w:t>
      </w:r>
      <w:r w:rsidRPr="00090A18">
        <w:rPr>
          <w:rFonts w:ascii="Arial" w:hAnsi="Arial" w:cs="Arial"/>
        </w:rPr>
        <w:t xml:space="preserve"> 1999. An Information Based Model of </w:t>
      </w:r>
      <w:r w:rsidR="008E1638" w:rsidRPr="00090A18">
        <w:rPr>
          <w:rFonts w:ascii="Arial" w:hAnsi="Arial" w:cs="Arial"/>
        </w:rPr>
        <w:t>F</w:t>
      </w:r>
      <w:r w:rsidRPr="00090A18">
        <w:rPr>
          <w:rFonts w:ascii="Arial" w:hAnsi="Arial" w:cs="Arial"/>
        </w:rPr>
        <w:t xml:space="preserve">DI, the gain from trade revisited, </w:t>
      </w:r>
      <w:r w:rsidRPr="00090A18">
        <w:rPr>
          <w:rFonts w:ascii="Arial" w:hAnsi="Arial" w:cs="Arial"/>
          <w:i/>
          <w:iCs/>
        </w:rPr>
        <w:t xml:space="preserve">NBER Working Paper </w:t>
      </w:r>
      <w:r w:rsidRPr="00090A18">
        <w:rPr>
          <w:rFonts w:ascii="Arial" w:hAnsi="Arial" w:cs="Arial"/>
        </w:rPr>
        <w:t>6884.</w:t>
      </w:r>
    </w:p>
    <w:p w14:paraId="13E9905B" w14:textId="77777777" w:rsidR="009416D0" w:rsidRPr="00090A18" w:rsidRDefault="009416D0" w:rsidP="00C95522">
      <w:pPr>
        <w:pStyle w:val="ListParagraph"/>
        <w:numPr>
          <w:ilvl w:val="0"/>
          <w:numId w:val="10"/>
        </w:numPr>
        <w:tabs>
          <w:tab w:val="left" w:pos="709"/>
          <w:tab w:val="left" w:pos="4111"/>
          <w:tab w:val="left" w:pos="4140"/>
        </w:tabs>
        <w:adjustRightInd w:val="0"/>
        <w:spacing w:after="0" w:line="240" w:lineRule="auto"/>
        <w:jc w:val="both"/>
        <w:rPr>
          <w:rFonts w:ascii="Arial" w:eastAsia="Times New Roman" w:hAnsi="Arial" w:cs="Arial"/>
          <w:lang w:eastAsia="hr-HR"/>
        </w:rPr>
      </w:pPr>
      <w:r w:rsidRPr="00090A18">
        <w:rPr>
          <w:rFonts w:ascii="Arial" w:eastAsia="Times New Roman" w:hAnsi="Arial" w:cs="Arial"/>
          <w:lang w:val="en-US" w:eastAsia="hr-HR"/>
        </w:rPr>
        <w:t>Stavárek</w:t>
      </w:r>
      <w:r w:rsidR="008E1638" w:rsidRPr="00090A18">
        <w:rPr>
          <w:rFonts w:ascii="Arial" w:eastAsia="Times New Roman" w:hAnsi="Arial" w:cs="Arial"/>
          <w:lang w:eastAsia="hr-HR"/>
        </w:rPr>
        <w:t xml:space="preserve"> D., 2009. </w:t>
      </w:r>
      <w:r w:rsidRPr="00090A18">
        <w:rPr>
          <w:rFonts w:ascii="Arial" w:eastAsia="Times New Roman" w:hAnsi="Arial" w:cs="Arial"/>
          <w:lang w:eastAsia="hr-HR"/>
        </w:rPr>
        <w:t>Assesment of the Exchange Rate Converge</w:t>
      </w:r>
      <w:r w:rsidR="008E1638" w:rsidRPr="00090A18">
        <w:rPr>
          <w:rFonts w:ascii="Arial" w:eastAsia="Times New Roman" w:hAnsi="Arial" w:cs="Arial"/>
          <w:lang w:eastAsia="hr-HR"/>
        </w:rPr>
        <w:t>nce in Euro-candidate Countries</w:t>
      </w:r>
      <w:r w:rsidRPr="00090A18">
        <w:rPr>
          <w:rFonts w:ascii="Arial" w:eastAsia="Times New Roman" w:hAnsi="Arial" w:cs="Arial"/>
          <w:lang w:eastAsia="hr-HR"/>
        </w:rPr>
        <w:t xml:space="preserve">, </w:t>
      </w:r>
      <w:r w:rsidRPr="00090A18">
        <w:rPr>
          <w:rFonts w:ascii="Arial" w:eastAsia="Times New Roman" w:hAnsi="Arial" w:cs="Arial"/>
          <w:i/>
          <w:lang w:eastAsia="hr-HR"/>
        </w:rPr>
        <w:t>Amfiteatru Economics</w:t>
      </w:r>
      <w:r w:rsidR="008E1638" w:rsidRPr="00090A18">
        <w:rPr>
          <w:rFonts w:ascii="Arial" w:eastAsia="Times New Roman" w:hAnsi="Arial" w:cs="Arial"/>
          <w:lang w:eastAsia="hr-HR"/>
        </w:rPr>
        <w:t>, 11 (25), pp.</w:t>
      </w:r>
      <w:r w:rsidRPr="00090A18">
        <w:rPr>
          <w:rFonts w:ascii="Arial" w:eastAsia="Times New Roman" w:hAnsi="Arial" w:cs="Arial"/>
          <w:lang w:eastAsia="hr-HR"/>
        </w:rPr>
        <w:t xml:space="preserve"> 159-180</w:t>
      </w:r>
    </w:p>
    <w:p w14:paraId="0253A68A" w14:textId="77777777" w:rsidR="00F06513" w:rsidRPr="00090A18" w:rsidRDefault="00F06513" w:rsidP="00C95522">
      <w:pPr>
        <w:pStyle w:val="Default"/>
        <w:numPr>
          <w:ilvl w:val="0"/>
          <w:numId w:val="10"/>
        </w:numPr>
        <w:contextualSpacing/>
        <w:rPr>
          <w:rFonts w:ascii="Arial" w:hAnsi="Arial" w:cs="Arial"/>
          <w:sz w:val="22"/>
          <w:szCs w:val="22"/>
        </w:rPr>
      </w:pPr>
      <w:r w:rsidRPr="00090A18">
        <w:rPr>
          <w:rFonts w:ascii="Arial" w:hAnsi="Arial" w:cs="Arial"/>
          <w:sz w:val="22"/>
          <w:szCs w:val="22"/>
        </w:rPr>
        <w:t>Stuĉka, T.</w:t>
      </w:r>
      <w:r w:rsidR="008E1638" w:rsidRPr="00090A18">
        <w:rPr>
          <w:rFonts w:ascii="Arial" w:hAnsi="Arial" w:cs="Arial"/>
          <w:sz w:val="22"/>
          <w:szCs w:val="22"/>
        </w:rPr>
        <w:t>,</w:t>
      </w:r>
      <w:r w:rsidRPr="00090A18">
        <w:rPr>
          <w:rFonts w:ascii="Arial" w:hAnsi="Arial" w:cs="Arial"/>
          <w:sz w:val="22"/>
          <w:szCs w:val="22"/>
        </w:rPr>
        <w:t xml:space="preserve"> 2004. The effects of Exchange Rate Change on the Trade Balance in Croatia. </w:t>
      </w:r>
      <w:r w:rsidRPr="00090A18">
        <w:rPr>
          <w:rFonts w:ascii="Arial" w:hAnsi="Arial" w:cs="Arial"/>
          <w:i/>
          <w:iCs/>
          <w:sz w:val="22"/>
          <w:szCs w:val="22"/>
        </w:rPr>
        <w:t xml:space="preserve">Working paper </w:t>
      </w:r>
      <w:r w:rsidRPr="00090A18">
        <w:rPr>
          <w:rFonts w:ascii="Arial" w:hAnsi="Arial" w:cs="Arial"/>
          <w:sz w:val="22"/>
          <w:szCs w:val="22"/>
        </w:rPr>
        <w:t xml:space="preserve">International Monetary Fond WP/04/65. </w:t>
      </w:r>
    </w:p>
    <w:p w14:paraId="5E28A771" w14:textId="77777777" w:rsidR="007457F3" w:rsidRPr="00835454" w:rsidRDefault="007457F3" w:rsidP="00C95522">
      <w:pPr>
        <w:jc w:val="both"/>
        <w:rPr>
          <w:rFonts w:ascii="Arial" w:hAnsi="Arial" w:cs="Arial"/>
          <w:lang w:val="en-US"/>
        </w:rPr>
      </w:pPr>
    </w:p>
    <w:sectPr w:rsidR="007457F3" w:rsidRPr="00835454" w:rsidSect="000A1E2B">
      <w:pgSz w:w="10319" w:h="14571" w:code="13"/>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uckar" w:date="2016-01-25T13:24:00Z" w:initials="d">
    <w:p w14:paraId="1FB2DBD8" w14:textId="77777777" w:rsidR="00A36EF9" w:rsidRDefault="00A36EF9">
      <w:pPr>
        <w:pStyle w:val="CommentText"/>
      </w:pPr>
      <w:r>
        <w:rPr>
          <w:rStyle w:val="CommentReference"/>
        </w:rPr>
        <w:annotationRef/>
      </w:r>
      <w:r>
        <w:t>Budući da se ovdje kratica SEE pojavljuje prvi put u tekstu, prebacio sam ovdje njeno objašnjenje umjesto u 10. retku gdje je prije bilo (označio sam žutom bojom).</w:t>
      </w:r>
    </w:p>
  </w:comment>
  <w:comment w:id="2" w:author="duckar" w:date="2016-01-25T13:36:00Z" w:initials="d">
    <w:p w14:paraId="63F538C9" w14:textId="2D8B3F45" w:rsidR="002E3F61" w:rsidRDefault="002E3F61">
      <w:pPr>
        <w:pStyle w:val="CommentText"/>
      </w:pPr>
      <w:r>
        <w:rPr>
          <w:rStyle w:val="CommentReference"/>
        </w:rPr>
        <w:annotationRef/>
      </w:r>
      <w:r>
        <w:t>Po smislu mi se čini da je i ova riječ višak?!</w:t>
      </w:r>
    </w:p>
  </w:comment>
  <w:comment w:id="3" w:author="duckar" w:date="2016-01-25T13:40:00Z" w:initials="d">
    <w:p w14:paraId="05875940" w14:textId="6BC1998B" w:rsidR="002E3F61" w:rsidRDefault="002E3F61">
      <w:pPr>
        <w:pStyle w:val="CommentText"/>
      </w:pPr>
      <w:r>
        <w:rPr>
          <w:rStyle w:val="CommentReference"/>
        </w:rPr>
        <w:annotationRef/>
      </w:r>
      <w:r>
        <w:t>Osobno bih ovdje stavio pune nazive, a ne skraćenice, kako bih izbjegao potencijalnu zabunu kod čitatelja.</w:t>
      </w:r>
    </w:p>
  </w:comment>
  <w:comment w:id="4" w:author="duckar" w:date="2016-01-25T13:47:00Z" w:initials="d">
    <w:p w14:paraId="41D99315" w14:textId="77777777" w:rsidR="00DE24F9" w:rsidRDefault="00DE24F9" w:rsidP="00DE24F9">
      <w:pPr>
        <w:pStyle w:val="CommentText"/>
      </w:pPr>
      <w:r>
        <w:rPr>
          <w:rStyle w:val="CommentReference"/>
        </w:rPr>
        <w:annotationRef/>
      </w:r>
      <w:r>
        <w:t>Zamijenio bih u izraz „GDP per capita“.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2DBD8" w15:done="0"/>
  <w15:commentEx w15:paraId="63F538C9" w15:done="0"/>
  <w15:commentEx w15:paraId="05875940" w15:done="0"/>
  <w15:commentEx w15:paraId="41D993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62B77" w14:textId="77777777" w:rsidR="00DC5692" w:rsidRDefault="00DC5692" w:rsidP="00FA4F3C">
      <w:pPr>
        <w:spacing w:after="0" w:line="240" w:lineRule="auto"/>
      </w:pPr>
      <w:r>
        <w:separator/>
      </w:r>
    </w:p>
  </w:endnote>
  <w:endnote w:type="continuationSeparator" w:id="0">
    <w:p w14:paraId="2F48C47C" w14:textId="77777777" w:rsidR="00DC5692" w:rsidRDefault="00DC5692" w:rsidP="00FA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99C66" w14:textId="77777777" w:rsidR="00DC5692" w:rsidRDefault="00DC5692" w:rsidP="00FA4F3C">
      <w:pPr>
        <w:spacing w:after="0" w:line="240" w:lineRule="auto"/>
      </w:pPr>
      <w:r>
        <w:separator/>
      </w:r>
    </w:p>
  </w:footnote>
  <w:footnote w:type="continuationSeparator" w:id="0">
    <w:p w14:paraId="79D51816" w14:textId="77777777" w:rsidR="00DC5692" w:rsidRDefault="00DC5692" w:rsidP="00FA4F3C">
      <w:pPr>
        <w:spacing w:after="0" w:line="240" w:lineRule="auto"/>
      </w:pPr>
      <w:r>
        <w:continuationSeparator/>
      </w:r>
    </w:p>
  </w:footnote>
  <w:footnote w:id="1">
    <w:p w14:paraId="0D57A99B" w14:textId="77777777" w:rsidR="00984C05" w:rsidRPr="007F5730" w:rsidRDefault="00984C05" w:rsidP="005A28E4">
      <w:pPr>
        <w:pStyle w:val="FootnoteText"/>
        <w:jc w:val="both"/>
      </w:pPr>
      <w:r w:rsidRPr="007F5730">
        <w:rPr>
          <w:rStyle w:val="FootnoteReference"/>
        </w:rPr>
        <w:footnoteRef/>
      </w:r>
      <w:r w:rsidRPr="007F5730">
        <w:t xml:space="preserve"> </w:t>
      </w:r>
      <w:r w:rsidRPr="006252DA">
        <w:rPr>
          <w:rFonts w:ascii="Arial" w:hAnsi="Arial" w:cs="Arial"/>
        </w:rPr>
        <w:t>Source:http://ec.europa.eu/economy_finance/db_indicators/cpaceq/index_en.htm</w:t>
      </w:r>
      <w:r w:rsidR="007006F8" w:rsidRPr="006252DA">
        <w:rPr>
          <w:rFonts w:ascii="Arial" w:hAnsi="Arial" w:cs="Arial"/>
        </w:rPr>
        <w:t xml:space="preserve"> (2015</w:t>
      </w:r>
      <w:r w:rsidRPr="006252D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43E"/>
    <w:multiLevelType w:val="hybridMultilevel"/>
    <w:tmpl w:val="1EA28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3F53F4"/>
    <w:multiLevelType w:val="hybridMultilevel"/>
    <w:tmpl w:val="1EA28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35364"/>
    <w:multiLevelType w:val="hybridMultilevel"/>
    <w:tmpl w:val="1EA28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C079EF"/>
    <w:multiLevelType w:val="hybridMultilevel"/>
    <w:tmpl w:val="ED824E10"/>
    <w:lvl w:ilvl="0" w:tplc="E65E376E">
      <w:start w:val="1"/>
      <w:numFmt w:val="decimal"/>
      <w:lvlText w:val="%1"/>
      <w:lvlJc w:val="left"/>
      <w:pPr>
        <w:ind w:left="720" w:hanging="360"/>
      </w:pPr>
      <w:rPr>
        <w:rFonts w:eastAsiaTheme="minorHAns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C7A1F"/>
    <w:multiLevelType w:val="hybridMultilevel"/>
    <w:tmpl w:val="87B248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DA36A0"/>
    <w:multiLevelType w:val="hybridMultilevel"/>
    <w:tmpl w:val="1EA28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8D1FEE"/>
    <w:multiLevelType w:val="hybridMultilevel"/>
    <w:tmpl w:val="62E6AB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7D2316"/>
    <w:multiLevelType w:val="multilevel"/>
    <w:tmpl w:val="2E827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9F390B"/>
    <w:multiLevelType w:val="hybridMultilevel"/>
    <w:tmpl w:val="FF5E3E86"/>
    <w:lvl w:ilvl="0" w:tplc="00DC363E">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351A5"/>
    <w:multiLevelType w:val="hybridMultilevel"/>
    <w:tmpl w:val="F634E4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0"/>
  </w:num>
  <w:num w:numId="6">
    <w:abstractNumId w:val="5"/>
  </w:num>
  <w:num w:numId="7">
    <w:abstractNumId w:val="1"/>
  </w:num>
  <w:num w:numId="8">
    <w:abstractNumId w:val="4"/>
  </w:num>
  <w:num w:numId="9">
    <w:abstractNumId w:val="3"/>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ckar">
    <w15:presenceInfo w15:providerId="None" w15:userId="duc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F3"/>
    <w:rsid w:val="000033CE"/>
    <w:rsid w:val="00003628"/>
    <w:rsid w:val="000063FB"/>
    <w:rsid w:val="00006974"/>
    <w:rsid w:val="0002243D"/>
    <w:rsid w:val="00026CFB"/>
    <w:rsid w:val="00027230"/>
    <w:rsid w:val="00030144"/>
    <w:rsid w:val="000338EF"/>
    <w:rsid w:val="00034149"/>
    <w:rsid w:val="00037694"/>
    <w:rsid w:val="00040FCF"/>
    <w:rsid w:val="00042139"/>
    <w:rsid w:val="00042A70"/>
    <w:rsid w:val="00042F94"/>
    <w:rsid w:val="0004356A"/>
    <w:rsid w:val="000463D7"/>
    <w:rsid w:val="0004731A"/>
    <w:rsid w:val="00047A55"/>
    <w:rsid w:val="00047D5B"/>
    <w:rsid w:val="00055D80"/>
    <w:rsid w:val="00057A6E"/>
    <w:rsid w:val="000608DD"/>
    <w:rsid w:val="00061B2A"/>
    <w:rsid w:val="000640D9"/>
    <w:rsid w:val="00072C2E"/>
    <w:rsid w:val="000757D1"/>
    <w:rsid w:val="00081111"/>
    <w:rsid w:val="00090A18"/>
    <w:rsid w:val="000937A0"/>
    <w:rsid w:val="0009447E"/>
    <w:rsid w:val="00095F66"/>
    <w:rsid w:val="000A043F"/>
    <w:rsid w:val="000A09D9"/>
    <w:rsid w:val="000A1E2B"/>
    <w:rsid w:val="000A783A"/>
    <w:rsid w:val="000A7E8A"/>
    <w:rsid w:val="000B1EC6"/>
    <w:rsid w:val="000C2201"/>
    <w:rsid w:val="000C318D"/>
    <w:rsid w:val="000C5002"/>
    <w:rsid w:val="000D6271"/>
    <w:rsid w:val="000F1F29"/>
    <w:rsid w:val="000F525B"/>
    <w:rsid w:val="00100E59"/>
    <w:rsid w:val="00111984"/>
    <w:rsid w:val="001121A9"/>
    <w:rsid w:val="00114B2B"/>
    <w:rsid w:val="00115285"/>
    <w:rsid w:val="0011703C"/>
    <w:rsid w:val="00121FDD"/>
    <w:rsid w:val="00125ADC"/>
    <w:rsid w:val="0013227B"/>
    <w:rsid w:val="00134E6B"/>
    <w:rsid w:val="00135104"/>
    <w:rsid w:val="00136E68"/>
    <w:rsid w:val="00136E75"/>
    <w:rsid w:val="0014152B"/>
    <w:rsid w:val="0014524E"/>
    <w:rsid w:val="001468C8"/>
    <w:rsid w:val="00147712"/>
    <w:rsid w:val="001500D0"/>
    <w:rsid w:val="00150A41"/>
    <w:rsid w:val="00152F45"/>
    <w:rsid w:val="001540BB"/>
    <w:rsid w:val="001552DF"/>
    <w:rsid w:val="0015671D"/>
    <w:rsid w:val="00157494"/>
    <w:rsid w:val="00160B5D"/>
    <w:rsid w:val="0016588A"/>
    <w:rsid w:val="00166863"/>
    <w:rsid w:val="00166E43"/>
    <w:rsid w:val="0017406C"/>
    <w:rsid w:val="001758E1"/>
    <w:rsid w:val="00177E3A"/>
    <w:rsid w:val="0018163F"/>
    <w:rsid w:val="00181699"/>
    <w:rsid w:val="0018196D"/>
    <w:rsid w:val="00183794"/>
    <w:rsid w:val="0018691A"/>
    <w:rsid w:val="00187149"/>
    <w:rsid w:val="0019479E"/>
    <w:rsid w:val="0019522A"/>
    <w:rsid w:val="001B042F"/>
    <w:rsid w:val="001B1047"/>
    <w:rsid w:val="001B1E08"/>
    <w:rsid w:val="001B3140"/>
    <w:rsid w:val="001B394C"/>
    <w:rsid w:val="001B5B6F"/>
    <w:rsid w:val="001B5D89"/>
    <w:rsid w:val="001B78D2"/>
    <w:rsid w:val="001D17C6"/>
    <w:rsid w:val="001D2BB3"/>
    <w:rsid w:val="001D3AA6"/>
    <w:rsid w:val="001D4CDA"/>
    <w:rsid w:val="001D6E40"/>
    <w:rsid w:val="001E14A3"/>
    <w:rsid w:val="001E5A63"/>
    <w:rsid w:val="002053DB"/>
    <w:rsid w:val="00205989"/>
    <w:rsid w:val="002062E7"/>
    <w:rsid w:val="0020755F"/>
    <w:rsid w:val="00210A95"/>
    <w:rsid w:val="00213DE3"/>
    <w:rsid w:val="00220415"/>
    <w:rsid w:val="002225C1"/>
    <w:rsid w:val="00223F60"/>
    <w:rsid w:val="0022577C"/>
    <w:rsid w:val="00227710"/>
    <w:rsid w:val="0023399D"/>
    <w:rsid w:val="00237054"/>
    <w:rsid w:val="002504BA"/>
    <w:rsid w:val="00251B98"/>
    <w:rsid w:val="0025284F"/>
    <w:rsid w:val="00255503"/>
    <w:rsid w:val="0025699C"/>
    <w:rsid w:val="00256CEB"/>
    <w:rsid w:val="002600E2"/>
    <w:rsid w:val="002678C9"/>
    <w:rsid w:val="00274D3E"/>
    <w:rsid w:val="002754E0"/>
    <w:rsid w:val="002768BC"/>
    <w:rsid w:val="002771F7"/>
    <w:rsid w:val="002777FA"/>
    <w:rsid w:val="00280815"/>
    <w:rsid w:val="002952EF"/>
    <w:rsid w:val="002A30F7"/>
    <w:rsid w:val="002A4BE2"/>
    <w:rsid w:val="002A5682"/>
    <w:rsid w:val="002A7225"/>
    <w:rsid w:val="002A7EB5"/>
    <w:rsid w:val="002B08E6"/>
    <w:rsid w:val="002B2170"/>
    <w:rsid w:val="002B5C6B"/>
    <w:rsid w:val="002B7648"/>
    <w:rsid w:val="002B7EBA"/>
    <w:rsid w:val="002C1C3A"/>
    <w:rsid w:val="002C5B2E"/>
    <w:rsid w:val="002C6A34"/>
    <w:rsid w:val="002E1C17"/>
    <w:rsid w:val="002E1E40"/>
    <w:rsid w:val="002E308F"/>
    <w:rsid w:val="002E3A5C"/>
    <w:rsid w:val="002E3F61"/>
    <w:rsid w:val="002E5100"/>
    <w:rsid w:val="002E65E7"/>
    <w:rsid w:val="002F11F8"/>
    <w:rsid w:val="002F4E94"/>
    <w:rsid w:val="00302794"/>
    <w:rsid w:val="003028F8"/>
    <w:rsid w:val="0030482C"/>
    <w:rsid w:val="003076BC"/>
    <w:rsid w:val="00313E93"/>
    <w:rsid w:val="003144CE"/>
    <w:rsid w:val="00315014"/>
    <w:rsid w:val="00315D1F"/>
    <w:rsid w:val="00316074"/>
    <w:rsid w:val="00317808"/>
    <w:rsid w:val="003178BB"/>
    <w:rsid w:val="00323AAA"/>
    <w:rsid w:val="00326C9E"/>
    <w:rsid w:val="00336188"/>
    <w:rsid w:val="003379C2"/>
    <w:rsid w:val="00340AA8"/>
    <w:rsid w:val="003429D5"/>
    <w:rsid w:val="00343ABA"/>
    <w:rsid w:val="003447ED"/>
    <w:rsid w:val="0034631B"/>
    <w:rsid w:val="00352EA1"/>
    <w:rsid w:val="00353620"/>
    <w:rsid w:val="00354A7B"/>
    <w:rsid w:val="00356C3D"/>
    <w:rsid w:val="003577D3"/>
    <w:rsid w:val="00357A4A"/>
    <w:rsid w:val="00360F4F"/>
    <w:rsid w:val="00362186"/>
    <w:rsid w:val="0036227E"/>
    <w:rsid w:val="00363B40"/>
    <w:rsid w:val="003652E2"/>
    <w:rsid w:val="0036541A"/>
    <w:rsid w:val="003664CD"/>
    <w:rsid w:val="00375C93"/>
    <w:rsid w:val="00375E20"/>
    <w:rsid w:val="00376DFB"/>
    <w:rsid w:val="0038139C"/>
    <w:rsid w:val="00381AE0"/>
    <w:rsid w:val="0038273F"/>
    <w:rsid w:val="003842B1"/>
    <w:rsid w:val="00385830"/>
    <w:rsid w:val="00385E9F"/>
    <w:rsid w:val="003937AA"/>
    <w:rsid w:val="0039595D"/>
    <w:rsid w:val="003A1589"/>
    <w:rsid w:val="003A1630"/>
    <w:rsid w:val="003A21D9"/>
    <w:rsid w:val="003A3AF6"/>
    <w:rsid w:val="003B0D44"/>
    <w:rsid w:val="003B1C0A"/>
    <w:rsid w:val="003B505F"/>
    <w:rsid w:val="003C0EC7"/>
    <w:rsid w:val="003C3AA4"/>
    <w:rsid w:val="003C6021"/>
    <w:rsid w:val="003C65D7"/>
    <w:rsid w:val="003D0FD1"/>
    <w:rsid w:val="003D3030"/>
    <w:rsid w:val="003E0C63"/>
    <w:rsid w:val="003E44CF"/>
    <w:rsid w:val="003E57F2"/>
    <w:rsid w:val="003F3C9C"/>
    <w:rsid w:val="00405D78"/>
    <w:rsid w:val="0040719D"/>
    <w:rsid w:val="00410F07"/>
    <w:rsid w:val="00413797"/>
    <w:rsid w:val="00413B63"/>
    <w:rsid w:val="00414057"/>
    <w:rsid w:val="004212E9"/>
    <w:rsid w:val="00423EFC"/>
    <w:rsid w:val="004300A7"/>
    <w:rsid w:val="00430293"/>
    <w:rsid w:val="00436575"/>
    <w:rsid w:val="00437D98"/>
    <w:rsid w:val="00443C79"/>
    <w:rsid w:val="0045083B"/>
    <w:rsid w:val="0045320D"/>
    <w:rsid w:val="00453FBF"/>
    <w:rsid w:val="00460588"/>
    <w:rsid w:val="004636D0"/>
    <w:rsid w:val="00463D8A"/>
    <w:rsid w:val="00463E5E"/>
    <w:rsid w:val="00464557"/>
    <w:rsid w:val="0046540D"/>
    <w:rsid w:val="004711F6"/>
    <w:rsid w:val="00472CAB"/>
    <w:rsid w:val="00473538"/>
    <w:rsid w:val="00474AD0"/>
    <w:rsid w:val="00474B68"/>
    <w:rsid w:val="004821F6"/>
    <w:rsid w:val="00482697"/>
    <w:rsid w:val="00482C42"/>
    <w:rsid w:val="00486F3D"/>
    <w:rsid w:val="0048747C"/>
    <w:rsid w:val="00490857"/>
    <w:rsid w:val="00493B2B"/>
    <w:rsid w:val="00494C88"/>
    <w:rsid w:val="0049732A"/>
    <w:rsid w:val="004A4834"/>
    <w:rsid w:val="004B0B21"/>
    <w:rsid w:val="004B313B"/>
    <w:rsid w:val="004B4F8B"/>
    <w:rsid w:val="004B5DCC"/>
    <w:rsid w:val="004C0202"/>
    <w:rsid w:val="004C2CC5"/>
    <w:rsid w:val="004D114B"/>
    <w:rsid w:val="004D34B1"/>
    <w:rsid w:val="004D5C8D"/>
    <w:rsid w:val="004D60D6"/>
    <w:rsid w:val="004E0EF2"/>
    <w:rsid w:val="004E2B97"/>
    <w:rsid w:val="004E395C"/>
    <w:rsid w:val="004F038A"/>
    <w:rsid w:val="004F0974"/>
    <w:rsid w:val="004F1BB0"/>
    <w:rsid w:val="004F7EC4"/>
    <w:rsid w:val="0050177C"/>
    <w:rsid w:val="00502EA3"/>
    <w:rsid w:val="00503E8E"/>
    <w:rsid w:val="005053B9"/>
    <w:rsid w:val="0050617B"/>
    <w:rsid w:val="00515AA4"/>
    <w:rsid w:val="0051658A"/>
    <w:rsid w:val="00516FA9"/>
    <w:rsid w:val="00517CD3"/>
    <w:rsid w:val="00520F25"/>
    <w:rsid w:val="0052382A"/>
    <w:rsid w:val="00524ADB"/>
    <w:rsid w:val="005258C1"/>
    <w:rsid w:val="00526D5E"/>
    <w:rsid w:val="00537627"/>
    <w:rsid w:val="0054091D"/>
    <w:rsid w:val="005444F1"/>
    <w:rsid w:val="00552E1D"/>
    <w:rsid w:val="00561AC6"/>
    <w:rsid w:val="00561FDC"/>
    <w:rsid w:val="00562593"/>
    <w:rsid w:val="00563409"/>
    <w:rsid w:val="00566A45"/>
    <w:rsid w:val="00570216"/>
    <w:rsid w:val="00570D7C"/>
    <w:rsid w:val="00573F98"/>
    <w:rsid w:val="0058004E"/>
    <w:rsid w:val="00581252"/>
    <w:rsid w:val="00590AB9"/>
    <w:rsid w:val="0059237E"/>
    <w:rsid w:val="005925B2"/>
    <w:rsid w:val="00592E67"/>
    <w:rsid w:val="00595CAC"/>
    <w:rsid w:val="00596649"/>
    <w:rsid w:val="0059667A"/>
    <w:rsid w:val="005969D3"/>
    <w:rsid w:val="005A28E4"/>
    <w:rsid w:val="005A5AA4"/>
    <w:rsid w:val="005B000C"/>
    <w:rsid w:val="005B031E"/>
    <w:rsid w:val="005B2970"/>
    <w:rsid w:val="005B4AB5"/>
    <w:rsid w:val="005C0BBC"/>
    <w:rsid w:val="005C43E5"/>
    <w:rsid w:val="005C6BA8"/>
    <w:rsid w:val="005D5C8E"/>
    <w:rsid w:val="005E0BE2"/>
    <w:rsid w:val="005E24BD"/>
    <w:rsid w:val="005F1407"/>
    <w:rsid w:val="005F1C0E"/>
    <w:rsid w:val="005F3F4A"/>
    <w:rsid w:val="005F4A84"/>
    <w:rsid w:val="005F4E1A"/>
    <w:rsid w:val="005F6923"/>
    <w:rsid w:val="005F6D09"/>
    <w:rsid w:val="005F701B"/>
    <w:rsid w:val="00605D07"/>
    <w:rsid w:val="00606E8D"/>
    <w:rsid w:val="00610B9E"/>
    <w:rsid w:val="00625076"/>
    <w:rsid w:val="006252DA"/>
    <w:rsid w:val="0063464A"/>
    <w:rsid w:val="00643470"/>
    <w:rsid w:val="006543C2"/>
    <w:rsid w:val="00660934"/>
    <w:rsid w:val="00663427"/>
    <w:rsid w:val="00663EDB"/>
    <w:rsid w:val="00664984"/>
    <w:rsid w:val="006671FA"/>
    <w:rsid w:val="006678F9"/>
    <w:rsid w:val="00676321"/>
    <w:rsid w:val="00676E91"/>
    <w:rsid w:val="00677404"/>
    <w:rsid w:val="00680080"/>
    <w:rsid w:val="006814FD"/>
    <w:rsid w:val="00682261"/>
    <w:rsid w:val="006830A2"/>
    <w:rsid w:val="00683621"/>
    <w:rsid w:val="006851F5"/>
    <w:rsid w:val="006861B6"/>
    <w:rsid w:val="006945AC"/>
    <w:rsid w:val="00694C6A"/>
    <w:rsid w:val="006B2D34"/>
    <w:rsid w:val="006B338F"/>
    <w:rsid w:val="006B6F9F"/>
    <w:rsid w:val="006B7CE0"/>
    <w:rsid w:val="006C1C5D"/>
    <w:rsid w:val="006C41DF"/>
    <w:rsid w:val="006D0370"/>
    <w:rsid w:val="006D041C"/>
    <w:rsid w:val="006D7ED0"/>
    <w:rsid w:val="006E0262"/>
    <w:rsid w:val="006E3046"/>
    <w:rsid w:val="006E73BB"/>
    <w:rsid w:val="006E75CC"/>
    <w:rsid w:val="006F1DA6"/>
    <w:rsid w:val="006F3831"/>
    <w:rsid w:val="006F621C"/>
    <w:rsid w:val="007006F8"/>
    <w:rsid w:val="00701E89"/>
    <w:rsid w:val="007022AD"/>
    <w:rsid w:val="007024FA"/>
    <w:rsid w:val="007038D9"/>
    <w:rsid w:val="00707929"/>
    <w:rsid w:val="007115A7"/>
    <w:rsid w:val="00712CDC"/>
    <w:rsid w:val="00715A8B"/>
    <w:rsid w:val="00717C3E"/>
    <w:rsid w:val="0072423B"/>
    <w:rsid w:val="00731E59"/>
    <w:rsid w:val="007364E2"/>
    <w:rsid w:val="00737417"/>
    <w:rsid w:val="007405C3"/>
    <w:rsid w:val="00741566"/>
    <w:rsid w:val="00741AE4"/>
    <w:rsid w:val="00743635"/>
    <w:rsid w:val="007457F3"/>
    <w:rsid w:val="007477AA"/>
    <w:rsid w:val="00747F14"/>
    <w:rsid w:val="007502F1"/>
    <w:rsid w:val="00750329"/>
    <w:rsid w:val="0075537E"/>
    <w:rsid w:val="00772D9F"/>
    <w:rsid w:val="0077592A"/>
    <w:rsid w:val="0077723D"/>
    <w:rsid w:val="00777CDA"/>
    <w:rsid w:val="00780D74"/>
    <w:rsid w:val="00783874"/>
    <w:rsid w:val="007939C1"/>
    <w:rsid w:val="007A7701"/>
    <w:rsid w:val="007B3B0C"/>
    <w:rsid w:val="007B6591"/>
    <w:rsid w:val="007B7CED"/>
    <w:rsid w:val="007C0617"/>
    <w:rsid w:val="007C0BE6"/>
    <w:rsid w:val="007C4B8A"/>
    <w:rsid w:val="007C4EA2"/>
    <w:rsid w:val="007C55D6"/>
    <w:rsid w:val="007C60D9"/>
    <w:rsid w:val="007C656F"/>
    <w:rsid w:val="007D19EC"/>
    <w:rsid w:val="007D2F3F"/>
    <w:rsid w:val="007D3291"/>
    <w:rsid w:val="007E0DEC"/>
    <w:rsid w:val="007E17CE"/>
    <w:rsid w:val="007E3654"/>
    <w:rsid w:val="007E6F8B"/>
    <w:rsid w:val="007E7A7A"/>
    <w:rsid w:val="007F2216"/>
    <w:rsid w:val="007F3A9B"/>
    <w:rsid w:val="007F4D45"/>
    <w:rsid w:val="007F67EC"/>
    <w:rsid w:val="007F7C05"/>
    <w:rsid w:val="0080253C"/>
    <w:rsid w:val="00802D2C"/>
    <w:rsid w:val="00812A85"/>
    <w:rsid w:val="008226F8"/>
    <w:rsid w:val="00826476"/>
    <w:rsid w:val="00826FE5"/>
    <w:rsid w:val="0082765F"/>
    <w:rsid w:val="00834C2A"/>
    <w:rsid w:val="00835454"/>
    <w:rsid w:val="00845992"/>
    <w:rsid w:val="0084650C"/>
    <w:rsid w:val="008505AC"/>
    <w:rsid w:val="00853D6C"/>
    <w:rsid w:val="00855D80"/>
    <w:rsid w:val="0086107C"/>
    <w:rsid w:val="0086439F"/>
    <w:rsid w:val="008644ED"/>
    <w:rsid w:val="00865ADA"/>
    <w:rsid w:val="008662BF"/>
    <w:rsid w:val="008675EB"/>
    <w:rsid w:val="00867866"/>
    <w:rsid w:val="0087317C"/>
    <w:rsid w:val="008775B2"/>
    <w:rsid w:val="00880AF3"/>
    <w:rsid w:val="00882DBB"/>
    <w:rsid w:val="00886695"/>
    <w:rsid w:val="00886884"/>
    <w:rsid w:val="0089135A"/>
    <w:rsid w:val="0089224B"/>
    <w:rsid w:val="00895911"/>
    <w:rsid w:val="008972BB"/>
    <w:rsid w:val="008A034A"/>
    <w:rsid w:val="008A53D3"/>
    <w:rsid w:val="008A56E5"/>
    <w:rsid w:val="008B01AB"/>
    <w:rsid w:val="008B0877"/>
    <w:rsid w:val="008B5974"/>
    <w:rsid w:val="008C1229"/>
    <w:rsid w:val="008C258B"/>
    <w:rsid w:val="008C3FCA"/>
    <w:rsid w:val="008C59B2"/>
    <w:rsid w:val="008C75CD"/>
    <w:rsid w:val="008D01C3"/>
    <w:rsid w:val="008D2615"/>
    <w:rsid w:val="008D72C8"/>
    <w:rsid w:val="008E0023"/>
    <w:rsid w:val="008E1638"/>
    <w:rsid w:val="008E26AD"/>
    <w:rsid w:val="008E2B83"/>
    <w:rsid w:val="008E4345"/>
    <w:rsid w:val="008E4EFC"/>
    <w:rsid w:val="008E738E"/>
    <w:rsid w:val="008F1E72"/>
    <w:rsid w:val="008F6E2D"/>
    <w:rsid w:val="009010D3"/>
    <w:rsid w:val="00902255"/>
    <w:rsid w:val="0090335A"/>
    <w:rsid w:val="009042FA"/>
    <w:rsid w:val="00905CED"/>
    <w:rsid w:val="00906D79"/>
    <w:rsid w:val="00913553"/>
    <w:rsid w:val="00914467"/>
    <w:rsid w:val="00914F77"/>
    <w:rsid w:val="00923550"/>
    <w:rsid w:val="0092500A"/>
    <w:rsid w:val="00926CBF"/>
    <w:rsid w:val="00927C8C"/>
    <w:rsid w:val="009309FA"/>
    <w:rsid w:val="009326B9"/>
    <w:rsid w:val="00935980"/>
    <w:rsid w:val="00937C4B"/>
    <w:rsid w:val="00940170"/>
    <w:rsid w:val="009416D0"/>
    <w:rsid w:val="00944375"/>
    <w:rsid w:val="009453CA"/>
    <w:rsid w:val="00945520"/>
    <w:rsid w:val="00947F99"/>
    <w:rsid w:val="009502CD"/>
    <w:rsid w:val="009525D3"/>
    <w:rsid w:val="00953E58"/>
    <w:rsid w:val="00954BE5"/>
    <w:rsid w:val="00956383"/>
    <w:rsid w:val="0095738E"/>
    <w:rsid w:val="0095770A"/>
    <w:rsid w:val="00957DED"/>
    <w:rsid w:val="009625AF"/>
    <w:rsid w:val="009747E3"/>
    <w:rsid w:val="00974CA4"/>
    <w:rsid w:val="00974D5F"/>
    <w:rsid w:val="009757DA"/>
    <w:rsid w:val="00977C38"/>
    <w:rsid w:val="009848E6"/>
    <w:rsid w:val="00984C05"/>
    <w:rsid w:val="00986DEC"/>
    <w:rsid w:val="009872C2"/>
    <w:rsid w:val="00992A4E"/>
    <w:rsid w:val="00992E25"/>
    <w:rsid w:val="00993936"/>
    <w:rsid w:val="0099442E"/>
    <w:rsid w:val="00995809"/>
    <w:rsid w:val="00995FF3"/>
    <w:rsid w:val="0099694D"/>
    <w:rsid w:val="009A121A"/>
    <w:rsid w:val="009A523A"/>
    <w:rsid w:val="009A7736"/>
    <w:rsid w:val="009B20CF"/>
    <w:rsid w:val="009B4B97"/>
    <w:rsid w:val="009B5D7A"/>
    <w:rsid w:val="009C2F30"/>
    <w:rsid w:val="009C7AEB"/>
    <w:rsid w:val="009D0BF6"/>
    <w:rsid w:val="009D2671"/>
    <w:rsid w:val="009D3730"/>
    <w:rsid w:val="009D78FB"/>
    <w:rsid w:val="009E1AFA"/>
    <w:rsid w:val="009E6B72"/>
    <w:rsid w:val="009F2C78"/>
    <w:rsid w:val="00A04029"/>
    <w:rsid w:val="00A07C67"/>
    <w:rsid w:val="00A10378"/>
    <w:rsid w:val="00A12C7A"/>
    <w:rsid w:val="00A146A8"/>
    <w:rsid w:val="00A177F3"/>
    <w:rsid w:val="00A215A4"/>
    <w:rsid w:val="00A22910"/>
    <w:rsid w:val="00A23F20"/>
    <w:rsid w:val="00A243EB"/>
    <w:rsid w:val="00A248CD"/>
    <w:rsid w:val="00A25F6A"/>
    <w:rsid w:val="00A260AE"/>
    <w:rsid w:val="00A30135"/>
    <w:rsid w:val="00A31B9A"/>
    <w:rsid w:val="00A33CA3"/>
    <w:rsid w:val="00A363C3"/>
    <w:rsid w:val="00A36EF9"/>
    <w:rsid w:val="00A37417"/>
    <w:rsid w:val="00A528A4"/>
    <w:rsid w:val="00A55C8F"/>
    <w:rsid w:val="00A63EC1"/>
    <w:rsid w:val="00A64D4D"/>
    <w:rsid w:val="00A660B6"/>
    <w:rsid w:val="00A726DB"/>
    <w:rsid w:val="00A8044D"/>
    <w:rsid w:val="00A8064B"/>
    <w:rsid w:val="00A857DB"/>
    <w:rsid w:val="00A85AEF"/>
    <w:rsid w:val="00A85CFA"/>
    <w:rsid w:val="00A85E2E"/>
    <w:rsid w:val="00A9690A"/>
    <w:rsid w:val="00A96D84"/>
    <w:rsid w:val="00A97B62"/>
    <w:rsid w:val="00AA01F4"/>
    <w:rsid w:val="00AA43F8"/>
    <w:rsid w:val="00AA6B55"/>
    <w:rsid w:val="00AA7EB4"/>
    <w:rsid w:val="00AB067E"/>
    <w:rsid w:val="00AB1D62"/>
    <w:rsid w:val="00AB2F5F"/>
    <w:rsid w:val="00AB3F21"/>
    <w:rsid w:val="00AB568B"/>
    <w:rsid w:val="00AB7BF9"/>
    <w:rsid w:val="00AC0D1D"/>
    <w:rsid w:val="00AC3FC9"/>
    <w:rsid w:val="00AC4012"/>
    <w:rsid w:val="00AC6BA4"/>
    <w:rsid w:val="00AD3571"/>
    <w:rsid w:val="00AD3C8A"/>
    <w:rsid w:val="00AD5FF4"/>
    <w:rsid w:val="00AD6294"/>
    <w:rsid w:val="00AD6C41"/>
    <w:rsid w:val="00AE45D6"/>
    <w:rsid w:val="00AE464D"/>
    <w:rsid w:val="00AE711A"/>
    <w:rsid w:val="00AF0701"/>
    <w:rsid w:val="00AF44DC"/>
    <w:rsid w:val="00AF58E1"/>
    <w:rsid w:val="00AF6077"/>
    <w:rsid w:val="00AF75DE"/>
    <w:rsid w:val="00B00697"/>
    <w:rsid w:val="00B0191B"/>
    <w:rsid w:val="00B033A3"/>
    <w:rsid w:val="00B061D7"/>
    <w:rsid w:val="00B0790D"/>
    <w:rsid w:val="00B11D9C"/>
    <w:rsid w:val="00B12025"/>
    <w:rsid w:val="00B12265"/>
    <w:rsid w:val="00B14897"/>
    <w:rsid w:val="00B164FB"/>
    <w:rsid w:val="00B17DBF"/>
    <w:rsid w:val="00B24C56"/>
    <w:rsid w:val="00B2792A"/>
    <w:rsid w:val="00B348DB"/>
    <w:rsid w:val="00B3602F"/>
    <w:rsid w:val="00B367A5"/>
    <w:rsid w:val="00B37817"/>
    <w:rsid w:val="00B43C56"/>
    <w:rsid w:val="00B4492E"/>
    <w:rsid w:val="00B44F75"/>
    <w:rsid w:val="00B45F84"/>
    <w:rsid w:val="00B460C4"/>
    <w:rsid w:val="00B56A9C"/>
    <w:rsid w:val="00B5753D"/>
    <w:rsid w:val="00B675AC"/>
    <w:rsid w:val="00B70CAF"/>
    <w:rsid w:val="00B73FBE"/>
    <w:rsid w:val="00B7422A"/>
    <w:rsid w:val="00B77DAF"/>
    <w:rsid w:val="00B833B1"/>
    <w:rsid w:val="00B84E9B"/>
    <w:rsid w:val="00B8611D"/>
    <w:rsid w:val="00B865C4"/>
    <w:rsid w:val="00B86BA8"/>
    <w:rsid w:val="00B87A4E"/>
    <w:rsid w:val="00B93878"/>
    <w:rsid w:val="00B93A44"/>
    <w:rsid w:val="00BA12A4"/>
    <w:rsid w:val="00BA20D2"/>
    <w:rsid w:val="00BA37FE"/>
    <w:rsid w:val="00BA5CAF"/>
    <w:rsid w:val="00BA7EB2"/>
    <w:rsid w:val="00BB0CDC"/>
    <w:rsid w:val="00BB165D"/>
    <w:rsid w:val="00BB648C"/>
    <w:rsid w:val="00BB6FFC"/>
    <w:rsid w:val="00BC0E6C"/>
    <w:rsid w:val="00BD7EDE"/>
    <w:rsid w:val="00BE2605"/>
    <w:rsid w:val="00BF1968"/>
    <w:rsid w:val="00BF2B4D"/>
    <w:rsid w:val="00BF6B78"/>
    <w:rsid w:val="00C068FF"/>
    <w:rsid w:val="00C070A7"/>
    <w:rsid w:val="00C0711B"/>
    <w:rsid w:val="00C07227"/>
    <w:rsid w:val="00C1196E"/>
    <w:rsid w:val="00C15456"/>
    <w:rsid w:val="00C17736"/>
    <w:rsid w:val="00C20E66"/>
    <w:rsid w:val="00C26C2D"/>
    <w:rsid w:val="00C27209"/>
    <w:rsid w:val="00C27B45"/>
    <w:rsid w:val="00C338FF"/>
    <w:rsid w:val="00C34DDD"/>
    <w:rsid w:val="00C364EB"/>
    <w:rsid w:val="00C37F0E"/>
    <w:rsid w:val="00C42286"/>
    <w:rsid w:val="00C42AC9"/>
    <w:rsid w:val="00C43A72"/>
    <w:rsid w:val="00C47C6C"/>
    <w:rsid w:val="00C5095A"/>
    <w:rsid w:val="00C51CF2"/>
    <w:rsid w:val="00C51D3A"/>
    <w:rsid w:val="00C528D6"/>
    <w:rsid w:val="00C608B7"/>
    <w:rsid w:val="00C64DDD"/>
    <w:rsid w:val="00C67FD0"/>
    <w:rsid w:val="00C75081"/>
    <w:rsid w:val="00C75404"/>
    <w:rsid w:val="00C771D4"/>
    <w:rsid w:val="00C80BA9"/>
    <w:rsid w:val="00C8697A"/>
    <w:rsid w:val="00C90EAE"/>
    <w:rsid w:val="00C95522"/>
    <w:rsid w:val="00C958AE"/>
    <w:rsid w:val="00C96B63"/>
    <w:rsid w:val="00C97624"/>
    <w:rsid w:val="00CA0F00"/>
    <w:rsid w:val="00CA5D77"/>
    <w:rsid w:val="00CB0249"/>
    <w:rsid w:val="00CB0A7D"/>
    <w:rsid w:val="00CB655E"/>
    <w:rsid w:val="00CB6A6F"/>
    <w:rsid w:val="00CC0862"/>
    <w:rsid w:val="00CC0956"/>
    <w:rsid w:val="00CC2016"/>
    <w:rsid w:val="00CC21D9"/>
    <w:rsid w:val="00CC2587"/>
    <w:rsid w:val="00CC57B7"/>
    <w:rsid w:val="00CD26DE"/>
    <w:rsid w:val="00CD3513"/>
    <w:rsid w:val="00CD4706"/>
    <w:rsid w:val="00CD703A"/>
    <w:rsid w:val="00CE2C90"/>
    <w:rsid w:val="00CE434F"/>
    <w:rsid w:val="00CE47AE"/>
    <w:rsid w:val="00CE5065"/>
    <w:rsid w:val="00CF06F0"/>
    <w:rsid w:val="00CF102B"/>
    <w:rsid w:val="00CF182E"/>
    <w:rsid w:val="00CF6A4F"/>
    <w:rsid w:val="00D00611"/>
    <w:rsid w:val="00D01F16"/>
    <w:rsid w:val="00D027AB"/>
    <w:rsid w:val="00D05DDB"/>
    <w:rsid w:val="00D10253"/>
    <w:rsid w:val="00D14A83"/>
    <w:rsid w:val="00D3047C"/>
    <w:rsid w:val="00D33943"/>
    <w:rsid w:val="00D34016"/>
    <w:rsid w:val="00D368AC"/>
    <w:rsid w:val="00D36B85"/>
    <w:rsid w:val="00D403CA"/>
    <w:rsid w:val="00D41509"/>
    <w:rsid w:val="00D4370F"/>
    <w:rsid w:val="00D43E22"/>
    <w:rsid w:val="00D45069"/>
    <w:rsid w:val="00D52473"/>
    <w:rsid w:val="00D56BA6"/>
    <w:rsid w:val="00D62818"/>
    <w:rsid w:val="00D64BB9"/>
    <w:rsid w:val="00D675AD"/>
    <w:rsid w:val="00D76E6D"/>
    <w:rsid w:val="00D80615"/>
    <w:rsid w:val="00D81058"/>
    <w:rsid w:val="00D83C14"/>
    <w:rsid w:val="00D902CF"/>
    <w:rsid w:val="00D91686"/>
    <w:rsid w:val="00D93903"/>
    <w:rsid w:val="00D96EB3"/>
    <w:rsid w:val="00D9795F"/>
    <w:rsid w:val="00DA52B6"/>
    <w:rsid w:val="00DA5E93"/>
    <w:rsid w:val="00DA6E27"/>
    <w:rsid w:val="00DB1559"/>
    <w:rsid w:val="00DB24E8"/>
    <w:rsid w:val="00DB7BB4"/>
    <w:rsid w:val="00DB7E46"/>
    <w:rsid w:val="00DC1613"/>
    <w:rsid w:val="00DC1F16"/>
    <w:rsid w:val="00DC5692"/>
    <w:rsid w:val="00DC5B6C"/>
    <w:rsid w:val="00DD2BF7"/>
    <w:rsid w:val="00DD5B8F"/>
    <w:rsid w:val="00DD709F"/>
    <w:rsid w:val="00DD7619"/>
    <w:rsid w:val="00DD7EE3"/>
    <w:rsid w:val="00DE24F9"/>
    <w:rsid w:val="00DE2579"/>
    <w:rsid w:val="00DE31BE"/>
    <w:rsid w:val="00DE3984"/>
    <w:rsid w:val="00DE582E"/>
    <w:rsid w:val="00DF2B60"/>
    <w:rsid w:val="00DF7560"/>
    <w:rsid w:val="00E00001"/>
    <w:rsid w:val="00E00688"/>
    <w:rsid w:val="00E00DA4"/>
    <w:rsid w:val="00E00F30"/>
    <w:rsid w:val="00E02CD0"/>
    <w:rsid w:val="00E05975"/>
    <w:rsid w:val="00E05BB1"/>
    <w:rsid w:val="00E1047E"/>
    <w:rsid w:val="00E122D9"/>
    <w:rsid w:val="00E12B82"/>
    <w:rsid w:val="00E1705B"/>
    <w:rsid w:val="00E17798"/>
    <w:rsid w:val="00E24182"/>
    <w:rsid w:val="00E25EBB"/>
    <w:rsid w:val="00E25FE7"/>
    <w:rsid w:val="00E33279"/>
    <w:rsid w:val="00E34D4D"/>
    <w:rsid w:val="00E36D52"/>
    <w:rsid w:val="00E40062"/>
    <w:rsid w:val="00E53DBE"/>
    <w:rsid w:val="00E57C43"/>
    <w:rsid w:val="00E624C6"/>
    <w:rsid w:val="00E626D0"/>
    <w:rsid w:val="00E63167"/>
    <w:rsid w:val="00E66C78"/>
    <w:rsid w:val="00E73BA3"/>
    <w:rsid w:val="00E73DFC"/>
    <w:rsid w:val="00E74248"/>
    <w:rsid w:val="00E75F33"/>
    <w:rsid w:val="00E8545C"/>
    <w:rsid w:val="00E90ABD"/>
    <w:rsid w:val="00E91F29"/>
    <w:rsid w:val="00E92767"/>
    <w:rsid w:val="00EA4ECC"/>
    <w:rsid w:val="00EA5EE1"/>
    <w:rsid w:val="00EB09EC"/>
    <w:rsid w:val="00EB09F3"/>
    <w:rsid w:val="00EB2EC2"/>
    <w:rsid w:val="00EB7E9C"/>
    <w:rsid w:val="00EC0266"/>
    <w:rsid w:val="00EC1470"/>
    <w:rsid w:val="00EC24D1"/>
    <w:rsid w:val="00EC3403"/>
    <w:rsid w:val="00EC3D03"/>
    <w:rsid w:val="00EC612B"/>
    <w:rsid w:val="00EC6C38"/>
    <w:rsid w:val="00EC7629"/>
    <w:rsid w:val="00ED255D"/>
    <w:rsid w:val="00ED447D"/>
    <w:rsid w:val="00ED5C93"/>
    <w:rsid w:val="00EE1A55"/>
    <w:rsid w:val="00EE2D9A"/>
    <w:rsid w:val="00EE418F"/>
    <w:rsid w:val="00EF053B"/>
    <w:rsid w:val="00EF0CCA"/>
    <w:rsid w:val="00EF0DEE"/>
    <w:rsid w:val="00EF4500"/>
    <w:rsid w:val="00EF65B0"/>
    <w:rsid w:val="00EF6D28"/>
    <w:rsid w:val="00F00DA7"/>
    <w:rsid w:val="00F03616"/>
    <w:rsid w:val="00F04069"/>
    <w:rsid w:val="00F06513"/>
    <w:rsid w:val="00F06BD3"/>
    <w:rsid w:val="00F06EB6"/>
    <w:rsid w:val="00F07712"/>
    <w:rsid w:val="00F1052A"/>
    <w:rsid w:val="00F11D7F"/>
    <w:rsid w:val="00F133B9"/>
    <w:rsid w:val="00F218AB"/>
    <w:rsid w:val="00F22583"/>
    <w:rsid w:val="00F23074"/>
    <w:rsid w:val="00F242CB"/>
    <w:rsid w:val="00F358B3"/>
    <w:rsid w:val="00F35B54"/>
    <w:rsid w:val="00F35CB3"/>
    <w:rsid w:val="00F37518"/>
    <w:rsid w:val="00F375ED"/>
    <w:rsid w:val="00F41E57"/>
    <w:rsid w:val="00F532DE"/>
    <w:rsid w:val="00F5706A"/>
    <w:rsid w:val="00F6083E"/>
    <w:rsid w:val="00F6279F"/>
    <w:rsid w:val="00F63132"/>
    <w:rsid w:val="00F66446"/>
    <w:rsid w:val="00F7033E"/>
    <w:rsid w:val="00F711B4"/>
    <w:rsid w:val="00F75921"/>
    <w:rsid w:val="00F86703"/>
    <w:rsid w:val="00F902F9"/>
    <w:rsid w:val="00FA3854"/>
    <w:rsid w:val="00FA4F3C"/>
    <w:rsid w:val="00FA5489"/>
    <w:rsid w:val="00FB10B2"/>
    <w:rsid w:val="00FC2A1A"/>
    <w:rsid w:val="00FD300C"/>
    <w:rsid w:val="00FD45E9"/>
    <w:rsid w:val="00FE663F"/>
    <w:rsid w:val="00FF106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53C56"/>
  <w15:docId w15:val="{CCAEB77A-A6B2-4707-A8B4-B40B318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8E"/>
  </w:style>
  <w:style w:type="paragraph" w:styleId="Heading1">
    <w:name w:val="heading 1"/>
    <w:basedOn w:val="Normal"/>
    <w:link w:val="Heading1Char"/>
    <w:uiPriority w:val="9"/>
    <w:qFormat/>
    <w:rsid w:val="00423E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2C1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43"/>
    <w:rPr>
      <w:rFonts w:ascii="Tahoma" w:hAnsi="Tahoma" w:cs="Tahoma"/>
      <w:sz w:val="16"/>
      <w:szCs w:val="16"/>
    </w:rPr>
  </w:style>
  <w:style w:type="table" w:styleId="TableGrid">
    <w:name w:val="Table Grid"/>
    <w:basedOn w:val="TableNormal"/>
    <w:uiPriority w:val="59"/>
    <w:rsid w:val="0016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F16"/>
    <w:pPr>
      <w:ind w:left="720"/>
      <w:contextualSpacing/>
    </w:pPr>
  </w:style>
  <w:style w:type="character" w:styleId="Hyperlink">
    <w:name w:val="Hyperlink"/>
    <w:basedOn w:val="DefaultParagraphFont"/>
    <w:uiPriority w:val="99"/>
    <w:unhideWhenUsed/>
    <w:rsid w:val="00DC1F16"/>
    <w:rPr>
      <w:color w:val="0000FF" w:themeColor="hyperlink"/>
      <w:u w:val="single"/>
    </w:rPr>
  </w:style>
  <w:style w:type="paragraph" w:styleId="HTMLPreformatted">
    <w:name w:val="HTML Preformatted"/>
    <w:basedOn w:val="Normal"/>
    <w:link w:val="HTMLPreformattedChar"/>
    <w:uiPriority w:val="99"/>
    <w:semiHidden/>
    <w:unhideWhenUsed/>
    <w:rsid w:val="006B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6B6F9F"/>
    <w:rPr>
      <w:rFonts w:ascii="Courier New" w:eastAsia="Times New Roman" w:hAnsi="Courier New" w:cs="Courier New"/>
      <w:sz w:val="20"/>
      <w:szCs w:val="20"/>
      <w:lang w:eastAsia="hr-HR"/>
    </w:rPr>
  </w:style>
  <w:style w:type="character" w:customStyle="1" w:styleId="Heading1Char">
    <w:name w:val="Heading 1 Char"/>
    <w:basedOn w:val="DefaultParagraphFont"/>
    <w:link w:val="Heading1"/>
    <w:uiPriority w:val="9"/>
    <w:rsid w:val="00423EFC"/>
    <w:rPr>
      <w:rFonts w:ascii="Times New Roman" w:eastAsia="Times New Roman" w:hAnsi="Times New Roman" w:cs="Times New Roman"/>
      <w:b/>
      <w:bCs/>
      <w:kern w:val="36"/>
      <w:sz w:val="48"/>
      <w:szCs w:val="48"/>
      <w:lang w:val="en-GB" w:eastAsia="en-GB"/>
    </w:rPr>
  </w:style>
  <w:style w:type="paragraph" w:customStyle="1" w:styleId="Default">
    <w:name w:val="Default"/>
    <w:rsid w:val="00AD6C41"/>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Shading-Accent1">
    <w:name w:val="Light Shading Accent 1"/>
    <w:basedOn w:val="TableNormal"/>
    <w:uiPriority w:val="60"/>
    <w:rsid w:val="005625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FA4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F3C"/>
    <w:rPr>
      <w:sz w:val="20"/>
      <w:szCs w:val="20"/>
    </w:rPr>
  </w:style>
  <w:style w:type="character" w:customStyle="1" w:styleId="FootnoteCharacters">
    <w:name w:val="Footnote Characters"/>
    <w:basedOn w:val="DefaultParagraphFont"/>
    <w:rsid w:val="00FA4F3C"/>
    <w:rPr>
      <w:rFonts w:cs="Times New Roman"/>
      <w:vertAlign w:val="superscript"/>
    </w:rPr>
  </w:style>
  <w:style w:type="character" w:styleId="FootnoteReference">
    <w:name w:val="footnote reference"/>
    <w:basedOn w:val="DefaultParagraphFont"/>
    <w:rsid w:val="00FA4F3C"/>
    <w:rPr>
      <w:rFonts w:cs="Times New Roman"/>
      <w:vertAlign w:val="superscript"/>
    </w:rPr>
  </w:style>
  <w:style w:type="paragraph" w:styleId="Header">
    <w:name w:val="header"/>
    <w:basedOn w:val="Normal"/>
    <w:link w:val="HeaderChar"/>
    <w:uiPriority w:val="99"/>
    <w:unhideWhenUsed/>
    <w:rsid w:val="00DC5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6C"/>
  </w:style>
  <w:style w:type="paragraph" w:styleId="Footer">
    <w:name w:val="footer"/>
    <w:basedOn w:val="Normal"/>
    <w:link w:val="FooterChar"/>
    <w:uiPriority w:val="99"/>
    <w:unhideWhenUsed/>
    <w:rsid w:val="00DC5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6C"/>
  </w:style>
  <w:style w:type="character" w:styleId="CommentReference">
    <w:name w:val="annotation reference"/>
    <w:basedOn w:val="DefaultParagraphFont"/>
    <w:uiPriority w:val="99"/>
    <w:semiHidden/>
    <w:unhideWhenUsed/>
    <w:rsid w:val="00A36EF9"/>
    <w:rPr>
      <w:sz w:val="16"/>
      <w:szCs w:val="16"/>
    </w:rPr>
  </w:style>
  <w:style w:type="paragraph" w:styleId="CommentText">
    <w:name w:val="annotation text"/>
    <w:basedOn w:val="Normal"/>
    <w:link w:val="CommentTextChar"/>
    <w:uiPriority w:val="99"/>
    <w:semiHidden/>
    <w:unhideWhenUsed/>
    <w:rsid w:val="00A36EF9"/>
    <w:pPr>
      <w:spacing w:line="240" w:lineRule="auto"/>
    </w:pPr>
    <w:rPr>
      <w:sz w:val="20"/>
      <w:szCs w:val="20"/>
    </w:rPr>
  </w:style>
  <w:style w:type="character" w:customStyle="1" w:styleId="CommentTextChar">
    <w:name w:val="Comment Text Char"/>
    <w:basedOn w:val="DefaultParagraphFont"/>
    <w:link w:val="CommentText"/>
    <w:uiPriority w:val="99"/>
    <w:semiHidden/>
    <w:rsid w:val="00A36EF9"/>
    <w:rPr>
      <w:sz w:val="20"/>
      <w:szCs w:val="20"/>
    </w:rPr>
  </w:style>
  <w:style w:type="paragraph" w:styleId="CommentSubject">
    <w:name w:val="annotation subject"/>
    <w:basedOn w:val="CommentText"/>
    <w:next w:val="CommentText"/>
    <w:link w:val="CommentSubjectChar"/>
    <w:uiPriority w:val="99"/>
    <w:semiHidden/>
    <w:unhideWhenUsed/>
    <w:rsid w:val="00A36EF9"/>
    <w:rPr>
      <w:b/>
      <w:bCs/>
    </w:rPr>
  </w:style>
  <w:style w:type="character" w:customStyle="1" w:styleId="CommentSubjectChar">
    <w:name w:val="Comment Subject Char"/>
    <w:basedOn w:val="CommentTextChar"/>
    <w:link w:val="CommentSubject"/>
    <w:uiPriority w:val="99"/>
    <w:semiHidden/>
    <w:rsid w:val="00A36EF9"/>
    <w:rPr>
      <w:b/>
      <w:bCs/>
      <w:sz w:val="20"/>
      <w:szCs w:val="20"/>
    </w:rPr>
  </w:style>
  <w:style w:type="paragraph" w:styleId="Revision">
    <w:name w:val="Revision"/>
    <w:hidden/>
    <w:uiPriority w:val="99"/>
    <w:semiHidden/>
    <w:rsid w:val="00DE24F9"/>
    <w:pPr>
      <w:spacing w:after="0" w:line="240" w:lineRule="auto"/>
    </w:pPr>
  </w:style>
  <w:style w:type="character" w:customStyle="1" w:styleId="Heading2Char">
    <w:name w:val="Heading 2 Char"/>
    <w:basedOn w:val="DefaultParagraphFont"/>
    <w:link w:val="Heading2"/>
    <w:uiPriority w:val="9"/>
    <w:semiHidden/>
    <w:rsid w:val="002C1C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255">
      <w:bodyDiv w:val="1"/>
      <w:marLeft w:val="0"/>
      <w:marRight w:val="0"/>
      <w:marTop w:val="0"/>
      <w:marBottom w:val="0"/>
      <w:divBdr>
        <w:top w:val="none" w:sz="0" w:space="0" w:color="auto"/>
        <w:left w:val="none" w:sz="0" w:space="0" w:color="auto"/>
        <w:bottom w:val="none" w:sz="0" w:space="0" w:color="auto"/>
        <w:right w:val="none" w:sz="0" w:space="0" w:color="auto"/>
      </w:divBdr>
    </w:div>
    <w:div w:id="737636334">
      <w:bodyDiv w:val="1"/>
      <w:marLeft w:val="0"/>
      <w:marRight w:val="0"/>
      <w:marTop w:val="0"/>
      <w:marBottom w:val="0"/>
      <w:divBdr>
        <w:top w:val="none" w:sz="0" w:space="0" w:color="auto"/>
        <w:left w:val="none" w:sz="0" w:space="0" w:color="auto"/>
        <w:bottom w:val="none" w:sz="0" w:space="0" w:color="auto"/>
        <w:right w:val="none" w:sz="0" w:space="0" w:color="auto"/>
      </w:divBdr>
    </w:div>
    <w:div w:id="990525689">
      <w:bodyDiv w:val="1"/>
      <w:marLeft w:val="0"/>
      <w:marRight w:val="0"/>
      <w:marTop w:val="0"/>
      <w:marBottom w:val="0"/>
      <w:divBdr>
        <w:top w:val="none" w:sz="0" w:space="0" w:color="auto"/>
        <w:left w:val="none" w:sz="0" w:space="0" w:color="auto"/>
        <w:bottom w:val="none" w:sz="0" w:space="0" w:color="auto"/>
        <w:right w:val="none" w:sz="0" w:space="0" w:color="auto"/>
      </w:divBdr>
    </w:div>
    <w:div w:id="1344359075">
      <w:bodyDiv w:val="1"/>
      <w:marLeft w:val="0"/>
      <w:marRight w:val="0"/>
      <w:marTop w:val="0"/>
      <w:marBottom w:val="0"/>
      <w:divBdr>
        <w:top w:val="none" w:sz="0" w:space="0" w:color="auto"/>
        <w:left w:val="none" w:sz="0" w:space="0" w:color="auto"/>
        <w:bottom w:val="none" w:sz="0" w:space="0" w:color="auto"/>
        <w:right w:val="none" w:sz="0" w:space="0" w:color="auto"/>
      </w:divBdr>
      <w:divsChild>
        <w:div w:id="1531380945">
          <w:marLeft w:val="0"/>
          <w:marRight w:val="0"/>
          <w:marTop w:val="0"/>
          <w:marBottom w:val="0"/>
          <w:divBdr>
            <w:top w:val="none" w:sz="0" w:space="0" w:color="auto"/>
            <w:left w:val="none" w:sz="0" w:space="0" w:color="auto"/>
            <w:bottom w:val="none" w:sz="0" w:space="0" w:color="auto"/>
            <w:right w:val="none" w:sz="0" w:space="0" w:color="auto"/>
          </w:divBdr>
        </w:div>
      </w:divsChild>
    </w:div>
    <w:div w:id="20611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4D18-0A84-4711-BB50-6B8558B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korisnik;anita</dc:creator>
  <cp:lastModifiedBy>Korisnik</cp:lastModifiedBy>
  <cp:revision>2</cp:revision>
  <dcterms:created xsi:type="dcterms:W3CDTF">2017-02-06T17:52:00Z</dcterms:created>
  <dcterms:modified xsi:type="dcterms:W3CDTF">2017-02-06T17:52:00Z</dcterms:modified>
</cp:coreProperties>
</file>