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F3" w:rsidRPr="00475479" w:rsidRDefault="008B43F3" w:rsidP="008B43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475479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UNDERSTANDING TOURIST SPENDING ON CULTURE AND ENTERTAINMENT</w:t>
      </w:r>
    </w:p>
    <w:p w:rsidR="002456F4" w:rsidRPr="00475479" w:rsidRDefault="002456F4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8B43F3" w:rsidRPr="00475479" w:rsidRDefault="008B43F3" w:rsidP="008B43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75479">
        <w:rPr>
          <w:rStyle w:val="Slog3-imeinpriimekavtorjevZnakZnak"/>
          <w:rFonts w:ascii="Times New Roman" w:hAnsi="Times New Roman" w:cs="Times New Roman"/>
          <w:color w:val="000000" w:themeColor="text1"/>
          <w:lang w:val="en-GB"/>
        </w:rPr>
        <w:t>Daniela Soldić Frleta</w:t>
      </w:r>
    </w:p>
    <w:p w:rsidR="008B43F3" w:rsidRPr="00475479" w:rsidRDefault="008B43F3" w:rsidP="008B43F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University of Rijeka, Faculty of Tourism and Hospitality Management, Croatia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8B43F3" w:rsidRPr="00475479" w:rsidRDefault="008B43F3" w:rsidP="008B43F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danielas@fthm.hr</w:t>
      </w:r>
    </w:p>
    <w:p w:rsidR="008B43F3" w:rsidRPr="00475479" w:rsidRDefault="008B43F3" w:rsidP="008B43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8B43F3" w:rsidRPr="00475479" w:rsidRDefault="008B43F3" w:rsidP="008B43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75479">
        <w:rPr>
          <w:rStyle w:val="Slog3-imeinpriimekavtorjevZnakZnak"/>
          <w:rFonts w:ascii="Times New Roman" w:hAnsi="Times New Roman" w:cs="Times New Roman"/>
          <w:color w:val="000000" w:themeColor="text1"/>
          <w:lang w:val="en-GB"/>
        </w:rPr>
        <w:t>Dora Smolčić Jurdana</w:t>
      </w:r>
    </w:p>
    <w:p w:rsidR="008B43F3" w:rsidRPr="00475479" w:rsidRDefault="008B43F3" w:rsidP="008B43F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University of Rijeka, Faculty of Tourism and Hospitality Management, Croatia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160002" w:rsidRPr="00475479" w:rsidRDefault="008B43F3" w:rsidP="008B43F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doras@fthm.hr</w:t>
      </w:r>
    </w:p>
    <w:p w:rsidR="00160002" w:rsidRPr="00475479" w:rsidRDefault="00160002" w:rsidP="00877EB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</w:p>
    <w:p w:rsidR="008B43F3" w:rsidRPr="00475479" w:rsidRDefault="008B43F3" w:rsidP="008B43F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4"/>
          <w:lang w:val="en-GB"/>
        </w:rPr>
      </w:pPr>
      <w:r w:rsidRPr="0047547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ABSTRACT</w:t>
      </w:r>
      <w:r w:rsidRPr="00475479">
        <w:rPr>
          <w:rFonts w:ascii="Times New Roman" w:hAnsi="Times New Roman" w:cs="Times New Roman"/>
          <w:b/>
          <w:i/>
          <w:color w:val="000000" w:themeColor="text1"/>
          <w:sz w:val="20"/>
          <w:szCs w:val="24"/>
          <w:lang w:val="en-GB"/>
        </w:rPr>
        <w:t xml:space="preserve"> </w:t>
      </w:r>
    </w:p>
    <w:p w:rsidR="008B43F3" w:rsidRPr="00475479" w:rsidRDefault="008B43F3" w:rsidP="008B43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The aim of this study is to find out what are the determinants of tourist expenditure on culture and entertainment in two urban destinations (Rijeka and Opatija, Croatia). Tourist</w:t>
      </w:r>
      <w:r w:rsidR="00F06FE9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s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in these destinations spent most of their budget on accommodation (47%) and on food and beverages (21%). However, due to the fact that expenditure on culture and entertainment </w:t>
      </w:r>
      <w:r w:rsidR="00F06FE9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accounts for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only 10% of </w:t>
      </w:r>
      <w:r w:rsidR="006B13DC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their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total daily tourist expenditure per person, it was </w:t>
      </w:r>
      <w:r w:rsidR="00F06FE9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deemed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important to find way</w:t>
      </w:r>
      <w:r w:rsidR="00F06FE9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s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to enhance that level of spending. Considering that both </w:t>
      </w:r>
      <w:r w:rsidR="00F06FE9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towns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, despite </w:t>
      </w:r>
      <w:r w:rsidR="00F06FE9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being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urban destinations, have strong seasonality issues, it is necessary to make some changes in their tourism offering</w:t>
      </w:r>
      <w:r w:rsidR="00F06FE9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s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in terms of innovations and attractiveness. </w:t>
      </w:r>
      <w:r w:rsidR="00F06FE9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As a result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, tourists </w:t>
      </w:r>
      <w:r w:rsidR="003A23C2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would not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be motivated to </w:t>
      </w:r>
      <w:r w:rsidR="00F06FE9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travel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there just for </w:t>
      </w:r>
      <w:r w:rsidR="00F06FE9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sun and sea, but also for a wide range of cultural and entertainment opportunities. If </w:t>
      </w:r>
      <w:r w:rsidR="003A23C2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the latter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elements are enhanced and better presented, tourists </w:t>
      </w:r>
      <w:r w:rsidR="003A23C2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would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be more satisfied and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consequently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would spend more on 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these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attributes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of the offering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.</w:t>
      </w:r>
    </w:p>
    <w:p w:rsidR="008B43F3" w:rsidRPr="00475479" w:rsidRDefault="005E71B3" w:rsidP="008B43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o achieve the main objective of this study, a tourist on-site survey was conducted from January to December 2016. The assessment was carried out on a sample of 824 tourists who visited and spent at least one night in these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towns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. The methodology included descriptive statistics, 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aired 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s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ample 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-test, 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rincipal 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c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omponents 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nalysis (PCA) and regression analysis.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o obtain the frequencies, descriptive statistical analysis was performed on the socioeconomic, demographic and travel-related variables.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The t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-test was performed to find out whether there are any significant differences between importance and satisfaction levels on attributes referring to culture and entertainment. 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The </w:t>
      </w:r>
      <w:r w:rsidR="008B43F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PCA was applied to identify the dimensions of tourist satisfaction and a regression analysis was carried out for the purpose of identifying the factors that influence expenditure on culture and entertainment.</w:t>
      </w:r>
    </w:p>
    <w:p w:rsidR="008B43F3" w:rsidRPr="00475479" w:rsidRDefault="008B43F3" w:rsidP="008B43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T-test results confirmed that all attributes of the destination offering referring to cultur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e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and entertainment have statistically significant negative gap scores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indicating that satisfaction with those attributes is less than their importance to the respondents. 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PCA resulted 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in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 clear structure of five satisfaction components, which were labelled as follows: first component – ‘traffic and information availability’; second component - ‘environment’; third component - ’activity opportunities’; fourth component - ‘facilities quality’ and fifth component – ‘hospitality’.  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The t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hird and fourth component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s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encompassed elements that are related to cultur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al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and entertainment opportunities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.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N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evertheless, all five components were used in the regression analysis. The findings indicate that age, length of stay, education</w:t>
      </w:r>
      <w:r w:rsidR="00C60B1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al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level, type of accommodation, transportation means, daily expenditure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and satisfaction with traffic and information availability significantly influence the expenditure on culture and entertainment in these urban destinations.</w:t>
      </w:r>
    </w:p>
    <w:p w:rsidR="008B43F3" w:rsidRPr="00475479" w:rsidRDefault="008B43F3" w:rsidP="008B43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This study has practical implications since destination management can base their future decisions on its results. Results clearly 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indicate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that 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diversity of cultural events and 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presentation of cultural and historic heritage as well as entertainment opportunities 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fail to meet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lastRenderedPageBreak/>
        <w:t xml:space="preserve">the tourists’ expectations. Hence, further improvements are necessary to increase </w:t>
      </w:r>
      <w:r w:rsidR="005E71B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tourists’ satisfaction and their expenditure level. </w:t>
      </w:r>
    </w:p>
    <w:p w:rsidR="008B43F3" w:rsidRPr="00475479" w:rsidRDefault="008B43F3" w:rsidP="008B43F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</w:pPr>
    </w:p>
    <w:p w:rsidR="008B43F3" w:rsidRPr="00475479" w:rsidRDefault="008B43F3" w:rsidP="008B43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 xml:space="preserve">Keywords: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culture, entertainment, tourist expenditure, tourist satisfaction, tourist spending</w:t>
      </w:r>
      <w:r w:rsidRPr="00475479">
        <w:rPr>
          <w:rFonts w:ascii="Times New Roman" w:hAnsi="Times New Roman" w:cs="Times New Roman"/>
          <w:b/>
          <w:i/>
          <w:color w:val="000000" w:themeColor="text1"/>
          <w:sz w:val="24"/>
          <w:szCs w:val="32"/>
          <w:lang w:val="en-GB"/>
        </w:rPr>
        <w:t xml:space="preserve"> </w:t>
      </w:r>
    </w:p>
    <w:p w:rsidR="003B1C3D" w:rsidRPr="00475479" w:rsidRDefault="003B1C3D" w:rsidP="00877EB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</w:p>
    <w:p w:rsidR="00736645" w:rsidRPr="00475479" w:rsidRDefault="00736645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2A74CF" w:rsidRPr="00475479" w:rsidRDefault="00736645" w:rsidP="00877E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1 INTRODUCTION</w:t>
      </w:r>
      <w:r w:rsidR="002A74CF" w:rsidRPr="00475479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</w:t>
      </w:r>
    </w:p>
    <w:p w:rsidR="00736645" w:rsidRPr="00475479" w:rsidRDefault="00737EDF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This study </w:t>
      </w:r>
      <w:r w:rsidR="00C60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focuses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 tourist expenditure on culture and 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entertainment in Rijeka and Opatija, Croatia.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21BF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Since this expenditure segment account</w:t>
      </w:r>
      <w:r w:rsidR="0082757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 for</w:t>
      </w:r>
      <w:r w:rsidR="00321BF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only 10% of total dail</w:t>
      </w:r>
      <w:r w:rsidR="007A746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y tourist expenditure per tourist, the main purpose was to investigate what factors affect its level. 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It is evident that expenditure on these tourism offering elements is very low and b</w:t>
      </w:r>
      <w:r w:rsidR="007A746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y </w:t>
      </w:r>
      <w:r w:rsidR="0093337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obtaining</w:t>
      </w:r>
      <w:r w:rsidR="007A746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information on expenditure determinants it </w:t>
      </w:r>
      <w:r w:rsidR="0093337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would be</w:t>
      </w:r>
      <w:r w:rsidR="007A746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possible to find way</w:t>
      </w:r>
      <w:r w:rsidR="0093337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7A746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increase </w:t>
      </w:r>
      <w:r w:rsidR="0093337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this 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level</w:t>
      </w:r>
      <w:r w:rsidR="007A746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order to </w:t>
      </w:r>
      <w:r w:rsidR="0093337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enhance the </w:t>
      </w:r>
      <w:r w:rsidR="007A746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economic impact </w:t>
      </w:r>
      <w:r w:rsidR="0093337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tourism </w:t>
      </w:r>
      <w:r w:rsidR="007A746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 the whole destination.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Opatija and Rijeka form a unique Adriatic Sea destination </w:t>
      </w:r>
      <w:r w:rsidR="00D1190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because of their close proximity 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each other (just a 20 minutes’ drive </w:t>
      </w:r>
      <w:r w:rsidR="0093337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apart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but 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their 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tourism setting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 are different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Opatija is a 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town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 a long tourism tradition 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and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rich tourism infrastructure. Rijeka is more of an urban tourism destination that</w:t>
      </w:r>
      <w:r w:rsidR="00C60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has</w:t>
      </w:r>
      <w:r w:rsidR="00FD5F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just recently started fo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cusing on tourism development. Due to the fact that 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main </w:t>
      </w:r>
      <w:r w:rsidR="00C60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motivation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coming </w:t>
      </w:r>
      <w:r w:rsidR="008E5B5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these destinations is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sea and sun, both destination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have high seasonal tourism traffic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with the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majority of arrivals registered from June 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September. Hence, to prolong the tourism season, strategic planning documents foresee the development of 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different 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forms of 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special-interest 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tourism (</w:t>
      </w:r>
      <w:r w:rsidR="0093697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e.g.</w:t>
      </w:r>
      <w:r w:rsidR="00F66C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217D5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cultural tourism, MICE, health tourism). Therefore, it is evident that the offering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217D5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these 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towns</w:t>
      </w:r>
      <w:r w:rsidR="00217D5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need to be upgraded and modified. 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</w:t>
      </w:r>
      <w:r w:rsidR="00217D5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oing so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 expected to boost</w:t>
      </w:r>
      <w:r w:rsidR="00217D5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</w:t>
      </w:r>
      <w:r w:rsidR="00A352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ir</w:t>
      </w:r>
      <w:r w:rsidR="00217D5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tourist expenditure levels. In addition to </w:t>
      </w:r>
      <w:r w:rsidR="00CA60B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enriching the offering elements that </w:t>
      </w:r>
      <w:r w:rsidR="008F715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</w:t>
      </w:r>
      <w:r w:rsidR="00CA60B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not </w:t>
      </w:r>
      <w:r w:rsidR="008F715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focus </w:t>
      </w:r>
      <w:r w:rsidR="008E5B5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directly </w:t>
      </w:r>
      <w:r w:rsidR="008F715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the </w:t>
      </w:r>
      <w:r w:rsidR="00CA60B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sun and sea offering, it is necessary to investigate the factors that influenc</w:t>
      </w:r>
      <w:r w:rsidR="008F715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CA60B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8F715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CA60B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tourist expenditure level and structure. As </w:t>
      </w:r>
      <w:r w:rsidR="0095230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Lin et al. (2015) underlined, </w:t>
      </w:r>
      <w:r w:rsidR="008C4D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understanding the tourists’</w:t>
      </w:r>
      <w:r w:rsidR="00CA60B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expenditure </w:t>
      </w:r>
      <w:r w:rsidR="008C4D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patterns </w:t>
      </w:r>
      <w:r w:rsidR="0095230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will lead to the</w:t>
      </w:r>
      <w:r w:rsidR="00CA60B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5230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identification </w:t>
      </w:r>
      <w:r w:rsidR="008F715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</w:t>
      </w:r>
      <w:r w:rsidR="00CA60B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5230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profitable</w:t>
      </w:r>
      <w:r w:rsidR="00CA60B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market segments and </w:t>
      </w:r>
      <w:r w:rsidR="008F715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the </w:t>
      </w:r>
      <w:r w:rsidR="0095230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definition of adequate</w:t>
      </w:r>
      <w:r w:rsidR="00CA60B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market segmentation strategies</w:t>
      </w:r>
      <w:r w:rsidR="00F8505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that will</w:t>
      </w:r>
      <w:r w:rsidR="008F715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F8505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8F715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ultimately, </w:t>
      </w:r>
      <w:r w:rsidR="00F8505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lead to the greater economic impacts of tourism.</w:t>
      </w:r>
      <w:r w:rsidR="0022259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8E5B5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22259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literature review shows there is still </w:t>
      </w:r>
      <w:r w:rsidR="008F715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22259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need to conduct research on tourist expenditure since 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most </w:t>
      </w:r>
      <w:r w:rsidR="0022259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the research </w:t>
      </w:r>
      <w:r w:rsidR="0093697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has been</w:t>
      </w:r>
      <w:r w:rsidR="0022259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done on the macro level and less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22259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22259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micro level (</w:t>
      </w:r>
      <w:r w:rsidR="006B0D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Brida and Scuderi, 2013; Disegna and Osti, 2016; Fredman, 2008</w:t>
      </w:r>
      <w:r w:rsidR="0077535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Marrocu et al. 2015</w:t>
      </w:r>
      <w:r w:rsidR="006B0D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BC586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Moreover, </w:t>
      </w:r>
      <w:r w:rsidR="0093697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with regard to </w:t>
      </w:r>
      <w:r w:rsidR="00BC586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micro data, 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BC586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majority of researchers 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have </w:t>
      </w:r>
      <w:r w:rsidR="00BC586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tested the relationship between total expenditure (per day, per trip or per person) and different types of variables. 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s</w:t>
      </w:r>
      <w:r w:rsidR="00BC586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maller number of authors have focused on testing the relationship between tourist expenditure on culture and/or entertainment and different possible determinants. This study aims to fill that literature gap by providing evidence of 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5403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significant relationship between 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various </w:t>
      </w:r>
      <w:r w:rsidR="005403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characteristics and attitudes</w:t>
      </w:r>
      <w:r w:rsidR="0093697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tourists</w:t>
      </w:r>
      <w:r w:rsidR="005403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their expenditure level on culture and entertainment.</w:t>
      </w:r>
    </w:p>
    <w:p w:rsidR="00CA60B5" w:rsidRPr="00475479" w:rsidRDefault="00CA60B5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CA60B5" w:rsidRPr="00475479" w:rsidRDefault="00CA60B5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CA60B5" w:rsidRPr="00475479" w:rsidRDefault="00CA60B5" w:rsidP="00877E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F05BB8" w:rsidRPr="00475479" w:rsidRDefault="002A74CF" w:rsidP="00877E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2</w:t>
      </w:r>
      <w:r w:rsidR="008B43F3"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LITERATURE BACKGROUND</w:t>
      </w:r>
    </w:p>
    <w:p w:rsidR="002A38DC" w:rsidRPr="00475479" w:rsidRDefault="00DA0882" w:rsidP="002A38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substantial body of research on tourist expenditure has been devoted to investigating the relationship between its level and different variables (</w:t>
      </w:r>
      <w:r w:rsidR="00CA43C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Brida and Scuderi, 2013; Disegna and Osti, 2016; Marcussen, 2011;</w:t>
      </w:r>
      <w:r w:rsidR="00C43DE2" w:rsidRPr="00475479">
        <w:rPr>
          <w:lang w:val="en-GB"/>
        </w:rPr>
        <w:t xml:space="preserve"> </w:t>
      </w:r>
      <w:r w:rsidR="00C43DE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Marrocu et al. 2015;</w:t>
      </w:r>
      <w:r w:rsidR="00CA43C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Thrane, </w:t>
      </w:r>
      <w:r w:rsidR="00C43DE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2014, </w:t>
      </w:r>
      <w:r w:rsidR="00CA43C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2016)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5403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However, 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5403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majority of </w:t>
      </w:r>
      <w:r w:rsidR="00A677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previous studies 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have </w:t>
      </w:r>
      <w:r w:rsidR="00A677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used macro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="00A677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level data</w:t>
      </w:r>
      <w:r w:rsidR="00A6774B" w:rsidRPr="00475479">
        <w:rPr>
          <w:lang w:val="en-GB"/>
        </w:rPr>
        <w:t xml:space="preserve"> (</w:t>
      </w:r>
      <w:r w:rsidR="00A677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Brida &amp; Scuderi, 2013; Craggs &amp; Schofield, 2009; Fredman,</w:t>
      </w:r>
      <w:r w:rsidR="00E72B8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2008). As Belenkiy and Riker (2013) point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out</w:t>
      </w:r>
      <w:r w:rsidR="002E58F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E72B8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advantage of using micro data is </w:t>
      </w:r>
      <w:r w:rsidR="00936970" w:rsidRPr="003C2BD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that these data report </w:t>
      </w:r>
      <w:r w:rsidR="00E72B8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information on the tourism expenditures of individual tourists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E72B8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together with their different characteristics.</w:t>
      </w:r>
      <w:r w:rsidR="00DF54A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704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Such</w:t>
      </w:r>
      <w:r w:rsidR="00DF54A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data are usually obtained through different surveys as they are not </w:t>
      </w:r>
      <w:r w:rsidR="00F94C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available 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from</w:t>
      </w:r>
      <w:r w:rsidR="00F94C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official statistics. </w:t>
      </w:r>
      <w:r w:rsidR="00E144B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According to the recent extensive </w:t>
      </w:r>
      <w:r w:rsidR="00E144B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reviews 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 tourist</w:t>
      </w:r>
      <w:r w:rsidR="00E144B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expenditure determinants (</w:t>
      </w:r>
      <w:r w:rsidR="00870E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870E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Brida</w:t>
      </w:r>
      <w:r w:rsidR="00E144B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Scuderi,</w:t>
      </w:r>
      <w:r w:rsidR="00E144B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2013; Mar</w:t>
      </w:r>
      <w:r w:rsidR="00E144B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cussen, 2011; Mayer and Vogt, 2016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tourist expenditure research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can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 divided 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into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a)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site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studies (where the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tourists’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total trip expenditure is used as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dependent variable in the regression models) and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b) 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household studies (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that are focused on 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household’s total trip expenditure) (Th</w:t>
      </w:r>
      <w:r w:rsidR="00F63B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rane, 2016).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This research fits into the first group of studies since it uses the results of 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site survey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 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respondents being 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tourists visiting Rijeka and Opatija 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who 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report</w:t>
      </w:r>
      <w:r w:rsidR="00834EA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ed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the </w:t>
      </w:r>
      <w:r w:rsidR="008F576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level and structure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their expenditure 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the destination</w:t>
      </w:r>
      <w:r w:rsidR="0023734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A222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2A38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202A96" w:rsidRPr="00475479" w:rsidRDefault="00202A96" w:rsidP="006646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66461D" w:rsidRPr="00475479" w:rsidRDefault="002A38DC" w:rsidP="006646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Tourist expenditure levels in previous </w:t>
      </w:r>
      <w:r w:rsidR="00870E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studies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usually expressed either </w:t>
      </w:r>
      <w:r w:rsidR="00F9085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total expenditure for the whole trip (that could also be expressed per party, per household or per person), or </w:t>
      </w:r>
      <w:r w:rsidR="00F9085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daily expenditure (again</w:t>
      </w:r>
      <w:r w:rsidR="00870E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per person or per party) (Brida and Scuderi, 2013</w:t>
      </w:r>
      <w:r w:rsidR="00F9085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472F3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This study uses daily tourist expenditure per person and follows the</w:t>
      </w:r>
      <w:r w:rsidR="00472F31" w:rsidRPr="00475479">
        <w:rPr>
          <w:lang w:val="en-GB"/>
        </w:rPr>
        <w:t xml:space="preserve"> </w:t>
      </w:r>
      <w:r w:rsidR="00472F3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econometric practice</w:t>
      </w:r>
      <w:r w:rsidR="00870E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using</w:t>
      </w:r>
      <w:r w:rsidR="00472F3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natural logarithm of expenditure</w:t>
      </w:r>
      <w:r w:rsidR="00DA55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72F3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just as</w:t>
      </w:r>
      <w:r w:rsidR="00202A9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870E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it was used by </w:t>
      </w:r>
      <w:r w:rsidR="00202A9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other authors</w:t>
      </w:r>
      <w:r w:rsidR="00472F3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870E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such as</w:t>
      </w:r>
      <w:r w:rsidR="00472F3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García-Sánchez et al. (2013), Marrocu et al., (2015) or Thrane, (2014, 2016). </w:t>
      </w:r>
      <w:r w:rsidR="00870E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terms of m</w:t>
      </w:r>
      <w:r w:rsidR="0066461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ethodology, most tourism expenditure studies</w:t>
      </w:r>
      <w:r w:rsidR="00870E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(e.g. Fredman, 2008; Legohérel and Wong, 2006; Marcussen, 2011 and others)</w:t>
      </w:r>
      <w:r w:rsidR="0066461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have employed ordinary least squares regression analysis (OLS)</w:t>
      </w:r>
      <w:r w:rsidR="00870E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as does this study</w:t>
      </w:r>
      <w:r w:rsidR="0066461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0C7534" w:rsidRPr="00475479" w:rsidRDefault="00870EB7" w:rsidP="003447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the literature, 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possible tourist expenditure determinants usually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fall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into three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broad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groups (Brida and Scuderi, 2013; Marcussen, 2011; Marrocu et al., 2015; Thrane, 2016).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f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irst group refers to variables related to economic and sociodemographic characteristics (age, gender, income, educational level, occupation, origin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etc.)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second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 trip-related characteristics (length of stay, accommodation type, transportation mode, type of trip organisation, etc.) and the third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 psychographic characteristics (attitudes, satisfaction levels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etc</w:t>
      </w:r>
      <w:r w:rsidR="00CB792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). The first two groups of variables are 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most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commonly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employed in previous studies </w:t>
      </w:r>
      <w:r w:rsidR="00202A9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that 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focus on investigating tourist expenditure determinants, 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while</w:t>
      </w:r>
      <w:r w:rsidR="003447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psychographic variables are rarely used in the models (</w:t>
      </w:r>
      <w:r w:rsidR="000C753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Brida and Scuderi, 2013). </w:t>
      </w:r>
    </w:p>
    <w:p w:rsidR="000321DE" w:rsidRPr="00475479" w:rsidRDefault="000321DE" w:rsidP="00043D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Income is 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one of 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most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often used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economic and sociodemographic characteristics, and 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majority 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studies 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have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proved 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it to be a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statistically positive predictor of tourist expenditure (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e.g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5A075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Fredman, 2008; García-Sánchez et al., 2013; Marrocu et al., 2015; Thrane, 2014; 2016).</w:t>
      </w:r>
      <w:r w:rsidR="00BC283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When sociodemographic characteristics are concerned, age</w:t>
      </w:r>
      <w:r w:rsidR="00825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 </w:t>
      </w:r>
      <w:r w:rsidR="00D4597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used the most </w:t>
      </w:r>
      <w:r w:rsidR="00825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the models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T</w:t>
      </w:r>
      <w:r w:rsidR="00825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he results of those models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however,</w:t>
      </w:r>
      <w:r w:rsidR="00825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often in conflict. Namely,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825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results of certain studies confirm age as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</w:t>
      </w:r>
      <w:r w:rsidR="00825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significant predictor of tourist expenditure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For example,</w:t>
      </w:r>
      <w:r w:rsidR="00825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Jang et al. (2004) and Jones et al. (2009) have found a positive relationship, while Chhabra (2006) and Wang et al. (2006) have confirmed an inverse relationship.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043DD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situation is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similar</w:t>
      </w:r>
      <w:r w:rsidR="00043DD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case of educational level as well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  <w:r w:rsidR="00043DD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Aguilo and Juaneda Sampol (2000) and Jang et al. (2004) found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043DD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positive relationship between education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 level</w:t>
      </w:r>
      <w:r w:rsidR="00043DD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tourist expendi</w:t>
      </w:r>
      <w:r w:rsidR="00B5603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043DD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ure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043DD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while Nicolau and Más (2005) did not find a statistically significant relationship.  </w:t>
      </w:r>
    </w:p>
    <w:p w:rsidR="00D87638" w:rsidRPr="00475479" w:rsidRDefault="00180B13" w:rsidP="00737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When it comes to trip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related variables, length of stay is</w:t>
      </w:r>
      <w:r w:rsidR="00D550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one of the most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widely</w:t>
      </w:r>
      <w:r w:rsidR="00D550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used variable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With regard to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daily expenditure,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results </w:t>
      </w:r>
      <w:r w:rsidR="00D550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many studies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show the negative effect of length of stay on daily expenditure </w:t>
      </w:r>
      <w:r w:rsidR="00D550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95645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Disegna and Osti, 2016; </w:t>
      </w:r>
      <w:r w:rsidR="00D550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Kastenholz,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</w:t>
      </w:r>
      <w:r w:rsidR="00D550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005;</w:t>
      </w:r>
      <w:r w:rsidR="003D39F4" w:rsidRPr="00475479">
        <w:rPr>
          <w:lang w:val="en-GB"/>
        </w:rPr>
        <w:t xml:space="preserve"> </w:t>
      </w:r>
      <w:r w:rsidR="003D39F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Mayer and Vogt, 2016;</w:t>
      </w:r>
      <w:r w:rsidR="00D550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Svensson et al., 2011)</w:t>
      </w:r>
      <w:r w:rsidR="00AC65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D876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Further, in case of trip organisation, Chen and Chang (2012) and Mayer and Vogt (2015) confirmed that </w:t>
      </w:r>
      <w:r w:rsidR="00BF3A0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tourist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s,</w:t>
      </w:r>
      <w:r w:rsidR="00BF3A0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who individually organise their trip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BF3A0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stay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BF3A0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876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tend to</w:t>
      </w:r>
      <w:r w:rsidR="00683DF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876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spend more in comparison with those who </w:t>
      </w:r>
      <w:r w:rsidR="00BF3A0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use travel agency services.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t</w:t>
      </w:r>
      <w:r w:rsidR="00A7570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ype of accommodation is another variable that has very often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been </w:t>
      </w:r>
      <w:r w:rsidR="00A7570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included in models as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A7570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possible predictor of tourist expenditure. Many studies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have </w:t>
      </w:r>
      <w:r w:rsidR="00A7570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confirmed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A7570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instance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A7570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that tourists staying in hotels spend more than those staying in other types of accommodation (</w:t>
      </w:r>
      <w:r w:rsidR="001F72C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Agarwal and Yochum, 1999; </w:t>
      </w:r>
      <w:r w:rsidR="00A7570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García-Sánchez et al., 2013; Svensson et al., 2011).</w:t>
      </w:r>
      <w:r w:rsidR="0073745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Additionally, some authors reported a significant relationship between transportation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mode</w:t>
      </w:r>
      <w:r w:rsidR="0073745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1174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and</w:t>
      </w:r>
      <w:r w:rsidR="0073745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tourist expenditure</w:t>
      </w:r>
      <w:r w:rsidR="0051174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as well</w:t>
      </w:r>
      <w:r w:rsidR="0073745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="0051174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Fre</w:t>
      </w:r>
      <w:r w:rsidR="0073745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</w:t>
      </w:r>
      <w:r w:rsidR="0051174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man, 2008; Marcussen, 2011; Svensson et al., 2011). </w:t>
      </w:r>
    </w:p>
    <w:p w:rsidR="00511742" w:rsidRPr="00475479" w:rsidRDefault="00511742" w:rsidP="005117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Finally,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last group refers to psychographic </w:t>
      </w:r>
      <w:r w:rsidR="0079796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variables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which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are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least included in  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studies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 tourist expenditure determinants (</w:t>
      </w:r>
      <w:r w:rsidR="00A633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Brida and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Scuderi, 2013). Among them, </w:t>
      </w:r>
      <w:r w:rsidR="0047547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motivation is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most employed variable, while others, like satisfaction with 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offering or taste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rarely employed. Hence, more research need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be conducted in order to made </w:t>
      </w:r>
      <w:r w:rsidR="006F56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sound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conclusion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this regard. Therefore, this study includes satisfaction variables and tests their relationship with tourist expenditure on culture and entertainment. </w:t>
      </w:r>
    </w:p>
    <w:p w:rsidR="000C7534" w:rsidRPr="00475479" w:rsidRDefault="000C7534" w:rsidP="003447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0C7534" w:rsidRPr="00475479" w:rsidRDefault="00F5414E" w:rsidP="001B7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="000C753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 is evident that different studies 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have </w:t>
      </w:r>
      <w:r w:rsidR="000C753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reported ambiguous results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0C753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since certain variables turned out to be significant predictors of tourist expenditure in some studies, but not in others. In addition, </w:t>
      </w:r>
      <w:r w:rsidR="001B7D7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certain </w:t>
      </w:r>
      <w:r w:rsidR="001D38E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variables</w:t>
      </w:r>
      <w:r w:rsidR="000C753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some studies 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found </w:t>
      </w:r>
      <w:r w:rsidR="000C753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 be statistically positively related to expenditure, although a negative relation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ship</w:t>
      </w:r>
      <w:r w:rsidR="001B7D7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0C753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was found in other studies</w:t>
      </w:r>
      <w:r w:rsidR="001B7D7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(Wang and Davidson, 2010)</w:t>
      </w:r>
      <w:r w:rsidR="000C753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Moreover, 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majority of 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studies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focus on overall expenditure determinants, </w:t>
      </w:r>
      <w:r w:rsidR="00C4283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while few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studies focus on tourist expenditure on </w:t>
      </w:r>
      <w:r w:rsidR="00F02B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specific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cost components. </w:t>
      </w:r>
      <w:r w:rsidR="00F02B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his study </w:t>
      </w:r>
      <w:r w:rsidR="00F02B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belongs to latter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group, since it focuse</w:t>
      </w:r>
      <w:r w:rsidR="00F02B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</w:t>
      </w:r>
      <w:r w:rsidR="008344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02B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identifying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determinants of tourist expenditu</w:t>
      </w:r>
      <w:r w:rsidR="00A633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 on culture and entertainment.</w:t>
      </w:r>
    </w:p>
    <w:p w:rsidR="00736645" w:rsidRPr="00475479" w:rsidRDefault="00736645" w:rsidP="00877E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736645" w:rsidRPr="00475479" w:rsidRDefault="00736645" w:rsidP="00877E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736645" w:rsidRPr="00475479" w:rsidRDefault="00736645" w:rsidP="00877E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3 </w:t>
      </w:r>
      <w:r w:rsidR="004E04BD"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DATA COLLECTION AND </w:t>
      </w:r>
      <w:r w:rsidR="008B43F3"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METHODOLOGY</w:t>
      </w:r>
    </w:p>
    <w:p w:rsidR="00EF20C7" w:rsidRPr="00475479" w:rsidRDefault="00E1158E" w:rsidP="00E115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Data for this study were collected between January and December 2016. </w:t>
      </w:r>
      <w:r w:rsidR="004E04B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total</w:t>
      </w:r>
      <w:r w:rsidR="00CF14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4E04B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1467 respondents</w:t>
      </w:r>
      <w:r w:rsidR="004E04B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were randomly selected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aged 18 years</w:t>
      </w:r>
      <w:r w:rsidR="004E04B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834A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and older</w:t>
      </w:r>
      <w:r w:rsidR="004E04B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CF14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Among them,</w:t>
      </w:r>
      <w:r w:rsidR="004E04B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1249 </w:t>
      </w:r>
      <w:r w:rsidR="00834A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respondents</w:t>
      </w:r>
      <w:r w:rsidR="00F02B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834A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who spent at least one night in Rijeka </w:t>
      </w:r>
      <w:r w:rsidR="00F02B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</w:t>
      </w:r>
      <w:r w:rsidR="00834A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Opatija</w:t>
      </w:r>
      <w:r w:rsidR="00F02B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834A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E04B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agreed to participate as respondents 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</w:t>
      </w:r>
      <w:r w:rsidR="004E04B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this study. </w:t>
      </w:r>
      <w:r w:rsidR="000B55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Since the main purpose of this paper is to</w:t>
      </w:r>
      <w:r w:rsidR="000B5525" w:rsidRPr="00475479">
        <w:rPr>
          <w:lang w:val="en-GB"/>
        </w:rPr>
        <w:t xml:space="preserve"> 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identify </w:t>
      </w:r>
      <w:r w:rsidR="000B55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determinants of tourist expenditure on culture and entertainment, only those respondents who spent 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834A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certain amount of</w:t>
      </w:r>
      <w:r w:rsidR="000B55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money on those elements were included in the analyses. Hence, d</w:t>
      </w:r>
      <w:r w:rsidR="00D8153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ue to the fact </w:t>
      </w:r>
      <w:r w:rsidR="00834A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that </w:t>
      </w:r>
      <w:r w:rsidR="00D8153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some of the respondents reported zero expenditure on culture and entertainment</w:t>
      </w:r>
      <w:r w:rsidR="005711C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D8153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711C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total of</w:t>
      </w:r>
      <w:r w:rsidR="00D8153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824 questionnaires were used for</w:t>
      </w:r>
      <w:r w:rsidR="000B55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analysis.</w:t>
      </w:r>
      <w:r w:rsidR="00CF14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3E02EE" w:rsidRPr="00475479" w:rsidRDefault="00D52EC6" w:rsidP="00E115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questionnaires were available to the respondents in Croatian, English, German and Italian.  </w:t>
      </w:r>
      <w:r w:rsidR="00EF20C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goal of the questionnaire was to explore</w:t>
      </w:r>
      <w:r w:rsidR="004E04B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F20C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tourist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EF20C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 profile in terms of their sociodemographic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EF20C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2451C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travel characteristics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2451C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their level of </w:t>
      </w:r>
      <w:r w:rsidR="002451C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satisfaction with 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towns</w:t>
      </w:r>
      <w:r w:rsidR="002451C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 tourism offering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2451C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during different seasons. The main part of the questionnaire refers</w:t>
      </w:r>
      <w:r w:rsidR="008135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the structure and level of the respondents’ </w:t>
      </w:r>
      <w:r w:rsidR="00834A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expenditure</w:t>
      </w:r>
      <w:r w:rsidR="008135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destination.</w:t>
      </w:r>
    </w:p>
    <w:p w:rsidR="0094538E" w:rsidRPr="00475479" w:rsidRDefault="0094538E" w:rsidP="00E115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94538E" w:rsidRPr="00475479" w:rsidRDefault="0094538E" w:rsidP="0094538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Table</w:t>
      </w:r>
      <w:r w:rsidR="0063016C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1: Sociodemographic characteristics of the sample</w:t>
      </w:r>
      <w:r w:rsidR="002031E6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(N</w:t>
      </w:r>
      <w:r w:rsidR="005C1363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=824)</w:t>
      </w:r>
    </w:p>
    <w:p w:rsidR="0094538E" w:rsidRPr="00475479" w:rsidRDefault="0094538E" w:rsidP="0094538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Arial" w:hAnsi="Arial" w:cs="Arial"/>
          <w:i/>
          <w:color w:val="000000" w:themeColor="text1"/>
          <w:lang w:val="en-GB"/>
        </w:rPr>
        <w:t xml:space="preserve"> 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996"/>
        <w:gridCol w:w="437"/>
        <w:gridCol w:w="3261"/>
        <w:gridCol w:w="992"/>
      </w:tblGrid>
      <w:tr w:rsidR="005C1363" w:rsidRPr="00475479" w:rsidTr="007E665A">
        <w:trPr>
          <w:trHeight w:val="238"/>
        </w:trPr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363" w:rsidRPr="00475479" w:rsidRDefault="005C1363" w:rsidP="00916A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 xml:space="preserve">Characteristic 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363" w:rsidRPr="00475479" w:rsidRDefault="005C1363" w:rsidP="00321D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%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</w:tcPr>
          <w:p w:rsidR="005C1363" w:rsidRPr="00475479" w:rsidRDefault="005C1363" w:rsidP="00916A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5C1363" w:rsidRPr="00475479" w:rsidRDefault="005C1363" w:rsidP="00916A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 xml:space="preserve">Characteristic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363" w:rsidRPr="00475479" w:rsidRDefault="005C1363" w:rsidP="00321D8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%</w:t>
            </w:r>
          </w:p>
        </w:tc>
      </w:tr>
      <w:tr w:rsidR="005C1363" w:rsidRPr="00475479" w:rsidTr="007E665A">
        <w:trPr>
          <w:trHeight w:val="238"/>
        </w:trPr>
        <w:tc>
          <w:tcPr>
            <w:tcW w:w="3098" w:type="dxa"/>
            <w:tcBorders>
              <w:top w:val="single" w:sz="12" w:space="0" w:color="auto"/>
            </w:tcBorders>
            <w:vAlign w:val="center"/>
          </w:tcPr>
          <w:p w:rsidR="005C1363" w:rsidRPr="00475479" w:rsidRDefault="005C1363" w:rsidP="0094538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Country of Origin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vAlign w:val="center"/>
          </w:tcPr>
          <w:p w:rsidR="005C1363" w:rsidRPr="00475479" w:rsidRDefault="005C1363" w:rsidP="00321D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5C1363" w:rsidRPr="00475479" w:rsidRDefault="005C1363" w:rsidP="0094538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C1363" w:rsidRPr="00475479" w:rsidRDefault="005C1363" w:rsidP="0094538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 xml:space="preserve">Gender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C1363" w:rsidRPr="00475479" w:rsidRDefault="005C1363" w:rsidP="00321D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C1363" w:rsidRPr="00475479" w:rsidTr="007E665A">
        <w:trPr>
          <w:trHeight w:val="227"/>
        </w:trPr>
        <w:tc>
          <w:tcPr>
            <w:tcW w:w="3098" w:type="dxa"/>
          </w:tcPr>
          <w:p w:rsidR="005C1363" w:rsidRPr="00475479" w:rsidRDefault="007E665A" w:rsidP="00916A6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Croatia</w:t>
            </w:r>
          </w:p>
        </w:tc>
        <w:tc>
          <w:tcPr>
            <w:tcW w:w="996" w:type="dxa"/>
            <w:vAlign w:val="center"/>
          </w:tcPr>
          <w:p w:rsidR="005C1363" w:rsidRPr="00475479" w:rsidRDefault="005C1363" w:rsidP="00321D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22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437" w:type="dxa"/>
          </w:tcPr>
          <w:p w:rsidR="005C1363" w:rsidRPr="00475479" w:rsidRDefault="005C1363" w:rsidP="00916A6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</w:tcPr>
          <w:p w:rsidR="005C1363" w:rsidRPr="00475479" w:rsidRDefault="007E665A" w:rsidP="00916A6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Male </w:t>
            </w:r>
          </w:p>
        </w:tc>
        <w:tc>
          <w:tcPr>
            <w:tcW w:w="992" w:type="dxa"/>
            <w:vAlign w:val="center"/>
          </w:tcPr>
          <w:p w:rsidR="005C1363" w:rsidRPr="00475479" w:rsidRDefault="005C1363" w:rsidP="00321D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45.3</w:t>
            </w:r>
          </w:p>
        </w:tc>
      </w:tr>
      <w:tr w:rsidR="005C1363" w:rsidRPr="00475479" w:rsidTr="007E665A">
        <w:trPr>
          <w:trHeight w:val="238"/>
        </w:trPr>
        <w:tc>
          <w:tcPr>
            <w:tcW w:w="3098" w:type="dxa"/>
          </w:tcPr>
          <w:p w:rsidR="005C1363" w:rsidRPr="00475479" w:rsidRDefault="007E665A" w:rsidP="00916A6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Germany</w:t>
            </w:r>
          </w:p>
        </w:tc>
        <w:tc>
          <w:tcPr>
            <w:tcW w:w="996" w:type="dxa"/>
            <w:vAlign w:val="center"/>
          </w:tcPr>
          <w:p w:rsidR="005C1363" w:rsidRPr="00475479" w:rsidRDefault="005C1363" w:rsidP="00321D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14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437" w:type="dxa"/>
          </w:tcPr>
          <w:p w:rsidR="005C1363" w:rsidRPr="00475479" w:rsidRDefault="005C1363" w:rsidP="00916A6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</w:tcPr>
          <w:p w:rsidR="005C1363" w:rsidRPr="00475479" w:rsidRDefault="007E665A" w:rsidP="00916A6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Female </w:t>
            </w:r>
          </w:p>
        </w:tc>
        <w:tc>
          <w:tcPr>
            <w:tcW w:w="992" w:type="dxa"/>
            <w:vAlign w:val="center"/>
          </w:tcPr>
          <w:p w:rsidR="005C1363" w:rsidRPr="00475479" w:rsidRDefault="005C1363" w:rsidP="00321D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54.7</w:t>
            </w:r>
          </w:p>
        </w:tc>
      </w:tr>
      <w:tr w:rsidR="005C1363" w:rsidRPr="00475479" w:rsidTr="007E665A">
        <w:trPr>
          <w:trHeight w:val="238"/>
        </w:trPr>
        <w:tc>
          <w:tcPr>
            <w:tcW w:w="3098" w:type="dxa"/>
          </w:tcPr>
          <w:p w:rsidR="005C1363" w:rsidRPr="00475479" w:rsidRDefault="007E665A" w:rsidP="00916A6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Italy</w:t>
            </w:r>
          </w:p>
        </w:tc>
        <w:tc>
          <w:tcPr>
            <w:tcW w:w="996" w:type="dxa"/>
            <w:vAlign w:val="center"/>
          </w:tcPr>
          <w:p w:rsidR="005C1363" w:rsidRPr="00475479" w:rsidRDefault="005C1363" w:rsidP="00321D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14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437" w:type="dxa"/>
          </w:tcPr>
          <w:p w:rsidR="005C1363" w:rsidRPr="00475479" w:rsidRDefault="005C1363" w:rsidP="00916A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</w:tcPr>
          <w:p w:rsidR="005C1363" w:rsidRPr="00475479" w:rsidRDefault="005C1363" w:rsidP="00916A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Educational level</w:t>
            </w:r>
          </w:p>
        </w:tc>
        <w:tc>
          <w:tcPr>
            <w:tcW w:w="992" w:type="dxa"/>
            <w:vAlign w:val="center"/>
          </w:tcPr>
          <w:p w:rsidR="005C1363" w:rsidRPr="00475479" w:rsidRDefault="005C1363" w:rsidP="00321D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C1363" w:rsidRPr="00475479" w:rsidTr="007E665A">
        <w:trPr>
          <w:trHeight w:val="238"/>
        </w:trPr>
        <w:tc>
          <w:tcPr>
            <w:tcW w:w="3098" w:type="dxa"/>
          </w:tcPr>
          <w:p w:rsidR="005C1363" w:rsidRPr="00475479" w:rsidRDefault="007E665A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Austria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ab/>
            </w:r>
          </w:p>
        </w:tc>
        <w:tc>
          <w:tcPr>
            <w:tcW w:w="996" w:type="dxa"/>
            <w:vAlign w:val="center"/>
          </w:tcPr>
          <w:p w:rsidR="005C1363" w:rsidRPr="00475479" w:rsidRDefault="005C1363" w:rsidP="002031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12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437" w:type="dxa"/>
          </w:tcPr>
          <w:p w:rsidR="005C1363" w:rsidRPr="00475479" w:rsidRDefault="005C1363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5C1363" w:rsidRPr="00475479" w:rsidRDefault="007E665A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Elementary school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363" w:rsidRPr="00475479" w:rsidRDefault="007E665A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0.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</w:tr>
      <w:tr w:rsidR="005C1363" w:rsidRPr="00475479" w:rsidTr="007E665A">
        <w:trPr>
          <w:trHeight w:val="238"/>
        </w:trPr>
        <w:tc>
          <w:tcPr>
            <w:tcW w:w="3098" w:type="dxa"/>
          </w:tcPr>
          <w:p w:rsidR="005C1363" w:rsidRPr="00475479" w:rsidRDefault="007E665A" w:rsidP="002031E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996" w:type="dxa"/>
            <w:vAlign w:val="center"/>
          </w:tcPr>
          <w:p w:rsidR="005C1363" w:rsidRPr="00475479" w:rsidRDefault="005C1363" w:rsidP="002031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437" w:type="dxa"/>
          </w:tcPr>
          <w:p w:rsidR="005C1363" w:rsidRPr="00475479" w:rsidRDefault="005C1363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5C1363" w:rsidRPr="00475479" w:rsidRDefault="007E665A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High school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363" w:rsidRPr="00475479" w:rsidRDefault="005C1363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34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5C1363" w:rsidRPr="00475479" w:rsidTr="007E665A">
        <w:trPr>
          <w:trHeight w:val="238"/>
        </w:trPr>
        <w:tc>
          <w:tcPr>
            <w:tcW w:w="3098" w:type="dxa"/>
          </w:tcPr>
          <w:p w:rsidR="005C1363" w:rsidRPr="00475479" w:rsidRDefault="007E665A" w:rsidP="002031E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Slovenia</w:t>
            </w:r>
          </w:p>
        </w:tc>
        <w:tc>
          <w:tcPr>
            <w:tcW w:w="996" w:type="dxa"/>
            <w:vAlign w:val="center"/>
          </w:tcPr>
          <w:p w:rsidR="005C1363" w:rsidRPr="00475479" w:rsidRDefault="005C1363" w:rsidP="002031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437" w:type="dxa"/>
          </w:tcPr>
          <w:p w:rsidR="005C1363" w:rsidRPr="00475479" w:rsidRDefault="005C1363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5C1363" w:rsidRPr="00475479" w:rsidRDefault="007E665A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College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363" w:rsidRPr="00475479" w:rsidRDefault="005C1363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33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5C1363" w:rsidRPr="00475479" w:rsidTr="007E665A">
        <w:trPr>
          <w:trHeight w:val="227"/>
        </w:trPr>
        <w:tc>
          <w:tcPr>
            <w:tcW w:w="3098" w:type="dxa"/>
          </w:tcPr>
          <w:p w:rsidR="005C1363" w:rsidRPr="00475479" w:rsidRDefault="007E665A" w:rsidP="002031E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UK</w:t>
            </w:r>
          </w:p>
        </w:tc>
        <w:tc>
          <w:tcPr>
            <w:tcW w:w="996" w:type="dxa"/>
            <w:vAlign w:val="center"/>
          </w:tcPr>
          <w:p w:rsidR="005C1363" w:rsidRPr="00475479" w:rsidRDefault="005C1363" w:rsidP="002031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437" w:type="dxa"/>
          </w:tcPr>
          <w:p w:rsidR="005C1363" w:rsidRPr="00475479" w:rsidRDefault="005C1363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5C1363" w:rsidRPr="00475479" w:rsidRDefault="007E665A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University degree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363" w:rsidRPr="00475479" w:rsidRDefault="005C1363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31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</w:tr>
      <w:tr w:rsidR="005C1363" w:rsidRPr="00475479" w:rsidTr="007E665A">
        <w:trPr>
          <w:trHeight w:val="238"/>
        </w:trPr>
        <w:tc>
          <w:tcPr>
            <w:tcW w:w="3098" w:type="dxa"/>
          </w:tcPr>
          <w:p w:rsidR="005C1363" w:rsidRPr="00475479" w:rsidRDefault="007E665A" w:rsidP="002031E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Hungary</w:t>
            </w:r>
          </w:p>
        </w:tc>
        <w:tc>
          <w:tcPr>
            <w:tcW w:w="996" w:type="dxa"/>
            <w:vAlign w:val="center"/>
          </w:tcPr>
          <w:p w:rsidR="005C1363" w:rsidRPr="00475479" w:rsidRDefault="005C1363" w:rsidP="002031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437" w:type="dxa"/>
          </w:tcPr>
          <w:p w:rsidR="005C1363" w:rsidRPr="00475479" w:rsidRDefault="005C1363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5C1363" w:rsidRPr="00475479" w:rsidRDefault="007E665A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363" w:rsidRPr="00475479" w:rsidRDefault="007E665A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0.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</w:tr>
      <w:tr w:rsidR="005C1363" w:rsidRPr="00475479" w:rsidTr="007E665A">
        <w:trPr>
          <w:trHeight w:val="238"/>
        </w:trPr>
        <w:tc>
          <w:tcPr>
            <w:tcW w:w="3098" w:type="dxa"/>
          </w:tcPr>
          <w:p w:rsidR="005C1363" w:rsidRPr="00475479" w:rsidRDefault="007E665A" w:rsidP="002031E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5C1363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Bosnia and Herzegovina</w:t>
            </w:r>
          </w:p>
        </w:tc>
        <w:tc>
          <w:tcPr>
            <w:tcW w:w="996" w:type="dxa"/>
            <w:vAlign w:val="center"/>
          </w:tcPr>
          <w:p w:rsidR="005C1363" w:rsidRPr="00475479" w:rsidRDefault="005C1363" w:rsidP="002031E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437" w:type="dxa"/>
          </w:tcPr>
          <w:p w:rsidR="005C1363" w:rsidRPr="00475479" w:rsidRDefault="005C1363" w:rsidP="002031E6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5C1363" w:rsidRPr="00475479" w:rsidRDefault="003B7625" w:rsidP="003B762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Average monthly income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363" w:rsidRPr="00475479" w:rsidRDefault="005C1363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23B86" w:rsidRPr="00475479" w:rsidTr="007E665A">
        <w:trPr>
          <w:trHeight w:val="238"/>
        </w:trPr>
        <w:tc>
          <w:tcPr>
            <w:tcW w:w="3098" w:type="dxa"/>
          </w:tcPr>
          <w:p w:rsidR="007518EE" w:rsidRPr="00475479" w:rsidRDefault="007E665A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Poland</w:t>
            </w:r>
          </w:p>
        </w:tc>
        <w:tc>
          <w:tcPr>
            <w:tcW w:w="996" w:type="dxa"/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437" w:type="dxa"/>
          </w:tcPr>
          <w:p w:rsidR="007518EE" w:rsidRPr="00475479" w:rsidRDefault="007518EE" w:rsidP="007518EE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518EE" w:rsidRPr="00475479" w:rsidRDefault="007E665A" w:rsidP="007518EE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up to 500€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8EE" w:rsidRPr="00475479" w:rsidRDefault="007518EE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A23B86" w:rsidRPr="00475479" w:rsidTr="007E665A">
        <w:trPr>
          <w:trHeight w:val="238"/>
        </w:trPr>
        <w:tc>
          <w:tcPr>
            <w:tcW w:w="3098" w:type="dxa"/>
          </w:tcPr>
          <w:p w:rsidR="007518EE" w:rsidRPr="00475479" w:rsidRDefault="007E665A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France</w:t>
            </w:r>
          </w:p>
        </w:tc>
        <w:tc>
          <w:tcPr>
            <w:tcW w:w="996" w:type="dxa"/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9</w:t>
            </w:r>
          </w:p>
        </w:tc>
        <w:tc>
          <w:tcPr>
            <w:tcW w:w="437" w:type="dxa"/>
          </w:tcPr>
          <w:p w:rsidR="007518EE" w:rsidRPr="00475479" w:rsidRDefault="007518EE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518EE" w:rsidRPr="00475479" w:rsidRDefault="007E665A" w:rsidP="007518EE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501-1000€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8EE" w:rsidRPr="00475479" w:rsidRDefault="007518EE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10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</w:t>
            </w:r>
          </w:p>
        </w:tc>
      </w:tr>
      <w:tr w:rsidR="00A23B86" w:rsidRPr="00475479" w:rsidTr="007E665A">
        <w:trPr>
          <w:trHeight w:val="238"/>
        </w:trPr>
        <w:tc>
          <w:tcPr>
            <w:tcW w:w="3098" w:type="dxa"/>
          </w:tcPr>
          <w:p w:rsidR="007518EE" w:rsidRPr="00475479" w:rsidRDefault="007E665A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Holland</w:t>
            </w:r>
          </w:p>
        </w:tc>
        <w:tc>
          <w:tcPr>
            <w:tcW w:w="996" w:type="dxa"/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437" w:type="dxa"/>
          </w:tcPr>
          <w:p w:rsidR="007518EE" w:rsidRPr="00475479" w:rsidRDefault="007518EE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518EE" w:rsidRPr="00475479" w:rsidRDefault="007E665A" w:rsidP="007518EE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1001-1500€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8EE" w:rsidRPr="00475479" w:rsidRDefault="007518EE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20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A23B86" w:rsidRPr="00475479" w:rsidTr="007E665A">
        <w:trPr>
          <w:trHeight w:val="238"/>
        </w:trPr>
        <w:tc>
          <w:tcPr>
            <w:tcW w:w="3098" w:type="dxa"/>
          </w:tcPr>
          <w:p w:rsidR="007518EE" w:rsidRPr="00475479" w:rsidRDefault="007E665A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Czech Republic</w:t>
            </w:r>
          </w:p>
        </w:tc>
        <w:tc>
          <w:tcPr>
            <w:tcW w:w="996" w:type="dxa"/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437" w:type="dxa"/>
          </w:tcPr>
          <w:p w:rsidR="007518EE" w:rsidRPr="00475479" w:rsidRDefault="007518EE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518EE" w:rsidRPr="00475479" w:rsidRDefault="007E665A" w:rsidP="007518EE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1501-2000€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8EE" w:rsidRPr="00475479" w:rsidRDefault="007518EE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20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</w:t>
            </w:r>
          </w:p>
        </w:tc>
      </w:tr>
      <w:tr w:rsidR="00A23B86" w:rsidRPr="00475479" w:rsidTr="007E665A">
        <w:trPr>
          <w:trHeight w:val="238"/>
        </w:trPr>
        <w:tc>
          <w:tcPr>
            <w:tcW w:w="3098" w:type="dxa"/>
          </w:tcPr>
          <w:p w:rsidR="007518EE" w:rsidRPr="00475479" w:rsidRDefault="007E665A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lastRenderedPageBreak/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Slovakia</w:t>
            </w:r>
          </w:p>
        </w:tc>
        <w:tc>
          <w:tcPr>
            <w:tcW w:w="996" w:type="dxa"/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437" w:type="dxa"/>
          </w:tcPr>
          <w:p w:rsidR="007518EE" w:rsidRPr="00475479" w:rsidRDefault="007518EE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518EE" w:rsidRPr="00475479" w:rsidRDefault="007E665A" w:rsidP="007518EE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2001-2500€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8EE" w:rsidRPr="00475479" w:rsidRDefault="007518EE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16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A23B86" w:rsidRPr="00475479" w:rsidTr="007E665A">
        <w:trPr>
          <w:trHeight w:val="238"/>
        </w:trPr>
        <w:tc>
          <w:tcPr>
            <w:tcW w:w="3098" w:type="dxa"/>
          </w:tcPr>
          <w:p w:rsidR="007518EE" w:rsidRPr="00475479" w:rsidRDefault="007E665A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Sweden</w:t>
            </w:r>
          </w:p>
        </w:tc>
        <w:tc>
          <w:tcPr>
            <w:tcW w:w="996" w:type="dxa"/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437" w:type="dxa"/>
          </w:tcPr>
          <w:p w:rsidR="007518EE" w:rsidRPr="00475479" w:rsidRDefault="007518EE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518EE" w:rsidRPr="00475479" w:rsidRDefault="007E665A" w:rsidP="007518EE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2501-3000€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8EE" w:rsidRPr="00475479" w:rsidRDefault="007518EE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12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</w:tr>
      <w:tr w:rsidR="00A23B86" w:rsidRPr="00475479" w:rsidTr="007E665A">
        <w:trPr>
          <w:trHeight w:val="238"/>
        </w:trPr>
        <w:tc>
          <w:tcPr>
            <w:tcW w:w="3098" w:type="dxa"/>
          </w:tcPr>
          <w:p w:rsidR="007518EE" w:rsidRPr="00475479" w:rsidRDefault="007E665A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USA</w:t>
            </w:r>
          </w:p>
        </w:tc>
        <w:tc>
          <w:tcPr>
            <w:tcW w:w="996" w:type="dxa"/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.0</w:t>
            </w:r>
          </w:p>
        </w:tc>
        <w:tc>
          <w:tcPr>
            <w:tcW w:w="437" w:type="dxa"/>
          </w:tcPr>
          <w:p w:rsidR="007518EE" w:rsidRPr="00475479" w:rsidRDefault="007518EE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518EE" w:rsidRPr="00475479" w:rsidRDefault="007E665A" w:rsidP="007518EE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3001-3500€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8EE" w:rsidRPr="00475479" w:rsidRDefault="007518EE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</w:tr>
      <w:tr w:rsidR="00A23B86" w:rsidRPr="00475479" w:rsidTr="007E665A">
        <w:trPr>
          <w:trHeight w:val="238"/>
        </w:trPr>
        <w:tc>
          <w:tcPr>
            <w:tcW w:w="3098" w:type="dxa"/>
          </w:tcPr>
          <w:p w:rsidR="007518EE" w:rsidRPr="00475479" w:rsidRDefault="007E665A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Belgium</w:t>
            </w:r>
          </w:p>
        </w:tc>
        <w:tc>
          <w:tcPr>
            <w:tcW w:w="996" w:type="dxa"/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437" w:type="dxa"/>
          </w:tcPr>
          <w:p w:rsidR="007518EE" w:rsidRPr="00475479" w:rsidRDefault="007518EE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518EE" w:rsidRPr="00475479" w:rsidRDefault="007E665A" w:rsidP="007518EE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3500€ or more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8EE" w:rsidRPr="00475479" w:rsidRDefault="007518EE" w:rsidP="007E665A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7518EE" w:rsidRPr="00475479" w:rsidTr="007E665A">
        <w:trPr>
          <w:trHeight w:val="238"/>
        </w:trPr>
        <w:tc>
          <w:tcPr>
            <w:tcW w:w="3098" w:type="dxa"/>
          </w:tcPr>
          <w:p w:rsidR="007518EE" w:rsidRPr="00475479" w:rsidRDefault="007E665A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Switzerland</w:t>
            </w:r>
          </w:p>
        </w:tc>
        <w:tc>
          <w:tcPr>
            <w:tcW w:w="996" w:type="dxa"/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437" w:type="dxa"/>
          </w:tcPr>
          <w:p w:rsidR="007518EE" w:rsidRPr="00475479" w:rsidRDefault="007518EE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7518EE" w:rsidRPr="00475479" w:rsidRDefault="00A23B86" w:rsidP="00A23B86">
            <w:pPr>
              <w:tabs>
                <w:tab w:val="right" w:pos="2581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A</w:t>
            </w:r>
            <w:r w:rsidR="00A43814"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ge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(mean)                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8EE" w:rsidRPr="00475479" w:rsidRDefault="007518EE" w:rsidP="007518EE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518EE" w:rsidRPr="00475479" w:rsidTr="007E665A">
        <w:trPr>
          <w:trHeight w:val="238"/>
        </w:trPr>
        <w:tc>
          <w:tcPr>
            <w:tcW w:w="3098" w:type="dxa"/>
            <w:tcBorders>
              <w:bottom w:val="single" w:sz="12" w:space="0" w:color="auto"/>
            </w:tcBorders>
          </w:tcPr>
          <w:p w:rsidR="007518EE" w:rsidRPr="00475479" w:rsidRDefault="007E665A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7518EE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Norway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</w:t>
            </w:r>
            <w:r w:rsidR="007E665A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7518EE" w:rsidRPr="00475479" w:rsidRDefault="007518EE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7518EE" w:rsidRPr="00475479" w:rsidRDefault="007518EE" w:rsidP="007518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518EE" w:rsidRPr="00475479" w:rsidRDefault="007518EE" w:rsidP="007518E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94538E" w:rsidRPr="00475479" w:rsidRDefault="0094538E" w:rsidP="0094538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</w:p>
    <w:p w:rsidR="0094538E" w:rsidRPr="00475479" w:rsidRDefault="0094538E" w:rsidP="00E115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E665A" w:rsidRPr="00475479" w:rsidRDefault="00B20968" w:rsidP="00697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seen 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Table 1, </w:t>
      </w:r>
      <w:r w:rsidR="00A91A7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domestic and foreign tourists make up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22.6% </w:t>
      </w:r>
      <w:r w:rsidR="00A91A7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</w:t>
      </w:r>
      <w:r w:rsidR="003420C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77.4</w:t>
      </w:r>
      <w:r w:rsidR="004C5A4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%</w:t>
      </w:r>
      <w:r w:rsidR="00A91A7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the sample, respectively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4C5A4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which </w:t>
      </w:r>
      <w:r w:rsidR="00E8610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stands to reason</w:t>
      </w:r>
      <w:r w:rsidR="004C5A4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since </w:t>
      </w:r>
      <w:r w:rsidR="004A74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foreign tourists account for more than 80% of overall arrivals in Opatija and Rijeka (Croatian Bureau of Statistics, 2017).</w:t>
      </w:r>
      <w:r w:rsidR="001461E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Among foreign respondents, </w:t>
      </w:r>
      <w:r w:rsidR="003420C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most numerous are those from Germany and Italy (14.1</w:t>
      </w:r>
      <w:r w:rsidR="0069718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% of the sample, </w:t>
      </w:r>
      <w:r w:rsidR="00B23B5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each</w:t>
      </w:r>
      <w:r w:rsidR="0069718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and those </w:t>
      </w:r>
      <w:r w:rsidR="00B176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from</w:t>
      </w:r>
      <w:r w:rsidR="0069718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Austria (12.1% of the sample). The majority of the sample comprises respondents who hold high school or college degree</w:t>
      </w:r>
      <w:r w:rsidR="00B176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69718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(34.1% and 33.0%</w:t>
      </w:r>
      <w:r w:rsidR="00B176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69718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respectively). </w:t>
      </w:r>
      <w:r w:rsidR="00B176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m</w:t>
      </w:r>
      <w:r w:rsidR="001620A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ajority of respondents (40.9%) have </w:t>
      </w:r>
      <w:r w:rsidR="00B176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 </w:t>
      </w:r>
      <w:r w:rsidR="001620A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average monthly household income between 1001 and 2000€. </w:t>
      </w:r>
      <w:r w:rsidR="00A438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Table 1 also shows that more than half (54.7%) of the respondents were females</w:t>
      </w:r>
      <w:r w:rsidR="00B176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that </w:t>
      </w:r>
      <w:r w:rsidR="00A438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="00B37FE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average age</w:t>
      </w:r>
      <w:r w:rsidR="00B176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</w:t>
      </w:r>
      <w:r w:rsidR="0047547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respondents was</w:t>
      </w:r>
      <w:r w:rsidR="00B37FE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40</w:t>
      </w:r>
      <w:r w:rsidR="001620A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7E665A" w:rsidRPr="00475479" w:rsidRDefault="007E665A" w:rsidP="00E115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</w:p>
    <w:p w:rsidR="0063016C" w:rsidRPr="00475479" w:rsidRDefault="0063016C" w:rsidP="0063016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Table 2: Respondents’ </w:t>
      </w:r>
      <w:r w:rsidR="00B054A5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trip</w:t>
      </w:r>
      <w:r w:rsidR="00B176F1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-</w:t>
      </w:r>
      <w:r w:rsidR="00B054A5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related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characteristics (N=824)</w:t>
      </w:r>
    </w:p>
    <w:p w:rsidR="0063016C" w:rsidRPr="00475479" w:rsidRDefault="0063016C" w:rsidP="0063016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475479">
        <w:rPr>
          <w:rFonts w:ascii="Arial" w:hAnsi="Arial" w:cs="Arial"/>
          <w:i/>
          <w:color w:val="000000" w:themeColor="text1"/>
          <w:lang w:val="en-GB"/>
        </w:rPr>
        <w:t xml:space="preserve"> 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636"/>
        <w:gridCol w:w="268"/>
        <w:gridCol w:w="4111"/>
        <w:gridCol w:w="704"/>
      </w:tblGrid>
      <w:tr w:rsidR="0063016C" w:rsidRPr="00475479" w:rsidTr="001C1BA4">
        <w:trPr>
          <w:trHeight w:val="238"/>
        </w:trPr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16C" w:rsidRPr="00475479" w:rsidRDefault="0063016C" w:rsidP="00CB730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 xml:space="preserve">Characteristic 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16C" w:rsidRPr="00475479" w:rsidRDefault="0063016C" w:rsidP="007D22E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%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</w:tcPr>
          <w:p w:rsidR="0063016C" w:rsidRPr="00475479" w:rsidRDefault="0063016C" w:rsidP="00CB730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63016C" w:rsidRPr="00475479" w:rsidRDefault="0063016C" w:rsidP="00CB730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 xml:space="preserve">Characteristic 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16C" w:rsidRPr="00475479" w:rsidRDefault="0063016C" w:rsidP="00CB73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%</w:t>
            </w:r>
          </w:p>
        </w:tc>
      </w:tr>
      <w:tr w:rsidR="0063016C" w:rsidRPr="00475479" w:rsidTr="001C1BA4">
        <w:trPr>
          <w:trHeight w:val="238"/>
        </w:trPr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63016C" w:rsidRPr="00475479" w:rsidRDefault="0063016C" w:rsidP="00CB730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 xml:space="preserve">Trip organisation 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63016C" w:rsidRPr="00475479" w:rsidRDefault="0063016C" w:rsidP="007D22E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</w:tcPr>
          <w:p w:rsidR="0063016C" w:rsidRPr="00475479" w:rsidRDefault="0063016C" w:rsidP="00CB730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63016C" w:rsidRPr="00475479" w:rsidRDefault="007D22E2" w:rsidP="00CB730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Motives (multiple answers possible)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63016C" w:rsidRPr="00475479" w:rsidRDefault="0063016C" w:rsidP="00CB730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411AA" w:rsidRPr="00475479" w:rsidTr="001C1BA4">
        <w:trPr>
          <w:trHeight w:val="227"/>
        </w:trPr>
        <w:tc>
          <w:tcPr>
            <w:tcW w:w="3065" w:type="dxa"/>
            <w:tcBorders>
              <w:left w:val="nil"/>
              <w:righ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Individually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D22E2" w:rsidRPr="00475479" w:rsidRDefault="007D22E2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73.7</w:t>
            </w:r>
          </w:p>
        </w:tc>
        <w:tc>
          <w:tcPr>
            <w:tcW w:w="268" w:type="dxa"/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Rest and relaxation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  <w:r w:rsidR="00542C4C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="00542C4C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  <w:tcBorders>
              <w:left w:val="nil"/>
              <w:righ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Organized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D22E2" w:rsidRPr="00475479" w:rsidRDefault="007D22E2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26.3</w:t>
            </w:r>
          </w:p>
        </w:tc>
        <w:tc>
          <w:tcPr>
            <w:tcW w:w="268" w:type="dxa"/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Fun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542C4C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14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</w:tcPr>
          <w:p w:rsidR="007D22E2" w:rsidRPr="00475479" w:rsidRDefault="007D22E2" w:rsidP="007D22E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 xml:space="preserve">Transportation </w:t>
            </w:r>
            <w:r w:rsidR="00B23B5E"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mode</w:t>
            </w:r>
          </w:p>
        </w:tc>
        <w:tc>
          <w:tcPr>
            <w:tcW w:w="636" w:type="dxa"/>
            <w:vAlign w:val="center"/>
          </w:tcPr>
          <w:p w:rsidR="007D22E2" w:rsidRPr="00475479" w:rsidRDefault="007D22E2" w:rsidP="007D22E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68" w:type="dxa"/>
          </w:tcPr>
          <w:p w:rsidR="007D22E2" w:rsidRPr="00475479" w:rsidRDefault="007D22E2" w:rsidP="007D22E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New experiences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542C4C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13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Car</w:t>
            </w:r>
          </w:p>
        </w:tc>
        <w:tc>
          <w:tcPr>
            <w:tcW w:w="636" w:type="dxa"/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55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268" w:type="dxa"/>
            <w:tcBorders>
              <w:left w:val="nil"/>
            </w:tcBorders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Gastronomy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542C4C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Bus</w:t>
            </w:r>
          </w:p>
        </w:tc>
        <w:tc>
          <w:tcPr>
            <w:tcW w:w="636" w:type="dxa"/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31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268" w:type="dxa"/>
            <w:tcBorders>
              <w:left w:val="nil"/>
            </w:tcBorders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 beauty of nature and landscape</w:t>
            </w:r>
            <w:r w:rsidR="00F54B30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542C4C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11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9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Train</w:t>
            </w:r>
          </w:p>
        </w:tc>
        <w:tc>
          <w:tcPr>
            <w:tcW w:w="636" w:type="dxa"/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Visiting relatives/ friends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542C4C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</w:tr>
      <w:tr w:rsidR="008411AA" w:rsidRPr="00475479" w:rsidTr="001C1BA4">
        <w:trPr>
          <w:trHeight w:val="227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Boat</w:t>
            </w:r>
          </w:p>
        </w:tc>
        <w:tc>
          <w:tcPr>
            <w:tcW w:w="636" w:type="dxa"/>
            <w:shd w:val="clear" w:color="auto" w:fill="auto"/>
          </w:tcPr>
          <w:p w:rsidR="007D22E2" w:rsidRPr="00475479" w:rsidRDefault="001C1BA4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0.</w:t>
            </w:r>
            <w:r w:rsidR="007D22E2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68" w:type="dxa"/>
            <w:tcBorders>
              <w:left w:val="nil"/>
            </w:tcBorders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Sports and recreation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542C4C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Plane</w:t>
            </w:r>
          </w:p>
        </w:tc>
        <w:tc>
          <w:tcPr>
            <w:tcW w:w="636" w:type="dxa"/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Health reasons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542C4C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Motorbike</w:t>
            </w:r>
          </w:p>
        </w:tc>
        <w:tc>
          <w:tcPr>
            <w:tcW w:w="636" w:type="dxa"/>
            <w:shd w:val="clear" w:color="auto" w:fill="auto"/>
          </w:tcPr>
          <w:p w:rsidR="007D22E2" w:rsidRPr="00475479" w:rsidRDefault="001C1BA4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0.</w:t>
            </w:r>
            <w:r w:rsidR="007D22E2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  <w:tc>
          <w:tcPr>
            <w:tcW w:w="268" w:type="dxa"/>
            <w:tcBorders>
              <w:left w:val="nil"/>
            </w:tcBorders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F54B30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Cultural </w:t>
            </w:r>
            <w:r w:rsidR="00F54B30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offering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542C4C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</w:tcPr>
          <w:p w:rsidR="007D22E2" w:rsidRPr="00475479" w:rsidRDefault="008411AA" w:rsidP="008411A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 xml:space="preserve">Travelling </w:t>
            </w:r>
          </w:p>
        </w:tc>
        <w:tc>
          <w:tcPr>
            <w:tcW w:w="636" w:type="dxa"/>
            <w:vAlign w:val="center"/>
          </w:tcPr>
          <w:p w:rsidR="007D22E2" w:rsidRPr="00475479" w:rsidRDefault="007D22E2" w:rsidP="007D22E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68" w:type="dxa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Shopping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542C4C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</w:tcPr>
          <w:p w:rsidR="007D22E2" w:rsidRPr="00475479" w:rsidRDefault="008411AA" w:rsidP="007D22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Alone</w:t>
            </w:r>
          </w:p>
        </w:tc>
        <w:tc>
          <w:tcPr>
            <w:tcW w:w="636" w:type="dxa"/>
            <w:vAlign w:val="center"/>
          </w:tcPr>
          <w:p w:rsidR="007D22E2" w:rsidRPr="00475479" w:rsidRDefault="008411AA" w:rsidP="007D22E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14.6</w:t>
            </w:r>
          </w:p>
        </w:tc>
        <w:tc>
          <w:tcPr>
            <w:tcW w:w="268" w:type="dxa"/>
          </w:tcPr>
          <w:p w:rsidR="007D22E2" w:rsidRPr="00475479" w:rsidRDefault="007D22E2" w:rsidP="007D22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Wellness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542C4C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</w:tcPr>
          <w:p w:rsidR="007D22E2" w:rsidRPr="00475479" w:rsidRDefault="008411AA" w:rsidP="007D22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With partner</w:t>
            </w:r>
          </w:p>
        </w:tc>
        <w:tc>
          <w:tcPr>
            <w:tcW w:w="636" w:type="dxa"/>
            <w:vAlign w:val="center"/>
          </w:tcPr>
          <w:p w:rsidR="007D22E2" w:rsidRPr="00475479" w:rsidRDefault="008411AA" w:rsidP="007D22E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35.9</w:t>
            </w:r>
          </w:p>
        </w:tc>
        <w:tc>
          <w:tcPr>
            <w:tcW w:w="268" w:type="dxa"/>
          </w:tcPr>
          <w:p w:rsidR="007D22E2" w:rsidRPr="00475479" w:rsidRDefault="007D22E2" w:rsidP="007D22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Business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542C4C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</w:tr>
      <w:tr w:rsidR="008411AA" w:rsidRPr="00475479" w:rsidTr="001C1BA4">
        <w:trPr>
          <w:trHeight w:val="238"/>
        </w:trPr>
        <w:tc>
          <w:tcPr>
            <w:tcW w:w="3065" w:type="dxa"/>
          </w:tcPr>
          <w:p w:rsidR="007D22E2" w:rsidRPr="00475479" w:rsidRDefault="008411AA" w:rsidP="007D22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With family members</w:t>
            </w:r>
          </w:p>
        </w:tc>
        <w:tc>
          <w:tcPr>
            <w:tcW w:w="636" w:type="dxa"/>
            <w:vAlign w:val="center"/>
          </w:tcPr>
          <w:p w:rsidR="007D22E2" w:rsidRPr="00475479" w:rsidRDefault="008411AA" w:rsidP="007D22E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29.1</w:t>
            </w:r>
          </w:p>
        </w:tc>
        <w:tc>
          <w:tcPr>
            <w:tcW w:w="268" w:type="dxa"/>
          </w:tcPr>
          <w:p w:rsidR="007D22E2" w:rsidRPr="00475479" w:rsidRDefault="007D22E2" w:rsidP="007D22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7D22E2" w:rsidRPr="00475479" w:rsidRDefault="007D22E2" w:rsidP="007D22E2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542C4C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</w:t>
            </w:r>
          </w:p>
        </w:tc>
      </w:tr>
      <w:tr w:rsidR="007D22E2" w:rsidRPr="00475479" w:rsidTr="001C1BA4">
        <w:trPr>
          <w:trHeight w:val="238"/>
        </w:trPr>
        <w:tc>
          <w:tcPr>
            <w:tcW w:w="3065" w:type="dxa"/>
          </w:tcPr>
          <w:p w:rsidR="007D22E2" w:rsidRPr="00475479" w:rsidRDefault="008411AA" w:rsidP="007D22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With friends/acquaintances</w:t>
            </w:r>
          </w:p>
        </w:tc>
        <w:tc>
          <w:tcPr>
            <w:tcW w:w="636" w:type="dxa"/>
            <w:vAlign w:val="center"/>
          </w:tcPr>
          <w:p w:rsidR="007D22E2" w:rsidRPr="00475479" w:rsidRDefault="008411AA" w:rsidP="007D22E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18.4</w:t>
            </w:r>
          </w:p>
        </w:tc>
        <w:tc>
          <w:tcPr>
            <w:tcW w:w="268" w:type="dxa"/>
          </w:tcPr>
          <w:p w:rsidR="007D22E2" w:rsidRPr="00475479" w:rsidRDefault="007D22E2" w:rsidP="007D22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7D22E2" w:rsidRPr="00475479" w:rsidRDefault="008752D9" w:rsidP="00095AA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Season of visit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D22E2" w:rsidRPr="00475479" w:rsidRDefault="007D22E2" w:rsidP="007D22E2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42C4C" w:rsidRPr="00475479" w:rsidTr="001C1BA4">
        <w:trPr>
          <w:trHeight w:val="238"/>
        </w:trPr>
        <w:tc>
          <w:tcPr>
            <w:tcW w:w="3065" w:type="dxa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With associates</w:t>
            </w:r>
          </w:p>
        </w:tc>
        <w:tc>
          <w:tcPr>
            <w:tcW w:w="636" w:type="dxa"/>
            <w:vAlign w:val="center"/>
          </w:tcPr>
          <w:p w:rsidR="00542C4C" w:rsidRPr="00475479" w:rsidRDefault="00542C4C" w:rsidP="00542C4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1.9</w:t>
            </w:r>
          </w:p>
        </w:tc>
        <w:tc>
          <w:tcPr>
            <w:tcW w:w="268" w:type="dxa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542C4C" w:rsidRPr="00475479" w:rsidRDefault="00A21F81" w:rsidP="00542C4C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Season (June – September)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42C4C" w:rsidRPr="00475479" w:rsidRDefault="00A21F81" w:rsidP="00654A51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41.5</w:t>
            </w:r>
          </w:p>
        </w:tc>
      </w:tr>
      <w:tr w:rsidR="00542C4C" w:rsidRPr="00475479" w:rsidTr="001C1BA4">
        <w:trPr>
          <w:trHeight w:val="238"/>
        </w:trPr>
        <w:tc>
          <w:tcPr>
            <w:tcW w:w="3065" w:type="dxa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 xml:space="preserve">Accommodation </w:t>
            </w:r>
          </w:p>
        </w:tc>
        <w:tc>
          <w:tcPr>
            <w:tcW w:w="636" w:type="dxa"/>
            <w:vAlign w:val="center"/>
          </w:tcPr>
          <w:p w:rsidR="00542C4C" w:rsidRPr="00475479" w:rsidRDefault="00542C4C" w:rsidP="00542C4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68" w:type="dxa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542C4C" w:rsidRPr="00475479" w:rsidRDefault="00A21F81" w:rsidP="00542C4C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Off-season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42C4C" w:rsidRPr="00475479" w:rsidRDefault="00A21F81" w:rsidP="00654A51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58.5</w:t>
            </w:r>
          </w:p>
        </w:tc>
      </w:tr>
      <w:tr w:rsidR="00542C4C" w:rsidRPr="00475479" w:rsidTr="001C1BA4">
        <w:trPr>
          <w:trHeight w:val="238"/>
        </w:trPr>
        <w:tc>
          <w:tcPr>
            <w:tcW w:w="3065" w:type="dxa"/>
            <w:shd w:val="clear" w:color="auto" w:fill="auto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Hotel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42C4C" w:rsidRPr="00475479" w:rsidRDefault="00542C4C" w:rsidP="00542C4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50.5</w:t>
            </w:r>
          </w:p>
        </w:tc>
        <w:tc>
          <w:tcPr>
            <w:tcW w:w="268" w:type="dxa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542C4C" w:rsidRPr="00475479" w:rsidRDefault="00561EFF" w:rsidP="00542C4C">
            <w:pPr>
              <w:tabs>
                <w:tab w:val="right" w:pos="2581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Intention to return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42C4C" w:rsidRPr="00475479" w:rsidRDefault="00542C4C" w:rsidP="00654A51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42C4C" w:rsidRPr="00475479" w:rsidTr="001C1BA4">
        <w:trPr>
          <w:trHeight w:val="238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Tourist resort</w:t>
            </w:r>
          </w:p>
        </w:tc>
        <w:tc>
          <w:tcPr>
            <w:tcW w:w="636" w:type="dxa"/>
            <w:shd w:val="clear" w:color="auto" w:fill="auto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9</w:t>
            </w:r>
          </w:p>
        </w:tc>
        <w:tc>
          <w:tcPr>
            <w:tcW w:w="268" w:type="dxa"/>
            <w:tcBorders>
              <w:left w:val="nil"/>
            </w:tcBorders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542C4C" w:rsidRPr="00475479" w:rsidRDefault="00561EFF" w:rsidP="00542C4C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No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42C4C" w:rsidRPr="00475479" w:rsidRDefault="00654A51" w:rsidP="00654A51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7.6</w:t>
            </w:r>
          </w:p>
        </w:tc>
      </w:tr>
      <w:tr w:rsidR="001C1BA4" w:rsidRPr="00475479" w:rsidTr="001C1BA4">
        <w:trPr>
          <w:trHeight w:val="238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Campsite</w:t>
            </w:r>
          </w:p>
        </w:tc>
        <w:tc>
          <w:tcPr>
            <w:tcW w:w="636" w:type="dxa"/>
            <w:shd w:val="clear" w:color="auto" w:fill="auto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</w:t>
            </w:r>
          </w:p>
        </w:tc>
        <w:tc>
          <w:tcPr>
            <w:tcW w:w="268" w:type="dxa"/>
            <w:tcBorders>
              <w:left w:val="nil"/>
            </w:tcBorders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542C4C" w:rsidRPr="00475479" w:rsidRDefault="00561EFF" w:rsidP="00542C4C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Yes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42C4C" w:rsidRPr="00475479" w:rsidRDefault="00654A51" w:rsidP="00654A51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92.4</w:t>
            </w:r>
          </w:p>
        </w:tc>
      </w:tr>
      <w:tr w:rsidR="001C1BA4" w:rsidRPr="00475479" w:rsidTr="001C1BA4">
        <w:trPr>
          <w:trHeight w:val="238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Private accommodation</w:t>
            </w:r>
          </w:p>
        </w:tc>
        <w:tc>
          <w:tcPr>
            <w:tcW w:w="636" w:type="dxa"/>
            <w:shd w:val="clear" w:color="auto" w:fill="auto"/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25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268" w:type="dxa"/>
            <w:tcBorders>
              <w:left w:val="nil"/>
            </w:tcBorders>
          </w:tcPr>
          <w:p w:rsidR="00542C4C" w:rsidRPr="00475479" w:rsidRDefault="00542C4C" w:rsidP="00542C4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542C4C" w:rsidRPr="00475479" w:rsidRDefault="00561EFF" w:rsidP="00542C4C">
            <w:pPr>
              <w:tabs>
                <w:tab w:val="right" w:pos="2581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Intention to recommend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42C4C" w:rsidRPr="00475479" w:rsidRDefault="00542C4C" w:rsidP="00542C4C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61EFF" w:rsidRPr="00475479" w:rsidTr="001C1BA4">
        <w:trPr>
          <w:trHeight w:val="238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Friends/relatives</w:t>
            </w:r>
          </w:p>
        </w:tc>
        <w:tc>
          <w:tcPr>
            <w:tcW w:w="636" w:type="dxa"/>
            <w:shd w:val="clear" w:color="auto" w:fill="auto"/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10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268" w:type="dxa"/>
            <w:tcBorders>
              <w:left w:val="nil"/>
            </w:tcBorders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561EFF" w:rsidRPr="00475479" w:rsidRDefault="00561EFF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No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61EFF" w:rsidRPr="00475479" w:rsidRDefault="00654A51" w:rsidP="00561EFF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2.8</w:t>
            </w:r>
          </w:p>
        </w:tc>
      </w:tr>
      <w:tr w:rsidR="00561EFF" w:rsidRPr="00475479" w:rsidTr="001C1BA4">
        <w:trPr>
          <w:trHeight w:val="238"/>
        </w:trPr>
        <w:tc>
          <w:tcPr>
            <w:tcW w:w="3065" w:type="dxa"/>
            <w:tcBorders>
              <w:left w:val="nil"/>
            </w:tcBorders>
            <w:shd w:val="clear" w:color="auto" w:fill="auto"/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Hostel</w:t>
            </w:r>
          </w:p>
        </w:tc>
        <w:tc>
          <w:tcPr>
            <w:tcW w:w="636" w:type="dxa"/>
            <w:shd w:val="clear" w:color="auto" w:fill="auto"/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268" w:type="dxa"/>
            <w:tcBorders>
              <w:left w:val="nil"/>
            </w:tcBorders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561EFF" w:rsidRPr="00475479" w:rsidRDefault="00561EFF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Yes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61EFF" w:rsidRPr="00475479" w:rsidRDefault="00654A51" w:rsidP="00561EFF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97.2</w:t>
            </w:r>
          </w:p>
        </w:tc>
      </w:tr>
      <w:tr w:rsidR="00561EFF" w:rsidRPr="00475479" w:rsidTr="001C1BA4">
        <w:trPr>
          <w:trHeight w:val="238"/>
        </w:trPr>
        <w:tc>
          <w:tcPr>
            <w:tcW w:w="3065" w:type="dxa"/>
            <w:shd w:val="clear" w:color="auto" w:fill="auto"/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Accommodation service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61EFF" w:rsidRPr="00475479" w:rsidRDefault="00561EFF" w:rsidP="00561EFF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68" w:type="dxa"/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561EFF" w:rsidRPr="00475479" w:rsidRDefault="00B23B5E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Town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61EFF" w:rsidRPr="00475479" w:rsidRDefault="00561EFF" w:rsidP="00561EFF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61EFF" w:rsidRPr="00475479" w:rsidTr="001C1BA4">
        <w:trPr>
          <w:trHeight w:val="238"/>
        </w:trPr>
        <w:tc>
          <w:tcPr>
            <w:tcW w:w="3065" w:type="dxa"/>
          </w:tcPr>
          <w:p w:rsidR="00561EFF" w:rsidRPr="00475479" w:rsidRDefault="00561EFF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Full board</w:t>
            </w:r>
          </w:p>
        </w:tc>
        <w:tc>
          <w:tcPr>
            <w:tcW w:w="636" w:type="dxa"/>
          </w:tcPr>
          <w:p w:rsidR="00561EFF" w:rsidRPr="00475479" w:rsidRDefault="00561EFF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14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268" w:type="dxa"/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561EFF" w:rsidRPr="00475479" w:rsidRDefault="001C1BA4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Opatija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61EFF" w:rsidRPr="00475479" w:rsidRDefault="001C1BA4" w:rsidP="00561EFF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66.0</w:t>
            </w:r>
          </w:p>
        </w:tc>
      </w:tr>
      <w:tr w:rsidR="00561EFF" w:rsidRPr="00475479" w:rsidTr="001C1BA4">
        <w:trPr>
          <w:trHeight w:val="238"/>
        </w:trPr>
        <w:tc>
          <w:tcPr>
            <w:tcW w:w="3065" w:type="dxa"/>
          </w:tcPr>
          <w:p w:rsidR="00561EFF" w:rsidRPr="00475479" w:rsidRDefault="00561EFF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Half board</w:t>
            </w:r>
          </w:p>
        </w:tc>
        <w:tc>
          <w:tcPr>
            <w:tcW w:w="636" w:type="dxa"/>
          </w:tcPr>
          <w:p w:rsidR="00561EFF" w:rsidRPr="00475479" w:rsidRDefault="00561EFF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29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268" w:type="dxa"/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="00561EFF" w:rsidRPr="00475479" w:rsidRDefault="001C1BA4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Rijeka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61EFF" w:rsidRPr="00475479" w:rsidRDefault="001C1BA4" w:rsidP="00561EFF">
            <w:pPr>
              <w:tabs>
                <w:tab w:val="right" w:pos="258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34.0</w:t>
            </w:r>
          </w:p>
        </w:tc>
      </w:tr>
      <w:tr w:rsidR="00561EFF" w:rsidRPr="00475479" w:rsidTr="001C1BA4">
        <w:trPr>
          <w:trHeight w:val="238"/>
        </w:trPr>
        <w:tc>
          <w:tcPr>
            <w:tcW w:w="3065" w:type="dxa"/>
          </w:tcPr>
          <w:p w:rsidR="00561EFF" w:rsidRPr="00475479" w:rsidRDefault="00561EFF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Bed and breakfast</w:t>
            </w:r>
          </w:p>
        </w:tc>
        <w:tc>
          <w:tcPr>
            <w:tcW w:w="636" w:type="dxa"/>
          </w:tcPr>
          <w:p w:rsidR="00561EFF" w:rsidRPr="00475479" w:rsidRDefault="00561EFF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20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268" w:type="dxa"/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04" w:type="dxa"/>
            <w:vAlign w:val="center"/>
          </w:tcPr>
          <w:p w:rsidR="00561EFF" w:rsidRPr="00475479" w:rsidRDefault="00561EFF" w:rsidP="00561E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61EFF" w:rsidRPr="00475479" w:rsidTr="001C1BA4">
        <w:trPr>
          <w:trHeight w:val="238"/>
        </w:trPr>
        <w:tc>
          <w:tcPr>
            <w:tcW w:w="3065" w:type="dxa"/>
            <w:tcBorders>
              <w:bottom w:val="single" w:sz="12" w:space="0" w:color="auto"/>
            </w:tcBorders>
          </w:tcPr>
          <w:p w:rsidR="00561EFF" w:rsidRPr="00475479" w:rsidRDefault="00561EFF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  Only overnight stay</w:t>
            </w:r>
          </w:p>
        </w:tc>
        <w:tc>
          <w:tcPr>
            <w:tcW w:w="636" w:type="dxa"/>
            <w:tcBorders>
              <w:bottom w:val="single" w:sz="12" w:space="0" w:color="auto"/>
            </w:tcBorders>
          </w:tcPr>
          <w:p w:rsidR="00561EFF" w:rsidRPr="00475479" w:rsidRDefault="00561EFF" w:rsidP="00561EFF">
            <w:pPr>
              <w:tabs>
                <w:tab w:val="right" w:pos="258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36</w:t>
            </w:r>
            <w:r w:rsidR="001C1BA4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268" w:type="dxa"/>
            <w:tcBorders>
              <w:bottom w:val="single" w:sz="12" w:space="0" w:color="auto"/>
            </w:tcBorders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561EFF" w:rsidRPr="00475479" w:rsidRDefault="00561EFF" w:rsidP="00561EF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561EFF" w:rsidRPr="00475479" w:rsidRDefault="00561EFF" w:rsidP="00561E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BB5D89" w:rsidRPr="00475479" w:rsidRDefault="001C1BA4" w:rsidP="00BB5D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Table 2 reports descriptive statistics on </w:t>
      </w:r>
      <w:r w:rsidR="00C121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characteristics of </w:t>
      </w:r>
      <w:r w:rsidR="00C121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respondents’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6515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trip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stay in Rijeka and Opatija.</w:t>
      </w:r>
      <w:r w:rsidR="00BB5D89" w:rsidRPr="00475479">
        <w:rPr>
          <w:lang w:val="en-GB"/>
        </w:rPr>
        <w:t xml:space="preserve"> 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results indicate that most (73.7%) of the respondents organised the trips by themselves whereas 26.3% made use of travel intermediaries. The majority </w:t>
      </w:r>
      <w:r w:rsidR="00BB6E2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(55.5%) came to the destination by car and by bus (31.2%). </w:t>
      </w:r>
      <w:r w:rsidR="00C121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</w:t>
      </w:r>
      <w:r w:rsidR="00BB6E2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ost of the respondents (35.9%) travelled with a partner and 14.6% 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travelled alone</w:t>
      </w:r>
      <w:r w:rsidR="00BB6E2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The majority (50.5%) were found to be staying in hotels</w:t>
      </w:r>
      <w:r w:rsidR="00C121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while</w:t>
      </w:r>
      <w:r w:rsidR="00BB6E2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25.6% chose private accommodation. 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addition, most of them decided </w:t>
      </w:r>
      <w:r w:rsidR="00C121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 a single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overnight stay (36.0%)</w:t>
      </w:r>
      <w:r w:rsidR="00C1210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26.4% of the respondents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opted for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half board within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accommodation premises. 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 to the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motivation for travelling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Opatija and Rijeka, 22.3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% were in the 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destination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rest and relaxation, 14.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7%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for 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fun, 13.0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%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for 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new experiences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11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9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% for 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beauty of nature and landscape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BB5D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However, only 6.7% of the respondents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visited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these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towns because of their 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cultural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offering</w:t>
      </w:r>
      <w:r w:rsidR="00A91A7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465C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larger number of respondents stayed in Opatija (66.0%) since this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town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accommodates more tourists than Rijeka.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 i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nteresting finding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is related 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the season of visit. Opatija and Rijeka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are 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host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 to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majority of tourists during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high season (from June to September)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Accordingly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based on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data obtained from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Croatian Bureau of Statistics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order to obtain a representative sample, more tourists were interviewed during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high season</w:t>
      </w:r>
      <w:r w:rsidR="008D4C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However, </w:t>
      </w:r>
      <w:r w:rsidR="00053B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 the purpose of this paper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only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those</w:t>
      </w:r>
      <w:r w:rsidR="00CB3B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respondents who reported expenditure on culture and entertainment</w:t>
      </w:r>
      <w:r w:rsidR="00E6107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were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taken</w:t>
      </w:r>
      <w:r w:rsidR="00E6107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into account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E6107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i</w:t>
      </w:r>
      <w:r w:rsidR="00053B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 was found that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053B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majority of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respondents </w:t>
      </w:r>
      <w:r w:rsidR="00053B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spending on these offering elements </w:t>
      </w:r>
      <w:r w:rsidR="00F54B3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stayed </w:t>
      </w:r>
      <w:r w:rsidR="00053B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Rijeka and Opatija in the off-season (58.5%). </w:t>
      </w:r>
      <w:r w:rsidR="008D4C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the contrary, when the whole sample </w:t>
      </w:r>
      <w:r w:rsidR="00E302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was</w:t>
      </w:r>
      <w:r w:rsidR="008D4C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analysed (1249 respondents)</w:t>
      </w:r>
      <w:r w:rsidR="00E302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it showed that the</w:t>
      </w:r>
      <w:r w:rsidR="008D4C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majority of respondents (51.6%) stayed </w:t>
      </w:r>
      <w:r w:rsidR="00E302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during</w:t>
      </w:r>
      <w:r w:rsidR="008D4C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="00E302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high </w:t>
      </w:r>
      <w:r w:rsidR="008D4C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season. </w:t>
      </w:r>
      <w:r w:rsidR="00053B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This is </w:t>
      </w:r>
      <w:r w:rsidR="00E302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053B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very important finding for these </w:t>
      </w:r>
      <w:r w:rsidR="00E302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towns</w:t>
      </w:r>
      <w:r w:rsidR="00053B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E3021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considering that 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they are up against </w:t>
      </w:r>
      <w:r w:rsidR="00053B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heavy seasonality </w:t>
      </w:r>
      <w:r w:rsidR="00EE737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issues and 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see </w:t>
      </w:r>
      <w:r w:rsidR="00EE737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cultural tourism 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</w:t>
      </w:r>
      <w:r w:rsidR="00EE737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one of the ways of prolonging the tourism season. </w:t>
      </w:r>
    </w:p>
    <w:p w:rsidR="00A51687" w:rsidRPr="00475479" w:rsidRDefault="00A51687" w:rsidP="00E115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</w:p>
    <w:p w:rsidR="00A51687" w:rsidRPr="00475479" w:rsidRDefault="00597742" w:rsidP="00E115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Survey participants were asked to estimate the</w:t>
      </w:r>
      <w:r w:rsidR="00BF6BE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ir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spending across </w:t>
      </w:r>
      <w:r w:rsidR="00BF6BE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seven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categories including </w:t>
      </w:r>
      <w:r w:rsidR="00BF6BE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accommodation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F6BE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food and beverages outside the accommodation facilities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BF6BE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culture and entertainment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BF6BE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sport and recreation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BF6BE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shopping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BF6BE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excursions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BF6BE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other services.</w:t>
      </w:r>
      <w:r w:rsidR="0076615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Table 3 reports on 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76615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respondents’ expenditure level and structure.</w:t>
      </w:r>
      <w:r w:rsidR="0094160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It has to be noted that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94160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this study, the expenditure on the way to the destination and back was excluded from the tourist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94160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’ expenditure since the focus of the analysis was </w:t>
      </w:r>
      <w:r w:rsidR="009D3D1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only </w:t>
      </w:r>
      <w:r w:rsidR="0094160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 the expenditure that is realised in the destination.</w:t>
      </w:r>
    </w:p>
    <w:p w:rsidR="0076615A" w:rsidRPr="00475479" w:rsidRDefault="0076615A" w:rsidP="00E115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15A" w:rsidRPr="00475479" w:rsidRDefault="0076615A" w:rsidP="0076615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Table 3: Respondents’ </w:t>
      </w:r>
      <w:r w:rsidR="00080890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daily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expenditure</w:t>
      </w:r>
      <w:r w:rsidR="00080890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in €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(N=824)</w:t>
      </w:r>
    </w:p>
    <w:p w:rsidR="0076615A" w:rsidRPr="00475479" w:rsidRDefault="0076615A" w:rsidP="00E115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351"/>
        <w:gridCol w:w="1352"/>
      </w:tblGrid>
      <w:tr w:rsidR="00080890" w:rsidRPr="00475479" w:rsidTr="003C1026">
        <w:trPr>
          <w:trHeight w:val="238"/>
          <w:jc w:val="center"/>
        </w:trPr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</w:tcPr>
          <w:p w:rsidR="00080890" w:rsidRPr="00475479" w:rsidRDefault="00080890" w:rsidP="00E115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</w:tcPr>
          <w:p w:rsidR="00080890" w:rsidRPr="00475479" w:rsidRDefault="00080890" w:rsidP="00080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Mean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</w:tcPr>
          <w:p w:rsidR="00080890" w:rsidRPr="00475479" w:rsidRDefault="00080890" w:rsidP="00080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%</w:t>
            </w:r>
          </w:p>
        </w:tc>
      </w:tr>
      <w:tr w:rsidR="003C1026" w:rsidRPr="00475479" w:rsidTr="003C1026">
        <w:trPr>
          <w:trHeight w:val="234"/>
          <w:jc w:val="center"/>
        </w:trPr>
        <w:tc>
          <w:tcPr>
            <w:tcW w:w="3256" w:type="dxa"/>
            <w:tcBorders>
              <w:top w:val="single" w:sz="12" w:space="0" w:color="auto"/>
            </w:tcBorders>
          </w:tcPr>
          <w:p w:rsidR="003C1026" w:rsidRPr="00475479" w:rsidRDefault="003C1026" w:rsidP="003C10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Accommodation </w:t>
            </w:r>
          </w:p>
        </w:tc>
        <w:tc>
          <w:tcPr>
            <w:tcW w:w="1351" w:type="dxa"/>
            <w:tcBorders>
              <w:top w:val="single" w:sz="12" w:space="0" w:color="auto"/>
            </w:tcBorders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38.7</w:t>
            </w: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47.5</w:t>
            </w:r>
          </w:p>
        </w:tc>
      </w:tr>
      <w:tr w:rsidR="003C1026" w:rsidRPr="00475479" w:rsidTr="003C1026">
        <w:trPr>
          <w:trHeight w:val="234"/>
          <w:jc w:val="center"/>
        </w:trPr>
        <w:tc>
          <w:tcPr>
            <w:tcW w:w="3256" w:type="dxa"/>
          </w:tcPr>
          <w:p w:rsidR="003C1026" w:rsidRPr="00475479" w:rsidRDefault="003C1026" w:rsidP="003C10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Food and beverages</w:t>
            </w:r>
          </w:p>
        </w:tc>
        <w:tc>
          <w:tcPr>
            <w:tcW w:w="1351" w:type="dxa"/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16.9</w:t>
            </w:r>
          </w:p>
        </w:tc>
        <w:tc>
          <w:tcPr>
            <w:tcW w:w="1352" w:type="dxa"/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20.8</w:t>
            </w:r>
          </w:p>
        </w:tc>
      </w:tr>
      <w:tr w:rsidR="003C1026" w:rsidRPr="00475479" w:rsidTr="003C1026">
        <w:trPr>
          <w:trHeight w:val="234"/>
          <w:jc w:val="center"/>
        </w:trPr>
        <w:tc>
          <w:tcPr>
            <w:tcW w:w="3256" w:type="dxa"/>
          </w:tcPr>
          <w:p w:rsidR="003C1026" w:rsidRPr="00475479" w:rsidRDefault="003C1026" w:rsidP="003C10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Culture and entertainment </w:t>
            </w:r>
          </w:p>
        </w:tc>
        <w:tc>
          <w:tcPr>
            <w:tcW w:w="1351" w:type="dxa"/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8.5</w:t>
            </w:r>
          </w:p>
        </w:tc>
        <w:tc>
          <w:tcPr>
            <w:tcW w:w="1352" w:type="dxa"/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10.4</w:t>
            </w:r>
          </w:p>
        </w:tc>
      </w:tr>
      <w:tr w:rsidR="003C1026" w:rsidRPr="00475479" w:rsidTr="003C1026">
        <w:trPr>
          <w:trHeight w:val="234"/>
          <w:jc w:val="center"/>
        </w:trPr>
        <w:tc>
          <w:tcPr>
            <w:tcW w:w="3256" w:type="dxa"/>
          </w:tcPr>
          <w:p w:rsidR="003C1026" w:rsidRPr="00475479" w:rsidRDefault="003C1026" w:rsidP="003C10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Sport and recreation</w:t>
            </w:r>
          </w:p>
        </w:tc>
        <w:tc>
          <w:tcPr>
            <w:tcW w:w="1351" w:type="dxa"/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1.6</w:t>
            </w:r>
          </w:p>
        </w:tc>
        <w:tc>
          <w:tcPr>
            <w:tcW w:w="1352" w:type="dxa"/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2.0</w:t>
            </w:r>
          </w:p>
        </w:tc>
      </w:tr>
      <w:tr w:rsidR="003C1026" w:rsidRPr="00475479" w:rsidTr="003C1026">
        <w:trPr>
          <w:trHeight w:val="234"/>
          <w:jc w:val="center"/>
        </w:trPr>
        <w:tc>
          <w:tcPr>
            <w:tcW w:w="3256" w:type="dxa"/>
          </w:tcPr>
          <w:p w:rsidR="003C1026" w:rsidRPr="00475479" w:rsidRDefault="003C1026" w:rsidP="003C10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Shopping</w:t>
            </w:r>
          </w:p>
        </w:tc>
        <w:tc>
          <w:tcPr>
            <w:tcW w:w="1351" w:type="dxa"/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9.7</w:t>
            </w:r>
          </w:p>
        </w:tc>
        <w:tc>
          <w:tcPr>
            <w:tcW w:w="1352" w:type="dxa"/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12.0</w:t>
            </w:r>
          </w:p>
        </w:tc>
      </w:tr>
      <w:tr w:rsidR="003C1026" w:rsidRPr="00475479" w:rsidTr="003C1026">
        <w:trPr>
          <w:trHeight w:val="234"/>
          <w:jc w:val="center"/>
        </w:trPr>
        <w:tc>
          <w:tcPr>
            <w:tcW w:w="3256" w:type="dxa"/>
          </w:tcPr>
          <w:p w:rsidR="003C1026" w:rsidRPr="00475479" w:rsidRDefault="003C1026" w:rsidP="003C10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Excursions</w:t>
            </w:r>
          </w:p>
        </w:tc>
        <w:tc>
          <w:tcPr>
            <w:tcW w:w="1351" w:type="dxa"/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3.2</w:t>
            </w:r>
          </w:p>
        </w:tc>
        <w:tc>
          <w:tcPr>
            <w:tcW w:w="1352" w:type="dxa"/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3.9</w:t>
            </w:r>
          </w:p>
        </w:tc>
      </w:tr>
      <w:tr w:rsidR="003C1026" w:rsidRPr="00475479" w:rsidTr="00C25D04">
        <w:trPr>
          <w:trHeight w:val="234"/>
          <w:jc w:val="center"/>
        </w:trPr>
        <w:tc>
          <w:tcPr>
            <w:tcW w:w="3256" w:type="dxa"/>
            <w:tcBorders>
              <w:bottom w:val="single" w:sz="6" w:space="0" w:color="auto"/>
            </w:tcBorders>
          </w:tcPr>
          <w:p w:rsidR="003C1026" w:rsidRPr="00475479" w:rsidRDefault="003C1026" w:rsidP="003C10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Other products and services</w:t>
            </w: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2.7</w:t>
            </w:r>
          </w:p>
        </w:tc>
        <w:tc>
          <w:tcPr>
            <w:tcW w:w="1352" w:type="dxa"/>
            <w:tcBorders>
              <w:bottom w:val="single" w:sz="6" w:space="0" w:color="auto"/>
            </w:tcBorders>
          </w:tcPr>
          <w:p w:rsidR="003C1026" w:rsidRPr="00475479" w:rsidRDefault="003C1026" w:rsidP="003C10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3.3</w:t>
            </w:r>
          </w:p>
        </w:tc>
      </w:tr>
      <w:tr w:rsidR="00080890" w:rsidRPr="00475479" w:rsidTr="00C25D04">
        <w:trPr>
          <w:trHeight w:val="234"/>
          <w:jc w:val="center"/>
        </w:trPr>
        <w:tc>
          <w:tcPr>
            <w:tcW w:w="3256" w:type="dxa"/>
            <w:tcBorders>
              <w:top w:val="single" w:sz="6" w:space="0" w:color="auto"/>
              <w:bottom w:val="single" w:sz="12" w:space="0" w:color="auto"/>
            </w:tcBorders>
          </w:tcPr>
          <w:p w:rsidR="00080890" w:rsidRPr="00475479" w:rsidRDefault="00941601" w:rsidP="00E1158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D</w:t>
            </w:r>
            <w:r w:rsidR="00080890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aily expenditure/person</w:t>
            </w:r>
          </w:p>
        </w:tc>
        <w:tc>
          <w:tcPr>
            <w:tcW w:w="1351" w:type="dxa"/>
            <w:tcBorders>
              <w:top w:val="single" w:sz="6" w:space="0" w:color="auto"/>
              <w:bottom w:val="single" w:sz="12" w:space="0" w:color="auto"/>
            </w:tcBorders>
          </w:tcPr>
          <w:p w:rsidR="00080890" w:rsidRPr="00475479" w:rsidRDefault="00080890" w:rsidP="0008089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81.4</w:t>
            </w:r>
          </w:p>
        </w:tc>
        <w:tc>
          <w:tcPr>
            <w:tcW w:w="1352" w:type="dxa"/>
            <w:tcBorders>
              <w:top w:val="single" w:sz="6" w:space="0" w:color="auto"/>
              <w:bottom w:val="single" w:sz="12" w:space="0" w:color="auto"/>
            </w:tcBorders>
          </w:tcPr>
          <w:p w:rsidR="00080890" w:rsidRPr="00475479" w:rsidRDefault="003C1026" w:rsidP="0008089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100.0</w:t>
            </w:r>
          </w:p>
        </w:tc>
      </w:tr>
    </w:tbl>
    <w:p w:rsidR="0076615A" w:rsidRPr="00475479" w:rsidRDefault="0076615A" w:rsidP="00E115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6615A" w:rsidRPr="00475479" w:rsidRDefault="00941601" w:rsidP="00E115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 seen in Table 3, respondents spend on average 81.4€ per day per person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destination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l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arge portion of their daily expenditure refers to expenditure on accommodation</w:t>
      </w:r>
      <w:r w:rsidR="00B756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(47.5%) and on food and beverages (20.8%). They spend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756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least on excursion</w:t>
      </w:r>
      <w:r w:rsidR="001612B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B756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only 3.9% of their budget. </w:t>
      </w:r>
      <w:r w:rsidR="001612B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main focus of this paper is the respondents 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who </w:t>
      </w:r>
      <w:r w:rsidR="001612B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spend on culture and entertainment, and the results show that this expenditure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accounts</w:t>
      </w:r>
      <w:r w:rsidR="001612B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</w:t>
      </w:r>
      <w:r w:rsidR="001612B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only 10.4% of 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1612B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tourists’ daily budget. From this expenditure structure it is evident that 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offerings of </w:t>
      </w:r>
      <w:r w:rsidR="001612B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Rijeka and Opatija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</w:t>
      </w:r>
      <w:r w:rsidR="001612B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0D3D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still </w:t>
      </w:r>
      <w:r w:rsidR="001612B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weak </w:t>
      </w:r>
      <w:r w:rsidR="00E11B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when it comes </w:t>
      </w:r>
      <w:r w:rsidR="001612B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</w:t>
      </w:r>
      <w:r w:rsidR="000D3D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different entertainment, cultur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</w:t>
      </w:r>
      <w:r w:rsidR="000D3D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excursion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-related</w:t>
      </w:r>
      <w:r w:rsidR="000D3D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0D3D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sport and recreation</w:t>
      </w:r>
      <w:r w:rsidR="001A248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</w:t>
      </w:r>
      <w:r w:rsidR="000D3D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opportunities. Therefore, it is necessary to </w:t>
      </w:r>
      <w:r w:rsidR="006375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upgrade and innovate this part of </w:t>
      </w:r>
      <w:r w:rsidR="00E11B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their </w:t>
      </w:r>
      <w:r w:rsidR="006375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tourism offering</w:t>
      </w:r>
      <w:r w:rsidR="00E11B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6375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r w:rsidR="000D3D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make </w:t>
      </w:r>
      <w:r w:rsidR="006375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them</w:t>
      </w:r>
      <w:r w:rsidR="000D3DF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more appealing in order to </w:t>
      </w:r>
      <w:r w:rsidR="00233B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attract tourists to ex</w:t>
      </w:r>
      <w:r w:rsidR="003B7E8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perience these</w:t>
      </w:r>
      <w:r w:rsidR="00233B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elements</w:t>
      </w:r>
      <w:r w:rsidR="003B7E8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more often</w:t>
      </w:r>
      <w:r w:rsidR="00233B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9B13A6" w:rsidRPr="00475479" w:rsidRDefault="009B13A6" w:rsidP="00E115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A51687" w:rsidRPr="00475479" w:rsidRDefault="00A51687" w:rsidP="00E115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</w:p>
    <w:p w:rsidR="003E02EE" w:rsidRPr="00475479" w:rsidRDefault="00AA1DC7" w:rsidP="004E04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4 </w:t>
      </w:r>
      <w:r w:rsidR="003E02EE"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ANALYSIS</w:t>
      </w:r>
      <w:r w:rsidR="004E04BD"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AND FINDINGS</w:t>
      </w:r>
    </w:p>
    <w:p w:rsidR="00852B14" w:rsidRPr="00475479" w:rsidRDefault="00E11B44" w:rsidP="00852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addition to reporting their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sociodemographic and trip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related characteristics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respondents were asked to rate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importance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of,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satisfaction with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22 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different elements.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able 4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presents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importance and satisfaction mean scores, gap score</w:t>
      </w:r>
      <w:r w:rsidR="00AD725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as well as the results of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paired </w:t>
      </w:r>
      <w:r w:rsidR="009B13A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ample </w:t>
      </w:r>
      <w:r w:rsidR="00CA2A7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EC538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-test</w:t>
      </w:r>
      <w:r w:rsidR="009B13A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that was performed on the</w:t>
      </w:r>
      <w:r w:rsidR="00AD725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five</w:t>
      </w:r>
      <w:r w:rsidR="009B13A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elements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the offering</w:t>
      </w:r>
      <w:r w:rsidR="009B13A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that are related to entertainment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9B13A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culture and to the information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provided</w:t>
      </w:r>
      <w:r w:rsidR="009B13A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 them.</w:t>
      </w:r>
      <w:r w:rsidR="00852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Respondents rated their importance and satisfaction level on a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</w:t>
      </w:r>
      <w:r w:rsidR="00852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-point Likert scale</w:t>
      </w:r>
      <w:r w:rsidR="00CA2A7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852B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 1 being ‘strongly dissatisfied’ and 5 being ‘strongly satisfied’.</w:t>
      </w:r>
    </w:p>
    <w:p w:rsidR="00CE49A4" w:rsidRPr="00475479" w:rsidRDefault="00CE49A4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AD725B" w:rsidRPr="00475479" w:rsidRDefault="00AD725B" w:rsidP="00AD725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Table</w:t>
      </w:r>
      <w:r w:rsidR="00E11B4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4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: </w:t>
      </w:r>
      <w:r w:rsidR="00093C0A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Difference between importance and satisfaction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(N=824)</w:t>
      </w:r>
    </w:p>
    <w:p w:rsidR="00AD725B" w:rsidRPr="00475479" w:rsidRDefault="00AD725B" w:rsidP="00AD7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83"/>
        <w:gridCol w:w="1050"/>
        <w:gridCol w:w="902"/>
        <w:gridCol w:w="876"/>
        <w:gridCol w:w="825"/>
        <w:gridCol w:w="1106"/>
      </w:tblGrid>
      <w:tr w:rsidR="00AD725B" w:rsidRPr="00475479" w:rsidTr="006A6BA6">
        <w:trPr>
          <w:trHeight w:val="402"/>
          <w:jc w:val="center"/>
        </w:trPr>
        <w:tc>
          <w:tcPr>
            <w:tcW w:w="3256" w:type="dxa"/>
            <w:vMerge w:val="restart"/>
            <w:tcBorders>
              <w:top w:val="single" w:sz="12" w:space="0" w:color="auto"/>
            </w:tcBorders>
            <w:vAlign w:val="center"/>
          </w:tcPr>
          <w:p w:rsidR="00AD725B" w:rsidRPr="00475479" w:rsidRDefault="00AD725B" w:rsidP="00D9431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  <w:t>Attributes</w:t>
            </w:r>
          </w:p>
        </w:tc>
        <w:tc>
          <w:tcPr>
            <w:tcW w:w="1933" w:type="dxa"/>
            <w:gridSpan w:val="2"/>
            <w:tcBorders>
              <w:top w:val="single" w:sz="12" w:space="0" w:color="auto"/>
            </w:tcBorders>
            <w:vAlign w:val="center"/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Mean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  <w:vAlign w:val="center"/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Gap score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</w:tcBorders>
            <w:vAlign w:val="center"/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t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vAlign w:val="center"/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df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Sig.</w:t>
            </w:r>
          </w:p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(2-tailed)</w:t>
            </w:r>
          </w:p>
        </w:tc>
      </w:tr>
      <w:tr w:rsidR="00AD725B" w:rsidRPr="00475479" w:rsidTr="006A6BA6">
        <w:trPr>
          <w:trHeight w:val="141"/>
          <w:jc w:val="center"/>
        </w:trPr>
        <w:tc>
          <w:tcPr>
            <w:tcW w:w="3256" w:type="dxa"/>
            <w:vMerge/>
            <w:tcBorders>
              <w:top w:val="single" w:sz="4" w:space="0" w:color="auto"/>
            </w:tcBorders>
          </w:tcPr>
          <w:p w:rsidR="00AD725B" w:rsidRPr="00475479" w:rsidRDefault="00AD725B" w:rsidP="00D9431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Satisf.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Import.</w:t>
            </w:r>
          </w:p>
        </w:tc>
        <w:tc>
          <w:tcPr>
            <w:tcW w:w="902" w:type="dxa"/>
            <w:vMerge/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876" w:type="dxa"/>
            <w:vMerge/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825" w:type="dxa"/>
            <w:vMerge/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1106" w:type="dxa"/>
            <w:vMerge/>
          </w:tcPr>
          <w:p w:rsidR="00AD725B" w:rsidRPr="00475479" w:rsidRDefault="00AD725B" w:rsidP="00D943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</w:pPr>
          </w:p>
        </w:tc>
      </w:tr>
      <w:tr w:rsidR="006A6BA6" w:rsidRPr="00475479" w:rsidTr="00CE49A4">
        <w:trPr>
          <w:trHeight w:val="552"/>
          <w:jc w:val="center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:rsidR="00AD725B" w:rsidRPr="00475479" w:rsidRDefault="00AD725B" w:rsidP="00CE49A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Quality of information on the destination’s website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3.92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4.27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AD725B" w:rsidRPr="00475479" w:rsidRDefault="00AD725B" w:rsidP="00AD725B">
            <w:pPr>
              <w:tabs>
                <w:tab w:val="center" w:pos="42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-0,35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10.711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823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6A6BA6" w:rsidRPr="00475479" w:rsidTr="00CE49A4">
        <w:trPr>
          <w:trHeight w:val="552"/>
          <w:jc w:val="center"/>
        </w:trPr>
        <w:tc>
          <w:tcPr>
            <w:tcW w:w="3256" w:type="dxa"/>
            <w:vAlign w:val="center"/>
          </w:tcPr>
          <w:p w:rsidR="00AD725B" w:rsidRPr="00475479" w:rsidRDefault="00AD725B" w:rsidP="00CE49A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Clearly signposted tourist directions in the destination</w:t>
            </w:r>
          </w:p>
        </w:tc>
        <w:tc>
          <w:tcPr>
            <w:tcW w:w="883" w:type="dxa"/>
            <w:vAlign w:val="center"/>
          </w:tcPr>
          <w:p w:rsidR="00AD725B" w:rsidRPr="00475479" w:rsidRDefault="00AD725B" w:rsidP="00AD725B">
            <w:pPr>
              <w:tabs>
                <w:tab w:val="center" w:pos="42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3.94</w:t>
            </w:r>
          </w:p>
        </w:tc>
        <w:tc>
          <w:tcPr>
            <w:tcW w:w="1050" w:type="dxa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4.23</w:t>
            </w:r>
          </w:p>
        </w:tc>
        <w:tc>
          <w:tcPr>
            <w:tcW w:w="902" w:type="dxa"/>
            <w:vAlign w:val="center"/>
          </w:tcPr>
          <w:p w:rsidR="00AD725B" w:rsidRPr="00475479" w:rsidRDefault="00AD725B" w:rsidP="00AD725B">
            <w:pPr>
              <w:tabs>
                <w:tab w:val="center" w:pos="42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-0,29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8.566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823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6A6BA6" w:rsidRPr="00475479" w:rsidTr="00CE49A4">
        <w:trPr>
          <w:trHeight w:val="552"/>
          <w:jc w:val="center"/>
        </w:trPr>
        <w:tc>
          <w:tcPr>
            <w:tcW w:w="3256" w:type="dxa"/>
            <w:vAlign w:val="center"/>
          </w:tcPr>
          <w:p w:rsidR="00AD725B" w:rsidRPr="00475479" w:rsidRDefault="00AD725B" w:rsidP="00CE49A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Presentation of the cultural and historic</w:t>
            </w:r>
            <w:r w:rsidR="00F606C0"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heritage</w:t>
            </w:r>
          </w:p>
        </w:tc>
        <w:tc>
          <w:tcPr>
            <w:tcW w:w="883" w:type="dxa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4.07</w:t>
            </w:r>
          </w:p>
        </w:tc>
        <w:tc>
          <w:tcPr>
            <w:tcW w:w="1050" w:type="dxa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4.26</w:t>
            </w:r>
          </w:p>
        </w:tc>
        <w:tc>
          <w:tcPr>
            <w:tcW w:w="902" w:type="dxa"/>
            <w:vAlign w:val="center"/>
          </w:tcPr>
          <w:p w:rsidR="00AD725B" w:rsidRPr="00475479" w:rsidRDefault="00AD725B" w:rsidP="00AD725B">
            <w:pPr>
              <w:tabs>
                <w:tab w:val="center" w:pos="42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-0,19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5.980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823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6A6BA6" w:rsidRPr="00475479" w:rsidTr="00CE49A4">
        <w:trPr>
          <w:trHeight w:val="552"/>
          <w:jc w:val="center"/>
        </w:trPr>
        <w:tc>
          <w:tcPr>
            <w:tcW w:w="3256" w:type="dxa"/>
            <w:vAlign w:val="center"/>
          </w:tcPr>
          <w:p w:rsidR="00AD725B" w:rsidRPr="00475479" w:rsidRDefault="00AD725B" w:rsidP="00CE49A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Diversity of cultural events</w:t>
            </w:r>
          </w:p>
        </w:tc>
        <w:tc>
          <w:tcPr>
            <w:tcW w:w="883" w:type="dxa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3.77</w:t>
            </w:r>
          </w:p>
        </w:tc>
        <w:tc>
          <w:tcPr>
            <w:tcW w:w="1050" w:type="dxa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4.16</w:t>
            </w:r>
          </w:p>
        </w:tc>
        <w:tc>
          <w:tcPr>
            <w:tcW w:w="902" w:type="dxa"/>
            <w:vAlign w:val="center"/>
          </w:tcPr>
          <w:p w:rsidR="00AD725B" w:rsidRPr="00475479" w:rsidRDefault="00AD725B" w:rsidP="00AD725B">
            <w:pPr>
              <w:tabs>
                <w:tab w:val="center" w:pos="42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-0,39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10.865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823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6A6BA6" w:rsidRPr="00475479" w:rsidTr="00CE49A4">
        <w:trPr>
          <w:trHeight w:val="552"/>
          <w:jc w:val="center"/>
        </w:trPr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AD725B" w:rsidRPr="00475479" w:rsidRDefault="00AD725B" w:rsidP="00CE49A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Entertainment opportunities</w:t>
            </w:r>
          </w:p>
        </w:tc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3.75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4.19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AD725B" w:rsidRPr="00475479" w:rsidRDefault="00AD725B" w:rsidP="00AD725B">
            <w:pPr>
              <w:tabs>
                <w:tab w:val="center" w:pos="42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-0,44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12.007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823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D725B" w:rsidRPr="00475479" w:rsidRDefault="00AD725B" w:rsidP="00AD72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</w:tbl>
    <w:p w:rsidR="00852B14" w:rsidRPr="00475479" w:rsidRDefault="00852B14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Note: Mean values range from 1 (extremely unsatisfied/ unimportant) to 5 (extremely satisfied/ important).</w:t>
      </w:r>
      <w:r w:rsidR="00C446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Gap score</w:t>
      </w:r>
      <w:r w:rsidR="00C446F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- the mean importance score for each attribute is subtracted from the respective mean satisfaction score.</w:t>
      </w:r>
    </w:p>
    <w:p w:rsidR="00852B14" w:rsidRPr="00475479" w:rsidRDefault="00852B14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E02EE" w:rsidRPr="00475479" w:rsidRDefault="00852B14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Results indicate that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analysed offering attributes, the respondents are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most satisfied with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“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presentation of the cultural and historic</w:t>
      </w:r>
      <w:r w:rsidR="00CA2A7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heritage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”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(average satisfaction rate is 4.07) and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least satisfied with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“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diversity of cultural events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”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(3.75) and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“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entertainment opportunities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”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(3.75).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urthermore, according to the results, respondents consider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“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quality of information on the destination’s website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”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“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presentation of the cultural and historic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heritage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”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be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most important elements for them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since their mean importance ratings are 4.27 and 4.26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respectively</w:t>
      </w:r>
      <w:r w:rsidR="003912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(Table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</w:t>
      </w:r>
      <w:r w:rsidR="003912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</w:t>
      </w:r>
      <w:r w:rsidR="003912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ap scores were calculated 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by subtracting </w:t>
      </w:r>
      <w:r w:rsidR="003912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mean importance score for each attribute from the respective mean satisfaction score. Unfortunately, a negative gap score was calculated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all elements</w:t>
      </w:r>
      <w:r w:rsidR="003912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As Levenburg and Magal (2004) pointed</w:t>
      </w:r>
      <w:r w:rsidR="00993ED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out</w:t>
      </w:r>
      <w:r w:rsidR="0039121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a negative gap score indicates that satisfaction with a certain attribute is less than its importance. In addition to that, t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results of the paired-sample t-test </w:t>
      </w:r>
      <w:r w:rsidR="00663BB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reveal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that </w:t>
      </w:r>
      <w:r w:rsidR="00663BB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720C5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gap differences are statistically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significant</w:t>
      </w:r>
      <w:r w:rsidR="00720C5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meaning that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differences between </w:t>
      </w:r>
      <w:r w:rsidR="00663BB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respondents’ perceived importance and satisfaction with all five analysed elements</w:t>
      </w:r>
      <w:r w:rsidR="00720C5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significant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4C34C5" w:rsidRPr="00475479">
        <w:rPr>
          <w:lang w:val="en-GB"/>
        </w:rPr>
        <w:t xml:space="preserve"> </w:t>
      </w:r>
      <w:r w:rsidR="004C34C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These results indicate that elements</w:t>
      </w:r>
      <w:r w:rsidR="00720C5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relating to the cultural and entertain</w:t>
      </w:r>
      <w:r w:rsidR="00663BB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ment</w:t>
      </w:r>
      <w:r w:rsidR="00720C5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offering </w:t>
      </w:r>
      <w:r w:rsidR="00663BB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are very important to tourists</w:t>
      </w:r>
      <w:r w:rsidR="00663BB4" w:rsidRPr="00475479" w:rsidDel="00663B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63BB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but </w:t>
      </w:r>
      <w:r w:rsidR="004C34C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need to be improved since they are not performing well</w:t>
      </w:r>
      <w:r w:rsidR="009D4EA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3F1F2E" w:rsidRPr="00475479" w:rsidRDefault="009D4EA9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Considering that</w:t>
      </w:r>
      <w:r w:rsidR="00DE63A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respondents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rated </w:t>
      </w:r>
      <w:r w:rsidR="00DE63A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their satisfaction with 22 different destination</w:t>
      </w:r>
      <w:r w:rsidR="00E61E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attributes, principal component a</w:t>
      </w:r>
      <w:r w:rsidR="00DE63A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nalysis </w:t>
      </w:r>
      <w:r w:rsidR="00E61E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(PCA) </w:t>
      </w:r>
      <w:r w:rsidR="00DE63A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was performed</w:t>
      </w:r>
      <w:r w:rsidR="00663BB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based on the satisfaction scores of all attributes</w:t>
      </w:r>
      <w:r w:rsidR="00DE63A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61E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 identify the underlying dimension</w:t>
      </w:r>
      <w:r w:rsidR="00967E6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 of the destination attributes</w:t>
      </w:r>
      <w:r w:rsidR="00E61E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D614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PCA</w:t>
      </w:r>
      <w:r w:rsidR="003F1F2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using </w:t>
      </w:r>
      <w:r w:rsidR="00EC250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Oblimin </w:t>
      </w:r>
      <w:r w:rsidR="003F1F2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rotation with Kaiser normali</w:t>
      </w:r>
      <w:r w:rsidR="00E9111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3F1F2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ation, identified </w:t>
      </w:r>
      <w:r w:rsidR="00D614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 the satisfaction scale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D614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produced a five-component solution, explaining 61.9% of the variance. The Bartlett test of sphericity was significant (</w:t>
      </w:r>
      <w:r w:rsidR="006B00F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p&lt;0.000), and</w:t>
      </w:r>
      <w:r w:rsidR="00D614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Kaiser-Meyer-Olkin value was </w:t>
      </w:r>
      <w:r w:rsidR="006B00F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</w:t>
      </w:r>
      <w:r w:rsidR="00D614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.9</w:t>
      </w:r>
      <w:r w:rsidR="006B00F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10</w:t>
      </w:r>
      <w:r w:rsidR="00D614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indicating </w:t>
      </w:r>
      <w:r w:rsidR="003F1F2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that the sample is such that it would yield distinct and r</w:t>
      </w:r>
      <w:r w:rsidR="00227E8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eliable factors </w:t>
      </w:r>
      <w:r w:rsidR="003F1F2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(Field 2009, Hair et al. 2005).</w:t>
      </w:r>
    </w:p>
    <w:p w:rsidR="003F1F2E" w:rsidRPr="00475479" w:rsidRDefault="003F1F2E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C56962" w:rsidRPr="00475479" w:rsidRDefault="00C56962" w:rsidP="00C5696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Table </w:t>
      </w:r>
      <w:r w:rsidR="00614C5D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5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: Results of principal component analysis (PCA) of satisfaction with </w:t>
      </w:r>
      <w:r w:rsidR="00663BB4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tourism offering</w:t>
      </w:r>
    </w:p>
    <w:p w:rsidR="00C56962" w:rsidRPr="00475479" w:rsidRDefault="00C56962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950"/>
        <w:gridCol w:w="1293"/>
        <w:gridCol w:w="974"/>
        <w:gridCol w:w="1124"/>
        <w:gridCol w:w="1135"/>
        <w:gridCol w:w="741"/>
      </w:tblGrid>
      <w:tr w:rsidR="00B173A9" w:rsidRPr="00475479" w:rsidTr="00EC109B">
        <w:trPr>
          <w:trHeight w:val="760"/>
        </w:trPr>
        <w:tc>
          <w:tcPr>
            <w:tcW w:w="2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7B5" w:rsidRPr="00475479" w:rsidRDefault="00D467B5" w:rsidP="00D467B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Items and principal components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7B5" w:rsidRPr="00475479" w:rsidRDefault="00D467B5" w:rsidP="00D467B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  <w:t>Loadings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7B5" w:rsidRPr="00475479" w:rsidRDefault="00D467B5" w:rsidP="00D467B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  <w:t>Communality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7B5" w:rsidRPr="00475479" w:rsidRDefault="00D467B5" w:rsidP="00D467B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  <w:t>Variance explained (%)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7B5" w:rsidRPr="00475479" w:rsidRDefault="00D467B5" w:rsidP="00D467B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  <w:t>Cumulative</w:t>
            </w:r>
          </w:p>
          <w:p w:rsidR="00D467B5" w:rsidRPr="00475479" w:rsidRDefault="00D467B5" w:rsidP="00D467B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  <w:t>(%)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7B5" w:rsidRPr="00475479" w:rsidRDefault="00D467B5" w:rsidP="00755C1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  <w:t>Cronbach’s Alpha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7B5" w:rsidRPr="00475479" w:rsidRDefault="00D467B5" w:rsidP="00D467B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4"/>
                <w:lang w:val="en-GB"/>
              </w:rPr>
              <w:t>Mean</w:t>
            </w:r>
          </w:p>
        </w:tc>
      </w:tr>
      <w:tr w:rsidR="00D97AF5" w:rsidRPr="00475479" w:rsidTr="00EC109B">
        <w:trPr>
          <w:trHeight w:val="320"/>
        </w:trPr>
        <w:tc>
          <w:tcPr>
            <w:tcW w:w="513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084" w:rsidRPr="00475479" w:rsidRDefault="00D12084" w:rsidP="00D467B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Traffic and information availability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084" w:rsidRPr="00475479" w:rsidRDefault="00754BC1" w:rsidP="00D467B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35.025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084" w:rsidRPr="00475479" w:rsidRDefault="00754BC1" w:rsidP="00D467B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35.025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084" w:rsidRPr="00475479" w:rsidRDefault="00D12084" w:rsidP="00755C1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0.811</w:t>
            </w:r>
          </w:p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2084" w:rsidRPr="00475479" w:rsidRDefault="003429A4" w:rsidP="00D467B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3.92</w:t>
            </w: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Transportation links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776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0.581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42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Clearly signposted tourist directions in the destination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757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0.664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Availability of information in the destination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707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0.626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Quality of local transport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671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0.603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tcBorders>
              <w:bottom w:val="single" w:sz="6" w:space="0" w:color="auto"/>
            </w:tcBorders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Quality of information on the destination’s website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634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0.551</w:t>
            </w:r>
          </w:p>
        </w:tc>
        <w:tc>
          <w:tcPr>
            <w:tcW w:w="9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513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 xml:space="preserve">Environment </w:t>
            </w:r>
          </w:p>
        </w:tc>
        <w:tc>
          <w:tcPr>
            <w:tcW w:w="9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4BC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9.477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4BC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44.502</w:t>
            </w:r>
          </w:p>
        </w:tc>
        <w:tc>
          <w:tcPr>
            <w:tcW w:w="11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0.828</w:t>
            </w:r>
          </w:p>
        </w:tc>
        <w:tc>
          <w:tcPr>
            <w:tcW w:w="7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3429A4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4.16</w:t>
            </w: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Preserved environment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889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0.763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Cleanliness of the destination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835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0.700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42"/>
        </w:trPr>
        <w:tc>
          <w:tcPr>
            <w:tcW w:w="2894" w:type="dxa"/>
            <w:shd w:val="clear" w:color="auto" w:fill="auto"/>
          </w:tcPr>
          <w:p w:rsidR="00755C11" w:rsidRPr="00475479" w:rsidRDefault="00755C11" w:rsidP="00663BB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The beauty of nature and landscape</w:t>
            </w:r>
            <w:r w:rsidR="00663BB4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770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0.611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tcBorders>
              <w:bottom w:val="single" w:sz="6" w:space="0" w:color="auto"/>
            </w:tcBorders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Equipment and maintenance of the beaches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672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0.592</w:t>
            </w:r>
          </w:p>
        </w:tc>
        <w:tc>
          <w:tcPr>
            <w:tcW w:w="9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513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Activity opportunities</w:t>
            </w:r>
          </w:p>
        </w:tc>
        <w:tc>
          <w:tcPr>
            <w:tcW w:w="9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4BC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7.088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4BC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51.590</w:t>
            </w:r>
          </w:p>
        </w:tc>
        <w:tc>
          <w:tcPr>
            <w:tcW w:w="11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0.855</w:t>
            </w:r>
          </w:p>
        </w:tc>
        <w:tc>
          <w:tcPr>
            <w:tcW w:w="7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3429A4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3.80</w:t>
            </w: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Sports facilities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866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0.722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Excursion offer</w:t>
            </w:r>
            <w:r w:rsidR="00663BB4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ing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810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0.644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Entertainment opportunities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796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0.641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Facilities for children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688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0.578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42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Shopping opportunities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681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0.480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Diversity of cultural events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454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0.576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tcBorders>
              <w:bottom w:val="single" w:sz="6" w:space="0" w:color="auto"/>
            </w:tcBorders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Value for money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402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0.373</w:t>
            </w:r>
          </w:p>
        </w:tc>
        <w:tc>
          <w:tcPr>
            <w:tcW w:w="9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513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Quality</w:t>
            </w:r>
          </w:p>
        </w:tc>
        <w:tc>
          <w:tcPr>
            <w:tcW w:w="9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4BC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5.476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4BC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57.066</w:t>
            </w:r>
          </w:p>
        </w:tc>
        <w:tc>
          <w:tcPr>
            <w:tcW w:w="11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0.731</w:t>
            </w:r>
          </w:p>
        </w:tc>
        <w:tc>
          <w:tcPr>
            <w:tcW w:w="7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3429A4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4.12</w:t>
            </w: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Quality of accommodation facilities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832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0.726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Quality of catering facilities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788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0.668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tcBorders>
              <w:bottom w:val="single" w:sz="6" w:space="0" w:color="auto"/>
            </w:tcBorders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Quality of cultural and historic</w:t>
            </w:r>
            <w:r w:rsidR="00663BB4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al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 heritage presentation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BD1DAB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755C11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608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0.577</w:t>
            </w:r>
          </w:p>
        </w:tc>
        <w:tc>
          <w:tcPr>
            <w:tcW w:w="9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513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 xml:space="preserve">Hospitability </w:t>
            </w:r>
          </w:p>
        </w:tc>
        <w:tc>
          <w:tcPr>
            <w:tcW w:w="9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4BC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4.873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4BC1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61.939</w:t>
            </w:r>
          </w:p>
        </w:tc>
        <w:tc>
          <w:tcPr>
            <w:tcW w:w="11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0.760</w:t>
            </w:r>
          </w:p>
        </w:tc>
        <w:tc>
          <w:tcPr>
            <w:tcW w:w="7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5C11" w:rsidRPr="00475479" w:rsidRDefault="003429A4" w:rsidP="00755C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  <w:lang w:val="en-GB"/>
              </w:rPr>
              <w:t>4.29</w:t>
            </w:r>
          </w:p>
        </w:tc>
      </w:tr>
      <w:tr w:rsidR="00B173A9" w:rsidRPr="00475479" w:rsidTr="00EC109B">
        <w:trPr>
          <w:trHeight w:val="242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Cordiality of employees in tourism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731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0.711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Feeling of personal safety and security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728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0.649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B173A9" w:rsidRPr="00475479" w:rsidTr="00EC109B">
        <w:trPr>
          <w:trHeight w:val="253"/>
        </w:trPr>
        <w:tc>
          <w:tcPr>
            <w:tcW w:w="2894" w:type="dxa"/>
            <w:tcBorders>
              <w:bottom w:val="single" w:sz="12" w:space="0" w:color="auto"/>
            </w:tcBorders>
            <w:shd w:val="clear" w:color="auto" w:fill="auto"/>
          </w:tcPr>
          <w:p w:rsidR="00755C11" w:rsidRPr="00475479" w:rsidRDefault="00755C11" w:rsidP="00755C1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Friendly and hospitable residents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566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0.591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5C11" w:rsidRPr="00475479" w:rsidRDefault="00755C11" w:rsidP="00755C1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</w:tbl>
    <w:p w:rsidR="006626FF" w:rsidRPr="00475479" w:rsidRDefault="00EC2504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Note: Rotation method: Oblimin with Kaiser normalization.</w:t>
      </w:r>
      <w:r w:rsidR="002F66FA" w:rsidRPr="00475479">
        <w:rPr>
          <w:lang w:val="en-GB"/>
        </w:rPr>
        <w:t xml:space="preserve"> </w:t>
      </w:r>
      <w:r w:rsidR="002F66F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Mean values range from 1 (strongly unsatisfied) to 5 (strongly satisfied).</w:t>
      </w:r>
    </w:p>
    <w:p w:rsidR="006626FF" w:rsidRPr="00475479" w:rsidRDefault="003F10BF" w:rsidP="0088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As seen in Table </w:t>
      </w:r>
      <w:r w:rsidR="00614C5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most of the factor loadings were greater than 0.60, indicating </w:t>
      </w:r>
      <w:r w:rsidR="005F288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good correlations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between the items and the factor groupings to which they belong (Kozak and Rimmington, 2000).</w:t>
      </w:r>
      <w:r w:rsidR="00141D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Further, t</w:t>
      </w:r>
      <w:r w:rsidR="00BD79F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first component </w:t>
      </w:r>
      <w:r w:rsidR="00B134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141D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explain</w:t>
      </w:r>
      <w:r w:rsidR="00663BB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ing</w:t>
      </w:r>
      <w:r w:rsidR="00141D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35.0% of the variance </w:t>
      </w:r>
      <w:r w:rsidR="00B134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the model) encompassed </w:t>
      </w:r>
      <w:r w:rsidR="00BD79F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attributes related to transportation, traffic and information availability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BD79F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was labelled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‘</w:t>
      </w:r>
      <w:r w:rsidR="00BD79F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Traffic and information availability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</w:t>
      </w:r>
      <w:r w:rsidR="00141D4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2F287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s</w:t>
      </w:r>
      <w:r w:rsidR="00A13D2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econd component</w:t>
      </w:r>
      <w:r w:rsidR="002F287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A13D2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labelled ‘Environment’</w:t>
      </w:r>
      <w:r w:rsidR="002F287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explained 9.5% of the variance and</w:t>
      </w:r>
      <w:r w:rsidR="002F2879" w:rsidRPr="00475479">
        <w:rPr>
          <w:lang w:val="en-GB"/>
        </w:rPr>
        <w:t xml:space="preserve"> </w:t>
      </w:r>
      <w:r w:rsidR="002F287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was composed of four items (environment preservation, clean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li</w:t>
      </w:r>
      <w:r w:rsidR="002F287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ness, beauty of nature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2F287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maintenance). </w:t>
      </w:r>
      <w:r w:rsidR="002F66F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Aspects </w:t>
      </w:r>
      <w:r w:rsidR="00B134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related to the different facilities in the destination </w:t>
      </w:r>
      <w:r w:rsidR="00903A6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</w:t>
      </w:r>
      <w:r w:rsidR="00BD79F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labelled </w:t>
      </w:r>
      <w:r w:rsidR="00B134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‘</w:t>
      </w:r>
      <w:r w:rsidR="00A13D2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B1340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ctivity opportunities’ and expl</w:t>
      </w:r>
      <w:r w:rsidR="002F287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ained 7.1% of the variance in the model.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f</w:t>
      </w:r>
      <w:r w:rsidR="00EC109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orth component, labelled ‘Quality’, explained </w:t>
      </w:r>
      <w:r w:rsidR="00EC21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5.5% of the variance and was loaded with three items.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l</w:t>
      </w:r>
      <w:r w:rsidR="00EC21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ast component was labelled ‘Hospitability’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</w:t>
      </w:r>
      <w:r w:rsidR="00EC21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was loaded with three items related to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EC21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feeling of personal safety and security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EC21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the residents and employees’ cordiality and hospitability</w:t>
      </w:r>
      <w:r w:rsidR="002B62F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(Table </w:t>
      </w:r>
      <w:r w:rsidR="00614C5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</w:t>
      </w:r>
      <w:r w:rsidR="002B62F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</w:t>
      </w:r>
      <w:r w:rsidR="00EC21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0C4C2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Furthermore, the results showed that the α coefficients of the five components ranged from 0.731 to 0.855, </w:t>
      </w:r>
      <w:r w:rsidR="009D4EA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thus</w:t>
      </w:r>
      <w:r w:rsidR="000C4C2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exceeding the value of 0.70, suggesting good levels of reliability (Baggio and Klobas, 2011). </w:t>
      </w:r>
      <w:r w:rsidR="00BD4E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Table </w:t>
      </w:r>
      <w:r w:rsidR="00614C5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</w:t>
      </w:r>
      <w:r w:rsidR="00BD4E0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also reports the mean satisfaction ratings of the five components. The results indicate that </w:t>
      </w:r>
      <w:r w:rsidR="005B731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most satisfactory component for the respondents is ‘Hospitability’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5B731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since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its</w:t>
      </w:r>
      <w:r w:rsidR="005B731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mean satisfaction rating is 4.29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5B731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followed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by</w:t>
      </w:r>
      <w:r w:rsidR="005B731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16BD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‘Environment’ (</w:t>
      </w:r>
      <w:r w:rsidR="005B731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mean score 4.17) and ‘Quality’ (mean score 4.12). </w:t>
      </w:r>
      <w:r w:rsidR="00AE43A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6849E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he results show that t</w:t>
      </w:r>
      <w:r w:rsidR="00716BD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least</w:t>
      </w:r>
      <w:r w:rsidR="00716BD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satisfactory components are those referring to the ‘Activity opportunities’ (mean score 3.8) and to ‘Traffic and information availability’ </w:t>
      </w:r>
      <w:r w:rsidR="00F46F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(mean score 3.92)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F46F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again indicating that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these </w:t>
      </w:r>
      <w:r w:rsidR="00F46F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are the attributes that need the destination management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’s</w:t>
      </w:r>
      <w:r w:rsidR="00F46F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attention and improvements in the future.</w:t>
      </w:r>
      <w:r w:rsidR="008876A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line with the presented results, the five components can be considered reliable dimensions of satisfaction </w:t>
      </w:r>
      <w:r w:rsidR="0057425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with the tourism</w:t>
      </w:r>
      <w:r w:rsidR="008876A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offering and can be used in the following regression analysis.</w:t>
      </w:r>
    </w:p>
    <w:p w:rsidR="00B3396C" w:rsidRPr="00475479" w:rsidRDefault="00B3396C" w:rsidP="0088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22651" w:rsidRPr="00475479" w:rsidRDefault="005965F4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Based on the results of </w:t>
      </w:r>
      <w:r w:rsidR="009D4EA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PCA, a regression analysis was performed using the five components as independent variables in addition to age, educational level, average household income, season of visit, trip organisation, length of stay, transportation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mode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accommodation type, and average daily expenditure as the</w:t>
      </w:r>
      <w:r w:rsidR="006155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dependent variables. </w:t>
      </w:r>
      <w:r w:rsidR="002A385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Following the econometric practice and use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</w:t>
      </w:r>
      <w:r w:rsidR="002A385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natural logarithm of expenditure rather than level values (e.g. García-Sánchez et al., 2013; Marrocu et. al., 2015; Thrane, 2014; 2016), the natural logarithm of average daily expenditure on culture and entertainment per person was used as the dependent variable. </w:t>
      </w:r>
    </w:p>
    <w:p w:rsidR="0061550A" w:rsidRDefault="005965F4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E275E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regression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results are summarized in Table </w:t>
      </w:r>
      <w:r w:rsidR="00614C5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6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Due to the fact that no VIF values exceeded 10.0, and the values of tolerance indicated that in no case did collinearity explain more than 10% of any predictor variable’s variance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it can be concluded that there was no evidence of multi-collinearity in the model (</w:t>
      </w:r>
      <w:r w:rsidR="006155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Zhang et al., 2010)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The R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2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was </w:t>
      </w:r>
      <w:r w:rsidR="006155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0.340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which showed that </w:t>
      </w:r>
      <w:r w:rsidR="006155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34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% of the variance in</w:t>
      </w:r>
      <w:r w:rsidR="006155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D4EA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3B70A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respondents’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expenditure </w:t>
      </w:r>
      <w:r w:rsidR="006155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 cultur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6155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entertainment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was explained by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6155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selected independent variables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5731F" w:rsidRPr="00475479" w:rsidRDefault="00F5731F" w:rsidP="005965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C31FE8" w:rsidRPr="00475479" w:rsidRDefault="00C31FE8" w:rsidP="00C31FE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  <w:lang w:val="en-GB"/>
        </w:rPr>
      </w:pP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Table </w:t>
      </w:r>
      <w:r w:rsidR="00614C5D"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6</w:t>
      </w:r>
      <w:r w:rsidRPr="00475479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: Regression model</w:t>
      </w:r>
    </w:p>
    <w:p w:rsidR="006626FF" w:rsidRPr="00475479" w:rsidRDefault="006626FF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W w:w="921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877"/>
        <w:gridCol w:w="1474"/>
        <w:gridCol w:w="1134"/>
        <w:gridCol w:w="993"/>
        <w:gridCol w:w="992"/>
        <w:gridCol w:w="850"/>
        <w:gridCol w:w="1128"/>
        <w:gridCol w:w="712"/>
      </w:tblGrid>
      <w:tr w:rsidR="0032107E" w:rsidRPr="00475479" w:rsidTr="00DC53A2">
        <w:trPr>
          <w:cantSplit/>
          <w:trHeight w:val="604"/>
        </w:trPr>
        <w:tc>
          <w:tcPr>
            <w:tcW w:w="10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Model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Unstandardized Coefficients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Sig.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Collinearity Statistics</w:t>
            </w:r>
          </w:p>
        </w:tc>
      </w:tr>
      <w:tr w:rsidR="00DC53A2" w:rsidRPr="00475479" w:rsidTr="00DC53A2">
        <w:trPr>
          <w:cantSplit/>
          <w:trHeight w:val="48"/>
        </w:trPr>
        <w:tc>
          <w:tcPr>
            <w:tcW w:w="1051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877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474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Std. Error</w:t>
            </w: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1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Tolerance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VIF</w:t>
            </w:r>
          </w:p>
        </w:tc>
      </w:tr>
      <w:tr w:rsidR="00DC53A2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(Constant)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8312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342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-3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833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000</w:t>
            </w:r>
          </w:p>
        </w:tc>
        <w:tc>
          <w:tcPr>
            <w:tcW w:w="112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  <w:tc>
          <w:tcPr>
            <w:tcW w:w="71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Age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006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-2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005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839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191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Educational level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2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395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017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859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164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DD5E2C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A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verage monthly household income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195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845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744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344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Season vs. off-season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513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608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801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248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Trip organisation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095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386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166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744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345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043DD2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Length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 of stay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-7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067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934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071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DD5E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Transportation </w:t>
            </w:r>
            <w:r w:rsidR="00DD5E2C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mode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123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2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129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034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825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212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Accommodation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480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903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743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346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Traffic and information availability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176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3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002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546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831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Environment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883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060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673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487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Activity opportunities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763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078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561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783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Quality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015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287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774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619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3210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615</w:t>
            </w:r>
          </w:p>
        </w:tc>
      </w:tr>
      <w:tr w:rsidR="0032107E" w:rsidRPr="00475479" w:rsidTr="00DC53A2">
        <w:trPr>
          <w:cantSplit/>
          <w:trHeight w:val="397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2107E" w:rsidRPr="00475479" w:rsidRDefault="0032107E" w:rsidP="00DC53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Hospitality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107E" w:rsidRPr="00475479" w:rsidRDefault="0032107E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082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2107E" w:rsidRPr="00475479" w:rsidRDefault="0083129D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107E" w:rsidRPr="00475479" w:rsidRDefault="0032107E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-1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107E" w:rsidRPr="00475479" w:rsidRDefault="0083129D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087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2107E" w:rsidRPr="00475479" w:rsidRDefault="0083129D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673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32107E" w:rsidRPr="00475479" w:rsidRDefault="0032107E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486</w:t>
            </w:r>
          </w:p>
        </w:tc>
      </w:tr>
      <w:tr w:rsidR="00DC53A2" w:rsidRPr="00475479" w:rsidTr="00DC53A2">
        <w:trPr>
          <w:cantSplit/>
          <w:trHeight w:val="397"/>
        </w:trPr>
        <w:tc>
          <w:tcPr>
            <w:tcW w:w="3402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DC53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Average daily expenditure (log)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83129D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793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83129D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15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293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83129D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000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83129D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0.</w:t>
            </w:r>
            <w:r w:rsidR="0032107E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778</w:t>
            </w: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2107E" w:rsidRPr="00475479" w:rsidRDefault="0032107E" w:rsidP="00DC5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</w:pP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1</w:t>
            </w:r>
            <w:r w:rsidR="0083129D"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.</w:t>
            </w:r>
            <w:r w:rsidRPr="0047547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>285</w:t>
            </w:r>
          </w:p>
        </w:tc>
      </w:tr>
    </w:tbl>
    <w:p w:rsidR="006626FF" w:rsidRPr="00475479" w:rsidRDefault="003B0FA8" w:rsidP="003B0F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Note: R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2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= 0.340; F(14, 808) = 29</w:t>
      </w:r>
      <w:r w:rsidR="0061550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772; p &lt; </w:t>
      </w:r>
      <w:r w:rsidR="000E174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0E174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01; dependent variable: log daily expenditure on culture and entertainment per person; VIF - variance inflation factors.</w:t>
      </w:r>
    </w:p>
    <w:p w:rsidR="00DC53A2" w:rsidRPr="00475479" w:rsidRDefault="00DC53A2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A1994" w:rsidRPr="00475479" w:rsidRDefault="00DC53A2" w:rsidP="00EA1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Out of fourteen dependent variables, seven turned 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out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be significant predictors of the expenditure on culture and entertainment. </w:t>
      </w:r>
      <w:r w:rsidR="00E9287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findings show</w:t>
      </w:r>
      <w:r w:rsidR="00D9606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that there is a negative relationship between age and the dependent variable</w:t>
      </w:r>
      <w:r w:rsidR="00E9287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indicating that younger respondents tend to spend less on culture and entertainment that older ones.</w:t>
      </w:r>
      <w:r w:rsidR="00210DD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Marrocu et al. (2015) also found a negative effect </w:t>
      </w:r>
      <w:r w:rsidR="00EB27C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age but </w:t>
      </w:r>
      <w:r w:rsidR="00210DD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only in the case of food expenditure. </w:t>
      </w:r>
      <w:r w:rsidR="00EB27C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Furthermore</w:t>
      </w:r>
      <w:r w:rsidR="00E9287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findings</w:t>
      </w:r>
      <w:r w:rsidR="00210DDF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this study</w:t>
      </w:r>
      <w:r w:rsidR="00E9287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confirm previous evidence on the relevance of educational level as one </w:t>
      </w:r>
      <w:r w:rsidR="003877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 the predictors</w:t>
      </w:r>
      <w:r w:rsidR="001A40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tourist expenditure</w:t>
      </w:r>
      <w:r w:rsidR="00DD5E2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For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example</w:t>
      </w:r>
      <w:r w:rsidR="00975B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75B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Legohérel and Wong</w:t>
      </w:r>
      <w:r w:rsidR="008A019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75B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8A019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2006</w:t>
      </w:r>
      <w:r w:rsidR="00975B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found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F5731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negative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relationship, </w:t>
      </w:r>
      <w:r w:rsidR="00975B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while</w:t>
      </w:r>
      <w:r w:rsidR="008A019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75B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Rao (</w:t>
      </w:r>
      <w:r w:rsidR="001A40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2001</w:t>
      </w:r>
      <w:r w:rsidR="00975B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found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975B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positive relationship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975B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between educational level and tourist expenditure</w:t>
      </w:r>
      <w:r w:rsidR="000640F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975BC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this study, it</w:t>
      </w:r>
      <w:r w:rsidR="000640F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was found that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respondents</w:t>
      </w:r>
      <w:r w:rsidR="000640F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0640F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higher educational level tend to spend more on culture and entertainment in the destination in comparison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with</w:t>
      </w:r>
      <w:r w:rsidR="000640F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those with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0640F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lower educational level. </w:t>
      </w:r>
      <w:r w:rsidR="00EA199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 expected, a statistically significant negative relationship was determined between the length of stay of respondents and their daily expenditure on culture and entertainment</w:t>
      </w:r>
      <w:r w:rsidR="00F2265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(Table </w:t>
      </w:r>
      <w:r w:rsidR="00614C5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6</w:t>
      </w:r>
      <w:r w:rsidR="00F2265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3C15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F2265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This result is in line with those obtained by </w:t>
      </w:r>
      <w:r w:rsidR="00EA199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Alegre et al. (2011)</w:t>
      </w:r>
      <w:r w:rsidR="003C15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EA199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C15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Disegna and Osti (2016) and Mehmetoglu (2007)</w:t>
      </w:r>
      <w:r w:rsidR="00F754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3C15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2265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who </w:t>
      </w:r>
      <w:r w:rsidR="00EA199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also found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EA199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negative relationship between length of stay and daily expenditure</w:t>
      </w:r>
      <w:r w:rsidR="00DD3D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9C6049" w:rsidRPr="00475479" w:rsidRDefault="00BF510D" w:rsidP="00EA1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Furthermore, </w:t>
      </w:r>
      <w:r w:rsidR="00A369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findings indicate that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respondents</w:t>
      </w:r>
      <w:r w:rsidR="00A369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who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travelled</w:t>
      </w:r>
      <w:r w:rsidR="00F754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</w:t>
      </w:r>
      <w:r w:rsidR="00A369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destination by car tend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ed</w:t>
      </w:r>
      <w:r w:rsidR="00A369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spend more on culture and entertainment than those who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arrived </w:t>
      </w:r>
      <w:r w:rsidR="00A369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by some other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mode of </w:t>
      </w:r>
      <w:r w:rsidR="00A369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transportation.</w:t>
      </w:r>
      <w:r w:rsidR="007E389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results also indicate that those staying in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7E389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hotel tend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ed</w:t>
      </w:r>
      <w:r w:rsidR="007E389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spend </w:t>
      </w:r>
      <w:r w:rsidR="003C15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less on </w:t>
      </w:r>
      <w:r w:rsidR="003C15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culture and entertainment</w:t>
      </w:r>
      <w:r w:rsidR="007E389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than those staying in other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types of </w:t>
      </w:r>
      <w:r w:rsidR="007E389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accommodation.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These</w:t>
      </w:r>
      <w:r w:rsidR="007E389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results are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3C153D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opposite of those</w:t>
      </w:r>
      <w:r w:rsidR="007E389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obtained by</w:t>
      </w:r>
      <w:r w:rsidR="00F3219C" w:rsidRPr="00475479">
        <w:rPr>
          <w:lang w:val="en-GB"/>
        </w:rPr>
        <w:t xml:space="preserve"> </w:t>
      </w:r>
      <w:r w:rsidR="00F3219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García-Sánchez et al. (2013) and Svensson et al. (2011).</w:t>
      </w:r>
      <w:r w:rsidR="009C604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It was also </w:t>
      </w:r>
      <w:r w:rsidR="00F2265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found</w:t>
      </w:r>
      <w:r w:rsidR="00B4459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as </w:t>
      </w:r>
      <w:r w:rsidR="009C604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expected</w:t>
      </w:r>
      <w:r w:rsidR="00B4459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9C604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that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respondents</w:t>
      </w:r>
      <w:r w:rsidR="009C604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4308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with higher</w:t>
      </w:r>
      <w:r w:rsidR="009C604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total daily expendit</w:t>
      </w:r>
      <w:r w:rsidR="0034308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ure </w:t>
      </w:r>
      <w:r w:rsidR="00B4459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tend</w:t>
      </w:r>
      <w:r w:rsidR="009C604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spend more on culture and entertainment.</w:t>
      </w:r>
    </w:p>
    <w:p w:rsidR="009C6049" w:rsidRPr="00475479" w:rsidRDefault="009C6049" w:rsidP="009C60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Out of the five components of satisfaction, only the one referring to traffic and information availability has been proved to be a statistically significant predictor of daily expenditure on culture and entertainment. Hence, it is very important to provide quality transportation links and local transport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as well as to ensure more clearly signposted tourist directions in the destination, better availability of information in the destination and higher quality of information on the destination’s website. </w:t>
      </w:r>
      <w:r w:rsidR="002011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By doing so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tourists will </w:t>
      </w:r>
      <w:r w:rsidR="00F754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obtain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better information on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destination’s cultural and entertainment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offering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turn,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should be more attracted to consume those offering elements.</w:t>
      </w:r>
    </w:p>
    <w:p w:rsidR="00DD3D20" w:rsidRPr="00475479" w:rsidRDefault="00B44591" w:rsidP="005F5A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DD3D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findings also indicate that household income </w:t>
      </w:r>
      <w:r w:rsidR="00D352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was not</w:t>
      </w:r>
      <w:r w:rsidR="00DD3D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significant predictor of the expenditure on culture and entertainment</w:t>
      </w:r>
      <w:r w:rsidR="007E218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DD3D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E218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DD3D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imilarly, in their studies, Akca et al. (2016) as well as Mustika et al. (2016) found that income 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 not</w:t>
      </w:r>
      <w:r w:rsidR="00DD3D2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significant factor of expenditure.</w:t>
      </w:r>
      <w:r w:rsidR="005F5A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addition to income, season of visit, trip organisation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5F5A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satisfaction with 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5F5A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other four components (Environment, Activity opportunities, Quality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5F5A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Hospitality) turned 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out </w:t>
      </w:r>
      <w:r w:rsidR="005F5A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not to be significant predictor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5F5A2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expenditure on culture and entertainment.</w:t>
      </w:r>
    </w:p>
    <w:p w:rsidR="00160D51" w:rsidRPr="00475479" w:rsidRDefault="00160D51" w:rsidP="005F5A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All the results indicate that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be able to reach a conclusion about what factors affect the level of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expenditure on culture and entertainment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2011D0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additional research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still needs to be carried out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different setti</w:t>
      </w:r>
      <w:r w:rsidR="002309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ngs and different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destinations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r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esults of this study confirm that the level of this type of expenditure is still very low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indicating the 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need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for destination management to enrich and innovate </w:t>
      </w:r>
      <w:r w:rsidR="00E20F4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attributes relating to the entertainment and cultural offering </w:t>
      </w:r>
      <w:r w:rsidR="008A28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provide better information </w:t>
      </w:r>
      <w:r w:rsidR="008A28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about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them.</w:t>
      </w:r>
    </w:p>
    <w:p w:rsidR="006B6E2B" w:rsidRPr="00475479" w:rsidRDefault="006B6E2B" w:rsidP="005F5A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9C6049" w:rsidRPr="00475479" w:rsidRDefault="009C6049" w:rsidP="009C60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36645" w:rsidRPr="00475479" w:rsidRDefault="003E02EE" w:rsidP="00877E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5 </w:t>
      </w:r>
      <w:r w:rsidR="00736645"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CON</w:t>
      </w:r>
      <w:r w:rsidR="008A28CC"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C</w:t>
      </w:r>
      <w:r w:rsidR="00736645"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LUSION</w:t>
      </w:r>
      <w:r w:rsidR="00472049"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</w:p>
    <w:p w:rsidR="006B13DC" w:rsidRPr="00475479" w:rsidRDefault="001546EA" w:rsidP="00790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Given the importance of tourism in Croatia, in addition to </w:t>
      </w:r>
      <w:r w:rsidR="008A28C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knowing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main information on tourist arrivals and overnight stays, understanding tourism expenditure patterns is vital for tourism 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destination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management and planning. </w:t>
      </w:r>
      <w:r w:rsidR="0012332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This study sought to explore the determinants of tourist expenditure on culture and entertainment.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results confirmed that the level of the overall expenditure is low, and that </w:t>
      </w:r>
      <w:r w:rsidR="006336F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its structure is not optimal since 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bulk</w:t>
      </w:r>
      <w:r w:rsidR="006336F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6336F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tourist</w:t>
      </w:r>
      <w:r w:rsidR="00F754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6336F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’ budget 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goes towards</w:t>
      </w:r>
      <w:r w:rsidR="006336F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accommodation and food and beverages.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Moreover, findings revealed that the level of expenditure on culture and entertainment is very </w:t>
      </w:r>
      <w:r w:rsidR="000E36C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modest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(representing only 10% of overall tourist budget) and that some changes are necessary in order to enhance tourist spending in the destination. 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 i</w:t>
      </w:r>
      <w:r w:rsidR="008344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nteresting finding was that </w:t>
      </w:r>
      <w:r w:rsidR="00F754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8344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majority of 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tourists,</w:t>
      </w:r>
      <w:r w:rsidR="008344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who spend on culture and entertainment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8344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77F7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visit </w:t>
      </w:r>
      <w:r w:rsidR="008344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Rijeka and Opatija in the off-season (58.5%). This implies that 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677F7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elements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the offering</w:t>
      </w:r>
      <w:r w:rsidR="00677F7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relating</w:t>
      </w:r>
      <w:r w:rsidR="00677F7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culture and entertainment are of great importance for smoothing tourism season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ality</w:t>
      </w:r>
      <w:r w:rsidR="00677F7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However, r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esults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also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indicate that </w:t>
      </w:r>
      <w:r w:rsidR="00677F7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tourist 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satisfaction with the destination offering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’s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attributes 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relating 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 cultur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entertainment is less than </w:t>
      </w:r>
      <w:r w:rsidR="00FE2708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attributes’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importance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98736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indicating low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tourist</w:t>
      </w:r>
      <w:r w:rsidR="00987363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satisfaction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Th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 results also confirm the necessity of innovating and enrich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ing the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cultural and entertainment offerin</w:t>
      </w:r>
      <w:r w:rsidR="008344FB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677F7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So,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tourists 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would not 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 motivated</w:t>
      </w:r>
      <w:r w:rsidR="00F754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come to Opatija and Rijeka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754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only by the sun and sea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but also 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by 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wide range of cultural and entertainment opportunities. If th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se elements 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were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enhanced and better presented, tourists 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would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 more satisfied and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consequently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would spend more on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them</w:t>
      </w:r>
      <w:r w:rsidR="006B13D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392145" w:rsidRPr="00475479" w:rsidRDefault="00987363" w:rsidP="00DE0F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0E36C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ddition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y</w:t>
      </w:r>
      <w:r w:rsidR="000E36C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0E36C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findings indicate that </w:t>
      </w:r>
      <w:r w:rsidR="001546E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younger respondents tend to spend less on culture and entertainment that older ones</w:t>
      </w:r>
      <w:r w:rsidR="000E36C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Further</w:t>
      </w:r>
      <w:r w:rsidR="00F754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more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respondents </w:t>
      </w:r>
      <w:r w:rsidR="001546E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with 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1546E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higher educational level </w:t>
      </w:r>
      <w:r w:rsidR="000E36C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those who came to the destination by car </w:t>
      </w:r>
      <w:r w:rsidR="001546E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tend to spend more on </w:t>
      </w:r>
      <w:r w:rsidR="00DE0F7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mentioned</w:t>
      </w:r>
      <w:r w:rsidR="000E36C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elements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 was also found that 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respondents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staying in </w:t>
      </w:r>
      <w:r w:rsidR="00DA294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hotel tend to spend less on culture and entertainment 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than those stayi</w:t>
      </w:r>
      <w:r w:rsidR="000E36C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ng in other accommodation types, although many studies researching the determinants of overall expenditure found just the opposite (</w:t>
      </w:r>
      <w:r w:rsidR="00062DE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 example,</w:t>
      </w:r>
      <w:r w:rsidR="00DE0F7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García-Sánchez et al., 2013; Svensson et al., 2011). </w:t>
      </w:r>
      <w:r w:rsidR="00062DE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Another 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important finding was that satisfaction with transportation links, availability of information in the destination, quality of information on the destination’s website and clearly signposted directions in the destination </w:t>
      </w:r>
      <w:r w:rsidR="00062DE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have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E0F7C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also 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been </w:t>
      </w:r>
      <w:r w:rsidR="00062DE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proven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be statistically significant predictor</w:t>
      </w:r>
      <w:r w:rsidR="00062DE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790EDA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daily expenditure on culture and entertainment.</w:t>
      </w:r>
      <w:r w:rsidR="00D658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392145" w:rsidRPr="00475479" w:rsidRDefault="00392145" w:rsidP="00790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B3396C" w:rsidRPr="00475479" w:rsidRDefault="00392145" w:rsidP="00790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This study has practical implications since destination management can base their future decisions on its results. Results clearly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indicate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that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diversity of cultural events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the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presentation of cultural and historic</w:t>
      </w:r>
      <w:r w:rsidR="00F754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heritage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and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entertainment opportunities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 not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meet the tourists’ expectations. Hence, further improvements are necessary to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enhance the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tourists’ satisfaction and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raise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their expenditure level. </w:t>
      </w:r>
      <w:r w:rsidR="00D658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refore, the</w:t>
      </w:r>
      <w:r w:rsidR="00D658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results could serve as guidelines to future destination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="00D658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management activities that should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focus on </w:t>
      </w:r>
      <w:r w:rsidR="00D658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enrichment of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destination’s </w:t>
      </w:r>
      <w:r w:rsidR="00D658B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cultural and entertainment offering </w:t>
      </w:r>
      <w:r w:rsidR="006305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well as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 improving its</w:t>
      </w:r>
      <w:r w:rsidR="006305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promotion</w:t>
      </w:r>
      <w:r w:rsidR="006305D7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3D5A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Furthermore,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3D5A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better understanding of touris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3D5A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expenditure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 culture and entertainment</w:t>
      </w:r>
      <w:r w:rsidR="003D5A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can provide a more accurate assessment of 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3D5A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economic impact</w:t>
      </w:r>
      <w:r w:rsidR="00F174B6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tourism</w:t>
      </w:r>
      <w:r w:rsidR="003D5A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which in turn should help in the design and implementation of effective policies/measures for increasing 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overall</w:t>
      </w:r>
      <w:r w:rsidR="003D5A44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economic benefits of tourism (Wu et al. 2013).</w:t>
      </w:r>
    </w:p>
    <w:p w:rsidR="006305D7" w:rsidRDefault="0066144E" w:rsidP="008E1A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main limitation of this study </w:t>
      </w:r>
      <w:r w:rsidR="000E36C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refers to the fact that the </w:t>
      </w:r>
      <w:r w:rsidR="00DF455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research </w:t>
      </w:r>
      <w:r w:rsidR="000E36C1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was </w:t>
      </w:r>
      <w:r w:rsidR="00DF455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conducted in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</w:t>
      </w:r>
      <w:r w:rsidR="00DF455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restricted specific geographic area (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Rijeka and Opatija</w:t>
      </w:r>
      <w:r w:rsidR="00DF4559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Hence, it would be useful if similar surveys 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were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conducted in other </w:t>
      </w:r>
      <w:r w:rsidR="00F754E5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towns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order to 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compare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results and gain 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more objective understanding of expenditure on culture and entertainment. 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addition, 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the 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presented regression model 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does not take account of 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all possible variables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models that take certain 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other variables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into consideration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 example,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motivations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type of trip organisation, being firs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or repeat visitor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might lead to 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 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even better </w:t>
      </w:r>
      <w:r w:rsidR="003A23C2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understanding of </w:t>
      </w:r>
      <w:r w:rsidR="008E1AAE"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tourist expenditure.</w:t>
      </w:r>
    </w:p>
    <w:p w:rsidR="00F5731F" w:rsidRPr="00475479" w:rsidRDefault="00F5731F" w:rsidP="008E1A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GoBack"/>
      <w:bookmarkEnd w:id="0"/>
    </w:p>
    <w:p w:rsidR="006305D7" w:rsidRPr="00475479" w:rsidRDefault="006305D7" w:rsidP="006305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Acknowledgment</w:t>
      </w:r>
    </w:p>
    <w:p w:rsidR="00B3396C" w:rsidRPr="00475479" w:rsidRDefault="006305D7" w:rsidP="00630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This paper has been financially supported by the University of Rijeka for project ZP UNIRI 3/15.</w:t>
      </w:r>
    </w:p>
    <w:p w:rsidR="00B3396C" w:rsidRPr="00475479" w:rsidRDefault="00B3396C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736645" w:rsidRPr="00475479" w:rsidRDefault="003E02EE" w:rsidP="00877E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6</w:t>
      </w:r>
      <w:r w:rsidR="00472049" w:rsidRPr="004754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BIBLIOGRAPHY </w:t>
      </w:r>
    </w:p>
    <w:p w:rsidR="00BB0FBA" w:rsidRPr="00475479" w:rsidRDefault="00BB0FBA" w:rsidP="00877E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934B25" w:rsidRPr="00475479" w:rsidRDefault="00934B25" w:rsidP="00F06F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Agarwal, V. B., and Yochum, G. R. (1999). Tourist spending and race of visitors.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Journal of Travel Research,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Vol. 38, No. 2, pp. 173–176.</w:t>
      </w:r>
    </w:p>
    <w:p w:rsidR="00934B25" w:rsidRPr="00475479" w:rsidRDefault="00934B25" w:rsidP="008E2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Aguilo Perez, E. and Juaneda Sampol, C. (2000). Tourist expenditure determinants for mass tourism markets.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Annals of Tourism Research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27, No. 3, pp. 624–637.</w:t>
      </w:r>
    </w:p>
    <w:p w:rsidR="00934B25" w:rsidRPr="00475479" w:rsidRDefault="00934B25" w:rsidP="00DA57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Akca, H., Sayili, M. and Cafri R. (2016). Analysing expenditure of same-day visitors in cave tourism: the case of Turkey.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Economics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22, No. 1, pp. 47–55.</w:t>
      </w:r>
    </w:p>
    <w:p w:rsidR="00934B25" w:rsidRPr="00475479" w:rsidRDefault="00934B25" w:rsidP="00321B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Alegre, J., Cladera, M., and Sard, M. (2011). Analysing the influence of tourist motivations on tourist expenditure at a sun-and-sand destination.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Economics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17, No. 4, pp. 813–832.</w:t>
      </w:r>
    </w:p>
    <w:p w:rsidR="00934B25" w:rsidRPr="00475479" w:rsidRDefault="00934B25" w:rsidP="00D943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Baggio, R. and Klobas, J. (2011).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Quantitative methods in tourism: A handbook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 Bristol: Channel View Publications.</w:t>
      </w:r>
    </w:p>
    <w:p w:rsidR="00934B25" w:rsidRPr="00475479" w:rsidRDefault="00934B25" w:rsidP="00702F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Belenkiy, M., and Riker, D. (2013). Modeling the international tourism expenditures of</w:t>
      </w:r>
      <w:r w:rsidRPr="00475479">
        <w:rPr>
          <w:lang w:val="en-GB"/>
        </w:rPr>
        <w:t xml:space="preserve"> 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individual travellers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. Journal of Travel Research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52, No. 2, pp. 202–211.</w:t>
      </w:r>
    </w:p>
    <w:p w:rsidR="00934B25" w:rsidRPr="00475479" w:rsidRDefault="00934B25" w:rsidP="00CA43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Brida, J. G., and Scuderi, R. (2013). Determinants of tourist expenditure: A review of microeconometric models.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Management Perspectives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6, pp. 28–40.</w:t>
      </w:r>
    </w:p>
    <w:p w:rsidR="00934B25" w:rsidRPr="00475479" w:rsidRDefault="00934B25" w:rsidP="00BE39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Chen, C.-M. and Chang, K-L. (2012). The influence of travel agents on travel expenditures. 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Annals of Tourism Research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39, No. 2, pp. 1258-1263.</w:t>
      </w:r>
    </w:p>
    <w:p w:rsidR="00934B25" w:rsidRPr="00475479" w:rsidRDefault="00934B25" w:rsidP="00F95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lastRenderedPageBreak/>
        <w:t xml:space="preserve">Chhabra, D., Sills, E., and Rea, P. (2002). Tourist expenditures at heritage festivals.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Event Management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 7, No 4, pp 221–230.</w:t>
      </w:r>
    </w:p>
    <w:p w:rsidR="00934B25" w:rsidRPr="00475479" w:rsidRDefault="00934B25" w:rsidP="00344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Craggs, R., and Schofield, P. (2009). Expenditure-based segmentation and visitor profiling at the quays in Salford, UK.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Economics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15, No. 1, pp. 243–260.</w:t>
      </w:r>
    </w:p>
    <w:p w:rsidR="00934B25" w:rsidRPr="00475479" w:rsidRDefault="00934B25" w:rsidP="004A74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Croatian Bureau of Statistics (2018). Retrieved 02.01.2018. from </w:t>
      </w:r>
      <w:hyperlink r:id="rId8" w:history="1">
        <w:r w:rsidRPr="00475479">
          <w:rPr>
            <w:rStyle w:val="Hyperlink"/>
            <w:rFonts w:ascii="Times New Roman" w:hAnsi="Times New Roman" w:cs="Times New Roman"/>
            <w:bCs/>
            <w:sz w:val="24"/>
            <w:szCs w:val="24"/>
            <w:lang w:val="en-GB"/>
          </w:rPr>
          <w:t>http://www.dzs.hr/default_e.htm</w:t>
        </w:r>
      </w:hyperlink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</w:p>
    <w:p w:rsidR="00934B25" w:rsidRPr="00475479" w:rsidRDefault="00934B25" w:rsidP="00C50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Disegna, M. and Osti, L. (2016). Tourists’ expenditure behaviour: the influence of satisfaction and the dependence of spending categories.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Economics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22, No. 1, pp. 5–30.</w:t>
      </w:r>
    </w:p>
    <w:p w:rsidR="00934B25" w:rsidRPr="00475479" w:rsidRDefault="00934B25" w:rsidP="003F1F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Field, A. (2009).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Discovering Statistics using SPSS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(Third Edition). London: Sage Publications.</w:t>
      </w:r>
    </w:p>
    <w:p w:rsidR="00934B25" w:rsidRPr="00475479" w:rsidRDefault="00934B25" w:rsidP="006B0D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Fredman, P. (2008). Determinants of visitor expenditure in mountain tourism.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Economics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14, No. 2, pp. 297–311.</w:t>
      </w:r>
    </w:p>
    <w:p w:rsidR="00934B25" w:rsidRPr="00475479" w:rsidRDefault="00934B25" w:rsidP="00AB3A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García-Sánchez, A., Fernández-Rubio, E. and Collado, M. D. (2013). Daily expenses of foreign tourists, length of stay and activities: Evidence from Spain.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Economics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19, No. 3, pp. 613–630.</w:t>
      </w:r>
    </w:p>
    <w:p w:rsidR="00934B25" w:rsidRPr="00475479" w:rsidRDefault="00934B25" w:rsidP="00102F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García-Sánchez, A., Fernández-Rubio, E. and Collado, M. D. (2013). Daily expenses of foreign tourists, length of stay and activities: Evidence from Spain.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Economics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Vol. 19, No. 3, pp. 613–630. </w:t>
      </w:r>
    </w:p>
    <w:p w:rsidR="00934B25" w:rsidRPr="00475479" w:rsidRDefault="00934B25" w:rsidP="00E57C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Hair, J. F., Black, B., Babin, B., Anderson, R. E., and Tatham, R. L. (2005).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Multivariate Data Analysis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(6th edition). Upper Saddle River, NJ: Prentice Hall.</w:t>
      </w:r>
    </w:p>
    <w:p w:rsidR="00934B25" w:rsidRPr="00475479" w:rsidRDefault="00934B25" w:rsidP="009773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Jang, S. C., Bai, B., Hong, G-S. and O'Leary, J. T. (2004). Understanding travel expenditure patterns: A study of Japanese pleasure travellers to the United States by income level.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Management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Vol. 25, No. 3, pp. 331-341. </w:t>
      </w:r>
    </w:p>
    <w:p w:rsidR="00934B25" w:rsidRPr="00475479" w:rsidRDefault="00934B25" w:rsidP="009773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Jones, T., Wood, D., Catlin, J., and Norman, B. (2009). Expenditure and ecotourism: predictors of expenditure for whale shark tour participants.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Journal of Ecotourism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8, No. 1, 32-50.</w:t>
      </w:r>
    </w:p>
    <w:p w:rsidR="00934B25" w:rsidRPr="00475479" w:rsidRDefault="00934B25" w:rsidP="00180B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Kastenholz, E. (2005). Analysing determinants of visitor spending for the rural tourist market in North Portugal.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economics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11, 4, pp. 555-569.</w:t>
      </w:r>
    </w:p>
    <w:p w:rsidR="00934B25" w:rsidRPr="00475479" w:rsidRDefault="00934B25" w:rsidP="00BE39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Kozak, M. and Rimmington, M. (2000). Tourist Satisfaction with Mallorca, Spain, as an Off-Season Holiday Destination.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Journal of Travel Research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38, pp. 260-269.</w:t>
      </w:r>
    </w:p>
    <w:p w:rsidR="00934B25" w:rsidRPr="00475479" w:rsidRDefault="00934B25" w:rsidP="008A0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Legohérel, P., and Wong, K. K. F. (2006). Market segmentation in the tourism industry and consumers’ spending: What about direct expenditures?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Journal of Travel and Tourism Marketing,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Vol. 20, No. 2, pp. 15–30.</w:t>
      </w:r>
    </w:p>
    <w:p w:rsidR="00934B25" w:rsidRPr="00475479" w:rsidRDefault="00934B25" w:rsidP="009D5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Levenburg, N. M. and Magal, S. R. (2004). Applying importance-performance analysis to evaluate e-Business strategies among small firms.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E-Service Journal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3, No. 3, pp. 29-48.</w:t>
      </w:r>
    </w:p>
    <w:p w:rsidR="00934B25" w:rsidRPr="00475479" w:rsidRDefault="00934B25" w:rsidP="00344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Lin, V.S., Mao, R., and Song, H. (2015). Tourism expenditure patterns in China.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Annals of Tourism Research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54, pp. 100-117.</w:t>
      </w:r>
    </w:p>
    <w:p w:rsidR="00934B25" w:rsidRPr="00475479" w:rsidRDefault="00934B25" w:rsidP="00E60A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Marcussen, C. H. (2011). Determinants of spending by Danish travellers.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Anatolia,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Vol. 22, No. 1, pp. 47-55.</w:t>
      </w:r>
    </w:p>
    <w:p w:rsidR="00934B25" w:rsidRPr="00475479" w:rsidRDefault="00934B25" w:rsidP="005011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Marrocu, E., Paci, R. and Zara, A. (2015). Micro-economic determinants of tourist expenditure: A quantile regression approach.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Management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Vol. 50, pp. 13–30. </w:t>
      </w:r>
    </w:p>
    <w:p w:rsidR="00934B25" w:rsidRPr="00475479" w:rsidRDefault="00934B25" w:rsidP="00E144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Mayer, M., and Voght, L. (2016). Economic eff ects of tourism and its influencing factors: An overview focusing on the spending determinants of visitors.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Zeitschrift fuer Tourismuswissenschaft,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Vol. 8, No. 2, pp. 169-198.</w:t>
      </w:r>
    </w:p>
    <w:p w:rsidR="00934B25" w:rsidRPr="00475479" w:rsidRDefault="00934B25" w:rsidP="00321B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lastRenderedPageBreak/>
        <w:t xml:space="preserve">Mehmetoglu, M. (2007). Nature-based tourists: The relationship between their trip expenditures and activities.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Journal of Sustainable Tourism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15, No. 2, pp. 200–215.</w:t>
      </w:r>
    </w:p>
    <w:p w:rsidR="00934B25" w:rsidRPr="00475479" w:rsidRDefault="00934B25" w:rsidP="007014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Mustika, P. L. K., Stoeckl, N., and Farr, M. (2016). The potential implications of environmental deterioration on business and non-business visitor expenditures in a natural setting: A case study of Australia’s Great Barrier Reef.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Economics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22, No. 3, pp. 484–504.</w:t>
      </w:r>
    </w:p>
    <w:p w:rsidR="00934B25" w:rsidRPr="00475479" w:rsidRDefault="00934B25" w:rsidP="00043D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Nicolau, J.L. and Más, F.J., (2005). Heckit modeling of tourist expenditure: Evidence from Spain.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International Journal of Service Industry Management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Vol.16, No.3, pp. 271-293.</w:t>
      </w:r>
    </w:p>
    <w:p w:rsidR="00934B25" w:rsidRPr="00475479" w:rsidRDefault="00934B25" w:rsidP="00321B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Rao, V. (2001). Celebrations as social investments: Festival expenditures, unit price variation and social status in rural India.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The Journal of Development Studies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38, No. 1, pp. 71–97.</w:t>
      </w:r>
    </w:p>
    <w:p w:rsidR="00934B25" w:rsidRPr="00475479" w:rsidRDefault="00934B25" w:rsidP="008F27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Svensson, B., Moreno, P. and Martín, D. (2011). Understanding travel expenditure by means of market segmentation.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Service Industries Journal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31, No. 10, pp. 1683–1698.</w:t>
      </w:r>
    </w:p>
    <w:p w:rsidR="00934B25" w:rsidRPr="00475479" w:rsidRDefault="00934B25" w:rsidP="00321B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Thrane, C. (2014). Modelling micro-level tourism expenditure: Recommendations on the choice of independent variables, functional form and estimation technique. Tourism Economics, Vol. 20, No. 1, pp. 51–60.</w:t>
      </w:r>
    </w:p>
    <w:p w:rsidR="00934B25" w:rsidRPr="00475479" w:rsidRDefault="00934B25" w:rsidP="004C4B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Thrane, C. (2016). The determinants of Norwegians’ summer tourism expenditure: foreign and domestic trips.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Tourism Economics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22, No. 1, pp. 31–46.</w:t>
      </w:r>
    </w:p>
    <w:p w:rsidR="00934B25" w:rsidRPr="00475479" w:rsidRDefault="00934B25" w:rsidP="00576D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Wang, Y., and Davidson, M. C. G. (2010). A review of micro analyses of tourist expenditure.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Current Issues in Tourism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13, No. 6, pp. 507-524.</w:t>
      </w:r>
    </w:p>
    <w:p w:rsidR="00934B25" w:rsidRPr="00475479" w:rsidRDefault="00934B25" w:rsidP="00F959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Wang, Y., Rompf, P., Severt, D. and Peerapatdit, N. (2006). Examining and identifying the determinants of travel expenditure patterns.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International Journal of Tourism Research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8, No. 5, pp. 333–346.</w:t>
      </w:r>
    </w:p>
    <w:p w:rsidR="00934B25" w:rsidRPr="00475479" w:rsidRDefault="00934B25" w:rsidP="00F06F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Wu</w:t>
      </w:r>
      <w:r w:rsidRPr="00475479">
        <w:rPr>
          <w:lang w:val="en-GB"/>
        </w:rPr>
        <w:t xml:space="preserve"> 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L., Zhang, J. and Fujiwara, A. (2013). Tourism Participation and Expenditure Behaviour: Analysis Using a Scobit Based Discrete–Continuous Choice Model.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Annals of Tourism Research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40, pp. 1–17.</w:t>
      </w:r>
    </w:p>
    <w:p w:rsidR="00934B25" w:rsidRPr="00475479" w:rsidRDefault="00934B25" w:rsidP="00BE39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Zhang, L., Qu, H., and Ma, J. E. (2010). Examining the relationship of exhibition attendees’ satisfaction and expenditure: The case of two major exhibitions in China. </w:t>
      </w:r>
      <w:r w:rsidRPr="0047547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Journal of Convention &amp; Event Tourism</w:t>
      </w:r>
      <w:r w:rsidRPr="0047547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Vol. 11, No. 2, pp. 100–118.</w:t>
      </w:r>
    </w:p>
    <w:p w:rsidR="00BE39C2" w:rsidRPr="00475479" w:rsidRDefault="00BE39C2" w:rsidP="00BE39C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BE39C2" w:rsidRPr="00475479" w:rsidRDefault="00BE39C2" w:rsidP="00BE39C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BE39C2" w:rsidRPr="00475479" w:rsidRDefault="00BE39C2" w:rsidP="00BE39C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472049" w:rsidRPr="00475479" w:rsidRDefault="00472049" w:rsidP="00877E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sectPr w:rsidR="00472049" w:rsidRPr="00475479" w:rsidSect="00BB0FBA"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98" w:rsidRDefault="00601498" w:rsidP="00472049">
      <w:pPr>
        <w:spacing w:after="0" w:line="240" w:lineRule="auto"/>
      </w:pPr>
      <w:r>
        <w:separator/>
      </w:r>
    </w:p>
  </w:endnote>
  <w:endnote w:type="continuationSeparator" w:id="0">
    <w:p w:rsidR="00601498" w:rsidRDefault="00601498" w:rsidP="0047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98" w:rsidRDefault="00601498" w:rsidP="00472049">
      <w:pPr>
        <w:spacing w:after="0" w:line="240" w:lineRule="auto"/>
      </w:pPr>
      <w:r>
        <w:separator/>
      </w:r>
    </w:p>
  </w:footnote>
  <w:footnote w:type="continuationSeparator" w:id="0">
    <w:p w:rsidR="00601498" w:rsidRDefault="00601498" w:rsidP="0047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6D31"/>
    <w:multiLevelType w:val="hybridMultilevel"/>
    <w:tmpl w:val="B5E81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A5846"/>
    <w:multiLevelType w:val="hybridMultilevel"/>
    <w:tmpl w:val="F6DA983A"/>
    <w:lvl w:ilvl="0" w:tplc="4F60AD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A47717"/>
    <w:multiLevelType w:val="hybridMultilevel"/>
    <w:tmpl w:val="BD084E60"/>
    <w:lvl w:ilvl="0" w:tplc="4014C3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3169F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4A"/>
    <w:rsid w:val="00005CA4"/>
    <w:rsid w:val="00025D33"/>
    <w:rsid w:val="000321DE"/>
    <w:rsid w:val="00043DD2"/>
    <w:rsid w:val="00053BD7"/>
    <w:rsid w:val="00062DE1"/>
    <w:rsid w:val="000640F4"/>
    <w:rsid w:val="000720F0"/>
    <w:rsid w:val="00080890"/>
    <w:rsid w:val="00093C0A"/>
    <w:rsid w:val="00095AA2"/>
    <w:rsid w:val="000B5525"/>
    <w:rsid w:val="000C4C29"/>
    <w:rsid w:val="000C67D4"/>
    <w:rsid w:val="000C7534"/>
    <w:rsid w:val="000D3DF1"/>
    <w:rsid w:val="000D5041"/>
    <w:rsid w:val="000E174E"/>
    <w:rsid w:val="000E36C1"/>
    <w:rsid w:val="000F2760"/>
    <w:rsid w:val="00102FC3"/>
    <w:rsid w:val="0010798C"/>
    <w:rsid w:val="00113DE1"/>
    <w:rsid w:val="0012332E"/>
    <w:rsid w:val="00141D45"/>
    <w:rsid w:val="0014345E"/>
    <w:rsid w:val="001461E8"/>
    <w:rsid w:val="0014701D"/>
    <w:rsid w:val="001546EA"/>
    <w:rsid w:val="00160002"/>
    <w:rsid w:val="00160D51"/>
    <w:rsid w:val="001612B9"/>
    <w:rsid w:val="001620A4"/>
    <w:rsid w:val="00165156"/>
    <w:rsid w:val="00180B13"/>
    <w:rsid w:val="001A2489"/>
    <w:rsid w:val="001A3EAF"/>
    <w:rsid w:val="001A40B6"/>
    <w:rsid w:val="001B7D70"/>
    <w:rsid w:val="001C1BA4"/>
    <w:rsid w:val="001C3727"/>
    <w:rsid w:val="001D38E4"/>
    <w:rsid w:val="001E06BA"/>
    <w:rsid w:val="001F2451"/>
    <w:rsid w:val="001F72CA"/>
    <w:rsid w:val="0020099A"/>
    <w:rsid w:val="002011D0"/>
    <w:rsid w:val="00202A96"/>
    <w:rsid w:val="002031E6"/>
    <w:rsid w:val="00210DDF"/>
    <w:rsid w:val="0021715C"/>
    <w:rsid w:val="00217D58"/>
    <w:rsid w:val="00222590"/>
    <w:rsid w:val="00227E80"/>
    <w:rsid w:val="002309B7"/>
    <w:rsid w:val="00233BA1"/>
    <w:rsid w:val="0023734B"/>
    <w:rsid w:val="00240DF5"/>
    <w:rsid w:val="002451CE"/>
    <w:rsid w:val="002456F4"/>
    <w:rsid w:val="00261D05"/>
    <w:rsid w:val="00265A19"/>
    <w:rsid w:val="0028502B"/>
    <w:rsid w:val="002A385A"/>
    <w:rsid w:val="002A38DC"/>
    <w:rsid w:val="002A74CF"/>
    <w:rsid w:val="002B62F0"/>
    <w:rsid w:val="002B70BA"/>
    <w:rsid w:val="002D4A60"/>
    <w:rsid w:val="002E58FF"/>
    <w:rsid w:val="002F2879"/>
    <w:rsid w:val="002F66FA"/>
    <w:rsid w:val="00316159"/>
    <w:rsid w:val="0032107E"/>
    <w:rsid w:val="00321BFD"/>
    <w:rsid w:val="00321D8B"/>
    <w:rsid w:val="003420CF"/>
    <w:rsid w:val="003429A4"/>
    <w:rsid w:val="00343081"/>
    <w:rsid w:val="00344700"/>
    <w:rsid w:val="003808FF"/>
    <w:rsid w:val="003809EE"/>
    <w:rsid w:val="003827CA"/>
    <w:rsid w:val="0038772C"/>
    <w:rsid w:val="00391214"/>
    <w:rsid w:val="00392145"/>
    <w:rsid w:val="003A23C2"/>
    <w:rsid w:val="003A4494"/>
    <w:rsid w:val="003B0FA8"/>
    <w:rsid w:val="003B1C3D"/>
    <w:rsid w:val="003B70A4"/>
    <w:rsid w:val="003B7625"/>
    <w:rsid w:val="003B7E8C"/>
    <w:rsid w:val="003C1026"/>
    <w:rsid w:val="003C153D"/>
    <w:rsid w:val="003C2BD3"/>
    <w:rsid w:val="003D39F4"/>
    <w:rsid w:val="003D5A44"/>
    <w:rsid w:val="003E02EE"/>
    <w:rsid w:val="003F10BF"/>
    <w:rsid w:val="003F1F2E"/>
    <w:rsid w:val="004043C6"/>
    <w:rsid w:val="00465C1F"/>
    <w:rsid w:val="004704D0"/>
    <w:rsid w:val="00471BB6"/>
    <w:rsid w:val="00472049"/>
    <w:rsid w:val="00472F31"/>
    <w:rsid w:val="00475479"/>
    <w:rsid w:val="004824E2"/>
    <w:rsid w:val="004905BD"/>
    <w:rsid w:val="00494DF9"/>
    <w:rsid w:val="00497B72"/>
    <w:rsid w:val="004A74A1"/>
    <w:rsid w:val="004B457C"/>
    <w:rsid w:val="004B7E46"/>
    <w:rsid w:val="004C34C5"/>
    <w:rsid w:val="004C4BA8"/>
    <w:rsid w:val="004C5A4E"/>
    <w:rsid w:val="004E04BD"/>
    <w:rsid w:val="0050115C"/>
    <w:rsid w:val="00511742"/>
    <w:rsid w:val="005403B6"/>
    <w:rsid w:val="00542C4C"/>
    <w:rsid w:val="00553FDC"/>
    <w:rsid w:val="00561EFF"/>
    <w:rsid w:val="005711C9"/>
    <w:rsid w:val="0057425C"/>
    <w:rsid w:val="00576D81"/>
    <w:rsid w:val="005965F4"/>
    <w:rsid w:val="00597742"/>
    <w:rsid w:val="005A0753"/>
    <w:rsid w:val="005B19CD"/>
    <w:rsid w:val="005B731E"/>
    <w:rsid w:val="005C091C"/>
    <w:rsid w:val="005C1363"/>
    <w:rsid w:val="005E71B3"/>
    <w:rsid w:val="005F2884"/>
    <w:rsid w:val="005F5A25"/>
    <w:rsid w:val="0060007D"/>
    <w:rsid w:val="00601498"/>
    <w:rsid w:val="00614C5D"/>
    <w:rsid w:val="0061550A"/>
    <w:rsid w:val="0063016C"/>
    <w:rsid w:val="006305D7"/>
    <w:rsid w:val="006336FA"/>
    <w:rsid w:val="006375F7"/>
    <w:rsid w:val="00645869"/>
    <w:rsid w:val="00654A51"/>
    <w:rsid w:val="0066144E"/>
    <w:rsid w:val="006626FF"/>
    <w:rsid w:val="00663BB4"/>
    <w:rsid w:val="0066461D"/>
    <w:rsid w:val="00666D99"/>
    <w:rsid w:val="00677F7E"/>
    <w:rsid w:val="00683DFF"/>
    <w:rsid w:val="006849EB"/>
    <w:rsid w:val="00697184"/>
    <w:rsid w:val="006A6694"/>
    <w:rsid w:val="006A6A3D"/>
    <w:rsid w:val="006A6BA6"/>
    <w:rsid w:val="006B00FF"/>
    <w:rsid w:val="006B0DE5"/>
    <w:rsid w:val="006B13DC"/>
    <w:rsid w:val="006B6E2B"/>
    <w:rsid w:val="006D22FE"/>
    <w:rsid w:val="006D6062"/>
    <w:rsid w:val="006F005F"/>
    <w:rsid w:val="006F56FB"/>
    <w:rsid w:val="007014F0"/>
    <w:rsid w:val="00702F3D"/>
    <w:rsid w:val="00716BD9"/>
    <w:rsid w:val="00720C56"/>
    <w:rsid w:val="0073187B"/>
    <w:rsid w:val="00736645"/>
    <w:rsid w:val="00737455"/>
    <w:rsid w:val="00737EDF"/>
    <w:rsid w:val="007518EE"/>
    <w:rsid w:val="00751A54"/>
    <w:rsid w:val="00754BC1"/>
    <w:rsid w:val="00755C11"/>
    <w:rsid w:val="0076615A"/>
    <w:rsid w:val="00775352"/>
    <w:rsid w:val="00790EDA"/>
    <w:rsid w:val="0079796F"/>
    <w:rsid w:val="007A5845"/>
    <w:rsid w:val="007A7464"/>
    <w:rsid w:val="007D22E2"/>
    <w:rsid w:val="007E218B"/>
    <w:rsid w:val="007E3893"/>
    <w:rsid w:val="007E665A"/>
    <w:rsid w:val="00805204"/>
    <w:rsid w:val="008135F7"/>
    <w:rsid w:val="00825B14"/>
    <w:rsid w:val="00827572"/>
    <w:rsid w:val="0083129D"/>
    <w:rsid w:val="008344FB"/>
    <w:rsid w:val="00834A3D"/>
    <w:rsid w:val="00834EAF"/>
    <w:rsid w:val="00836ECE"/>
    <w:rsid w:val="00837678"/>
    <w:rsid w:val="008411AA"/>
    <w:rsid w:val="00852B14"/>
    <w:rsid w:val="00856308"/>
    <w:rsid w:val="008566DD"/>
    <w:rsid w:val="0085765A"/>
    <w:rsid w:val="00870EB7"/>
    <w:rsid w:val="008752D9"/>
    <w:rsid w:val="00877EB2"/>
    <w:rsid w:val="008850A8"/>
    <w:rsid w:val="008876A5"/>
    <w:rsid w:val="008A019B"/>
    <w:rsid w:val="008A28CC"/>
    <w:rsid w:val="008B43F3"/>
    <w:rsid w:val="008B6376"/>
    <w:rsid w:val="008C4DC8"/>
    <w:rsid w:val="008D4C0C"/>
    <w:rsid w:val="008E1AAE"/>
    <w:rsid w:val="008E253B"/>
    <w:rsid w:val="008E5B50"/>
    <w:rsid w:val="008F27FD"/>
    <w:rsid w:val="008F576C"/>
    <w:rsid w:val="008F7154"/>
    <w:rsid w:val="00903A6E"/>
    <w:rsid w:val="00911B8F"/>
    <w:rsid w:val="00916A6A"/>
    <w:rsid w:val="009329FE"/>
    <w:rsid w:val="0093337B"/>
    <w:rsid w:val="0093337F"/>
    <w:rsid w:val="00934B25"/>
    <w:rsid w:val="00936970"/>
    <w:rsid w:val="00941601"/>
    <w:rsid w:val="0094538E"/>
    <w:rsid w:val="00952302"/>
    <w:rsid w:val="0095645E"/>
    <w:rsid w:val="00967E65"/>
    <w:rsid w:val="00975BC8"/>
    <w:rsid w:val="009773D4"/>
    <w:rsid w:val="00986AC2"/>
    <w:rsid w:val="00987363"/>
    <w:rsid w:val="00993EDE"/>
    <w:rsid w:val="009A0069"/>
    <w:rsid w:val="009B13A6"/>
    <w:rsid w:val="009B14E3"/>
    <w:rsid w:val="009B4847"/>
    <w:rsid w:val="009C6049"/>
    <w:rsid w:val="009D3D1A"/>
    <w:rsid w:val="009D4EA9"/>
    <w:rsid w:val="009D5E8B"/>
    <w:rsid w:val="009E016A"/>
    <w:rsid w:val="00A0274B"/>
    <w:rsid w:val="00A13D2F"/>
    <w:rsid w:val="00A20B1D"/>
    <w:rsid w:val="00A21F81"/>
    <w:rsid w:val="00A222C8"/>
    <w:rsid w:val="00A23B86"/>
    <w:rsid w:val="00A35244"/>
    <w:rsid w:val="00A369CC"/>
    <w:rsid w:val="00A40838"/>
    <w:rsid w:val="00A43814"/>
    <w:rsid w:val="00A51687"/>
    <w:rsid w:val="00A6330A"/>
    <w:rsid w:val="00A6774B"/>
    <w:rsid w:val="00A75703"/>
    <w:rsid w:val="00A91A74"/>
    <w:rsid w:val="00AA1DC7"/>
    <w:rsid w:val="00AA61A7"/>
    <w:rsid w:val="00AB3AB8"/>
    <w:rsid w:val="00AB6BF0"/>
    <w:rsid w:val="00AC6525"/>
    <w:rsid w:val="00AD725B"/>
    <w:rsid w:val="00AE43A1"/>
    <w:rsid w:val="00B00FCE"/>
    <w:rsid w:val="00B04EF6"/>
    <w:rsid w:val="00B054A5"/>
    <w:rsid w:val="00B1340C"/>
    <w:rsid w:val="00B173A9"/>
    <w:rsid w:val="00B176F1"/>
    <w:rsid w:val="00B20968"/>
    <w:rsid w:val="00B23B5E"/>
    <w:rsid w:val="00B3396C"/>
    <w:rsid w:val="00B37FE9"/>
    <w:rsid w:val="00B420B1"/>
    <w:rsid w:val="00B44591"/>
    <w:rsid w:val="00B56034"/>
    <w:rsid w:val="00B73163"/>
    <w:rsid w:val="00B75600"/>
    <w:rsid w:val="00B801FA"/>
    <w:rsid w:val="00B93CFC"/>
    <w:rsid w:val="00BB0FBA"/>
    <w:rsid w:val="00BB5D89"/>
    <w:rsid w:val="00BB6E2A"/>
    <w:rsid w:val="00BC283A"/>
    <w:rsid w:val="00BC28F3"/>
    <w:rsid w:val="00BC5865"/>
    <w:rsid w:val="00BD1DAB"/>
    <w:rsid w:val="00BD4E00"/>
    <w:rsid w:val="00BD79F2"/>
    <w:rsid w:val="00BE39C2"/>
    <w:rsid w:val="00BF3A07"/>
    <w:rsid w:val="00BF510D"/>
    <w:rsid w:val="00BF5280"/>
    <w:rsid w:val="00BF6BEB"/>
    <w:rsid w:val="00C12109"/>
    <w:rsid w:val="00C15A50"/>
    <w:rsid w:val="00C21796"/>
    <w:rsid w:val="00C25D04"/>
    <w:rsid w:val="00C31FE8"/>
    <w:rsid w:val="00C42838"/>
    <w:rsid w:val="00C43DE2"/>
    <w:rsid w:val="00C446F7"/>
    <w:rsid w:val="00C50589"/>
    <w:rsid w:val="00C56962"/>
    <w:rsid w:val="00C57BF5"/>
    <w:rsid w:val="00C60B14"/>
    <w:rsid w:val="00C8439A"/>
    <w:rsid w:val="00CA2A76"/>
    <w:rsid w:val="00CA43CE"/>
    <w:rsid w:val="00CA60B5"/>
    <w:rsid w:val="00CB3B45"/>
    <w:rsid w:val="00CB7308"/>
    <w:rsid w:val="00CB7923"/>
    <w:rsid w:val="00CC0FF1"/>
    <w:rsid w:val="00CE49A4"/>
    <w:rsid w:val="00CF140E"/>
    <w:rsid w:val="00D1190D"/>
    <w:rsid w:val="00D12084"/>
    <w:rsid w:val="00D328F7"/>
    <w:rsid w:val="00D35220"/>
    <w:rsid w:val="00D4597D"/>
    <w:rsid w:val="00D467B5"/>
    <w:rsid w:val="00D52EC6"/>
    <w:rsid w:val="00D550A1"/>
    <w:rsid w:val="00D60C41"/>
    <w:rsid w:val="00D614B7"/>
    <w:rsid w:val="00D658B7"/>
    <w:rsid w:val="00D6754A"/>
    <w:rsid w:val="00D717DE"/>
    <w:rsid w:val="00D71C8F"/>
    <w:rsid w:val="00D77225"/>
    <w:rsid w:val="00D81535"/>
    <w:rsid w:val="00D87638"/>
    <w:rsid w:val="00D9431F"/>
    <w:rsid w:val="00D9606B"/>
    <w:rsid w:val="00D97AF5"/>
    <w:rsid w:val="00DA0882"/>
    <w:rsid w:val="00DA294C"/>
    <w:rsid w:val="00DA550C"/>
    <w:rsid w:val="00DA5780"/>
    <w:rsid w:val="00DC53A2"/>
    <w:rsid w:val="00DD3D20"/>
    <w:rsid w:val="00DD5E2C"/>
    <w:rsid w:val="00DE0F7C"/>
    <w:rsid w:val="00DE63AD"/>
    <w:rsid w:val="00DF4559"/>
    <w:rsid w:val="00DF54A3"/>
    <w:rsid w:val="00E1158E"/>
    <w:rsid w:val="00E11B44"/>
    <w:rsid w:val="00E144B0"/>
    <w:rsid w:val="00E20F46"/>
    <w:rsid w:val="00E22E2D"/>
    <w:rsid w:val="00E275E9"/>
    <w:rsid w:val="00E3021F"/>
    <w:rsid w:val="00E57CE9"/>
    <w:rsid w:val="00E60A91"/>
    <w:rsid w:val="00E61070"/>
    <w:rsid w:val="00E61ECC"/>
    <w:rsid w:val="00E72B87"/>
    <w:rsid w:val="00E8610E"/>
    <w:rsid w:val="00E9111E"/>
    <w:rsid w:val="00E92875"/>
    <w:rsid w:val="00EA1994"/>
    <w:rsid w:val="00EB27C5"/>
    <w:rsid w:val="00EB793A"/>
    <w:rsid w:val="00EC109B"/>
    <w:rsid w:val="00EC213D"/>
    <w:rsid w:val="00EC2504"/>
    <w:rsid w:val="00EC5383"/>
    <w:rsid w:val="00ED6F60"/>
    <w:rsid w:val="00EE6387"/>
    <w:rsid w:val="00EE737C"/>
    <w:rsid w:val="00EF144A"/>
    <w:rsid w:val="00EF20C7"/>
    <w:rsid w:val="00EF38C4"/>
    <w:rsid w:val="00F02B20"/>
    <w:rsid w:val="00F05BB8"/>
    <w:rsid w:val="00F06FE9"/>
    <w:rsid w:val="00F174B6"/>
    <w:rsid w:val="00F22651"/>
    <w:rsid w:val="00F3219C"/>
    <w:rsid w:val="00F46FFB"/>
    <w:rsid w:val="00F5414E"/>
    <w:rsid w:val="00F54B30"/>
    <w:rsid w:val="00F5731F"/>
    <w:rsid w:val="00F606C0"/>
    <w:rsid w:val="00F63B23"/>
    <w:rsid w:val="00F66C09"/>
    <w:rsid w:val="00F754E5"/>
    <w:rsid w:val="00F844BA"/>
    <w:rsid w:val="00F85050"/>
    <w:rsid w:val="00F9085E"/>
    <w:rsid w:val="00F9376B"/>
    <w:rsid w:val="00F94C1A"/>
    <w:rsid w:val="00F94EA6"/>
    <w:rsid w:val="00F95983"/>
    <w:rsid w:val="00FD5FF7"/>
    <w:rsid w:val="00FE09F3"/>
    <w:rsid w:val="00FE19F4"/>
    <w:rsid w:val="00FE2708"/>
    <w:rsid w:val="00FF0AC3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634A"/>
  <w15:docId w15:val="{DF8D6199-E4B0-454F-AB1E-22FF539E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5A"/>
    <w:pPr>
      <w:ind w:left="720"/>
      <w:contextualSpacing/>
    </w:pPr>
  </w:style>
  <w:style w:type="character" w:customStyle="1" w:styleId="Slog3-imeinpriimekavtorjevZnakZnak">
    <w:name w:val="Slog3-ime in priimek avtorjev Znak Znak"/>
    <w:link w:val="Slog3-imeinpriimekavtorjev"/>
    <w:locked/>
    <w:rsid w:val="00160002"/>
    <w:rPr>
      <w:rFonts w:ascii="Arial" w:hAnsi="Arial" w:cs="Arial"/>
      <w:b/>
      <w:sz w:val="24"/>
      <w:szCs w:val="24"/>
    </w:rPr>
  </w:style>
  <w:style w:type="paragraph" w:customStyle="1" w:styleId="Slog3-imeinpriimekavtorjev">
    <w:name w:val="Slog3-ime in priimek avtorjev"/>
    <w:basedOn w:val="Normal"/>
    <w:link w:val="Slog3-imeinpriimekavtorjevZnakZnak"/>
    <w:rsid w:val="00160002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Slog4-tabeleslikegrafi">
    <w:name w:val="Slog4-tabele/slike/grafi"/>
    <w:basedOn w:val="Normal"/>
    <w:rsid w:val="00F05BB8"/>
    <w:pPr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Slog2-povzetekinpodnaslovi">
    <w:name w:val="Slog2-povzetek in podnaslovi"/>
    <w:basedOn w:val="Normal"/>
    <w:link w:val="Slog2-povzetekinpodnasloviZnakZnak"/>
    <w:rsid w:val="00AA1DC7"/>
    <w:pPr>
      <w:spacing w:after="0" w:line="240" w:lineRule="auto"/>
    </w:pPr>
    <w:rPr>
      <w:rFonts w:ascii="Arial" w:eastAsia="Times New Roman" w:hAnsi="Arial" w:cs="Arial"/>
      <w:color w:val="808080"/>
      <w:sz w:val="32"/>
      <w:szCs w:val="32"/>
    </w:rPr>
  </w:style>
  <w:style w:type="character" w:customStyle="1" w:styleId="Slog2-povzetekinpodnasloviZnakZnak">
    <w:name w:val="Slog2-povzetek in podnaslovi Znak Znak"/>
    <w:link w:val="Slog2-povzetekinpodnaslovi"/>
    <w:rsid w:val="00AA1DC7"/>
    <w:rPr>
      <w:rFonts w:ascii="Arial" w:eastAsia="Times New Roman" w:hAnsi="Arial" w:cs="Arial"/>
      <w:color w:val="808080"/>
      <w:sz w:val="32"/>
      <w:szCs w:val="32"/>
    </w:rPr>
  </w:style>
  <w:style w:type="paragraph" w:styleId="FootnoteText">
    <w:name w:val="footnote text"/>
    <w:basedOn w:val="Normal"/>
    <w:link w:val="FootnoteTextChar"/>
    <w:rsid w:val="0047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7204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72049"/>
    <w:rPr>
      <w:vertAlign w:val="superscript"/>
    </w:rPr>
  </w:style>
  <w:style w:type="table" w:styleId="TableGrid">
    <w:name w:val="Table Grid"/>
    <w:basedOn w:val="TableNormal"/>
    <w:uiPriority w:val="59"/>
    <w:rsid w:val="0094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74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4A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5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s.hr/default_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233B-CB42-4CB6-B031-72EBB30C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6676</Words>
  <Characters>38057</Characters>
  <Application>Microsoft Office Word</Application>
  <DocSecurity>0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Daniela</cp:lastModifiedBy>
  <cp:revision>5</cp:revision>
  <cp:lastPrinted>2018-01-25T14:31:00Z</cp:lastPrinted>
  <dcterms:created xsi:type="dcterms:W3CDTF">2018-02-04T11:38:00Z</dcterms:created>
  <dcterms:modified xsi:type="dcterms:W3CDTF">2018-02-04T11:48:00Z</dcterms:modified>
</cp:coreProperties>
</file>